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10" w:rsidRPr="00BD3EA7" w:rsidRDefault="00D44B10" w:rsidP="00D44B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BD3EA7">
        <w:rPr>
          <w:rFonts w:ascii="Times New Roman" w:hAnsi="Times New Roman" w:cs="Times New Roman"/>
          <w:b/>
          <w:bCs/>
          <w:sz w:val="24"/>
          <w:szCs w:val="24"/>
        </w:rPr>
        <w:t>BEFORE</w:t>
      </w:r>
    </w:p>
    <w:p w:rsidR="00D44B10" w:rsidRPr="00BD3EA7" w:rsidRDefault="00D44B10" w:rsidP="00D44B10">
      <w:pPr>
        <w:pStyle w:val="HTMLPreformatted"/>
        <w:jc w:val="center"/>
        <w:rPr>
          <w:rFonts w:ascii="Times New Roman" w:hAnsi="Times New Roman" w:cs="Times New Roman"/>
          <w:sz w:val="24"/>
          <w:szCs w:val="24"/>
        </w:rPr>
      </w:pPr>
      <w:r w:rsidRPr="00BD3EA7">
        <w:rPr>
          <w:rFonts w:ascii="Times New Roman" w:hAnsi="Times New Roman" w:cs="Times New Roman"/>
          <w:b/>
          <w:bCs/>
          <w:sz w:val="24"/>
          <w:szCs w:val="24"/>
        </w:rPr>
        <w:t>THE PUBLIC UTILITIES COMMISSION OF OHIO</w:t>
      </w:r>
    </w:p>
    <w:p w:rsidR="00D44B10" w:rsidRPr="00BD3EA7" w:rsidRDefault="00D44B10" w:rsidP="00D44B10">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9308"/>
        <w:gridCol w:w="222"/>
        <w:gridCol w:w="222"/>
      </w:tblGrid>
      <w:tr w:rsidR="00D44B10" w:rsidRPr="00BD3EA7" w:rsidTr="00D44B10">
        <w:trPr>
          <w:trHeight w:val="807"/>
        </w:trPr>
        <w:tc>
          <w:tcPr>
            <w:tcW w:w="4332" w:type="dxa"/>
            <w:shd w:val="clear" w:color="auto" w:fill="auto"/>
          </w:tcPr>
          <w:tbl>
            <w:tblPr>
              <w:tblW w:w="9092" w:type="dxa"/>
              <w:tblLook w:val="01E0" w:firstRow="1" w:lastRow="1" w:firstColumn="1" w:lastColumn="1" w:noHBand="0" w:noVBand="0"/>
            </w:tblPr>
            <w:tblGrid>
              <w:gridCol w:w="4332"/>
              <w:gridCol w:w="360"/>
              <w:gridCol w:w="4400"/>
            </w:tblGrid>
            <w:tr w:rsidR="00D44B10" w:rsidRPr="00BD3EA7" w:rsidTr="00D44B10">
              <w:trPr>
                <w:trHeight w:val="807"/>
              </w:trPr>
              <w:tc>
                <w:tcPr>
                  <w:tcW w:w="4332" w:type="dxa"/>
                  <w:shd w:val="clear" w:color="auto" w:fill="auto"/>
                </w:tcPr>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 xml:space="preserve">In the Matter of the Application of Duke Energy Ohio, Inc., for approval of an Alternative Rate Plan Pursuant to Section 4929.05, Revised Code, for an Accelerated Service Line Replacement Program. </w:t>
                  </w:r>
                </w:p>
              </w:tc>
              <w:tc>
                <w:tcPr>
                  <w:tcW w:w="360" w:type="dxa"/>
                  <w:shd w:val="clear" w:color="auto" w:fill="auto"/>
                </w:tcPr>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w:t>
                  </w:r>
                </w:p>
              </w:tc>
              <w:tc>
                <w:tcPr>
                  <w:tcW w:w="4400" w:type="dxa"/>
                  <w:shd w:val="clear" w:color="auto" w:fill="auto"/>
                </w:tcPr>
                <w:p w:rsidR="00D44B10" w:rsidRPr="00BD3EA7" w:rsidRDefault="00D44B10" w:rsidP="00D44B10">
                  <w:pPr>
                    <w:pStyle w:val="HTMLPreformatted"/>
                    <w:rPr>
                      <w:rFonts w:ascii="Times New Roman" w:hAnsi="Times New Roman" w:cs="Times New Roman"/>
                      <w:sz w:val="24"/>
                      <w:szCs w:val="24"/>
                    </w:rPr>
                  </w:pPr>
                </w:p>
                <w:p w:rsidR="00D44B10" w:rsidRPr="00BD3EA7" w:rsidRDefault="00D44B10" w:rsidP="00D44B10">
                  <w:pPr>
                    <w:pStyle w:val="HTMLPreformatted"/>
                    <w:rPr>
                      <w:rFonts w:ascii="Times New Roman" w:hAnsi="Times New Roman" w:cs="Times New Roman"/>
                      <w:sz w:val="24"/>
                      <w:szCs w:val="24"/>
                    </w:rPr>
                  </w:pPr>
                </w:p>
                <w:p w:rsidR="00D44B10" w:rsidRPr="00BD3EA7" w:rsidRDefault="00D44B10" w:rsidP="00D44B10">
                  <w:pPr>
                    <w:pStyle w:val="HTMLPreformatted"/>
                    <w:rPr>
                      <w:rFonts w:ascii="Times New Roman" w:hAnsi="Times New Roman" w:cs="Times New Roman"/>
                      <w:sz w:val="24"/>
                      <w:szCs w:val="24"/>
                    </w:rPr>
                  </w:pPr>
                  <w:r w:rsidRPr="00BD3EA7">
                    <w:rPr>
                      <w:rFonts w:ascii="Times New Roman" w:hAnsi="Times New Roman" w:cs="Times New Roman"/>
                      <w:sz w:val="24"/>
                      <w:szCs w:val="24"/>
                    </w:rPr>
                    <w:t>Case No. 14-1622-GA-ALT</w:t>
                  </w:r>
                </w:p>
                <w:p w:rsidR="00D44B10" w:rsidRPr="00BD3EA7" w:rsidRDefault="00D44B10" w:rsidP="00D44B10">
                  <w:pPr>
                    <w:pStyle w:val="HTMLPreformatted"/>
                    <w:rPr>
                      <w:rFonts w:ascii="Times New Roman" w:hAnsi="Times New Roman" w:cs="Times New Roman"/>
                      <w:sz w:val="24"/>
                      <w:szCs w:val="24"/>
                    </w:rPr>
                  </w:pPr>
                </w:p>
                <w:p w:rsidR="00D44B10" w:rsidRPr="00BD3EA7" w:rsidRDefault="00D44B10" w:rsidP="00D44B10">
                  <w:pPr>
                    <w:pStyle w:val="HTMLPreformatted"/>
                    <w:rPr>
                      <w:rFonts w:ascii="Times New Roman" w:hAnsi="Times New Roman" w:cs="Times New Roman"/>
                      <w:sz w:val="24"/>
                      <w:szCs w:val="24"/>
                    </w:rPr>
                  </w:pPr>
                </w:p>
              </w:tc>
            </w:tr>
          </w:tbl>
          <w:p w:rsidR="00D44B10" w:rsidRPr="00BD3EA7" w:rsidRDefault="00D44B10" w:rsidP="00D44B10">
            <w:pPr>
              <w:pStyle w:val="HTMLPreformatted"/>
              <w:rPr>
                <w:rFonts w:ascii="Times New Roman" w:hAnsi="Times New Roman" w:cs="Times New Roman"/>
                <w:sz w:val="24"/>
                <w:szCs w:val="24"/>
              </w:rPr>
            </w:pPr>
          </w:p>
        </w:tc>
        <w:tc>
          <w:tcPr>
            <w:tcW w:w="360" w:type="dxa"/>
            <w:shd w:val="clear" w:color="auto" w:fill="auto"/>
          </w:tcPr>
          <w:p w:rsidR="00D44B10" w:rsidRPr="00BD3EA7" w:rsidRDefault="00D44B10" w:rsidP="00D44B10">
            <w:pPr>
              <w:pStyle w:val="HTMLPreformatted"/>
              <w:rPr>
                <w:rFonts w:ascii="Times New Roman" w:hAnsi="Times New Roman" w:cs="Times New Roman"/>
                <w:sz w:val="24"/>
                <w:szCs w:val="24"/>
              </w:rPr>
            </w:pPr>
          </w:p>
        </w:tc>
        <w:tc>
          <w:tcPr>
            <w:tcW w:w="4400" w:type="dxa"/>
            <w:shd w:val="clear" w:color="auto" w:fill="auto"/>
          </w:tcPr>
          <w:p w:rsidR="00D44B10" w:rsidRPr="00BD3EA7" w:rsidRDefault="00D44B10" w:rsidP="00D44B10">
            <w:pPr>
              <w:pStyle w:val="HTMLPreformatted"/>
              <w:rPr>
                <w:rFonts w:ascii="Times New Roman" w:hAnsi="Times New Roman" w:cs="Times New Roman"/>
                <w:sz w:val="24"/>
                <w:szCs w:val="24"/>
              </w:rPr>
            </w:pPr>
          </w:p>
        </w:tc>
      </w:tr>
    </w:tbl>
    <w:p w:rsidR="00D44B10" w:rsidRPr="00BD3EA7" w:rsidRDefault="00D44B10" w:rsidP="00D44B10">
      <w:pPr>
        <w:pStyle w:val="HTMLPreformatted"/>
        <w:pBdr>
          <w:bottom w:val="single" w:sz="12" w:space="4" w:color="auto"/>
        </w:pBdr>
        <w:rPr>
          <w:rFonts w:ascii="Times New Roman" w:hAnsi="Times New Roman" w:cs="Times New Roman"/>
          <w:sz w:val="24"/>
          <w:szCs w:val="24"/>
        </w:rPr>
      </w:pPr>
    </w:p>
    <w:p w:rsidR="00D44B10" w:rsidRPr="00BD3EA7" w:rsidRDefault="00D44B10" w:rsidP="00D44B10">
      <w:pPr>
        <w:contextualSpacing/>
        <w:rPr>
          <w:rFonts w:ascii="Times New Roman" w:hAnsi="Times New Roman" w:cs="Times New Roman"/>
          <w:sz w:val="24"/>
          <w:szCs w:val="24"/>
        </w:rPr>
      </w:pPr>
    </w:p>
    <w:p w:rsidR="00D44B10" w:rsidRPr="00BD3EA7" w:rsidRDefault="00D44B10" w:rsidP="00D44B10">
      <w:pPr>
        <w:spacing w:line="240" w:lineRule="auto"/>
        <w:contextualSpacing/>
        <w:jc w:val="center"/>
        <w:rPr>
          <w:rFonts w:ascii="Times New Roman" w:hAnsi="Times New Roman" w:cs="Times New Roman"/>
          <w:b/>
          <w:sz w:val="24"/>
          <w:szCs w:val="24"/>
        </w:rPr>
      </w:pPr>
      <w:r w:rsidRPr="00BD3EA7">
        <w:rPr>
          <w:rFonts w:ascii="Times New Roman" w:hAnsi="Times New Roman" w:cs="Times New Roman"/>
          <w:b/>
          <w:sz w:val="24"/>
          <w:szCs w:val="24"/>
        </w:rPr>
        <w:t>INITIAL POST-HEARING BRIEF</w:t>
      </w:r>
    </w:p>
    <w:p w:rsidR="00D44B10" w:rsidRPr="00BD3EA7" w:rsidRDefault="00D44B10" w:rsidP="00D44B10">
      <w:pPr>
        <w:spacing w:line="240" w:lineRule="auto"/>
        <w:contextualSpacing/>
        <w:jc w:val="center"/>
        <w:rPr>
          <w:rFonts w:ascii="Times New Roman" w:hAnsi="Times New Roman" w:cs="Times New Roman"/>
          <w:b/>
          <w:sz w:val="24"/>
          <w:szCs w:val="24"/>
        </w:rPr>
      </w:pPr>
      <w:r w:rsidRPr="00BD3EA7">
        <w:rPr>
          <w:rFonts w:ascii="Times New Roman" w:hAnsi="Times New Roman" w:cs="Times New Roman"/>
          <w:b/>
          <w:sz w:val="24"/>
          <w:szCs w:val="24"/>
        </w:rPr>
        <w:t>BY</w:t>
      </w:r>
    </w:p>
    <w:p w:rsidR="00D44B10" w:rsidRPr="00BD3EA7" w:rsidRDefault="00D44B10" w:rsidP="00D44B10">
      <w:pPr>
        <w:pBdr>
          <w:bottom w:val="single" w:sz="12" w:space="1" w:color="auto"/>
        </w:pBdr>
        <w:spacing w:line="240" w:lineRule="auto"/>
        <w:contextualSpacing/>
        <w:jc w:val="center"/>
        <w:rPr>
          <w:rFonts w:ascii="Times New Roman" w:hAnsi="Times New Roman" w:cs="Times New Roman"/>
          <w:b/>
          <w:sz w:val="24"/>
          <w:szCs w:val="24"/>
        </w:rPr>
      </w:pPr>
      <w:r w:rsidRPr="00BD3EA7">
        <w:rPr>
          <w:rFonts w:ascii="Times New Roman" w:hAnsi="Times New Roman" w:cs="Times New Roman"/>
          <w:b/>
          <w:sz w:val="24"/>
          <w:szCs w:val="24"/>
        </w:rPr>
        <w:t>THE OFFICE OF THE OHIO CONSUMERS’ COUNSEL</w:t>
      </w:r>
    </w:p>
    <w:p w:rsidR="00D44B10" w:rsidRPr="00BD3EA7" w:rsidRDefault="00D44B10" w:rsidP="00D44B10">
      <w:pPr>
        <w:pBdr>
          <w:bottom w:val="single" w:sz="12" w:space="1" w:color="auto"/>
        </w:pBdr>
        <w:spacing w:line="240" w:lineRule="auto"/>
        <w:jc w:val="center"/>
        <w:rPr>
          <w:rFonts w:ascii="Times New Roman" w:hAnsi="Times New Roman" w:cs="Times New Roman"/>
          <w:b/>
          <w:sz w:val="24"/>
          <w:szCs w:val="24"/>
        </w:rPr>
      </w:pPr>
    </w:p>
    <w:p w:rsidR="00D44B10" w:rsidRPr="00BD3EA7" w:rsidRDefault="00D44B10" w:rsidP="00D44B10">
      <w:pPr>
        <w:spacing w:line="240" w:lineRule="auto"/>
        <w:jc w:val="center"/>
        <w:rPr>
          <w:rFonts w:ascii="Times New Roman" w:hAnsi="Times New Roman" w:cs="Times New Roman"/>
          <w:b/>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p>
    <w:p w:rsidR="00695387" w:rsidRDefault="00695387" w:rsidP="00D44B10">
      <w:pPr>
        <w:spacing w:after="0"/>
        <w:ind w:left="3600" w:firstLine="720"/>
        <w:rPr>
          <w:rFonts w:ascii="Times New Roman" w:hAnsi="Times New Roman" w:cs="Times New Roman"/>
          <w:sz w:val="24"/>
          <w:szCs w:val="24"/>
        </w:rPr>
      </w:pPr>
    </w:p>
    <w:p w:rsidR="00695387" w:rsidRDefault="00695387" w:rsidP="00D44B10">
      <w:pPr>
        <w:spacing w:after="0"/>
        <w:ind w:left="3600" w:firstLine="720"/>
        <w:rPr>
          <w:rFonts w:ascii="Times New Roman" w:hAnsi="Times New Roman" w:cs="Times New Roman"/>
          <w:sz w:val="24"/>
          <w:szCs w:val="24"/>
        </w:rPr>
      </w:pPr>
    </w:p>
    <w:p w:rsidR="00695387" w:rsidRDefault="00695387" w:rsidP="00D44B10">
      <w:pPr>
        <w:spacing w:after="0"/>
        <w:ind w:left="3600" w:firstLine="720"/>
        <w:rPr>
          <w:rFonts w:ascii="Times New Roman" w:hAnsi="Times New Roman" w:cs="Times New Roman"/>
          <w:sz w:val="24"/>
          <w:szCs w:val="24"/>
        </w:rPr>
      </w:pPr>
    </w:p>
    <w:p w:rsidR="00695387" w:rsidRDefault="00695387" w:rsidP="00D44B10">
      <w:pPr>
        <w:spacing w:after="0"/>
        <w:ind w:left="3600" w:firstLine="720"/>
        <w:rPr>
          <w:rFonts w:ascii="Times New Roman" w:hAnsi="Times New Roman" w:cs="Times New Roman"/>
          <w:sz w:val="24"/>
          <w:szCs w:val="24"/>
        </w:rPr>
      </w:pPr>
    </w:p>
    <w:p w:rsidR="00D44B10" w:rsidRPr="00BD3EA7" w:rsidRDefault="00D44B10" w:rsidP="00D44B10">
      <w:pPr>
        <w:spacing w:after="0"/>
        <w:ind w:left="3600" w:firstLine="720"/>
        <w:rPr>
          <w:rFonts w:ascii="Times New Roman" w:hAnsi="Times New Roman" w:cs="Times New Roman"/>
          <w:sz w:val="24"/>
          <w:szCs w:val="24"/>
        </w:rPr>
      </w:pPr>
      <w:r w:rsidRPr="00BD3EA7">
        <w:rPr>
          <w:rFonts w:ascii="Times New Roman" w:hAnsi="Times New Roman" w:cs="Times New Roman"/>
          <w:sz w:val="24"/>
          <w:szCs w:val="24"/>
        </w:rPr>
        <w:t>Bruce J. Weston (0016973)</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OHIO CONSUMERS’ COUNSEL</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Kevin F. Moore (0089228)</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Assistant Consumers’ Counsel</w:t>
      </w:r>
    </w:p>
    <w:p w:rsidR="00D44B10" w:rsidRPr="00BD3EA7" w:rsidRDefault="00D44B10" w:rsidP="00D44B10">
      <w:pPr>
        <w:spacing w:after="0" w:line="240" w:lineRule="auto"/>
        <w:rPr>
          <w:rFonts w:ascii="Times New Roman" w:hAnsi="Times New Roman" w:cs="Times New Roman"/>
          <w:sz w:val="24"/>
          <w:szCs w:val="24"/>
        </w:rPr>
      </w:pPr>
    </w:p>
    <w:p w:rsidR="00D44B10" w:rsidRPr="00BD3EA7" w:rsidRDefault="00D44B10" w:rsidP="00D44B10">
      <w:pPr>
        <w:spacing w:after="0" w:line="240" w:lineRule="auto"/>
        <w:rPr>
          <w:rFonts w:ascii="Times New Roman" w:hAnsi="Times New Roman" w:cs="Times New Roman"/>
          <w:b/>
          <w:sz w:val="24"/>
          <w:szCs w:val="24"/>
        </w:rPr>
      </w:pP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r>
      <w:r w:rsidRPr="00BD3EA7">
        <w:rPr>
          <w:rFonts w:ascii="Times New Roman" w:hAnsi="Times New Roman" w:cs="Times New Roman"/>
          <w:b/>
          <w:sz w:val="24"/>
          <w:szCs w:val="24"/>
        </w:rPr>
        <w:tab/>
        <w:t>Office of the Ohio Consumers’ Counsel</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10 W. Broad Street, Suite 1800</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Columbus, Ohio 43215-3485</w:t>
      </w:r>
    </w:p>
    <w:p w:rsidR="00D44B10" w:rsidRPr="00BD3EA7"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t>Telephone [Moore]: 614-466-2965</w:t>
      </w:r>
    </w:p>
    <w:p w:rsidR="00D44B10" w:rsidRDefault="00D44B10" w:rsidP="00D44B10">
      <w:pPr>
        <w:spacing w:after="0" w:line="240" w:lineRule="auto"/>
        <w:rPr>
          <w:rFonts w:ascii="Times New Roman" w:hAnsi="Times New Roman" w:cs="Times New Roman"/>
          <w:sz w:val="24"/>
          <w:szCs w:val="24"/>
        </w:rPr>
      </w:pP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r w:rsidRPr="00BD3EA7">
        <w:rPr>
          <w:rFonts w:ascii="Times New Roman" w:hAnsi="Times New Roman" w:cs="Times New Roman"/>
          <w:sz w:val="24"/>
          <w:szCs w:val="24"/>
        </w:rPr>
        <w:tab/>
      </w:r>
      <w:hyperlink r:id="rId8" w:history="1">
        <w:r w:rsidR="00695387" w:rsidRPr="00226DCB">
          <w:rPr>
            <w:rStyle w:val="Hyperlink"/>
            <w:rFonts w:ascii="Times New Roman" w:hAnsi="Times New Roman" w:cs="Times New Roman"/>
            <w:sz w:val="24"/>
            <w:szCs w:val="24"/>
          </w:rPr>
          <w:t>kevin.moore@occ.ohio.gov</w:t>
        </w:r>
      </w:hyperlink>
    </w:p>
    <w:p w:rsidR="00695387" w:rsidRDefault="00D44B10" w:rsidP="00D44B10">
      <w:pPr>
        <w:rPr>
          <w:rFonts w:ascii="Times New Roman" w:hAnsi="Times New Roman" w:cs="Times New Roman"/>
          <w:sz w:val="24"/>
          <w:szCs w:val="24"/>
        </w:rPr>
        <w:sectPr w:rsidR="00695387" w:rsidSect="0093493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Pr>
          <w:rFonts w:ascii="Times New Roman" w:hAnsi="Times New Roman" w:cs="Times New Roman"/>
          <w:sz w:val="24"/>
          <w:szCs w:val="24"/>
        </w:rPr>
        <w:t>December 9,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EA7">
        <w:rPr>
          <w:rFonts w:ascii="Times New Roman" w:hAnsi="Times New Roman" w:cs="Times New Roman"/>
          <w:sz w:val="24"/>
          <w:szCs w:val="24"/>
        </w:rPr>
        <w:t xml:space="preserve">(will accept service </w:t>
      </w:r>
      <w:r>
        <w:rPr>
          <w:rFonts w:ascii="Times New Roman" w:hAnsi="Times New Roman" w:cs="Times New Roman"/>
          <w:sz w:val="24"/>
          <w:szCs w:val="24"/>
        </w:rPr>
        <w:t>via email)</w:t>
      </w:r>
    </w:p>
    <w:p w:rsidR="00D44B10" w:rsidRDefault="00D44B10" w:rsidP="00D44B10">
      <w:pPr>
        <w:jc w:val="center"/>
        <w:rPr>
          <w:rFonts w:ascii="Times New Roman" w:hAnsi="Times New Roman" w:cs="Times New Roman"/>
          <w:b/>
          <w:sz w:val="24"/>
          <w:szCs w:val="24"/>
        </w:rPr>
      </w:pPr>
      <w:r w:rsidRPr="00BD3EA7">
        <w:rPr>
          <w:rFonts w:ascii="Times New Roman" w:hAnsi="Times New Roman" w:cs="Times New Roman"/>
          <w:b/>
          <w:sz w:val="24"/>
          <w:szCs w:val="24"/>
        </w:rPr>
        <w:lastRenderedPageBreak/>
        <w:t>TABLE OF CONTENTS</w:t>
      </w:r>
    </w:p>
    <w:p w:rsidR="00933DEB" w:rsidRDefault="00D44B10" w:rsidP="00A20C61">
      <w:pPr>
        <w:jc w:val="center"/>
        <w:rPr>
          <w:noProof/>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r w:rsidR="00A20C61">
        <w:rPr>
          <w:rFonts w:ascii="Times New Roman" w:hAnsi="Times New Roman" w:cs="Times New Roman"/>
          <w:b/>
          <w:bCs/>
          <w:sz w:val="24"/>
          <w:szCs w:val="24"/>
        </w:rPr>
        <w:fldChar w:fldCharType="begin"/>
      </w:r>
      <w:r w:rsidR="00A20C61">
        <w:rPr>
          <w:rFonts w:ascii="Times New Roman" w:hAnsi="Times New Roman" w:cs="Times New Roman"/>
          <w:b/>
          <w:bCs/>
          <w:sz w:val="24"/>
          <w:szCs w:val="24"/>
        </w:rPr>
        <w:instrText xml:space="preserve"> TOC \o "1-5" \h \z \u </w:instrText>
      </w:r>
      <w:r w:rsidR="00A20C61">
        <w:rPr>
          <w:rFonts w:ascii="Times New Roman" w:hAnsi="Times New Roman" w:cs="Times New Roman"/>
          <w:b/>
          <w:bCs/>
          <w:sz w:val="24"/>
          <w:szCs w:val="24"/>
        </w:rPr>
        <w:fldChar w:fldCharType="separate"/>
      </w:r>
    </w:p>
    <w:p w:rsidR="00933DEB" w:rsidRDefault="00112617">
      <w:pPr>
        <w:pStyle w:val="TOC1"/>
        <w:rPr>
          <w:rFonts w:asciiTheme="minorHAnsi" w:eastAsiaTheme="minorEastAsia" w:hAnsiTheme="minorHAnsi"/>
          <w:caps w:val="0"/>
          <w:noProof/>
          <w:sz w:val="22"/>
        </w:rPr>
      </w:pPr>
      <w:hyperlink w:anchor="_Toc437441452" w:history="1">
        <w:r w:rsidR="00933DEB" w:rsidRPr="008A2A82">
          <w:rPr>
            <w:rStyle w:val="Hyperlink"/>
            <w:noProof/>
          </w:rPr>
          <w:t>I.</w:t>
        </w:r>
        <w:r w:rsidR="00933DEB">
          <w:rPr>
            <w:rFonts w:asciiTheme="minorHAnsi" w:eastAsiaTheme="minorEastAsia" w:hAnsiTheme="minorHAnsi"/>
            <w:caps w:val="0"/>
            <w:noProof/>
            <w:sz w:val="22"/>
          </w:rPr>
          <w:tab/>
        </w:r>
        <w:r w:rsidR="00933DEB" w:rsidRPr="008A2A82">
          <w:rPr>
            <w:rStyle w:val="Hyperlink"/>
            <w:noProof/>
          </w:rPr>
          <w:t>Introduction</w:t>
        </w:r>
        <w:r w:rsidR="00933DEB">
          <w:rPr>
            <w:noProof/>
            <w:webHidden/>
          </w:rPr>
          <w:tab/>
        </w:r>
        <w:r w:rsidR="00933DEB">
          <w:rPr>
            <w:noProof/>
            <w:webHidden/>
          </w:rPr>
          <w:fldChar w:fldCharType="begin"/>
        </w:r>
        <w:r w:rsidR="00933DEB">
          <w:rPr>
            <w:noProof/>
            <w:webHidden/>
          </w:rPr>
          <w:instrText xml:space="preserve"> PAGEREF _Toc437441452 \h </w:instrText>
        </w:r>
        <w:r w:rsidR="00933DEB">
          <w:rPr>
            <w:noProof/>
            <w:webHidden/>
          </w:rPr>
        </w:r>
        <w:r w:rsidR="00933DEB">
          <w:rPr>
            <w:noProof/>
            <w:webHidden/>
          </w:rPr>
          <w:fldChar w:fldCharType="separate"/>
        </w:r>
        <w:r w:rsidR="00A969CC">
          <w:rPr>
            <w:noProof/>
            <w:webHidden/>
          </w:rPr>
          <w:t>1</w:t>
        </w:r>
        <w:r w:rsidR="00933DEB">
          <w:rPr>
            <w:noProof/>
            <w:webHidden/>
          </w:rPr>
          <w:fldChar w:fldCharType="end"/>
        </w:r>
      </w:hyperlink>
    </w:p>
    <w:p w:rsidR="00933DEB" w:rsidRDefault="00112617">
      <w:pPr>
        <w:pStyle w:val="TOC1"/>
        <w:rPr>
          <w:rFonts w:asciiTheme="minorHAnsi" w:eastAsiaTheme="minorEastAsia" w:hAnsiTheme="minorHAnsi"/>
          <w:caps w:val="0"/>
          <w:noProof/>
          <w:sz w:val="22"/>
        </w:rPr>
      </w:pPr>
      <w:hyperlink w:anchor="_Toc437441453" w:history="1">
        <w:r w:rsidR="00933DEB" w:rsidRPr="008A2A82">
          <w:rPr>
            <w:rStyle w:val="Hyperlink"/>
            <w:noProof/>
          </w:rPr>
          <w:t>II.</w:t>
        </w:r>
        <w:r w:rsidR="00933DEB">
          <w:rPr>
            <w:rFonts w:asciiTheme="minorHAnsi" w:eastAsiaTheme="minorEastAsia" w:hAnsiTheme="minorHAnsi"/>
            <w:caps w:val="0"/>
            <w:noProof/>
            <w:sz w:val="22"/>
          </w:rPr>
          <w:tab/>
        </w:r>
        <w:r w:rsidR="00933DEB" w:rsidRPr="008A2A82">
          <w:rPr>
            <w:rStyle w:val="Hyperlink"/>
            <w:noProof/>
          </w:rPr>
          <w:t>BACKGROUND</w:t>
        </w:r>
        <w:r w:rsidR="00933DEB">
          <w:rPr>
            <w:noProof/>
            <w:webHidden/>
          </w:rPr>
          <w:tab/>
        </w:r>
        <w:r w:rsidR="00933DEB">
          <w:rPr>
            <w:noProof/>
            <w:webHidden/>
          </w:rPr>
          <w:fldChar w:fldCharType="begin"/>
        </w:r>
        <w:r w:rsidR="00933DEB">
          <w:rPr>
            <w:noProof/>
            <w:webHidden/>
          </w:rPr>
          <w:instrText xml:space="preserve"> PAGEREF _Toc437441453 \h </w:instrText>
        </w:r>
        <w:r w:rsidR="00933DEB">
          <w:rPr>
            <w:noProof/>
            <w:webHidden/>
          </w:rPr>
        </w:r>
        <w:r w:rsidR="00933DEB">
          <w:rPr>
            <w:noProof/>
            <w:webHidden/>
          </w:rPr>
          <w:fldChar w:fldCharType="separate"/>
        </w:r>
        <w:r w:rsidR="00A969CC">
          <w:rPr>
            <w:noProof/>
            <w:webHidden/>
          </w:rPr>
          <w:t>2</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54"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Duke’s Accelerated Main Replacement Program.</w:t>
        </w:r>
        <w:r w:rsidR="00933DEB">
          <w:rPr>
            <w:noProof/>
            <w:webHidden/>
          </w:rPr>
          <w:tab/>
        </w:r>
        <w:r w:rsidR="00933DEB">
          <w:rPr>
            <w:noProof/>
            <w:webHidden/>
          </w:rPr>
          <w:fldChar w:fldCharType="begin"/>
        </w:r>
        <w:r w:rsidR="00933DEB">
          <w:rPr>
            <w:noProof/>
            <w:webHidden/>
          </w:rPr>
          <w:instrText xml:space="preserve"> PAGEREF _Toc437441454 \h </w:instrText>
        </w:r>
        <w:r w:rsidR="00933DEB">
          <w:rPr>
            <w:noProof/>
            <w:webHidden/>
          </w:rPr>
        </w:r>
        <w:r w:rsidR="00933DEB">
          <w:rPr>
            <w:noProof/>
            <w:webHidden/>
          </w:rPr>
          <w:fldChar w:fldCharType="separate"/>
        </w:r>
        <w:r w:rsidR="00A969CC">
          <w:rPr>
            <w:noProof/>
            <w:webHidden/>
          </w:rPr>
          <w:t>2</w:t>
        </w:r>
        <w:r w:rsidR="00933DEB">
          <w:rPr>
            <w:noProof/>
            <w:webHidden/>
          </w:rPr>
          <w:fldChar w:fldCharType="end"/>
        </w:r>
      </w:hyperlink>
    </w:p>
    <w:p w:rsidR="00933DEB" w:rsidRDefault="00112617">
      <w:pPr>
        <w:pStyle w:val="TOC1"/>
        <w:rPr>
          <w:rFonts w:asciiTheme="minorHAnsi" w:eastAsiaTheme="minorEastAsia" w:hAnsiTheme="minorHAnsi"/>
          <w:caps w:val="0"/>
          <w:noProof/>
          <w:sz w:val="22"/>
        </w:rPr>
      </w:pPr>
      <w:hyperlink w:anchor="_Toc437441455" w:history="1">
        <w:r w:rsidR="00933DEB" w:rsidRPr="008A2A82">
          <w:rPr>
            <w:rStyle w:val="Hyperlink"/>
            <w:noProof/>
          </w:rPr>
          <w:t>III.</w:t>
        </w:r>
        <w:r w:rsidR="00933DEB">
          <w:rPr>
            <w:rFonts w:asciiTheme="minorHAnsi" w:eastAsiaTheme="minorEastAsia" w:hAnsiTheme="minorHAnsi"/>
            <w:caps w:val="0"/>
            <w:noProof/>
            <w:sz w:val="22"/>
          </w:rPr>
          <w:tab/>
        </w:r>
        <w:r w:rsidR="00933DEB" w:rsidRPr="008A2A82">
          <w:rPr>
            <w:rStyle w:val="Hyperlink"/>
            <w:noProof/>
          </w:rPr>
          <w:t>BURDEN OF PROOF</w:t>
        </w:r>
        <w:r w:rsidR="00933DEB">
          <w:rPr>
            <w:noProof/>
            <w:webHidden/>
          </w:rPr>
          <w:tab/>
        </w:r>
        <w:r w:rsidR="00933DEB">
          <w:rPr>
            <w:noProof/>
            <w:webHidden/>
          </w:rPr>
          <w:fldChar w:fldCharType="begin"/>
        </w:r>
        <w:r w:rsidR="00933DEB">
          <w:rPr>
            <w:noProof/>
            <w:webHidden/>
          </w:rPr>
          <w:instrText xml:space="preserve"> PAGEREF _Toc437441455 \h </w:instrText>
        </w:r>
        <w:r w:rsidR="00933DEB">
          <w:rPr>
            <w:noProof/>
            <w:webHidden/>
          </w:rPr>
        </w:r>
        <w:r w:rsidR="00933DEB">
          <w:rPr>
            <w:noProof/>
            <w:webHidden/>
          </w:rPr>
          <w:fldChar w:fldCharType="separate"/>
        </w:r>
        <w:r w:rsidR="00A969CC">
          <w:rPr>
            <w:noProof/>
            <w:webHidden/>
          </w:rPr>
          <w:t>3</w:t>
        </w:r>
        <w:r w:rsidR="00933DEB">
          <w:rPr>
            <w:noProof/>
            <w:webHidden/>
          </w:rPr>
          <w:fldChar w:fldCharType="end"/>
        </w:r>
      </w:hyperlink>
    </w:p>
    <w:p w:rsidR="00933DEB" w:rsidRDefault="00112617">
      <w:pPr>
        <w:pStyle w:val="TOC1"/>
        <w:rPr>
          <w:rFonts w:asciiTheme="minorHAnsi" w:eastAsiaTheme="minorEastAsia" w:hAnsiTheme="minorHAnsi"/>
          <w:caps w:val="0"/>
          <w:noProof/>
          <w:sz w:val="22"/>
        </w:rPr>
      </w:pPr>
      <w:hyperlink w:anchor="_Toc437441456" w:history="1">
        <w:r w:rsidR="00933DEB" w:rsidRPr="008A2A82">
          <w:rPr>
            <w:rStyle w:val="Hyperlink"/>
            <w:noProof/>
          </w:rPr>
          <w:t>IV.</w:t>
        </w:r>
        <w:r w:rsidR="00933DEB">
          <w:rPr>
            <w:rFonts w:asciiTheme="minorHAnsi" w:eastAsiaTheme="minorEastAsia" w:hAnsiTheme="minorHAnsi"/>
            <w:caps w:val="0"/>
            <w:noProof/>
            <w:sz w:val="22"/>
          </w:rPr>
          <w:tab/>
        </w:r>
        <w:r w:rsidR="00933DEB" w:rsidRPr="008A2A82">
          <w:rPr>
            <w:rStyle w:val="Hyperlink"/>
            <w:noProof/>
          </w:rPr>
          <w:t>EVIDENTIARY RULINGS</w:t>
        </w:r>
        <w:r w:rsidR="00933DEB">
          <w:rPr>
            <w:noProof/>
            <w:webHidden/>
          </w:rPr>
          <w:tab/>
        </w:r>
        <w:r w:rsidR="00933DEB">
          <w:rPr>
            <w:noProof/>
            <w:webHidden/>
          </w:rPr>
          <w:fldChar w:fldCharType="begin"/>
        </w:r>
        <w:r w:rsidR="00933DEB">
          <w:rPr>
            <w:noProof/>
            <w:webHidden/>
          </w:rPr>
          <w:instrText xml:space="preserve"> PAGEREF _Toc437441456 \h </w:instrText>
        </w:r>
        <w:r w:rsidR="00933DEB">
          <w:rPr>
            <w:noProof/>
            <w:webHidden/>
          </w:rPr>
        </w:r>
        <w:r w:rsidR="00933DEB">
          <w:rPr>
            <w:noProof/>
            <w:webHidden/>
          </w:rPr>
          <w:fldChar w:fldCharType="separate"/>
        </w:r>
        <w:r w:rsidR="00A969CC">
          <w:rPr>
            <w:noProof/>
            <w:webHidden/>
          </w:rPr>
          <w:t>5</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57"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Duke Ex. Nos. 7 and 8 should be excluded from the record because they are not relevant evidence.</w:t>
        </w:r>
        <w:r w:rsidR="00933DEB">
          <w:rPr>
            <w:noProof/>
            <w:webHidden/>
          </w:rPr>
          <w:tab/>
        </w:r>
        <w:r w:rsidR="00933DEB">
          <w:rPr>
            <w:noProof/>
            <w:webHidden/>
          </w:rPr>
          <w:fldChar w:fldCharType="begin"/>
        </w:r>
        <w:r w:rsidR="00933DEB">
          <w:rPr>
            <w:noProof/>
            <w:webHidden/>
          </w:rPr>
          <w:instrText xml:space="preserve"> PAGEREF _Toc437441457 \h </w:instrText>
        </w:r>
        <w:r w:rsidR="00933DEB">
          <w:rPr>
            <w:noProof/>
            <w:webHidden/>
          </w:rPr>
        </w:r>
        <w:r w:rsidR="00933DEB">
          <w:rPr>
            <w:noProof/>
            <w:webHidden/>
          </w:rPr>
          <w:fldChar w:fldCharType="separate"/>
        </w:r>
        <w:r w:rsidR="00A969CC">
          <w:rPr>
            <w:noProof/>
            <w:webHidden/>
          </w:rPr>
          <w:t>5</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58" w:history="1">
        <w:r w:rsidR="00933DEB" w:rsidRPr="008A2A82">
          <w:rPr>
            <w:rStyle w:val="Hyperlink"/>
            <w:noProof/>
          </w:rPr>
          <w:t>B.</w:t>
        </w:r>
        <w:r w:rsidR="00933DEB">
          <w:rPr>
            <w:rFonts w:asciiTheme="minorHAnsi" w:eastAsiaTheme="minorEastAsia" w:hAnsiTheme="minorHAnsi"/>
            <w:noProof/>
            <w:sz w:val="22"/>
          </w:rPr>
          <w:tab/>
        </w:r>
        <w:r w:rsidR="00933DEB" w:rsidRPr="008A2A82">
          <w:rPr>
            <w:rStyle w:val="Hyperlink"/>
            <w:noProof/>
          </w:rPr>
          <w:t>The PUCO is indeed bound by the law.</w:t>
        </w:r>
        <w:r w:rsidR="00933DEB">
          <w:rPr>
            <w:noProof/>
            <w:webHidden/>
          </w:rPr>
          <w:tab/>
        </w:r>
        <w:r w:rsidR="00933DEB">
          <w:rPr>
            <w:noProof/>
            <w:webHidden/>
          </w:rPr>
          <w:fldChar w:fldCharType="begin"/>
        </w:r>
        <w:r w:rsidR="00933DEB">
          <w:rPr>
            <w:noProof/>
            <w:webHidden/>
          </w:rPr>
          <w:instrText xml:space="preserve"> PAGEREF _Toc437441458 \h </w:instrText>
        </w:r>
        <w:r w:rsidR="00933DEB">
          <w:rPr>
            <w:noProof/>
            <w:webHidden/>
          </w:rPr>
        </w:r>
        <w:r w:rsidR="00933DEB">
          <w:rPr>
            <w:noProof/>
            <w:webHidden/>
          </w:rPr>
          <w:fldChar w:fldCharType="separate"/>
        </w:r>
        <w:r w:rsidR="00A969CC">
          <w:rPr>
            <w:noProof/>
            <w:webHidden/>
          </w:rPr>
          <w:t>8</w:t>
        </w:r>
        <w:r w:rsidR="00933DEB">
          <w:rPr>
            <w:noProof/>
            <w:webHidden/>
          </w:rPr>
          <w:fldChar w:fldCharType="end"/>
        </w:r>
      </w:hyperlink>
    </w:p>
    <w:p w:rsidR="00933DEB" w:rsidRDefault="00112617">
      <w:pPr>
        <w:pStyle w:val="TOC1"/>
        <w:rPr>
          <w:rFonts w:asciiTheme="minorHAnsi" w:eastAsiaTheme="minorEastAsia" w:hAnsiTheme="minorHAnsi"/>
          <w:caps w:val="0"/>
          <w:noProof/>
          <w:sz w:val="22"/>
        </w:rPr>
      </w:pPr>
      <w:hyperlink w:anchor="_Toc437441459" w:history="1">
        <w:r w:rsidR="00933DEB" w:rsidRPr="008A2A82">
          <w:rPr>
            <w:rStyle w:val="Hyperlink"/>
            <w:noProof/>
          </w:rPr>
          <w:t>V.</w:t>
        </w:r>
        <w:r w:rsidR="00933DEB">
          <w:rPr>
            <w:rFonts w:asciiTheme="minorHAnsi" w:eastAsiaTheme="minorEastAsia" w:hAnsiTheme="minorHAnsi"/>
            <w:caps w:val="0"/>
            <w:noProof/>
            <w:sz w:val="22"/>
          </w:rPr>
          <w:tab/>
        </w:r>
        <w:r w:rsidR="00933DEB" w:rsidRPr="008A2A82">
          <w:rPr>
            <w:rStyle w:val="Hyperlink"/>
            <w:noProof/>
          </w:rPr>
          <w:t>ARGUMENT</w:t>
        </w:r>
        <w:r w:rsidR="00933DEB">
          <w:rPr>
            <w:noProof/>
            <w:webHidden/>
          </w:rPr>
          <w:tab/>
        </w:r>
        <w:r w:rsidR="00933DEB">
          <w:rPr>
            <w:noProof/>
            <w:webHidden/>
          </w:rPr>
          <w:fldChar w:fldCharType="begin"/>
        </w:r>
        <w:r w:rsidR="00933DEB">
          <w:rPr>
            <w:noProof/>
            <w:webHidden/>
          </w:rPr>
          <w:instrText xml:space="preserve"> PAGEREF _Toc437441459 \h </w:instrText>
        </w:r>
        <w:r w:rsidR="00933DEB">
          <w:rPr>
            <w:noProof/>
            <w:webHidden/>
          </w:rPr>
        </w:r>
        <w:r w:rsidR="00933DEB">
          <w:rPr>
            <w:noProof/>
            <w:webHidden/>
          </w:rPr>
          <w:fldChar w:fldCharType="separate"/>
        </w:r>
        <w:r w:rsidR="00A969CC">
          <w:rPr>
            <w:noProof/>
            <w:webHidden/>
          </w:rPr>
          <w:t>9</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60"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Duke did not prove that the Accelerated Service Replacement Program will be a just and reasonable program for consumers.</w:t>
        </w:r>
        <w:r w:rsidR="00933DEB">
          <w:rPr>
            <w:noProof/>
            <w:webHidden/>
          </w:rPr>
          <w:tab/>
        </w:r>
        <w:r w:rsidR="00933DEB">
          <w:rPr>
            <w:noProof/>
            <w:webHidden/>
          </w:rPr>
          <w:fldChar w:fldCharType="begin"/>
        </w:r>
        <w:r w:rsidR="00933DEB">
          <w:rPr>
            <w:noProof/>
            <w:webHidden/>
          </w:rPr>
          <w:instrText xml:space="preserve"> PAGEREF _Toc437441460 \h </w:instrText>
        </w:r>
        <w:r w:rsidR="00933DEB">
          <w:rPr>
            <w:noProof/>
            <w:webHidden/>
          </w:rPr>
        </w:r>
        <w:r w:rsidR="00933DEB">
          <w:rPr>
            <w:noProof/>
            <w:webHidden/>
          </w:rPr>
          <w:fldChar w:fldCharType="separate"/>
        </w:r>
        <w:r w:rsidR="00A969CC">
          <w:rPr>
            <w:noProof/>
            <w:webHidden/>
          </w:rPr>
          <w:t>9</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61" w:history="1">
        <w:r w:rsidR="00933DEB" w:rsidRPr="008A2A82">
          <w:rPr>
            <w:rStyle w:val="Hyperlink"/>
            <w:noProof/>
          </w:rPr>
          <w:t>1.</w:t>
        </w:r>
        <w:r w:rsidR="00933DEB">
          <w:rPr>
            <w:rFonts w:asciiTheme="minorHAnsi" w:eastAsiaTheme="minorEastAsia" w:hAnsiTheme="minorHAnsi"/>
            <w:noProof/>
            <w:sz w:val="22"/>
          </w:rPr>
          <w:tab/>
        </w:r>
        <w:r w:rsidR="00933DEB" w:rsidRPr="008A2A82">
          <w:rPr>
            <w:rStyle w:val="Hyperlink"/>
            <w:noProof/>
          </w:rPr>
          <w:t>There is no legal requirement or justification for Duke’s proposed ASRP.</w:t>
        </w:r>
        <w:r w:rsidR="00933DEB">
          <w:rPr>
            <w:noProof/>
            <w:webHidden/>
          </w:rPr>
          <w:tab/>
        </w:r>
        <w:r w:rsidR="00933DEB">
          <w:rPr>
            <w:noProof/>
            <w:webHidden/>
          </w:rPr>
          <w:fldChar w:fldCharType="begin"/>
        </w:r>
        <w:r w:rsidR="00933DEB">
          <w:rPr>
            <w:noProof/>
            <w:webHidden/>
          </w:rPr>
          <w:instrText xml:space="preserve"> PAGEREF _Toc437441461 \h </w:instrText>
        </w:r>
        <w:r w:rsidR="00933DEB">
          <w:rPr>
            <w:noProof/>
            <w:webHidden/>
          </w:rPr>
        </w:r>
        <w:r w:rsidR="00933DEB">
          <w:rPr>
            <w:noProof/>
            <w:webHidden/>
          </w:rPr>
          <w:fldChar w:fldCharType="separate"/>
        </w:r>
        <w:r w:rsidR="00A969CC">
          <w:rPr>
            <w:noProof/>
            <w:webHidden/>
          </w:rPr>
          <w:t>10</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62"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State law does not support the need or reasonableness for Duke’s proposed ASRP.</w:t>
        </w:r>
        <w:r w:rsidR="00933DEB">
          <w:rPr>
            <w:noProof/>
            <w:webHidden/>
          </w:rPr>
          <w:tab/>
        </w:r>
        <w:r w:rsidR="00933DEB">
          <w:rPr>
            <w:noProof/>
            <w:webHidden/>
          </w:rPr>
          <w:fldChar w:fldCharType="begin"/>
        </w:r>
        <w:r w:rsidR="00933DEB">
          <w:rPr>
            <w:noProof/>
            <w:webHidden/>
          </w:rPr>
          <w:instrText xml:space="preserve"> PAGEREF _Toc437441462 \h </w:instrText>
        </w:r>
        <w:r w:rsidR="00933DEB">
          <w:rPr>
            <w:noProof/>
            <w:webHidden/>
          </w:rPr>
        </w:r>
        <w:r w:rsidR="00933DEB">
          <w:rPr>
            <w:noProof/>
            <w:webHidden/>
          </w:rPr>
          <w:fldChar w:fldCharType="separate"/>
        </w:r>
        <w:r w:rsidR="00A969CC">
          <w:rPr>
            <w:noProof/>
            <w:webHidden/>
          </w:rPr>
          <w:t>10</w:t>
        </w:r>
        <w:r w:rsidR="00933DEB">
          <w:rPr>
            <w:noProof/>
            <w:webHidden/>
          </w:rPr>
          <w:fldChar w:fldCharType="end"/>
        </w:r>
      </w:hyperlink>
    </w:p>
    <w:p w:rsidR="00933DEB" w:rsidRDefault="00112617">
      <w:pPr>
        <w:pStyle w:val="TOC5"/>
        <w:tabs>
          <w:tab w:val="left" w:pos="3600"/>
        </w:tabs>
        <w:rPr>
          <w:rFonts w:asciiTheme="minorHAnsi" w:eastAsiaTheme="minorEastAsia" w:hAnsiTheme="minorHAnsi"/>
          <w:noProof/>
          <w:sz w:val="22"/>
        </w:rPr>
      </w:pPr>
      <w:hyperlink w:anchor="_Toc437441463" w:history="1">
        <w:r w:rsidR="00933DEB" w:rsidRPr="008A2A82">
          <w:rPr>
            <w:rStyle w:val="Hyperlink"/>
            <w:noProof/>
          </w:rPr>
          <w:t>i.</w:t>
        </w:r>
        <w:r w:rsidR="00933DEB">
          <w:rPr>
            <w:rFonts w:asciiTheme="minorHAnsi" w:eastAsiaTheme="minorEastAsia" w:hAnsiTheme="minorHAnsi"/>
            <w:noProof/>
            <w:sz w:val="22"/>
          </w:rPr>
          <w:tab/>
        </w:r>
        <w:r w:rsidR="00933DEB" w:rsidRPr="008A2A82">
          <w:rPr>
            <w:rStyle w:val="Hyperlink"/>
            <w:noProof/>
          </w:rPr>
          <w:t>Duke’s proposed ASRP does not satisfy R.C. 4929.02(A)(10).</w:t>
        </w:r>
        <w:r w:rsidR="00933DEB">
          <w:rPr>
            <w:noProof/>
            <w:webHidden/>
          </w:rPr>
          <w:tab/>
        </w:r>
        <w:r w:rsidR="00933DEB">
          <w:rPr>
            <w:noProof/>
            <w:webHidden/>
          </w:rPr>
          <w:fldChar w:fldCharType="begin"/>
        </w:r>
        <w:r w:rsidR="00933DEB">
          <w:rPr>
            <w:noProof/>
            <w:webHidden/>
          </w:rPr>
          <w:instrText xml:space="preserve"> PAGEREF _Toc437441463 \h </w:instrText>
        </w:r>
        <w:r w:rsidR="00933DEB">
          <w:rPr>
            <w:noProof/>
            <w:webHidden/>
          </w:rPr>
        </w:r>
        <w:r w:rsidR="00933DEB">
          <w:rPr>
            <w:noProof/>
            <w:webHidden/>
          </w:rPr>
          <w:fldChar w:fldCharType="separate"/>
        </w:r>
        <w:r w:rsidR="00A969CC">
          <w:rPr>
            <w:noProof/>
            <w:webHidden/>
          </w:rPr>
          <w:t>10</w:t>
        </w:r>
        <w:r w:rsidR="00933DEB">
          <w:rPr>
            <w:noProof/>
            <w:webHidden/>
          </w:rPr>
          <w:fldChar w:fldCharType="end"/>
        </w:r>
      </w:hyperlink>
    </w:p>
    <w:p w:rsidR="00933DEB" w:rsidRDefault="00112617">
      <w:pPr>
        <w:pStyle w:val="TOC5"/>
        <w:tabs>
          <w:tab w:val="left" w:pos="3600"/>
        </w:tabs>
        <w:rPr>
          <w:rFonts w:asciiTheme="minorHAnsi" w:eastAsiaTheme="minorEastAsia" w:hAnsiTheme="minorHAnsi"/>
          <w:noProof/>
          <w:sz w:val="22"/>
        </w:rPr>
      </w:pPr>
      <w:hyperlink w:anchor="_Toc437441464" w:history="1">
        <w:r w:rsidR="00933DEB" w:rsidRPr="008A2A82">
          <w:rPr>
            <w:rStyle w:val="Hyperlink"/>
            <w:noProof/>
          </w:rPr>
          <w:t>ii.</w:t>
        </w:r>
        <w:r w:rsidR="00933DEB">
          <w:rPr>
            <w:rFonts w:asciiTheme="minorHAnsi" w:eastAsiaTheme="minorEastAsia" w:hAnsiTheme="minorHAnsi"/>
            <w:noProof/>
            <w:sz w:val="22"/>
          </w:rPr>
          <w:tab/>
        </w:r>
        <w:r w:rsidR="00933DEB" w:rsidRPr="008A2A82">
          <w:rPr>
            <w:rStyle w:val="Hyperlink"/>
            <w:noProof/>
          </w:rPr>
          <w:t>Duke’s proposed ASRP is not obligated or encouraged by Ohio Amended Sub. House Bill 95.</w:t>
        </w:r>
        <w:r w:rsidR="00933DEB">
          <w:rPr>
            <w:noProof/>
            <w:webHidden/>
          </w:rPr>
          <w:tab/>
        </w:r>
        <w:r w:rsidR="00933DEB">
          <w:rPr>
            <w:noProof/>
            <w:webHidden/>
          </w:rPr>
          <w:fldChar w:fldCharType="begin"/>
        </w:r>
        <w:r w:rsidR="00933DEB">
          <w:rPr>
            <w:noProof/>
            <w:webHidden/>
          </w:rPr>
          <w:instrText xml:space="preserve"> PAGEREF _Toc437441464 \h </w:instrText>
        </w:r>
        <w:r w:rsidR="00933DEB">
          <w:rPr>
            <w:noProof/>
            <w:webHidden/>
          </w:rPr>
        </w:r>
        <w:r w:rsidR="00933DEB">
          <w:rPr>
            <w:noProof/>
            <w:webHidden/>
          </w:rPr>
          <w:fldChar w:fldCharType="separate"/>
        </w:r>
        <w:r w:rsidR="00A969CC">
          <w:rPr>
            <w:noProof/>
            <w:webHidden/>
          </w:rPr>
          <w:t>11</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65" w:history="1">
        <w:r w:rsidR="00933DEB" w:rsidRPr="008A2A82">
          <w:rPr>
            <w:rStyle w:val="Hyperlink"/>
            <w:noProof/>
          </w:rPr>
          <w:t>b.</w:t>
        </w:r>
        <w:r w:rsidR="00933DEB">
          <w:rPr>
            <w:rFonts w:asciiTheme="minorHAnsi" w:eastAsiaTheme="minorEastAsia" w:hAnsiTheme="minorHAnsi"/>
            <w:noProof/>
            <w:sz w:val="22"/>
          </w:rPr>
          <w:tab/>
        </w:r>
        <w:r w:rsidR="00933DEB" w:rsidRPr="008A2A82">
          <w:rPr>
            <w:rStyle w:val="Hyperlink"/>
            <w:noProof/>
          </w:rPr>
          <w:t>Federal law does not support the need or reasonableness for Duke’s proposed ASRP.</w:t>
        </w:r>
        <w:r w:rsidR="00933DEB">
          <w:rPr>
            <w:noProof/>
            <w:webHidden/>
          </w:rPr>
          <w:tab/>
        </w:r>
        <w:r w:rsidR="00933DEB">
          <w:rPr>
            <w:noProof/>
            <w:webHidden/>
          </w:rPr>
          <w:fldChar w:fldCharType="begin"/>
        </w:r>
        <w:r w:rsidR="00933DEB">
          <w:rPr>
            <w:noProof/>
            <w:webHidden/>
          </w:rPr>
          <w:instrText xml:space="preserve"> PAGEREF _Toc437441465 \h </w:instrText>
        </w:r>
        <w:r w:rsidR="00933DEB">
          <w:rPr>
            <w:noProof/>
            <w:webHidden/>
          </w:rPr>
        </w:r>
        <w:r w:rsidR="00933DEB">
          <w:rPr>
            <w:noProof/>
            <w:webHidden/>
          </w:rPr>
          <w:fldChar w:fldCharType="separate"/>
        </w:r>
        <w:r w:rsidR="00A969CC">
          <w:rPr>
            <w:noProof/>
            <w:webHidden/>
          </w:rPr>
          <w:t>12</w:t>
        </w:r>
        <w:r w:rsidR="00933DEB">
          <w:rPr>
            <w:noProof/>
            <w:webHidden/>
          </w:rPr>
          <w:fldChar w:fldCharType="end"/>
        </w:r>
      </w:hyperlink>
    </w:p>
    <w:p w:rsidR="00933DEB" w:rsidRDefault="00112617">
      <w:pPr>
        <w:pStyle w:val="TOC5"/>
        <w:tabs>
          <w:tab w:val="left" w:pos="3600"/>
        </w:tabs>
        <w:rPr>
          <w:rFonts w:asciiTheme="minorHAnsi" w:eastAsiaTheme="minorEastAsia" w:hAnsiTheme="minorHAnsi"/>
          <w:noProof/>
          <w:sz w:val="22"/>
        </w:rPr>
      </w:pPr>
      <w:hyperlink w:anchor="_Toc437441466" w:history="1">
        <w:r w:rsidR="00933DEB" w:rsidRPr="008A2A82">
          <w:rPr>
            <w:rStyle w:val="Hyperlink"/>
            <w:noProof/>
          </w:rPr>
          <w:t>i.</w:t>
        </w:r>
        <w:r w:rsidR="00933DEB">
          <w:rPr>
            <w:rFonts w:asciiTheme="minorHAnsi" w:eastAsiaTheme="minorEastAsia" w:hAnsiTheme="minorHAnsi"/>
            <w:noProof/>
            <w:sz w:val="22"/>
          </w:rPr>
          <w:tab/>
        </w:r>
        <w:r w:rsidR="00933DEB" w:rsidRPr="008A2A82">
          <w:rPr>
            <w:rStyle w:val="Hyperlink"/>
            <w:noProof/>
          </w:rPr>
          <w:t>The DIMP Regulations do not require or encourage an accelerated service line replacement program.</w:t>
        </w:r>
        <w:r w:rsidR="00933DEB">
          <w:rPr>
            <w:noProof/>
            <w:webHidden/>
          </w:rPr>
          <w:tab/>
        </w:r>
        <w:r w:rsidR="00933DEB">
          <w:rPr>
            <w:noProof/>
            <w:webHidden/>
          </w:rPr>
          <w:fldChar w:fldCharType="begin"/>
        </w:r>
        <w:r w:rsidR="00933DEB">
          <w:rPr>
            <w:noProof/>
            <w:webHidden/>
          </w:rPr>
          <w:instrText xml:space="preserve"> PAGEREF _Toc437441466 \h </w:instrText>
        </w:r>
        <w:r w:rsidR="00933DEB">
          <w:rPr>
            <w:noProof/>
            <w:webHidden/>
          </w:rPr>
        </w:r>
        <w:r w:rsidR="00933DEB">
          <w:rPr>
            <w:noProof/>
            <w:webHidden/>
          </w:rPr>
          <w:fldChar w:fldCharType="separate"/>
        </w:r>
        <w:r w:rsidR="00A969CC">
          <w:rPr>
            <w:noProof/>
            <w:webHidden/>
          </w:rPr>
          <w:t>12</w:t>
        </w:r>
        <w:r w:rsidR="00933DEB">
          <w:rPr>
            <w:noProof/>
            <w:webHidden/>
          </w:rPr>
          <w:fldChar w:fldCharType="end"/>
        </w:r>
      </w:hyperlink>
    </w:p>
    <w:p w:rsidR="00933DEB" w:rsidRDefault="00112617">
      <w:pPr>
        <w:pStyle w:val="TOC5"/>
        <w:tabs>
          <w:tab w:val="left" w:pos="3600"/>
        </w:tabs>
        <w:rPr>
          <w:rFonts w:asciiTheme="minorHAnsi" w:eastAsiaTheme="minorEastAsia" w:hAnsiTheme="minorHAnsi"/>
          <w:noProof/>
          <w:sz w:val="22"/>
        </w:rPr>
      </w:pPr>
      <w:hyperlink w:anchor="_Toc437441467" w:history="1">
        <w:r w:rsidR="00933DEB" w:rsidRPr="008A2A82">
          <w:rPr>
            <w:rStyle w:val="Hyperlink"/>
            <w:noProof/>
          </w:rPr>
          <w:t>ii.</w:t>
        </w:r>
        <w:r w:rsidR="00933DEB">
          <w:rPr>
            <w:rFonts w:asciiTheme="minorHAnsi" w:eastAsiaTheme="minorEastAsia" w:hAnsiTheme="minorHAnsi"/>
            <w:noProof/>
            <w:sz w:val="22"/>
          </w:rPr>
          <w:tab/>
        </w:r>
        <w:r w:rsidR="00933DEB" w:rsidRPr="008A2A82">
          <w:rPr>
            <w:rStyle w:val="Hyperlink"/>
            <w:noProof/>
          </w:rPr>
          <w:t>The U.S. DOT’s Letter, White Paper, and “Call to Action” are not legal binding, carry no legal precedent and do not require an accelerated service line replacement program.</w:t>
        </w:r>
        <w:r w:rsidR="00933DEB">
          <w:rPr>
            <w:noProof/>
            <w:webHidden/>
          </w:rPr>
          <w:tab/>
        </w:r>
        <w:r w:rsidR="00933DEB">
          <w:rPr>
            <w:noProof/>
            <w:webHidden/>
          </w:rPr>
          <w:fldChar w:fldCharType="begin"/>
        </w:r>
        <w:r w:rsidR="00933DEB">
          <w:rPr>
            <w:noProof/>
            <w:webHidden/>
          </w:rPr>
          <w:instrText xml:space="preserve"> PAGEREF _Toc437441467 \h </w:instrText>
        </w:r>
        <w:r w:rsidR="00933DEB">
          <w:rPr>
            <w:noProof/>
            <w:webHidden/>
          </w:rPr>
        </w:r>
        <w:r w:rsidR="00933DEB">
          <w:rPr>
            <w:noProof/>
            <w:webHidden/>
          </w:rPr>
          <w:fldChar w:fldCharType="separate"/>
        </w:r>
        <w:r w:rsidR="00A969CC">
          <w:rPr>
            <w:noProof/>
            <w:webHidden/>
          </w:rPr>
          <w:t>15</w:t>
        </w:r>
        <w:r w:rsidR="00933DEB">
          <w:rPr>
            <w:noProof/>
            <w:webHidden/>
          </w:rPr>
          <w:fldChar w:fldCharType="end"/>
        </w:r>
      </w:hyperlink>
    </w:p>
    <w:p w:rsidR="00933DEB" w:rsidRDefault="00112617">
      <w:pPr>
        <w:pStyle w:val="TOC5"/>
        <w:tabs>
          <w:tab w:val="left" w:pos="3600"/>
        </w:tabs>
        <w:rPr>
          <w:rFonts w:asciiTheme="minorHAnsi" w:eastAsiaTheme="minorEastAsia" w:hAnsiTheme="minorHAnsi"/>
          <w:noProof/>
          <w:sz w:val="22"/>
        </w:rPr>
      </w:pPr>
      <w:hyperlink w:anchor="_Toc437441468" w:history="1">
        <w:r w:rsidR="00933DEB" w:rsidRPr="008A2A82">
          <w:rPr>
            <w:rStyle w:val="Hyperlink"/>
            <w:noProof/>
          </w:rPr>
          <w:t>iii.</w:t>
        </w:r>
        <w:r w:rsidR="00933DEB">
          <w:rPr>
            <w:rFonts w:asciiTheme="minorHAnsi" w:eastAsiaTheme="minorEastAsia" w:hAnsiTheme="minorHAnsi"/>
            <w:noProof/>
            <w:sz w:val="22"/>
          </w:rPr>
          <w:tab/>
        </w:r>
        <w:r w:rsidR="00933DEB" w:rsidRPr="008A2A82">
          <w:rPr>
            <w:rStyle w:val="Hyperlink"/>
            <w:noProof/>
          </w:rPr>
          <w:t>Ohio’s current minimum gas pipeline safety leak repair standards satisfy the DIMP regulations and protect Ohio consumers.</w:t>
        </w:r>
        <w:r w:rsidR="00933DEB">
          <w:rPr>
            <w:noProof/>
            <w:webHidden/>
          </w:rPr>
          <w:tab/>
        </w:r>
        <w:r w:rsidR="00933DEB">
          <w:rPr>
            <w:noProof/>
            <w:webHidden/>
          </w:rPr>
          <w:fldChar w:fldCharType="begin"/>
        </w:r>
        <w:r w:rsidR="00933DEB">
          <w:rPr>
            <w:noProof/>
            <w:webHidden/>
          </w:rPr>
          <w:instrText xml:space="preserve"> PAGEREF _Toc437441468 \h </w:instrText>
        </w:r>
        <w:r w:rsidR="00933DEB">
          <w:rPr>
            <w:noProof/>
            <w:webHidden/>
          </w:rPr>
        </w:r>
        <w:r w:rsidR="00933DEB">
          <w:rPr>
            <w:noProof/>
            <w:webHidden/>
          </w:rPr>
          <w:fldChar w:fldCharType="separate"/>
        </w:r>
        <w:r w:rsidR="00A969CC">
          <w:rPr>
            <w:noProof/>
            <w:webHidden/>
          </w:rPr>
          <w:t>16</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69" w:history="1">
        <w:r w:rsidR="00933DEB" w:rsidRPr="008A2A82">
          <w:rPr>
            <w:rStyle w:val="Hyperlink"/>
            <w:noProof/>
          </w:rPr>
          <w:t>2.</w:t>
        </w:r>
        <w:r w:rsidR="00933DEB">
          <w:rPr>
            <w:rFonts w:asciiTheme="minorHAnsi" w:eastAsiaTheme="minorEastAsia" w:hAnsiTheme="minorHAnsi"/>
            <w:noProof/>
            <w:sz w:val="22"/>
          </w:rPr>
          <w:tab/>
        </w:r>
        <w:r w:rsidR="00933DEB" w:rsidRPr="008A2A82">
          <w:rPr>
            <w:rStyle w:val="Hyperlink"/>
            <w:noProof/>
          </w:rPr>
          <w:t>Duke’s pre-1971 metallic and non-protected service lines do not need to be replaced under an accelerated cost recovery program funded by customers.</w:t>
        </w:r>
        <w:r w:rsidR="00933DEB">
          <w:rPr>
            <w:noProof/>
            <w:webHidden/>
          </w:rPr>
          <w:tab/>
        </w:r>
        <w:r w:rsidR="00933DEB">
          <w:rPr>
            <w:noProof/>
            <w:webHidden/>
          </w:rPr>
          <w:fldChar w:fldCharType="begin"/>
        </w:r>
        <w:r w:rsidR="00933DEB">
          <w:rPr>
            <w:noProof/>
            <w:webHidden/>
          </w:rPr>
          <w:instrText xml:space="preserve"> PAGEREF _Toc437441469 \h </w:instrText>
        </w:r>
        <w:r w:rsidR="00933DEB">
          <w:rPr>
            <w:noProof/>
            <w:webHidden/>
          </w:rPr>
        </w:r>
        <w:r w:rsidR="00933DEB">
          <w:rPr>
            <w:noProof/>
            <w:webHidden/>
          </w:rPr>
          <w:fldChar w:fldCharType="separate"/>
        </w:r>
        <w:r w:rsidR="00A969CC">
          <w:rPr>
            <w:noProof/>
            <w:webHidden/>
          </w:rPr>
          <w:t>17</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0"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Service lines are generally not hazardous to consumers.</w:t>
        </w:r>
        <w:r w:rsidR="00933DEB">
          <w:rPr>
            <w:noProof/>
            <w:webHidden/>
          </w:rPr>
          <w:tab/>
        </w:r>
        <w:r w:rsidR="00933DEB">
          <w:rPr>
            <w:noProof/>
            <w:webHidden/>
          </w:rPr>
          <w:fldChar w:fldCharType="begin"/>
        </w:r>
        <w:r w:rsidR="00933DEB">
          <w:rPr>
            <w:noProof/>
            <w:webHidden/>
          </w:rPr>
          <w:instrText xml:space="preserve"> PAGEREF _Toc437441470 \h </w:instrText>
        </w:r>
        <w:r w:rsidR="00933DEB">
          <w:rPr>
            <w:noProof/>
            <w:webHidden/>
          </w:rPr>
        </w:r>
        <w:r w:rsidR="00933DEB">
          <w:rPr>
            <w:noProof/>
            <w:webHidden/>
          </w:rPr>
          <w:fldChar w:fldCharType="separate"/>
        </w:r>
        <w:r w:rsidR="00A969CC">
          <w:rPr>
            <w:noProof/>
            <w:webHidden/>
          </w:rPr>
          <w:t>18</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1" w:history="1">
        <w:r w:rsidR="00933DEB" w:rsidRPr="008A2A82">
          <w:rPr>
            <w:rStyle w:val="Hyperlink"/>
            <w:noProof/>
          </w:rPr>
          <w:t>b.</w:t>
        </w:r>
        <w:r w:rsidR="00933DEB">
          <w:rPr>
            <w:rFonts w:asciiTheme="minorHAnsi" w:eastAsiaTheme="minorEastAsia" w:hAnsiTheme="minorHAnsi"/>
            <w:noProof/>
            <w:sz w:val="22"/>
          </w:rPr>
          <w:tab/>
        </w:r>
        <w:r w:rsidR="00933DEB" w:rsidRPr="008A2A82">
          <w:rPr>
            <w:rStyle w:val="Hyperlink"/>
            <w:noProof/>
          </w:rPr>
          <w:t>Duke’s service lines do not have a high risk of leak or failure that would harm customers .</w:t>
        </w:r>
        <w:r w:rsidR="00933DEB">
          <w:rPr>
            <w:noProof/>
            <w:webHidden/>
          </w:rPr>
          <w:tab/>
        </w:r>
        <w:r w:rsidR="00933DEB">
          <w:rPr>
            <w:noProof/>
            <w:webHidden/>
          </w:rPr>
          <w:fldChar w:fldCharType="begin"/>
        </w:r>
        <w:r w:rsidR="00933DEB">
          <w:rPr>
            <w:noProof/>
            <w:webHidden/>
          </w:rPr>
          <w:instrText xml:space="preserve"> PAGEREF _Toc437441471 \h </w:instrText>
        </w:r>
        <w:r w:rsidR="00933DEB">
          <w:rPr>
            <w:noProof/>
            <w:webHidden/>
          </w:rPr>
        </w:r>
        <w:r w:rsidR="00933DEB">
          <w:rPr>
            <w:noProof/>
            <w:webHidden/>
          </w:rPr>
          <w:fldChar w:fldCharType="separate"/>
        </w:r>
        <w:r w:rsidR="00A969CC">
          <w:rPr>
            <w:noProof/>
            <w:webHidden/>
          </w:rPr>
          <w:t>20</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2" w:history="1">
        <w:r w:rsidR="00933DEB" w:rsidRPr="008A2A82">
          <w:rPr>
            <w:rStyle w:val="Hyperlink"/>
            <w:noProof/>
          </w:rPr>
          <w:t>c.</w:t>
        </w:r>
        <w:r w:rsidR="00933DEB">
          <w:rPr>
            <w:rFonts w:asciiTheme="minorHAnsi" w:eastAsiaTheme="minorEastAsia" w:hAnsiTheme="minorHAnsi"/>
            <w:noProof/>
            <w:sz w:val="22"/>
          </w:rPr>
          <w:tab/>
        </w:r>
        <w:r w:rsidR="00933DEB" w:rsidRPr="008A2A82">
          <w:rPr>
            <w:rStyle w:val="Hyperlink"/>
            <w:noProof/>
          </w:rPr>
          <w:t>Duke failed to provide sufficient or adequate data to support its claim that its service lines have a high risk of leak or failure that would harm customers.</w:t>
        </w:r>
        <w:r w:rsidR="00933DEB">
          <w:rPr>
            <w:noProof/>
            <w:webHidden/>
          </w:rPr>
          <w:tab/>
        </w:r>
        <w:r w:rsidR="00933DEB">
          <w:rPr>
            <w:noProof/>
            <w:webHidden/>
          </w:rPr>
          <w:fldChar w:fldCharType="begin"/>
        </w:r>
        <w:r w:rsidR="00933DEB">
          <w:rPr>
            <w:noProof/>
            <w:webHidden/>
          </w:rPr>
          <w:instrText xml:space="preserve"> PAGEREF _Toc437441472 \h </w:instrText>
        </w:r>
        <w:r w:rsidR="00933DEB">
          <w:rPr>
            <w:noProof/>
            <w:webHidden/>
          </w:rPr>
        </w:r>
        <w:r w:rsidR="00933DEB">
          <w:rPr>
            <w:noProof/>
            <w:webHidden/>
          </w:rPr>
          <w:fldChar w:fldCharType="separate"/>
        </w:r>
        <w:r w:rsidR="00A969CC">
          <w:rPr>
            <w:noProof/>
            <w:webHidden/>
          </w:rPr>
          <w:t>20</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3" w:history="1">
        <w:r w:rsidR="00933DEB" w:rsidRPr="008A2A82">
          <w:rPr>
            <w:rStyle w:val="Hyperlink"/>
            <w:noProof/>
          </w:rPr>
          <w:t>d.</w:t>
        </w:r>
        <w:r w:rsidR="00933DEB">
          <w:rPr>
            <w:rFonts w:asciiTheme="minorHAnsi" w:eastAsiaTheme="minorEastAsia" w:hAnsiTheme="minorHAnsi"/>
            <w:noProof/>
            <w:sz w:val="22"/>
          </w:rPr>
          <w:tab/>
        </w:r>
        <w:r w:rsidR="00933DEB" w:rsidRPr="008A2A82">
          <w:rPr>
            <w:rStyle w:val="Hyperlink"/>
            <w:noProof/>
          </w:rPr>
          <w:t>Duke did not show that its service lines have a high risk of leak or failure that would harm customers.</w:t>
        </w:r>
        <w:r w:rsidR="00933DEB">
          <w:rPr>
            <w:noProof/>
            <w:webHidden/>
          </w:rPr>
          <w:tab/>
        </w:r>
        <w:r w:rsidR="00933DEB">
          <w:rPr>
            <w:noProof/>
            <w:webHidden/>
          </w:rPr>
          <w:fldChar w:fldCharType="begin"/>
        </w:r>
        <w:r w:rsidR="00933DEB">
          <w:rPr>
            <w:noProof/>
            <w:webHidden/>
          </w:rPr>
          <w:instrText xml:space="preserve"> PAGEREF _Toc437441473 \h </w:instrText>
        </w:r>
        <w:r w:rsidR="00933DEB">
          <w:rPr>
            <w:noProof/>
            <w:webHidden/>
          </w:rPr>
        </w:r>
        <w:r w:rsidR="00933DEB">
          <w:rPr>
            <w:noProof/>
            <w:webHidden/>
          </w:rPr>
          <w:fldChar w:fldCharType="separate"/>
        </w:r>
        <w:r w:rsidR="00A969CC">
          <w:rPr>
            <w:noProof/>
            <w:webHidden/>
          </w:rPr>
          <w:t>22</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4" w:history="1">
        <w:r w:rsidR="00933DEB" w:rsidRPr="008A2A82">
          <w:rPr>
            <w:rStyle w:val="Hyperlink"/>
            <w:noProof/>
          </w:rPr>
          <w:t>e.</w:t>
        </w:r>
        <w:r w:rsidR="00933DEB">
          <w:rPr>
            <w:rFonts w:asciiTheme="minorHAnsi" w:eastAsiaTheme="minorEastAsia" w:hAnsiTheme="minorHAnsi"/>
            <w:noProof/>
            <w:sz w:val="22"/>
          </w:rPr>
          <w:tab/>
        </w:r>
        <w:r w:rsidR="00933DEB" w:rsidRPr="008A2A82">
          <w:rPr>
            <w:rStyle w:val="Hyperlink"/>
            <w:noProof/>
          </w:rPr>
          <w:t>Of the service line leaks that do occur, the likelihood that of an “incident” that would harm customers is almost non-existent.</w:t>
        </w:r>
        <w:r w:rsidR="00933DEB">
          <w:rPr>
            <w:noProof/>
            <w:webHidden/>
          </w:rPr>
          <w:tab/>
        </w:r>
        <w:r w:rsidR="00933DEB">
          <w:rPr>
            <w:noProof/>
            <w:webHidden/>
          </w:rPr>
          <w:fldChar w:fldCharType="begin"/>
        </w:r>
        <w:r w:rsidR="00933DEB">
          <w:rPr>
            <w:noProof/>
            <w:webHidden/>
          </w:rPr>
          <w:instrText xml:space="preserve"> PAGEREF _Toc437441474 \h </w:instrText>
        </w:r>
        <w:r w:rsidR="00933DEB">
          <w:rPr>
            <w:noProof/>
            <w:webHidden/>
          </w:rPr>
        </w:r>
        <w:r w:rsidR="00933DEB">
          <w:rPr>
            <w:noProof/>
            <w:webHidden/>
          </w:rPr>
          <w:fldChar w:fldCharType="separate"/>
        </w:r>
        <w:r w:rsidR="00A969CC">
          <w:rPr>
            <w:noProof/>
            <w:webHidden/>
          </w:rPr>
          <w:t>24</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5" w:history="1">
        <w:r w:rsidR="00933DEB" w:rsidRPr="008A2A82">
          <w:rPr>
            <w:rStyle w:val="Hyperlink"/>
            <w:noProof/>
          </w:rPr>
          <w:t>f.</w:t>
        </w:r>
        <w:r w:rsidR="00933DEB">
          <w:rPr>
            <w:rFonts w:asciiTheme="minorHAnsi" w:eastAsiaTheme="minorEastAsia" w:hAnsiTheme="minorHAnsi"/>
            <w:noProof/>
            <w:sz w:val="22"/>
          </w:rPr>
          <w:tab/>
        </w:r>
        <w:r w:rsidR="00933DEB" w:rsidRPr="008A2A82">
          <w:rPr>
            <w:rStyle w:val="Hyperlink"/>
            <w:noProof/>
          </w:rPr>
          <w:t>Current regulations and procedures are more than adequate to manage Duke’s service line leaks and protect consumers.</w:t>
        </w:r>
        <w:r w:rsidR="00933DEB">
          <w:rPr>
            <w:noProof/>
            <w:webHidden/>
          </w:rPr>
          <w:tab/>
        </w:r>
        <w:r w:rsidR="00933DEB">
          <w:rPr>
            <w:noProof/>
            <w:webHidden/>
          </w:rPr>
          <w:fldChar w:fldCharType="begin"/>
        </w:r>
        <w:r w:rsidR="00933DEB">
          <w:rPr>
            <w:noProof/>
            <w:webHidden/>
          </w:rPr>
          <w:instrText xml:space="preserve"> PAGEREF _Toc437441475 \h </w:instrText>
        </w:r>
        <w:r w:rsidR="00933DEB">
          <w:rPr>
            <w:noProof/>
            <w:webHidden/>
          </w:rPr>
        </w:r>
        <w:r w:rsidR="00933DEB">
          <w:rPr>
            <w:noProof/>
            <w:webHidden/>
          </w:rPr>
          <w:fldChar w:fldCharType="separate"/>
        </w:r>
        <w:r w:rsidR="00A969CC">
          <w:rPr>
            <w:noProof/>
            <w:webHidden/>
          </w:rPr>
          <w:t>27</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76" w:history="1">
        <w:r w:rsidR="00933DEB" w:rsidRPr="008A2A82">
          <w:rPr>
            <w:rStyle w:val="Hyperlink"/>
            <w:noProof/>
          </w:rPr>
          <w:t>g.</w:t>
        </w:r>
        <w:r w:rsidR="00933DEB">
          <w:rPr>
            <w:rFonts w:asciiTheme="minorHAnsi" w:eastAsiaTheme="minorEastAsia" w:hAnsiTheme="minorHAnsi"/>
            <w:noProof/>
            <w:sz w:val="22"/>
          </w:rPr>
          <w:tab/>
        </w:r>
        <w:r w:rsidR="00933DEB" w:rsidRPr="008A2A82">
          <w:rPr>
            <w:rStyle w:val="Hyperlink"/>
            <w:noProof/>
          </w:rPr>
          <w:t>Customer funding of a $320 million ASRP is not necessary because it does not address the greatest cause of leaks on Duke’s service lines.</w:t>
        </w:r>
        <w:r w:rsidR="00933DEB">
          <w:rPr>
            <w:noProof/>
            <w:webHidden/>
          </w:rPr>
          <w:tab/>
        </w:r>
        <w:r w:rsidR="00933DEB">
          <w:rPr>
            <w:noProof/>
            <w:webHidden/>
          </w:rPr>
          <w:fldChar w:fldCharType="begin"/>
        </w:r>
        <w:r w:rsidR="00933DEB">
          <w:rPr>
            <w:noProof/>
            <w:webHidden/>
          </w:rPr>
          <w:instrText xml:space="preserve"> PAGEREF _Toc437441476 \h </w:instrText>
        </w:r>
        <w:r w:rsidR="00933DEB">
          <w:rPr>
            <w:noProof/>
            <w:webHidden/>
          </w:rPr>
        </w:r>
        <w:r w:rsidR="00933DEB">
          <w:rPr>
            <w:noProof/>
            <w:webHidden/>
          </w:rPr>
          <w:fldChar w:fldCharType="separate"/>
        </w:r>
        <w:r w:rsidR="00A969CC">
          <w:rPr>
            <w:noProof/>
            <w:webHidden/>
          </w:rPr>
          <w:t>29</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77" w:history="1">
        <w:r w:rsidR="00933DEB" w:rsidRPr="008A2A82">
          <w:rPr>
            <w:rStyle w:val="Hyperlink"/>
            <w:noProof/>
          </w:rPr>
          <w:t>B.</w:t>
        </w:r>
        <w:r w:rsidR="00933DEB">
          <w:rPr>
            <w:rFonts w:asciiTheme="minorHAnsi" w:eastAsiaTheme="minorEastAsia" w:hAnsiTheme="minorHAnsi"/>
            <w:noProof/>
            <w:sz w:val="22"/>
          </w:rPr>
          <w:tab/>
        </w:r>
        <w:r w:rsidR="00933DEB" w:rsidRPr="008A2A82">
          <w:rPr>
            <w:rStyle w:val="Hyperlink"/>
            <w:noProof/>
          </w:rPr>
          <w:t>Duke failed to prove the need for and reasonableness of the ASRP by not conducting a cost benefit analysis of the $320 million ASRP, and by not quantifying any of the alleged claimed benefits for customers.</w:t>
        </w:r>
        <w:r w:rsidR="00933DEB">
          <w:rPr>
            <w:noProof/>
            <w:webHidden/>
          </w:rPr>
          <w:tab/>
        </w:r>
        <w:r w:rsidR="00933DEB">
          <w:rPr>
            <w:noProof/>
            <w:webHidden/>
          </w:rPr>
          <w:fldChar w:fldCharType="begin"/>
        </w:r>
        <w:r w:rsidR="00933DEB">
          <w:rPr>
            <w:noProof/>
            <w:webHidden/>
          </w:rPr>
          <w:instrText xml:space="preserve"> PAGEREF _Toc437441477 \h </w:instrText>
        </w:r>
        <w:r w:rsidR="00933DEB">
          <w:rPr>
            <w:noProof/>
            <w:webHidden/>
          </w:rPr>
        </w:r>
        <w:r w:rsidR="00933DEB">
          <w:rPr>
            <w:noProof/>
            <w:webHidden/>
          </w:rPr>
          <w:fldChar w:fldCharType="separate"/>
        </w:r>
        <w:r w:rsidR="00A969CC">
          <w:rPr>
            <w:noProof/>
            <w:webHidden/>
          </w:rPr>
          <w:t>31</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78" w:history="1">
        <w:r w:rsidR="00933DEB" w:rsidRPr="008A2A82">
          <w:rPr>
            <w:rStyle w:val="Hyperlink"/>
            <w:noProof/>
          </w:rPr>
          <w:t>C.</w:t>
        </w:r>
        <w:r w:rsidR="00933DEB">
          <w:rPr>
            <w:rFonts w:asciiTheme="minorHAnsi" w:eastAsiaTheme="minorEastAsia" w:hAnsiTheme="minorHAnsi"/>
            <w:noProof/>
            <w:sz w:val="22"/>
          </w:rPr>
          <w:tab/>
        </w:r>
        <w:r w:rsidR="00933DEB" w:rsidRPr="008A2A82">
          <w:rPr>
            <w:rStyle w:val="Hyperlink"/>
            <w:noProof/>
          </w:rPr>
          <w:t>The proposed ASRP will not result in just and reasonable rates for customers.</w:t>
        </w:r>
        <w:r w:rsidR="00933DEB">
          <w:rPr>
            <w:noProof/>
            <w:webHidden/>
          </w:rPr>
          <w:tab/>
        </w:r>
        <w:r w:rsidR="00933DEB">
          <w:rPr>
            <w:noProof/>
            <w:webHidden/>
          </w:rPr>
          <w:fldChar w:fldCharType="begin"/>
        </w:r>
        <w:r w:rsidR="00933DEB">
          <w:rPr>
            <w:noProof/>
            <w:webHidden/>
          </w:rPr>
          <w:instrText xml:space="preserve"> PAGEREF _Toc437441478 \h </w:instrText>
        </w:r>
        <w:r w:rsidR="00933DEB">
          <w:rPr>
            <w:noProof/>
            <w:webHidden/>
          </w:rPr>
        </w:r>
        <w:r w:rsidR="00933DEB">
          <w:rPr>
            <w:noProof/>
            <w:webHidden/>
          </w:rPr>
          <w:fldChar w:fldCharType="separate"/>
        </w:r>
        <w:r w:rsidR="00A969CC">
          <w:rPr>
            <w:noProof/>
            <w:webHidden/>
          </w:rPr>
          <w:t>36</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79" w:history="1">
        <w:r w:rsidR="00933DEB" w:rsidRPr="008A2A82">
          <w:rPr>
            <w:rStyle w:val="Hyperlink"/>
            <w:noProof/>
          </w:rPr>
          <w:t>1.</w:t>
        </w:r>
        <w:r w:rsidR="00933DEB">
          <w:rPr>
            <w:rFonts w:asciiTheme="minorHAnsi" w:eastAsiaTheme="minorEastAsia" w:hAnsiTheme="minorHAnsi"/>
            <w:noProof/>
            <w:sz w:val="22"/>
          </w:rPr>
          <w:tab/>
        </w:r>
        <w:r w:rsidR="00933DEB" w:rsidRPr="008A2A82">
          <w:rPr>
            <w:rStyle w:val="Hyperlink"/>
            <w:noProof/>
          </w:rPr>
          <w:t>The ASRP will cost all Duke customers at least $320 million dollars, and individual customers over $892 each, for the 58,000 service lines. The cost could increase significantly based on the status of the other 21,000 service lines.</w:t>
        </w:r>
        <w:r w:rsidR="00933DEB">
          <w:rPr>
            <w:noProof/>
            <w:webHidden/>
          </w:rPr>
          <w:tab/>
        </w:r>
        <w:r w:rsidR="00933DEB">
          <w:rPr>
            <w:noProof/>
            <w:webHidden/>
          </w:rPr>
          <w:fldChar w:fldCharType="begin"/>
        </w:r>
        <w:r w:rsidR="00933DEB">
          <w:rPr>
            <w:noProof/>
            <w:webHidden/>
          </w:rPr>
          <w:instrText xml:space="preserve"> PAGEREF _Toc437441479 \h </w:instrText>
        </w:r>
        <w:r w:rsidR="00933DEB">
          <w:rPr>
            <w:noProof/>
            <w:webHidden/>
          </w:rPr>
        </w:r>
        <w:r w:rsidR="00933DEB">
          <w:rPr>
            <w:noProof/>
            <w:webHidden/>
          </w:rPr>
          <w:fldChar w:fldCharType="separate"/>
        </w:r>
        <w:r w:rsidR="00A969CC">
          <w:rPr>
            <w:noProof/>
            <w:webHidden/>
          </w:rPr>
          <w:t>36</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0" w:history="1">
        <w:r w:rsidR="00933DEB" w:rsidRPr="008A2A82">
          <w:rPr>
            <w:rStyle w:val="Hyperlink"/>
            <w:noProof/>
          </w:rPr>
          <w:t>2.</w:t>
        </w:r>
        <w:r w:rsidR="00933DEB">
          <w:rPr>
            <w:rFonts w:asciiTheme="minorHAnsi" w:eastAsiaTheme="minorEastAsia" w:hAnsiTheme="minorHAnsi"/>
            <w:noProof/>
            <w:sz w:val="22"/>
          </w:rPr>
          <w:tab/>
        </w:r>
        <w:r w:rsidR="00933DEB" w:rsidRPr="008A2A82">
          <w:rPr>
            <w:rStyle w:val="Hyperlink"/>
            <w:noProof/>
          </w:rPr>
          <w:t>For Duke’s customers, natural gas bills are already 30% higher than other Ohio LDCS.</w:t>
        </w:r>
        <w:r w:rsidR="00933DEB">
          <w:rPr>
            <w:noProof/>
            <w:webHidden/>
          </w:rPr>
          <w:tab/>
        </w:r>
        <w:r w:rsidR="00933DEB">
          <w:rPr>
            <w:noProof/>
            <w:webHidden/>
          </w:rPr>
          <w:fldChar w:fldCharType="begin"/>
        </w:r>
        <w:r w:rsidR="00933DEB">
          <w:rPr>
            <w:noProof/>
            <w:webHidden/>
          </w:rPr>
          <w:instrText xml:space="preserve"> PAGEREF _Toc437441480 \h </w:instrText>
        </w:r>
        <w:r w:rsidR="00933DEB">
          <w:rPr>
            <w:noProof/>
            <w:webHidden/>
          </w:rPr>
        </w:r>
        <w:r w:rsidR="00933DEB">
          <w:rPr>
            <w:noProof/>
            <w:webHidden/>
          </w:rPr>
          <w:fldChar w:fldCharType="separate"/>
        </w:r>
        <w:r w:rsidR="00A969CC">
          <w:rPr>
            <w:noProof/>
            <w:webHidden/>
          </w:rPr>
          <w:t>37</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81" w:history="1">
        <w:r w:rsidR="00933DEB" w:rsidRPr="008A2A82">
          <w:rPr>
            <w:rStyle w:val="Hyperlink"/>
            <w:noProof/>
          </w:rPr>
          <w:t>D.</w:t>
        </w:r>
        <w:r w:rsidR="00933DEB">
          <w:rPr>
            <w:rFonts w:asciiTheme="minorHAnsi" w:eastAsiaTheme="minorEastAsia" w:hAnsiTheme="minorHAnsi"/>
            <w:noProof/>
            <w:sz w:val="22"/>
          </w:rPr>
          <w:tab/>
        </w:r>
        <w:r w:rsidR="00933DEB" w:rsidRPr="008A2A82">
          <w:rPr>
            <w:rStyle w:val="Hyperlink"/>
            <w:noProof/>
          </w:rPr>
          <w:t>Duke’s proposed ROE for Rider ASRP is not just and reasonable for consumers to fund</w:t>
        </w:r>
        <w:r w:rsidR="00933DEB">
          <w:rPr>
            <w:noProof/>
            <w:webHidden/>
          </w:rPr>
          <w:tab/>
        </w:r>
        <w:r w:rsidR="00933DEB">
          <w:rPr>
            <w:noProof/>
            <w:webHidden/>
          </w:rPr>
          <w:fldChar w:fldCharType="begin"/>
        </w:r>
        <w:r w:rsidR="00933DEB">
          <w:rPr>
            <w:noProof/>
            <w:webHidden/>
          </w:rPr>
          <w:instrText xml:space="preserve"> PAGEREF _Toc437441481 \h </w:instrText>
        </w:r>
        <w:r w:rsidR="00933DEB">
          <w:rPr>
            <w:noProof/>
            <w:webHidden/>
          </w:rPr>
        </w:r>
        <w:r w:rsidR="00933DEB">
          <w:rPr>
            <w:noProof/>
            <w:webHidden/>
          </w:rPr>
          <w:fldChar w:fldCharType="separate"/>
        </w:r>
        <w:r w:rsidR="00A969CC">
          <w:rPr>
            <w:noProof/>
            <w:webHidden/>
          </w:rPr>
          <w:t>38</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2" w:history="1">
        <w:r w:rsidR="00933DEB" w:rsidRPr="008A2A82">
          <w:rPr>
            <w:rStyle w:val="Hyperlink"/>
            <w:noProof/>
          </w:rPr>
          <w:t>1.</w:t>
        </w:r>
        <w:r w:rsidR="00933DEB">
          <w:rPr>
            <w:rFonts w:asciiTheme="minorHAnsi" w:eastAsiaTheme="minorEastAsia" w:hAnsiTheme="minorHAnsi"/>
            <w:noProof/>
            <w:sz w:val="22"/>
          </w:rPr>
          <w:tab/>
        </w:r>
        <w:r w:rsidR="00933DEB" w:rsidRPr="008A2A82">
          <w:rPr>
            <w:rStyle w:val="Hyperlink"/>
            <w:noProof/>
          </w:rPr>
          <w:t>Duke’s proposed ROE of 9.84 percent is too high because it was calculated using a forecasted interest rate.</w:t>
        </w:r>
        <w:r w:rsidR="00933DEB">
          <w:rPr>
            <w:noProof/>
            <w:webHidden/>
          </w:rPr>
          <w:tab/>
        </w:r>
        <w:r w:rsidR="00933DEB">
          <w:rPr>
            <w:noProof/>
            <w:webHidden/>
          </w:rPr>
          <w:fldChar w:fldCharType="begin"/>
        </w:r>
        <w:r w:rsidR="00933DEB">
          <w:rPr>
            <w:noProof/>
            <w:webHidden/>
          </w:rPr>
          <w:instrText xml:space="preserve"> PAGEREF _Toc437441482 \h </w:instrText>
        </w:r>
        <w:r w:rsidR="00933DEB">
          <w:rPr>
            <w:noProof/>
            <w:webHidden/>
          </w:rPr>
        </w:r>
        <w:r w:rsidR="00933DEB">
          <w:rPr>
            <w:noProof/>
            <w:webHidden/>
          </w:rPr>
          <w:fldChar w:fldCharType="separate"/>
        </w:r>
        <w:r w:rsidR="00A969CC">
          <w:rPr>
            <w:noProof/>
            <w:webHidden/>
          </w:rPr>
          <w:t>38</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3" w:history="1">
        <w:r w:rsidR="00933DEB" w:rsidRPr="008A2A82">
          <w:rPr>
            <w:rStyle w:val="Hyperlink"/>
            <w:noProof/>
          </w:rPr>
          <w:t>2.</w:t>
        </w:r>
        <w:r w:rsidR="00933DEB">
          <w:rPr>
            <w:rFonts w:asciiTheme="minorHAnsi" w:eastAsiaTheme="minorEastAsia" w:hAnsiTheme="minorHAnsi"/>
            <w:noProof/>
            <w:sz w:val="22"/>
          </w:rPr>
          <w:tab/>
        </w:r>
        <w:r w:rsidR="00933DEB" w:rsidRPr="008A2A82">
          <w:rPr>
            <w:rStyle w:val="Hyperlink"/>
            <w:noProof/>
          </w:rPr>
          <w:t>Duke’s proposed ROE of 9.84 percent is distorted because it was calculated with a high market risk premium.</w:t>
        </w:r>
        <w:r w:rsidR="00933DEB">
          <w:rPr>
            <w:noProof/>
            <w:webHidden/>
          </w:rPr>
          <w:tab/>
        </w:r>
        <w:r w:rsidR="00933DEB">
          <w:rPr>
            <w:noProof/>
            <w:webHidden/>
          </w:rPr>
          <w:fldChar w:fldCharType="begin"/>
        </w:r>
        <w:r w:rsidR="00933DEB">
          <w:rPr>
            <w:noProof/>
            <w:webHidden/>
          </w:rPr>
          <w:instrText xml:space="preserve"> PAGEREF _Toc437441483 \h </w:instrText>
        </w:r>
        <w:r w:rsidR="00933DEB">
          <w:rPr>
            <w:noProof/>
            <w:webHidden/>
          </w:rPr>
        </w:r>
        <w:r w:rsidR="00933DEB">
          <w:rPr>
            <w:noProof/>
            <w:webHidden/>
          </w:rPr>
          <w:fldChar w:fldCharType="separate"/>
        </w:r>
        <w:r w:rsidR="00A969CC">
          <w:rPr>
            <w:noProof/>
            <w:webHidden/>
          </w:rPr>
          <w:t>39</w:t>
        </w:r>
        <w:r w:rsidR="00933DEB">
          <w:rPr>
            <w:noProof/>
            <w:webHidden/>
          </w:rPr>
          <w:fldChar w:fldCharType="end"/>
        </w:r>
      </w:hyperlink>
    </w:p>
    <w:p w:rsidR="00933DEB" w:rsidRDefault="00112617">
      <w:pPr>
        <w:pStyle w:val="TOC2"/>
        <w:tabs>
          <w:tab w:val="left" w:pos="1440"/>
        </w:tabs>
        <w:rPr>
          <w:rFonts w:asciiTheme="minorHAnsi" w:eastAsiaTheme="minorEastAsia" w:hAnsiTheme="minorHAnsi"/>
          <w:noProof/>
          <w:sz w:val="22"/>
        </w:rPr>
      </w:pPr>
      <w:hyperlink w:anchor="_Toc437441484" w:history="1">
        <w:r w:rsidR="00933DEB" w:rsidRPr="008A2A82">
          <w:rPr>
            <w:rStyle w:val="Hyperlink"/>
            <w:noProof/>
          </w:rPr>
          <w:t>E.</w:t>
        </w:r>
        <w:r w:rsidR="00933DEB">
          <w:rPr>
            <w:rFonts w:asciiTheme="minorHAnsi" w:eastAsiaTheme="minorEastAsia" w:hAnsiTheme="minorHAnsi"/>
            <w:noProof/>
            <w:sz w:val="22"/>
          </w:rPr>
          <w:tab/>
        </w:r>
        <w:r w:rsidR="00933DEB" w:rsidRPr="008A2A82">
          <w:rPr>
            <w:rStyle w:val="Hyperlink"/>
            <w:noProof/>
          </w:rPr>
          <w:t>If the PUCO were to approve the ASRP over the objections of all of the Intervenors and its customers, then the PUCO should modify the program.</w:t>
        </w:r>
        <w:r w:rsidR="00933DEB">
          <w:rPr>
            <w:noProof/>
            <w:webHidden/>
          </w:rPr>
          <w:tab/>
        </w:r>
        <w:r w:rsidR="00933DEB">
          <w:rPr>
            <w:noProof/>
            <w:webHidden/>
          </w:rPr>
          <w:fldChar w:fldCharType="begin"/>
        </w:r>
        <w:r w:rsidR="00933DEB">
          <w:rPr>
            <w:noProof/>
            <w:webHidden/>
          </w:rPr>
          <w:instrText xml:space="preserve"> PAGEREF _Toc437441484 \h </w:instrText>
        </w:r>
        <w:r w:rsidR="00933DEB">
          <w:rPr>
            <w:noProof/>
            <w:webHidden/>
          </w:rPr>
        </w:r>
        <w:r w:rsidR="00933DEB">
          <w:rPr>
            <w:noProof/>
            <w:webHidden/>
          </w:rPr>
          <w:fldChar w:fldCharType="separate"/>
        </w:r>
        <w:r w:rsidR="00A969CC">
          <w:rPr>
            <w:noProof/>
            <w:webHidden/>
          </w:rPr>
          <w:t>40</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5" w:history="1">
        <w:r w:rsidR="00933DEB" w:rsidRPr="008A2A82">
          <w:rPr>
            <w:rStyle w:val="Hyperlink"/>
            <w:noProof/>
          </w:rPr>
          <w:t>1.</w:t>
        </w:r>
        <w:r w:rsidR="00933DEB">
          <w:rPr>
            <w:rFonts w:asciiTheme="minorHAnsi" w:eastAsiaTheme="minorEastAsia" w:hAnsiTheme="minorHAnsi"/>
            <w:noProof/>
            <w:sz w:val="22"/>
          </w:rPr>
          <w:tab/>
        </w:r>
        <w:r w:rsidR="00933DEB" w:rsidRPr="008A2A82">
          <w:rPr>
            <w:rStyle w:val="Hyperlink"/>
            <w:noProof/>
          </w:rPr>
          <w:t>It is premature and unnecessary to set the Return on Equity for Rider ASRP because Duke will not incur ASRP capital expenditures until 2016.</w:t>
        </w:r>
        <w:r w:rsidR="00933DEB">
          <w:rPr>
            <w:noProof/>
            <w:webHidden/>
          </w:rPr>
          <w:tab/>
        </w:r>
        <w:r w:rsidR="00933DEB">
          <w:rPr>
            <w:noProof/>
            <w:webHidden/>
          </w:rPr>
          <w:fldChar w:fldCharType="begin"/>
        </w:r>
        <w:r w:rsidR="00933DEB">
          <w:rPr>
            <w:noProof/>
            <w:webHidden/>
          </w:rPr>
          <w:instrText xml:space="preserve"> PAGEREF _Toc437441485 \h </w:instrText>
        </w:r>
        <w:r w:rsidR="00933DEB">
          <w:rPr>
            <w:noProof/>
            <w:webHidden/>
          </w:rPr>
        </w:r>
        <w:r w:rsidR="00933DEB">
          <w:rPr>
            <w:noProof/>
            <w:webHidden/>
          </w:rPr>
          <w:fldChar w:fldCharType="separate"/>
        </w:r>
        <w:r w:rsidR="00A969CC">
          <w:rPr>
            <w:noProof/>
            <w:webHidden/>
          </w:rPr>
          <w:t>40</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6" w:history="1">
        <w:r w:rsidR="00933DEB" w:rsidRPr="008A2A82">
          <w:rPr>
            <w:rStyle w:val="Hyperlink"/>
            <w:noProof/>
          </w:rPr>
          <w:t>2.</w:t>
        </w:r>
        <w:r w:rsidR="00933DEB">
          <w:rPr>
            <w:rFonts w:asciiTheme="minorHAnsi" w:eastAsiaTheme="minorEastAsia" w:hAnsiTheme="minorHAnsi"/>
            <w:noProof/>
            <w:sz w:val="22"/>
          </w:rPr>
          <w:tab/>
        </w:r>
        <w:r w:rsidR="00933DEB" w:rsidRPr="008A2A82">
          <w:rPr>
            <w:rStyle w:val="Hyperlink"/>
            <w:noProof/>
          </w:rPr>
          <w:t>It is premature and unnecessary to set the Return on Equity for Rider ASRP at this time because it will not reflect the most current financial information.</w:t>
        </w:r>
        <w:r w:rsidR="00933DEB">
          <w:rPr>
            <w:noProof/>
            <w:webHidden/>
          </w:rPr>
          <w:tab/>
        </w:r>
        <w:r w:rsidR="00933DEB">
          <w:rPr>
            <w:noProof/>
            <w:webHidden/>
          </w:rPr>
          <w:fldChar w:fldCharType="begin"/>
        </w:r>
        <w:r w:rsidR="00933DEB">
          <w:rPr>
            <w:noProof/>
            <w:webHidden/>
          </w:rPr>
          <w:instrText xml:space="preserve"> PAGEREF _Toc437441486 \h </w:instrText>
        </w:r>
        <w:r w:rsidR="00933DEB">
          <w:rPr>
            <w:noProof/>
            <w:webHidden/>
          </w:rPr>
        </w:r>
        <w:r w:rsidR="00933DEB">
          <w:rPr>
            <w:noProof/>
            <w:webHidden/>
          </w:rPr>
          <w:fldChar w:fldCharType="separate"/>
        </w:r>
        <w:r w:rsidR="00A969CC">
          <w:rPr>
            <w:noProof/>
            <w:webHidden/>
          </w:rPr>
          <w:t>41</w:t>
        </w:r>
        <w:r w:rsidR="00933DEB">
          <w:rPr>
            <w:noProof/>
            <w:webHidden/>
          </w:rPr>
          <w:fldChar w:fldCharType="end"/>
        </w:r>
      </w:hyperlink>
    </w:p>
    <w:p w:rsidR="00933DEB" w:rsidRDefault="00112617">
      <w:pPr>
        <w:pStyle w:val="TOC3"/>
        <w:tabs>
          <w:tab w:val="left" w:pos="2160"/>
        </w:tabs>
        <w:rPr>
          <w:rFonts w:asciiTheme="minorHAnsi" w:eastAsiaTheme="minorEastAsia" w:hAnsiTheme="minorHAnsi"/>
          <w:noProof/>
          <w:sz w:val="22"/>
        </w:rPr>
      </w:pPr>
      <w:hyperlink w:anchor="_Toc437441487" w:history="1">
        <w:r w:rsidR="00933DEB" w:rsidRPr="008A2A82">
          <w:rPr>
            <w:rStyle w:val="Hyperlink"/>
            <w:noProof/>
          </w:rPr>
          <w:t>3.</w:t>
        </w:r>
        <w:r w:rsidR="00933DEB">
          <w:rPr>
            <w:rFonts w:asciiTheme="minorHAnsi" w:eastAsiaTheme="minorEastAsia" w:hAnsiTheme="minorHAnsi"/>
            <w:noProof/>
            <w:sz w:val="22"/>
          </w:rPr>
          <w:tab/>
        </w:r>
        <w:r w:rsidR="00933DEB" w:rsidRPr="008A2A82">
          <w:rPr>
            <w:rStyle w:val="Hyperlink"/>
            <w:noProof/>
          </w:rPr>
          <w:t>Duke’s proposed ROE of 9.84 percent should be reduced to account for several factors.</w:t>
        </w:r>
        <w:r w:rsidR="00933DEB">
          <w:rPr>
            <w:noProof/>
            <w:webHidden/>
          </w:rPr>
          <w:tab/>
        </w:r>
        <w:r w:rsidR="00933DEB">
          <w:rPr>
            <w:noProof/>
            <w:webHidden/>
          </w:rPr>
          <w:fldChar w:fldCharType="begin"/>
        </w:r>
        <w:r w:rsidR="00933DEB">
          <w:rPr>
            <w:noProof/>
            <w:webHidden/>
          </w:rPr>
          <w:instrText xml:space="preserve"> PAGEREF _Toc437441487 \h </w:instrText>
        </w:r>
        <w:r w:rsidR="00933DEB">
          <w:rPr>
            <w:noProof/>
            <w:webHidden/>
          </w:rPr>
        </w:r>
        <w:r w:rsidR="00933DEB">
          <w:rPr>
            <w:noProof/>
            <w:webHidden/>
          </w:rPr>
          <w:fldChar w:fldCharType="separate"/>
        </w:r>
        <w:r w:rsidR="00A969CC">
          <w:rPr>
            <w:noProof/>
            <w:webHidden/>
          </w:rPr>
          <w:t>42</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88" w:history="1">
        <w:r w:rsidR="00933DEB" w:rsidRPr="008A2A82">
          <w:rPr>
            <w:rStyle w:val="Hyperlink"/>
            <w:noProof/>
          </w:rPr>
          <w:t>a.</w:t>
        </w:r>
        <w:r w:rsidR="00933DEB">
          <w:rPr>
            <w:rFonts w:asciiTheme="minorHAnsi" w:eastAsiaTheme="minorEastAsia" w:hAnsiTheme="minorHAnsi"/>
            <w:noProof/>
            <w:sz w:val="22"/>
          </w:rPr>
          <w:tab/>
        </w:r>
        <w:r w:rsidR="00933DEB" w:rsidRPr="008A2A82">
          <w:rPr>
            <w:rStyle w:val="Hyperlink"/>
            <w:noProof/>
          </w:rPr>
          <w:t>Duke’s proposed ROE of 9.84 percent should be further reduced by 25 basis points to reflect the recent changes in the U.S. credit and equity markets.</w:t>
        </w:r>
        <w:r w:rsidR="00933DEB">
          <w:rPr>
            <w:noProof/>
            <w:webHidden/>
          </w:rPr>
          <w:tab/>
        </w:r>
        <w:r w:rsidR="00933DEB">
          <w:rPr>
            <w:noProof/>
            <w:webHidden/>
          </w:rPr>
          <w:fldChar w:fldCharType="begin"/>
        </w:r>
        <w:r w:rsidR="00933DEB">
          <w:rPr>
            <w:noProof/>
            <w:webHidden/>
          </w:rPr>
          <w:instrText xml:space="preserve"> PAGEREF _Toc437441488 \h </w:instrText>
        </w:r>
        <w:r w:rsidR="00933DEB">
          <w:rPr>
            <w:noProof/>
            <w:webHidden/>
          </w:rPr>
        </w:r>
        <w:r w:rsidR="00933DEB">
          <w:rPr>
            <w:noProof/>
            <w:webHidden/>
          </w:rPr>
          <w:fldChar w:fldCharType="separate"/>
        </w:r>
        <w:r w:rsidR="00A969CC">
          <w:rPr>
            <w:noProof/>
            <w:webHidden/>
          </w:rPr>
          <w:t>43</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89" w:history="1">
        <w:r w:rsidR="00933DEB" w:rsidRPr="008A2A82">
          <w:rPr>
            <w:rStyle w:val="Hyperlink"/>
            <w:noProof/>
          </w:rPr>
          <w:t>b.</w:t>
        </w:r>
        <w:r w:rsidR="00933DEB">
          <w:rPr>
            <w:rFonts w:asciiTheme="minorHAnsi" w:eastAsiaTheme="minorEastAsia" w:hAnsiTheme="minorHAnsi"/>
            <w:noProof/>
            <w:sz w:val="22"/>
          </w:rPr>
          <w:tab/>
        </w:r>
        <w:r w:rsidR="00933DEB" w:rsidRPr="008A2A82">
          <w:rPr>
            <w:rStyle w:val="Hyperlink"/>
            <w:noProof/>
          </w:rPr>
          <w:t>Duke’s proposed ROE of 9.84 percent should be reduced by an additional 25 basis points to reflect the decrease in regulatory lag and risk associated with Rider ASRP.</w:t>
        </w:r>
        <w:r w:rsidR="00933DEB">
          <w:rPr>
            <w:noProof/>
            <w:webHidden/>
          </w:rPr>
          <w:tab/>
        </w:r>
        <w:r w:rsidR="00933DEB">
          <w:rPr>
            <w:noProof/>
            <w:webHidden/>
          </w:rPr>
          <w:fldChar w:fldCharType="begin"/>
        </w:r>
        <w:r w:rsidR="00933DEB">
          <w:rPr>
            <w:noProof/>
            <w:webHidden/>
          </w:rPr>
          <w:instrText xml:space="preserve"> PAGEREF _Toc437441489 \h </w:instrText>
        </w:r>
        <w:r w:rsidR="00933DEB">
          <w:rPr>
            <w:noProof/>
            <w:webHidden/>
          </w:rPr>
        </w:r>
        <w:r w:rsidR="00933DEB">
          <w:rPr>
            <w:noProof/>
            <w:webHidden/>
          </w:rPr>
          <w:fldChar w:fldCharType="separate"/>
        </w:r>
        <w:r w:rsidR="00A969CC">
          <w:rPr>
            <w:noProof/>
            <w:webHidden/>
          </w:rPr>
          <w:t>43</w:t>
        </w:r>
        <w:r w:rsidR="00933DEB">
          <w:rPr>
            <w:noProof/>
            <w:webHidden/>
          </w:rPr>
          <w:fldChar w:fldCharType="end"/>
        </w:r>
      </w:hyperlink>
    </w:p>
    <w:p w:rsidR="00933DEB" w:rsidRDefault="00112617">
      <w:pPr>
        <w:pStyle w:val="TOC4"/>
        <w:tabs>
          <w:tab w:val="left" w:pos="2880"/>
        </w:tabs>
        <w:rPr>
          <w:rFonts w:asciiTheme="minorHAnsi" w:eastAsiaTheme="minorEastAsia" w:hAnsiTheme="minorHAnsi"/>
          <w:noProof/>
          <w:sz w:val="22"/>
        </w:rPr>
      </w:pPr>
      <w:hyperlink w:anchor="_Toc437441490" w:history="1">
        <w:r w:rsidR="00933DEB" w:rsidRPr="008A2A82">
          <w:rPr>
            <w:rStyle w:val="Hyperlink"/>
            <w:noProof/>
          </w:rPr>
          <w:t>c.</w:t>
        </w:r>
        <w:r w:rsidR="00933DEB">
          <w:rPr>
            <w:rFonts w:asciiTheme="minorHAnsi" w:eastAsiaTheme="minorEastAsia" w:hAnsiTheme="minorHAnsi"/>
            <w:noProof/>
            <w:sz w:val="22"/>
          </w:rPr>
          <w:tab/>
        </w:r>
        <w:r w:rsidR="00933DEB" w:rsidRPr="008A2A82">
          <w:rPr>
            <w:rStyle w:val="Hyperlink"/>
            <w:noProof/>
          </w:rPr>
          <w:t>Duke’s proposed ROE of 9.84 percent should be reduced by an additional 50 basis points to provide relief to Duke’s residential customers who are currently paying the highest monthly natural gas bills in the state.</w:t>
        </w:r>
        <w:r w:rsidR="00933DEB">
          <w:rPr>
            <w:noProof/>
            <w:webHidden/>
          </w:rPr>
          <w:tab/>
        </w:r>
        <w:r w:rsidR="00933DEB">
          <w:rPr>
            <w:noProof/>
            <w:webHidden/>
          </w:rPr>
          <w:fldChar w:fldCharType="begin"/>
        </w:r>
        <w:r w:rsidR="00933DEB">
          <w:rPr>
            <w:noProof/>
            <w:webHidden/>
          </w:rPr>
          <w:instrText xml:space="preserve"> PAGEREF _Toc437441490 \h </w:instrText>
        </w:r>
        <w:r w:rsidR="00933DEB">
          <w:rPr>
            <w:noProof/>
            <w:webHidden/>
          </w:rPr>
        </w:r>
        <w:r w:rsidR="00933DEB">
          <w:rPr>
            <w:noProof/>
            <w:webHidden/>
          </w:rPr>
          <w:fldChar w:fldCharType="separate"/>
        </w:r>
        <w:r w:rsidR="00A969CC">
          <w:rPr>
            <w:noProof/>
            <w:webHidden/>
          </w:rPr>
          <w:t>44</w:t>
        </w:r>
        <w:r w:rsidR="00933DEB">
          <w:rPr>
            <w:noProof/>
            <w:webHidden/>
          </w:rPr>
          <w:fldChar w:fldCharType="end"/>
        </w:r>
      </w:hyperlink>
    </w:p>
    <w:p w:rsidR="00933DEB" w:rsidRDefault="00112617">
      <w:pPr>
        <w:pStyle w:val="TOC1"/>
        <w:rPr>
          <w:rFonts w:asciiTheme="minorHAnsi" w:eastAsiaTheme="minorEastAsia" w:hAnsiTheme="minorHAnsi"/>
          <w:caps w:val="0"/>
          <w:noProof/>
          <w:sz w:val="22"/>
        </w:rPr>
      </w:pPr>
      <w:hyperlink w:anchor="_Toc437441491" w:history="1">
        <w:r w:rsidR="00933DEB" w:rsidRPr="008A2A82">
          <w:rPr>
            <w:rStyle w:val="Hyperlink"/>
            <w:noProof/>
          </w:rPr>
          <w:t>IV.</w:t>
        </w:r>
        <w:r w:rsidR="00933DEB">
          <w:rPr>
            <w:rFonts w:asciiTheme="minorHAnsi" w:eastAsiaTheme="minorEastAsia" w:hAnsiTheme="minorHAnsi"/>
            <w:caps w:val="0"/>
            <w:noProof/>
            <w:sz w:val="22"/>
          </w:rPr>
          <w:tab/>
        </w:r>
        <w:r w:rsidR="00933DEB" w:rsidRPr="008A2A82">
          <w:rPr>
            <w:rStyle w:val="Hyperlink"/>
            <w:noProof/>
          </w:rPr>
          <w:t>CONCLUSION</w:t>
        </w:r>
        <w:r w:rsidR="00933DEB">
          <w:rPr>
            <w:noProof/>
            <w:webHidden/>
          </w:rPr>
          <w:tab/>
        </w:r>
        <w:r w:rsidR="00933DEB">
          <w:rPr>
            <w:noProof/>
            <w:webHidden/>
          </w:rPr>
          <w:fldChar w:fldCharType="begin"/>
        </w:r>
        <w:r w:rsidR="00933DEB">
          <w:rPr>
            <w:noProof/>
            <w:webHidden/>
          </w:rPr>
          <w:instrText xml:space="preserve"> PAGEREF _Toc437441491 \h </w:instrText>
        </w:r>
        <w:r w:rsidR="00933DEB">
          <w:rPr>
            <w:noProof/>
            <w:webHidden/>
          </w:rPr>
        </w:r>
        <w:r w:rsidR="00933DEB">
          <w:rPr>
            <w:noProof/>
            <w:webHidden/>
          </w:rPr>
          <w:fldChar w:fldCharType="separate"/>
        </w:r>
        <w:r w:rsidR="00A969CC">
          <w:rPr>
            <w:noProof/>
            <w:webHidden/>
          </w:rPr>
          <w:t>46</w:t>
        </w:r>
        <w:r w:rsidR="00933DEB">
          <w:rPr>
            <w:noProof/>
            <w:webHidden/>
          </w:rPr>
          <w:fldChar w:fldCharType="end"/>
        </w:r>
      </w:hyperlink>
    </w:p>
    <w:p w:rsidR="00695387" w:rsidRDefault="00A20C61" w:rsidP="00A20C61">
      <w:pPr>
        <w:jc w:val="center"/>
        <w:rPr>
          <w:rFonts w:ascii="Times New Roman" w:eastAsia="Courier New" w:hAnsi="Times New Roman" w:cs="Times New Roman"/>
          <w:b/>
          <w:bCs/>
          <w:sz w:val="24"/>
          <w:szCs w:val="24"/>
        </w:rPr>
      </w:pPr>
      <w:r>
        <w:rPr>
          <w:rFonts w:ascii="Times New Roman" w:hAnsi="Times New Roman" w:cs="Times New Roman"/>
          <w:b/>
          <w:bCs/>
          <w:sz w:val="24"/>
          <w:szCs w:val="24"/>
        </w:rPr>
        <w:fldChar w:fldCharType="end"/>
      </w:r>
    </w:p>
    <w:p w:rsidR="00331CAA" w:rsidRDefault="00331CAA" w:rsidP="00D93256">
      <w:pPr>
        <w:pStyle w:val="HTMLPreformatted"/>
        <w:jc w:val="center"/>
        <w:rPr>
          <w:rFonts w:ascii="Times New Roman" w:hAnsi="Times New Roman" w:cs="Times New Roman"/>
          <w:b/>
          <w:bCs/>
          <w:sz w:val="24"/>
          <w:szCs w:val="24"/>
        </w:rPr>
        <w:sectPr w:rsidR="00331CAA" w:rsidSect="0093493F">
          <w:headerReference w:type="default" r:id="rId15"/>
          <w:footerReference w:type="default" r:id="rId16"/>
          <w:pgSz w:w="12240" w:h="15840"/>
          <w:pgMar w:top="1440" w:right="1800" w:bottom="1440" w:left="1800" w:header="720" w:footer="720" w:gutter="0"/>
          <w:pgNumType w:fmt="lowerRoman" w:start="1"/>
          <w:cols w:space="720"/>
          <w:docGrid w:linePitch="360"/>
        </w:sectPr>
      </w:pPr>
    </w:p>
    <w:p w:rsidR="00D93256" w:rsidRPr="00FC3028" w:rsidRDefault="00D93256" w:rsidP="00D93256">
      <w:pPr>
        <w:pStyle w:val="HTMLPreformatted"/>
        <w:jc w:val="center"/>
        <w:rPr>
          <w:rFonts w:ascii="Times New Roman" w:hAnsi="Times New Roman" w:cs="Times New Roman"/>
          <w:b/>
          <w:bCs/>
          <w:sz w:val="24"/>
          <w:szCs w:val="24"/>
        </w:rPr>
      </w:pPr>
      <w:r w:rsidRPr="00FC3028">
        <w:rPr>
          <w:rFonts w:ascii="Times New Roman" w:hAnsi="Times New Roman" w:cs="Times New Roman"/>
          <w:b/>
          <w:bCs/>
          <w:sz w:val="24"/>
          <w:szCs w:val="24"/>
        </w:rPr>
        <w:t>BEFORE</w:t>
      </w:r>
    </w:p>
    <w:p w:rsidR="00D93256" w:rsidRPr="00FC3028" w:rsidRDefault="00D93256" w:rsidP="00D93256">
      <w:pPr>
        <w:pStyle w:val="HTMLPreformatted"/>
        <w:jc w:val="center"/>
        <w:rPr>
          <w:rFonts w:ascii="Times New Roman" w:hAnsi="Times New Roman" w:cs="Times New Roman"/>
          <w:sz w:val="24"/>
          <w:szCs w:val="24"/>
        </w:rPr>
      </w:pPr>
      <w:r w:rsidRPr="00FC3028">
        <w:rPr>
          <w:rFonts w:ascii="Times New Roman" w:hAnsi="Times New Roman" w:cs="Times New Roman"/>
          <w:b/>
          <w:bCs/>
          <w:sz w:val="24"/>
          <w:szCs w:val="24"/>
        </w:rPr>
        <w:t>THE PUBLIC UTILITIES COMMISSION OF OHIO</w:t>
      </w:r>
    </w:p>
    <w:p w:rsidR="00D93256" w:rsidRPr="00FC3028" w:rsidRDefault="00D93256" w:rsidP="00D93256">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9308"/>
        <w:gridCol w:w="222"/>
        <w:gridCol w:w="222"/>
      </w:tblGrid>
      <w:tr w:rsidR="00D93256" w:rsidRPr="00FC3028">
        <w:trPr>
          <w:trHeight w:val="807"/>
        </w:trPr>
        <w:tc>
          <w:tcPr>
            <w:tcW w:w="4332" w:type="dxa"/>
            <w:shd w:val="clear" w:color="auto" w:fill="auto"/>
          </w:tcPr>
          <w:tbl>
            <w:tblPr>
              <w:tblW w:w="9092" w:type="dxa"/>
              <w:tblLook w:val="01E0" w:firstRow="1" w:lastRow="1" w:firstColumn="1" w:lastColumn="1" w:noHBand="0" w:noVBand="0"/>
            </w:tblPr>
            <w:tblGrid>
              <w:gridCol w:w="4332"/>
              <w:gridCol w:w="360"/>
              <w:gridCol w:w="4400"/>
            </w:tblGrid>
            <w:tr w:rsidR="00D93256" w:rsidRPr="00FC3028">
              <w:trPr>
                <w:trHeight w:val="807"/>
              </w:trPr>
              <w:tc>
                <w:tcPr>
                  <w:tcW w:w="4332" w:type="dxa"/>
                  <w:shd w:val="clear" w:color="auto" w:fill="auto"/>
                </w:tcPr>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 xml:space="preserve">In the Matter of the Application of Duke Energy Ohio, Inc., for approval of an Alternative Rate Plan Pursuant to Section 4929.05, Revised Code, for an Accelerated Service Line Replacement Program. </w:t>
                  </w:r>
                </w:p>
              </w:tc>
              <w:tc>
                <w:tcPr>
                  <w:tcW w:w="360" w:type="dxa"/>
                  <w:shd w:val="clear" w:color="auto" w:fill="auto"/>
                </w:tcPr>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w:t>
                  </w:r>
                </w:p>
              </w:tc>
              <w:tc>
                <w:tcPr>
                  <w:tcW w:w="4400" w:type="dxa"/>
                  <w:shd w:val="clear" w:color="auto" w:fill="auto"/>
                </w:tcPr>
                <w:p w:rsidR="00D93256" w:rsidRPr="00FC3028" w:rsidRDefault="00D93256" w:rsidP="00403BEA">
                  <w:pPr>
                    <w:pStyle w:val="HTMLPreformatted"/>
                    <w:rPr>
                      <w:rFonts w:ascii="Times New Roman" w:hAnsi="Times New Roman" w:cs="Times New Roman"/>
                      <w:sz w:val="24"/>
                      <w:szCs w:val="24"/>
                    </w:rPr>
                  </w:pPr>
                </w:p>
                <w:p w:rsidR="00D93256" w:rsidRPr="00FC3028" w:rsidRDefault="00D93256" w:rsidP="00403BEA">
                  <w:pPr>
                    <w:pStyle w:val="HTMLPreformatted"/>
                    <w:rPr>
                      <w:rFonts w:ascii="Times New Roman" w:hAnsi="Times New Roman" w:cs="Times New Roman"/>
                      <w:sz w:val="24"/>
                      <w:szCs w:val="24"/>
                    </w:rPr>
                  </w:pPr>
                </w:p>
                <w:p w:rsidR="00D93256" w:rsidRPr="00FC3028" w:rsidRDefault="00D93256" w:rsidP="00403BEA">
                  <w:pPr>
                    <w:pStyle w:val="HTMLPreformatted"/>
                    <w:rPr>
                      <w:rFonts w:ascii="Times New Roman" w:hAnsi="Times New Roman" w:cs="Times New Roman"/>
                      <w:sz w:val="24"/>
                      <w:szCs w:val="24"/>
                    </w:rPr>
                  </w:pPr>
                  <w:r w:rsidRPr="00FC3028">
                    <w:rPr>
                      <w:rFonts w:ascii="Times New Roman" w:hAnsi="Times New Roman" w:cs="Times New Roman"/>
                      <w:sz w:val="24"/>
                      <w:szCs w:val="24"/>
                    </w:rPr>
                    <w:t>Case No. 14-1622-GA-ALT</w:t>
                  </w:r>
                </w:p>
                <w:p w:rsidR="00D93256" w:rsidRPr="00FC3028" w:rsidRDefault="00D93256" w:rsidP="00403BEA">
                  <w:pPr>
                    <w:pStyle w:val="HTMLPreformatted"/>
                    <w:rPr>
                      <w:rFonts w:ascii="Times New Roman" w:hAnsi="Times New Roman" w:cs="Times New Roman"/>
                      <w:sz w:val="24"/>
                      <w:szCs w:val="24"/>
                    </w:rPr>
                  </w:pPr>
                </w:p>
                <w:p w:rsidR="00D93256" w:rsidRPr="00FC3028" w:rsidRDefault="00D93256" w:rsidP="00403BEA">
                  <w:pPr>
                    <w:pStyle w:val="HTMLPreformatted"/>
                    <w:rPr>
                      <w:rFonts w:ascii="Times New Roman" w:hAnsi="Times New Roman" w:cs="Times New Roman"/>
                      <w:sz w:val="24"/>
                      <w:szCs w:val="24"/>
                    </w:rPr>
                  </w:pPr>
                </w:p>
              </w:tc>
            </w:tr>
          </w:tbl>
          <w:p w:rsidR="00D93256" w:rsidRPr="00FC3028" w:rsidRDefault="00D93256" w:rsidP="00403BEA">
            <w:pPr>
              <w:pStyle w:val="HTMLPreformatted"/>
              <w:rPr>
                <w:rFonts w:ascii="Times New Roman" w:hAnsi="Times New Roman" w:cs="Times New Roman"/>
                <w:sz w:val="24"/>
                <w:szCs w:val="24"/>
              </w:rPr>
            </w:pPr>
          </w:p>
        </w:tc>
        <w:tc>
          <w:tcPr>
            <w:tcW w:w="360" w:type="dxa"/>
            <w:shd w:val="clear" w:color="auto" w:fill="auto"/>
          </w:tcPr>
          <w:p w:rsidR="00D93256" w:rsidRPr="00FC3028" w:rsidRDefault="00D93256" w:rsidP="00403BEA">
            <w:pPr>
              <w:pStyle w:val="HTMLPreformatted"/>
              <w:rPr>
                <w:rFonts w:ascii="Times New Roman" w:hAnsi="Times New Roman" w:cs="Times New Roman"/>
                <w:sz w:val="24"/>
                <w:szCs w:val="24"/>
              </w:rPr>
            </w:pPr>
          </w:p>
        </w:tc>
        <w:tc>
          <w:tcPr>
            <w:tcW w:w="4400" w:type="dxa"/>
            <w:shd w:val="clear" w:color="auto" w:fill="auto"/>
          </w:tcPr>
          <w:p w:rsidR="00D93256" w:rsidRPr="00FC3028" w:rsidRDefault="00D93256" w:rsidP="00403BEA">
            <w:pPr>
              <w:pStyle w:val="HTMLPreformatted"/>
              <w:rPr>
                <w:rFonts w:ascii="Times New Roman" w:hAnsi="Times New Roman" w:cs="Times New Roman"/>
                <w:sz w:val="24"/>
                <w:szCs w:val="24"/>
              </w:rPr>
            </w:pPr>
          </w:p>
        </w:tc>
      </w:tr>
    </w:tbl>
    <w:p w:rsidR="00D93256" w:rsidRPr="00FC3028" w:rsidRDefault="00D93256" w:rsidP="00D93256">
      <w:pPr>
        <w:pStyle w:val="HTMLPreformatted"/>
        <w:pBdr>
          <w:bottom w:val="single" w:sz="12" w:space="4" w:color="auto"/>
        </w:pBdr>
        <w:rPr>
          <w:rFonts w:ascii="Times New Roman" w:hAnsi="Times New Roman" w:cs="Times New Roman"/>
          <w:sz w:val="24"/>
          <w:szCs w:val="24"/>
        </w:rPr>
      </w:pPr>
    </w:p>
    <w:p w:rsidR="00D93256" w:rsidRPr="00FC3028" w:rsidRDefault="00D93256" w:rsidP="00D93256">
      <w:pPr>
        <w:contextualSpacing/>
        <w:rPr>
          <w:rFonts w:ascii="Times New Roman" w:hAnsi="Times New Roman" w:cs="Times New Roman"/>
          <w:sz w:val="24"/>
          <w:szCs w:val="24"/>
        </w:rPr>
      </w:pPr>
    </w:p>
    <w:p w:rsidR="00D93256" w:rsidRPr="00FC3028" w:rsidRDefault="00651DDE" w:rsidP="00222B42">
      <w:pPr>
        <w:spacing w:line="240" w:lineRule="auto"/>
        <w:contextualSpacing/>
        <w:jc w:val="center"/>
        <w:rPr>
          <w:rFonts w:ascii="Times New Roman" w:hAnsi="Times New Roman" w:cs="Times New Roman"/>
          <w:b/>
          <w:sz w:val="24"/>
          <w:szCs w:val="24"/>
        </w:rPr>
      </w:pPr>
      <w:r w:rsidRPr="00FC3028">
        <w:rPr>
          <w:rFonts w:ascii="Times New Roman" w:hAnsi="Times New Roman" w:cs="Times New Roman"/>
          <w:b/>
          <w:sz w:val="24"/>
          <w:szCs w:val="24"/>
        </w:rPr>
        <w:t>INITIAL POST-</w:t>
      </w:r>
      <w:r w:rsidR="00D93256" w:rsidRPr="00FC3028">
        <w:rPr>
          <w:rFonts w:ascii="Times New Roman" w:hAnsi="Times New Roman" w:cs="Times New Roman"/>
          <w:b/>
          <w:sz w:val="24"/>
          <w:szCs w:val="24"/>
        </w:rPr>
        <w:t>HEARING BRIEF</w:t>
      </w:r>
    </w:p>
    <w:p w:rsidR="00D93256" w:rsidRPr="00FC3028" w:rsidRDefault="00D93256" w:rsidP="00222B42">
      <w:pPr>
        <w:spacing w:line="240" w:lineRule="auto"/>
        <w:contextualSpacing/>
        <w:jc w:val="center"/>
        <w:rPr>
          <w:rFonts w:ascii="Times New Roman" w:hAnsi="Times New Roman" w:cs="Times New Roman"/>
          <w:b/>
          <w:sz w:val="24"/>
          <w:szCs w:val="24"/>
        </w:rPr>
      </w:pPr>
      <w:r w:rsidRPr="00FC3028">
        <w:rPr>
          <w:rFonts w:ascii="Times New Roman" w:hAnsi="Times New Roman" w:cs="Times New Roman"/>
          <w:b/>
          <w:sz w:val="24"/>
          <w:szCs w:val="24"/>
        </w:rPr>
        <w:t>BY</w:t>
      </w:r>
    </w:p>
    <w:p w:rsidR="00D93256" w:rsidRPr="00FC3028" w:rsidRDefault="00D93256" w:rsidP="00222B42">
      <w:pPr>
        <w:pBdr>
          <w:bottom w:val="single" w:sz="12" w:space="1" w:color="auto"/>
        </w:pBdr>
        <w:spacing w:line="240" w:lineRule="auto"/>
        <w:contextualSpacing/>
        <w:jc w:val="center"/>
        <w:rPr>
          <w:rFonts w:ascii="Times New Roman" w:hAnsi="Times New Roman" w:cs="Times New Roman"/>
          <w:b/>
          <w:sz w:val="24"/>
          <w:szCs w:val="24"/>
        </w:rPr>
      </w:pPr>
      <w:r w:rsidRPr="00FC3028">
        <w:rPr>
          <w:rFonts w:ascii="Times New Roman" w:hAnsi="Times New Roman" w:cs="Times New Roman"/>
          <w:b/>
          <w:sz w:val="24"/>
          <w:szCs w:val="24"/>
        </w:rPr>
        <w:t>THE OFFICE OF THE OHIO CONSUMERS’ COUNSEL</w:t>
      </w:r>
    </w:p>
    <w:p w:rsidR="00D93256" w:rsidRPr="00FC3028" w:rsidRDefault="00D93256" w:rsidP="00D93256">
      <w:pPr>
        <w:pBdr>
          <w:bottom w:val="single" w:sz="12" w:space="1" w:color="auto"/>
        </w:pBdr>
        <w:spacing w:line="240" w:lineRule="auto"/>
        <w:jc w:val="center"/>
        <w:rPr>
          <w:rFonts w:ascii="Times New Roman" w:hAnsi="Times New Roman" w:cs="Times New Roman"/>
          <w:b/>
          <w:sz w:val="24"/>
          <w:szCs w:val="24"/>
        </w:rPr>
      </w:pPr>
    </w:p>
    <w:p w:rsidR="00E034DE" w:rsidRPr="00FC3028" w:rsidRDefault="00485CA3" w:rsidP="00485CA3">
      <w:pPr>
        <w:pStyle w:val="Heading1"/>
      </w:pPr>
      <w:bookmarkStart w:id="1" w:name="_Toc437441452"/>
      <w:r>
        <w:t>I.</w:t>
      </w:r>
      <w:r>
        <w:tab/>
      </w:r>
      <w:r w:rsidR="00E034DE" w:rsidRPr="00FC3028">
        <w:t>Introduction</w:t>
      </w:r>
      <w:bookmarkEnd w:id="1"/>
    </w:p>
    <w:p w:rsidR="00FC693C" w:rsidRDefault="001D5CA1" w:rsidP="001D5CA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Energy Ohio</w:t>
      </w:r>
      <w:r w:rsidR="000F6ACC">
        <w:rPr>
          <w:rFonts w:ascii="Times New Roman" w:hAnsi="Times New Roman" w:cs="Times New Roman"/>
          <w:sz w:val="24"/>
          <w:szCs w:val="24"/>
        </w:rPr>
        <w:t>, Inc</w:t>
      </w:r>
      <w:r w:rsidR="00291A70">
        <w:rPr>
          <w:rFonts w:ascii="Times New Roman" w:hAnsi="Times New Roman" w:cs="Times New Roman"/>
          <w:sz w:val="24"/>
          <w:szCs w:val="24"/>
        </w:rPr>
        <w:t>.</w:t>
      </w:r>
      <w:r w:rsidRPr="00FC3028">
        <w:rPr>
          <w:rFonts w:ascii="Times New Roman" w:hAnsi="Times New Roman" w:cs="Times New Roman"/>
          <w:sz w:val="24"/>
          <w:szCs w:val="24"/>
        </w:rPr>
        <w:t>’s (“Duke”) 400,000 natural gas customers pay the highest natural gas rates in the state</w:t>
      </w:r>
      <w:r w:rsidR="000E712F">
        <w:rPr>
          <w:rFonts w:ascii="Times New Roman" w:hAnsi="Times New Roman" w:cs="Times New Roman"/>
          <w:sz w:val="24"/>
          <w:szCs w:val="24"/>
        </w:rPr>
        <w:t>, and if Duke gets its way</w:t>
      </w:r>
      <w:r w:rsidR="00FC693C">
        <w:rPr>
          <w:rFonts w:ascii="Times New Roman" w:hAnsi="Times New Roman" w:cs="Times New Roman"/>
          <w:sz w:val="24"/>
          <w:szCs w:val="24"/>
        </w:rPr>
        <w:t>, those rates will be even high</w:t>
      </w:r>
      <w:r w:rsidR="000E712F">
        <w:rPr>
          <w:rFonts w:ascii="Times New Roman" w:hAnsi="Times New Roman" w:cs="Times New Roman"/>
          <w:sz w:val="24"/>
          <w:szCs w:val="24"/>
        </w:rPr>
        <w:t xml:space="preserve">er.  </w:t>
      </w:r>
      <w:r w:rsidR="00FC693C">
        <w:rPr>
          <w:rFonts w:ascii="Times New Roman" w:hAnsi="Times New Roman" w:cs="Times New Roman"/>
          <w:sz w:val="24"/>
          <w:szCs w:val="24"/>
        </w:rPr>
        <w:t>In this case</w:t>
      </w:r>
      <w:r w:rsidRPr="00FC3028">
        <w:rPr>
          <w:rFonts w:ascii="Times New Roman" w:hAnsi="Times New Roman" w:cs="Times New Roman"/>
          <w:sz w:val="24"/>
          <w:szCs w:val="24"/>
        </w:rPr>
        <w:t>,</w:t>
      </w:r>
      <w:r w:rsidR="009929CA" w:rsidRPr="00FC3028">
        <w:rPr>
          <w:rFonts w:ascii="Times New Roman" w:hAnsi="Times New Roman" w:cs="Times New Roman"/>
          <w:sz w:val="24"/>
          <w:szCs w:val="24"/>
        </w:rPr>
        <w:t xml:space="preserve"> </w:t>
      </w:r>
      <w:r w:rsidRPr="00FC3028">
        <w:rPr>
          <w:rFonts w:ascii="Times New Roman" w:hAnsi="Times New Roman" w:cs="Times New Roman"/>
          <w:sz w:val="24"/>
          <w:szCs w:val="24"/>
        </w:rPr>
        <w:t>Duke</w:t>
      </w:r>
      <w:r w:rsidR="004C4379" w:rsidRPr="00FC3028">
        <w:rPr>
          <w:rFonts w:ascii="Times New Roman" w:hAnsi="Times New Roman" w:cs="Times New Roman"/>
          <w:sz w:val="24"/>
          <w:szCs w:val="24"/>
        </w:rPr>
        <w:t xml:space="preserve"> has suddenly </w:t>
      </w:r>
      <w:r w:rsidR="00FC693C">
        <w:rPr>
          <w:rFonts w:ascii="Times New Roman" w:hAnsi="Times New Roman" w:cs="Times New Roman"/>
          <w:sz w:val="24"/>
          <w:szCs w:val="24"/>
        </w:rPr>
        <w:t xml:space="preserve">determined </w:t>
      </w:r>
      <w:r w:rsidR="004C4379" w:rsidRPr="00FC3028">
        <w:rPr>
          <w:rFonts w:ascii="Times New Roman" w:hAnsi="Times New Roman" w:cs="Times New Roman"/>
          <w:sz w:val="24"/>
          <w:szCs w:val="24"/>
        </w:rPr>
        <w:t xml:space="preserve">that its </w:t>
      </w:r>
      <w:r w:rsidR="00FC693C">
        <w:rPr>
          <w:rFonts w:ascii="Times New Roman" w:hAnsi="Times New Roman" w:cs="Times New Roman"/>
          <w:sz w:val="24"/>
          <w:szCs w:val="24"/>
        </w:rPr>
        <w:t>service lines</w:t>
      </w:r>
      <w:r w:rsidR="00D50BD7">
        <w:rPr>
          <w:rFonts w:ascii="Times New Roman" w:hAnsi="Times New Roman" w:cs="Times New Roman"/>
          <w:sz w:val="24"/>
          <w:szCs w:val="24"/>
        </w:rPr>
        <w:t xml:space="preserve"> </w:t>
      </w:r>
      <w:r w:rsidR="00FC693C">
        <w:rPr>
          <w:rFonts w:ascii="Times New Roman" w:hAnsi="Times New Roman" w:cs="Times New Roman"/>
          <w:sz w:val="24"/>
          <w:szCs w:val="24"/>
        </w:rPr>
        <w:t xml:space="preserve">present </w:t>
      </w:r>
      <w:r w:rsidR="00AD3EA5" w:rsidRPr="00FC3028">
        <w:rPr>
          <w:rFonts w:ascii="Times New Roman" w:hAnsi="Times New Roman" w:cs="Times New Roman"/>
          <w:sz w:val="24"/>
          <w:szCs w:val="24"/>
        </w:rPr>
        <w:t>a severe</w:t>
      </w:r>
      <w:r w:rsidR="00647D4F" w:rsidRPr="00FC3028">
        <w:rPr>
          <w:rFonts w:ascii="Times New Roman" w:hAnsi="Times New Roman" w:cs="Times New Roman"/>
          <w:sz w:val="24"/>
          <w:szCs w:val="24"/>
        </w:rPr>
        <w:t xml:space="preserve"> safety</w:t>
      </w:r>
      <w:r w:rsidR="000F6ACC">
        <w:rPr>
          <w:rFonts w:ascii="Times New Roman" w:hAnsi="Times New Roman" w:cs="Times New Roman"/>
          <w:sz w:val="24"/>
          <w:szCs w:val="24"/>
        </w:rPr>
        <w:t xml:space="preserve"> and reliability</w:t>
      </w:r>
      <w:r w:rsidR="00647D4F" w:rsidRPr="00FC3028">
        <w:rPr>
          <w:rFonts w:ascii="Times New Roman" w:hAnsi="Times New Roman" w:cs="Times New Roman"/>
          <w:sz w:val="24"/>
          <w:szCs w:val="24"/>
        </w:rPr>
        <w:t xml:space="preserve"> threat. </w:t>
      </w:r>
      <w:r w:rsidR="00B20141">
        <w:rPr>
          <w:rFonts w:ascii="Times New Roman" w:hAnsi="Times New Roman" w:cs="Times New Roman"/>
          <w:sz w:val="24"/>
          <w:szCs w:val="24"/>
        </w:rPr>
        <w:t xml:space="preserve">To solve the problem, </w:t>
      </w:r>
      <w:r w:rsidR="00647D4F" w:rsidRPr="00FC3028">
        <w:rPr>
          <w:rFonts w:ascii="Times New Roman" w:hAnsi="Times New Roman" w:cs="Times New Roman"/>
          <w:sz w:val="24"/>
          <w:szCs w:val="24"/>
        </w:rPr>
        <w:t>Duke</w:t>
      </w:r>
      <w:r w:rsidR="0075314F">
        <w:rPr>
          <w:rFonts w:ascii="Times New Roman" w:hAnsi="Times New Roman" w:cs="Times New Roman"/>
          <w:sz w:val="24"/>
          <w:szCs w:val="24"/>
        </w:rPr>
        <w:t xml:space="preserve"> has proposed an Accelerated Service Replacement Program (“ASRP”)</w:t>
      </w:r>
      <w:r w:rsidR="00D2066F">
        <w:rPr>
          <w:rFonts w:ascii="Times New Roman" w:hAnsi="Times New Roman" w:cs="Times New Roman"/>
          <w:sz w:val="24"/>
          <w:szCs w:val="24"/>
        </w:rPr>
        <w:t>.</w:t>
      </w:r>
      <w:r w:rsidR="00FC693C">
        <w:rPr>
          <w:rFonts w:ascii="Times New Roman" w:hAnsi="Times New Roman" w:cs="Times New Roman"/>
          <w:sz w:val="24"/>
          <w:szCs w:val="24"/>
        </w:rPr>
        <w:t xml:space="preserve"> Under the program</w:t>
      </w:r>
      <w:r w:rsidR="00291A70">
        <w:rPr>
          <w:rFonts w:ascii="Times New Roman" w:hAnsi="Times New Roman" w:cs="Times New Roman"/>
          <w:sz w:val="24"/>
          <w:szCs w:val="24"/>
        </w:rPr>
        <w:t>, at least</w:t>
      </w:r>
      <w:r w:rsidR="00FC693C">
        <w:rPr>
          <w:rFonts w:ascii="Times New Roman" w:hAnsi="Times New Roman" w:cs="Times New Roman"/>
          <w:sz w:val="24"/>
          <w:szCs w:val="24"/>
        </w:rPr>
        <w:t xml:space="preserve"> </w:t>
      </w:r>
      <w:r w:rsidR="000F6ACC" w:rsidRPr="00FC3028">
        <w:rPr>
          <w:rFonts w:ascii="Times New Roman" w:hAnsi="Times New Roman" w:cs="Times New Roman"/>
          <w:sz w:val="24"/>
          <w:szCs w:val="24"/>
        </w:rPr>
        <w:t>58,000 pre-1971 metallic and non-protected service lines -- pipes that have not been identified as currently leaking</w:t>
      </w:r>
      <w:r w:rsidR="000F6ACC">
        <w:rPr>
          <w:rFonts w:ascii="Times New Roman" w:hAnsi="Times New Roman" w:cs="Times New Roman"/>
          <w:sz w:val="24"/>
          <w:szCs w:val="24"/>
        </w:rPr>
        <w:t xml:space="preserve"> </w:t>
      </w:r>
      <w:r w:rsidR="003E75D4">
        <w:rPr>
          <w:rFonts w:ascii="Times New Roman" w:hAnsi="Times New Roman" w:cs="Times New Roman"/>
          <w:sz w:val="24"/>
          <w:szCs w:val="24"/>
        </w:rPr>
        <w:t>--</w:t>
      </w:r>
      <w:r w:rsidR="0075314F">
        <w:rPr>
          <w:rFonts w:ascii="Times New Roman" w:hAnsi="Times New Roman" w:cs="Times New Roman"/>
          <w:sz w:val="24"/>
          <w:szCs w:val="24"/>
        </w:rPr>
        <w:t xml:space="preserve"> </w:t>
      </w:r>
      <w:r w:rsidR="00FC693C">
        <w:rPr>
          <w:rFonts w:ascii="Times New Roman" w:hAnsi="Times New Roman" w:cs="Times New Roman"/>
          <w:sz w:val="24"/>
          <w:szCs w:val="24"/>
        </w:rPr>
        <w:t xml:space="preserve">will be replaced </w:t>
      </w:r>
      <w:r w:rsidR="000F6ACC">
        <w:rPr>
          <w:rFonts w:ascii="Times New Roman" w:hAnsi="Times New Roman" w:cs="Times New Roman"/>
          <w:sz w:val="24"/>
          <w:szCs w:val="24"/>
        </w:rPr>
        <w:t>at a cost of at least $320 million to</w:t>
      </w:r>
      <w:r w:rsidR="004E7336" w:rsidRPr="00FC3028">
        <w:rPr>
          <w:rFonts w:ascii="Times New Roman" w:hAnsi="Times New Roman" w:cs="Times New Roman"/>
          <w:sz w:val="24"/>
          <w:szCs w:val="24"/>
        </w:rPr>
        <w:t xml:space="preserve"> Ohio consum</w:t>
      </w:r>
      <w:r w:rsidR="000F6ACC">
        <w:rPr>
          <w:rFonts w:ascii="Times New Roman" w:hAnsi="Times New Roman" w:cs="Times New Roman"/>
          <w:sz w:val="24"/>
          <w:szCs w:val="24"/>
        </w:rPr>
        <w:t>ers</w:t>
      </w:r>
      <w:r w:rsidR="009929CA" w:rsidRPr="00FC3028">
        <w:rPr>
          <w:rFonts w:ascii="Times New Roman" w:hAnsi="Times New Roman" w:cs="Times New Roman"/>
          <w:sz w:val="24"/>
          <w:szCs w:val="24"/>
        </w:rPr>
        <w:t xml:space="preserve">. </w:t>
      </w:r>
    </w:p>
    <w:p w:rsidR="00910DBD" w:rsidRDefault="00754613" w:rsidP="001D5CA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However, the safety of Duke</w:t>
      </w:r>
      <w:r w:rsidR="009929CA" w:rsidRPr="00FC3028">
        <w:rPr>
          <w:rFonts w:ascii="Times New Roman" w:hAnsi="Times New Roman" w:cs="Times New Roman"/>
          <w:sz w:val="24"/>
          <w:szCs w:val="24"/>
        </w:rPr>
        <w:t>’s</w:t>
      </w:r>
      <w:r w:rsidR="000F6ACC">
        <w:rPr>
          <w:rFonts w:ascii="Times New Roman" w:hAnsi="Times New Roman" w:cs="Times New Roman"/>
          <w:sz w:val="24"/>
          <w:szCs w:val="24"/>
        </w:rPr>
        <w:t xml:space="preserve"> distribution service lines</w:t>
      </w:r>
      <w:r w:rsidR="00BD7FEF" w:rsidRPr="00FC3028">
        <w:rPr>
          <w:rFonts w:ascii="Times New Roman" w:hAnsi="Times New Roman" w:cs="Times New Roman"/>
          <w:sz w:val="24"/>
          <w:szCs w:val="24"/>
        </w:rPr>
        <w:t xml:space="preserve"> is not at risk</w:t>
      </w:r>
      <w:r w:rsidR="00FC693C">
        <w:rPr>
          <w:rFonts w:ascii="Times New Roman" w:hAnsi="Times New Roman" w:cs="Times New Roman"/>
          <w:sz w:val="24"/>
          <w:szCs w:val="24"/>
        </w:rPr>
        <w:t xml:space="preserve">. And, as recognized by </w:t>
      </w:r>
      <w:r w:rsidR="00274B73">
        <w:rPr>
          <w:rFonts w:ascii="Times New Roman" w:hAnsi="Times New Roman" w:cs="Times New Roman"/>
          <w:sz w:val="24"/>
          <w:szCs w:val="24"/>
        </w:rPr>
        <w:t xml:space="preserve">PUCO </w:t>
      </w:r>
      <w:r w:rsidR="00FC693C">
        <w:rPr>
          <w:rFonts w:ascii="Times New Roman" w:hAnsi="Times New Roman" w:cs="Times New Roman"/>
          <w:sz w:val="24"/>
          <w:szCs w:val="24"/>
        </w:rPr>
        <w:t>Staff</w:t>
      </w:r>
      <w:r w:rsidR="00274B73">
        <w:rPr>
          <w:rFonts w:ascii="Times New Roman" w:hAnsi="Times New Roman" w:cs="Times New Roman"/>
          <w:sz w:val="24"/>
          <w:szCs w:val="24"/>
        </w:rPr>
        <w:t xml:space="preserve"> (“Staff”)</w:t>
      </w:r>
      <w:r w:rsidR="00FC693C">
        <w:rPr>
          <w:rFonts w:ascii="Times New Roman" w:hAnsi="Times New Roman" w:cs="Times New Roman"/>
          <w:sz w:val="24"/>
          <w:szCs w:val="24"/>
        </w:rPr>
        <w:t xml:space="preserve"> witness Adkins,</w:t>
      </w:r>
      <w:r w:rsidR="00B20141">
        <w:rPr>
          <w:rFonts w:ascii="Times New Roman" w:hAnsi="Times New Roman" w:cs="Times New Roman"/>
          <w:sz w:val="24"/>
          <w:szCs w:val="24"/>
        </w:rPr>
        <w:t xml:space="preserve"> </w:t>
      </w:r>
      <w:r w:rsidR="00C1413C" w:rsidRPr="00FC3028">
        <w:rPr>
          <w:rFonts w:ascii="Times New Roman" w:hAnsi="Times New Roman" w:cs="Times New Roman"/>
          <w:sz w:val="24"/>
          <w:szCs w:val="24"/>
        </w:rPr>
        <w:t>the</w:t>
      </w:r>
      <w:r w:rsidR="008C7D01" w:rsidRPr="00FC3028">
        <w:rPr>
          <w:rFonts w:ascii="Times New Roman" w:hAnsi="Times New Roman" w:cs="Times New Roman"/>
          <w:sz w:val="24"/>
          <w:szCs w:val="24"/>
        </w:rPr>
        <w:t xml:space="preserve"> $320 million</w:t>
      </w:r>
      <w:r w:rsidR="00C1413C" w:rsidRPr="00FC3028">
        <w:rPr>
          <w:rFonts w:ascii="Times New Roman" w:hAnsi="Times New Roman" w:cs="Times New Roman"/>
          <w:sz w:val="24"/>
          <w:szCs w:val="24"/>
        </w:rPr>
        <w:t xml:space="preserve"> </w:t>
      </w:r>
      <w:r w:rsidR="00B20141">
        <w:rPr>
          <w:rFonts w:ascii="Times New Roman" w:hAnsi="Times New Roman" w:cs="Times New Roman"/>
          <w:sz w:val="24"/>
          <w:szCs w:val="24"/>
        </w:rPr>
        <w:t>cost</w:t>
      </w:r>
      <w:r w:rsidR="00C1413C" w:rsidRPr="00FC3028">
        <w:rPr>
          <w:rFonts w:ascii="Times New Roman" w:hAnsi="Times New Roman" w:cs="Times New Roman"/>
          <w:sz w:val="24"/>
          <w:szCs w:val="24"/>
        </w:rPr>
        <w:t xml:space="preserve"> </w:t>
      </w:r>
      <w:r w:rsidR="008C7D01" w:rsidRPr="00FC3028">
        <w:rPr>
          <w:rFonts w:ascii="Times New Roman" w:hAnsi="Times New Roman" w:cs="Times New Roman"/>
          <w:sz w:val="24"/>
          <w:szCs w:val="24"/>
        </w:rPr>
        <w:t>to</w:t>
      </w:r>
      <w:r w:rsidR="00CB385D" w:rsidRPr="00FC3028">
        <w:rPr>
          <w:rFonts w:ascii="Times New Roman" w:hAnsi="Times New Roman" w:cs="Times New Roman"/>
          <w:sz w:val="24"/>
          <w:szCs w:val="24"/>
        </w:rPr>
        <w:t xml:space="preserve"> upgrade Duke’s system </w:t>
      </w:r>
      <w:r w:rsidR="008C7D01" w:rsidRPr="00FC3028">
        <w:rPr>
          <w:rFonts w:ascii="Times New Roman" w:hAnsi="Times New Roman" w:cs="Times New Roman"/>
          <w:sz w:val="24"/>
          <w:szCs w:val="24"/>
        </w:rPr>
        <w:t xml:space="preserve">is </w:t>
      </w:r>
      <w:r w:rsidR="00BD7FEF" w:rsidRPr="00FC3028">
        <w:rPr>
          <w:rFonts w:ascii="Times New Roman" w:hAnsi="Times New Roman" w:cs="Times New Roman"/>
          <w:sz w:val="24"/>
          <w:szCs w:val="24"/>
        </w:rPr>
        <w:t>too</w:t>
      </w:r>
      <w:r w:rsidR="00CB385D" w:rsidRPr="00FC3028">
        <w:rPr>
          <w:rFonts w:ascii="Times New Roman" w:hAnsi="Times New Roman" w:cs="Times New Roman"/>
          <w:sz w:val="24"/>
          <w:szCs w:val="24"/>
        </w:rPr>
        <w:t xml:space="preserve"> high</w:t>
      </w:r>
      <w:r w:rsidR="00BD7FEF" w:rsidRPr="00FC3028">
        <w:rPr>
          <w:rFonts w:ascii="Times New Roman" w:hAnsi="Times New Roman" w:cs="Times New Roman"/>
          <w:sz w:val="24"/>
          <w:szCs w:val="24"/>
        </w:rPr>
        <w:t xml:space="preserve"> </w:t>
      </w:r>
      <w:r w:rsidR="00C1413C" w:rsidRPr="00FC3028">
        <w:rPr>
          <w:rFonts w:ascii="Times New Roman" w:hAnsi="Times New Roman" w:cs="Times New Roman"/>
          <w:sz w:val="24"/>
          <w:szCs w:val="24"/>
        </w:rPr>
        <w:t>for the</w:t>
      </w:r>
      <w:r w:rsidR="00CB385D" w:rsidRPr="00FC3028">
        <w:rPr>
          <w:rFonts w:ascii="Times New Roman" w:hAnsi="Times New Roman" w:cs="Times New Roman"/>
          <w:sz w:val="24"/>
          <w:szCs w:val="24"/>
        </w:rPr>
        <w:t xml:space="preserve"> very</w:t>
      </w:r>
      <w:r w:rsidR="00C1413C" w:rsidRPr="00FC3028">
        <w:rPr>
          <w:rFonts w:ascii="Times New Roman" w:hAnsi="Times New Roman" w:cs="Times New Roman"/>
          <w:sz w:val="24"/>
          <w:szCs w:val="24"/>
        </w:rPr>
        <w:t xml:space="preserve"> minimal benefits that </w:t>
      </w:r>
      <w:r w:rsidR="008C7D01" w:rsidRPr="00FC3028">
        <w:rPr>
          <w:rFonts w:ascii="Times New Roman" w:hAnsi="Times New Roman" w:cs="Times New Roman"/>
          <w:sz w:val="24"/>
          <w:szCs w:val="24"/>
        </w:rPr>
        <w:t>Ohioans</w:t>
      </w:r>
      <w:r w:rsidR="00C1413C" w:rsidRPr="00FC3028">
        <w:rPr>
          <w:rFonts w:ascii="Times New Roman" w:hAnsi="Times New Roman" w:cs="Times New Roman"/>
          <w:sz w:val="24"/>
          <w:szCs w:val="24"/>
        </w:rPr>
        <w:t xml:space="preserve"> will receive</w:t>
      </w:r>
      <w:r w:rsidR="00FC693C">
        <w:rPr>
          <w:rFonts w:ascii="Times New Roman" w:hAnsi="Times New Roman" w:cs="Times New Roman"/>
          <w:sz w:val="24"/>
          <w:szCs w:val="24"/>
        </w:rPr>
        <w:t>:</w:t>
      </w:r>
      <w:r w:rsidR="0075314F">
        <w:rPr>
          <w:rFonts w:ascii="Times New Roman" w:hAnsi="Times New Roman" w:cs="Times New Roman"/>
          <w:sz w:val="24"/>
          <w:szCs w:val="24"/>
        </w:rPr>
        <w:t xml:space="preserve"> </w:t>
      </w:r>
    </w:p>
    <w:p w:rsidR="00910DBD" w:rsidRDefault="00B20141" w:rsidP="00485CA3">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Again, </w:t>
      </w:r>
      <w:r w:rsidR="0075314F">
        <w:rPr>
          <w:rFonts w:ascii="Times New Roman" w:hAnsi="Times New Roman" w:cs="Times New Roman"/>
          <w:sz w:val="24"/>
          <w:szCs w:val="24"/>
        </w:rPr>
        <w:t>if measures to improve Duke’s overall system safety can be thought of as adding measureable increments of safety, then, in Staff’s opinion, Duke’s proposed ASRP</w:t>
      </w:r>
      <w:r w:rsidR="00910DBD">
        <w:rPr>
          <w:rFonts w:ascii="Times New Roman" w:hAnsi="Times New Roman" w:cs="Times New Roman"/>
          <w:sz w:val="24"/>
          <w:szCs w:val="24"/>
        </w:rPr>
        <w:t xml:space="preserve"> will not move the safety needle very much. Moreover, the marginal safety gain as a result of the ASRP should also be considered in light of its $320 million over ten years price tag. In Staff’s opinion, the ASRP’s purported benefits do not outweigh the costs.</w:t>
      </w:r>
      <w:r w:rsidR="00910DBD">
        <w:rPr>
          <w:rStyle w:val="FootnoteReference"/>
          <w:rFonts w:ascii="Times New Roman" w:hAnsi="Times New Roman" w:cs="Times New Roman"/>
          <w:sz w:val="24"/>
          <w:szCs w:val="24"/>
        </w:rPr>
        <w:footnoteReference w:id="1"/>
      </w:r>
    </w:p>
    <w:p w:rsidR="00910DBD" w:rsidRDefault="00910DBD" w:rsidP="00910DBD">
      <w:pPr>
        <w:spacing w:after="0" w:line="240" w:lineRule="auto"/>
        <w:ind w:right="720"/>
        <w:rPr>
          <w:rFonts w:ascii="Times New Roman" w:hAnsi="Times New Roman" w:cs="Times New Roman"/>
          <w:sz w:val="24"/>
          <w:szCs w:val="24"/>
        </w:rPr>
      </w:pPr>
    </w:p>
    <w:p w:rsidR="00EB4874" w:rsidRPr="00FC3028" w:rsidRDefault="00135F2E" w:rsidP="002505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0298" w:rsidRPr="00FC3028">
        <w:rPr>
          <w:rFonts w:ascii="Times New Roman" w:hAnsi="Times New Roman" w:cs="Times New Roman"/>
          <w:sz w:val="24"/>
          <w:szCs w:val="24"/>
        </w:rPr>
        <w:t>This case is not about the safety and reliability of Dukes natural gas distribution system. This case is not about any imminent saf</w:t>
      </w:r>
      <w:r w:rsidR="008C7D01" w:rsidRPr="00FC3028">
        <w:rPr>
          <w:rFonts w:ascii="Times New Roman" w:hAnsi="Times New Roman" w:cs="Times New Roman"/>
          <w:sz w:val="24"/>
          <w:szCs w:val="24"/>
        </w:rPr>
        <w:t>ety threat to customers. Rather, this case</w:t>
      </w:r>
      <w:r w:rsidR="000B0298" w:rsidRPr="00FC3028">
        <w:rPr>
          <w:rFonts w:ascii="Times New Roman" w:hAnsi="Times New Roman" w:cs="Times New Roman"/>
          <w:sz w:val="24"/>
          <w:szCs w:val="24"/>
        </w:rPr>
        <w:t xml:space="preserve"> is about Duke</w:t>
      </w:r>
      <w:r w:rsidR="00113663">
        <w:rPr>
          <w:rFonts w:ascii="Times New Roman" w:hAnsi="Times New Roman" w:cs="Times New Roman"/>
          <w:sz w:val="24"/>
          <w:szCs w:val="24"/>
        </w:rPr>
        <w:t xml:space="preserve"> through unnecessary capital expenditures</w:t>
      </w:r>
      <w:r w:rsidR="000B0298" w:rsidRPr="00FC3028">
        <w:rPr>
          <w:rFonts w:ascii="Times New Roman" w:hAnsi="Times New Roman" w:cs="Times New Roman"/>
          <w:sz w:val="24"/>
          <w:szCs w:val="24"/>
        </w:rPr>
        <w:t xml:space="preserve"> </w:t>
      </w:r>
      <w:r>
        <w:rPr>
          <w:rFonts w:ascii="Times New Roman" w:hAnsi="Times New Roman" w:cs="Times New Roman"/>
          <w:sz w:val="24"/>
          <w:szCs w:val="24"/>
        </w:rPr>
        <w:t xml:space="preserve">seeking customer funding of </w:t>
      </w:r>
      <w:r w:rsidR="00113663">
        <w:rPr>
          <w:rFonts w:ascii="Times New Roman" w:hAnsi="Times New Roman" w:cs="Times New Roman"/>
          <w:sz w:val="24"/>
          <w:szCs w:val="24"/>
        </w:rPr>
        <w:t xml:space="preserve">additional </w:t>
      </w:r>
      <w:r w:rsidR="00F5688A" w:rsidRPr="00FC3028">
        <w:rPr>
          <w:rFonts w:ascii="Times New Roman" w:hAnsi="Times New Roman" w:cs="Times New Roman"/>
          <w:sz w:val="24"/>
          <w:szCs w:val="24"/>
        </w:rPr>
        <w:t xml:space="preserve">profits for shareholders. </w:t>
      </w:r>
      <w:r w:rsidR="00FC693C">
        <w:rPr>
          <w:rFonts w:ascii="Times New Roman" w:hAnsi="Times New Roman" w:cs="Times New Roman"/>
          <w:sz w:val="24"/>
          <w:szCs w:val="24"/>
        </w:rPr>
        <w:t>Duke’s ASRP is a bad deal for consumers that will have the corollary</w:t>
      </w:r>
      <w:r w:rsidR="00FC693C" w:rsidRPr="00FC3028">
        <w:rPr>
          <w:rFonts w:ascii="Times New Roman" w:hAnsi="Times New Roman" w:cs="Times New Roman"/>
          <w:sz w:val="24"/>
          <w:szCs w:val="24"/>
        </w:rPr>
        <w:t xml:space="preserve"> effect of unnecessarily enriching the shareholders of Duke’s parent, Duke Energy</w:t>
      </w:r>
      <w:r w:rsidR="00FC693C">
        <w:rPr>
          <w:rFonts w:ascii="Times New Roman" w:hAnsi="Times New Roman" w:cs="Times New Roman"/>
          <w:sz w:val="24"/>
          <w:szCs w:val="24"/>
        </w:rPr>
        <w:t>,</w:t>
      </w:r>
      <w:r w:rsidR="00FC693C" w:rsidRPr="00FC3028">
        <w:rPr>
          <w:rFonts w:ascii="Times New Roman" w:hAnsi="Times New Roman" w:cs="Times New Roman"/>
          <w:sz w:val="24"/>
          <w:szCs w:val="24"/>
        </w:rPr>
        <w:t xml:space="preserve"> Inc.</w:t>
      </w:r>
      <w:r w:rsidR="00FC693C">
        <w:rPr>
          <w:rFonts w:ascii="Times New Roman" w:hAnsi="Times New Roman" w:cs="Times New Roman"/>
          <w:sz w:val="24"/>
          <w:szCs w:val="24"/>
        </w:rPr>
        <w:t xml:space="preserve">  The</w:t>
      </w:r>
      <w:r w:rsidR="00AF2FF1">
        <w:rPr>
          <w:rFonts w:ascii="Times New Roman" w:hAnsi="Times New Roman" w:cs="Times New Roman"/>
          <w:sz w:val="24"/>
          <w:szCs w:val="24"/>
        </w:rPr>
        <w:t xml:space="preserve"> Public Utilities Commission of Ohio</w:t>
      </w:r>
      <w:r w:rsidR="00FC693C">
        <w:rPr>
          <w:rFonts w:ascii="Times New Roman" w:hAnsi="Times New Roman" w:cs="Times New Roman"/>
          <w:sz w:val="24"/>
          <w:szCs w:val="24"/>
        </w:rPr>
        <w:t xml:space="preserve"> </w:t>
      </w:r>
      <w:r w:rsidR="00AF2FF1">
        <w:rPr>
          <w:rFonts w:ascii="Times New Roman" w:hAnsi="Times New Roman" w:cs="Times New Roman"/>
          <w:sz w:val="24"/>
          <w:szCs w:val="24"/>
        </w:rPr>
        <w:t>(“</w:t>
      </w:r>
      <w:r w:rsidR="00FC693C">
        <w:rPr>
          <w:rFonts w:ascii="Times New Roman" w:hAnsi="Times New Roman" w:cs="Times New Roman"/>
          <w:sz w:val="24"/>
          <w:szCs w:val="24"/>
        </w:rPr>
        <w:t>PUCO</w:t>
      </w:r>
      <w:r w:rsidR="00AF2FF1">
        <w:rPr>
          <w:rFonts w:ascii="Times New Roman" w:hAnsi="Times New Roman" w:cs="Times New Roman"/>
          <w:sz w:val="24"/>
          <w:szCs w:val="24"/>
        </w:rPr>
        <w:t>” or “Commission”)</w:t>
      </w:r>
      <w:r w:rsidR="00FC693C">
        <w:rPr>
          <w:rFonts w:ascii="Times New Roman" w:hAnsi="Times New Roman" w:cs="Times New Roman"/>
          <w:sz w:val="24"/>
          <w:szCs w:val="24"/>
        </w:rPr>
        <w:t xml:space="preserve"> s</w:t>
      </w:r>
      <w:r w:rsidR="00AF19B4">
        <w:rPr>
          <w:rFonts w:ascii="Times New Roman" w:hAnsi="Times New Roman" w:cs="Times New Roman"/>
          <w:sz w:val="24"/>
          <w:szCs w:val="24"/>
        </w:rPr>
        <w:t>hould deny Duke's application.</w:t>
      </w:r>
    </w:p>
    <w:p w:rsidR="00E034DE" w:rsidRPr="00FC3028" w:rsidRDefault="00485CA3" w:rsidP="00485CA3">
      <w:pPr>
        <w:pStyle w:val="Heading1"/>
      </w:pPr>
      <w:bookmarkStart w:id="2" w:name="_Toc437441453"/>
      <w:r>
        <w:t>II.</w:t>
      </w:r>
      <w:r>
        <w:tab/>
      </w:r>
      <w:r w:rsidR="00E034DE" w:rsidRPr="00FC3028">
        <w:t>B</w:t>
      </w:r>
      <w:r w:rsidR="00637EFB" w:rsidRPr="00FC3028">
        <w:t>ACKGROUND</w:t>
      </w:r>
      <w:bookmarkEnd w:id="2"/>
    </w:p>
    <w:p w:rsidR="00E034DE" w:rsidRPr="00FC3028" w:rsidRDefault="00485CA3" w:rsidP="009420EC">
      <w:pPr>
        <w:pStyle w:val="Heading2"/>
      </w:pPr>
      <w:bookmarkStart w:id="3" w:name="_Toc437441454"/>
      <w:r>
        <w:t>A.</w:t>
      </w:r>
      <w:r>
        <w:tab/>
      </w:r>
      <w:r w:rsidR="00536387" w:rsidRPr="00FC3028">
        <w:t xml:space="preserve">Duke’s </w:t>
      </w:r>
      <w:r w:rsidR="00587B81" w:rsidRPr="00FC3028">
        <w:t>Accelerated Main Replacement Program.</w:t>
      </w:r>
      <w:bookmarkEnd w:id="3"/>
    </w:p>
    <w:p w:rsidR="00776861" w:rsidRDefault="0093362C" w:rsidP="00A17C59">
      <w:pPr>
        <w:spacing w:after="0" w:line="480" w:lineRule="auto"/>
        <w:ind w:right="720" w:firstLine="720"/>
        <w:rPr>
          <w:rFonts w:ascii="Times New Roman" w:hAnsi="Times New Roman" w:cs="Times New Roman"/>
          <w:sz w:val="24"/>
          <w:szCs w:val="24"/>
        </w:rPr>
      </w:pPr>
      <w:r w:rsidRPr="00FC3028">
        <w:rPr>
          <w:rFonts w:ascii="Times New Roman" w:hAnsi="Times New Roman" w:cs="Times New Roman"/>
          <w:sz w:val="24"/>
          <w:szCs w:val="24"/>
        </w:rPr>
        <w:t>In 2001, the PUCO approved Duke’s request to accelerate the replacement of</w:t>
      </w:r>
      <w:r w:rsidR="00684DF6" w:rsidRPr="00FC3028">
        <w:rPr>
          <w:rFonts w:ascii="Times New Roman" w:hAnsi="Times New Roman" w:cs="Times New Roman"/>
          <w:sz w:val="24"/>
          <w:szCs w:val="24"/>
        </w:rPr>
        <w:t xml:space="preserve"> natural gas distribution</w:t>
      </w:r>
      <w:r w:rsidRPr="00FC3028">
        <w:rPr>
          <w:rFonts w:ascii="Times New Roman" w:hAnsi="Times New Roman" w:cs="Times New Roman"/>
          <w:sz w:val="24"/>
          <w:szCs w:val="24"/>
        </w:rPr>
        <w:t xml:space="preserve"> main lines</w:t>
      </w:r>
      <w:r w:rsidR="00CD17D7" w:rsidRPr="00FC3028">
        <w:rPr>
          <w:rFonts w:ascii="Times New Roman" w:hAnsi="Times New Roman" w:cs="Times New Roman"/>
          <w:sz w:val="24"/>
          <w:szCs w:val="24"/>
        </w:rPr>
        <w:t xml:space="preserve"> on its system</w:t>
      </w:r>
      <w:r w:rsidRPr="00FC3028">
        <w:rPr>
          <w:rFonts w:ascii="Times New Roman" w:hAnsi="Times New Roman" w:cs="Times New Roman"/>
          <w:sz w:val="24"/>
          <w:szCs w:val="24"/>
        </w:rPr>
        <w:t xml:space="preserve"> as part of </w:t>
      </w:r>
      <w:r w:rsidR="00E3795D" w:rsidRPr="00FC3028">
        <w:rPr>
          <w:rFonts w:ascii="Times New Roman" w:hAnsi="Times New Roman" w:cs="Times New Roman"/>
          <w:sz w:val="24"/>
          <w:szCs w:val="24"/>
        </w:rPr>
        <w:t>Duke’s</w:t>
      </w:r>
      <w:r w:rsidRPr="00FC3028">
        <w:rPr>
          <w:rFonts w:ascii="Times New Roman" w:hAnsi="Times New Roman" w:cs="Times New Roman"/>
          <w:sz w:val="24"/>
          <w:szCs w:val="24"/>
        </w:rPr>
        <w:t xml:space="preserve"> Accelerated Main Replacement Program (“AMRP”).</w:t>
      </w:r>
      <w:r w:rsidR="00F22CE6" w:rsidRPr="00FC3028">
        <w:rPr>
          <w:rStyle w:val="FootnoteReference"/>
          <w:rFonts w:ascii="Times New Roman" w:hAnsi="Times New Roman" w:cs="Times New Roman"/>
          <w:sz w:val="24"/>
          <w:szCs w:val="24"/>
        </w:rPr>
        <w:footnoteReference w:id="2"/>
      </w:r>
      <w:r w:rsidR="00E3795D" w:rsidRPr="00FC3028">
        <w:rPr>
          <w:rFonts w:ascii="Times New Roman" w:hAnsi="Times New Roman" w:cs="Times New Roman"/>
          <w:sz w:val="24"/>
          <w:szCs w:val="24"/>
        </w:rPr>
        <w:t xml:space="preserve"> The AMRP’s goal</w:t>
      </w:r>
      <w:r w:rsidRPr="00FC3028">
        <w:rPr>
          <w:rFonts w:ascii="Times New Roman" w:hAnsi="Times New Roman" w:cs="Times New Roman"/>
          <w:sz w:val="24"/>
          <w:szCs w:val="24"/>
        </w:rPr>
        <w:t xml:space="preserve"> was to replace all 12 inch and smaller cast iron and bare steel natural gas mains over the following fifteen years.</w:t>
      </w:r>
      <w:r w:rsidR="00F22CE6" w:rsidRPr="00FC3028">
        <w:rPr>
          <w:rStyle w:val="FootnoteReference"/>
          <w:rFonts w:ascii="Times New Roman" w:hAnsi="Times New Roman" w:cs="Times New Roman"/>
          <w:sz w:val="24"/>
          <w:szCs w:val="24"/>
        </w:rPr>
        <w:footnoteReference w:id="3"/>
      </w:r>
      <w:r w:rsidR="002558EF" w:rsidRPr="00FC3028">
        <w:rPr>
          <w:rFonts w:ascii="Times New Roman" w:hAnsi="Times New Roman" w:cs="Times New Roman"/>
          <w:sz w:val="24"/>
          <w:szCs w:val="24"/>
        </w:rPr>
        <w:t xml:space="preserve"> </w:t>
      </w:r>
      <w:r w:rsidR="00D70256" w:rsidRPr="00FC3028">
        <w:rPr>
          <w:rFonts w:ascii="Times New Roman" w:hAnsi="Times New Roman" w:cs="Times New Roman"/>
          <w:sz w:val="24"/>
          <w:szCs w:val="24"/>
        </w:rPr>
        <w:t>As part of the AMRP</w:t>
      </w:r>
      <w:r w:rsidR="00113663">
        <w:rPr>
          <w:rFonts w:ascii="Times New Roman" w:hAnsi="Times New Roman" w:cs="Times New Roman"/>
          <w:sz w:val="24"/>
          <w:szCs w:val="24"/>
        </w:rPr>
        <w:t>,</w:t>
      </w:r>
      <w:r w:rsidR="00D70256" w:rsidRPr="00FC3028">
        <w:rPr>
          <w:rFonts w:ascii="Times New Roman" w:hAnsi="Times New Roman" w:cs="Times New Roman"/>
          <w:sz w:val="24"/>
          <w:szCs w:val="24"/>
        </w:rPr>
        <w:t xml:space="preserve"> Duke also replaced any pre-1971 metallic or non-protected service line</w:t>
      </w:r>
      <w:r w:rsidR="00700696">
        <w:rPr>
          <w:rFonts w:ascii="Times New Roman" w:hAnsi="Times New Roman" w:cs="Times New Roman"/>
          <w:sz w:val="24"/>
          <w:szCs w:val="24"/>
        </w:rPr>
        <w:t>s</w:t>
      </w:r>
      <w:r w:rsidR="00D70256" w:rsidRPr="00FC3028">
        <w:rPr>
          <w:rFonts w:ascii="Times New Roman" w:hAnsi="Times New Roman" w:cs="Times New Roman"/>
          <w:sz w:val="24"/>
          <w:szCs w:val="24"/>
        </w:rPr>
        <w:t xml:space="preserve"> that that w</w:t>
      </w:r>
      <w:r w:rsidR="00700696">
        <w:rPr>
          <w:rFonts w:ascii="Times New Roman" w:hAnsi="Times New Roman" w:cs="Times New Roman"/>
          <w:sz w:val="24"/>
          <w:szCs w:val="24"/>
        </w:rPr>
        <w:t>ere</w:t>
      </w:r>
      <w:r w:rsidR="00D70256" w:rsidRPr="00FC3028">
        <w:rPr>
          <w:rFonts w:ascii="Times New Roman" w:hAnsi="Times New Roman" w:cs="Times New Roman"/>
          <w:sz w:val="24"/>
          <w:szCs w:val="24"/>
        </w:rPr>
        <w:t xml:space="preserve"> connected to a cast iron or bare steel main being replaced under the AMRP.</w:t>
      </w:r>
      <w:r w:rsidR="00D70256" w:rsidRPr="00FC3028">
        <w:rPr>
          <w:rStyle w:val="FootnoteReference"/>
          <w:rFonts w:ascii="Times New Roman" w:hAnsi="Times New Roman" w:cs="Times New Roman"/>
          <w:sz w:val="24"/>
          <w:szCs w:val="24"/>
        </w:rPr>
        <w:footnoteReference w:id="4"/>
      </w:r>
      <w:r w:rsidR="00D70256" w:rsidRPr="00FC3028">
        <w:rPr>
          <w:rFonts w:ascii="Times New Roman" w:hAnsi="Times New Roman" w:cs="Times New Roman"/>
          <w:sz w:val="24"/>
          <w:szCs w:val="24"/>
        </w:rPr>
        <w:t xml:space="preserve"> </w:t>
      </w:r>
      <w:r w:rsidR="00CC7451" w:rsidRPr="00FC3028">
        <w:rPr>
          <w:rFonts w:ascii="Times New Roman" w:hAnsi="Times New Roman" w:cs="Times New Roman"/>
          <w:sz w:val="24"/>
          <w:szCs w:val="24"/>
        </w:rPr>
        <w:t>Duke</w:t>
      </w:r>
      <w:r w:rsidR="00583EC3">
        <w:rPr>
          <w:rFonts w:ascii="Times New Roman" w:hAnsi="Times New Roman" w:cs="Times New Roman"/>
          <w:sz w:val="24"/>
          <w:szCs w:val="24"/>
        </w:rPr>
        <w:t xml:space="preserve"> </w:t>
      </w:r>
      <w:r w:rsidR="00786DDC">
        <w:rPr>
          <w:rFonts w:ascii="Times New Roman" w:hAnsi="Times New Roman" w:cs="Times New Roman"/>
          <w:sz w:val="24"/>
          <w:szCs w:val="24"/>
        </w:rPr>
        <w:t>explicitly states</w:t>
      </w:r>
      <w:r w:rsidR="00CC7451" w:rsidRPr="00FC3028">
        <w:rPr>
          <w:rFonts w:ascii="Times New Roman" w:hAnsi="Times New Roman" w:cs="Times New Roman"/>
          <w:sz w:val="24"/>
          <w:szCs w:val="24"/>
        </w:rPr>
        <w:t xml:space="preserve"> that it was not able to replace all the pre-1971 metallic and non-protected service lines under the AMRP program.</w:t>
      </w:r>
      <w:r w:rsidR="00DD17C9">
        <w:rPr>
          <w:rStyle w:val="FootnoteReference"/>
          <w:rFonts w:ascii="Times New Roman" w:hAnsi="Times New Roman" w:cs="Times New Roman"/>
          <w:sz w:val="24"/>
          <w:szCs w:val="24"/>
        </w:rPr>
        <w:footnoteReference w:id="5"/>
      </w:r>
      <w:r w:rsidR="00CC7451" w:rsidRPr="00FC3028">
        <w:rPr>
          <w:rFonts w:ascii="Times New Roman" w:hAnsi="Times New Roman" w:cs="Times New Roman"/>
          <w:sz w:val="24"/>
          <w:szCs w:val="24"/>
        </w:rPr>
        <w:t xml:space="preserve"> </w:t>
      </w:r>
      <w:r w:rsidR="00D50BD7">
        <w:rPr>
          <w:rFonts w:ascii="Times New Roman" w:hAnsi="Times New Roman" w:cs="Times New Roman"/>
          <w:sz w:val="24"/>
          <w:szCs w:val="24"/>
        </w:rPr>
        <w:t xml:space="preserve">Installation of additional pipeline through </w:t>
      </w:r>
      <w:r w:rsidR="00CC7451" w:rsidRPr="00FC3028">
        <w:rPr>
          <w:rFonts w:ascii="Times New Roman" w:hAnsi="Times New Roman" w:cs="Times New Roman"/>
          <w:sz w:val="24"/>
          <w:szCs w:val="24"/>
        </w:rPr>
        <w:t>Duke’s AMRP is</w:t>
      </w:r>
      <w:r w:rsidR="00684DF6" w:rsidRPr="00FC3028">
        <w:rPr>
          <w:rFonts w:ascii="Times New Roman" w:hAnsi="Times New Roman" w:cs="Times New Roman"/>
          <w:sz w:val="24"/>
          <w:szCs w:val="24"/>
        </w:rPr>
        <w:t xml:space="preserve"> set </w:t>
      </w:r>
      <w:r w:rsidR="00E3795D" w:rsidRPr="00FC3028">
        <w:rPr>
          <w:rFonts w:ascii="Times New Roman" w:hAnsi="Times New Roman" w:cs="Times New Roman"/>
          <w:sz w:val="24"/>
          <w:szCs w:val="24"/>
        </w:rPr>
        <w:t>to conclude at the end of 2015</w:t>
      </w:r>
      <w:r w:rsidR="00D50BD7">
        <w:rPr>
          <w:rFonts w:ascii="Times New Roman" w:hAnsi="Times New Roman" w:cs="Times New Roman"/>
          <w:sz w:val="24"/>
          <w:szCs w:val="24"/>
        </w:rPr>
        <w:t>.</w:t>
      </w:r>
      <w:r w:rsidR="003A3D68">
        <w:rPr>
          <w:rStyle w:val="FootnoteReference"/>
          <w:rFonts w:ascii="Times New Roman" w:hAnsi="Times New Roman" w:cs="Times New Roman"/>
          <w:sz w:val="24"/>
          <w:szCs w:val="24"/>
        </w:rPr>
        <w:footnoteReference w:id="6"/>
      </w:r>
      <w:r w:rsidR="00D50BD7">
        <w:rPr>
          <w:rFonts w:ascii="Times New Roman" w:hAnsi="Times New Roman" w:cs="Times New Roman"/>
          <w:sz w:val="24"/>
          <w:szCs w:val="24"/>
        </w:rPr>
        <w:t xml:space="preserve"> However, </w:t>
      </w:r>
      <w:r w:rsidR="00135F2E">
        <w:rPr>
          <w:rFonts w:ascii="Times New Roman" w:hAnsi="Times New Roman" w:cs="Times New Roman"/>
          <w:sz w:val="24"/>
          <w:szCs w:val="24"/>
        </w:rPr>
        <w:t>customers will continue to fund the</w:t>
      </w:r>
      <w:r w:rsidR="00D50BD7">
        <w:rPr>
          <w:rFonts w:ascii="Times New Roman" w:hAnsi="Times New Roman" w:cs="Times New Roman"/>
          <w:sz w:val="24"/>
          <w:szCs w:val="24"/>
        </w:rPr>
        <w:t xml:space="preserve"> AMRP</w:t>
      </w:r>
      <w:r w:rsidR="0035759C">
        <w:rPr>
          <w:rFonts w:ascii="Times New Roman" w:hAnsi="Times New Roman" w:cs="Times New Roman"/>
          <w:sz w:val="24"/>
          <w:szCs w:val="24"/>
        </w:rPr>
        <w:t xml:space="preserve"> until Duke’s next distribution rate case.</w:t>
      </w:r>
      <w:r w:rsidR="002505C9">
        <w:rPr>
          <w:rStyle w:val="FootnoteReference"/>
          <w:rFonts w:ascii="Times New Roman" w:hAnsi="Times New Roman" w:cs="Times New Roman"/>
          <w:sz w:val="24"/>
          <w:szCs w:val="24"/>
        </w:rPr>
        <w:footnoteReference w:id="7"/>
      </w:r>
      <w:r w:rsidR="0035759C">
        <w:rPr>
          <w:rFonts w:ascii="Times New Roman" w:hAnsi="Times New Roman" w:cs="Times New Roman"/>
          <w:sz w:val="24"/>
          <w:szCs w:val="24"/>
        </w:rPr>
        <w:t xml:space="preserve"> Now, in addition to those costs, customers will be burdened with costs from</w:t>
      </w:r>
      <w:r w:rsidR="00D50BD7">
        <w:rPr>
          <w:rFonts w:ascii="Times New Roman" w:hAnsi="Times New Roman" w:cs="Times New Roman"/>
          <w:sz w:val="24"/>
          <w:szCs w:val="24"/>
        </w:rPr>
        <w:t xml:space="preserve"> </w:t>
      </w:r>
      <w:r w:rsidR="00B5551B" w:rsidRPr="00FC3028">
        <w:rPr>
          <w:rFonts w:ascii="Times New Roman" w:hAnsi="Times New Roman" w:cs="Times New Roman"/>
          <w:sz w:val="24"/>
          <w:szCs w:val="24"/>
        </w:rPr>
        <w:t>the proposed ASRP</w:t>
      </w:r>
      <w:r w:rsidR="00D50BD7">
        <w:rPr>
          <w:rFonts w:ascii="Times New Roman" w:hAnsi="Times New Roman" w:cs="Times New Roman"/>
          <w:sz w:val="24"/>
          <w:szCs w:val="24"/>
        </w:rPr>
        <w:t>, which Duke would</w:t>
      </w:r>
      <w:r w:rsidR="00B5551B" w:rsidRPr="00FC3028">
        <w:rPr>
          <w:rFonts w:ascii="Times New Roman" w:hAnsi="Times New Roman" w:cs="Times New Roman"/>
          <w:sz w:val="24"/>
          <w:szCs w:val="24"/>
        </w:rPr>
        <w:t xml:space="preserve"> begin</w:t>
      </w:r>
      <w:r w:rsidR="00D50BD7">
        <w:rPr>
          <w:rFonts w:ascii="Times New Roman" w:hAnsi="Times New Roman" w:cs="Times New Roman"/>
          <w:sz w:val="24"/>
          <w:szCs w:val="24"/>
        </w:rPr>
        <w:t xml:space="preserve"> in 2016</w:t>
      </w:r>
      <w:r w:rsidR="00700696">
        <w:rPr>
          <w:rFonts w:ascii="Times New Roman" w:hAnsi="Times New Roman" w:cs="Times New Roman"/>
          <w:sz w:val="24"/>
          <w:szCs w:val="24"/>
        </w:rPr>
        <w:t>, if approved by the PUCO</w:t>
      </w:r>
      <w:r w:rsidR="00E3795D" w:rsidRPr="00FC3028">
        <w:rPr>
          <w:rFonts w:ascii="Times New Roman" w:hAnsi="Times New Roman" w:cs="Times New Roman"/>
          <w:sz w:val="24"/>
          <w:szCs w:val="24"/>
        </w:rPr>
        <w:t>.</w:t>
      </w:r>
      <w:r w:rsidR="0035759C" w:rsidRPr="0035759C">
        <w:rPr>
          <w:rStyle w:val="FootnoteReference"/>
          <w:rFonts w:ascii="Times New Roman" w:hAnsi="Times New Roman" w:cs="Times New Roman"/>
          <w:sz w:val="24"/>
          <w:szCs w:val="24"/>
        </w:rPr>
        <w:t xml:space="preserve"> </w:t>
      </w:r>
      <w:r w:rsidR="0035759C">
        <w:rPr>
          <w:rStyle w:val="FootnoteReference"/>
          <w:rFonts w:ascii="Times New Roman" w:hAnsi="Times New Roman" w:cs="Times New Roman"/>
          <w:sz w:val="24"/>
          <w:szCs w:val="24"/>
        </w:rPr>
        <w:footnoteReference w:id="8"/>
      </w:r>
    </w:p>
    <w:p w:rsidR="00485CA3" w:rsidRPr="00FC3028" w:rsidRDefault="00485CA3" w:rsidP="00485CA3">
      <w:pPr>
        <w:spacing w:after="0" w:line="240" w:lineRule="auto"/>
        <w:ind w:right="720"/>
        <w:rPr>
          <w:rFonts w:ascii="Times New Roman" w:hAnsi="Times New Roman" w:cs="Times New Roman"/>
          <w:sz w:val="24"/>
          <w:szCs w:val="24"/>
        </w:rPr>
      </w:pPr>
    </w:p>
    <w:p w:rsidR="009903B1" w:rsidRPr="00FC3028" w:rsidRDefault="00485CA3" w:rsidP="00485CA3">
      <w:pPr>
        <w:pStyle w:val="Heading1"/>
      </w:pPr>
      <w:bookmarkStart w:id="4" w:name="_Toc437441455"/>
      <w:r>
        <w:t>III.</w:t>
      </w:r>
      <w:r>
        <w:tab/>
      </w:r>
      <w:r w:rsidR="00F43E65" w:rsidRPr="00FC3028">
        <w:t>BURDEN OF PROOF</w:t>
      </w:r>
      <w:bookmarkEnd w:id="4"/>
    </w:p>
    <w:p w:rsidR="009903B1" w:rsidRPr="00FC3028" w:rsidRDefault="009903B1" w:rsidP="009903B1">
      <w:pPr>
        <w:pStyle w:val="BodyTextIndent3"/>
        <w:widowControl w:val="0"/>
        <w:spacing w:line="480" w:lineRule="auto"/>
        <w:ind w:right="-24"/>
        <w:rPr>
          <w:szCs w:val="24"/>
        </w:rPr>
      </w:pPr>
      <w:r w:rsidRPr="00FC3028">
        <w:rPr>
          <w:szCs w:val="24"/>
        </w:rPr>
        <w:t xml:space="preserve">Duke’s </w:t>
      </w:r>
      <w:r w:rsidR="00C036A3">
        <w:rPr>
          <w:szCs w:val="24"/>
        </w:rPr>
        <w:t>a</w:t>
      </w:r>
      <w:r w:rsidRPr="00FC3028">
        <w:rPr>
          <w:szCs w:val="24"/>
        </w:rPr>
        <w:t xml:space="preserve">pplication is to approve an alternative rate plan. Alternative rate plans are governed by, inter alia, R.C. 4929.05. Under that statute, the </w:t>
      </w:r>
      <w:r w:rsidRPr="000F6ACC">
        <w:rPr>
          <w:szCs w:val="24"/>
        </w:rPr>
        <w:t>PUCO may authorize an alternative rate plan after investigation “which may include a hearing at the discretion of the public utilities commission.”</w:t>
      </w:r>
      <w:r w:rsidRPr="000F6ACC">
        <w:rPr>
          <w:rStyle w:val="FootnoteReference"/>
          <w:szCs w:val="24"/>
        </w:rPr>
        <w:footnoteReference w:id="9"/>
      </w:r>
      <w:r w:rsidRPr="000F6ACC">
        <w:rPr>
          <w:szCs w:val="24"/>
        </w:rPr>
        <w:t xml:space="preserve"> </w:t>
      </w:r>
      <w:r w:rsidR="00B00F33" w:rsidRPr="000F6ACC">
        <w:rPr>
          <w:szCs w:val="24"/>
        </w:rPr>
        <w:t>An alternative rate</w:t>
      </w:r>
      <w:r w:rsidR="00E8154B" w:rsidRPr="000F6ACC">
        <w:rPr>
          <w:szCs w:val="24"/>
        </w:rPr>
        <w:t xml:space="preserve"> plan is not </w:t>
      </w:r>
      <w:r w:rsidR="009066BD" w:rsidRPr="000F6ACC">
        <w:rPr>
          <w:szCs w:val="24"/>
        </w:rPr>
        <w:t>mandatory;</w:t>
      </w:r>
      <w:r w:rsidR="00E8154B" w:rsidRPr="000F6ACC">
        <w:rPr>
          <w:szCs w:val="24"/>
        </w:rPr>
        <w:t xml:space="preserve"> rather it is at the discretion of the PUCO</w:t>
      </w:r>
      <w:r w:rsidR="00FC693C">
        <w:rPr>
          <w:szCs w:val="24"/>
        </w:rPr>
        <w:t xml:space="preserve">.  Before an application is approved the </w:t>
      </w:r>
      <w:r w:rsidRPr="00FC3028">
        <w:rPr>
          <w:szCs w:val="24"/>
        </w:rPr>
        <w:t>P</w:t>
      </w:r>
      <w:r w:rsidR="00E8154B" w:rsidRPr="00FC3028">
        <w:rPr>
          <w:szCs w:val="24"/>
        </w:rPr>
        <w:t>UCO</w:t>
      </w:r>
      <w:r w:rsidR="00FC693C">
        <w:rPr>
          <w:szCs w:val="24"/>
        </w:rPr>
        <w:t xml:space="preserve"> must </w:t>
      </w:r>
      <w:r w:rsidRPr="00FC3028">
        <w:rPr>
          <w:szCs w:val="24"/>
        </w:rPr>
        <w:t>find that the applicant:</w:t>
      </w:r>
    </w:p>
    <w:p w:rsidR="009903B1" w:rsidRPr="00FC3028" w:rsidRDefault="00C036A3" w:rsidP="00EB4874">
      <w:pPr>
        <w:pStyle w:val="BodyTextIndent3"/>
        <w:widowControl w:val="0"/>
        <w:spacing w:line="240" w:lineRule="auto"/>
        <w:ind w:left="720" w:right="720" w:firstLine="0"/>
        <w:rPr>
          <w:szCs w:val="24"/>
        </w:rPr>
      </w:pPr>
      <w:r>
        <w:rPr>
          <w:szCs w:val="24"/>
        </w:rPr>
        <w:t>[i]</w:t>
      </w:r>
      <w:r w:rsidR="009903B1" w:rsidRPr="00FC3028">
        <w:rPr>
          <w:szCs w:val="24"/>
        </w:rPr>
        <w:t>s in substantial compliance with the</w:t>
      </w:r>
      <w:r w:rsidR="00485CA3">
        <w:rPr>
          <w:szCs w:val="24"/>
        </w:rPr>
        <w:t xml:space="preserve"> policy of this state specified </w:t>
      </w:r>
      <w:r w:rsidR="009903B1" w:rsidRPr="00FC3028">
        <w:rPr>
          <w:szCs w:val="24"/>
        </w:rPr>
        <w:t xml:space="preserve">in section 4929.02 of the Revised Code; </w:t>
      </w:r>
    </w:p>
    <w:p w:rsidR="009903B1" w:rsidRPr="00FC3028" w:rsidRDefault="009903B1" w:rsidP="009903B1">
      <w:pPr>
        <w:pStyle w:val="BodyTextIndent3"/>
        <w:widowControl w:val="0"/>
        <w:spacing w:line="240" w:lineRule="auto"/>
        <w:ind w:left="1080" w:right="720" w:firstLine="0"/>
        <w:rPr>
          <w:szCs w:val="24"/>
        </w:rPr>
      </w:pPr>
    </w:p>
    <w:p w:rsidR="009903B1" w:rsidRPr="00FC3028" w:rsidRDefault="009903B1" w:rsidP="00485CA3">
      <w:pPr>
        <w:pStyle w:val="BodyTextIndent3"/>
        <w:widowControl w:val="0"/>
        <w:spacing w:line="240" w:lineRule="auto"/>
        <w:ind w:left="2880" w:right="720" w:hanging="720"/>
        <w:rPr>
          <w:szCs w:val="24"/>
        </w:rPr>
      </w:pPr>
      <w:r w:rsidRPr="00FC3028">
        <w:rPr>
          <w:szCs w:val="24"/>
        </w:rPr>
        <w:t xml:space="preserve">(2) </w:t>
      </w:r>
      <w:r w:rsidR="00485CA3">
        <w:rPr>
          <w:szCs w:val="24"/>
        </w:rPr>
        <w:tab/>
      </w:r>
      <w:r w:rsidRPr="00FC3028">
        <w:rPr>
          <w:szCs w:val="24"/>
        </w:rPr>
        <w:t xml:space="preserve">The natural gas company is expected to be in substantial compliance with the policy of this state specified in section 4929.02 of the Revised Code after implementation of the alternative rate plan; </w:t>
      </w:r>
    </w:p>
    <w:p w:rsidR="009903B1" w:rsidRPr="00FC3028" w:rsidRDefault="009903B1" w:rsidP="00485CA3">
      <w:pPr>
        <w:pStyle w:val="BodyTextIndent3"/>
        <w:widowControl w:val="0"/>
        <w:spacing w:line="240" w:lineRule="auto"/>
        <w:ind w:left="2880" w:right="720" w:hanging="720"/>
        <w:rPr>
          <w:szCs w:val="24"/>
        </w:rPr>
      </w:pPr>
    </w:p>
    <w:p w:rsidR="009903B1" w:rsidRPr="00FC3028" w:rsidRDefault="009903B1" w:rsidP="00485CA3">
      <w:pPr>
        <w:pStyle w:val="BodyTextIndent3"/>
        <w:widowControl w:val="0"/>
        <w:spacing w:line="240" w:lineRule="auto"/>
        <w:ind w:left="2880" w:right="720" w:hanging="720"/>
        <w:rPr>
          <w:szCs w:val="24"/>
        </w:rPr>
      </w:pPr>
      <w:r w:rsidRPr="00FC3028">
        <w:rPr>
          <w:szCs w:val="24"/>
        </w:rPr>
        <w:t xml:space="preserve">(3) </w:t>
      </w:r>
      <w:r w:rsidR="00485CA3">
        <w:rPr>
          <w:szCs w:val="24"/>
        </w:rPr>
        <w:tab/>
      </w:r>
      <w:r w:rsidRPr="00FC3028">
        <w:rPr>
          <w:szCs w:val="24"/>
        </w:rPr>
        <w:t xml:space="preserve">The alternative rate plan is </w:t>
      </w:r>
      <w:r w:rsidRPr="00FC3028">
        <w:rPr>
          <w:b/>
          <w:szCs w:val="24"/>
        </w:rPr>
        <w:t>just and reasonable</w:t>
      </w:r>
      <w:r w:rsidRPr="00FC3028">
        <w:rPr>
          <w:szCs w:val="24"/>
        </w:rPr>
        <w:t>.</w:t>
      </w:r>
      <w:r w:rsidRPr="00FC3028">
        <w:rPr>
          <w:rStyle w:val="FootnoteReference"/>
          <w:szCs w:val="24"/>
        </w:rPr>
        <w:footnoteReference w:id="10"/>
      </w:r>
    </w:p>
    <w:p w:rsidR="009903B1" w:rsidRPr="00FC3028" w:rsidRDefault="009903B1" w:rsidP="00E03EC4">
      <w:pPr>
        <w:pStyle w:val="BodyTextIndent3"/>
        <w:widowControl w:val="0"/>
        <w:spacing w:line="240" w:lineRule="auto"/>
        <w:ind w:right="720" w:firstLine="0"/>
        <w:jc w:val="both"/>
        <w:rPr>
          <w:szCs w:val="24"/>
        </w:rPr>
      </w:pPr>
    </w:p>
    <w:p w:rsidR="00E61757" w:rsidRPr="00FC3028" w:rsidRDefault="009903B1" w:rsidP="00E61757">
      <w:pPr>
        <w:pStyle w:val="BodyTextIndent3"/>
        <w:widowControl w:val="0"/>
        <w:spacing w:line="480" w:lineRule="auto"/>
        <w:ind w:right="-24" w:firstLine="0"/>
        <w:rPr>
          <w:szCs w:val="24"/>
        </w:rPr>
      </w:pPr>
      <w:r w:rsidRPr="00FC3028">
        <w:rPr>
          <w:szCs w:val="24"/>
        </w:rPr>
        <w:t>Subsection (B) of the statute places the bur</w:t>
      </w:r>
      <w:r w:rsidR="00E61757" w:rsidRPr="00FC3028">
        <w:rPr>
          <w:szCs w:val="24"/>
        </w:rPr>
        <w:t xml:space="preserve">den of proof on the applicant. </w:t>
      </w:r>
    </w:p>
    <w:p w:rsidR="007159D5" w:rsidRPr="00FC3028" w:rsidRDefault="00834A99" w:rsidP="00E44E67">
      <w:pPr>
        <w:pStyle w:val="BodyTextIndent3"/>
        <w:widowControl w:val="0"/>
        <w:spacing w:line="480" w:lineRule="auto"/>
        <w:ind w:right="-29"/>
        <w:contextualSpacing/>
        <w:rPr>
          <w:szCs w:val="24"/>
        </w:rPr>
      </w:pPr>
      <w:r w:rsidRPr="00FC3028">
        <w:rPr>
          <w:szCs w:val="24"/>
        </w:rPr>
        <w:t>Further, R.C.</w:t>
      </w:r>
      <w:r w:rsidR="009179CA" w:rsidRPr="00FC3028">
        <w:rPr>
          <w:szCs w:val="24"/>
        </w:rPr>
        <w:t xml:space="preserve"> 4905.22 requires that every public utility furnish necessary and adequate service and facilities, and that all charges for any servic</w:t>
      </w:r>
      <w:r w:rsidR="00AD3EA5" w:rsidRPr="00FC3028">
        <w:rPr>
          <w:szCs w:val="24"/>
        </w:rPr>
        <w:t>e must be just and reasonable.</w:t>
      </w:r>
      <w:r w:rsidR="00EB4874">
        <w:rPr>
          <w:rStyle w:val="FootnoteReference"/>
          <w:szCs w:val="24"/>
        </w:rPr>
        <w:footnoteReference w:id="11"/>
      </w:r>
      <w:r w:rsidR="00AD3EA5" w:rsidRPr="00FC3028">
        <w:rPr>
          <w:szCs w:val="24"/>
        </w:rPr>
        <w:t xml:space="preserve"> </w:t>
      </w:r>
      <w:r w:rsidR="009179CA" w:rsidRPr="00FC3028">
        <w:rPr>
          <w:szCs w:val="24"/>
        </w:rPr>
        <w:t xml:space="preserve">Of course, </w:t>
      </w:r>
      <w:r w:rsidR="00E648D5" w:rsidRPr="00FC3028">
        <w:rPr>
          <w:szCs w:val="24"/>
        </w:rPr>
        <w:t>Duke</w:t>
      </w:r>
      <w:r w:rsidR="009179CA" w:rsidRPr="00FC3028">
        <w:rPr>
          <w:szCs w:val="24"/>
        </w:rPr>
        <w:t xml:space="preserve"> as the applicant bears the burden of proof.</w:t>
      </w:r>
      <w:r w:rsidR="009179CA" w:rsidRPr="00FC3028">
        <w:rPr>
          <w:szCs w:val="24"/>
          <w:vertAlign w:val="superscript"/>
        </w:rPr>
        <w:footnoteReference w:id="12"/>
      </w:r>
      <w:r w:rsidR="009179CA" w:rsidRPr="00FC3028">
        <w:rPr>
          <w:szCs w:val="24"/>
        </w:rPr>
        <w:t xml:space="preserve">  </w:t>
      </w:r>
    </w:p>
    <w:p w:rsidR="00B00F33" w:rsidRDefault="007159D5" w:rsidP="00492620">
      <w:pPr>
        <w:pStyle w:val="BodyTextIndent3"/>
        <w:widowControl w:val="0"/>
        <w:spacing w:line="480" w:lineRule="auto"/>
        <w:ind w:right="-24"/>
        <w:rPr>
          <w:szCs w:val="24"/>
        </w:rPr>
      </w:pPr>
      <w:r w:rsidRPr="00FC3028">
        <w:rPr>
          <w:szCs w:val="24"/>
        </w:rPr>
        <w:t xml:space="preserve">Additionally, Duke must </w:t>
      </w:r>
      <w:r w:rsidR="00FC693C">
        <w:rPr>
          <w:szCs w:val="24"/>
        </w:rPr>
        <w:t>obtain</w:t>
      </w:r>
      <w:r w:rsidR="00F0504B" w:rsidRPr="00FC3028">
        <w:rPr>
          <w:szCs w:val="24"/>
        </w:rPr>
        <w:t xml:space="preserve"> authority to</w:t>
      </w:r>
      <w:r w:rsidR="00BC3F3D" w:rsidRPr="00FC3028">
        <w:rPr>
          <w:szCs w:val="24"/>
        </w:rPr>
        <w:t xml:space="preserve"> </w:t>
      </w:r>
      <w:r w:rsidR="00F0504B" w:rsidRPr="00FC3028">
        <w:rPr>
          <w:szCs w:val="24"/>
        </w:rPr>
        <w:t>replace non-leaking service lines</w:t>
      </w:r>
      <w:r w:rsidR="00E44E67" w:rsidRPr="00FC3028">
        <w:rPr>
          <w:szCs w:val="24"/>
        </w:rPr>
        <w:t xml:space="preserve"> that are currently owned by</w:t>
      </w:r>
      <w:r w:rsidRPr="00FC3028">
        <w:rPr>
          <w:szCs w:val="24"/>
        </w:rPr>
        <w:t xml:space="preserve"> its</w:t>
      </w:r>
      <w:r w:rsidR="00E44E67" w:rsidRPr="00FC3028">
        <w:rPr>
          <w:szCs w:val="24"/>
        </w:rPr>
        <w:t xml:space="preserve"> customers</w:t>
      </w:r>
      <w:r w:rsidR="00F0504B" w:rsidRPr="00FC3028">
        <w:rPr>
          <w:szCs w:val="24"/>
        </w:rPr>
        <w:t>.</w:t>
      </w:r>
      <w:r w:rsidR="00772028" w:rsidRPr="00FC3028">
        <w:rPr>
          <w:szCs w:val="24"/>
        </w:rPr>
        <w:t xml:space="preserve"> Duke does not own the majority of non-leaking service lines that it proposes to replace on an accelerated basis through the ASRP. Rather, Duke’s customers own most of the service lines until repair or replacement of these service lines occurs by Duke.</w:t>
      </w:r>
      <w:r w:rsidR="00772028" w:rsidRPr="00FC3028">
        <w:rPr>
          <w:rStyle w:val="FootnoteReference"/>
          <w:szCs w:val="24"/>
        </w:rPr>
        <w:footnoteReference w:id="13"/>
      </w:r>
      <w:r w:rsidR="00772028" w:rsidRPr="00FC3028">
        <w:rPr>
          <w:szCs w:val="24"/>
        </w:rPr>
        <w:t xml:space="preserve"> Duke acknowledged that it has been replacing, and thus taking ownership of, hundreds of non-leaking</w:t>
      </w:r>
      <w:r w:rsidR="00113663">
        <w:rPr>
          <w:szCs w:val="24"/>
        </w:rPr>
        <w:t>,</w:t>
      </w:r>
      <w:r w:rsidR="00772028" w:rsidRPr="00FC3028">
        <w:rPr>
          <w:szCs w:val="24"/>
        </w:rPr>
        <w:t xml:space="preserve"> customer-owned service lines</w:t>
      </w:r>
      <w:r w:rsidR="00C87418" w:rsidRPr="00FC3028">
        <w:rPr>
          <w:szCs w:val="24"/>
        </w:rPr>
        <w:t xml:space="preserve"> per year</w:t>
      </w:r>
      <w:r w:rsidR="00772028" w:rsidRPr="00FC3028">
        <w:rPr>
          <w:szCs w:val="24"/>
        </w:rPr>
        <w:t>.</w:t>
      </w:r>
      <w:r w:rsidR="002B7711" w:rsidRPr="00FC3028">
        <w:rPr>
          <w:rStyle w:val="FootnoteReference"/>
          <w:szCs w:val="24"/>
        </w:rPr>
        <w:footnoteReference w:id="14"/>
      </w:r>
      <w:r w:rsidR="00772028" w:rsidRPr="00FC3028">
        <w:rPr>
          <w:szCs w:val="24"/>
        </w:rPr>
        <w:t xml:space="preserve"> </w:t>
      </w:r>
      <w:r w:rsidR="00135F2E">
        <w:rPr>
          <w:szCs w:val="24"/>
        </w:rPr>
        <w:t xml:space="preserve">While the PUCO authorized Duke to take ownership of leaking lines </w:t>
      </w:r>
      <w:r w:rsidR="00113663">
        <w:rPr>
          <w:szCs w:val="24"/>
        </w:rPr>
        <w:t>it</w:t>
      </w:r>
      <w:r w:rsidR="00135F2E">
        <w:rPr>
          <w:szCs w:val="24"/>
        </w:rPr>
        <w:t xml:space="preserve"> repaired, </w:t>
      </w:r>
      <w:r w:rsidR="00AF2FF1">
        <w:rPr>
          <w:szCs w:val="24"/>
        </w:rPr>
        <w:t>the Commission</w:t>
      </w:r>
      <w:r w:rsidR="00135F2E">
        <w:rPr>
          <w:szCs w:val="24"/>
        </w:rPr>
        <w:t xml:space="preserve"> did not rule that Duke could</w:t>
      </w:r>
      <w:r w:rsidR="00291A70">
        <w:rPr>
          <w:szCs w:val="24"/>
        </w:rPr>
        <w:t xml:space="preserve"> do so with non-leaking lines. </w:t>
      </w:r>
      <w:r w:rsidR="00FC693C">
        <w:rPr>
          <w:szCs w:val="24"/>
        </w:rPr>
        <w:t>And</w:t>
      </w:r>
      <w:r w:rsidR="00F0504B" w:rsidRPr="00FC3028">
        <w:rPr>
          <w:szCs w:val="24"/>
        </w:rPr>
        <w:t xml:space="preserve"> </w:t>
      </w:r>
      <w:r w:rsidR="00573C11" w:rsidRPr="00FC3028">
        <w:rPr>
          <w:szCs w:val="24"/>
        </w:rPr>
        <w:t>Duke did not cite to any PUCO order in its Application, Reply Comments, or Objections to the Staff Report that gives it the authority to take ownership of a customer-owned service line that is not leaking</w:t>
      </w:r>
      <w:r w:rsidR="00C036A3">
        <w:rPr>
          <w:szCs w:val="24"/>
        </w:rPr>
        <w:t>.</w:t>
      </w:r>
      <w:r w:rsidR="00141AF3">
        <w:rPr>
          <w:rStyle w:val="FootnoteReference"/>
          <w:szCs w:val="24"/>
        </w:rPr>
        <w:footnoteReference w:id="15"/>
      </w:r>
      <w:r w:rsidR="00573C11" w:rsidRPr="00FC3028">
        <w:rPr>
          <w:szCs w:val="24"/>
        </w:rPr>
        <w:t xml:space="preserve"> Similarly, n</w:t>
      </w:r>
      <w:r w:rsidR="00F0504B" w:rsidRPr="00FC3028">
        <w:rPr>
          <w:szCs w:val="24"/>
        </w:rPr>
        <w:t xml:space="preserve">o Duke witness was able to point to any PUCO Order where the PUCO granted Duke </w:t>
      </w:r>
      <w:r w:rsidR="00AF2FF1">
        <w:rPr>
          <w:szCs w:val="24"/>
        </w:rPr>
        <w:t xml:space="preserve">the </w:t>
      </w:r>
      <w:r w:rsidR="00F0504B" w:rsidRPr="00FC3028">
        <w:rPr>
          <w:szCs w:val="24"/>
        </w:rPr>
        <w:t>authority</w:t>
      </w:r>
      <w:r w:rsidR="00476337" w:rsidRPr="00FC3028">
        <w:rPr>
          <w:szCs w:val="24"/>
        </w:rPr>
        <w:t xml:space="preserve"> to take ownership</w:t>
      </w:r>
      <w:r w:rsidR="00492620">
        <w:rPr>
          <w:szCs w:val="24"/>
        </w:rPr>
        <w:t xml:space="preserve"> of a customer-</w:t>
      </w:r>
      <w:r w:rsidR="00D72BD6" w:rsidRPr="00FC3028">
        <w:rPr>
          <w:szCs w:val="24"/>
        </w:rPr>
        <w:t>owned s</w:t>
      </w:r>
      <w:r w:rsidR="00573C11" w:rsidRPr="00FC3028">
        <w:rPr>
          <w:szCs w:val="24"/>
        </w:rPr>
        <w:t>ervice line that was not leaking</w:t>
      </w:r>
      <w:r w:rsidR="00F0504B" w:rsidRPr="00FC3028">
        <w:rPr>
          <w:szCs w:val="24"/>
        </w:rPr>
        <w:t>.</w:t>
      </w:r>
      <w:r w:rsidR="00E83029" w:rsidRPr="00FC3028">
        <w:rPr>
          <w:rStyle w:val="FootnoteReference"/>
          <w:szCs w:val="24"/>
        </w:rPr>
        <w:footnoteReference w:id="16"/>
      </w:r>
      <w:r w:rsidR="00772028" w:rsidRPr="00FC3028">
        <w:rPr>
          <w:szCs w:val="24"/>
        </w:rPr>
        <w:t xml:space="preserve"> Therefore, Duke must </w:t>
      </w:r>
      <w:r w:rsidR="00FC693C">
        <w:rPr>
          <w:szCs w:val="24"/>
        </w:rPr>
        <w:t>obtain</w:t>
      </w:r>
      <w:r w:rsidR="00772028" w:rsidRPr="00FC3028">
        <w:rPr>
          <w:szCs w:val="24"/>
        </w:rPr>
        <w:t xml:space="preserve"> authority to replace non-leaking service lines that it does not currently own.</w:t>
      </w:r>
      <w:r w:rsidR="00C87418" w:rsidRPr="00FC3028">
        <w:rPr>
          <w:rStyle w:val="FootnoteReference"/>
          <w:szCs w:val="24"/>
        </w:rPr>
        <w:footnoteReference w:id="17"/>
      </w:r>
      <w:r w:rsidR="00573C11" w:rsidRPr="00FC3028">
        <w:rPr>
          <w:szCs w:val="24"/>
        </w:rPr>
        <w:t xml:space="preserve"> </w:t>
      </w:r>
    </w:p>
    <w:p w:rsidR="000E42BF" w:rsidRPr="00492620" w:rsidRDefault="000E42BF" w:rsidP="000E42BF">
      <w:pPr>
        <w:pStyle w:val="BodyTextIndent3"/>
        <w:widowControl w:val="0"/>
        <w:spacing w:line="240" w:lineRule="auto"/>
        <w:ind w:right="-24"/>
        <w:rPr>
          <w:szCs w:val="24"/>
        </w:rPr>
      </w:pPr>
    </w:p>
    <w:p w:rsidR="003363A3" w:rsidRPr="00291A70" w:rsidRDefault="00A62460" w:rsidP="00A62460">
      <w:pPr>
        <w:pStyle w:val="Heading1"/>
      </w:pPr>
      <w:bookmarkStart w:id="5" w:name="_Toc437441456"/>
      <w:r>
        <w:t>IV.</w:t>
      </w:r>
      <w:r>
        <w:tab/>
      </w:r>
      <w:r w:rsidR="003363A3" w:rsidRPr="00291A70">
        <w:t>EVIDENTIARY RULINGS</w:t>
      </w:r>
      <w:bookmarkEnd w:id="5"/>
    </w:p>
    <w:p w:rsidR="00F8092A" w:rsidRDefault="00D935D2" w:rsidP="009420EC">
      <w:pPr>
        <w:pStyle w:val="Heading2"/>
      </w:pPr>
      <w:bookmarkStart w:id="6" w:name="_Toc437441457"/>
      <w:r>
        <w:t>A</w:t>
      </w:r>
      <w:r w:rsidR="003363A3" w:rsidRPr="00DF33F5">
        <w:t>.</w:t>
      </w:r>
      <w:r w:rsidR="003363A3" w:rsidRPr="00DF33F5">
        <w:tab/>
      </w:r>
      <w:r w:rsidR="00F8092A" w:rsidRPr="00DF33F5">
        <w:t>Duke Ex. Nos. 7 and 8 should be excluded from the record</w:t>
      </w:r>
      <w:r w:rsidR="004924CD">
        <w:t xml:space="preserve"> because they are not relevant evidence</w:t>
      </w:r>
      <w:r w:rsidR="00F8092A" w:rsidRPr="00DF33F5">
        <w:t>.</w:t>
      </w:r>
      <w:bookmarkEnd w:id="6"/>
    </w:p>
    <w:p w:rsidR="00291A70" w:rsidRPr="006E495D" w:rsidRDefault="00291A70" w:rsidP="006E495D">
      <w:pPr>
        <w:spacing w:after="0" w:line="240" w:lineRule="auto"/>
        <w:ind w:firstLine="720"/>
        <w:rPr>
          <w:rFonts w:ascii="Times New Roman" w:hAnsi="Times New Roman" w:cs="Times New Roman"/>
          <w:sz w:val="24"/>
          <w:szCs w:val="24"/>
        </w:rPr>
      </w:pPr>
      <w:r w:rsidRPr="006E495D">
        <w:rPr>
          <w:rFonts w:ascii="Times New Roman" w:hAnsi="Times New Roman" w:cs="Times New Roman"/>
          <w:sz w:val="24"/>
          <w:szCs w:val="24"/>
        </w:rPr>
        <w:t>Under Ohio Administrative Code § 4901-1-14(F):</w:t>
      </w:r>
    </w:p>
    <w:p w:rsidR="00291A70" w:rsidRPr="006E495D" w:rsidRDefault="00291A70" w:rsidP="00291A70">
      <w:pPr>
        <w:spacing w:after="0" w:line="240" w:lineRule="auto"/>
        <w:rPr>
          <w:rFonts w:ascii="Times New Roman" w:hAnsi="Times New Roman" w:cs="Times New Roman"/>
          <w:sz w:val="24"/>
          <w:szCs w:val="24"/>
        </w:rPr>
      </w:pPr>
    </w:p>
    <w:p w:rsidR="00291A70" w:rsidRPr="006E495D" w:rsidRDefault="00291A70" w:rsidP="00A62460">
      <w:pPr>
        <w:spacing w:after="0" w:line="240" w:lineRule="auto"/>
        <w:ind w:left="1440" w:right="720"/>
        <w:rPr>
          <w:rFonts w:ascii="Times New Roman" w:hAnsi="Times New Roman" w:cs="Times New Roman"/>
          <w:sz w:val="24"/>
          <w:szCs w:val="24"/>
        </w:rPr>
      </w:pPr>
      <w:r w:rsidRPr="006E495D">
        <w:rPr>
          <w:rFonts w:ascii="Times New Roman" w:hAnsi="Times New Roman" w:cs="Times New Roman"/>
          <w:sz w:val="24"/>
          <w:szCs w:val="24"/>
        </w:rPr>
        <w:t>Any party that is adversely affected by a ruling issued under rule </w:t>
      </w:r>
      <w:r w:rsidR="00272303" w:rsidRPr="002B07AC">
        <w:t>4901-1-14</w:t>
      </w:r>
      <w:r w:rsidRPr="006E495D">
        <w:rPr>
          <w:rFonts w:ascii="Times New Roman" w:hAnsi="Times New Roman" w:cs="Times New Roman"/>
          <w:sz w:val="24"/>
          <w:szCs w:val="24"/>
        </w:rPr>
        <w:t> of the Administrative Code or any oral ruling issued during a public hearing or prehearing conference and that (1) elects not to take an interlocutory appeal from the ruling or (2) files an interlocutory appeal that is not certified by the attorney examiner may still raise the propriety of that ruling as an issue for the commission's consideration by discussing the matter as a distinct issue in its initial brief or in any other appropriate filing prior to the issuance of the commission's opinion and order or finding and order in the case.</w:t>
      </w:r>
      <w:r w:rsidRPr="006E495D">
        <w:rPr>
          <w:rStyle w:val="FootnoteReference"/>
          <w:rFonts w:ascii="Times New Roman" w:hAnsi="Times New Roman" w:cs="Times New Roman"/>
          <w:sz w:val="24"/>
          <w:szCs w:val="24"/>
        </w:rPr>
        <w:footnoteReference w:id="18"/>
      </w:r>
    </w:p>
    <w:p w:rsidR="00F8092A" w:rsidRPr="00FC3028" w:rsidRDefault="00F8092A" w:rsidP="00F8092A">
      <w:pPr>
        <w:spacing w:after="0" w:line="240" w:lineRule="auto"/>
        <w:rPr>
          <w:rFonts w:ascii="Times New Roman" w:hAnsi="Times New Roman" w:cs="Times New Roman"/>
          <w:b/>
          <w:sz w:val="24"/>
          <w:szCs w:val="24"/>
        </w:rPr>
      </w:pPr>
    </w:p>
    <w:p w:rsidR="00F8092A" w:rsidRDefault="00F8092A" w:rsidP="002B07AC">
      <w:pPr>
        <w:spacing w:after="0" w:line="480" w:lineRule="auto"/>
        <w:contextualSpacing/>
        <w:rPr>
          <w:rFonts w:ascii="Times New Roman" w:hAnsi="Times New Roman" w:cs="Times New Roman"/>
          <w:sz w:val="24"/>
          <w:szCs w:val="24"/>
        </w:rPr>
      </w:pPr>
      <w:r w:rsidRPr="00FC3028">
        <w:rPr>
          <w:rFonts w:ascii="Times New Roman" w:hAnsi="Times New Roman" w:cs="Times New Roman"/>
          <w:sz w:val="24"/>
          <w:szCs w:val="24"/>
        </w:rPr>
        <w:t xml:space="preserve">At the hearing, </w:t>
      </w:r>
      <w:r>
        <w:rPr>
          <w:rFonts w:ascii="Times New Roman" w:hAnsi="Times New Roman" w:cs="Times New Roman"/>
          <w:sz w:val="24"/>
          <w:szCs w:val="24"/>
        </w:rPr>
        <w:t>objects</w:t>
      </w:r>
      <w:r w:rsidRPr="00FC3028">
        <w:rPr>
          <w:rFonts w:ascii="Times New Roman" w:hAnsi="Times New Roman" w:cs="Times New Roman"/>
          <w:sz w:val="24"/>
          <w:szCs w:val="24"/>
        </w:rPr>
        <w:t xml:space="preserve"> alleged to be service lines removed from Duke’s</w:t>
      </w:r>
      <w:r w:rsidR="00291A70">
        <w:rPr>
          <w:rFonts w:ascii="Times New Roman" w:hAnsi="Times New Roman" w:cs="Times New Roman"/>
          <w:sz w:val="24"/>
          <w:szCs w:val="24"/>
        </w:rPr>
        <w:t xml:space="preserve"> Ohio</w:t>
      </w:r>
      <w:r w:rsidR="006E495D">
        <w:rPr>
          <w:rFonts w:ascii="Times New Roman" w:hAnsi="Times New Roman" w:cs="Times New Roman"/>
          <w:sz w:val="24"/>
          <w:szCs w:val="24"/>
        </w:rPr>
        <w:t xml:space="preserve"> service territory </w:t>
      </w:r>
      <w:r w:rsidRPr="00FC3028">
        <w:rPr>
          <w:rFonts w:ascii="Times New Roman" w:hAnsi="Times New Roman" w:cs="Times New Roman"/>
          <w:sz w:val="24"/>
          <w:szCs w:val="24"/>
        </w:rPr>
        <w:t xml:space="preserve">were marked as Duke Ex. Nos. 7 and 8 against the objections of OCC, </w:t>
      </w:r>
      <w:r w:rsidR="00EF76B5">
        <w:rPr>
          <w:rFonts w:ascii="Times New Roman" w:hAnsi="Times New Roman" w:cs="Times New Roman"/>
          <w:sz w:val="24"/>
          <w:szCs w:val="24"/>
        </w:rPr>
        <w:t>the Ohio Partners for Affordable Energy (“</w:t>
      </w:r>
      <w:r w:rsidRPr="00FC3028">
        <w:rPr>
          <w:rFonts w:ascii="Times New Roman" w:hAnsi="Times New Roman" w:cs="Times New Roman"/>
          <w:sz w:val="24"/>
          <w:szCs w:val="24"/>
        </w:rPr>
        <w:t>OPAE</w:t>
      </w:r>
      <w:r w:rsidR="00EF76B5">
        <w:rPr>
          <w:rFonts w:ascii="Times New Roman" w:hAnsi="Times New Roman" w:cs="Times New Roman"/>
          <w:sz w:val="24"/>
          <w:szCs w:val="24"/>
        </w:rPr>
        <w:t>”)</w:t>
      </w:r>
      <w:r w:rsidRPr="00FC3028">
        <w:rPr>
          <w:rFonts w:ascii="Times New Roman" w:hAnsi="Times New Roman" w:cs="Times New Roman"/>
          <w:sz w:val="24"/>
          <w:szCs w:val="24"/>
        </w:rPr>
        <w:t>, and Staff.</w:t>
      </w:r>
      <w:r w:rsidRPr="00FC3028">
        <w:rPr>
          <w:rStyle w:val="FootnoteReference"/>
          <w:rFonts w:ascii="Times New Roman" w:hAnsi="Times New Roman" w:cs="Times New Roman"/>
          <w:sz w:val="24"/>
          <w:szCs w:val="24"/>
        </w:rPr>
        <w:footnoteReference w:id="19"/>
      </w:r>
      <w:r w:rsidRPr="00FC3028">
        <w:rPr>
          <w:rFonts w:ascii="Times New Roman" w:hAnsi="Times New Roman" w:cs="Times New Roman"/>
          <w:sz w:val="24"/>
          <w:szCs w:val="24"/>
        </w:rPr>
        <w:t xml:space="preserve"> The next day photographs of </w:t>
      </w:r>
      <w:r>
        <w:rPr>
          <w:rFonts w:ascii="Times New Roman" w:hAnsi="Times New Roman" w:cs="Times New Roman"/>
          <w:sz w:val="24"/>
          <w:szCs w:val="24"/>
        </w:rPr>
        <w:t>these alleged</w:t>
      </w:r>
      <w:r w:rsidRPr="00FC3028">
        <w:rPr>
          <w:rFonts w:ascii="Times New Roman" w:hAnsi="Times New Roman" w:cs="Times New Roman"/>
          <w:sz w:val="24"/>
          <w:szCs w:val="24"/>
        </w:rPr>
        <w:t xml:space="preserve"> objects were moved into evidence as Duke Ex. Nos. 7 and 8</w:t>
      </w:r>
      <w:r>
        <w:rPr>
          <w:rFonts w:ascii="Times New Roman" w:hAnsi="Times New Roman" w:cs="Times New Roman"/>
          <w:sz w:val="24"/>
          <w:szCs w:val="24"/>
        </w:rPr>
        <w:t>, again,</w:t>
      </w:r>
      <w:r w:rsidRPr="00FC3028">
        <w:rPr>
          <w:rFonts w:ascii="Times New Roman" w:hAnsi="Times New Roman" w:cs="Times New Roman"/>
          <w:sz w:val="24"/>
          <w:szCs w:val="24"/>
        </w:rPr>
        <w:t xml:space="preserve"> against the objections of OCC, OPAE, and Staff.</w:t>
      </w:r>
      <w:r w:rsidRPr="00FC3028">
        <w:rPr>
          <w:rStyle w:val="FootnoteReference"/>
          <w:rFonts w:ascii="Times New Roman" w:hAnsi="Times New Roman" w:cs="Times New Roman"/>
          <w:sz w:val="24"/>
          <w:szCs w:val="24"/>
        </w:rPr>
        <w:footnoteReference w:id="20"/>
      </w:r>
      <w:r w:rsidRPr="00FC3028">
        <w:rPr>
          <w:rFonts w:ascii="Times New Roman" w:hAnsi="Times New Roman" w:cs="Times New Roman"/>
          <w:sz w:val="24"/>
          <w:szCs w:val="24"/>
        </w:rPr>
        <w:t xml:space="preserve"> </w:t>
      </w:r>
      <w:r>
        <w:rPr>
          <w:rFonts w:ascii="Times New Roman" w:hAnsi="Times New Roman" w:cs="Times New Roman"/>
          <w:sz w:val="24"/>
          <w:szCs w:val="24"/>
        </w:rPr>
        <w:t>The Attorney Examiner erred in admitting Duke Ex. Nos. 7 and 8 into the record.</w:t>
      </w:r>
      <w:r w:rsidR="00291A70">
        <w:rPr>
          <w:rFonts w:ascii="Times New Roman" w:hAnsi="Times New Roman" w:cs="Times New Roman"/>
          <w:sz w:val="24"/>
          <w:szCs w:val="24"/>
        </w:rPr>
        <w:t xml:space="preserve"> OCC elected not to take an interlocutory appeal from the oral ruling issued during the hearing in lieu of raising the issue in its initial brief.</w:t>
      </w:r>
      <w:r w:rsidRPr="00181B84">
        <w:rPr>
          <w:rFonts w:ascii="Times New Roman" w:hAnsi="Times New Roman" w:cs="Times New Roman"/>
          <w:sz w:val="24"/>
          <w:szCs w:val="24"/>
        </w:rPr>
        <w:t xml:space="preserve"> </w:t>
      </w:r>
    </w:p>
    <w:p w:rsidR="00F8092A" w:rsidRDefault="00F8092A" w:rsidP="006E495D">
      <w:pPr>
        <w:spacing w:after="0" w:line="480" w:lineRule="auto"/>
        <w:ind w:firstLine="720"/>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Evidence is not relevant</w:t>
      </w:r>
      <w:r w:rsidR="007C3141">
        <w:rPr>
          <w:rFonts w:ascii="Times New Roman" w:hAnsi="Times New Roman" w:cs="Times New Roman"/>
          <w:sz w:val="24"/>
          <w:szCs w:val="24"/>
        </w:rPr>
        <w:t xml:space="preserve">, and therefore </w:t>
      </w:r>
      <w:r w:rsidR="007F2A05">
        <w:rPr>
          <w:rFonts w:ascii="Times New Roman" w:hAnsi="Times New Roman" w:cs="Times New Roman"/>
          <w:sz w:val="24"/>
          <w:szCs w:val="24"/>
        </w:rPr>
        <w:t>in</w:t>
      </w:r>
      <w:r w:rsidR="007C3141">
        <w:rPr>
          <w:rFonts w:ascii="Times New Roman" w:hAnsi="Times New Roman" w:cs="Times New Roman"/>
          <w:sz w:val="24"/>
          <w:szCs w:val="24"/>
        </w:rPr>
        <w:t>admissible,</w:t>
      </w:r>
      <w:r w:rsidR="007C3141">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unless</w:t>
      </w:r>
      <w:r w:rsidRPr="00BD3EA7">
        <w:rPr>
          <w:rFonts w:ascii="Times New Roman" w:hAnsi="Times New Roman" w:cs="Times New Roman"/>
          <w:sz w:val="24"/>
          <w:szCs w:val="24"/>
        </w:rPr>
        <w:t xml:space="preserve"> it has any tendency to make the existence of any fact that is of consequence to the determination of the action more probable or less probable than it would be without the evidence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311334" w:rsidRPr="00311334">
        <w:rPr>
          <w:rFonts w:ascii="Times New Roman" w:hAnsi="Times New Roman" w:cs="Times New Roman"/>
          <w:sz w:val="24"/>
          <w:szCs w:val="24"/>
        </w:rPr>
        <w:t>In other words,</w:t>
      </w:r>
      <w:r w:rsidR="00311334">
        <w:rPr>
          <w:rFonts w:ascii="Times New Roman" w:hAnsi="Times New Roman" w:cs="Times New Roman"/>
          <w:sz w:val="24"/>
          <w:szCs w:val="24"/>
        </w:rPr>
        <w:t xml:space="preserve"> i</w:t>
      </w:r>
      <w:r w:rsidR="00311334" w:rsidRPr="002B07AC">
        <w:rPr>
          <w:rFonts w:ascii="Times New Roman" w:hAnsi="Times New Roman" w:cs="Times New Roman"/>
          <w:sz w:val="24"/>
          <w:szCs w:val="24"/>
        </w:rPr>
        <w:t xml:space="preserve">f the </w:t>
      </w:r>
      <w:r w:rsidR="00311334" w:rsidRPr="002B07AC">
        <w:rPr>
          <w:rStyle w:val="sssh"/>
          <w:rFonts w:ascii="Times New Roman" w:hAnsi="Times New Roman" w:cs="Times New Roman"/>
          <w:sz w:val="24"/>
          <w:szCs w:val="24"/>
        </w:rPr>
        <w:t>evidence</w:t>
      </w:r>
      <w:r w:rsidR="00311334" w:rsidRPr="002B07AC">
        <w:rPr>
          <w:rFonts w:ascii="Times New Roman" w:hAnsi="Times New Roman" w:cs="Times New Roman"/>
          <w:sz w:val="24"/>
          <w:szCs w:val="24"/>
        </w:rPr>
        <w:t xml:space="preserve"> does not tend to prove a fact assisting in the determination of an issue it has no function.</w:t>
      </w:r>
      <w:r w:rsidR="00311334" w:rsidRPr="002B07AC">
        <w:rPr>
          <w:rStyle w:val="FootnoteReference"/>
          <w:rFonts w:ascii="Times New Roman" w:hAnsi="Times New Roman" w:cs="Times New Roman"/>
          <w:sz w:val="24"/>
          <w:szCs w:val="24"/>
        </w:rPr>
        <w:footnoteReference w:id="23"/>
      </w:r>
      <w:r w:rsidR="00311334">
        <w:t xml:space="preserve"> </w:t>
      </w:r>
      <w:r w:rsidR="00311334">
        <w:rPr>
          <w:rFonts w:ascii="Times New Roman" w:hAnsi="Times New Roman" w:cs="Times New Roman"/>
          <w:sz w:val="24"/>
          <w:szCs w:val="24"/>
        </w:rPr>
        <w:t>In addition, g</w:t>
      </w:r>
      <w:r w:rsidRPr="00BD3EA7">
        <w:rPr>
          <w:rFonts w:ascii="Times New Roman" w:eastAsia="Times New Roman" w:hAnsi="Times New Roman" w:cs="Times New Roman"/>
          <w:sz w:val="24"/>
          <w:szCs w:val="24"/>
          <w:shd w:val="clear" w:color="auto" w:fill="FFFFFF"/>
        </w:rPr>
        <w:t>enerally, real evidence may not be relevant unless its condition at the time of trial is similar to its condition at the time of the incident in question.</w:t>
      </w:r>
      <w:r w:rsidRPr="00BD3EA7">
        <w:rPr>
          <w:rStyle w:val="FootnoteReference"/>
          <w:rFonts w:ascii="Times New Roman" w:eastAsia="Times New Roman" w:hAnsi="Times New Roman" w:cs="Times New Roman"/>
          <w:sz w:val="24"/>
          <w:szCs w:val="24"/>
          <w:shd w:val="clear" w:color="auto" w:fill="FFFFFF"/>
        </w:rPr>
        <w:footnoteReference w:id="24"/>
      </w:r>
      <w:r w:rsidRPr="00BD3EA7">
        <w:rPr>
          <w:rFonts w:ascii="Times New Roman" w:eastAsia="Times New Roman" w:hAnsi="Times New Roman" w:cs="Times New Roman"/>
          <w:sz w:val="24"/>
          <w:szCs w:val="24"/>
          <w:shd w:val="clear" w:color="auto" w:fill="FFFFFF"/>
        </w:rPr>
        <w:t xml:space="preserve"> In such cases, the party offering the evidence must also introduce evidence sufficient to support a finding that the condition is similar.</w:t>
      </w:r>
      <w:r w:rsidRPr="00BD3EA7">
        <w:rPr>
          <w:rStyle w:val="FootnoteReference"/>
          <w:rFonts w:ascii="Times New Roman" w:eastAsia="Times New Roman" w:hAnsi="Times New Roman" w:cs="Times New Roman"/>
          <w:sz w:val="24"/>
          <w:szCs w:val="24"/>
          <w:shd w:val="clear" w:color="auto" w:fill="FFFFFF"/>
        </w:rPr>
        <w:footnoteReference w:id="25"/>
      </w:r>
    </w:p>
    <w:p w:rsidR="00BB21B3" w:rsidRDefault="004924CD" w:rsidP="009C25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alleged service lines and, consequently, photographs are not </w:t>
      </w:r>
      <w:r w:rsidR="00F81E1D">
        <w:rPr>
          <w:rFonts w:ascii="Times New Roman" w:hAnsi="Times New Roman" w:cs="Times New Roman"/>
          <w:sz w:val="24"/>
          <w:szCs w:val="24"/>
        </w:rPr>
        <w:t>relevant</w:t>
      </w:r>
      <w:r>
        <w:rPr>
          <w:rFonts w:ascii="Times New Roman" w:hAnsi="Times New Roman" w:cs="Times New Roman"/>
          <w:sz w:val="24"/>
          <w:szCs w:val="24"/>
        </w:rPr>
        <w:t xml:space="preserve">. </w:t>
      </w:r>
      <w:r w:rsidR="007F2A05">
        <w:rPr>
          <w:rFonts w:ascii="Times New Roman" w:hAnsi="Times New Roman" w:cs="Times New Roman"/>
          <w:sz w:val="24"/>
          <w:szCs w:val="24"/>
        </w:rPr>
        <w:t>It</w:t>
      </w:r>
      <w:r>
        <w:rPr>
          <w:rFonts w:ascii="Times New Roman" w:hAnsi="Times New Roman" w:cs="Times New Roman"/>
          <w:sz w:val="24"/>
          <w:szCs w:val="24"/>
        </w:rPr>
        <w:t xml:space="preserve"> appears that</w:t>
      </w:r>
      <w:r w:rsidR="007F2A05">
        <w:rPr>
          <w:rFonts w:ascii="Times New Roman" w:hAnsi="Times New Roman" w:cs="Times New Roman"/>
          <w:sz w:val="24"/>
          <w:szCs w:val="24"/>
        </w:rPr>
        <w:t xml:space="preserve"> Duke intended for</w:t>
      </w:r>
      <w:r>
        <w:rPr>
          <w:rFonts w:ascii="Times New Roman" w:hAnsi="Times New Roman" w:cs="Times New Roman"/>
          <w:sz w:val="24"/>
          <w:szCs w:val="24"/>
        </w:rPr>
        <w:t xml:space="preserve"> Duke</w:t>
      </w:r>
      <w:r w:rsidR="007F2A05">
        <w:rPr>
          <w:rFonts w:ascii="Times New Roman" w:hAnsi="Times New Roman" w:cs="Times New Roman"/>
          <w:sz w:val="24"/>
          <w:szCs w:val="24"/>
        </w:rPr>
        <w:t xml:space="preserve"> Ex. Nos. 7 and 8 to be viewed as evidence of the typical condition of the 58,000 service lines set to be replaced under the ASRP.</w:t>
      </w:r>
      <w:r w:rsidR="00115698">
        <w:rPr>
          <w:rStyle w:val="FootnoteReference"/>
          <w:rFonts w:ascii="Times New Roman" w:hAnsi="Times New Roman" w:cs="Times New Roman"/>
          <w:sz w:val="24"/>
          <w:szCs w:val="24"/>
        </w:rPr>
        <w:footnoteReference w:id="26"/>
      </w:r>
      <w:r w:rsidR="00BB21B3">
        <w:rPr>
          <w:rFonts w:ascii="Times New Roman" w:hAnsi="Times New Roman" w:cs="Times New Roman"/>
          <w:sz w:val="24"/>
          <w:szCs w:val="24"/>
        </w:rPr>
        <w:t xml:space="preserve"> However, Duke did not provide evidence to support this connection.</w:t>
      </w:r>
    </w:p>
    <w:p w:rsidR="00BB21B3" w:rsidRDefault="00BB21B3" w:rsidP="009C25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w:t>
      </w:r>
      <w:r w:rsidR="00D22FCD">
        <w:rPr>
          <w:rFonts w:ascii="Times New Roman" w:hAnsi="Times New Roman" w:cs="Times New Roman"/>
          <w:sz w:val="24"/>
          <w:szCs w:val="24"/>
        </w:rPr>
        <w:t>, there is no evidence showing these service lines are a fair and adequate re</w:t>
      </w:r>
      <w:r w:rsidR="00BD2F64">
        <w:rPr>
          <w:rFonts w:ascii="Times New Roman" w:hAnsi="Times New Roman" w:cs="Times New Roman"/>
          <w:sz w:val="24"/>
          <w:szCs w:val="24"/>
        </w:rPr>
        <w:t>presentation of the 58,000</w:t>
      </w:r>
      <w:r w:rsidR="00D22FCD">
        <w:rPr>
          <w:rFonts w:ascii="Times New Roman" w:hAnsi="Times New Roman" w:cs="Times New Roman"/>
          <w:sz w:val="24"/>
          <w:szCs w:val="24"/>
        </w:rPr>
        <w:t xml:space="preserve"> service lines that Duke plans on replacing under the ASRP. In fact, quite to the contrary, </w:t>
      </w:r>
      <w:r w:rsidR="00040C5A">
        <w:rPr>
          <w:rFonts w:ascii="Times New Roman" w:hAnsi="Times New Roman" w:cs="Times New Roman"/>
          <w:sz w:val="24"/>
          <w:szCs w:val="24"/>
        </w:rPr>
        <w:t>Duke</w:t>
      </w:r>
      <w:r w:rsidR="00D22FCD">
        <w:rPr>
          <w:rFonts w:ascii="Times New Roman" w:hAnsi="Times New Roman" w:cs="Times New Roman"/>
          <w:sz w:val="24"/>
          <w:szCs w:val="24"/>
        </w:rPr>
        <w:t xml:space="preserve"> admitted that </w:t>
      </w:r>
      <w:r w:rsidR="00040C5A">
        <w:rPr>
          <w:rFonts w:ascii="Times New Roman" w:hAnsi="Times New Roman" w:cs="Times New Roman"/>
          <w:sz w:val="24"/>
          <w:szCs w:val="24"/>
        </w:rPr>
        <w:t>it</w:t>
      </w:r>
      <w:r w:rsidR="00D22FCD">
        <w:rPr>
          <w:rFonts w:ascii="Times New Roman" w:hAnsi="Times New Roman" w:cs="Times New Roman"/>
          <w:sz w:val="24"/>
          <w:szCs w:val="24"/>
        </w:rPr>
        <w:t xml:space="preserve"> was specifically seeking out a </w:t>
      </w:r>
      <w:r w:rsidR="00040C5A">
        <w:rPr>
          <w:rFonts w:ascii="Times New Roman" w:hAnsi="Times New Roman" w:cs="Times New Roman"/>
          <w:sz w:val="24"/>
          <w:szCs w:val="24"/>
        </w:rPr>
        <w:t xml:space="preserve">particularly </w:t>
      </w:r>
      <w:r w:rsidR="00D22FCD">
        <w:rPr>
          <w:rFonts w:ascii="Times New Roman" w:hAnsi="Times New Roman" w:cs="Times New Roman"/>
          <w:sz w:val="24"/>
          <w:szCs w:val="24"/>
        </w:rPr>
        <w:t>deteriorated piece of pipe to use as a visual aid.</w:t>
      </w:r>
      <w:r w:rsidR="00D22FCD">
        <w:rPr>
          <w:rStyle w:val="FootnoteReference"/>
          <w:rFonts w:ascii="Times New Roman" w:hAnsi="Times New Roman" w:cs="Times New Roman"/>
          <w:sz w:val="24"/>
          <w:szCs w:val="24"/>
        </w:rPr>
        <w:footnoteReference w:id="27"/>
      </w:r>
      <w:r w:rsidR="00D22FCD">
        <w:rPr>
          <w:rFonts w:ascii="Times New Roman" w:hAnsi="Times New Roman" w:cs="Times New Roman"/>
          <w:sz w:val="24"/>
          <w:szCs w:val="24"/>
        </w:rPr>
        <w:t xml:space="preserve"> </w:t>
      </w:r>
      <w:r>
        <w:rPr>
          <w:rFonts w:ascii="Times New Roman" w:hAnsi="Times New Roman" w:cs="Times New Roman"/>
          <w:sz w:val="24"/>
          <w:szCs w:val="24"/>
        </w:rPr>
        <w:t>Accordingly</w:t>
      </w:r>
      <w:r w:rsidR="00D22FCD">
        <w:rPr>
          <w:rFonts w:ascii="Times New Roman" w:hAnsi="Times New Roman" w:cs="Times New Roman"/>
          <w:sz w:val="24"/>
          <w:szCs w:val="24"/>
        </w:rPr>
        <w:t xml:space="preserve">, it is logical to infer that </w:t>
      </w:r>
      <w:r w:rsidR="00040C5A">
        <w:rPr>
          <w:rFonts w:ascii="Times New Roman" w:hAnsi="Times New Roman" w:cs="Times New Roman"/>
          <w:sz w:val="24"/>
          <w:szCs w:val="24"/>
        </w:rPr>
        <w:t xml:space="preserve">Duke Ex. Nos. 7 and 8 are </w:t>
      </w:r>
      <w:r>
        <w:rPr>
          <w:rFonts w:ascii="Times New Roman" w:hAnsi="Times New Roman" w:cs="Times New Roman"/>
          <w:sz w:val="24"/>
          <w:szCs w:val="24"/>
        </w:rPr>
        <w:t xml:space="preserve">atypical and therefore </w:t>
      </w:r>
      <w:r w:rsidR="00040C5A">
        <w:rPr>
          <w:rFonts w:ascii="Times New Roman" w:hAnsi="Times New Roman" w:cs="Times New Roman"/>
          <w:sz w:val="24"/>
          <w:szCs w:val="24"/>
        </w:rPr>
        <w:t>not representative of the rest of Duke’s service lines.</w:t>
      </w:r>
      <w:r w:rsidR="00D22FCD">
        <w:rPr>
          <w:rFonts w:ascii="Times New Roman" w:hAnsi="Times New Roman" w:cs="Times New Roman"/>
          <w:sz w:val="24"/>
          <w:szCs w:val="24"/>
        </w:rPr>
        <w:t xml:space="preserve"> </w:t>
      </w:r>
    </w:p>
    <w:p w:rsidR="00040C5A" w:rsidRDefault="00BB21B3" w:rsidP="009C25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Alternatively, i</w:t>
      </w:r>
      <w:r w:rsidR="00040C5A">
        <w:rPr>
          <w:rFonts w:ascii="Times New Roman" w:hAnsi="Times New Roman" w:cs="Times New Roman"/>
          <w:sz w:val="24"/>
          <w:szCs w:val="24"/>
        </w:rPr>
        <w:t xml:space="preserve">n order to provide relevant evidence Duke should have produced a variety of full-length </w:t>
      </w:r>
      <w:r w:rsidR="00ED4B1E">
        <w:rPr>
          <w:rFonts w:ascii="Times New Roman" w:hAnsi="Times New Roman" w:cs="Times New Roman"/>
          <w:sz w:val="24"/>
          <w:szCs w:val="24"/>
        </w:rPr>
        <w:t>service</w:t>
      </w:r>
      <w:r w:rsidR="00040C5A">
        <w:rPr>
          <w:rFonts w:ascii="Times New Roman" w:hAnsi="Times New Roman" w:cs="Times New Roman"/>
          <w:sz w:val="24"/>
          <w:szCs w:val="24"/>
        </w:rPr>
        <w:t xml:space="preserve"> lines from a variety of areas in its Ohio service territory. This would have at least produced a somewhat fair and adequate illustration of the condition of Duke’s service lines. Instead, Duke sought and introduced two five foot pieces</w:t>
      </w:r>
      <w:r w:rsidR="00040C5A">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040C5A">
        <w:rPr>
          <w:rFonts w:ascii="Times New Roman" w:hAnsi="Times New Roman" w:cs="Times New Roman"/>
          <w:sz w:val="24"/>
          <w:szCs w:val="24"/>
        </w:rPr>
        <w:t>of th</w:t>
      </w:r>
      <w:r w:rsidR="00BF38A7">
        <w:rPr>
          <w:rFonts w:ascii="Times New Roman" w:hAnsi="Times New Roman" w:cs="Times New Roman"/>
          <w:sz w:val="24"/>
          <w:szCs w:val="24"/>
        </w:rPr>
        <w:t>e worst examples of pipe from two</w:t>
      </w:r>
      <w:r w:rsidR="00040C5A">
        <w:rPr>
          <w:rFonts w:ascii="Times New Roman" w:hAnsi="Times New Roman" w:cs="Times New Roman"/>
          <w:sz w:val="24"/>
          <w:szCs w:val="24"/>
        </w:rPr>
        <w:t xml:space="preserve"> spot</w:t>
      </w:r>
      <w:r w:rsidR="00BF38A7">
        <w:rPr>
          <w:rFonts w:ascii="Times New Roman" w:hAnsi="Times New Roman" w:cs="Times New Roman"/>
          <w:sz w:val="24"/>
          <w:szCs w:val="24"/>
        </w:rPr>
        <w:t>s</w:t>
      </w:r>
      <w:r w:rsidR="00BF38A7">
        <w:rPr>
          <w:rStyle w:val="FootnoteReference"/>
          <w:rFonts w:ascii="Times New Roman" w:hAnsi="Times New Roman" w:cs="Times New Roman"/>
          <w:sz w:val="24"/>
          <w:szCs w:val="24"/>
        </w:rPr>
        <w:footnoteReference w:id="29"/>
      </w:r>
      <w:r w:rsidR="00040C5A">
        <w:rPr>
          <w:rFonts w:ascii="Times New Roman" w:hAnsi="Times New Roman" w:cs="Times New Roman"/>
          <w:sz w:val="24"/>
          <w:szCs w:val="24"/>
        </w:rPr>
        <w:t xml:space="preserve"> in its service territory.</w:t>
      </w:r>
      <w:r w:rsidR="00BD2F64">
        <w:rPr>
          <w:rFonts w:ascii="Times New Roman" w:hAnsi="Times New Roman" w:cs="Times New Roman"/>
          <w:sz w:val="24"/>
          <w:szCs w:val="24"/>
        </w:rPr>
        <w:t xml:space="preserve"> Such a practice </w:t>
      </w:r>
      <w:r w:rsidR="00FF3C0A">
        <w:rPr>
          <w:rFonts w:ascii="Times New Roman" w:hAnsi="Times New Roman" w:cs="Times New Roman"/>
          <w:sz w:val="24"/>
          <w:szCs w:val="24"/>
        </w:rPr>
        <w:t>can only</w:t>
      </w:r>
      <w:r w:rsidR="00BD2F64">
        <w:rPr>
          <w:rFonts w:ascii="Times New Roman" w:hAnsi="Times New Roman" w:cs="Times New Roman"/>
          <w:sz w:val="24"/>
          <w:szCs w:val="24"/>
        </w:rPr>
        <w:t xml:space="preserve"> produce biased and irrelevant evidence.</w:t>
      </w:r>
    </w:p>
    <w:p w:rsidR="009C25F3" w:rsidRDefault="009C25F3" w:rsidP="009C25F3">
      <w:pPr>
        <w:spacing w:after="0" w:line="480" w:lineRule="auto"/>
        <w:ind w:firstLine="720"/>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Moreover, t</w:t>
      </w:r>
      <w:r w:rsidR="00BD2F64" w:rsidRPr="00FC3028">
        <w:rPr>
          <w:rFonts w:ascii="Times New Roman" w:hAnsi="Times New Roman" w:cs="Times New Roman"/>
          <w:sz w:val="24"/>
          <w:szCs w:val="24"/>
        </w:rPr>
        <w:t xml:space="preserve">he Duke witness (Mr. Hebbeler) presented to </w:t>
      </w:r>
      <w:r w:rsidR="00BD2F64">
        <w:rPr>
          <w:rFonts w:ascii="Times New Roman" w:hAnsi="Times New Roman" w:cs="Times New Roman"/>
          <w:sz w:val="24"/>
          <w:szCs w:val="24"/>
        </w:rPr>
        <w:t>testify to</w:t>
      </w:r>
      <w:r w:rsidR="00BD2F64" w:rsidRPr="00FC3028">
        <w:rPr>
          <w:rFonts w:ascii="Times New Roman" w:hAnsi="Times New Roman" w:cs="Times New Roman"/>
          <w:sz w:val="24"/>
          <w:szCs w:val="24"/>
        </w:rPr>
        <w:t xml:space="preserve"> </w:t>
      </w:r>
      <w:r w:rsidR="00BD2F64">
        <w:rPr>
          <w:rFonts w:ascii="Times New Roman" w:hAnsi="Times New Roman" w:cs="Times New Roman"/>
          <w:sz w:val="24"/>
          <w:szCs w:val="24"/>
        </w:rPr>
        <w:t xml:space="preserve">the alleged service lines </w:t>
      </w:r>
      <w:r w:rsidR="00BD2F64" w:rsidRPr="00FC3028">
        <w:rPr>
          <w:rFonts w:ascii="Times New Roman" w:hAnsi="Times New Roman" w:cs="Times New Roman"/>
          <w:sz w:val="24"/>
          <w:szCs w:val="24"/>
        </w:rPr>
        <w:t xml:space="preserve">(1) </w:t>
      </w:r>
      <w:r w:rsidR="00675D2E">
        <w:rPr>
          <w:rFonts w:ascii="Times New Roman" w:hAnsi="Times New Roman" w:cs="Times New Roman"/>
          <w:sz w:val="24"/>
          <w:szCs w:val="24"/>
        </w:rPr>
        <w:t>was not present when the objects were allegedly removed from the ground</w:t>
      </w:r>
      <w:r w:rsidR="00BD2F64" w:rsidRPr="00FC3028">
        <w:rPr>
          <w:rFonts w:ascii="Times New Roman" w:hAnsi="Times New Roman" w:cs="Times New Roman"/>
          <w:sz w:val="24"/>
          <w:szCs w:val="24"/>
        </w:rPr>
        <w:t>;</w:t>
      </w:r>
      <w:r w:rsidR="00675D2E">
        <w:rPr>
          <w:rStyle w:val="FootnoteReference"/>
          <w:rFonts w:ascii="Times New Roman" w:hAnsi="Times New Roman" w:cs="Times New Roman"/>
          <w:sz w:val="24"/>
          <w:szCs w:val="24"/>
        </w:rPr>
        <w:footnoteReference w:id="30"/>
      </w:r>
      <w:r w:rsidR="00BD2F64" w:rsidRPr="00FC3028">
        <w:rPr>
          <w:rFonts w:ascii="Times New Roman" w:hAnsi="Times New Roman" w:cs="Times New Roman"/>
          <w:sz w:val="24"/>
          <w:szCs w:val="24"/>
        </w:rPr>
        <w:t xml:space="preserve"> (2) did not produce any documentation verifying when or where the alleged pipes were removed from the ground;</w:t>
      </w:r>
      <w:r w:rsidR="00675D2E">
        <w:rPr>
          <w:rStyle w:val="FootnoteReference"/>
          <w:rFonts w:ascii="Times New Roman" w:hAnsi="Times New Roman" w:cs="Times New Roman"/>
          <w:sz w:val="24"/>
          <w:szCs w:val="24"/>
        </w:rPr>
        <w:footnoteReference w:id="31"/>
      </w:r>
      <w:r w:rsidR="00BD2F64" w:rsidRPr="00FC3028">
        <w:rPr>
          <w:rFonts w:ascii="Times New Roman" w:hAnsi="Times New Roman" w:cs="Times New Roman"/>
          <w:sz w:val="24"/>
          <w:szCs w:val="24"/>
        </w:rPr>
        <w:t xml:space="preserve"> (3) did not provide the names of the people who allegedly removed the objects from the ground;</w:t>
      </w:r>
      <w:r w:rsidR="00675D2E">
        <w:rPr>
          <w:rStyle w:val="FootnoteReference"/>
          <w:rFonts w:ascii="Times New Roman" w:hAnsi="Times New Roman" w:cs="Times New Roman"/>
          <w:sz w:val="24"/>
          <w:szCs w:val="24"/>
        </w:rPr>
        <w:footnoteReference w:id="32"/>
      </w:r>
      <w:r w:rsidR="00BD2F64" w:rsidRPr="00FC3028">
        <w:rPr>
          <w:rFonts w:ascii="Times New Roman" w:hAnsi="Times New Roman" w:cs="Times New Roman"/>
          <w:sz w:val="24"/>
          <w:szCs w:val="24"/>
        </w:rPr>
        <w:t xml:space="preserve"> (4) could not verify how the objects were removed from the ground, either by machine or by hand;</w:t>
      </w:r>
      <w:r w:rsidR="00675D2E">
        <w:rPr>
          <w:rStyle w:val="FootnoteReference"/>
          <w:rFonts w:ascii="Times New Roman" w:hAnsi="Times New Roman" w:cs="Times New Roman"/>
          <w:sz w:val="24"/>
          <w:szCs w:val="24"/>
        </w:rPr>
        <w:footnoteReference w:id="33"/>
      </w:r>
      <w:r w:rsidR="00BD2F64" w:rsidRPr="00FC3028">
        <w:rPr>
          <w:rFonts w:ascii="Times New Roman" w:hAnsi="Times New Roman" w:cs="Times New Roman"/>
          <w:sz w:val="24"/>
          <w:szCs w:val="24"/>
        </w:rPr>
        <w:t xml:space="preserve"> (5) could not verify how the objects were treated while in the custody of the initial owners;</w:t>
      </w:r>
      <w:r w:rsidR="00675D2E">
        <w:rPr>
          <w:rStyle w:val="FootnoteReference"/>
          <w:rFonts w:ascii="Times New Roman" w:hAnsi="Times New Roman" w:cs="Times New Roman"/>
          <w:sz w:val="24"/>
          <w:szCs w:val="24"/>
        </w:rPr>
        <w:footnoteReference w:id="34"/>
      </w:r>
      <w:r w:rsidR="00BD2F64" w:rsidRPr="00FC3028">
        <w:rPr>
          <w:rFonts w:ascii="Times New Roman" w:hAnsi="Times New Roman" w:cs="Times New Roman"/>
          <w:sz w:val="24"/>
          <w:szCs w:val="24"/>
        </w:rPr>
        <w:t xml:space="preserve"> (6) did not produce any documentation verifying when or where possession of the objects was passed to the witness; (</w:t>
      </w:r>
      <w:r w:rsidR="00BD2F64">
        <w:rPr>
          <w:rFonts w:ascii="Times New Roman" w:hAnsi="Times New Roman" w:cs="Times New Roman"/>
          <w:sz w:val="24"/>
          <w:szCs w:val="24"/>
        </w:rPr>
        <w:t>7</w:t>
      </w:r>
      <w:r w:rsidR="00BD2F64" w:rsidRPr="00FC3028">
        <w:rPr>
          <w:rFonts w:ascii="Times New Roman" w:hAnsi="Times New Roman" w:cs="Times New Roman"/>
          <w:sz w:val="24"/>
          <w:szCs w:val="24"/>
        </w:rPr>
        <w:t>) did not produce any evidence verifying what condition the objects were in when possession of the objects was passed to the witness; (8) testified that he kept the objects in an uncontrolled environment;</w:t>
      </w:r>
      <w:r w:rsidR="00B4493C">
        <w:rPr>
          <w:rStyle w:val="FootnoteReference"/>
          <w:rFonts w:ascii="Times New Roman" w:hAnsi="Times New Roman" w:cs="Times New Roman"/>
          <w:sz w:val="24"/>
          <w:szCs w:val="24"/>
        </w:rPr>
        <w:footnoteReference w:id="35"/>
      </w:r>
      <w:r w:rsidR="00BD2F64" w:rsidRPr="00FC3028">
        <w:rPr>
          <w:rFonts w:ascii="Times New Roman" w:hAnsi="Times New Roman" w:cs="Times New Roman"/>
          <w:sz w:val="24"/>
          <w:szCs w:val="24"/>
        </w:rPr>
        <w:t xml:space="preserve"> and (9) did not testify as to how the objects were transported to the evidentiary hearing.</w:t>
      </w:r>
      <w:r w:rsidR="00BD2F64">
        <w:rPr>
          <w:rFonts w:ascii="Times New Roman" w:hAnsi="Times New Roman" w:cs="Times New Roman"/>
          <w:sz w:val="24"/>
          <w:szCs w:val="24"/>
        </w:rPr>
        <w:t xml:space="preserve"> </w:t>
      </w:r>
      <w:r w:rsidR="004924CD" w:rsidRPr="00FC3028">
        <w:rPr>
          <w:rFonts w:ascii="Times New Roman" w:eastAsia="Times New Roman" w:hAnsi="Times New Roman" w:cs="Times New Roman"/>
          <w:sz w:val="24"/>
          <w:szCs w:val="24"/>
          <w:shd w:val="clear" w:color="auto" w:fill="FFFFFF"/>
        </w:rPr>
        <w:t>In fact, the witness could not even verify that the objects had not been sitting in salt water before being presented to him.</w:t>
      </w:r>
      <w:r w:rsidR="004924CD" w:rsidRPr="00FC3028">
        <w:rPr>
          <w:rStyle w:val="FootnoteReference"/>
          <w:rFonts w:ascii="Times New Roman" w:eastAsia="Times New Roman" w:hAnsi="Times New Roman" w:cs="Times New Roman"/>
          <w:sz w:val="24"/>
          <w:szCs w:val="24"/>
          <w:shd w:val="clear" w:color="auto" w:fill="FFFFFF"/>
        </w:rPr>
        <w:footnoteReference w:id="36"/>
      </w:r>
      <w:r w:rsidR="004924CD" w:rsidRPr="00FC3028">
        <w:rPr>
          <w:rFonts w:ascii="Times New Roman" w:eastAsia="Times New Roman" w:hAnsi="Times New Roman" w:cs="Times New Roman"/>
          <w:sz w:val="24"/>
          <w:szCs w:val="24"/>
          <w:shd w:val="clear" w:color="auto" w:fill="FFFFFF"/>
        </w:rPr>
        <w:t xml:space="preserve"> </w:t>
      </w:r>
    </w:p>
    <w:p w:rsidR="00FF3C0A" w:rsidRDefault="00675D2E" w:rsidP="00DF1842">
      <w:pPr>
        <w:spacing w:after="0" w:line="480" w:lineRule="auto"/>
        <w:ind w:firstLine="720"/>
        <w:contextualSpacing/>
        <w:rPr>
          <w:rFonts w:ascii="Times New Roman" w:eastAsia="Times New Roman" w:hAnsi="Times New Roman" w:cs="Times New Roman"/>
          <w:sz w:val="24"/>
          <w:szCs w:val="24"/>
          <w:shd w:val="clear" w:color="auto" w:fill="FFFFFF"/>
        </w:rPr>
      </w:pPr>
      <w:r w:rsidRPr="006E495D">
        <w:rPr>
          <w:rFonts w:ascii="Times New Roman" w:eastAsia="Times New Roman" w:hAnsi="Times New Roman" w:cs="Times New Roman"/>
          <w:sz w:val="24"/>
          <w:szCs w:val="24"/>
          <w:shd w:val="clear" w:color="auto" w:fill="FFFFFF"/>
        </w:rPr>
        <w:t xml:space="preserve">Therefore, </w:t>
      </w:r>
      <w:r w:rsidR="009C25F3" w:rsidRPr="006E495D">
        <w:rPr>
          <w:rFonts w:ascii="Times New Roman" w:eastAsia="Times New Roman" w:hAnsi="Times New Roman" w:cs="Times New Roman"/>
          <w:sz w:val="24"/>
          <w:szCs w:val="24"/>
          <w:shd w:val="clear" w:color="auto" w:fill="FFFFFF"/>
        </w:rPr>
        <w:t>Duke cannot not verify that the condition of the objects at the time of the hearing was the same or similar to the condition at the time that they were allegedly unearthed.</w:t>
      </w:r>
      <w:r w:rsidR="009C25F3" w:rsidRPr="00FC3028">
        <w:rPr>
          <w:rStyle w:val="FootnoteReference"/>
          <w:rFonts w:ascii="Times New Roman" w:eastAsia="Times New Roman" w:hAnsi="Times New Roman" w:cs="Times New Roman"/>
          <w:sz w:val="24"/>
          <w:szCs w:val="24"/>
          <w:shd w:val="clear" w:color="auto" w:fill="FFFFFF"/>
        </w:rPr>
        <w:footnoteReference w:id="37"/>
      </w:r>
      <w:r w:rsidR="009C25F3" w:rsidRPr="006E495D">
        <w:rPr>
          <w:rFonts w:ascii="Times New Roman" w:eastAsia="Times New Roman" w:hAnsi="Times New Roman" w:cs="Times New Roman"/>
          <w:sz w:val="24"/>
          <w:szCs w:val="24"/>
          <w:shd w:val="clear" w:color="auto" w:fill="FFFFFF"/>
        </w:rPr>
        <w:t xml:space="preserve"> Additionally, </w:t>
      </w:r>
      <w:r w:rsidRPr="006E495D">
        <w:rPr>
          <w:rFonts w:ascii="Times New Roman" w:eastAsia="Times New Roman" w:hAnsi="Times New Roman" w:cs="Times New Roman"/>
          <w:sz w:val="24"/>
          <w:szCs w:val="24"/>
          <w:shd w:val="clear" w:color="auto" w:fill="FFFFFF"/>
        </w:rPr>
        <w:t xml:space="preserve">it is not possible </w:t>
      </w:r>
      <w:r w:rsidR="00BB21B3">
        <w:rPr>
          <w:rFonts w:ascii="Times New Roman" w:eastAsia="Times New Roman" w:hAnsi="Times New Roman" w:cs="Times New Roman"/>
          <w:sz w:val="24"/>
          <w:szCs w:val="24"/>
          <w:shd w:val="clear" w:color="auto" w:fill="FFFFFF"/>
        </w:rPr>
        <w:t>or even probable to be sure</w:t>
      </w:r>
      <w:r w:rsidR="00B4493C" w:rsidRPr="006E495D">
        <w:rPr>
          <w:rFonts w:ascii="Times New Roman" w:eastAsia="Times New Roman" w:hAnsi="Times New Roman" w:cs="Times New Roman"/>
          <w:sz w:val="24"/>
          <w:szCs w:val="24"/>
          <w:shd w:val="clear" w:color="auto" w:fill="FFFFFF"/>
        </w:rPr>
        <w:t xml:space="preserve"> that</w:t>
      </w:r>
      <w:r w:rsidRPr="006E495D">
        <w:rPr>
          <w:rFonts w:ascii="Times New Roman" w:eastAsia="Times New Roman" w:hAnsi="Times New Roman" w:cs="Times New Roman"/>
          <w:sz w:val="24"/>
          <w:szCs w:val="24"/>
          <w:shd w:val="clear" w:color="auto" w:fill="FFFFFF"/>
        </w:rPr>
        <w:t xml:space="preserve"> the condition of Duke Ex. Nos. 7 an</w:t>
      </w:r>
      <w:r w:rsidR="00B4493C" w:rsidRPr="006E495D">
        <w:rPr>
          <w:rFonts w:ascii="Times New Roman" w:eastAsia="Times New Roman" w:hAnsi="Times New Roman" w:cs="Times New Roman"/>
          <w:sz w:val="24"/>
          <w:szCs w:val="24"/>
          <w:shd w:val="clear" w:color="auto" w:fill="FFFFFF"/>
        </w:rPr>
        <w:t>d 8 are the result of corrosion.</w:t>
      </w:r>
      <w:r w:rsidR="009C25F3" w:rsidRPr="006E495D">
        <w:rPr>
          <w:rFonts w:ascii="Times New Roman" w:eastAsia="Times New Roman" w:hAnsi="Times New Roman" w:cs="Times New Roman"/>
          <w:sz w:val="24"/>
          <w:szCs w:val="24"/>
          <w:shd w:val="clear" w:color="auto" w:fill="FFFFFF"/>
        </w:rPr>
        <w:t xml:space="preserve"> If the current condition of the pipes is not due to corrosion then they have no logical connection to the ASR</w:t>
      </w:r>
      <w:r w:rsidR="00C154F4">
        <w:rPr>
          <w:rFonts w:ascii="Times New Roman" w:eastAsia="Times New Roman" w:hAnsi="Times New Roman" w:cs="Times New Roman"/>
          <w:sz w:val="24"/>
          <w:szCs w:val="24"/>
          <w:shd w:val="clear" w:color="auto" w:fill="FFFFFF"/>
        </w:rPr>
        <w:t>P</w:t>
      </w:r>
      <w:r w:rsidR="009C25F3" w:rsidRPr="006E495D">
        <w:rPr>
          <w:rFonts w:ascii="Times New Roman" w:eastAsia="Times New Roman" w:hAnsi="Times New Roman" w:cs="Times New Roman"/>
          <w:sz w:val="24"/>
          <w:szCs w:val="24"/>
          <w:shd w:val="clear" w:color="auto" w:fill="FFFFFF"/>
        </w:rPr>
        <w:t xml:space="preserve"> and are not relevant or admissible.</w:t>
      </w:r>
    </w:p>
    <w:p w:rsidR="00F8092A" w:rsidRPr="006E495D" w:rsidRDefault="00A62460" w:rsidP="00DF1842">
      <w:pPr>
        <w:pStyle w:val="Heading2"/>
        <w:spacing w:after="0"/>
      </w:pPr>
      <w:bookmarkStart w:id="7" w:name="_Toc437441458"/>
      <w:r>
        <w:t>B.</w:t>
      </w:r>
      <w:r>
        <w:tab/>
      </w:r>
      <w:r w:rsidR="00F8092A" w:rsidRPr="006E495D">
        <w:t xml:space="preserve">The PUCO is indeed bound by the </w:t>
      </w:r>
      <w:r w:rsidR="00BB21B3">
        <w:t>law</w:t>
      </w:r>
      <w:r w:rsidR="00F8092A" w:rsidRPr="006E495D">
        <w:t>.</w:t>
      </w:r>
      <w:bookmarkEnd w:id="7"/>
    </w:p>
    <w:p w:rsidR="00DF1842" w:rsidRDefault="00DF1842" w:rsidP="00DF1842">
      <w:pPr>
        <w:spacing w:after="0" w:line="240" w:lineRule="auto"/>
        <w:ind w:firstLine="720"/>
        <w:contextualSpacing/>
        <w:rPr>
          <w:rFonts w:ascii="Times New Roman" w:hAnsi="Times New Roman" w:cs="Times New Roman"/>
          <w:sz w:val="24"/>
          <w:szCs w:val="24"/>
        </w:rPr>
      </w:pPr>
    </w:p>
    <w:p w:rsidR="000E42BF" w:rsidRDefault="005A79FE" w:rsidP="006E495D">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rPr>
        <w:t>While, it is true that the PUCO</w:t>
      </w:r>
      <w:r w:rsidR="00F8092A" w:rsidRPr="00FC3028">
        <w:rPr>
          <w:rFonts w:ascii="Times New Roman" w:hAnsi="Times New Roman" w:cs="Times New Roman"/>
          <w:sz w:val="24"/>
          <w:szCs w:val="24"/>
        </w:rPr>
        <w:t xml:space="preserve"> </w:t>
      </w:r>
      <w:r>
        <w:rPr>
          <w:rFonts w:ascii="Times New Roman" w:hAnsi="Times New Roman" w:cs="Times New Roman"/>
          <w:sz w:val="24"/>
          <w:szCs w:val="24"/>
        </w:rPr>
        <w:t>is</w:t>
      </w:r>
      <w:r w:rsidR="00F8092A" w:rsidRPr="00FC3028">
        <w:rPr>
          <w:rFonts w:ascii="Times New Roman" w:hAnsi="Times New Roman" w:cs="Times New Roman"/>
          <w:sz w:val="24"/>
          <w:szCs w:val="24"/>
        </w:rPr>
        <w:t xml:space="preserve"> not</w:t>
      </w:r>
      <w:r w:rsidR="00F8092A">
        <w:rPr>
          <w:rFonts w:ascii="Times New Roman" w:hAnsi="Times New Roman" w:cs="Times New Roman"/>
          <w:sz w:val="24"/>
          <w:szCs w:val="24"/>
        </w:rPr>
        <w:t xml:space="preserve"> strictly</w:t>
      </w:r>
      <w:r w:rsidR="00F8092A" w:rsidRPr="00FC3028">
        <w:rPr>
          <w:rFonts w:ascii="Times New Roman" w:hAnsi="Times New Roman" w:cs="Times New Roman"/>
          <w:sz w:val="24"/>
          <w:szCs w:val="24"/>
        </w:rPr>
        <w:t> </w:t>
      </w:r>
      <w:r w:rsidR="00F8092A" w:rsidRPr="00FC3028">
        <w:rPr>
          <w:rFonts w:ascii="Times New Roman" w:hAnsi="Times New Roman" w:cs="Times New Roman"/>
          <w:bCs/>
          <w:sz w:val="24"/>
          <w:szCs w:val="24"/>
        </w:rPr>
        <w:t>bound</w:t>
      </w:r>
      <w:r w:rsidR="00F8092A">
        <w:rPr>
          <w:rFonts w:ascii="Times New Roman" w:hAnsi="Times New Roman" w:cs="Times New Roman"/>
          <w:sz w:val="24"/>
          <w:szCs w:val="24"/>
        </w:rPr>
        <w:t xml:space="preserve"> by the </w:t>
      </w:r>
      <w:r w:rsidR="00F8092A">
        <w:rPr>
          <w:rFonts w:ascii="Times New Roman" w:hAnsi="Times New Roman" w:cs="Times New Roman"/>
          <w:bCs/>
          <w:sz w:val="24"/>
          <w:szCs w:val="24"/>
        </w:rPr>
        <w:t>Rules of E</w:t>
      </w:r>
      <w:r w:rsidR="00F8092A" w:rsidRPr="00FC3028">
        <w:rPr>
          <w:rFonts w:ascii="Times New Roman" w:hAnsi="Times New Roman" w:cs="Times New Roman"/>
          <w:bCs/>
          <w:sz w:val="24"/>
          <w:szCs w:val="24"/>
        </w:rPr>
        <w:t>vidence</w:t>
      </w:r>
      <w:r>
        <w:rPr>
          <w:rFonts w:ascii="Times New Roman" w:hAnsi="Times New Roman" w:cs="Times New Roman"/>
          <w:bCs/>
          <w:sz w:val="24"/>
          <w:szCs w:val="24"/>
        </w:rPr>
        <w:t>,</w:t>
      </w:r>
      <w:r w:rsidR="00F8092A" w:rsidRPr="00FC3028">
        <w:rPr>
          <w:rStyle w:val="FootnoteReference"/>
          <w:rFonts w:ascii="Times New Roman" w:hAnsi="Times New Roman" w:cs="Times New Roman"/>
          <w:sz w:val="24"/>
          <w:szCs w:val="24"/>
        </w:rPr>
        <w:footnoteReference w:id="38"/>
      </w:r>
      <w:r w:rsidR="00F8092A">
        <w:rPr>
          <w:rFonts w:ascii="Times New Roman" w:hAnsi="Times New Roman" w:cs="Times New Roman"/>
          <w:sz w:val="24"/>
          <w:szCs w:val="24"/>
        </w:rPr>
        <w:t xml:space="preserve"> an administrative agency, </w:t>
      </w:r>
      <w:r w:rsidR="00F8092A" w:rsidRPr="00FC3028">
        <w:rPr>
          <w:rFonts w:ascii="Times New Roman" w:hAnsi="Times New Roman" w:cs="Times New Roman"/>
          <w:sz w:val="24"/>
          <w:szCs w:val="24"/>
        </w:rPr>
        <w:t>“being vested with the power to make decisions and order upon issues vital to applicants…</w:t>
      </w:r>
      <w:r w:rsidR="00F8092A">
        <w:rPr>
          <w:rFonts w:ascii="Times New Roman" w:hAnsi="Times New Roman" w:cs="Times New Roman"/>
          <w:sz w:val="24"/>
          <w:szCs w:val="24"/>
        </w:rPr>
        <w:t xml:space="preserve"> </w:t>
      </w:r>
      <w:r w:rsidR="00F8092A" w:rsidRPr="00FC3028">
        <w:rPr>
          <w:rFonts w:ascii="Times New Roman" w:hAnsi="Times New Roman" w:cs="Times New Roman"/>
          <w:sz w:val="24"/>
          <w:szCs w:val="24"/>
        </w:rPr>
        <w:t>should not act upon evidence which is not admissible, competent or probative of the facts which it is to determine.”</w:t>
      </w:r>
      <w:r w:rsidR="00F8092A" w:rsidRPr="00FC3028">
        <w:rPr>
          <w:rStyle w:val="FootnoteReference"/>
          <w:rFonts w:ascii="Times New Roman" w:hAnsi="Times New Roman" w:cs="Times New Roman"/>
          <w:sz w:val="24"/>
          <w:szCs w:val="24"/>
        </w:rPr>
        <w:footnoteReference w:id="39"/>
      </w:r>
      <w:r w:rsidR="00F8092A" w:rsidRPr="00FC3028">
        <w:rPr>
          <w:rFonts w:ascii="Times New Roman" w:hAnsi="Times New Roman" w:cs="Times New Roman"/>
          <w:sz w:val="24"/>
          <w:szCs w:val="24"/>
          <w:shd w:val="clear" w:color="auto" w:fill="FFFFFF"/>
        </w:rPr>
        <w:t xml:space="preserve"> </w:t>
      </w:r>
      <w:r w:rsidR="00F8092A">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addition</w:t>
      </w:r>
      <w:r w:rsidR="00F8092A">
        <w:rPr>
          <w:rFonts w:ascii="Times New Roman" w:hAnsi="Times New Roman" w:cs="Times New Roman"/>
          <w:sz w:val="24"/>
          <w:szCs w:val="24"/>
          <w:shd w:val="clear" w:color="auto" w:fill="FFFFFF"/>
        </w:rPr>
        <w:t xml:space="preserve">, the PUCO has expressly stated that while it has leeway to apply evidentiary rules, the rules are certainly instructive and that following the rules, in certain situations, will result in the most </w:t>
      </w:r>
    </w:p>
    <w:p w:rsidR="000E42BF" w:rsidRDefault="000E42B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F8092A" w:rsidRDefault="00F8092A" w:rsidP="000E42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equitable outcome to disputes between parties.</w:t>
      </w:r>
      <w:r>
        <w:rPr>
          <w:rStyle w:val="FootnoteReference"/>
          <w:rFonts w:ascii="Times New Roman" w:hAnsi="Times New Roman" w:cs="Times New Roman"/>
          <w:sz w:val="24"/>
          <w:szCs w:val="24"/>
          <w:shd w:val="clear" w:color="auto" w:fill="FFFFFF"/>
        </w:rPr>
        <w:footnoteReference w:id="40"/>
      </w:r>
      <w:r w:rsidRPr="00FC3028">
        <w:rPr>
          <w:rFonts w:ascii="Times New Roman" w:hAnsi="Times New Roman" w:cs="Times New Roman"/>
          <w:sz w:val="24"/>
          <w:szCs w:val="24"/>
          <w:shd w:val="clear" w:color="auto" w:fill="FFFFFF"/>
        </w:rPr>
        <w:t xml:space="preserve"> </w:t>
      </w:r>
      <w:r w:rsidR="005A79FE">
        <w:rPr>
          <w:rStyle w:val="ssrfcpassagedeactivated"/>
          <w:rFonts w:ascii="Times New Roman" w:hAnsi="Times New Roman" w:cs="Times New Roman"/>
          <w:sz w:val="24"/>
          <w:szCs w:val="24"/>
        </w:rPr>
        <w:t>Furthermore</w:t>
      </w:r>
      <w:r w:rsidRPr="00FC3028">
        <w:rPr>
          <w:rStyle w:val="ssrfcpassagedeactivated"/>
          <w:rFonts w:ascii="Times New Roman" w:hAnsi="Times New Roman" w:cs="Times New Roman"/>
          <w:sz w:val="24"/>
          <w:szCs w:val="24"/>
        </w:rPr>
        <w:t>, the Supreme Court has expressly stated that in reviewing PUCO decisions the</w:t>
      </w:r>
      <w:r w:rsidRPr="00FC3028">
        <w:rPr>
          <w:rFonts w:ascii="Times New Roman" w:hAnsi="Times New Roman" w:cs="Times New Roman"/>
          <w:sz w:val="24"/>
          <w:szCs w:val="24"/>
          <w:shd w:val="clear" w:color="auto" w:fill="FFFFFF"/>
        </w:rPr>
        <w:t xml:space="preserve"> court will examine the entire record to determine whether such order is based upon sufficient evidence, received under the established and recognized rules for the production of evidence.</w:t>
      </w:r>
      <w:r w:rsidRPr="00FC3028">
        <w:rPr>
          <w:rStyle w:val="FootnoteReference"/>
          <w:rFonts w:ascii="Times New Roman" w:hAnsi="Times New Roman" w:cs="Times New Roman"/>
          <w:sz w:val="24"/>
          <w:szCs w:val="24"/>
          <w:shd w:val="clear" w:color="auto" w:fill="FFFFFF"/>
        </w:rPr>
        <w:footnoteReference w:id="41"/>
      </w:r>
      <w:r w:rsidRPr="00FC30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092A" w:rsidRDefault="00F8092A" w:rsidP="00F8092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Here, as shown above, Duke Ex. Nos. 7 and 8 were admitted into evidence in violation of </w:t>
      </w:r>
      <w:r w:rsidR="00D935D2">
        <w:rPr>
          <w:rFonts w:ascii="Times New Roman" w:hAnsi="Times New Roman" w:cs="Times New Roman"/>
          <w:sz w:val="24"/>
          <w:szCs w:val="24"/>
        </w:rPr>
        <w:t>the</w:t>
      </w:r>
      <w:r w:rsidRPr="00FC3028">
        <w:rPr>
          <w:rFonts w:ascii="Times New Roman" w:hAnsi="Times New Roman" w:cs="Times New Roman"/>
          <w:sz w:val="24"/>
          <w:szCs w:val="24"/>
        </w:rPr>
        <w:t xml:space="preserve"> rules of evidence and against the objections of all Intervenors. Even though the PUCO is not strictly bound by the rules of evidence</w:t>
      </w:r>
      <w:r>
        <w:rPr>
          <w:rFonts w:ascii="Times New Roman" w:hAnsi="Times New Roman" w:cs="Times New Roman"/>
          <w:sz w:val="24"/>
          <w:szCs w:val="24"/>
        </w:rPr>
        <w:t>,</w:t>
      </w:r>
      <w:r w:rsidRPr="00FC3028">
        <w:rPr>
          <w:rFonts w:ascii="Times New Roman" w:hAnsi="Times New Roman" w:cs="Times New Roman"/>
          <w:sz w:val="24"/>
          <w:szCs w:val="24"/>
        </w:rPr>
        <w:t xml:space="preserve"> Duke Ex. Nos. 7 and 8 are so far outside the bounds of any credible application of the rules of evidence that they must be rejected. It is not proper for the PUCO to allow such evidence under the guise that it has discretion to liberally apply the rules. All legal bodies must </w:t>
      </w:r>
      <w:r w:rsidR="00AF2FF1">
        <w:rPr>
          <w:rFonts w:ascii="Times New Roman" w:hAnsi="Times New Roman" w:cs="Times New Roman"/>
          <w:sz w:val="24"/>
          <w:szCs w:val="24"/>
        </w:rPr>
        <w:t>en</w:t>
      </w:r>
      <w:r w:rsidRPr="00FC3028">
        <w:rPr>
          <w:rFonts w:ascii="Times New Roman" w:hAnsi="Times New Roman" w:cs="Times New Roman"/>
          <w:sz w:val="24"/>
          <w:szCs w:val="24"/>
        </w:rPr>
        <w:t>sure that they align themselves as closely as possible with the rules of evidence. To allow anything otherwise is bad legal precedent and public policy.</w:t>
      </w:r>
    </w:p>
    <w:p w:rsidR="00A62460" w:rsidRDefault="00A62460" w:rsidP="00A62460">
      <w:pPr>
        <w:spacing w:after="0" w:line="240" w:lineRule="auto"/>
        <w:ind w:firstLine="720"/>
        <w:rPr>
          <w:rFonts w:ascii="Times New Roman" w:hAnsi="Times New Roman" w:cs="Times New Roman"/>
          <w:sz w:val="24"/>
          <w:szCs w:val="24"/>
        </w:rPr>
      </w:pPr>
    </w:p>
    <w:p w:rsidR="00EF36AB" w:rsidRPr="00FC3028" w:rsidRDefault="00A62460" w:rsidP="00A62460">
      <w:pPr>
        <w:pStyle w:val="Heading1"/>
      </w:pPr>
      <w:bookmarkStart w:id="8" w:name="_Toc437441459"/>
      <w:r>
        <w:t>V.</w:t>
      </w:r>
      <w:r>
        <w:tab/>
      </w:r>
      <w:r w:rsidR="00BD069B" w:rsidRPr="00FC3028">
        <w:t>ARGUMENT</w:t>
      </w:r>
      <w:bookmarkEnd w:id="8"/>
      <w:r w:rsidR="00E03EC4" w:rsidRPr="00FC3028">
        <w:t xml:space="preserve"> </w:t>
      </w:r>
    </w:p>
    <w:p w:rsidR="00EF36AB" w:rsidRPr="00FC3028" w:rsidRDefault="00A62460" w:rsidP="009420EC">
      <w:pPr>
        <w:pStyle w:val="Heading2"/>
      </w:pPr>
      <w:bookmarkStart w:id="9" w:name="_Toc437441460"/>
      <w:r>
        <w:t>A.</w:t>
      </w:r>
      <w:r>
        <w:tab/>
      </w:r>
      <w:r w:rsidR="00CC30D0" w:rsidRPr="00FC3028">
        <w:t xml:space="preserve">Duke did not prove </w:t>
      </w:r>
      <w:r w:rsidR="00954348">
        <w:t>that</w:t>
      </w:r>
      <w:r w:rsidR="00CC30D0" w:rsidRPr="00FC3028">
        <w:t xml:space="preserve"> the Accelerated </w:t>
      </w:r>
      <w:r w:rsidR="00B52D36" w:rsidRPr="00FC3028">
        <w:t>Service</w:t>
      </w:r>
      <w:r w:rsidR="00CC30D0" w:rsidRPr="00FC3028">
        <w:t xml:space="preserve"> Replacement </w:t>
      </w:r>
      <w:r w:rsidR="00954348">
        <w:t>P</w:t>
      </w:r>
      <w:r w:rsidR="00CC30D0" w:rsidRPr="00FC3028">
        <w:t>rogram</w:t>
      </w:r>
      <w:r w:rsidR="00954348">
        <w:t xml:space="preserve"> will be a just and reasonable program for consumers</w:t>
      </w:r>
      <w:r w:rsidR="00CC30D0" w:rsidRPr="00FC3028">
        <w:t>.</w:t>
      </w:r>
      <w:bookmarkEnd w:id="9"/>
    </w:p>
    <w:p w:rsidR="00990C08" w:rsidRPr="00FC3028" w:rsidRDefault="00596B48" w:rsidP="00730DD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In this proceeding Duke </w:t>
      </w:r>
      <w:r w:rsidR="00EA025C" w:rsidRPr="00FC3028">
        <w:rPr>
          <w:rFonts w:ascii="Times New Roman" w:hAnsi="Times New Roman" w:cs="Times New Roman"/>
          <w:sz w:val="24"/>
          <w:szCs w:val="24"/>
        </w:rPr>
        <w:t>has the</w:t>
      </w:r>
      <w:r w:rsidRPr="00FC3028">
        <w:rPr>
          <w:rFonts w:ascii="Times New Roman" w:hAnsi="Times New Roman" w:cs="Times New Roman"/>
          <w:sz w:val="24"/>
          <w:szCs w:val="24"/>
        </w:rPr>
        <w:t xml:space="preserve"> burden of proving that its </w:t>
      </w:r>
      <w:r w:rsidR="00EA025C" w:rsidRPr="00FC3028">
        <w:rPr>
          <w:rFonts w:ascii="Times New Roman" w:hAnsi="Times New Roman" w:cs="Times New Roman"/>
          <w:sz w:val="24"/>
          <w:szCs w:val="24"/>
        </w:rPr>
        <w:t>proposal is just and reasonable. Duke has failed to carry its burden because</w:t>
      </w:r>
      <w:r w:rsidR="007E0EDF" w:rsidRPr="00FC3028">
        <w:rPr>
          <w:rFonts w:ascii="Times New Roman" w:hAnsi="Times New Roman" w:cs="Times New Roman"/>
          <w:sz w:val="24"/>
          <w:szCs w:val="24"/>
        </w:rPr>
        <w:t>,</w:t>
      </w:r>
      <w:r w:rsidR="00EA025C" w:rsidRPr="00FC3028">
        <w:rPr>
          <w:rFonts w:ascii="Times New Roman" w:hAnsi="Times New Roman" w:cs="Times New Roman"/>
          <w:sz w:val="24"/>
          <w:szCs w:val="24"/>
        </w:rPr>
        <w:t xml:space="preserve"> </w:t>
      </w:r>
      <w:r w:rsidR="007E0EDF" w:rsidRPr="00FC3028">
        <w:rPr>
          <w:rFonts w:ascii="Times New Roman" w:hAnsi="Times New Roman" w:cs="Times New Roman"/>
          <w:sz w:val="24"/>
          <w:szCs w:val="24"/>
        </w:rPr>
        <w:t>among other things,</w:t>
      </w:r>
      <w:r w:rsidR="00971086" w:rsidRPr="00FC3028">
        <w:rPr>
          <w:rFonts w:ascii="Times New Roman" w:hAnsi="Times New Roman" w:cs="Times New Roman"/>
          <w:sz w:val="24"/>
          <w:szCs w:val="24"/>
        </w:rPr>
        <w:t xml:space="preserve"> it did not show</w:t>
      </w:r>
      <w:r w:rsidR="00EA025C" w:rsidRPr="00FC3028">
        <w:rPr>
          <w:rFonts w:ascii="Times New Roman" w:hAnsi="Times New Roman" w:cs="Times New Roman"/>
          <w:sz w:val="24"/>
          <w:szCs w:val="24"/>
        </w:rPr>
        <w:t xml:space="preserve"> that its ASRP is </w:t>
      </w:r>
      <w:r w:rsidR="00664853">
        <w:rPr>
          <w:rFonts w:ascii="Times New Roman" w:hAnsi="Times New Roman" w:cs="Times New Roman"/>
          <w:sz w:val="24"/>
          <w:szCs w:val="24"/>
        </w:rPr>
        <w:t xml:space="preserve">in all respects just and reasonable. </w:t>
      </w:r>
      <w:r w:rsidR="00492620">
        <w:rPr>
          <w:rFonts w:ascii="Times New Roman" w:hAnsi="Times New Roman" w:cs="Times New Roman"/>
          <w:sz w:val="24"/>
          <w:szCs w:val="24"/>
        </w:rPr>
        <w:t>Additionally,</w:t>
      </w:r>
      <w:r w:rsidR="00664853">
        <w:rPr>
          <w:rFonts w:ascii="Times New Roman" w:hAnsi="Times New Roman" w:cs="Times New Roman"/>
          <w:sz w:val="24"/>
          <w:szCs w:val="24"/>
        </w:rPr>
        <w:t xml:space="preserve"> Duke</w:t>
      </w:r>
      <w:r w:rsidR="00492620">
        <w:rPr>
          <w:rFonts w:ascii="Times New Roman" w:hAnsi="Times New Roman" w:cs="Times New Roman"/>
          <w:sz w:val="24"/>
          <w:szCs w:val="24"/>
        </w:rPr>
        <w:t xml:space="preserve"> failed to</w:t>
      </w:r>
      <w:r w:rsidR="00664853">
        <w:rPr>
          <w:rFonts w:ascii="Times New Roman" w:hAnsi="Times New Roman" w:cs="Times New Roman"/>
          <w:sz w:val="24"/>
          <w:szCs w:val="24"/>
        </w:rPr>
        <w:t xml:space="preserve"> show that the </w:t>
      </w:r>
      <w:r w:rsidR="00BB21B3">
        <w:rPr>
          <w:rFonts w:ascii="Times New Roman" w:hAnsi="Times New Roman" w:cs="Times New Roman"/>
          <w:sz w:val="24"/>
          <w:szCs w:val="24"/>
        </w:rPr>
        <w:t>ASRP</w:t>
      </w:r>
      <w:r w:rsidR="00664853">
        <w:rPr>
          <w:rFonts w:ascii="Times New Roman" w:hAnsi="Times New Roman" w:cs="Times New Roman"/>
          <w:sz w:val="24"/>
          <w:szCs w:val="24"/>
        </w:rPr>
        <w:t xml:space="preserve"> is </w:t>
      </w:r>
      <w:r w:rsidR="00EA025C" w:rsidRPr="00FC3028">
        <w:rPr>
          <w:rFonts w:ascii="Times New Roman" w:hAnsi="Times New Roman" w:cs="Times New Roman"/>
          <w:sz w:val="24"/>
          <w:szCs w:val="24"/>
        </w:rPr>
        <w:t>ne</w:t>
      </w:r>
      <w:r w:rsidR="00C036A3">
        <w:rPr>
          <w:rFonts w:ascii="Times New Roman" w:hAnsi="Times New Roman" w:cs="Times New Roman"/>
          <w:sz w:val="24"/>
          <w:szCs w:val="24"/>
        </w:rPr>
        <w:t>eded</w:t>
      </w:r>
      <w:r w:rsidR="009B1B2C">
        <w:rPr>
          <w:rFonts w:ascii="Times New Roman" w:hAnsi="Times New Roman" w:cs="Times New Roman"/>
          <w:sz w:val="24"/>
          <w:szCs w:val="24"/>
        </w:rPr>
        <w:t xml:space="preserve"> to provide customers with necessary and adequate facilities</w:t>
      </w:r>
      <w:r w:rsidR="00EA025C" w:rsidRPr="00FC3028">
        <w:rPr>
          <w:rFonts w:ascii="Times New Roman" w:hAnsi="Times New Roman" w:cs="Times New Roman"/>
          <w:sz w:val="24"/>
          <w:szCs w:val="24"/>
        </w:rPr>
        <w:t>.</w:t>
      </w:r>
      <w:r w:rsidR="00990C08" w:rsidRPr="00FC3028">
        <w:rPr>
          <w:rFonts w:ascii="Times New Roman" w:hAnsi="Times New Roman" w:cs="Times New Roman"/>
          <w:sz w:val="24"/>
          <w:szCs w:val="24"/>
        </w:rPr>
        <w:t xml:space="preserve"> </w:t>
      </w:r>
    </w:p>
    <w:p w:rsidR="00EF36AB" w:rsidRPr="00FC3028" w:rsidRDefault="00A62460" w:rsidP="000E42BF">
      <w:pPr>
        <w:pStyle w:val="Heading3"/>
      </w:pPr>
      <w:bookmarkStart w:id="10" w:name="_Toc437441461"/>
      <w:r>
        <w:t>1.</w:t>
      </w:r>
      <w:r>
        <w:tab/>
      </w:r>
      <w:r w:rsidR="003A2455" w:rsidRPr="00FC3028">
        <w:t>There is no legal requirement or justification for Duke’s proposed ASRP</w:t>
      </w:r>
      <w:r w:rsidR="00EF36AB" w:rsidRPr="00FC3028">
        <w:t>.</w:t>
      </w:r>
      <w:bookmarkEnd w:id="10"/>
    </w:p>
    <w:p w:rsidR="000B2777" w:rsidRPr="00FC3028" w:rsidRDefault="00A62460" w:rsidP="00A62460">
      <w:pPr>
        <w:pStyle w:val="Heading4"/>
      </w:pPr>
      <w:bookmarkStart w:id="11" w:name="_Toc437441462"/>
      <w:r>
        <w:t>a.</w:t>
      </w:r>
      <w:r>
        <w:tab/>
      </w:r>
      <w:r w:rsidR="002E3A02" w:rsidRPr="00FC3028">
        <w:t>State</w:t>
      </w:r>
      <w:r w:rsidR="003A2455" w:rsidRPr="00FC3028">
        <w:t xml:space="preserve"> law does not support the need</w:t>
      </w:r>
      <w:r w:rsidR="003C603D">
        <w:t xml:space="preserve"> or reasonableness</w:t>
      </w:r>
      <w:r w:rsidR="003A2455" w:rsidRPr="00FC3028">
        <w:t xml:space="preserve"> for Duke</w:t>
      </w:r>
      <w:r w:rsidR="00F7002E" w:rsidRPr="00FC3028">
        <w:t>’s proposed</w:t>
      </w:r>
      <w:r w:rsidR="003A2455" w:rsidRPr="00FC3028">
        <w:t xml:space="preserve"> ASRP.</w:t>
      </w:r>
      <w:bookmarkEnd w:id="11"/>
    </w:p>
    <w:p w:rsidR="003A2455" w:rsidRPr="00FC3028" w:rsidRDefault="00F7002E" w:rsidP="00F7002E">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asserted in its Application</w:t>
      </w:r>
      <w:r w:rsidR="00E038FB" w:rsidRPr="00FC3028">
        <w:rPr>
          <w:rStyle w:val="FootnoteReference"/>
          <w:rFonts w:ascii="Times New Roman" w:hAnsi="Times New Roman" w:cs="Times New Roman"/>
          <w:sz w:val="24"/>
          <w:szCs w:val="24"/>
        </w:rPr>
        <w:footnoteReference w:id="42"/>
      </w:r>
      <w:r w:rsidRPr="00FC3028">
        <w:rPr>
          <w:rFonts w:ascii="Times New Roman" w:hAnsi="Times New Roman" w:cs="Times New Roman"/>
          <w:sz w:val="24"/>
          <w:szCs w:val="24"/>
        </w:rPr>
        <w:t xml:space="preserve"> and p</w:t>
      </w:r>
      <w:r w:rsidR="008875AA" w:rsidRPr="00FC3028">
        <w:rPr>
          <w:rFonts w:ascii="Times New Roman" w:hAnsi="Times New Roman" w:cs="Times New Roman"/>
          <w:sz w:val="24"/>
          <w:szCs w:val="24"/>
        </w:rPr>
        <w:t>re-filed Direct Testimony</w:t>
      </w:r>
      <w:r w:rsidR="00E038FB" w:rsidRPr="00FC3028">
        <w:rPr>
          <w:rStyle w:val="FootnoteReference"/>
          <w:rFonts w:ascii="Times New Roman" w:hAnsi="Times New Roman" w:cs="Times New Roman"/>
          <w:sz w:val="24"/>
          <w:szCs w:val="24"/>
        </w:rPr>
        <w:footnoteReference w:id="43"/>
      </w:r>
      <w:r w:rsidR="008875AA" w:rsidRPr="00FC3028">
        <w:rPr>
          <w:rFonts w:ascii="Times New Roman" w:hAnsi="Times New Roman" w:cs="Times New Roman"/>
          <w:sz w:val="24"/>
          <w:szCs w:val="24"/>
        </w:rPr>
        <w:t xml:space="preserve"> that state </w:t>
      </w:r>
      <w:r w:rsidRPr="00FC3028">
        <w:rPr>
          <w:rFonts w:ascii="Times New Roman" w:hAnsi="Times New Roman" w:cs="Times New Roman"/>
          <w:sz w:val="24"/>
          <w:szCs w:val="24"/>
        </w:rPr>
        <w:t xml:space="preserve">regulations </w:t>
      </w:r>
      <w:r w:rsidR="00BF3058" w:rsidRPr="00FC3028">
        <w:rPr>
          <w:rFonts w:ascii="Times New Roman" w:hAnsi="Times New Roman" w:cs="Times New Roman"/>
          <w:sz w:val="24"/>
          <w:szCs w:val="24"/>
        </w:rPr>
        <w:t>do not just allow, but encourage, approval of Duke’s</w:t>
      </w:r>
      <w:r w:rsidRPr="00FC3028">
        <w:rPr>
          <w:rFonts w:ascii="Times New Roman" w:hAnsi="Times New Roman" w:cs="Times New Roman"/>
          <w:sz w:val="24"/>
          <w:szCs w:val="24"/>
        </w:rPr>
        <w:t xml:space="preserve"> ASRP. Duke is mistaken.</w:t>
      </w:r>
    </w:p>
    <w:p w:rsidR="00D6685C" w:rsidRPr="00FC3028" w:rsidRDefault="00A20C61" w:rsidP="00A20C61">
      <w:pPr>
        <w:pStyle w:val="Heading5"/>
      </w:pPr>
      <w:bookmarkStart w:id="12" w:name="_Toc437441463"/>
      <w:r>
        <w:t>i</w:t>
      </w:r>
      <w:r w:rsidR="00A62460">
        <w:t>.</w:t>
      </w:r>
      <w:r w:rsidR="00A62460">
        <w:tab/>
      </w:r>
      <w:r w:rsidR="00D6685C" w:rsidRPr="00FC3028">
        <w:t>Duke’s proposed ASRP does not satisfy R.C. 4929.02(A)(10).</w:t>
      </w:r>
      <w:bookmarkEnd w:id="12"/>
    </w:p>
    <w:p w:rsidR="00077193" w:rsidRPr="00FC3028" w:rsidRDefault="000D555D" w:rsidP="00F700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4929.02(A)(10) states that it is state policy to “facilitate the state competitiveness in the global economy.”</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130B24" w:rsidRPr="00FC3028">
        <w:rPr>
          <w:rFonts w:ascii="Times New Roman" w:hAnsi="Times New Roman" w:cs="Times New Roman"/>
          <w:sz w:val="24"/>
          <w:szCs w:val="24"/>
        </w:rPr>
        <w:t>Duke states that</w:t>
      </w:r>
      <w:r>
        <w:rPr>
          <w:rFonts w:ascii="Times New Roman" w:hAnsi="Times New Roman" w:cs="Times New Roman"/>
          <w:sz w:val="24"/>
          <w:szCs w:val="24"/>
        </w:rPr>
        <w:t xml:space="preserve"> the ASRP satisfies this policy objective by allowing for</w:t>
      </w:r>
      <w:r w:rsidR="00130B24" w:rsidRPr="00FC3028">
        <w:rPr>
          <w:rFonts w:ascii="Times New Roman" w:hAnsi="Times New Roman" w:cs="Times New Roman"/>
          <w:sz w:val="24"/>
          <w:szCs w:val="24"/>
        </w:rPr>
        <w:t xml:space="preserve"> the efficient upgrading of</w:t>
      </w:r>
      <w:r w:rsidR="00BF3058" w:rsidRPr="00FC3028">
        <w:rPr>
          <w:rFonts w:ascii="Times New Roman" w:hAnsi="Times New Roman" w:cs="Times New Roman"/>
          <w:sz w:val="24"/>
          <w:szCs w:val="24"/>
        </w:rPr>
        <w:t xml:space="preserve"> the</w:t>
      </w:r>
      <w:r w:rsidR="00130B24" w:rsidRPr="00FC3028">
        <w:rPr>
          <w:rFonts w:ascii="Times New Roman" w:hAnsi="Times New Roman" w:cs="Times New Roman"/>
          <w:sz w:val="24"/>
          <w:szCs w:val="24"/>
        </w:rPr>
        <w:t xml:space="preserve"> distribution syste</w:t>
      </w:r>
      <w:r w:rsidR="00BF3058" w:rsidRPr="00FC3028">
        <w:rPr>
          <w:rFonts w:ascii="Times New Roman" w:hAnsi="Times New Roman" w:cs="Times New Roman"/>
          <w:sz w:val="24"/>
          <w:szCs w:val="24"/>
        </w:rPr>
        <w:t>m</w:t>
      </w:r>
      <w:r w:rsidR="00130B24" w:rsidRPr="00FC3028">
        <w:rPr>
          <w:rFonts w:ascii="Times New Roman" w:hAnsi="Times New Roman" w:cs="Times New Roman"/>
          <w:sz w:val="24"/>
          <w:szCs w:val="24"/>
        </w:rPr>
        <w:t>.</w:t>
      </w:r>
      <w:r w:rsidR="00130B24" w:rsidRPr="00FC3028">
        <w:rPr>
          <w:rStyle w:val="FootnoteReference"/>
          <w:rFonts w:ascii="Times New Roman" w:hAnsi="Times New Roman" w:cs="Times New Roman"/>
          <w:sz w:val="24"/>
          <w:szCs w:val="24"/>
        </w:rPr>
        <w:footnoteReference w:id="45"/>
      </w:r>
      <w:r w:rsidR="00BF3058" w:rsidRPr="00FC3028">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DC0C88" w:rsidRPr="00FC3028">
        <w:rPr>
          <w:rFonts w:ascii="Times New Roman" w:hAnsi="Times New Roman" w:cs="Times New Roman"/>
          <w:sz w:val="24"/>
          <w:szCs w:val="24"/>
        </w:rPr>
        <w:t>Duke seems to believe that upgrading its system will facilitate the states competitiveness in the global economy.</w:t>
      </w:r>
      <w:r w:rsidR="00DC0C88" w:rsidRPr="00FC3028">
        <w:rPr>
          <w:rStyle w:val="FootnoteReference"/>
          <w:rFonts w:ascii="Times New Roman" w:hAnsi="Times New Roman" w:cs="Times New Roman"/>
          <w:sz w:val="24"/>
          <w:szCs w:val="24"/>
        </w:rPr>
        <w:footnoteReference w:id="46"/>
      </w:r>
      <w:r w:rsidR="00DC0C88" w:rsidRPr="00FC3028">
        <w:rPr>
          <w:rFonts w:ascii="Times New Roman" w:hAnsi="Times New Roman" w:cs="Times New Roman"/>
          <w:sz w:val="24"/>
          <w:szCs w:val="24"/>
        </w:rPr>
        <w:t xml:space="preserve"> However, </w:t>
      </w:r>
      <w:r w:rsidR="00077193" w:rsidRPr="00FC3028">
        <w:rPr>
          <w:rFonts w:ascii="Times New Roman" w:hAnsi="Times New Roman" w:cs="Times New Roman"/>
          <w:sz w:val="24"/>
          <w:szCs w:val="24"/>
        </w:rPr>
        <w:t>in</w:t>
      </w:r>
      <w:r w:rsidR="00BF3058" w:rsidRPr="00FC3028">
        <w:rPr>
          <w:rFonts w:ascii="Times New Roman" w:hAnsi="Times New Roman" w:cs="Times New Roman"/>
          <w:sz w:val="24"/>
          <w:szCs w:val="24"/>
        </w:rPr>
        <w:t xml:space="preserve"> R</w:t>
      </w:r>
      <w:r w:rsidR="002F52EB" w:rsidRPr="00FC3028">
        <w:rPr>
          <w:rFonts w:ascii="Times New Roman" w:hAnsi="Times New Roman" w:cs="Times New Roman"/>
          <w:sz w:val="24"/>
          <w:szCs w:val="24"/>
        </w:rPr>
        <w:t>.</w:t>
      </w:r>
      <w:r w:rsidR="00BF3058" w:rsidRPr="00FC3028">
        <w:rPr>
          <w:rFonts w:ascii="Times New Roman" w:hAnsi="Times New Roman" w:cs="Times New Roman"/>
          <w:sz w:val="24"/>
          <w:szCs w:val="24"/>
        </w:rPr>
        <w:t>C</w:t>
      </w:r>
      <w:r w:rsidR="002F52EB" w:rsidRPr="00FC3028">
        <w:rPr>
          <w:rFonts w:ascii="Times New Roman" w:hAnsi="Times New Roman" w:cs="Times New Roman"/>
          <w:sz w:val="24"/>
          <w:szCs w:val="24"/>
        </w:rPr>
        <w:t>.</w:t>
      </w:r>
      <w:r w:rsidR="00BF3058" w:rsidRPr="00FC3028">
        <w:rPr>
          <w:rFonts w:ascii="Times New Roman" w:hAnsi="Times New Roman" w:cs="Times New Roman"/>
          <w:sz w:val="24"/>
          <w:szCs w:val="24"/>
        </w:rPr>
        <w:t xml:space="preserve"> 4929.02</w:t>
      </w:r>
      <w:r>
        <w:rPr>
          <w:rFonts w:ascii="Times New Roman" w:hAnsi="Times New Roman" w:cs="Times New Roman"/>
          <w:sz w:val="24"/>
          <w:szCs w:val="24"/>
        </w:rPr>
        <w:t>(A)(10)</w:t>
      </w:r>
      <w:r w:rsidR="00BF3058" w:rsidRPr="00FC3028">
        <w:rPr>
          <w:rFonts w:ascii="Times New Roman" w:hAnsi="Times New Roman" w:cs="Times New Roman"/>
          <w:sz w:val="24"/>
          <w:szCs w:val="24"/>
        </w:rPr>
        <w:t xml:space="preserve"> there is no mention, reference or insinuation that upgrading of the</w:t>
      </w:r>
      <w:r w:rsidR="00077193" w:rsidRPr="00FC3028">
        <w:rPr>
          <w:rFonts w:ascii="Times New Roman" w:hAnsi="Times New Roman" w:cs="Times New Roman"/>
          <w:sz w:val="24"/>
          <w:szCs w:val="24"/>
        </w:rPr>
        <w:t xml:space="preserve"> </w:t>
      </w:r>
      <w:r w:rsidR="00C13073" w:rsidRPr="00FC3028">
        <w:rPr>
          <w:rFonts w:ascii="Times New Roman" w:hAnsi="Times New Roman" w:cs="Times New Roman"/>
          <w:sz w:val="24"/>
          <w:szCs w:val="24"/>
        </w:rPr>
        <w:t xml:space="preserve">distribution </w:t>
      </w:r>
      <w:r w:rsidR="00077193" w:rsidRPr="00FC3028">
        <w:rPr>
          <w:rFonts w:ascii="Times New Roman" w:hAnsi="Times New Roman" w:cs="Times New Roman"/>
          <w:sz w:val="24"/>
          <w:szCs w:val="24"/>
        </w:rPr>
        <w:t>system</w:t>
      </w:r>
      <w:r w:rsidR="00C13073" w:rsidRPr="00FC3028">
        <w:rPr>
          <w:rFonts w:ascii="Times New Roman" w:hAnsi="Times New Roman" w:cs="Times New Roman"/>
          <w:sz w:val="24"/>
          <w:szCs w:val="24"/>
        </w:rPr>
        <w:t xml:space="preserve"> relating to service lines</w:t>
      </w:r>
      <w:r w:rsidR="00077193" w:rsidRPr="00FC3028">
        <w:rPr>
          <w:rFonts w:ascii="Times New Roman" w:hAnsi="Times New Roman" w:cs="Times New Roman"/>
          <w:sz w:val="24"/>
          <w:szCs w:val="24"/>
        </w:rPr>
        <w:t xml:space="preserve"> is required by the State of Ohio</w:t>
      </w:r>
      <w:r w:rsidR="00BF3058" w:rsidRPr="00FC3028">
        <w:rPr>
          <w:rFonts w:ascii="Times New Roman" w:hAnsi="Times New Roman" w:cs="Times New Roman"/>
          <w:sz w:val="24"/>
          <w:szCs w:val="24"/>
        </w:rPr>
        <w:t>.</w:t>
      </w:r>
      <w:r w:rsidR="002F52EB" w:rsidRPr="00FC3028">
        <w:rPr>
          <w:rStyle w:val="FootnoteReference"/>
          <w:rFonts w:ascii="Times New Roman" w:hAnsi="Times New Roman" w:cs="Times New Roman"/>
          <w:sz w:val="24"/>
          <w:szCs w:val="24"/>
        </w:rPr>
        <w:footnoteReference w:id="47"/>
      </w:r>
      <w:r w:rsidR="00DC0C88" w:rsidRPr="00FC3028">
        <w:rPr>
          <w:rFonts w:ascii="Times New Roman" w:hAnsi="Times New Roman" w:cs="Times New Roman"/>
          <w:sz w:val="24"/>
          <w:szCs w:val="24"/>
        </w:rPr>
        <w:t xml:space="preserve"> </w:t>
      </w:r>
      <w:r w:rsidR="00121029" w:rsidRPr="00FC3028">
        <w:rPr>
          <w:rFonts w:ascii="Times New Roman" w:hAnsi="Times New Roman" w:cs="Times New Roman"/>
          <w:sz w:val="24"/>
          <w:szCs w:val="24"/>
        </w:rPr>
        <w:t>Any assertion to</w:t>
      </w:r>
      <w:r w:rsidR="00DC0C88" w:rsidRPr="00FC3028">
        <w:rPr>
          <w:rFonts w:ascii="Times New Roman" w:hAnsi="Times New Roman" w:cs="Times New Roman"/>
          <w:sz w:val="24"/>
          <w:szCs w:val="24"/>
        </w:rPr>
        <w:t xml:space="preserve"> the contrary is incorrect and misleading. In addition, Duke provides no analysis or precedent to support its position that replacing some of its older service lines will facilitate Ohio’s competitiveness in the global economy. Duke’s claim here is meritless and should not be seen as a rationale to approve an unjust and unreasonable $320 million program.</w:t>
      </w:r>
      <w:r w:rsidR="00167B23">
        <w:rPr>
          <w:rFonts w:ascii="Times New Roman" w:hAnsi="Times New Roman" w:cs="Times New Roman"/>
          <w:sz w:val="24"/>
          <w:szCs w:val="24"/>
        </w:rPr>
        <w:t xml:space="preserve"> In fact, PUCO authorization of a $320 million program charged to</w:t>
      </w:r>
      <w:r w:rsidR="00664853">
        <w:rPr>
          <w:rFonts w:ascii="Times New Roman" w:hAnsi="Times New Roman" w:cs="Times New Roman"/>
          <w:sz w:val="24"/>
          <w:szCs w:val="24"/>
        </w:rPr>
        <w:t xml:space="preserve"> </w:t>
      </w:r>
      <w:r w:rsidR="00167B23">
        <w:rPr>
          <w:rFonts w:ascii="Times New Roman" w:hAnsi="Times New Roman" w:cs="Times New Roman"/>
          <w:sz w:val="24"/>
          <w:szCs w:val="24"/>
        </w:rPr>
        <w:t>Duke’s consumers, will directly harm Ohio’s competitiveness in the global economy.</w:t>
      </w:r>
      <w:r w:rsidR="00BB21B3">
        <w:rPr>
          <w:rStyle w:val="FootnoteReference"/>
          <w:rFonts w:ascii="Times New Roman" w:hAnsi="Times New Roman" w:cs="Times New Roman"/>
          <w:sz w:val="24"/>
          <w:szCs w:val="24"/>
        </w:rPr>
        <w:footnoteReference w:id="48"/>
      </w:r>
      <w:r w:rsidR="00167B23">
        <w:rPr>
          <w:rFonts w:ascii="Times New Roman" w:hAnsi="Times New Roman" w:cs="Times New Roman"/>
          <w:sz w:val="24"/>
          <w:szCs w:val="24"/>
        </w:rPr>
        <w:t xml:space="preserve"> </w:t>
      </w:r>
    </w:p>
    <w:p w:rsidR="00D6685C" w:rsidRPr="00FC3028" w:rsidRDefault="00A20C61" w:rsidP="00A20C61">
      <w:pPr>
        <w:pStyle w:val="Heading5"/>
      </w:pPr>
      <w:bookmarkStart w:id="13" w:name="_Toc437441464"/>
      <w:r>
        <w:t>ii</w:t>
      </w:r>
      <w:r w:rsidR="00A62460">
        <w:t>.</w:t>
      </w:r>
      <w:r w:rsidR="00A62460">
        <w:tab/>
      </w:r>
      <w:r w:rsidR="00D6685C" w:rsidRPr="00FC3028">
        <w:t>Duke’s proposed ASRP is not obligated or encouraged by Ohio Amended Sub. House Bill 95.</w:t>
      </w:r>
      <w:bookmarkEnd w:id="13"/>
    </w:p>
    <w:p w:rsidR="00417FF4" w:rsidRPr="00FC3028" w:rsidRDefault="00077193" w:rsidP="000B2777">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Additionally, Duke’s Application states that</w:t>
      </w:r>
      <w:r w:rsidR="00A6454F" w:rsidRPr="00FC3028">
        <w:rPr>
          <w:rFonts w:ascii="Times New Roman" w:hAnsi="Times New Roman" w:cs="Times New Roman"/>
          <w:sz w:val="24"/>
          <w:szCs w:val="24"/>
        </w:rPr>
        <w:t xml:space="preserve"> the Ohio Legislature, in an effort to effectuate the policies in R</w:t>
      </w:r>
      <w:r w:rsidR="00990C08" w:rsidRPr="00FC3028">
        <w:rPr>
          <w:rFonts w:ascii="Times New Roman" w:hAnsi="Times New Roman" w:cs="Times New Roman"/>
          <w:sz w:val="24"/>
          <w:szCs w:val="24"/>
        </w:rPr>
        <w:t>.</w:t>
      </w:r>
      <w:r w:rsidR="00A6454F" w:rsidRPr="00FC3028">
        <w:rPr>
          <w:rFonts w:ascii="Times New Roman" w:hAnsi="Times New Roman" w:cs="Times New Roman"/>
          <w:sz w:val="24"/>
          <w:szCs w:val="24"/>
        </w:rPr>
        <w:t>C</w:t>
      </w:r>
      <w:r w:rsidR="00990C08" w:rsidRPr="00FC3028">
        <w:rPr>
          <w:rFonts w:ascii="Times New Roman" w:hAnsi="Times New Roman" w:cs="Times New Roman"/>
          <w:sz w:val="24"/>
          <w:szCs w:val="24"/>
        </w:rPr>
        <w:t>.</w:t>
      </w:r>
      <w:r w:rsidR="00A6454F" w:rsidRPr="00FC3028">
        <w:rPr>
          <w:rFonts w:ascii="Times New Roman" w:hAnsi="Times New Roman" w:cs="Times New Roman"/>
          <w:sz w:val="24"/>
          <w:szCs w:val="24"/>
        </w:rPr>
        <w:t xml:space="preserve"> 4929.02, has passed legislat</w:t>
      </w:r>
      <w:r w:rsidR="00167B23">
        <w:rPr>
          <w:rFonts w:ascii="Times New Roman" w:hAnsi="Times New Roman" w:cs="Times New Roman"/>
          <w:sz w:val="24"/>
          <w:szCs w:val="24"/>
        </w:rPr>
        <w:t>ion</w:t>
      </w:r>
      <w:r w:rsidR="00A6454F" w:rsidRPr="00FC3028">
        <w:rPr>
          <w:rFonts w:ascii="Times New Roman" w:hAnsi="Times New Roman" w:cs="Times New Roman"/>
          <w:sz w:val="24"/>
          <w:szCs w:val="24"/>
        </w:rPr>
        <w:t xml:space="preserve"> that allows for the app</w:t>
      </w:r>
      <w:r w:rsidR="006546E0" w:rsidRPr="00FC3028">
        <w:rPr>
          <w:rFonts w:ascii="Times New Roman" w:hAnsi="Times New Roman" w:cs="Times New Roman"/>
          <w:sz w:val="24"/>
          <w:szCs w:val="24"/>
        </w:rPr>
        <w:t>roval of alternative rate plans</w:t>
      </w:r>
      <w:r w:rsidR="00A6454F" w:rsidRPr="00FC3028">
        <w:rPr>
          <w:rFonts w:ascii="Times New Roman" w:hAnsi="Times New Roman" w:cs="Times New Roman"/>
          <w:sz w:val="24"/>
          <w:szCs w:val="24"/>
        </w:rPr>
        <w:t xml:space="preserve"> for the purpose of implementing, among other things, infrastructure improvement.</w:t>
      </w:r>
      <w:r w:rsidR="00A6454F" w:rsidRPr="00FC3028">
        <w:rPr>
          <w:rStyle w:val="FootnoteReference"/>
          <w:rFonts w:ascii="Times New Roman" w:hAnsi="Times New Roman" w:cs="Times New Roman"/>
          <w:sz w:val="24"/>
          <w:szCs w:val="24"/>
        </w:rPr>
        <w:footnoteReference w:id="49"/>
      </w:r>
      <w:r w:rsidRPr="00FC3028">
        <w:rPr>
          <w:rFonts w:ascii="Times New Roman" w:hAnsi="Times New Roman" w:cs="Times New Roman"/>
          <w:sz w:val="24"/>
          <w:szCs w:val="24"/>
        </w:rPr>
        <w:t xml:space="preserve"> </w:t>
      </w:r>
      <w:r w:rsidR="006546E0" w:rsidRPr="00FC3028">
        <w:rPr>
          <w:rFonts w:ascii="Times New Roman" w:hAnsi="Times New Roman" w:cs="Times New Roman"/>
          <w:sz w:val="24"/>
          <w:szCs w:val="24"/>
        </w:rPr>
        <w:t>Amended Sub. House Bill 95</w:t>
      </w:r>
      <w:r w:rsidR="00417FF4" w:rsidRPr="00FC3028">
        <w:rPr>
          <w:rFonts w:ascii="Times New Roman" w:hAnsi="Times New Roman" w:cs="Times New Roman"/>
          <w:sz w:val="24"/>
          <w:szCs w:val="24"/>
        </w:rPr>
        <w:t xml:space="preserve"> (“H.B. 95”)</w:t>
      </w:r>
      <w:r w:rsidR="006546E0" w:rsidRPr="00FC3028">
        <w:rPr>
          <w:rFonts w:ascii="Times New Roman" w:hAnsi="Times New Roman" w:cs="Times New Roman"/>
          <w:sz w:val="24"/>
          <w:szCs w:val="24"/>
        </w:rPr>
        <w:t xml:space="preserve"> did permit a natural gas utility to </w:t>
      </w:r>
      <w:r w:rsidR="006546E0" w:rsidRPr="00FC3028">
        <w:rPr>
          <w:rFonts w:ascii="Times New Roman" w:hAnsi="Times New Roman" w:cs="Times New Roman"/>
          <w:b/>
          <w:sz w:val="24"/>
          <w:szCs w:val="24"/>
        </w:rPr>
        <w:t>apply</w:t>
      </w:r>
      <w:r w:rsidR="001A31FC" w:rsidRPr="00FC3028">
        <w:rPr>
          <w:rFonts w:ascii="Times New Roman" w:hAnsi="Times New Roman" w:cs="Times New Roman"/>
          <w:b/>
          <w:sz w:val="24"/>
          <w:szCs w:val="24"/>
        </w:rPr>
        <w:t xml:space="preserve"> </w:t>
      </w:r>
      <w:r w:rsidR="001A31FC" w:rsidRPr="00FC3028">
        <w:rPr>
          <w:rFonts w:ascii="Times New Roman" w:hAnsi="Times New Roman" w:cs="Times New Roman"/>
          <w:sz w:val="24"/>
          <w:szCs w:val="24"/>
        </w:rPr>
        <w:t>to the PUCO for approval</w:t>
      </w:r>
      <w:r w:rsidR="006546E0" w:rsidRPr="00FC3028">
        <w:rPr>
          <w:rFonts w:ascii="Times New Roman" w:hAnsi="Times New Roman" w:cs="Times New Roman"/>
          <w:sz w:val="24"/>
          <w:szCs w:val="24"/>
        </w:rPr>
        <w:t xml:space="preserve"> to implement a capital expenditure program for infrastructure expansion, upgrade, or replacement.</w:t>
      </w:r>
      <w:r w:rsidR="00990C08" w:rsidRPr="00FC3028">
        <w:rPr>
          <w:rStyle w:val="FootnoteReference"/>
          <w:rFonts w:ascii="Times New Roman" w:hAnsi="Times New Roman" w:cs="Times New Roman"/>
          <w:sz w:val="24"/>
          <w:szCs w:val="24"/>
        </w:rPr>
        <w:footnoteReference w:id="50"/>
      </w:r>
      <w:r w:rsidR="006546E0" w:rsidRPr="00FC3028">
        <w:rPr>
          <w:rFonts w:ascii="Times New Roman" w:hAnsi="Times New Roman" w:cs="Times New Roman"/>
          <w:sz w:val="24"/>
          <w:szCs w:val="24"/>
        </w:rPr>
        <w:t xml:space="preserve"> However, it also maintained that all alternative rate plans mu</w:t>
      </w:r>
      <w:r w:rsidR="00925536" w:rsidRPr="00FC3028">
        <w:rPr>
          <w:rFonts w:ascii="Times New Roman" w:hAnsi="Times New Roman" w:cs="Times New Roman"/>
          <w:sz w:val="24"/>
          <w:szCs w:val="24"/>
        </w:rPr>
        <w:t>st be just and reasonable</w:t>
      </w:r>
      <w:r w:rsidR="00417FF4" w:rsidRPr="00FC3028">
        <w:rPr>
          <w:rFonts w:ascii="Times New Roman" w:hAnsi="Times New Roman" w:cs="Times New Roman"/>
          <w:sz w:val="24"/>
          <w:szCs w:val="24"/>
        </w:rPr>
        <w:t>.</w:t>
      </w:r>
      <w:r w:rsidR="00925536" w:rsidRPr="00FC3028">
        <w:rPr>
          <w:rStyle w:val="FootnoteReference"/>
          <w:rFonts w:ascii="Times New Roman" w:hAnsi="Times New Roman" w:cs="Times New Roman"/>
          <w:sz w:val="24"/>
          <w:szCs w:val="24"/>
        </w:rPr>
        <w:footnoteReference w:id="51"/>
      </w:r>
      <w:r w:rsidR="00417FF4" w:rsidRPr="00FC3028">
        <w:rPr>
          <w:rFonts w:ascii="Times New Roman" w:hAnsi="Times New Roman" w:cs="Times New Roman"/>
          <w:sz w:val="24"/>
          <w:szCs w:val="24"/>
        </w:rPr>
        <w:t xml:space="preserve"> In addition, all utilities</w:t>
      </w:r>
      <w:r w:rsidR="00925536" w:rsidRPr="00FC3028">
        <w:rPr>
          <w:rFonts w:ascii="Times New Roman" w:hAnsi="Times New Roman" w:cs="Times New Roman"/>
          <w:sz w:val="24"/>
          <w:szCs w:val="24"/>
        </w:rPr>
        <w:t xml:space="preserve"> must continue to provide adequate, reliable, and reasonably priced natural gas services and goods.</w:t>
      </w:r>
      <w:r w:rsidR="00925536" w:rsidRPr="00FC3028">
        <w:rPr>
          <w:rStyle w:val="FootnoteReference"/>
          <w:rFonts w:ascii="Times New Roman" w:hAnsi="Times New Roman" w:cs="Times New Roman"/>
          <w:sz w:val="24"/>
          <w:szCs w:val="24"/>
        </w:rPr>
        <w:footnoteReference w:id="52"/>
      </w:r>
      <w:r w:rsidR="006546E0" w:rsidRPr="00FC3028">
        <w:rPr>
          <w:rFonts w:ascii="Times New Roman" w:hAnsi="Times New Roman" w:cs="Times New Roman"/>
          <w:sz w:val="24"/>
          <w:szCs w:val="24"/>
        </w:rPr>
        <w:t xml:space="preserve"> </w:t>
      </w:r>
    </w:p>
    <w:p w:rsidR="000B2777" w:rsidRPr="00FC3028" w:rsidRDefault="00417FF4" w:rsidP="002A1456">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H.B. 95 does </w:t>
      </w:r>
      <w:r w:rsidR="00C036A3">
        <w:rPr>
          <w:rFonts w:ascii="Times New Roman" w:hAnsi="Times New Roman" w:cs="Times New Roman"/>
          <w:sz w:val="24"/>
          <w:szCs w:val="24"/>
        </w:rPr>
        <w:t>not</w:t>
      </w:r>
      <w:r w:rsidRPr="00FC3028">
        <w:rPr>
          <w:rFonts w:ascii="Times New Roman" w:hAnsi="Times New Roman" w:cs="Times New Roman"/>
          <w:sz w:val="24"/>
          <w:szCs w:val="24"/>
        </w:rPr>
        <w:t xml:space="preserve"> require</w:t>
      </w:r>
      <w:r w:rsidR="00A46D60">
        <w:rPr>
          <w:rFonts w:ascii="Times New Roman" w:hAnsi="Times New Roman" w:cs="Times New Roman"/>
          <w:sz w:val="24"/>
          <w:szCs w:val="24"/>
        </w:rPr>
        <w:t>,</w:t>
      </w:r>
      <w:r w:rsidRPr="00FC3028">
        <w:rPr>
          <w:rFonts w:ascii="Times New Roman" w:hAnsi="Times New Roman" w:cs="Times New Roman"/>
          <w:sz w:val="24"/>
          <w:szCs w:val="24"/>
        </w:rPr>
        <w:t xml:space="preserve"> or even encourage</w:t>
      </w:r>
      <w:r w:rsidR="00A46D60">
        <w:rPr>
          <w:rFonts w:ascii="Times New Roman" w:hAnsi="Times New Roman" w:cs="Times New Roman"/>
          <w:sz w:val="24"/>
          <w:szCs w:val="24"/>
        </w:rPr>
        <w:t>,</w:t>
      </w:r>
      <w:r w:rsidRPr="00FC3028">
        <w:rPr>
          <w:rFonts w:ascii="Times New Roman" w:hAnsi="Times New Roman" w:cs="Times New Roman"/>
          <w:sz w:val="24"/>
          <w:szCs w:val="24"/>
        </w:rPr>
        <w:t xml:space="preserve"> Duke to replace 58,000 non-leaking service lines on an accelerated basis at a cost of $320 million.</w:t>
      </w:r>
      <w:r w:rsidR="000C0F30">
        <w:rPr>
          <w:rStyle w:val="FootnoteReference"/>
          <w:rFonts w:ascii="Times New Roman" w:hAnsi="Times New Roman" w:cs="Times New Roman"/>
          <w:sz w:val="24"/>
          <w:szCs w:val="24"/>
        </w:rPr>
        <w:footnoteReference w:id="53"/>
      </w:r>
      <w:r w:rsidRPr="00FC3028">
        <w:rPr>
          <w:rFonts w:ascii="Times New Roman" w:hAnsi="Times New Roman" w:cs="Times New Roman"/>
          <w:sz w:val="24"/>
          <w:szCs w:val="24"/>
        </w:rPr>
        <w:t xml:space="preserve"> On the contrary, H.B. 95 simply allows a utility to apply for</w:t>
      </w:r>
      <w:r w:rsidR="00D6685C" w:rsidRPr="00FC3028">
        <w:rPr>
          <w:rFonts w:ascii="Times New Roman" w:hAnsi="Times New Roman" w:cs="Times New Roman"/>
          <w:sz w:val="24"/>
          <w:szCs w:val="24"/>
        </w:rPr>
        <w:t xml:space="preserve"> such a program, which Duke has done.</w:t>
      </w:r>
      <w:r w:rsidR="000C0F30">
        <w:rPr>
          <w:rStyle w:val="FootnoteReference"/>
          <w:rFonts w:ascii="Times New Roman" w:hAnsi="Times New Roman" w:cs="Times New Roman"/>
          <w:sz w:val="24"/>
          <w:szCs w:val="24"/>
        </w:rPr>
        <w:footnoteReference w:id="54"/>
      </w:r>
      <w:r w:rsidR="00D6685C" w:rsidRPr="00FC3028">
        <w:rPr>
          <w:rFonts w:ascii="Times New Roman" w:hAnsi="Times New Roman" w:cs="Times New Roman"/>
          <w:sz w:val="24"/>
          <w:szCs w:val="24"/>
        </w:rPr>
        <w:t xml:space="preserve"> Interpreting the Ohio Legislature’s passage of H.B. 95 as obligating or encouraging Duke to propose the ASRP is simply incorrect. </w:t>
      </w:r>
      <w:r w:rsidR="006A422C" w:rsidRPr="00FC3028">
        <w:rPr>
          <w:rFonts w:ascii="Times New Roman" w:hAnsi="Times New Roman" w:cs="Times New Roman"/>
          <w:sz w:val="24"/>
          <w:szCs w:val="24"/>
        </w:rPr>
        <w:t>Therefore, Duke’s references to state law that allow</w:t>
      </w:r>
      <w:r w:rsidR="00925536" w:rsidRPr="00FC3028">
        <w:rPr>
          <w:rFonts w:ascii="Times New Roman" w:hAnsi="Times New Roman" w:cs="Times New Roman"/>
          <w:sz w:val="24"/>
          <w:szCs w:val="24"/>
        </w:rPr>
        <w:t>s</w:t>
      </w:r>
      <w:r w:rsidR="006A422C" w:rsidRPr="00FC3028">
        <w:rPr>
          <w:rFonts w:ascii="Times New Roman" w:hAnsi="Times New Roman" w:cs="Times New Roman"/>
          <w:sz w:val="24"/>
          <w:szCs w:val="24"/>
        </w:rPr>
        <w:t xml:space="preserve"> or encourage</w:t>
      </w:r>
      <w:r w:rsidR="00925536" w:rsidRPr="00FC3028">
        <w:rPr>
          <w:rFonts w:ascii="Times New Roman" w:hAnsi="Times New Roman" w:cs="Times New Roman"/>
          <w:sz w:val="24"/>
          <w:szCs w:val="24"/>
        </w:rPr>
        <w:t>s</w:t>
      </w:r>
      <w:r w:rsidR="006A422C" w:rsidRPr="00FC3028">
        <w:rPr>
          <w:rFonts w:ascii="Times New Roman" w:hAnsi="Times New Roman" w:cs="Times New Roman"/>
          <w:sz w:val="24"/>
          <w:szCs w:val="24"/>
        </w:rPr>
        <w:t xml:space="preserve"> approval of Duke’s ASRP are misplaced at best and misleading at worst.</w:t>
      </w:r>
    </w:p>
    <w:p w:rsidR="0071707E" w:rsidRPr="00FC3028" w:rsidRDefault="00A20C61" w:rsidP="00A20C61">
      <w:pPr>
        <w:pStyle w:val="Heading4"/>
      </w:pPr>
      <w:bookmarkStart w:id="14" w:name="_Toc437441465"/>
      <w:r>
        <w:t>b</w:t>
      </w:r>
      <w:r w:rsidR="00A62460">
        <w:t>.</w:t>
      </w:r>
      <w:r w:rsidR="00A62460">
        <w:tab/>
      </w:r>
      <w:r w:rsidR="003A2455" w:rsidRPr="00FC3028">
        <w:t>Federal law does not support the nee</w:t>
      </w:r>
      <w:r w:rsidR="00C925F9" w:rsidRPr="00FC3028">
        <w:t>d</w:t>
      </w:r>
      <w:r w:rsidR="003C603D">
        <w:t xml:space="preserve"> or reasonableness</w:t>
      </w:r>
      <w:r w:rsidR="00C925F9" w:rsidRPr="00FC3028">
        <w:t xml:space="preserve"> for Duke’s proposed</w:t>
      </w:r>
      <w:r w:rsidR="003A2455" w:rsidRPr="00FC3028">
        <w:t xml:space="preserve"> AS</w:t>
      </w:r>
      <w:r w:rsidR="005C0214" w:rsidRPr="00FC3028">
        <w:t>RP</w:t>
      </w:r>
      <w:r w:rsidR="003A2455" w:rsidRPr="00FC3028">
        <w:t>.</w:t>
      </w:r>
      <w:bookmarkEnd w:id="14"/>
    </w:p>
    <w:p w:rsidR="0071707E" w:rsidRPr="00FC3028" w:rsidRDefault="0071707E" w:rsidP="0071707E">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asserts in its Application and pre-filed Direct Testimony that current federal regulations encourage or require accelerated service lines replacement programs.</w:t>
      </w:r>
      <w:r w:rsidR="005C0214" w:rsidRPr="00FC3028">
        <w:rPr>
          <w:rStyle w:val="FootnoteReference"/>
          <w:rFonts w:ascii="Times New Roman" w:hAnsi="Times New Roman" w:cs="Times New Roman"/>
          <w:sz w:val="24"/>
          <w:szCs w:val="24"/>
        </w:rPr>
        <w:footnoteReference w:id="55"/>
      </w:r>
      <w:r w:rsidRPr="00FC3028">
        <w:rPr>
          <w:rFonts w:ascii="Times New Roman" w:hAnsi="Times New Roman" w:cs="Times New Roman"/>
          <w:sz w:val="24"/>
          <w:szCs w:val="24"/>
        </w:rPr>
        <w:t xml:space="preserve"> Duke is mistaken.</w:t>
      </w:r>
    </w:p>
    <w:p w:rsidR="0071707E" w:rsidRPr="00FC3028" w:rsidRDefault="00A20C61" w:rsidP="00A20C61">
      <w:pPr>
        <w:pStyle w:val="Heading5"/>
      </w:pPr>
      <w:bookmarkStart w:id="15" w:name="_Toc437441466"/>
      <w:r>
        <w:t>i</w:t>
      </w:r>
      <w:r w:rsidR="00A62460">
        <w:t>.</w:t>
      </w:r>
      <w:r w:rsidR="00A62460">
        <w:tab/>
      </w:r>
      <w:r w:rsidR="0071707E" w:rsidRPr="00FC3028">
        <w:t>The DIMP Regulations do not require or encourage an accelerated service line replacement program.</w:t>
      </w:r>
      <w:bookmarkEnd w:id="15"/>
    </w:p>
    <w:p w:rsidR="00A302EF" w:rsidRDefault="000077C7" w:rsidP="0077686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Duke asserts that the </w:t>
      </w:r>
      <w:r w:rsidR="00D935D2">
        <w:rPr>
          <w:rFonts w:ascii="Times New Roman" w:hAnsi="Times New Roman" w:cs="Times New Roman"/>
          <w:sz w:val="24"/>
          <w:szCs w:val="24"/>
        </w:rPr>
        <w:t>Pipeline and Hazardous Material Safety Administration’s (“</w:t>
      </w:r>
      <w:r w:rsidRPr="00FC3028">
        <w:rPr>
          <w:rFonts w:ascii="Times New Roman" w:hAnsi="Times New Roman" w:cs="Times New Roman"/>
          <w:sz w:val="24"/>
          <w:szCs w:val="24"/>
        </w:rPr>
        <w:t>PHMSA</w:t>
      </w:r>
      <w:r w:rsidR="00D935D2">
        <w:rPr>
          <w:rFonts w:ascii="Times New Roman" w:hAnsi="Times New Roman" w:cs="Times New Roman"/>
          <w:sz w:val="24"/>
          <w:szCs w:val="24"/>
        </w:rPr>
        <w:t>”)</w:t>
      </w:r>
      <w:r w:rsidRPr="00FC3028">
        <w:rPr>
          <w:rFonts w:ascii="Times New Roman" w:hAnsi="Times New Roman" w:cs="Times New Roman"/>
          <w:sz w:val="24"/>
          <w:szCs w:val="24"/>
        </w:rPr>
        <w:t xml:space="preserve"> </w:t>
      </w:r>
      <w:r w:rsidR="00D935D2" w:rsidRPr="00FC3028">
        <w:rPr>
          <w:rFonts w:ascii="Times New Roman" w:hAnsi="Times New Roman" w:cs="Times New Roman"/>
          <w:sz w:val="24"/>
          <w:szCs w:val="24"/>
        </w:rPr>
        <w:t xml:space="preserve">Distribution Integrity Management Program </w:t>
      </w:r>
      <w:r w:rsidR="00D935D2">
        <w:rPr>
          <w:rFonts w:ascii="Times New Roman" w:hAnsi="Times New Roman" w:cs="Times New Roman"/>
          <w:sz w:val="24"/>
          <w:szCs w:val="24"/>
        </w:rPr>
        <w:t>(“</w:t>
      </w:r>
      <w:r w:rsidRPr="00FC3028">
        <w:rPr>
          <w:rFonts w:ascii="Times New Roman" w:hAnsi="Times New Roman" w:cs="Times New Roman"/>
          <w:sz w:val="24"/>
          <w:szCs w:val="24"/>
        </w:rPr>
        <w:t>DIMP</w:t>
      </w:r>
      <w:r w:rsidR="00D935D2">
        <w:rPr>
          <w:rFonts w:ascii="Times New Roman" w:hAnsi="Times New Roman" w:cs="Times New Roman"/>
          <w:sz w:val="24"/>
          <w:szCs w:val="24"/>
        </w:rPr>
        <w:t>”)</w:t>
      </w:r>
      <w:r w:rsidRPr="00FC3028">
        <w:rPr>
          <w:rFonts w:ascii="Times New Roman" w:hAnsi="Times New Roman" w:cs="Times New Roman"/>
          <w:sz w:val="24"/>
          <w:szCs w:val="24"/>
        </w:rPr>
        <w:t xml:space="preserve"> regulations compelled it to seek approval of the ASRP.</w:t>
      </w:r>
      <w:r w:rsidR="00DE5F4A">
        <w:rPr>
          <w:rStyle w:val="FootnoteReference"/>
          <w:rFonts w:ascii="Times New Roman" w:hAnsi="Times New Roman" w:cs="Times New Roman"/>
          <w:sz w:val="24"/>
          <w:szCs w:val="24"/>
        </w:rPr>
        <w:footnoteReference w:id="56"/>
      </w:r>
      <w:r w:rsidRPr="00FC3028">
        <w:rPr>
          <w:rFonts w:ascii="Times New Roman" w:hAnsi="Times New Roman" w:cs="Times New Roman"/>
          <w:sz w:val="24"/>
          <w:szCs w:val="24"/>
        </w:rPr>
        <w:t xml:space="preserve"> </w:t>
      </w:r>
      <w:r w:rsidR="00C13073" w:rsidRPr="00FC3028">
        <w:rPr>
          <w:rFonts w:ascii="Times New Roman" w:hAnsi="Times New Roman" w:cs="Times New Roman"/>
          <w:sz w:val="24"/>
          <w:szCs w:val="24"/>
        </w:rPr>
        <w:t xml:space="preserve">Duke’s assertion is overstated. </w:t>
      </w:r>
    </w:p>
    <w:p w:rsidR="00A302EF" w:rsidRPr="00FC3028" w:rsidRDefault="00A302EF" w:rsidP="00A302EF">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The DIMP regulations require operators to develop, write, and implement a distribution integrity management program with the following elements:</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 xml:space="preserve">Demonstration that the operator has knowledge and understanding of its distribution system, including identification of the characteristics of its pipeline's design and operating characteristics and environmental factors in order to identify and assess risks to its pipeline system; </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Identification of potential threats to the integrity of its distribution system;</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 xml:space="preserve">Evaluation and ranking of identified risks; </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b/>
          <w:sz w:val="24"/>
          <w:szCs w:val="24"/>
        </w:rPr>
        <w:t>Identification and implementation of measures to address risks</w:t>
      </w:r>
      <w:r w:rsidRPr="00FC3028">
        <w:rPr>
          <w:rFonts w:ascii="Times New Roman" w:hAnsi="Times New Roman" w:cs="Times New Roman"/>
          <w:sz w:val="24"/>
          <w:szCs w:val="24"/>
        </w:rPr>
        <w:t xml:space="preserve">, including an effective leak management program; </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 xml:space="preserve">Development and ongoing monitoring of performance measures to determine the effectiveness of measures designed to address system risks; </w:t>
      </w:r>
    </w:p>
    <w:p w:rsidR="00A302EF" w:rsidRPr="00FC3028"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 xml:space="preserve">Periodic re-evaluation of potential risks to its system at least every five years; and, </w:t>
      </w:r>
    </w:p>
    <w:p w:rsidR="00A302EF" w:rsidRDefault="00A302EF" w:rsidP="00A62460">
      <w:pPr>
        <w:pStyle w:val="ListParagraph"/>
        <w:numPr>
          <w:ilvl w:val="0"/>
          <w:numId w:val="27"/>
        </w:numPr>
        <w:spacing w:after="0" w:line="240" w:lineRule="auto"/>
        <w:ind w:left="2160" w:right="720" w:hanging="720"/>
        <w:rPr>
          <w:rFonts w:ascii="Times New Roman" w:hAnsi="Times New Roman" w:cs="Times New Roman"/>
          <w:sz w:val="24"/>
          <w:szCs w:val="24"/>
        </w:rPr>
      </w:pPr>
      <w:r w:rsidRPr="00FC3028">
        <w:rPr>
          <w:rFonts w:ascii="Times New Roman" w:hAnsi="Times New Roman" w:cs="Times New Roman"/>
          <w:sz w:val="24"/>
          <w:szCs w:val="24"/>
        </w:rPr>
        <w:t>Provide an annual report on its performance measures to PHMSA and the state safety authority that has jurisdiction over its pipeline system.</w:t>
      </w:r>
      <w:r w:rsidRPr="00FC3028">
        <w:rPr>
          <w:rStyle w:val="FootnoteReference"/>
          <w:rFonts w:ascii="Times New Roman" w:hAnsi="Times New Roman" w:cs="Times New Roman"/>
          <w:sz w:val="24"/>
          <w:szCs w:val="24"/>
        </w:rPr>
        <w:footnoteReference w:id="57"/>
      </w:r>
    </w:p>
    <w:p w:rsidR="00A302EF" w:rsidRPr="000C0F30" w:rsidRDefault="00A302EF" w:rsidP="000C0F30">
      <w:pPr>
        <w:pStyle w:val="ListParagraph"/>
        <w:spacing w:after="0" w:line="240" w:lineRule="auto"/>
        <w:ind w:left="1080" w:right="720"/>
        <w:jc w:val="both"/>
        <w:rPr>
          <w:rFonts w:ascii="Times New Roman" w:hAnsi="Times New Roman" w:cs="Times New Roman"/>
          <w:sz w:val="24"/>
          <w:szCs w:val="24"/>
        </w:rPr>
      </w:pPr>
    </w:p>
    <w:p w:rsidR="00A64BAB" w:rsidRPr="00FC3028" w:rsidRDefault="00A302EF" w:rsidP="000C0F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First, </w:t>
      </w:r>
      <w:r w:rsidR="00C13073" w:rsidRPr="00FC3028">
        <w:rPr>
          <w:rFonts w:ascii="Times New Roman" w:hAnsi="Times New Roman" w:cs="Times New Roman"/>
          <w:sz w:val="24"/>
          <w:szCs w:val="24"/>
        </w:rPr>
        <w:t>PHMSA’s DIMP R</w:t>
      </w:r>
      <w:r w:rsidR="002D7E5A" w:rsidRPr="00FC3028">
        <w:rPr>
          <w:rFonts w:ascii="Times New Roman" w:hAnsi="Times New Roman" w:cs="Times New Roman"/>
          <w:sz w:val="24"/>
          <w:szCs w:val="24"/>
        </w:rPr>
        <w:t>egulations</w:t>
      </w:r>
      <w:r>
        <w:rPr>
          <w:rFonts w:ascii="Times New Roman" w:hAnsi="Times New Roman" w:cs="Times New Roman"/>
          <w:sz w:val="24"/>
          <w:szCs w:val="24"/>
        </w:rPr>
        <w:t xml:space="preserve"> require</w:t>
      </w:r>
      <w:r w:rsidR="002D7E5A" w:rsidRPr="00FC3028">
        <w:rPr>
          <w:rFonts w:ascii="Times New Roman" w:hAnsi="Times New Roman" w:cs="Times New Roman"/>
          <w:sz w:val="24"/>
          <w:szCs w:val="24"/>
        </w:rPr>
        <w:t xml:space="preserve"> a distribution system operator</w:t>
      </w:r>
      <w:r w:rsidR="00F67BC4" w:rsidRPr="00FC3028">
        <w:rPr>
          <w:rFonts w:ascii="Times New Roman" w:hAnsi="Times New Roman" w:cs="Times New Roman"/>
          <w:sz w:val="24"/>
          <w:szCs w:val="24"/>
        </w:rPr>
        <w:t xml:space="preserve"> </w:t>
      </w:r>
      <w:r>
        <w:rPr>
          <w:rFonts w:ascii="Times New Roman" w:hAnsi="Times New Roman" w:cs="Times New Roman"/>
          <w:sz w:val="24"/>
          <w:szCs w:val="24"/>
        </w:rPr>
        <w:t>to</w:t>
      </w:r>
      <w:r w:rsidRPr="00FC3028">
        <w:rPr>
          <w:rFonts w:ascii="Times New Roman" w:hAnsi="Times New Roman" w:cs="Times New Roman"/>
          <w:sz w:val="24"/>
          <w:szCs w:val="24"/>
        </w:rPr>
        <w:t xml:space="preserve"> </w:t>
      </w:r>
      <w:r w:rsidR="00F67BC4" w:rsidRPr="00FC3028">
        <w:rPr>
          <w:rFonts w:ascii="Times New Roman" w:hAnsi="Times New Roman" w:cs="Times New Roman"/>
          <w:sz w:val="24"/>
          <w:szCs w:val="24"/>
        </w:rPr>
        <w:t>create a written integrit</w:t>
      </w:r>
      <w:r w:rsidR="00776861" w:rsidRPr="00FC3028">
        <w:rPr>
          <w:rFonts w:ascii="Times New Roman" w:hAnsi="Times New Roman" w:cs="Times New Roman"/>
          <w:sz w:val="24"/>
          <w:szCs w:val="24"/>
        </w:rPr>
        <w:t>y management plan.</w:t>
      </w:r>
      <w:r w:rsidR="00DE5F4A">
        <w:rPr>
          <w:rStyle w:val="FootnoteReference"/>
          <w:rFonts w:ascii="Times New Roman" w:hAnsi="Times New Roman" w:cs="Times New Roman"/>
          <w:sz w:val="24"/>
          <w:szCs w:val="24"/>
        </w:rPr>
        <w:footnoteReference w:id="58"/>
      </w:r>
      <w:r w:rsidR="00DE5F4A">
        <w:rPr>
          <w:rFonts w:ascii="Times New Roman" w:hAnsi="Times New Roman" w:cs="Times New Roman"/>
          <w:sz w:val="24"/>
          <w:szCs w:val="24"/>
        </w:rPr>
        <w:t xml:space="preserve"> Duke</w:t>
      </w:r>
      <w:r w:rsidR="002724BB" w:rsidRPr="00FC3028">
        <w:rPr>
          <w:rFonts w:ascii="Times New Roman" w:hAnsi="Times New Roman" w:cs="Times New Roman"/>
          <w:sz w:val="24"/>
          <w:szCs w:val="24"/>
        </w:rPr>
        <w:t xml:space="preserve"> did not include its written DIMP</w:t>
      </w:r>
      <w:r>
        <w:rPr>
          <w:rFonts w:ascii="Times New Roman" w:hAnsi="Times New Roman" w:cs="Times New Roman"/>
          <w:sz w:val="24"/>
          <w:szCs w:val="24"/>
        </w:rPr>
        <w:t xml:space="preserve"> plan</w:t>
      </w:r>
      <w:r w:rsidR="002724BB" w:rsidRPr="00FC3028">
        <w:rPr>
          <w:rFonts w:ascii="Times New Roman" w:hAnsi="Times New Roman" w:cs="Times New Roman"/>
          <w:sz w:val="24"/>
          <w:szCs w:val="24"/>
        </w:rPr>
        <w:t xml:space="preserve"> </w:t>
      </w:r>
      <w:r w:rsidR="00A64BAB" w:rsidRPr="00FC3028">
        <w:rPr>
          <w:rFonts w:ascii="Times New Roman" w:hAnsi="Times New Roman" w:cs="Times New Roman"/>
          <w:sz w:val="24"/>
          <w:szCs w:val="24"/>
        </w:rPr>
        <w:t>in this proceeding for the PUCO to analyze.</w:t>
      </w:r>
      <w:r w:rsidR="00DE5F4A">
        <w:rPr>
          <w:rStyle w:val="FootnoteReference"/>
          <w:rFonts w:ascii="Times New Roman" w:hAnsi="Times New Roman" w:cs="Times New Roman"/>
          <w:sz w:val="24"/>
          <w:szCs w:val="24"/>
        </w:rPr>
        <w:footnoteReference w:id="59"/>
      </w:r>
      <w:r w:rsidR="00A64BAB" w:rsidRPr="00FC3028">
        <w:rPr>
          <w:rFonts w:ascii="Times New Roman" w:hAnsi="Times New Roman" w:cs="Times New Roman"/>
          <w:sz w:val="24"/>
          <w:szCs w:val="24"/>
        </w:rPr>
        <w:t xml:space="preserve"> Therefore, the federal DIMP regulations are the only evidence </w:t>
      </w:r>
      <w:r w:rsidR="00DE5F4A">
        <w:rPr>
          <w:rFonts w:ascii="Times New Roman" w:hAnsi="Times New Roman" w:cs="Times New Roman"/>
          <w:sz w:val="24"/>
          <w:szCs w:val="24"/>
        </w:rPr>
        <w:t>of</w:t>
      </w:r>
      <w:r w:rsidR="00A64BAB" w:rsidRPr="00FC3028">
        <w:rPr>
          <w:rFonts w:ascii="Times New Roman" w:hAnsi="Times New Roman" w:cs="Times New Roman"/>
          <w:sz w:val="24"/>
          <w:szCs w:val="24"/>
        </w:rPr>
        <w:t xml:space="preserve"> what is required of an operator.</w:t>
      </w:r>
    </w:p>
    <w:p w:rsidR="00EF36AB" w:rsidRPr="00FC3028" w:rsidRDefault="00A302EF" w:rsidP="0077686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In short, the DIMP rules require an operator to perform an analysis to identify and </w:t>
      </w:r>
      <w:r>
        <w:rPr>
          <w:rFonts w:ascii="Times New Roman" w:hAnsi="Times New Roman" w:cs="Times New Roman"/>
          <w:sz w:val="24"/>
          <w:szCs w:val="24"/>
        </w:rPr>
        <w:t>address</w:t>
      </w:r>
      <w:r w:rsidRPr="00FC3028">
        <w:rPr>
          <w:rFonts w:ascii="Times New Roman" w:hAnsi="Times New Roman" w:cs="Times New Roman"/>
          <w:sz w:val="24"/>
          <w:szCs w:val="24"/>
        </w:rPr>
        <w:t xml:space="preserve"> threats to its distribution system.</w:t>
      </w:r>
      <w:r>
        <w:rPr>
          <w:rStyle w:val="FootnoteReference"/>
          <w:rFonts w:ascii="Times New Roman" w:hAnsi="Times New Roman" w:cs="Times New Roman"/>
          <w:sz w:val="24"/>
          <w:szCs w:val="24"/>
        </w:rPr>
        <w:footnoteReference w:id="60"/>
      </w:r>
      <w:r w:rsidRPr="00FC3028">
        <w:rPr>
          <w:rFonts w:ascii="Times New Roman" w:hAnsi="Times New Roman" w:cs="Times New Roman"/>
          <w:sz w:val="24"/>
          <w:szCs w:val="24"/>
        </w:rPr>
        <w:t xml:space="preserve"> </w:t>
      </w:r>
      <w:r w:rsidR="00F86C24" w:rsidRPr="00FC3028">
        <w:rPr>
          <w:rFonts w:ascii="Times New Roman" w:hAnsi="Times New Roman" w:cs="Times New Roman"/>
          <w:sz w:val="24"/>
          <w:szCs w:val="24"/>
        </w:rPr>
        <w:t>Notab</w:t>
      </w:r>
      <w:r w:rsidR="00461548" w:rsidRPr="00FC3028">
        <w:rPr>
          <w:rFonts w:ascii="Times New Roman" w:hAnsi="Times New Roman" w:cs="Times New Roman"/>
          <w:sz w:val="24"/>
          <w:szCs w:val="24"/>
        </w:rPr>
        <w:t>ly, the DIMP Regulations</w:t>
      </w:r>
      <w:r>
        <w:rPr>
          <w:rFonts w:ascii="Times New Roman" w:hAnsi="Times New Roman" w:cs="Times New Roman"/>
          <w:sz w:val="24"/>
          <w:szCs w:val="24"/>
        </w:rPr>
        <w:t xml:space="preserve"> </w:t>
      </w:r>
      <w:r w:rsidR="00461548" w:rsidRPr="00FC3028">
        <w:rPr>
          <w:rFonts w:ascii="Times New Roman" w:hAnsi="Times New Roman" w:cs="Times New Roman"/>
          <w:sz w:val="24"/>
          <w:szCs w:val="24"/>
        </w:rPr>
        <w:t xml:space="preserve">do not </w:t>
      </w:r>
      <w:r>
        <w:rPr>
          <w:rFonts w:ascii="Times New Roman" w:hAnsi="Times New Roman" w:cs="Times New Roman"/>
          <w:sz w:val="24"/>
          <w:szCs w:val="24"/>
        </w:rPr>
        <w:t>specify which threats must be addressed.</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Nor, as Duke admits, do they </w:t>
      </w:r>
      <w:r w:rsidR="00461548" w:rsidRPr="00FC3028">
        <w:rPr>
          <w:rFonts w:ascii="Times New Roman" w:hAnsi="Times New Roman" w:cs="Times New Roman"/>
          <w:sz w:val="24"/>
          <w:szCs w:val="24"/>
        </w:rPr>
        <w:t xml:space="preserve">prescribe the specific measures that a utility </w:t>
      </w:r>
      <w:r w:rsidR="00F82459" w:rsidRPr="00FC3028">
        <w:rPr>
          <w:rFonts w:ascii="Times New Roman" w:hAnsi="Times New Roman" w:cs="Times New Roman"/>
          <w:sz w:val="24"/>
          <w:szCs w:val="24"/>
        </w:rPr>
        <w:t>should</w:t>
      </w:r>
      <w:r w:rsidR="00461548" w:rsidRPr="00FC3028">
        <w:rPr>
          <w:rFonts w:ascii="Times New Roman" w:hAnsi="Times New Roman" w:cs="Times New Roman"/>
          <w:sz w:val="24"/>
          <w:szCs w:val="24"/>
        </w:rPr>
        <w:t xml:space="preserve"> implement</w:t>
      </w:r>
      <w:r w:rsidR="00F82459" w:rsidRPr="00FC3028">
        <w:rPr>
          <w:rFonts w:ascii="Times New Roman" w:hAnsi="Times New Roman" w:cs="Times New Roman"/>
          <w:sz w:val="24"/>
          <w:szCs w:val="24"/>
        </w:rPr>
        <w:t xml:space="preserve"> to address an identified </w:t>
      </w:r>
      <w:r w:rsidR="00BB00AE">
        <w:rPr>
          <w:rFonts w:ascii="Times New Roman" w:hAnsi="Times New Roman" w:cs="Times New Roman"/>
          <w:sz w:val="24"/>
          <w:szCs w:val="24"/>
        </w:rPr>
        <w:t>threat</w:t>
      </w:r>
      <w:r w:rsidR="00BB00AE" w:rsidRPr="00FC3028">
        <w:rPr>
          <w:rFonts w:ascii="Times New Roman" w:hAnsi="Times New Roman" w:cs="Times New Roman"/>
          <w:sz w:val="24"/>
          <w:szCs w:val="24"/>
        </w:rPr>
        <w:t xml:space="preserve"> </w:t>
      </w:r>
      <w:r w:rsidR="00F82459" w:rsidRPr="00FC3028">
        <w:rPr>
          <w:rFonts w:ascii="Times New Roman" w:hAnsi="Times New Roman" w:cs="Times New Roman"/>
          <w:sz w:val="24"/>
          <w:szCs w:val="24"/>
        </w:rPr>
        <w:t>to its distribution system.</w:t>
      </w:r>
      <w:r w:rsidR="00DE5F4A">
        <w:rPr>
          <w:rStyle w:val="FootnoteReference"/>
          <w:rFonts w:ascii="Times New Roman" w:hAnsi="Times New Roman" w:cs="Times New Roman"/>
          <w:sz w:val="24"/>
          <w:szCs w:val="24"/>
        </w:rPr>
        <w:footnoteReference w:id="62"/>
      </w:r>
      <w:r w:rsidR="00F82459" w:rsidRPr="00FC3028">
        <w:rPr>
          <w:rFonts w:ascii="Times New Roman" w:hAnsi="Times New Roman" w:cs="Times New Roman"/>
          <w:sz w:val="24"/>
          <w:szCs w:val="24"/>
        </w:rPr>
        <w:t xml:space="preserve"> The DIMP regulations only require the operator to “determine and implement measures designed to reduce the risks from failure of its gas distribution pipeline.”</w:t>
      </w:r>
      <w:r w:rsidR="00F82459" w:rsidRPr="00FC3028">
        <w:rPr>
          <w:rStyle w:val="FootnoteReference"/>
          <w:rFonts w:ascii="Times New Roman" w:hAnsi="Times New Roman" w:cs="Times New Roman"/>
          <w:sz w:val="24"/>
          <w:szCs w:val="24"/>
        </w:rPr>
        <w:footnoteReference w:id="63"/>
      </w:r>
      <w:r w:rsidR="00CF30E1" w:rsidRPr="00FC3028">
        <w:rPr>
          <w:rFonts w:ascii="Times New Roman" w:hAnsi="Times New Roman" w:cs="Times New Roman"/>
          <w:sz w:val="24"/>
          <w:szCs w:val="24"/>
        </w:rPr>
        <w:t xml:space="preserve"> The DIMP Regulations do not explicitly state what those measures must be.</w:t>
      </w:r>
      <w:r w:rsidR="005557B7" w:rsidRPr="00FC3028">
        <w:rPr>
          <w:rStyle w:val="FootnoteReference"/>
          <w:rFonts w:ascii="Times New Roman" w:hAnsi="Times New Roman" w:cs="Times New Roman"/>
          <w:sz w:val="24"/>
          <w:szCs w:val="24"/>
        </w:rPr>
        <w:footnoteReference w:id="64"/>
      </w:r>
      <w:r w:rsidR="00A32E08" w:rsidRPr="00FC3028">
        <w:rPr>
          <w:rFonts w:ascii="Times New Roman" w:hAnsi="Times New Roman" w:cs="Times New Roman"/>
          <w:sz w:val="24"/>
          <w:szCs w:val="24"/>
        </w:rPr>
        <w:t xml:space="preserve"> Furthermore,</w:t>
      </w:r>
      <w:r w:rsidR="00920691" w:rsidRPr="00FC3028">
        <w:rPr>
          <w:rFonts w:ascii="Times New Roman" w:hAnsi="Times New Roman" w:cs="Times New Roman"/>
          <w:sz w:val="24"/>
          <w:szCs w:val="24"/>
        </w:rPr>
        <w:t xml:space="preserve"> as Duke admits,</w:t>
      </w:r>
      <w:r w:rsidR="00A32E08" w:rsidRPr="00FC3028">
        <w:rPr>
          <w:rFonts w:ascii="Times New Roman" w:hAnsi="Times New Roman" w:cs="Times New Roman"/>
          <w:sz w:val="24"/>
          <w:szCs w:val="24"/>
        </w:rPr>
        <w:t xml:space="preserve"> no</w:t>
      </w:r>
      <w:r w:rsidR="002B55EB" w:rsidRPr="00FC3028">
        <w:rPr>
          <w:rFonts w:ascii="Times New Roman" w:hAnsi="Times New Roman" w:cs="Times New Roman"/>
          <w:sz w:val="24"/>
          <w:szCs w:val="24"/>
        </w:rPr>
        <w:t>where in the DIMP Regulations does it require</w:t>
      </w:r>
      <w:r w:rsidR="00773AB4">
        <w:rPr>
          <w:rFonts w:ascii="Times New Roman" w:hAnsi="Times New Roman" w:cs="Times New Roman"/>
          <w:sz w:val="24"/>
          <w:szCs w:val="24"/>
        </w:rPr>
        <w:t>,</w:t>
      </w:r>
      <w:r w:rsidR="002B55EB" w:rsidRPr="00FC3028">
        <w:rPr>
          <w:rFonts w:ascii="Times New Roman" w:hAnsi="Times New Roman" w:cs="Times New Roman"/>
          <w:sz w:val="24"/>
          <w:szCs w:val="24"/>
        </w:rPr>
        <w:t xml:space="preserve"> or even encourage</w:t>
      </w:r>
      <w:r w:rsidR="00773AB4">
        <w:rPr>
          <w:rFonts w:ascii="Times New Roman" w:hAnsi="Times New Roman" w:cs="Times New Roman"/>
          <w:sz w:val="24"/>
          <w:szCs w:val="24"/>
        </w:rPr>
        <w:t>,</w:t>
      </w:r>
      <w:r w:rsidR="002B55EB" w:rsidRPr="00FC3028">
        <w:rPr>
          <w:rFonts w:ascii="Times New Roman" w:hAnsi="Times New Roman" w:cs="Times New Roman"/>
          <w:sz w:val="24"/>
          <w:szCs w:val="24"/>
        </w:rPr>
        <w:t xml:space="preserve"> accelerated cost recovery for an operator who expends capital while implementing its integrity management program.</w:t>
      </w:r>
      <w:r w:rsidR="00920691" w:rsidRPr="00FC3028">
        <w:rPr>
          <w:rStyle w:val="FootnoteReference"/>
          <w:rFonts w:ascii="Times New Roman" w:hAnsi="Times New Roman" w:cs="Times New Roman"/>
          <w:sz w:val="24"/>
          <w:szCs w:val="24"/>
        </w:rPr>
        <w:footnoteReference w:id="65"/>
      </w:r>
      <w:r w:rsidR="00CF30E1" w:rsidRPr="00FC3028">
        <w:rPr>
          <w:rFonts w:ascii="Times New Roman" w:hAnsi="Times New Roman" w:cs="Times New Roman"/>
          <w:sz w:val="24"/>
          <w:szCs w:val="24"/>
        </w:rPr>
        <w:t xml:space="preserve"> </w:t>
      </w:r>
    </w:p>
    <w:p w:rsidR="00A64BAB" w:rsidRPr="00FC3028" w:rsidRDefault="00CF30E1" w:rsidP="00EF36AB">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Nothing in the</w:t>
      </w:r>
      <w:r w:rsidR="008875AA" w:rsidRPr="00FC3028">
        <w:rPr>
          <w:rFonts w:ascii="Times New Roman" w:hAnsi="Times New Roman" w:cs="Times New Roman"/>
          <w:sz w:val="24"/>
          <w:szCs w:val="24"/>
        </w:rPr>
        <w:t xml:space="preserve"> </w:t>
      </w:r>
      <w:r w:rsidRPr="00FC3028">
        <w:rPr>
          <w:rFonts w:ascii="Times New Roman" w:hAnsi="Times New Roman" w:cs="Times New Roman"/>
          <w:sz w:val="24"/>
          <w:szCs w:val="24"/>
        </w:rPr>
        <w:t>DIMP R</w:t>
      </w:r>
      <w:r w:rsidR="008875AA" w:rsidRPr="00FC3028">
        <w:rPr>
          <w:rFonts w:ascii="Times New Roman" w:hAnsi="Times New Roman" w:cs="Times New Roman"/>
          <w:sz w:val="24"/>
          <w:szCs w:val="24"/>
        </w:rPr>
        <w:t xml:space="preserve">egulations imposes an obligation on or even encourages a gas pipeline operator, such as Duke, to replace all the </w:t>
      </w:r>
      <w:r w:rsidRPr="00FC3028">
        <w:rPr>
          <w:rFonts w:ascii="Times New Roman" w:hAnsi="Times New Roman" w:cs="Times New Roman"/>
          <w:sz w:val="24"/>
          <w:szCs w:val="24"/>
        </w:rPr>
        <w:t xml:space="preserve">pre-1971 </w:t>
      </w:r>
      <w:r w:rsidR="00A25C89" w:rsidRPr="00FC3028">
        <w:rPr>
          <w:rFonts w:ascii="Times New Roman" w:hAnsi="Times New Roman" w:cs="Times New Roman"/>
          <w:sz w:val="24"/>
          <w:szCs w:val="24"/>
        </w:rPr>
        <w:t xml:space="preserve">metallic and non-protected </w:t>
      </w:r>
      <w:r w:rsidRPr="00FC3028">
        <w:rPr>
          <w:rFonts w:ascii="Times New Roman" w:hAnsi="Times New Roman" w:cs="Times New Roman"/>
          <w:sz w:val="24"/>
          <w:szCs w:val="24"/>
        </w:rPr>
        <w:t>service lines on its distribution system.</w:t>
      </w:r>
      <w:r w:rsidR="0090312D" w:rsidRPr="00FC3028">
        <w:rPr>
          <w:rStyle w:val="FootnoteReference"/>
          <w:rFonts w:ascii="Times New Roman" w:hAnsi="Times New Roman" w:cs="Times New Roman"/>
          <w:sz w:val="24"/>
          <w:szCs w:val="24"/>
        </w:rPr>
        <w:footnoteReference w:id="66"/>
      </w:r>
      <w:r w:rsidR="00EF36AB" w:rsidRPr="00FC3028">
        <w:rPr>
          <w:rFonts w:ascii="Times New Roman" w:hAnsi="Times New Roman" w:cs="Times New Roman"/>
          <w:sz w:val="24"/>
          <w:szCs w:val="24"/>
        </w:rPr>
        <w:t xml:space="preserve"> In fact</w:t>
      </w:r>
      <w:r w:rsidR="00DD7ABF">
        <w:rPr>
          <w:rFonts w:ascii="Times New Roman" w:hAnsi="Times New Roman" w:cs="Times New Roman"/>
          <w:sz w:val="24"/>
          <w:szCs w:val="24"/>
        </w:rPr>
        <w:t>,</w:t>
      </w:r>
      <w:r w:rsidR="00EF36AB" w:rsidRPr="00FC3028">
        <w:rPr>
          <w:rFonts w:ascii="Times New Roman" w:hAnsi="Times New Roman" w:cs="Times New Roman"/>
          <w:sz w:val="24"/>
          <w:szCs w:val="24"/>
        </w:rPr>
        <w:t xml:space="preserve"> there is not a single local distribution company in the United States</w:t>
      </w:r>
      <w:r w:rsidR="00854830">
        <w:rPr>
          <w:rFonts w:ascii="Times New Roman" w:hAnsi="Times New Roman" w:cs="Times New Roman"/>
          <w:sz w:val="24"/>
          <w:szCs w:val="24"/>
        </w:rPr>
        <w:t xml:space="preserve"> </w:t>
      </w:r>
      <w:r w:rsidR="00A25C89" w:rsidRPr="00FC3028">
        <w:rPr>
          <w:rFonts w:ascii="Times New Roman" w:hAnsi="Times New Roman" w:cs="Times New Roman"/>
          <w:sz w:val="24"/>
          <w:szCs w:val="24"/>
        </w:rPr>
        <w:t>(other than Duke and its Kentucky affiliate)</w:t>
      </w:r>
      <w:r w:rsidR="00EF36AB" w:rsidRPr="00FC3028">
        <w:rPr>
          <w:rFonts w:ascii="Times New Roman" w:hAnsi="Times New Roman" w:cs="Times New Roman"/>
          <w:sz w:val="24"/>
          <w:szCs w:val="24"/>
        </w:rPr>
        <w:t xml:space="preserve"> that has or has had a</w:t>
      </w:r>
      <w:r w:rsidR="00A25C89" w:rsidRPr="00FC3028">
        <w:rPr>
          <w:rFonts w:ascii="Times New Roman" w:hAnsi="Times New Roman" w:cs="Times New Roman"/>
          <w:sz w:val="24"/>
          <w:szCs w:val="24"/>
        </w:rPr>
        <w:t xml:space="preserve"> stand-alone</w:t>
      </w:r>
      <w:r w:rsidR="00EF36AB" w:rsidRPr="00FC3028">
        <w:rPr>
          <w:rFonts w:ascii="Times New Roman" w:hAnsi="Times New Roman" w:cs="Times New Roman"/>
          <w:sz w:val="24"/>
          <w:szCs w:val="24"/>
        </w:rPr>
        <w:t xml:space="preserve"> service line replacement program comparable to the one Duke is proposing in this proceeding.</w:t>
      </w:r>
      <w:r w:rsidR="00854830">
        <w:rPr>
          <w:rStyle w:val="FootnoteReference"/>
          <w:rFonts w:ascii="Times New Roman" w:hAnsi="Times New Roman" w:cs="Times New Roman"/>
          <w:sz w:val="24"/>
          <w:szCs w:val="24"/>
        </w:rPr>
        <w:footnoteReference w:id="67"/>
      </w:r>
      <w:r w:rsidRPr="00FC3028">
        <w:rPr>
          <w:rFonts w:ascii="Times New Roman" w:hAnsi="Times New Roman" w:cs="Times New Roman"/>
          <w:sz w:val="24"/>
          <w:szCs w:val="24"/>
        </w:rPr>
        <w:t xml:space="preserve"> </w:t>
      </w:r>
    </w:p>
    <w:p w:rsidR="003A2455" w:rsidRPr="00FC3028" w:rsidRDefault="00A64BAB" w:rsidP="00A25C89">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Further, </w:t>
      </w:r>
      <w:r w:rsidR="00CF30E1" w:rsidRPr="00FC3028">
        <w:rPr>
          <w:rFonts w:ascii="Times New Roman" w:hAnsi="Times New Roman" w:cs="Times New Roman"/>
          <w:sz w:val="24"/>
          <w:szCs w:val="24"/>
        </w:rPr>
        <w:t xml:space="preserve">Duke could comply with the DIMP </w:t>
      </w:r>
      <w:r w:rsidRPr="00FC3028">
        <w:rPr>
          <w:rFonts w:ascii="Times New Roman" w:hAnsi="Times New Roman" w:cs="Times New Roman"/>
          <w:sz w:val="24"/>
          <w:szCs w:val="24"/>
        </w:rPr>
        <w:t>requirement</w:t>
      </w:r>
      <w:r w:rsidR="00CF30E1" w:rsidRPr="00FC3028">
        <w:rPr>
          <w:rFonts w:ascii="Times New Roman" w:hAnsi="Times New Roman" w:cs="Times New Roman"/>
          <w:sz w:val="24"/>
          <w:szCs w:val="24"/>
        </w:rPr>
        <w:t xml:space="preserve"> of </w:t>
      </w:r>
      <w:r w:rsidRPr="00FC3028">
        <w:rPr>
          <w:rFonts w:ascii="Times New Roman" w:hAnsi="Times New Roman" w:cs="Times New Roman"/>
          <w:sz w:val="24"/>
          <w:szCs w:val="24"/>
        </w:rPr>
        <w:t>“</w:t>
      </w:r>
      <w:r w:rsidR="00CF30E1" w:rsidRPr="00FC3028">
        <w:rPr>
          <w:rFonts w:ascii="Times New Roman" w:hAnsi="Times New Roman" w:cs="Times New Roman"/>
          <w:sz w:val="24"/>
          <w:szCs w:val="24"/>
        </w:rPr>
        <w:t>addressing</w:t>
      </w:r>
      <w:r w:rsidRPr="00FC3028">
        <w:rPr>
          <w:rFonts w:ascii="Times New Roman" w:hAnsi="Times New Roman" w:cs="Times New Roman"/>
          <w:sz w:val="24"/>
          <w:szCs w:val="24"/>
        </w:rPr>
        <w:t>”</w:t>
      </w:r>
      <w:r w:rsidR="00CF30E1" w:rsidRPr="00FC3028">
        <w:rPr>
          <w:rFonts w:ascii="Times New Roman" w:hAnsi="Times New Roman" w:cs="Times New Roman"/>
          <w:sz w:val="24"/>
          <w:szCs w:val="24"/>
        </w:rPr>
        <w:t xml:space="preserve"> known system ris</w:t>
      </w:r>
      <w:r w:rsidR="003A7E06" w:rsidRPr="00FC3028">
        <w:rPr>
          <w:rFonts w:ascii="Times New Roman" w:hAnsi="Times New Roman" w:cs="Times New Roman"/>
          <w:sz w:val="24"/>
          <w:szCs w:val="24"/>
        </w:rPr>
        <w:t>ks by implementing a myriad of other less costly measures.</w:t>
      </w:r>
      <w:r w:rsidR="00241B85" w:rsidRPr="00241B85">
        <w:rPr>
          <w:rStyle w:val="FootnoteReference"/>
          <w:rFonts w:ascii="Times New Roman" w:hAnsi="Times New Roman" w:cs="Times New Roman"/>
          <w:sz w:val="24"/>
          <w:szCs w:val="24"/>
        </w:rPr>
        <w:t xml:space="preserve"> </w:t>
      </w:r>
      <w:r w:rsidR="00241B85" w:rsidRPr="00FC3028">
        <w:rPr>
          <w:rStyle w:val="FootnoteReference"/>
          <w:rFonts w:ascii="Times New Roman" w:hAnsi="Times New Roman" w:cs="Times New Roman"/>
          <w:sz w:val="24"/>
          <w:szCs w:val="24"/>
        </w:rPr>
        <w:footnoteReference w:id="68"/>
      </w:r>
      <w:r w:rsidR="003A7E06" w:rsidRPr="00FC3028">
        <w:rPr>
          <w:rFonts w:ascii="Times New Roman" w:hAnsi="Times New Roman" w:cs="Times New Roman"/>
          <w:sz w:val="24"/>
          <w:szCs w:val="24"/>
        </w:rPr>
        <w:t xml:space="preserve"> Yet, Duke</w:t>
      </w:r>
      <w:r w:rsidRPr="00FC3028">
        <w:rPr>
          <w:rFonts w:ascii="Times New Roman" w:hAnsi="Times New Roman" w:cs="Times New Roman"/>
          <w:sz w:val="24"/>
          <w:szCs w:val="24"/>
        </w:rPr>
        <w:t xml:space="preserve"> admitted that it did not analyze any alternatives to the ASRP.</w:t>
      </w:r>
      <w:r w:rsidR="004822CC" w:rsidRPr="00FC3028">
        <w:rPr>
          <w:rStyle w:val="FootnoteReference"/>
          <w:rFonts w:ascii="Times New Roman" w:hAnsi="Times New Roman" w:cs="Times New Roman"/>
          <w:sz w:val="24"/>
          <w:szCs w:val="24"/>
        </w:rPr>
        <w:footnoteReference w:id="69"/>
      </w:r>
      <w:r w:rsidRPr="00FC3028">
        <w:rPr>
          <w:rFonts w:ascii="Times New Roman" w:hAnsi="Times New Roman" w:cs="Times New Roman"/>
          <w:sz w:val="24"/>
          <w:szCs w:val="24"/>
        </w:rPr>
        <w:t xml:space="preserve"> Instead, on the eve of AMRP’s conclusion, Duke</w:t>
      </w:r>
      <w:r w:rsidR="003A7E06" w:rsidRPr="00FC3028">
        <w:rPr>
          <w:rFonts w:ascii="Times New Roman" w:hAnsi="Times New Roman" w:cs="Times New Roman"/>
          <w:sz w:val="24"/>
          <w:szCs w:val="24"/>
        </w:rPr>
        <w:t xml:space="preserve"> has chosen to apply for authorization to implement</w:t>
      </w:r>
      <w:r w:rsidR="00CF30E1" w:rsidRPr="00FC3028">
        <w:rPr>
          <w:rFonts w:ascii="Times New Roman" w:hAnsi="Times New Roman" w:cs="Times New Roman"/>
          <w:sz w:val="24"/>
          <w:szCs w:val="24"/>
        </w:rPr>
        <w:t xml:space="preserve"> the most </w:t>
      </w:r>
      <w:r w:rsidR="003A7E06" w:rsidRPr="00FC3028">
        <w:rPr>
          <w:rFonts w:ascii="Times New Roman" w:hAnsi="Times New Roman" w:cs="Times New Roman"/>
          <w:sz w:val="24"/>
          <w:szCs w:val="24"/>
        </w:rPr>
        <w:t>costly approach to</w:t>
      </w:r>
      <w:r w:rsidR="00CF30E1" w:rsidRPr="00FC3028">
        <w:rPr>
          <w:rFonts w:ascii="Times New Roman" w:hAnsi="Times New Roman" w:cs="Times New Roman"/>
          <w:sz w:val="24"/>
          <w:szCs w:val="24"/>
        </w:rPr>
        <w:t xml:space="preserve"> complying with the</w:t>
      </w:r>
      <w:r w:rsidRPr="00FC3028">
        <w:rPr>
          <w:rFonts w:ascii="Times New Roman" w:hAnsi="Times New Roman" w:cs="Times New Roman"/>
          <w:sz w:val="24"/>
          <w:szCs w:val="24"/>
        </w:rPr>
        <w:t xml:space="preserve"> DIMP</w:t>
      </w:r>
      <w:r w:rsidR="00CF30E1" w:rsidRPr="00FC3028">
        <w:rPr>
          <w:rFonts w:ascii="Times New Roman" w:hAnsi="Times New Roman" w:cs="Times New Roman"/>
          <w:sz w:val="24"/>
          <w:szCs w:val="24"/>
        </w:rPr>
        <w:t xml:space="preserve"> requirements.</w:t>
      </w:r>
      <w:r w:rsidR="00A25C89" w:rsidRPr="00FC3028">
        <w:rPr>
          <w:rStyle w:val="FootnoteReference"/>
          <w:rFonts w:ascii="Times New Roman" w:hAnsi="Times New Roman" w:cs="Times New Roman"/>
          <w:sz w:val="24"/>
          <w:szCs w:val="24"/>
        </w:rPr>
        <w:footnoteReference w:id="70"/>
      </w:r>
      <w:r w:rsidR="00A25C89" w:rsidRPr="00FC3028">
        <w:rPr>
          <w:rFonts w:ascii="Times New Roman" w:hAnsi="Times New Roman" w:cs="Times New Roman"/>
          <w:sz w:val="24"/>
          <w:szCs w:val="24"/>
        </w:rPr>
        <w:t xml:space="preserve"> </w:t>
      </w:r>
      <w:r w:rsidR="003A7E06" w:rsidRPr="00FC3028">
        <w:rPr>
          <w:rFonts w:ascii="Times New Roman" w:hAnsi="Times New Roman" w:cs="Times New Roman"/>
          <w:sz w:val="24"/>
          <w:szCs w:val="24"/>
        </w:rPr>
        <w:t>Such a decision is not just and reasonable.</w:t>
      </w:r>
      <w:r w:rsidR="00CF30E1" w:rsidRPr="00FC3028">
        <w:rPr>
          <w:rFonts w:ascii="Times New Roman" w:hAnsi="Times New Roman" w:cs="Times New Roman"/>
          <w:sz w:val="24"/>
          <w:szCs w:val="24"/>
        </w:rPr>
        <w:t xml:space="preserve"> </w:t>
      </w:r>
      <w:r w:rsidR="003A7E06" w:rsidRPr="00FC3028">
        <w:rPr>
          <w:rFonts w:ascii="Times New Roman" w:hAnsi="Times New Roman" w:cs="Times New Roman"/>
          <w:sz w:val="24"/>
          <w:szCs w:val="24"/>
        </w:rPr>
        <w:t>Duke is not required under federal regulations to implement a program that seeks to replace all pre-1971 service lines in its territory at a cost to consumers of approximately $320 million.</w:t>
      </w:r>
    </w:p>
    <w:p w:rsidR="00603478" w:rsidRPr="00FC3028" w:rsidRDefault="00A20C61" w:rsidP="00A20C61">
      <w:pPr>
        <w:pStyle w:val="Heading5"/>
      </w:pPr>
      <w:bookmarkStart w:id="16" w:name="_Toc437441467"/>
      <w:r>
        <w:t>ii</w:t>
      </w:r>
      <w:r w:rsidR="00A62460">
        <w:t>.</w:t>
      </w:r>
      <w:r w:rsidR="00A62460">
        <w:tab/>
      </w:r>
      <w:r w:rsidR="0071707E" w:rsidRPr="00FC3028">
        <w:t>The U.S. DOT’s</w:t>
      </w:r>
      <w:r w:rsidR="00065C7C" w:rsidRPr="00FC3028">
        <w:t xml:space="preserve"> Letter, White Paper, and</w:t>
      </w:r>
      <w:r w:rsidR="0071707E" w:rsidRPr="00FC3028">
        <w:t xml:space="preserve"> “Call to Action”</w:t>
      </w:r>
      <w:r w:rsidR="00065C7C" w:rsidRPr="00FC3028">
        <w:t xml:space="preserve"> are not legal binding, carry no legal precedent and do</w:t>
      </w:r>
      <w:r w:rsidR="0071707E" w:rsidRPr="00FC3028">
        <w:t xml:space="preserve"> not require an accelerated service line replacement program.</w:t>
      </w:r>
      <w:bookmarkEnd w:id="16"/>
    </w:p>
    <w:p w:rsidR="0071707E" w:rsidRPr="00FC3028" w:rsidRDefault="00603478" w:rsidP="00603478">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asserts that the U</w:t>
      </w:r>
      <w:r w:rsidR="00C9434E" w:rsidRPr="00FC3028">
        <w:rPr>
          <w:rFonts w:ascii="Times New Roman" w:hAnsi="Times New Roman" w:cs="Times New Roman"/>
          <w:sz w:val="24"/>
          <w:szCs w:val="24"/>
        </w:rPr>
        <w:t>.S. DOT</w:t>
      </w:r>
      <w:r w:rsidR="00A25C89" w:rsidRPr="00FC3028">
        <w:rPr>
          <w:rFonts w:ascii="Times New Roman" w:hAnsi="Times New Roman" w:cs="Times New Roman"/>
          <w:sz w:val="24"/>
          <w:szCs w:val="24"/>
        </w:rPr>
        <w:t>’s December 2011 letter, White P</w:t>
      </w:r>
      <w:r w:rsidRPr="00FC3028">
        <w:rPr>
          <w:rFonts w:ascii="Times New Roman" w:hAnsi="Times New Roman" w:cs="Times New Roman"/>
          <w:sz w:val="24"/>
          <w:szCs w:val="24"/>
        </w:rPr>
        <w:t>aper</w:t>
      </w:r>
      <w:r w:rsidR="00A25C89" w:rsidRPr="00FC3028">
        <w:rPr>
          <w:rFonts w:ascii="Times New Roman" w:hAnsi="Times New Roman" w:cs="Times New Roman"/>
          <w:sz w:val="24"/>
          <w:szCs w:val="24"/>
        </w:rPr>
        <w:t xml:space="preserve">, and “Call to Action” </w:t>
      </w:r>
      <w:r w:rsidRPr="00FC3028">
        <w:rPr>
          <w:rFonts w:ascii="Times New Roman" w:hAnsi="Times New Roman" w:cs="Times New Roman"/>
          <w:sz w:val="24"/>
          <w:szCs w:val="24"/>
        </w:rPr>
        <w:t>concerning state pipeline infrastructure replacement programs should persuade the PUCO to approve its $320 million ASRP.</w:t>
      </w:r>
      <w:r w:rsidR="00FD7D48" w:rsidRPr="00FC3028">
        <w:rPr>
          <w:rStyle w:val="FootnoteReference"/>
          <w:rFonts w:ascii="Times New Roman" w:hAnsi="Times New Roman" w:cs="Times New Roman"/>
          <w:sz w:val="24"/>
          <w:szCs w:val="24"/>
        </w:rPr>
        <w:footnoteReference w:id="71"/>
      </w:r>
      <w:r w:rsidRPr="00FC3028">
        <w:rPr>
          <w:rFonts w:ascii="Times New Roman" w:hAnsi="Times New Roman" w:cs="Times New Roman"/>
          <w:sz w:val="24"/>
          <w:szCs w:val="24"/>
        </w:rPr>
        <w:t xml:space="preserve"> Duke</w:t>
      </w:r>
      <w:r w:rsidR="00332CD5" w:rsidRPr="00FC3028">
        <w:rPr>
          <w:rFonts w:ascii="Times New Roman" w:hAnsi="Times New Roman" w:cs="Times New Roman"/>
          <w:sz w:val="24"/>
          <w:szCs w:val="24"/>
        </w:rPr>
        <w:t>’s</w:t>
      </w:r>
      <w:r w:rsidRPr="00FC3028">
        <w:rPr>
          <w:rFonts w:ascii="Times New Roman" w:hAnsi="Times New Roman" w:cs="Times New Roman"/>
          <w:sz w:val="24"/>
          <w:szCs w:val="24"/>
        </w:rPr>
        <w:t xml:space="preserve"> position is, again, meritless.</w:t>
      </w:r>
    </w:p>
    <w:p w:rsidR="00080A36" w:rsidRDefault="00080A36" w:rsidP="00603478">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The</w:t>
      </w:r>
      <w:r w:rsidR="009809F1" w:rsidRPr="00FC3028">
        <w:rPr>
          <w:rFonts w:ascii="Times New Roman" w:hAnsi="Times New Roman" w:cs="Times New Roman"/>
          <w:sz w:val="24"/>
          <w:szCs w:val="24"/>
        </w:rPr>
        <w:t xml:space="preserve"> letter,</w:t>
      </w:r>
      <w:r w:rsidR="00A25C89" w:rsidRPr="00FC3028">
        <w:rPr>
          <w:rFonts w:ascii="Times New Roman" w:hAnsi="Times New Roman" w:cs="Times New Roman"/>
          <w:sz w:val="24"/>
          <w:szCs w:val="24"/>
        </w:rPr>
        <w:t xml:space="preserve"> “White P</w:t>
      </w:r>
      <w:r w:rsidR="00332CD5" w:rsidRPr="00FC3028">
        <w:rPr>
          <w:rFonts w:ascii="Times New Roman" w:hAnsi="Times New Roman" w:cs="Times New Roman"/>
          <w:sz w:val="24"/>
          <w:szCs w:val="24"/>
        </w:rPr>
        <w:t>aper</w:t>
      </w:r>
      <w:r w:rsidR="00773AB4">
        <w:rPr>
          <w:rFonts w:ascii="Times New Roman" w:hAnsi="Times New Roman" w:cs="Times New Roman"/>
          <w:sz w:val="24"/>
          <w:szCs w:val="24"/>
        </w:rPr>
        <w:t>,</w:t>
      </w:r>
      <w:r w:rsidR="00332CD5" w:rsidRPr="00FC3028">
        <w:rPr>
          <w:rFonts w:ascii="Times New Roman" w:hAnsi="Times New Roman" w:cs="Times New Roman"/>
          <w:sz w:val="24"/>
          <w:szCs w:val="24"/>
        </w:rPr>
        <w:t>”</w:t>
      </w:r>
      <w:r w:rsidR="00A25C89" w:rsidRPr="00FC3028">
        <w:rPr>
          <w:rFonts w:ascii="Times New Roman" w:hAnsi="Times New Roman" w:cs="Times New Roman"/>
          <w:sz w:val="24"/>
          <w:szCs w:val="24"/>
        </w:rPr>
        <w:t xml:space="preserve"> and “Call to A</w:t>
      </w:r>
      <w:r w:rsidR="009809F1" w:rsidRPr="00FC3028">
        <w:rPr>
          <w:rFonts w:ascii="Times New Roman" w:hAnsi="Times New Roman" w:cs="Times New Roman"/>
          <w:sz w:val="24"/>
          <w:szCs w:val="24"/>
        </w:rPr>
        <w:t>ction”</w:t>
      </w:r>
      <w:r w:rsidR="00332CD5" w:rsidRPr="00FC3028">
        <w:rPr>
          <w:rFonts w:ascii="Times New Roman" w:hAnsi="Times New Roman" w:cs="Times New Roman"/>
          <w:sz w:val="24"/>
          <w:szCs w:val="24"/>
        </w:rPr>
        <w:t xml:space="preserve"> prepared</w:t>
      </w:r>
      <w:r w:rsidRPr="00FC3028">
        <w:rPr>
          <w:rFonts w:ascii="Times New Roman" w:hAnsi="Times New Roman" w:cs="Times New Roman"/>
          <w:sz w:val="24"/>
          <w:szCs w:val="24"/>
        </w:rPr>
        <w:t xml:space="preserve"> by the U</w:t>
      </w:r>
      <w:r w:rsidR="002A1456">
        <w:rPr>
          <w:rFonts w:ascii="Times New Roman" w:hAnsi="Times New Roman" w:cs="Times New Roman"/>
          <w:sz w:val="24"/>
          <w:szCs w:val="24"/>
        </w:rPr>
        <w:t>.</w:t>
      </w:r>
      <w:r w:rsidRPr="00FC3028">
        <w:rPr>
          <w:rFonts w:ascii="Times New Roman" w:hAnsi="Times New Roman" w:cs="Times New Roman"/>
          <w:sz w:val="24"/>
          <w:szCs w:val="24"/>
        </w:rPr>
        <w:t>S</w:t>
      </w:r>
      <w:r w:rsidR="002A1456">
        <w:rPr>
          <w:rFonts w:ascii="Times New Roman" w:hAnsi="Times New Roman" w:cs="Times New Roman"/>
          <w:sz w:val="24"/>
          <w:szCs w:val="24"/>
        </w:rPr>
        <w:t>.</w:t>
      </w:r>
      <w:r w:rsidRPr="00FC3028">
        <w:rPr>
          <w:rFonts w:ascii="Times New Roman" w:hAnsi="Times New Roman" w:cs="Times New Roman"/>
          <w:sz w:val="24"/>
          <w:szCs w:val="24"/>
        </w:rPr>
        <w:t xml:space="preserve"> DOT as identified in Duke </w:t>
      </w:r>
      <w:r w:rsidR="00EB13C0" w:rsidRPr="00FC3028">
        <w:rPr>
          <w:rFonts w:ascii="Times New Roman" w:hAnsi="Times New Roman" w:cs="Times New Roman"/>
          <w:sz w:val="24"/>
          <w:szCs w:val="24"/>
        </w:rPr>
        <w:t>Ex. No.</w:t>
      </w:r>
      <w:r w:rsidRPr="00FC3028">
        <w:rPr>
          <w:rFonts w:ascii="Times New Roman" w:hAnsi="Times New Roman" w:cs="Times New Roman"/>
          <w:sz w:val="24"/>
          <w:szCs w:val="24"/>
        </w:rPr>
        <w:t xml:space="preserve"> 10 are not</w:t>
      </w:r>
      <w:r w:rsidR="00332CD5" w:rsidRPr="00FC3028">
        <w:rPr>
          <w:rFonts w:ascii="Times New Roman" w:hAnsi="Times New Roman" w:cs="Times New Roman"/>
          <w:sz w:val="24"/>
          <w:szCs w:val="24"/>
        </w:rPr>
        <w:t xml:space="preserve"> legally binding document</w:t>
      </w:r>
      <w:r w:rsidRPr="00FC3028">
        <w:rPr>
          <w:rFonts w:ascii="Times New Roman" w:hAnsi="Times New Roman" w:cs="Times New Roman"/>
          <w:sz w:val="24"/>
          <w:szCs w:val="24"/>
        </w:rPr>
        <w:t>s</w:t>
      </w:r>
      <w:r w:rsidR="00332CD5" w:rsidRPr="00FC3028">
        <w:rPr>
          <w:rFonts w:ascii="Times New Roman" w:hAnsi="Times New Roman" w:cs="Times New Roman"/>
          <w:sz w:val="24"/>
          <w:szCs w:val="24"/>
        </w:rPr>
        <w:t>.</w:t>
      </w:r>
      <w:r w:rsidR="00FD7D48" w:rsidRPr="00FC3028">
        <w:rPr>
          <w:rFonts w:ascii="Times New Roman" w:hAnsi="Times New Roman" w:cs="Times New Roman"/>
          <w:sz w:val="24"/>
          <w:szCs w:val="24"/>
        </w:rPr>
        <w:t xml:space="preserve"> </w:t>
      </w:r>
      <w:r w:rsidR="00A25C89" w:rsidRPr="00FC3028">
        <w:rPr>
          <w:rFonts w:ascii="Times New Roman" w:hAnsi="Times New Roman" w:cs="Times New Roman"/>
          <w:sz w:val="24"/>
          <w:szCs w:val="24"/>
        </w:rPr>
        <w:t>Rather, “White P</w:t>
      </w:r>
      <w:r w:rsidRPr="00FC3028">
        <w:rPr>
          <w:rFonts w:ascii="Times New Roman" w:hAnsi="Times New Roman" w:cs="Times New Roman"/>
          <w:sz w:val="24"/>
          <w:szCs w:val="24"/>
        </w:rPr>
        <w:t>apers</w:t>
      </w:r>
      <w:r w:rsidR="00A25C89" w:rsidRPr="00FC3028">
        <w:rPr>
          <w:rFonts w:ascii="Times New Roman" w:hAnsi="Times New Roman" w:cs="Times New Roman"/>
          <w:sz w:val="24"/>
          <w:szCs w:val="24"/>
        </w:rPr>
        <w:t>”</w:t>
      </w:r>
      <w:r w:rsidRPr="00FC3028">
        <w:rPr>
          <w:rFonts w:ascii="Times New Roman" w:hAnsi="Times New Roman" w:cs="Times New Roman"/>
          <w:sz w:val="24"/>
          <w:szCs w:val="24"/>
        </w:rPr>
        <w:t xml:space="preserve"> and </w:t>
      </w:r>
      <w:r w:rsidR="00FD7D48" w:rsidRPr="00FC3028">
        <w:rPr>
          <w:rFonts w:ascii="Times New Roman" w:hAnsi="Times New Roman" w:cs="Times New Roman"/>
          <w:sz w:val="24"/>
          <w:szCs w:val="24"/>
        </w:rPr>
        <w:t>“Calls to Action” are disseminated from government agencies on</w:t>
      </w:r>
      <w:r w:rsidRPr="00FC3028">
        <w:rPr>
          <w:rFonts w:ascii="Times New Roman" w:hAnsi="Times New Roman" w:cs="Times New Roman"/>
          <w:sz w:val="24"/>
          <w:szCs w:val="24"/>
        </w:rPr>
        <w:t xml:space="preserve"> an</w:t>
      </w:r>
      <w:r w:rsidR="00FD7D48" w:rsidRPr="00FC3028">
        <w:rPr>
          <w:rFonts w:ascii="Times New Roman" w:hAnsi="Times New Roman" w:cs="Times New Roman"/>
          <w:sz w:val="24"/>
          <w:szCs w:val="24"/>
        </w:rPr>
        <w:t xml:space="preserve"> almost daily basis on a variety of topics.</w:t>
      </w:r>
      <w:r w:rsidR="00FD7D48" w:rsidRPr="00FC3028">
        <w:rPr>
          <w:rStyle w:val="FootnoteReference"/>
          <w:rFonts w:ascii="Times New Roman" w:hAnsi="Times New Roman" w:cs="Times New Roman"/>
          <w:sz w:val="24"/>
          <w:szCs w:val="24"/>
        </w:rPr>
        <w:footnoteReference w:id="72"/>
      </w:r>
      <w:r w:rsidR="000D555D" w:rsidRPr="000D555D">
        <w:rPr>
          <w:rFonts w:ascii="Times New Roman" w:hAnsi="Times New Roman" w:cs="Times New Roman"/>
          <w:sz w:val="24"/>
          <w:szCs w:val="24"/>
        </w:rPr>
        <w:t xml:space="preserve"> </w:t>
      </w:r>
      <w:r w:rsidR="000D555D">
        <w:rPr>
          <w:rFonts w:ascii="Times New Roman" w:hAnsi="Times New Roman" w:cs="Times New Roman"/>
          <w:sz w:val="24"/>
          <w:szCs w:val="24"/>
        </w:rPr>
        <w:t>Staff for the PUCO, the intended audience for this particular “Call to Action</w:t>
      </w:r>
      <w:r w:rsidR="00C036A3">
        <w:rPr>
          <w:rFonts w:ascii="Times New Roman" w:hAnsi="Times New Roman" w:cs="Times New Roman"/>
          <w:sz w:val="24"/>
          <w:szCs w:val="24"/>
        </w:rPr>
        <w:t>,</w:t>
      </w:r>
      <w:r w:rsidR="000D555D">
        <w:rPr>
          <w:rFonts w:ascii="Times New Roman" w:hAnsi="Times New Roman" w:cs="Times New Roman"/>
          <w:sz w:val="24"/>
          <w:szCs w:val="24"/>
        </w:rPr>
        <w:t>” stated that prior to this proceeding it was not even aware of the letter, White Paper or “Call to Action</w:t>
      </w:r>
      <w:r w:rsidR="00C036A3">
        <w:rPr>
          <w:rFonts w:ascii="Times New Roman" w:hAnsi="Times New Roman" w:cs="Times New Roman"/>
          <w:sz w:val="24"/>
          <w:szCs w:val="24"/>
        </w:rPr>
        <w:t>.</w:t>
      </w:r>
      <w:r w:rsidR="000D555D">
        <w:rPr>
          <w:rFonts w:ascii="Times New Roman" w:hAnsi="Times New Roman" w:cs="Times New Roman"/>
          <w:sz w:val="24"/>
          <w:szCs w:val="24"/>
        </w:rPr>
        <w:t>”</w:t>
      </w:r>
      <w:r w:rsidR="000D555D">
        <w:rPr>
          <w:rStyle w:val="FootnoteReference"/>
          <w:rFonts w:ascii="Times New Roman" w:hAnsi="Times New Roman" w:cs="Times New Roman"/>
          <w:sz w:val="24"/>
          <w:szCs w:val="24"/>
        </w:rPr>
        <w:footnoteReference w:id="73"/>
      </w:r>
      <w:r w:rsidR="000D555D">
        <w:rPr>
          <w:rFonts w:ascii="Times New Roman" w:hAnsi="Times New Roman" w:cs="Times New Roman"/>
          <w:sz w:val="24"/>
          <w:szCs w:val="24"/>
        </w:rPr>
        <w:t xml:space="preserve"> In fact, Staff stated that it </w:t>
      </w:r>
      <w:r w:rsidR="00502113">
        <w:rPr>
          <w:rFonts w:ascii="Times New Roman" w:hAnsi="Times New Roman" w:cs="Times New Roman"/>
          <w:sz w:val="24"/>
          <w:szCs w:val="24"/>
        </w:rPr>
        <w:t>was not even aware</w:t>
      </w:r>
      <w:r w:rsidR="000D555D">
        <w:rPr>
          <w:rFonts w:ascii="Times New Roman" w:hAnsi="Times New Roman" w:cs="Times New Roman"/>
          <w:sz w:val="24"/>
          <w:szCs w:val="24"/>
        </w:rPr>
        <w:t xml:space="preserve"> that PHMSA </w:t>
      </w:r>
      <w:r w:rsidR="00502113">
        <w:rPr>
          <w:rFonts w:ascii="Times New Roman" w:hAnsi="Times New Roman" w:cs="Times New Roman"/>
          <w:sz w:val="24"/>
          <w:szCs w:val="24"/>
        </w:rPr>
        <w:t>had made a determination regarding certain pipes being</w:t>
      </w:r>
      <w:r w:rsidR="000D555D">
        <w:rPr>
          <w:rFonts w:ascii="Times New Roman" w:hAnsi="Times New Roman" w:cs="Times New Roman"/>
          <w:sz w:val="24"/>
          <w:szCs w:val="24"/>
        </w:rPr>
        <w:t xml:space="preserve"> “high-risk</w:t>
      </w:r>
      <w:r w:rsidR="00502113">
        <w:rPr>
          <w:rFonts w:ascii="Times New Roman" w:hAnsi="Times New Roman" w:cs="Times New Roman"/>
          <w:sz w:val="24"/>
          <w:szCs w:val="24"/>
        </w:rPr>
        <w:t>.</w:t>
      </w:r>
      <w:r w:rsidR="000D555D">
        <w:rPr>
          <w:rFonts w:ascii="Times New Roman" w:hAnsi="Times New Roman" w:cs="Times New Roman"/>
          <w:sz w:val="24"/>
          <w:szCs w:val="24"/>
        </w:rPr>
        <w:t>”</w:t>
      </w:r>
      <w:r w:rsidR="000D555D">
        <w:rPr>
          <w:rStyle w:val="FootnoteReference"/>
          <w:rFonts w:ascii="Times New Roman" w:hAnsi="Times New Roman" w:cs="Times New Roman"/>
          <w:sz w:val="24"/>
          <w:szCs w:val="24"/>
        </w:rPr>
        <w:footnoteReference w:id="74"/>
      </w:r>
      <w:r w:rsidR="007E66CF" w:rsidRPr="00FC3028">
        <w:rPr>
          <w:rFonts w:ascii="Times New Roman" w:hAnsi="Times New Roman" w:cs="Times New Roman"/>
          <w:sz w:val="24"/>
          <w:szCs w:val="24"/>
        </w:rPr>
        <w:t xml:space="preserve"> </w:t>
      </w:r>
      <w:r w:rsidR="003510A4">
        <w:rPr>
          <w:rFonts w:ascii="Times New Roman" w:hAnsi="Times New Roman" w:cs="Times New Roman"/>
          <w:sz w:val="24"/>
          <w:szCs w:val="24"/>
        </w:rPr>
        <w:t>In addition, a</w:t>
      </w:r>
      <w:r w:rsidR="00502113">
        <w:rPr>
          <w:rFonts w:ascii="Times New Roman" w:hAnsi="Times New Roman" w:cs="Times New Roman"/>
          <w:sz w:val="24"/>
          <w:szCs w:val="24"/>
        </w:rPr>
        <w:t xml:space="preserve">s part of his normal course of business, </w:t>
      </w:r>
      <w:r w:rsidRPr="00FC3028">
        <w:rPr>
          <w:rFonts w:ascii="Times New Roman" w:hAnsi="Times New Roman" w:cs="Times New Roman"/>
          <w:sz w:val="24"/>
          <w:szCs w:val="24"/>
        </w:rPr>
        <w:t xml:space="preserve">OCC witness Williams </w:t>
      </w:r>
      <w:r w:rsidR="00A25C89" w:rsidRPr="00FC3028">
        <w:rPr>
          <w:rFonts w:ascii="Times New Roman" w:hAnsi="Times New Roman" w:cs="Times New Roman"/>
          <w:sz w:val="24"/>
          <w:szCs w:val="24"/>
        </w:rPr>
        <w:t>testified that he received numerous “Calls to Action” on a weekly basis and added that</w:t>
      </w:r>
      <w:r w:rsidRPr="00FC3028">
        <w:rPr>
          <w:rFonts w:ascii="Times New Roman" w:hAnsi="Times New Roman" w:cs="Times New Roman"/>
          <w:sz w:val="24"/>
          <w:szCs w:val="24"/>
        </w:rPr>
        <w:t xml:space="preserve"> it would not be </w:t>
      </w:r>
      <w:r w:rsidR="007E66CF" w:rsidRPr="00FC3028">
        <w:rPr>
          <w:rFonts w:ascii="Times New Roman" w:hAnsi="Times New Roman" w:cs="Times New Roman"/>
          <w:sz w:val="24"/>
          <w:szCs w:val="24"/>
        </w:rPr>
        <w:t>possible for the government to abide by every call to action that was circulated.</w:t>
      </w:r>
      <w:r w:rsidR="007E66CF" w:rsidRPr="00FC3028">
        <w:rPr>
          <w:rStyle w:val="FootnoteReference"/>
          <w:rFonts w:ascii="Times New Roman" w:hAnsi="Times New Roman" w:cs="Times New Roman"/>
          <w:sz w:val="24"/>
          <w:szCs w:val="24"/>
        </w:rPr>
        <w:footnoteReference w:id="75"/>
      </w:r>
      <w:r w:rsidR="00FD7D48" w:rsidRPr="00FC3028">
        <w:rPr>
          <w:rFonts w:ascii="Times New Roman" w:hAnsi="Times New Roman" w:cs="Times New Roman"/>
          <w:sz w:val="24"/>
          <w:szCs w:val="24"/>
        </w:rPr>
        <w:t xml:space="preserve"> </w:t>
      </w:r>
      <w:r w:rsidR="00A25C89" w:rsidRPr="00FC3028">
        <w:rPr>
          <w:rFonts w:ascii="Times New Roman" w:hAnsi="Times New Roman" w:cs="Times New Roman"/>
          <w:sz w:val="24"/>
          <w:szCs w:val="24"/>
        </w:rPr>
        <w:t>Instead of being a directive to engage in a $320 million program, “White P</w:t>
      </w:r>
      <w:r w:rsidRPr="00FC3028">
        <w:rPr>
          <w:rFonts w:ascii="Times New Roman" w:hAnsi="Times New Roman" w:cs="Times New Roman"/>
          <w:sz w:val="24"/>
          <w:szCs w:val="24"/>
        </w:rPr>
        <w:t>apers</w:t>
      </w:r>
      <w:r w:rsidR="00A25C89" w:rsidRPr="00FC3028">
        <w:rPr>
          <w:rFonts w:ascii="Times New Roman" w:hAnsi="Times New Roman" w:cs="Times New Roman"/>
          <w:sz w:val="24"/>
          <w:szCs w:val="24"/>
        </w:rPr>
        <w:t>” and “C</w:t>
      </w:r>
      <w:r w:rsidRPr="00FC3028">
        <w:rPr>
          <w:rFonts w:ascii="Times New Roman" w:hAnsi="Times New Roman" w:cs="Times New Roman"/>
          <w:sz w:val="24"/>
          <w:szCs w:val="24"/>
        </w:rPr>
        <w:t>all</w:t>
      </w:r>
      <w:r w:rsidR="00A25C89" w:rsidRPr="00FC3028">
        <w:rPr>
          <w:rFonts w:ascii="Times New Roman" w:hAnsi="Times New Roman" w:cs="Times New Roman"/>
          <w:sz w:val="24"/>
          <w:szCs w:val="24"/>
        </w:rPr>
        <w:t xml:space="preserve"> to A</w:t>
      </w:r>
      <w:r w:rsidRPr="00FC3028">
        <w:rPr>
          <w:rFonts w:ascii="Times New Roman" w:hAnsi="Times New Roman" w:cs="Times New Roman"/>
          <w:sz w:val="24"/>
          <w:szCs w:val="24"/>
        </w:rPr>
        <w:t>ction” notices</w:t>
      </w:r>
      <w:r w:rsidR="00FD7D48" w:rsidRPr="00FC3028">
        <w:rPr>
          <w:rFonts w:ascii="Times New Roman" w:hAnsi="Times New Roman" w:cs="Times New Roman"/>
          <w:sz w:val="24"/>
          <w:szCs w:val="24"/>
        </w:rPr>
        <w:t xml:space="preserve"> are meant to</w:t>
      </w:r>
      <w:r w:rsidRPr="00FC3028">
        <w:rPr>
          <w:rFonts w:ascii="Times New Roman" w:hAnsi="Times New Roman" w:cs="Times New Roman"/>
          <w:sz w:val="24"/>
          <w:szCs w:val="24"/>
        </w:rPr>
        <w:t xml:space="preserve"> spread awareness and</w:t>
      </w:r>
      <w:r w:rsidR="00FD7D48" w:rsidRPr="00FC3028">
        <w:rPr>
          <w:rFonts w:ascii="Times New Roman" w:hAnsi="Times New Roman" w:cs="Times New Roman"/>
          <w:sz w:val="24"/>
          <w:szCs w:val="24"/>
        </w:rPr>
        <w:t xml:space="preserve"> inform the pub</w:t>
      </w:r>
      <w:r w:rsidRPr="00FC3028">
        <w:rPr>
          <w:rFonts w:ascii="Times New Roman" w:hAnsi="Times New Roman" w:cs="Times New Roman"/>
          <w:sz w:val="24"/>
          <w:szCs w:val="24"/>
        </w:rPr>
        <w:t>lic about a topic that the</w:t>
      </w:r>
      <w:r w:rsidR="003510A4">
        <w:rPr>
          <w:rFonts w:ascii="Times New Roman" w:hAnsi="Times New Roman" w:cs="Times New Roman"/>
          <w:sz w:val="24"/>
          <w:szCs w:val="24"/>
        </w:rPr>
        <w:t xml:space="preserve"> particular</w:t>
      </w:r>
      <w:r w:rsidRPr="00FC3028">
        <w:rPr>
          <w:rFonts w:ascii="Times New Roman" w:hAnsi="Times New Roman" w:cs="Times New Roman"/>
          <w:sz w:val="24"/>
          <w:szCs w:val="24"/>
        </w:rPr>
        <w:t xml:space="preserve"> </w:t>
      </w:r>
      <w:r w:rsidR="00502113">
        <w:rPr>
          <w:rFonts w:ascii="Times New Roman" w:hAnsi="Times New Roman" w:cs="Times New Roman"/>
          <w:sz w:val="24"/>
          <w:szCs w:val="24"/>
        </w:rPr>
        <w:t>agency</w:t>
      </w:r>
      <w:r w:rsidR="00502113" w:rsidRPr="00FC3028">
        <w:rPr>
          <w:rFonts w:ascii="Times New Roman" w:hAnsi="Times New Roman" w:cs="Times New Roman"/>
          <w:sz w:val="24"/>
          <w:szCs w:val="24"/>
        </w:rPr>
        <w:t xml:space="preserve"> </w:t>
      </w:r>
      <w:r w:rsidRPr="00FC3028">
        <w:rPr>
          <w:rFonts w:ascii="Times New Roman" w:hAnsi="Times New Roman" w:cs="Times New Roman"/>
          <w:sz w:val="24"/>
          <w:szCs w:val="24"/>
        </w:rPr>
        <w:t>has determined to be of value</w:t>
      </w:r>
      <w:r w:rsidR="00FD7D48" w:rsidRPr="00FC3028">
        <w:rPr>
          <w:rFonts w:ascii="Times New Roman" w:hAnsi="Times New Roman" w:cs="Times New Roman"/>
          <w:sz w:val="24"/>
          <w:szCs w:val="24"/>
        </w:rPr>
        <w:t>.</w:t>
      </w:r>
      <w:r w:rsidR="007E66CF" w:rsidRPr="00FC3028">
        <w:rPr>
          <w:rFonts w:ascii="Times New Roman" w:hAnsi="Times New Roman" w:cs="Times New Roman"/>
          <w:sz w:val="24"/>
          <w:szCs w:val="24"/>
        </w:rPr>
        <w:t xml:space="preserve"> It is common knowledge that </w:t>
      </w:r>
      <w:r w:rsidRPr="00FC3028">
        <w:rPr>
          <w:rFonts w:ascii="Times New Roman" w:hAnsi="Times New Roman" w:cs="Times New Roman"/>
          <w:sz w:val="24"/>
          <w:szCs w:val="24"/>
        </w:rPr>
        <w:t>such documents</w:t>
      </w:r>
      <w:r w:rsidR="007E66CF" w:rsidRPr="00FC3028">
        <w:rPr>
          <w:rFonts w:ascii="Times New Roman" w:hAnsi="Times New Roman" w:cs="Times New Roman"/>
          <w:sz w:val="24"/>
          <w:szCs w:val="24"/>
        </w:rPr>
        <w:t xml:space="preserve"> are not binding legal precedent.</w:t>
      </w:r>
      <w:r w:rsidR="005C14C1" w:rsidRPr="00FC3028">
        <w:rPr>
          <w:rFonts w:ascii="Times New Roman" w:hAnsi="Times New Roman" w:cs="Times New Roman"/>
          <w:sz w:val="24"/>
          <w:szCs w:val="24"/>
        </w:rPr>
        <w:t xml:space="preserve"> </w:t>
      </w:r>
    </w:p>
    <w:p w:rsidR="00502113" w:rsidRPr="00FC3028" w:rsidRDefault="00502113" w:rsidP="005021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even if the letter, White Paper and “Call to Action” did require the replacement of service lines, it does not require or encourage states to authorize accelerated cost recovery for such programs</w:t>
      </w:r>
      <w:r w:rsidR="008505E4">
        <w:rPr>
          <w:rFonts w:ascii="Times New Roman" w:hAnsi="Times New Roman" w:cs="Times New Roman"/>
          <w:sz w:val="24"/>
          <w:szCs w:val="24"/>
        </w:rPr>
        <w:t>.</w:t>
      </w:r>
      <w:r>
        <w:rPr>
          <w:rFonts w:ascii="Times New Roman" w:hAnsi="Times New Roman" w:cs="Times New Roman"/>
          <w:sz w:val="24"/>
          <w:szCs w:val="24"/>
        </w:rPr>
        <w:t xml:space="preserve"> In fact, Duke stated that it could not recall whether the </w:t>
      </w:r>
      <w:r w:rsidR="008505E4">
        <w:rPr>
          <w:rFonts w:ascii="Times New Roman" w:hAnsi="Times New Roman" w:cs="Times New Roman"/>
          <w:sz w:val="24"/>
          <w:szCs w:val="24"/>
        </w:rPr>
        <w:t>White P</w:t>
      </w:r>
      <w:r>
        <w:rPr>
          <w:rFonts w:ascii="Times New Roman" w:hAnsi="Times New Roman" w:cs="Times New Roman"/>
          <w:sz w:val="24"/>
          <w:szCs w:val="24"/>
        </w:rPr>
        <w:t>aper</w:t>
      </w:r>
      <w:r w:rsidR="008505E4">
        <w:rPr>
          <w:rFonts w:ascii="Times New Roman" w:hAnsi="Times New Roman" w:cs="Times New Roman"/>
          <w:sz w:val="24"/>
          <w:szCs w:val="24"/>
        </w:rPr>
        <w:t xml:space="preserve"> explicitly </w:t>
      </w:r>
      <w:r>
        <w:rPr>
          <w:rFonts w:ascii="Times New Roman" w:hAnsi="Times New Roman" w:cs="Times New Roman"/>
          <w:sz w:val="24"/>
          <w:szCs w:val="24"/>
        </w:rPr>
        <w:t>encouraged accelerate rate recovery.</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
    <w:p w:rsidR="00603478" w:rsidRPr="00FC3028" w:rsidRDefault="005C14C1" w:rsidP="00603478">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Therefore, the PUCO should </w:t>
      </w:r>
      <w:r w:rsidR="00080A36" w:rsidRPr="00FC3028">
        <w:rPr>
          <w:rFonts w:ascii="Times New Roman" w:hAnsi="Times New Roman" w:cs="Times New Roman"/>
          <w:sz w:val="24"/>
          <w:szCs w:val="24"/>
        </w:rPr>
        <w:t xml:space="preserve">lend </w:t>
      </w:r>
      <w:r w:rsidR="005F036B" w:rsidRPr="00FC3028">
        <w:rPr>
          <w:rFonts w:ascii="Times New Roman" w:hAnsi="Times New Roman" w:cs="Times New Roman"/>
          <w:sz w:val="24"/>
          <w:szCs w:val="24"/>
        </w:rPr>
        <w:t>no weight to the letter, White P</w:t>
      </w:r>
      <w:r w:rsidR="00080A36" w:rsidRPr="00FC3028">
        <w:rPr>
          <w:rFonts w:ascii="Times New Roman" w:hAnsi="Times New Roman" w:cs="Times New Roman"/>
          <w:sz w:val="24"/>
          <w:szCs w:val="24"/>
        </w:rPr>
        <w:t>aper, and</w:t>
      </w:r>
      <w:r w:rsidR="005F036B" w:rsidRPr="00FC3028">
        <w:rPr>
          <w:rFonts w:ascii="Times New Roman" w:hAnsi="Times New Roman" w:cs="Times New Roman"/>
          <w:sz w:val="24"/>
          <w:szCs w:val="24"/>
        </w:rPr>
        <w:t xml:space="preserve"> “Call to A</w:t>
      </w:r>
      <w:r w:rsidRPr="00FC3028">
        <w:rPr>
          <w:rFonts w:ascii="Times New Roman" w:hAnsi="Times New Roman" w:cs="Times New Roman"/>
          <w:sz w:val="24"/>
          <w:szCs w:val="24"/>
        </w:rPr>
        <w:t>ction</w:t>
      </w:r>
      <w:r w:rsidR="0028403A">
        <w:rPr>
          <w:rFonts w:ascii="Times New Roman" w:hAnsi="Times New Roman" w:cs="Times New Roman"/>
          <w:sz w:val="24"/>
          <w:szCs w:val="24"/>
        </w:rPr>
        <w:t>.</w:t>
      </w:r>
      <w:r w:rsidRPr="00FC3028">
        <w:rPr>
          <w:rFonts w:ascii="Times New Roman" w:hAnsi="Times New Roman" w:cs="Times New Roman"/>
          <w:sz w:val="24"/>
          <w:szCs w:val="24"/>
        </w:rPr>
        <w:t>”</w:t>
      </w:r>
      <w:r w:rsidR="00B56C8D" w:rsidRPr="00FC3028">
        <w:rPr>
          <w:rFonts w:ascii="Times New Roman" w:hAnsi="Times New Roman" w:cs="Times New Roman"/>
          <w:sz w:val="24"/>
          <w:szCs w:val="24"/>
        </w:rPr>
        <w:t xml:space="preserve"> </w:t>
      </w:r>
      <w:r w:rsidR="0028403A">
        <w:rPr>
          <w:rFonts w:ascii="Times New Roman" w:hAnsi="Times New Roman" w:cs="Times New Roman"/>
          <w:sz w:val="24"/>
          <w:szCs w:val="24"/>
        </w:rPr>
        <w:t>I</w:t>
      </w:r>
      <w:r w:rsidR="00B56C8D" w:rsidRPr="00FC3028">
        <w:rPr>
          <w:rFonts w:ascii="Times New Roman" w:hAnsi="Times New Roman" w:cs="Times New Roman"/>
          <w:sz w:val="24"/>
          <w:szCs w:val="24"/>
        </w:rPr>
        <w:t xml:space="preserve">nstead </w:t>
      </w:r>
      <w:r w:rsidR="0028403A">
        <w:rPr>
          <w:rFonts w:ascii="Times New Roman" w:hAnsi="Times New Roman" w:cs="Times New Roman"/>
          <w:sz w:val="24"/>
          <w:szCs w:val="24"/>
        </w:rPr>
        <w:t xml:space="preserve">the PUCO should determine if </w:t>
      </w:r>
      <w:r w:rsidR="00B56C8D" w:rsidRPr="00FC3028">
        <w:rPr>
          <w:rFonts w:ascii="Times New Roman" w:hAnsi="Times New Roman" w:cs="Times New Roman"/>
          <w:sz w:val="24"/>
          <w:szCs w:val="24"/>
        </w:rPr>
        <w:t>Duke has carried</w:t>
      </w:r>
      <w:r w:rsidR="005F036B" w:rsidRPr="00FC3028">
        <w:rPr>
          <w:rFonts w:ascii="Times New Roman" w:hAnsi="Times New Roman" w:cs="Times New Roman"/>
          <w:sz w:val="24"/>
          <w:szCs w:val="24"/>
        </w:rPr>
        <w:t xml:space="preserve"> its burden of showing that the ASRP is</w:t>
      </w:r>
      <w:r w:rsidR="0028403A">
        <w:rPr>
          <w:rFonts w:ascii="Times New Roman" w:hAnsi="Times New Roman" w:cs="Times New Roman"/>
          <w:sz w:val="24"/>
          <w:szCs w:val="24"/>
        </w:rPr>
        <w:t xml:space="preserve"> just and reasonable and </w:t>
      </w:r>
      <w:r w:rsidR="0028403A" w:rsidRPr="00FC3028">
        <w:rPr>
          <w:rFonts w:ascii="Times New Roman" w:hAnsi="Times New Roman" w:cs="Times New Roman"/>
          <w:sz w:val="24"/>
          <w:szCs w:val="24"/>
        </w:rPr>
        <w:t>necessary</w:t>
      </w:r>
      <w:r w:rsidR="0028403A">
        <w:rPr>
          <w:rFonts w:ascii="Times New Roman" w:hAnsi="Times New Roman" w:cs="Times New Roman"/>
          <w:sz w:val="24"/>
          <w:szCs w:val="24"/>
        </w:rPr>
        <w:t xml:space="preserve"> to provide customers with ad</w:t>
      </w:r>
      <w:r w:rsidR="003A73A4">
        <w:rPr>
          <w:rFonts w:ascii="Times New Roman" w:hAnsi="Times New Roman" w:cs="Times New Roman"/>
          <w:sz w:val="24"/>
          <w:szCs w:val="24"/>
        </w:rPr>
        <w:t>equate and reliable service and</w:t>
      </w:r>
      <w:r w:rsidR="0028403A">
        <w:rPr>
          <w:rFonts w:ascii="Times New Roman" w:hAnsi="Times New Roman" w:cs="Times New Roman"/>
          <w:sz w:val="24"/>
          <w:szCs w:val="24"/>
        </w:rPr>
        <w:t xml:space="preserve"> facilities</w:t>
      </w:r>
      <w:r w:rsidR="00B56C8D" w:rsidRPr="00FC3028">
        <w:rPr>
          <w:rFonts w:ascii="Times New Roman" w:hAnsi="Times New Roman" w:cs="Times New Roman"/>
          <w:sz w:val="24"/>
          <w:szCs w:val="24"/>
        </w:rPr>
        <w:t>.</w:t>
      </w:r>
    </w:p>
    <w:p w:rsidR="001709DF" w:rsidRPr="00FC3028" w:rsidRDefault="00A20C61" w:rsidP="00A20C61">
      <w:pPr>
        <w:pStyle w:val="Heading5"/>
      </w:pPr>
      <w:bookmarkStart w:id="17" w:name="_Toc437441468"/>
      <w:r>
        <w:t>iii</w:t>
      </w:r>
      <w:r w:rsidR="00A62460">
        <w:t>.</w:t>
      </w:r>
      <w:r w:rsidR="00A62460">
        <w:tab/>
      </w:r>
      <w:r w:rsidR="001709DF" w:rsidRPr="00FC3028">
        <w:t>Ohio’s current minimum gas pipeline safety leak repair standards satisfy the DIMP regulations</w:t>
      </w:r>
      <w:r w:rsidR="001B565A">
        <w:t xml:space="preserve"> and protect Ohio consumers</w:t>
      </w:r>
      <w:r w:rsidR="001709DF" w:rsidRPr="00FC3028">
        <w:t>.</w:t>
      </w:r>
      <w:bookmarkEnd w:id="17"/>
    </w:p>
    <w:p w:rsidR="00FC1275" w:rsidRPr="00FC3028" w:rsidRDefault="001709DF" w:rsidP="00382FDD">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The PUCO minimum gas pipeline standards concerning leak repairs are contained in Ohio Adm. Code 4901:1-16-04(H). </w:t>
      </w:r>
      <w:r w:rsidR="00FC1275" w:rsidRPr="00FC3028">
        <w:rPr>
          <w:rFonts w:ascii="Times New Roman" w:hAnsi="Times New Roman" w:cs="Times New Roman"/>
          <w:sz w:val="24"/>
          <w:szCs w:val="24"/>
        </w:rPr>
        <w:t>These safety standards require all natural gas pipeline operators, including Duke, to classify and address leaks based on the severity of the leak.</w:t>
      </w:r>
      <w:r w:rsidR="00FC1275" w:rsidRPr="00FC3028">
        <w:rPr>
          <w:rStyle w:val="FootnoteReference"/>
          <w:rFonts w:ascii="Times New Roman" w:hAnsi="Times New Roman" w:cs="Times New Roman"/>
          <w:sz w:val="24"/>
          <w:szCs w:val="24"/>
        </w:rPr>
        <w:footnoteReference w:id="77"/>
      </w:r>
      <w:r w:rsidR="00FC1275" w:rsidRPr="00FC3028">
        <w:rPr>
          <w:rFonts w:ascii="Times New Roman" w:hAnsi="Times New Roman" w:cs="Times New Roman"/>
          <w:sz w:val="24"/>
          <w:szCs w:val="24"/>
        </w:rPr>
        <w:t xml:space="preserve"> Under these regulations, a grade-one l</w:t>
      </w:r>
      <w:r w:rsidR="003B5F28" w:rsidRPr="00FC3028">
        <w:rPr>
          <w:rFonts w:ascii="Times New Roman" w:hAnsi="Times New Roman" w:cs="Times New Roman"/>
          <w:sz w:val="24"/>
          <w:szCs w:val="24"/>
        </w:rPr>
        <w:t xml:space="preserve">eak -- the most severe leak -- </w:t>
      </w:r>
      <w:r w:rsidR="00FC1275" w:rsidRPr="00FC3028">
        <w:rPr>
          <w:rFonts w:ascii="Times New Roman" w:hAnsi="Times New Roman" w:cs="Times New Roman"/>
          <w:sz w:val="24"/>
          <w:szCs w:val="24"/>
        </w:rPr>
        <w:t>is considered “hazardous” and must be addressed immediately.</w:t>
      </w:r>
      <w:r w:rsidR="00080A36" w:rsidRPr="00FC3028">
        <w:rPr>
          <w:rStyle w:val="FootnoteReference"/>
          <w:rFonts w:ascii="Times New Roman" w:hAnsi="Times New Roman" w:cs="Times New Roman"/>
          <w:sz w:val="24"/>
          <w:szCs w:val="24"/>
        </w:rPr>
        <w:footnoteReference w:id="78"/>
      </w:r>
      <w:r w:rsidR="00FC1275" w:rsidRPr="00FC3028">
        <w:rPr>
          <w:rFonts w:ascii="Times New Roman" w:hAnsi="Times New Roman" w:cs="Times New Roman"/>
          <w:sz w:val="24"/>
          <w:szCs w:val="24"/>
        </w:rPr>
        <w:t xml:space="preserve"> </w:t>
      </w:r>
      <w:r w:rsidR="00382FDD" w:rsidRPr="00FC3028">
        <w:rPr>
          <w:rFonts w:ascii="Times New Roman" w:hAnsi="Times New Roman" w:cs="Times New Roman"/>
          <w:sz w:val="24"/>
          <w:szCs w:val="24"/>
        </w:rPr>
        <w:t>G</w:t>
      </w:r>
      <w:r w:rsidR="00FC1275" w:rsidRPr="00FC3028">
        <w:rPr>
          <w:rFonts w:ascii="Times New Roman" w:hAnsi="Times New Roman" w:cs="Times New Roman"/>
          <w:sz w:val="24"/>
          <w:szCs w:val="24"/>
        </w:rPr>
        <w:t>rade-two</w:t>
      </w:r>
      <w:r w:rsidR="00382FDD" w:rsidRPr="00FC3028">
        <w:rPr>
          <w:rFonts w:ascii="Times New Roman" w:hAnsi="Times New Roman" w:cs="Times New Roman"/>
          <w:sz w:val="24"/>
          <w:szCs w:val="24"/>
        </w:rPr>
        <w:t xml:space="preserve"> and grade-three</w:t>
      </w:r>
      <w:r w:rsidR="00FC1275" w:rsidRPr="00FC3028">
        <w:rPr>
          <w:rFonts w:ascii="Times New Roman" w:hAnsi="Times New Roman" w:cs="Times New Roman"/>
          <w:sz w:val="24"/>
          <w:szCs w:val="24"/>
        </w:rPr>
        <w:t xml:space="preserve"> leak</w:t>
      </w:r>
      <w:r w:rsidR="00382FDD" w:rsidRPr="00FC3028">
        <w:rPr>
          <w:rFonts w:ascii="Times New Roman" w:hAnsi="Times New Roman" w:cs="Times New Roman"/>
          <w:sz w:val="24"/>
          <w:szCs w:val="24"/>
        </w:rPr>
        <w:t>s are both</w:t>
      </w:r>
      <w:r w:rsidR="001F2D7F" w:rsidRPr="00FC3028">
        <w:rPr>
          <w:rFonts w:ascii="Times New Roman" w:hAnsi="Times New Roman" w:cs="Times New Roman"/>
          <w:sz w:val="24"/>
          <w:szCs w:val="24"/>
        </w:rPr>
        <w:t xml:space="preserve"> classified as</w:t>
      </w:r>
      <w:r w:rsidR="00FC1275" w:rsidRPr="00FC3028">
        <w:rPr>
          <w:rFonts w:ascii="Times New Roman" w:hAnsi="Times New Roman" w:cs="Times New Roman"/>
          <w:sz w:val="24"/>
          <w:szCs w:val="24"/>
        </w:rPr>
        <w:t xml:space="preserve"> non-hazardous leak</w:t>
      </w:r>
      <w:r w:rsidR="00382FDD" w:rsidRPr="00FC3028">
        <w:rPr>
          <w:rFonts w:ascii="Times New Roman" w:hAnsi="Times New Roman" w:cs="Times New Roman"/>
          <w:sz w:val="24"/>
          <w:szCs w:val="24"/>
        </w:rPr>
        <w:t>s</w:t>
      </w:r>
      <w:r w:rsidR="00FC1275" w:rsidRPr="00FC3028">
        <w:rPr>
          <w:rFonts w:ascii="Times New Roman" w:hAnsi="Times New Roman" w:cs="Times New Roman"/>
          <w:sz w:val="24"/>
          <w:szCs w:val="24"/>
        </w:rPr>
        <w:t xml:space="preserve">. </w:t>
      </w:r>
      <w:r w:rsidR="00382FDD" w:rsidRPr="00FC3028">
        <w:rPr>
          <w:rFonts w:ascii="Times New Roman" w:hAnsi="Times New Roman" w:cs="Times New Roman"/>
          <w:sz w:val="24"/>
          <w:szCs w:val="24"/>
        </w:rPr>
        <w:t>A grade-two</w:t>
      </w:r>
      <w:r w:rsidR="00FC1275" w:rsidRPr="00FC3028">
        <w:rPr>
          <w:rFonts w:ascii="Times New Roman" w:hAnsi="Times New Roman" w:cs="Times New Roman"/>
          <w:sz w:val="24"/>
          <w:szCs w:val="24"/>
        </w:rPr>
        <w:t xml:space="preserve"> must be repaired no later than </w:t>
      </w:r>
      <w:r w:rsidR="00773AB4">
        <w:rPr>
          <w:rFonts w:ascii="Times New Roman" w:hAnsi="Times New Roman" w:cs="Times New Roman"/>
          <w:sz w:val="24"/>
          <w:szCs w:val="24"/>
        </w:rPr>
        <w:t>15</w:t>
      </w:r>
      <w:r w:rsidR="00773AB4" w:rsidRPr="00FC3028">
        <w:rPr>
          <w:rFonts w:ascii="Times New Roman" w:hAnsi="Times New Roman" w:cs="Times New Roman"/>
          <w:sz w:val="24"/>
          <w:szCs w:val="24"/>
        </w:rPr>
        <w:t xml:space="preserve"> </w:t>
      </w:r>
      <w:r w:rsidR="00FC1275" w:rsidRPr="00FC3028">
        <w:rPr>
          <w:rFonts w:ascii="Times New Roman" w:hAnsi="Times New Roman" w:cs="Times New Roman"/>
          <w:sz w:val="24"/>
          <w:szCs w:val="24"/>
        </w:rPr>
        <w:t>months from the time the leak is discovered, unless the pipeline containing the leak is scheduled for replacement within twenty-four months from th</w:t>
      </w:r>
      <w:r w:rsidR="001F2D7F" w:rsidRPr="00FC3028">
        <w:rPr>
          <w:rFonts w:ascii="Times New Roman" w:hAnsi="Times New Roman" w:cs="Times New Roman"/>
          <w:sz w:val="24"/>
          <w:szCs w:val="24"/>
        </w:rPr>
        <w:t>e date the leak is discovered.</w:t>
      </w:r>
      <w:r w:rsidR="001F2D7F" w:rsidRPr="00FC3028">
        <w:rPr>
          <w:rStyle w:val="FootnoteReference"/>
          <w:rFonts w:ascii="Times New Roman" w:hAnsi="Times New Roman" w:cs="Times New Roman"/>
          <w:sz w:val="24"/>
          <w:szCs w:val="24"/>
        </w:rPr>
        <w:footnoteReference w:id="79"/>
      </w:r>
      <w:r w:rsidR="001F2D7F" w:rsidRPr="00FC3028">
        <w:rPr>
          <w:rFonts w:ascii="Times New Roman" w:hAnsi="Times New Roman" w:cs="Times New Roman"/>
          <w:sz w:val="24"/>
          <w:szCs w:val="24"/>
        </w:rPr>
        <w:t xml:space="preserve"> </w:t>
      </w:r>
      <w:r w:rsidR="00382FDD" w:rsidRPr="00FC3028">
        <w:rPr>
          <w:rFonts w:ascii="Times New Roman" w:hAnsi="Times New Roman" w:cs="Times New Roman"/>
          <w:sz w:val="24"/>
          <w:szCs w:val="24"/>
        </w:rPr>
        <w:t>A</w:t>
      </w:r>
      <w:r w:rsidR="00FC1275" w:rsidRPr="00FC3028">
        <w:rPr>
          <w:rFonts w:ascii="Times New Roman" w:hAnsi="Times New Roman" w:cs="Times New Roman"/>
          <w:sz w:val="24"/>
          <w:szCs w:val="24"/>
        </w:rPr>
        <w:t xml:space="preserve"> grade-</w:t>
      </w:r>
      <w:r w:rsidR="001F2D7F" w:rsidRPr="00FC3028">
        <w:rPr>
          <w:rFonts w:ascii="Times New Roman" w:hAnsi="Times New Roman" w:cs="Times New Roman"/>
          <w:sz w:val="24"/>
          <w:szCs w:val="24"/>
        </w:rPr>
        <w:t>three</w:t>
      </w:r>
      <w:r w:rsidR="00FC1275" w:rsidRPr="00FC3028">
        <w:rPr>
          <w:rFonts w:ascii="Times New Roman" w:hAnsi="Times New Roman" w:cs="Times New Roman"/>
          <w:sz w:val="24"/>
          <w:szCs w:val="24"/>
        </w:rPr>
        <w:t xml:space="preserve"> leak has no specific standards for repair</w:t>
      </w:r>
      <w:r w:rsidR="001F2D7F" w:rsidRPr="00FC3028">
        <w:rPr>
          <w:rFonts w:ascii="Times New Roman" w:hAnsi="Times New Roman" w:cs="Times New Roman"/>
          <w:sz w:val="24"/>
          <w:szCs w:val="24"/>
        </w:rPr>
        <w:t xml:space="preserve"> as it is</w:t>
      </w:r>
      <w:r w:rsidR="00FC1275" w:rsidRPr="00FC3028">
        <w:rPr>
          <w:rFonts w:ascii="Times New Roman" w:hAnsi="Times New Roman" w:cs="Times New Roman"/>
          <w:sz w:val="24"/>
          <w:szCs w:val="24"/>
        </w:rPr>
        <w:t xml:space="preserve"> not expec</w:t>
      </w:r>
      <w:r w:rsidR="001F2D7F" w:rsidRPr="00FC3028">
        <w:rPr>
          <w:rFonts w:ascii="Times New Roman" w:hAnsi="Times New Roman" w:cs="Times New Roman"/>
          <w:sz w:val="24"/>
          <w:szCs w:val="24"/>
        </w:rPr>
        <w:t>ted to become hazardous</w:t>
      </w:r>
      <w:r w:rsidR="00FC1275" w:rsidRPr="00FC3028">
        <w:rPr>
          <w:rFonts w:ascii="Times New Roman" w:hAnsi="Times New Roman" w:cs="Times New Roman"/>
          <w:sz w:val="24"/>
          <w:szCs w:val="24"/>
        </w:rPr>
        <w:t>.</w:t>
      </w:r>
      <w:r w:rsidR="00F20142" w:rsidRPr="00FC3028">
        <w:rPr>
          <w:rStyle w:val="FootnoteReference"/>
          <w:rFonts w:ascii="Times New Roman" w:hAnsi="Times New Roman" w:cs="Times New Roman"/>
          <w:sz w:val="24"/>
          <w:szCs w:val="24"/>
        </w:rPr>
        <w:footnoteReference w:id="80"/>
      </w:r>
    </w:p>
    <w:p w:rsidR="00603478" w:rsidRPr="00FC3028" w:rsidRDefault="00DB0CE0" w:rsidP="002237B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has confirmed that it is currently addressing the threat that leaks pose by complying with the PUCO minimum gas pipeline standards.</w:t>
      </w:r>
      <w:r w:rsidRPr="00FC3028">
        <w:rPr>
          <w:rStyle w:val="FootnoteReference"/>
          <w:rFonts w:ascii="Times New Roman" w:hAnsi="Times New Roman" w:cs="Times New Roman"/>
          <w:sz w:val="24"/>
          <w:szCs w:val="24"/>
        </w:rPr>
        <w:footnoteReference w:id="81"/>
      </w:r>
      <w:r w:rsidR="008A5F21" w:rsidRPr="00FC3028">
        <w:rPr>
          <w:rFonts w:ascii="Times New Roman" w:hAnsi="Times New Roman" w:cs="Times New Roman"/>
          <w:sz w:val="24"/>
          <w:szCs w:val="24"/>
        </w:rPr>
        <w:t xml:space="preserve"> </w:t>
      </w:r>
      <w:r w:rsidR="003B5F28" w:rsidRPr="00FC3028">
        <w:rPr>
          <w:rFonts w:ascii="Times New Roman" w:hAnsi="Times New Roman" w:cs="Times New Roman"/>
          <w:sz w:val="24"/>
          <w:szCs w:val="24"/>
        </w:rPr>
        <w:t>In fact, as noted by OCC witness Williams, Duke is currently exceeding the PUCO gas minimum pipeline standards because the utility treats all grade three leaks as grade two leaks.</w:t>
      </w:r>
      <w:r w:rsidR="003B5F28" w:rsidRPr="00FC3028">
        <w:rPr>
          <w:rStyle w:val="FootnoteReference"/>
          <w:rFonts w:ascii="Times New Roman" w:hAnsi="Times New Roman" w:cs="Times New Roman"/>
          <w:sz w:val="24"/>
          <w:szCs w:val="24"/>
        </w:rPr>
        <w:footnoteReference w:id="82"/>
      </w:r>
      <w:r w:rsidR="003B5F28" w:rsidRPr="00FC3028">
        <w:rPr>
          <w:rFonts w:ascii="Times New Roman" w:hAnsi="Times New Roman" w:cs="Times New Roman"/>
          <w:sz w:val="24"/>
          <w:szCs w:val="24"/>
        </w:rPr>
        <w:t xml:space="preserve"> </w:t>
      </w:r>
      <w:r w:rsidR="007319F8" w:rsidRPr="00FC3028">
        <w:rPr>
          <w:rFonts w:ascii="Times New Roman" w:hAnsi="Times New Roman" w:cs="Times New Roman"/>
          <w:sz w:val="24"/>
          <w:szCs w:val="24"/>
        </w:rPr>
        <w:t xml:space="preserve">Therefore, Ohio has already implemented and Duke is already abiding by rules and procedures </w:t>
      </w:r>
      <w:r w:rsidR="002237BA" w:rsidRPr="00FC3028">
        <w:rPr>
          <w:rFonts w:ascii="Times New Roman" w:hAnsi="Times New Roman" w:cs="Times New Roman"/>
          <w:sz w:val="24"/>
          <w:szCs w:val="24"/>
        </w:rPr>
        <w:t>that satisfy</w:t>
      </w:r>
      <w:r w:rsidR="003C603D">
        <w:rPr>
          <w:rFonts w:ascii="Times New Roman" w:hAnsi="Times New Roman" w:cs="Times New Roman"/>
          <w:sz w:val="24"/>
          <w:szCs w:val="24"/>
        </w:rPr>
        <w:t xml:space="preserve"> and exceed</w:t>
      </w:r>
      <w:r w:rsidR="002237BA" w:rsidRPr="00FC3028">
        <w:rPr>
          <w:rFonts w:ascii="Times New Roman" w:hAnsi="Times New Roman" w:cs="Times New Roman"/>
          <w:sz w:val="24"/>
          <w:szCs w:val="24"/>
        </w:rPr>
        <w:t xml:space="preserve"> its all</w:t>
      </w:r>
      <w:r w:rsidR="009E3FD4" w:rsidRPr="00FC3028">
        <w:rPr>
          <w:rFonts w:ascii="Times New Roman" w:hAnsi="Times New Roman" w:cs="Times New Roman"/>
          <w:sz w:val="24"/>
          <w:szCs w:val="24"/>
        </w:rPr>
        <w:t>eged obligation under the DIMP R</w:t>
      </w:r>
      <w:r w:rsidR="002237BA" w:rsidRPr="00FC3028">
        <w:rPr>
          <w:rFonts w:ascii="Times New Roman" w:hAnsi="Times New Roman" w:cs="Times New Roman"/>
          <w:sz w:val="24"/>
          <w:szCs w:val="24"/>
        </w:rPr>
        <w:t xml:space="preserve">egulations to “identify and implement measures to address risks” caused by older service lines. </w:t>
      </w:r>
      <w:r w:rsidR="00FC1275" w:rsidRPr="00FC3028">
        <w:rPr>
          <w:rFonts w:ascii="Times New Roman" w:hAnsi="Times New Roman" w:cs="Times New Roman"/>
          <w:sz w:val="24"/>
          <w:szCs w:val="24"/>
        </w:rPr>
        <w:t>Thus, the ASRP is not needed in order to comply wi</w:t>
      </w:r>
      <w:r w:rsidR="009E3FD4" w:rsidRPr="00FC3028">
        <w:rPr>
          <w:rFonts w:ascii="Times New Roman" w:hAnsi="Times New Roman" w:cs="Times New Roman"/>
          <w:sz w:val="24"/>
          <w:szCs w:val="24"/>
        </w:rPr>
        <w:t>th any federal regulations or “C</w:t>
      </w:r>
      <w:r w:rsidR="00FC1275" w:rsidRPr="00FC3028">
        <w:rPr>
          <w:rFonts w:ascii="Times New Roman" w:hAnsi="Times New Roman" w:cs="Times New Roman"/>
          <w:sz w:val="24"/>
          <w:szCs w:val="24"/>
        </w:rPr>
        <w:t>all</w:t>
      </w:r>
      <w:r w:rsidR="009E3FD4" w:rsidRPr="00FC3028">
        <w:rPr>
          <w:rFonts w:ascii="Times New Roman" w:hAnsi="Times New Roman" w:cs="Times New Roman"/>
          <w:sz w:val="24"/>
          <w:szCs w:val="24"/>
        </w:rPr>
        <w:t>s to Action.</w:t>
      </w:r>
      <w:r w:rsidR="00FC1275" w:rsidRPr="00FC3028">
        <w:rPr>
          <w:rFonts w:ascii="Times New Roman" w:hAnsi="Times New Roman" w:cs="Times New Roman"/>
          <w:sz w:val="24"/>
          <w:szCs w:val="24"/>
        </w:rPr>
        <w:t>”</w:t>
      </w:r>
      <w:r w:rsidR="00502113">
        <w:rPr>
          <w:rStyle w:val="FootnoteReference"/>
          <w:rFonts w:ascii="Times New Roman" w:hAnsi="Times New Roman" w:cs="Times New Roman"/>
          <w:sz w:val="24"/>
          <w:szCs w:val="24"/>
        </w:rPr>
        <w:footnoteReference w:id="83"/>
      </w:r>
      <w:r w:rsidR="00FC1275" w:rsidRPr="00FC3028">
        <w:rPr>
          <w:rFonts w:ascii="Times New Roman" w:hAnsi="Times New Roman" w:cs="Times New Roman"/>
          <w:sz w:val="24"/>
          <w:szCs w:val="24"/>
        </w:rPr>
        <w:t xml:space="preserve"> </w:t>
      </w:r>
    </w:p>
    <w:p w:rsidR="00CC30D0" w:rsidRPr="00FC3028" w:rsidRDefault="00A20C61" w:rsidP="00A62460">
      <w:pPr>
        <w:pStyle w:val="Heading3"/>
      </w:pPr>
      <w:bookmarkStart w:id="18" w:name="_Toc437441469"/>
      <w:r>
        <w:t>2</w:t>
      </w:r>
      <w:r w:rsidR="00A62460">
        <w:t>.</w:t>
      </w:r>
      <w:r w:rsidR="00A62460">
        <w:tab/>
      </w:r>
      <w:r w:rsidR="003A73A4">
        <w:t xml:space="preserve">Duke’s pre-1971 metallic and non-protected service lines </w:t>
      </w:r>
      <w:r w:rsidR="00CC30D0" w:rsidRPr="00FC3028">
        <w:t xml:space="preserve">do not </w:t>
      </w:r>
      <w:r w:rsidR="006A708E" w:rsidRPr="00FC3028">
        <w:t>need to be replaced</w:t>
      </w:r>
      <w:r w:rsidR="007508F3" w:rsidRPr="00FC3028">
        <w:t xml:space="preserve"> under an accelerated cost recovery program</w:t>
      </w:r>
      <w:r w:rsidR="00C036A3">
        <w:t xml:space="preserve"> funded by customers</w:t>
      </w:r>
      <w:r w:rsidR="006A708E" w:rsidRPr="00FC3028">
        <w:t>.</w:t>
      </w:r>
      <w:bookmarkEnd w:id="18"/>
    </w:p>
    <w:p w:rsidR="00730DD2" w:rsidRPr="00FC3028" w:rsidRDefault="00730DD2" w:rsidP="00730DD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has a legal obligation to provide quality, safe, and reliable natural gas service.</w:t>
      </w:r>
      <w:r w:rsidRPr="00FC3028">
        <w:rPr>
          <w:rStyle w:val="FootnoteReference"/>
          <w:rFonts w:ascii="Times New Roman" w:hAnsi="Times New Roman" w:cs="Times New Roman"/>
          <w:sz w:val="24"/>
          <w:szCs w:val="24"/>
        </w:rPr>
        <w:footnoteReference w:id="84"/>
      </w:r>
      <w:r w:rsidRPr="00FC3028">
        <w:rPr>
          <w:rFonts w:ascii="Times New Roman" w:hAnsi="Times New Roman" w:cs="Times New Roman"/>
          <w:sz w:val="24"/>
          <w:szCs w:val="24"/>
        </w:rPr>
        <w:t xml:space="preserve"> In addition, Duke is required to charge its consumers a just and reasonable rate.</w:t>
      </w:r>
      <w:r w:rsidRPr="00FC3028">
        <w:rPr>
          <w:rStyle w:val="FootnoteReference"/>
          <w:rFonts w:ascii="Times New Roman" w:hAnsi="Times New Roman" w:cs="Times New Roman"/>
          <w:sz w:val="24"/>
          <w:szCs w:val="24"/>
        </w:rPr>
        <w:t xml:space="preserve"> </w:t>
      </w:r>
      <w:r w:rsidRPr="00FC3028">
        <w:rPr>
          <w:rStyle w:val="FootnoteReference"/>
          <w:rFonts w:ascii="Times New Roman" w:hAnsi="Times New Roman" w:cs="Times New Roman"/>
          <w:sz w:val="24"/>
          <w:szCs w:val="24"/>
        </w:rPr>
        <w:footnoteReference w:id="85"/>
      </w:r>
      <w:r w:rsidRPr="00FC3028">
        <w:rPr>
          <w:rFonts w:ascii="Times New Roman" w:hAnsi="Times New Roman" w:cs="Times New Roman"/>
          <w:sz w:val="24"/>
          <w:szCs w:val="24"/>
        </w:rPr>
        <w:t xml:space="preserve"> Duke confirmed that its natural gas distribution system is already safe and reliable today, without the proposed ASRP.</w:t>
      </w:r>
      <w:r w:rsidRPr="00FC3028">
        <w:rPr>
          <w:rStyle w:val="FootnoteReference"/>
          <w:rFonts w:ascii="Times New Roman" w:hAnsi="Times New Roman" w:cs="Times New Roman"/>
          <w:sz w:val="24"/>
          <w:szCs w:val="24"/>
        </w:rPr>
        <w:footnoteReference w:id="86"/>
      </w:r>
      <w:r w:rsidRPr="00FC3028">
        <w:rPr>
          <w:rFonts w:ascii="Times New Roman" w:hAnsi="Times New Roman" w:cs="Times New Roman"/>
          <w:sz w:val="24"/>
          <w:szCs w:val="24"/>
        </w:rPr>
        <w:t xml:space="preserve"> And, Duke committed to ensure that its natural gas distribution system will continue to be safe and reliable in the future, without the proposed ASRP.</w:t>
      </w:r>
      <w:r w:rsidR="00A50C39" w:rsidRPr="00FC3028">
        <w:rPr>
          <w:rStyle w:val="FootnoteReference"/>
          <w:rFonts w:ascii="Times New Roman" w:hAnsi="Times New Roman" w:cs="Times New Roman"/>
          <w:sz w:val="24"/>
          <w:szCs w:val="24"/>
        </w:rPr>
        <w:footnoteReference w:id="87"/>
      </w:r>
      <w:r w:rsidRPr="00FC3028">
        <w:rPr>
          <w:rFonts w:ascii="Times New Roman" w:hAnsi="Times New Roman" w:cs="Times New Roman"/>
          <w:sz w:val="24"/>
          <w:szCs w:val="24"/>
        </w:rPr>
        <w:t xml:space="preserve"> </w:t>
      </w:r>
    </w:p>
    <w:p w:rsidR="008875AA" w:rsidRPr="00FC3028" w:rsidRDefault="00C2782E" w:rsidP="00730DD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asserts that the material composition of</w:t>
      </w:r>
      <w:r w:rsidR="008640ED" w:rsidRPr="00FC3028">
        <w:rPr>
          <w:rFonts w:ascii="Times New Roman" w:hAnsi="Times New Roman" w:cs="Times New Roman"/>
          <w:sz w:val="24"/>
          <w:szCs w:val="24"/>
        </w:rPr>
        <w:t xml:space="preserve"> a number of</w:t>
      </w:r>
      <w:r w:rsidRPr="00FC3028">
        <w:rPr>
          <w:rFonts w:ascii="Times New Roman" w:hAnsi="Times New Roman" w:cs="Times New Roman"/>
          <w:sz w:val="24"/>
          <w:szCs w:val="24"/>
        </w:rPr>
        <w:t xml:space="preserve"> its natural gas service lines are considered high-risk materials and, consequently, it must replace</w:t>
      </w:r>
      <w:r w:rsidR="008640ED" w:rsidRPr="00FC3028">
        <w:rPr>
          <w:rFonts w:ascii="Times New Roman" w:hAnsi="Times New Roman" w:cs="Times New Roman"/>
          <w:sz w:val="24"/>
          <w:szCs w:val="24"/>
        </w:rPr>
        <w:t xml:space="preserve"> all of these</w:t>
      </w:r>
      <w:r w:rsidRPr="00FC3028">
        <w:rPr>
          <w:rFonts w:ascii="Times New Roman" w:hAnsi="Times New Roman" w:cs="Times New Roman"/>
          <w:sz w:val="24"/>
          <w:szCs w:val="24"/>
        </w:rPr>
        <w:t xml:space="preserve"> lines on an accelerated basis at a cost to consumers of $320 million.</w:t>
      </w:r>
      <w:r w:rsidR="008640ED" w:rsidRPr="00FC3028">
        <w:rPr>
          <w:rStyle w:val="FootnoteReference"/>
          <w:rFonts w:ascii="Times New Roman" w:hAnsi="Times New Roman" w:cs="Times New Roman"/>
          <w:sz w:val="24"/>
          <w:szCs w:val="24"/>
        </w:rPr>
        <w:footnoteReference w:id="88"/>
      </w:r>
      <w:r w:rsidRPr="00FC3028">
        <w:rPr>
          <w:rFonts w:ascii="Times New Roman" w:hAnsi="Times New Roman" w:cs="Times New Roman"/>
          <w:sz w:val="24"/>
          <w:szCs w:val="24"/>
        </w:rPr>
        <w:t xml:space="preserve"> </w:t>
      </w:r>
      <w:r w:rsidR="00730DD2" w:rsidRPr="00FC3028">
        <w:rPr>
          <w:rFonts w:ascii="Times New Roman" w:hAnsi="Times New Roman" w:cs="Times New Roman"/>
          <w:sz w:val="24"/>
          <w:szCs w:val="24"/>
        </w:rPr>
        <w:t>T</w:t>
      </w:r>
      <w:r w:rsidR="00F409DE" w:rsidRPr="00FC3028">
        <w:rPr>
          <w:rFonts w:ascii="Times New Roman" w:hAnsi="Times New Roman" w:cs="Times New Roman"/>
          <w:sz w:val="24"/>
          <w:szCs w:val="24"/>
        </w:rPr>
        <w:t xml:space="preserve">his is simply not necessary. </w:t>
      </w:r>
      <w:r w:rsidRPr="00FC3028">
        <w:rPr>
          <w:rFonts w:ascii="Times New Roman" w:hAnsi="Times New Roman" w:cs="Times New Roman"/>
          <w:sz w:val="24"/>
          <w:szCs w:val="24"/>
        </w:rPr>
        <w:t>The evidence in this proceeding showed that</w:t>
      </w:r>
      <w:r w:rsidR="00812926" w:rsidRPr="00FC3028">
        <w:rPr>
          <w:rFonts w:ascii="Times New Roman" w:hAnsi="Times New Roman" w:cs="Times New Roman"/>
          <w:sz w:val="24"/>
          <w:szCs w:val="24"/>
        </w:rPr>
        <w:t xml:space="preserve"> Duke’s natural g</w:t>
      </w:r>
      <w:r w:rsidR="004B15C6" w:rsidRPr="00FC3028">
        <w:rPr>
          <w:rFonts w:ascii="Times New Roman" w:hAnsi="Times New Roman" w:cs="Times New Roman"/>
          <w:sz w:val="24"/>
          <w:szCs w:val="24"/>
        </w:rPr>
        <w:t>as</w:t>
      </w:r>
      <w:r w:rsidR="00812926" w:rsidRPr="00FC3028">
        <w:rPr>
          <w:rFonts w:ascii="Times New Roman" w:hAnsi="Times New Roman" w:cs="Times New Roman"/>
          <w:sz w:val="24"/>
          <w:szCs w:val="24"/>
        </w:rPr>
        <w:t xml:space="preserve"> distribution system</w:t>
      </w:r>
      <w:r w:rsidRPr="00FC3028">
        <w:rPr>
          <w:rFonts w:ascii="Times New Roman" w:hAnsi="Times New Roman" w:cs="Times New Roman"/>
          <w:sz w:val="24"/>
          <w:szCs w:val="24"/>
        </w:rPr>
        <w:t xml:space="preserve"> service lines are safe and reliable today,</w:t>
      </w:r>
      <w:r w:rsidR="004B15C6" w:rsidRPr="00FC3028">
        <w:rPr>
          <w:rFonts w:ascii="Times New Roman" w:hAnsi="Times New Roman" w:cs="Times New Roman"/>
          <w:sz w:val="24"/>
          <w:szCs w:val="24"/>
        </w:rPr>
        <w:t xml:space="preserve"> do not pose an imminent safety threat,</w:t>
      </w:r>
      <w:r w:rsidR="00203C4B" w:rsidRPr="00FC3028">
        <w:rPr>
          <w:rFonts w:ascii="Times New Roman" w:hAnsi="Times New Roman" w:cs="Times New Roman"/>
          <w:sz w:val="24"/>
          <w:szCs w:val="24"/>
        </w:rPr>
        <w:t xml:space="preserve"> do not have a high leak or failure rate,</w:t>
      </w:r>
      <w:r w:rsidRPr="00FC3028">
        <w:rPr>
          <w:rFonts w:ascii="Times New Roman" w:hAnsi="Times New Roman" w:cs="Times New Roman"/>
          <w:sz w:val="24"/>
          <w:szCs w:val="24"/>
        </w:rPr>
        <w:t xml:space="preserve"> and are</w:t>
      </w:r>
      <w:r w:rsidR="00812926" w:rsidRPr="00FC3028">
        <w:rPr>
          <w:rFonts w:ascii="Times New Roman" w:hAnsi="Times New Roman" w:cs="Times New Roman"/>
          <w:sz w:val="24"/>
          <w:szCs w:val="24"/>
        </w:rPr>
        <w:t xml:space="preserve"> currently</w:t>
      </w:r>
      <w:r w:rsidRPr="00FC3028">
        <w:rPr>
          <w:rFonts w:ascii="Times New Roman" w:hAnsi="Times New Roman" w:cs="Times New Roman"/>
          <w:sz w:val="24"/>
          <w:szCs w:val="24"/>
        </w:rPr>
        <w:t xml:space="preserve"> being repaired when necessary under a more than adequate pipeline management system. Therefore, a</w:t>
      </w:r>
      <w:r w:rsidR="00812926" w:rsidRPr="00FC3028">
        <w:rPr>
          <w:rFonts w:ascii="Times New Roman" w:hAnsi="Times New Roman" w:cs="Times New Roman"/>
          <w:sz w:val="24"/>
          <w:szCs w:val="24"/>
        </w:rPr>
        <w:t>n accelerated</w:t>
      </w:r>
      <w:r w:rsidRPr="00FC3028">
        <w:rPr>
          <w:rFonts w:ascii="Times New Roman" w:hAnsi="Times New Roman" w:cs="Times New Roman"/>
          <w:sz w:val="24"/>
          <w:szCs w:val="24"/>
        </w:rPr>
        <w:t xml:space="preserve"> $320 million</w:t>
      </w:r>
      <w:r w:rsidR="00812926" w:rsidRPr="00FC3028">
        <w:rPr>
          <w:rFonts w:ascii="Times New Roman" w:hAnsi="Times New Roman" w:cs="Times New Roman"/>
          <w:sz w:val="24"/>
          <w:szCs w:val="24"/>
        </w:rPr>
        <w:t xml:space="preserve"> cost recovery</w:t>
      </w:r>
      <w:r w:rsidRPr="00FC3028">
        <w:rPr>
          <w:rFonts w:ascii="Times New Roman" w:hAnsi="Times New Roman" w:cs="Times New Roman"/>
          <w:sz w:val="24"/>
          <w:szCs w:val="24"/>
        </w:rPr>
        <w:t xml:space="preserve"> program </w:t>
      </w:r>
      <w:r w:rsidR="00C036A3">
        <w:rPr>
          <w:rFonts w:ascii="Times New Roman" w:hAnsi="Times New Roman" w:cs="Times New Roman"/>
          <w:sz w:val="24"/>
          <w:szCs w:val="24"/>
        </w:rPr>
        <w:t xml:space="preserve">funded by customers </w:t>
      </w:r>
      <w:r w:rsidRPr="00FC3028">
        <w:rPr>
          <w:rFonts w:ascii="Times New Roman" w:hAnsi="Times New Roman" w:cs="Times New Roman"/>
          <w:sz w:val="24"/>
          <w:szCs w:val="24"/>
        </w:rPr>
        <w:t>to replace Duke’s service lines is not necessary.</w:t>
      </w:r>
    </w:p>
    <w:p w:rsidR="00035C59" w:rsidRPr="00FC3028" w:rsidRDefault="00A62460" w:rsidP="00A62460">
      <w:pPr>
        <w:pStyle w:val="Heading4"/>
      </w:pPr>
      <w:bookmarkStart w:id="19" w:name="_Toc437441470"/>
      <w:r>
        <w:t>a.</w:t>
      </w:r>
      <w:r>
        <w:tab/>
      </w:r>
      <w:r w:rsidR="00722269" w:rsidRPr="00FC3028">
        <w:t>Service lines are generally</w:t>
      </w:r>
      <w:r w:rsidR="001C5A14" w:rsidRPr="00FC3028">
        <w:t xml:space="preserve"> not hazardous</w:t>
      </w:r>
      <w:r w:rsidR="00954348">
        <w:t xml:space="preserve"> to consumers</w:t>
      </w:r>
      <w:r w:rsidR="00722269" w:rsidRPr="00FC3028">
        <w:t>.</w:t>
      </w:r>
      <w:bookmarkEnd w:id="19"/>
    </w:p>
    <w:p w:rsidR="008410B1" w:rsidRPr="00FC3028" w:rsidRDefault="009E24CE" w:rsidP="00035C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 Bruce Hayes testified that t</w:t>
      </w:r>
      <w:r w:rsidR="00035C59" w:rsidRPr="00FC3028">
        <w:rPr>
          <w:rFonts w:ascii="Times New Roman" w:hAnsi="Times New Roman" w:cs="Times New Roman"/>
          <w:sz w:val="24"/>
          <w:szCs w:val="24"/>
        </w:rPr>
        <w:t>he vast majority of natural gas service line corrosion leaks do not pose a safety risk to the public.</w:t>
      </w:r>
      <w:r w:rsidR="00035C59" w:rsidRPr="00FC3028">
        <w:rPr>
          <w:rStyle w:val="FootnoteReference"/>
          <w:rFonts w:ascii="Times New Roman" w:hAnsi="Times New Roman" w:cs="Times New Roman"/>
          <w:sz w:val="24"/>
          <w:szCs w:val="24"/>
        </w:rPr>
        <w:footnoteReference w:id="89"/>
      </w:r>
      <w:r w:rsidR="00035C59" w:rsidRPr="00FC3028">
        <w:rPr>
          <w:rFonts w:ascii="Times New Roman" w:hAnsi="Times New Roman" w:cs="Times New Roman"/>
          <w:sz w:val="24"/>
          <w:szCs w:val="24"/>
        </w:rPr>
        <w:t xml:space="preserve"> </w:t>
      </w:r>
      <w:r w:rsidR="008410B1" w:rsidRPr="00FC3028">
        <w:rPr>
          <w:rFonts w:ascii="Times New Roman" w:hAnsi="Times New Roman" w:cs="Times New Roman"/>
          <w:sz w:val="24"/>
          <w:szCs w:val="24"/>
        </w:rPr>
        <w:t>This is due, in part, to the fact that main and service lines operate at much lower pressure than transmission lines.</w:t>
      </w:r>
      <w:r w:rsidR="001C5A14" w:rsidRPr="00FC3028">
        <w:rPr>
          <w:rStyle w:val="FootnoteReference"/>
          <w:rFonts w:ascii="Times New Roman" w:hAnsi="Times New Roman" w:cs="Times New Roman"/>
          <w:sz w:val="24"/>
          <w:szCs w:val="24"/>
        </w:rPr>
        <w:footnoteReference w:id="90"/>
      </w:r>
      <w:r w:rsidR="008410B1" w:rsidRPr="00FC3028">
        <w:rPr>
          <w:rFonts w:ascii="Times New Roman" w:hAnsi="Times New Roman" w:cs="Times New Roman"/>
          <w:sz w:val="24"/>
          <w:szCs w:val="24"/>
        </w:rPr>
        <w:t xml:space="preserve"> A transmission line is a high pressure line than has p</w:t>
      </w:r>
      <w:r w:rsidR="00D435C9" w:rsidRPr="00FC3028">
        <w:rPr>
          <w:rFonts w:ascii="Times New Roman" w:hAnsi="Times New Roman" w:cs="Times New Roman"/>
          <w:sz w:val="24"/>
          <w:szCs w:val="24"/>
        </w:rPr>
        <w:t>ressures from 60 pounds per squa</w:t>
      </w:r>
      <w:r w:rsidR="008410B1" w:rsidRPr="00FC3028">
        <w:rPr>
          <w:rFonts w:ascii="Times New Roman" w:hAnsi="Times New Roman" w:cs="Times New Roman"/>
          <w:sz w:val="24"/>
          <w:szCs w:val="24"/>
        </w:rPr>
        <w:t>re gauge (“psig”) up to just over 1,000 psig.</w:t>
      </w:r>
      <w:r w:rsidR="00D82905" w:rsidRPr="00FC3028">
        <w:rPr>
          <w:rStyle w:val="FootnoteReference"/>
          <w:rFonts w:ascii="Times New Roman" w:hAnsi="Times New Roman" w:cs="Times New Roman"/>
          <w:sz w:val="24"/>
          <w:szCs w:val="24"/>
        </w:rPr>
        <w:footnoteReference w:id="91"/>
      </w:r>
      <w:r w:rsidR="008410B1" w:rsidRPr="00FC3028">
        <w:rPr>
          <w:rFonts w:ascii="Times New Roman" w:hAnsi="Times New Roman" w:cs="Times New Roman"/>
          <w:sz w:val="24"/>
          <w:szCs w:val="24"/>
        </w:rPr>
        <w:t xml:space="preserve"> A main or service line generally operate</w:t>
      </w:r>
      <w:r w:rsidR="00D435C9" w:rsidRPr="00FC3028">
        <w:rPr>
          <w:rFonts w:ascii="Times New Roman" w:hAnsi="Times New Roman" w:cs="Times New Roman"/>
          <w:sz w:val="24"/>
          <w:szCs w:val="24"/>
        </w:rPr>
        <w:t>s</w:t>
      </w:r>
      <w:r w:rsidR="008410B1" w:rsidRPr="00FC3028">
        <w:rPr>
          <w:rFonts w:ascii="Times New Roman" w:hAnsi="Times New Roman" w:cs="Times New Roman"/>
          <w:sz w:val="24"/>
          <w:szCs w:val="24"/>
        </w:rPr>
        <w:t xml:space="preserve"> at pressures between 5 and 35 psig, which is an efficient pressure to move gas through the lines while limiting the safety exposure from leaks.</w:t>
      </w:r>
      <w:r w:rsidR="00D82905" w:rsidRPr="00FC3028">
        <w:rPr>
          <w:rStyle w:val="FootnoteReference"/>
          <w:rFonts w:ascii="Times New Roman" w:hAnsi="Times New Roman" w:cs="Times New Roman"/>
          <w:sz w:val="24"/>
          <w:szCs w:val="24"/>
        </w:rPr>
        <w:footnoteReference w:id="92"/>
      </w:r>
      <w:r w:rsidR="008410B1" w:rsidRPr="00FC3028">
        <w:rPr>
          <w:rFonts w:ascii="Times New Roman" w:hAnsi="Times New Roman" w:cs="Times New Roman"/>
          <w:sz w:val="24"/>
          <w:szCs w:val="24"/>
        </w:rPr>
        <w:t xml:space="preserve"> </w:t>
      </w:r>
    </w:p>
    <w:p w:rsidR="00035C59" w:rsidRPr="00FC3028" w:rsidRDefault="008410B1" w:rsidP="00035C59">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 </w:t>
      </w:r>
      <w:r w:rsidR="00954348">
        <w:rPr>
          <w:rFonts w:ascii="Times New Roman" w:hAnsi="Times New Roman" w:cs="Times New Roman"/>
          <w:sz w:val="24"/>
          <w:szCs w:val="24"/>
        </w:rPr>
        <w:t>OCC witness Bruce Hayes also testified that t</w:t>
      </w:r>
      <w:r w:rsidR="00D435C9" w:rsidRPr="00FC3028">
        <w:rPr>
          <w:rFonts w:ascii="Times New Roman" w:hAnsi="Times New Roman" w:cs="Times New Roman"/>
          <w:sz w:val="24"/>
          <w:szCs w:val="24"/>
        </w:rPr>
        <w:t xml:space="preserve">he lower </w:t>
      </w:r>
      <w:r w:rsidR="009C70FC">
        <w:rPr>
          <w:rFonts w:ascii="Times New Roman" w:hAnsi="Times New Roman" w:cs="Times New Roman"/>
          <w:sz w:val="24"/>
          <w:szCs w:val="24"/>
        </w:rPr>
        <w:t xml:space="preserve">operating </w:t>
      </w:r>
      <w:r w:rsidR="00D435C9" w:rsidRPr="00FC3028">
        <w:rPr>
          <w:rFonts w:ascii="Times New Roman" w:hAnsi="Times New Roman" w:cs="Times New Roman"/>
          <w:sz w:val="24"/>
          <w:szCs w:val="24"/>
        </w:rPr>
        <w:t>pressure in</w:t>
      </w:r>
      <w:r w:rsidR="009C70FC">
        <w:rPr>
          <w:rFonts w:ascii="Times New Roman" w:hAnsi="Times New Roman" w:cs="Times New Roman"/>
          <w:sz w:val="24"/>
          <w:szCs w:val="24"/>
        </w:rPr>
        <w:t xml:space="preserve"> </w:t>
      </w:r>
      <w:r w:rsidR="00D435C9" w:rsidRPr="00FC3028">
        <w:rPr>
          <w:rFonts w:ascii="Times New Roman" w:hAnsi="Times New Roman" w:cs="Times New Roman"/>
          <w:sz w:val="24"/>
          <w:szCs w:val="24"/>
        </w:rPr>
        <w:t>service lines makes it much less volatile then a transmission line.</w:t>
      </w:r>
      <w:r w:rsidR="00997B6C">
        <w:rPr>
          <w:rStyle w:val="FootnoteReference"/>
          <w:rFonts w:ascii="Times New Roman" w:hAnsi="Times New Roman" w:cs="Times New Roman"/>
          <w:sz w:val="24"/>
          <w:szCs w:val="24"/>
        </w:rPr>
        <w:footnoteReference w:id="93"/>
      </w:r>
      <w:r w:rsidR="00D435C9" w:rsidRPr="00FC3028">
        <w:rPr>
          <w:rFonts w:ascii="Times New Roman" w:hAnsi="Times New Roman" w:cs="Times New Roman"/>
          <w:sz w:val="24"/>
          <w:szCs w:val="24"/>
        </w:rPr>
        <w:t xml:space="preserve"> </w:t>
      </w:r>
      <w:r w:rsidR="00035C59" w:rsidRPr="00FC3028">
        <w:rPr>
          <w:rFonts w:ascii="Times New Roman" w:hAnsi="Times New Roman" w:cs="Times New Roman"/>
          <w:sz w:val="24"/>
          <w:szCs w:val="24"/>
        </w:rPr>
        <w:t>In general, when a</w:t>
      </w:r>
      <w:r w:rsidRPr="00FC3028">
        <w:rPr>
          <w:rFonts w:ascii="Times New Roman" w:hAnsi="Times New Roman" w:cs="Times New Roman"/>
          <w:sz w:val="24"/>
          <w:szCs w:val="24"/>
        </w:rPr>
        <w:t xml:space="preserve"> lower pressure</w:t>
      </w:r>
      <w:r w:rsidR="00035C59" w:rsidRPr="00FC3028">
        <w:rPr>
          <w:rFonts w:ascii="Times New Roman" w:hAnsi="Times New Roman" w:cs="Times New Roman"/>
          <w:sz w:val="24"/>
          <w:szCs w:val="24"/>
        </w:rPr>
        <w:t xml:space="preserve"> service line leaks it develops very ti</w:t>
      </w:r>
      <w:r w:rsidRPr="00FC3028">
        <w:rPr>
          <w:rFonts w:ascii="Times New Roman" w:hAnsi="Times New Roman" w:cs="Times New Roman"/>
          <w:sz w:val="24"/>
          <w:szCs w:val="24"/>
        </w:rPr>
        <w:t>ny holes in the line from which</w:t>
      </w:r>
      <w:r w:rsidR="00035C59" w:rsidRPr="00FC3028">
        <w:rPr>
          <w:rFonts w:ascii="Times New Roman" w:hAnsi="Times New Roman" w:cs="Times New Roman"/>
          <w:sz w:val="24"/>
          <w:szCs w:val="24"/>
        </w:rPr>
        <w:t xml:space="preserve"> nominal</w:t>
      </w:r>
      <w:r w:rsidR="00035C59" w:rsidRPr="00FC3028" w:rsidDel="00C33C5A">
        <w:rPr>
          <w:rFonts w:ascii="Times New Roman" w:hAnsi="Times New Roman" w:cs="Times New Roman"/>
          <w:sz w:val="24"/>
          <w:szCs w:val="24"/>
        </w:rPr>
        <w:t xml:space="preserve"> </w:t>
      </w:r>
      <w:r w:rsidR="00035C59" w:rsidRPr="00FC3028">
        <w:rPr>
          <w:rFonts w:ascii="Times New Roman" w:hAnsi="Times New Roman" w:cs="Times New Roman"/>
          <w:sz w:val="24"/>
          <w:szCs w:val="24"/>
        </w:rPr>
        <w:t xml:space="preserve">amounts of natural gas slowly </w:t>
      </w:r>
      <w:r w:rsidRPr="00FC3028">
        <w:rPr>
          <w:rFonts w:ascii="Times New Roman" w:hAnsi="Times New Roman" w:cs="Times New Roman"/>
          <w:sz w:val="24"/>
          <w:szCs w:val="24"/>
        </w:rPr>
        <w:t>seeps</w:t>
      </w:r>
      <w:r w:rsidR="00035C59" w:rsidRPr="00FC3028">
        <w:rPr>
          <w:rFonts w:ascii="Times New Roman" w:hAnsi="Times New Roman" w:cs="Times New Roman"/>
          <w:sz w:val="24"/>
          <w:szCs w:val="24"/>
        </w:rPr>
        <w:t xml:space="preserve"> out.</w:t>
      </w:r>
      <w:r w:rsidR="00623F67" w:rsidRPr="00FC3028">
        <w:rPr>
          <w:rStyle w:val="FootnoteReference"/>
          <w:rFonts w:ascii="Times New Roman" w:hAnsi="Times New Roman" w:cs="Times New Roman"/>
          <w:sz w:val="24"/>
          <w:szCs w:val="24"/>
        </w:rPr>
        <w:footnoteReference w:id="94"/>
      </w:r>
      <w:r w:rsidR="00035C59" w:rsidRPr="00FC3028">
        <w:rPr>
          <w:rFonts w:ascii="Times New Roman" w:hAnsi="Times New Roman" w:cs="Times New Roman"/>
          <w:sz w:val="24"/>
          <w:szCs w:val="24"/>
        </w:rPr>
        <w:t xml:space="preserve"> This </w:t>
      </w:r>
      <w:r w:rsidR="009C70FC">
        <w:rPr>
          <w:rFonts w:ascii="Times New Roman" w:hAnsi="Times New Roman" w:cs="Times New Roman"/>
          <w:sz w:val="24"/>
          <w:szCs w:val="24"/>
        </w:rPr>
        <w:t xml:space="preserve">seeping </w:t>
      </w:r>
      <w:r w:rsidR="00035C59" w:rsidRPr="00FC3028">
        <w:rPr>
          <w:rFonts w:ascii="Times New Roman" w:hAnsi="Times New Roman" w:cs="Times New Roman"/>
          <w:sz w:val="24"/>
          <w:szCs w:val="24"/>
        </w:rPr>
        <w:t>natural gas then typically dissipates into the dirt and soil above and surrounding the service line.</w:t>
      </w:r>
      <w:r w:rsidR="00623F67" w:rsidRPr="00FC3028">
        <w:rPr>
          <w:rStyle w:val="FootnoteReference"/>
          <w:rFonts w:ascii="Times New Roman" w:hAnsi="Times New Roman" w:cs="Times New Roman"/>
          <w:sz w:val="24"/>
          <w:szCs w:val="24"/>
        </w:rPr>
        <w:footnoteReference w:id="95"/>
      </w:r>
      <w:r w:rsidR="00035C59" w:rsidRPr="00FC3028">
        <w:rPr>
          <w:rFonts w:ascii="Times New Roman" w:hAnsi="Times New Roman" w:cs="Times New Roman"/>
          <w:sz w:val="24"/>
          <w:szCs w:val="24"/>
        </w:rPr>
        <w:t xml:space="preserve"> Generally, the effects of such a leak range from nonexistent to killing off a patch of the grass above the leak.</w:t>
      </w:r>
      <w:r w:rsidR="00623F67" w:rsidRPr="00FC3028">
        <w:rPr>
          <w:rStyle w:val="FootnoteReference"/>
          <w:rFonts w:ascii="Times New Roman" w:hAnsi="Times New Roman" w:cs="Times New Roman"/>
          <w:sz w:val="24"/>
          <w:szCs w:val="24"/>
        </w:rPr>
        <w:footnoteReference w:id="96"/>
      </w:r>
      <w:r w:rsidR="00035C59" w:rsidRPr="00FC3028">
        <w:rPr>
          <w:rFonts w:ascii="Times New Roman" w:hAnsi="Times New Roman" w:cs="Times New Roman"/>
          <w:sz w:val="24"/>
          <w:szCs w:val="24"/>
        </w:rPr>
        <w:t xml:space="preserve"> </w:t>
      </w:r>
      <w:r w:rsidR="00954348">
        <w:rPr>
          <w:rFonts w:ascii="Times New Roman" w:hAnsi="Times New Roman" w:cs="Times New Roman"/>
          <w:sz w:val="24"/>
          <w:szCs w:val="24"/>
        </w:rPr>
        <w:t>OCC witness Hayes testified that t</w:t>
      </w:r>
      <w:r w:rsidR="00035C59" w:rsidRPr="00FC3028">
        <w:rPr>
          <w:rFonts w:ascii="Times New Roman" w:hAnsi="Times New Roman" w:cs="Times New Roman"/>
          <w:sz w:val="24"/>
          <w:szCs w:val="24"/>
        </w:rPr>
        <w:t xml:space="preserve">hese types of leaks pose </w:t>
      </w:r>
      <w:r w:rsidR="00910B0A" w:rsidRPr="00FC3028">
        <w:rPr>
          <w:rFonts w:ascii="Times New Roman" w:hAnsi="Times New Roman" w:cs="Times New Roman"/>
          <w:sz w:val="24"/>
          <w:szCs w:val="24"/>
        </w:rPr>
        <w:t>very little</w:t>
      </w:r>
      <w:r w:rsidR="00035C59" w:rsidRPr="00FC3028">
        <w:rPr>
          <w:rFonts w:ascii="Times New Roman" w:hAnsi="Times New Roman" w:cs="Times New Roman"/>
          <w:sz w:val="24"/>
          <w:szCs w:val="24"/>
        </w:rPr>
        <w:t xml:space="preserve"> safety threat to the public and are routinely repaired by or under the direction of natural gas pipeline operators.</w:t>
      </w:r>
      <w:r w:rsidR="00623F67" w:rsidRPr="00FC3028">
        <w:rPr>
          <w:rStyle w:val="FootnoteReference"/>
          <w:rFonts w:ascii="Times New Roman" w:hAnsi="Times New Roman" w:cs="Times New Roman"/>
          <w:sz w:val="24"/>
          <w:szCs w:val="24"/>
        </w:rPr>
        <w:footnoteReference w:id="97"/>
      </w:r>
      <w:r w:rsidR="00035C59" w:rsidRPr="00FC3028">
        <w:rPr>
          <w:rFonts w:ascii="Times New Roman" w:hAnsi="Times New Roman" w:cs="Times New Roman"/>
          <w:sz w:val="24"/>
          <w:szCs w:val="24"/>
        </w:rPr>
        <w:t xml:space="preserve"> </w:t>
      </w:r>
      <w:r w:rsidR="00910B0A" w:rsidRPr="00FC3028">
        <w:rPr>
          <w:rFonts w:ascii="Times New Roman" w:hAnsi="Times New Roman" w:cs="Times New Roman"/>
          <w:sz w:val="24"/>
          <w:szCs w:val="24"/>
        </w:rPr>
        <w:t>In fact, it is worth noting that the alleged pipeline presented by Duke as Duke Ex. Nos. 7 and 8 did not even result in any type of reported leak</w:t>
      </w:r>
      <w:r w:rsidR="003304F5">
        <w:rPr>
          <w:rStyle w:val="FootnoteReference"/>
          <w:rFonts w:ascii="Times New Roman" w:hAnsi="Times New Roman" w:cs="Times New Roman"/>
          <w:sz w:val="24"/>
          <w:szCs w:val="24"/>
        </w:rPr>
        <w:footnoteReference w:id="98"/>
      </w:r>
      <w:r w:rsidR="00910B0A" w:rsidRPr="00FC3028">
        <w:rPr>
          <w:rFonts w:ascii="Times New Roman" w:hAnsi="Times New Roman" w:cs="Times New Roman"/>
          <w:sz w:val="24"/>
          <w:szCs w:val="24"/>
        </w:rPr>
        <w:t xml:space="preserve"> or incident.</w:t>
      </w:r>
      <w:r w:rsidR="00910B0A" w:rsidRPr="00FC3028">
        <w:rPr>
          <w:rStyle w:val="FootnoteReference"/>
          <w:rFonts w:ascii="Times New Roman" w:hAnsi="Times New Roman" w:cs="Times New Roman"/>
          <w:sz w:val="24"/>
          <w:szCs w:val="24"/>
        </w:rPr>
        <w:footnoteReference w:id="99"/>
      </w:r>
    </w:p>
    <w:p w:rsidR="00D435C9" w:rsidRPr="00FC3028" w:rsidRDefault="00340F1D" w:rsidP="000042D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In contrast to a service line, a leak in a</w:t>
      </w:r>
      <w:r w:rsidR="008A287F" w:rsidRPr="00FC3028">
        <w:rPr>
          <w:rFonts w:ascii="Times New Roman" w:hAnsi="Times New Roman" w:cs="Times New Roman"/>
          <w:sz w:val="24"/>
          <w:szCs w:val="24"/>
        </w:rPr>
        <w:t xml:space="preserve"> high pre</w:t>
      </w:r>
      <w:r w:rsidR="000E58A2" w:rsidRPr="00FC3028">
        <w:rPr>
          <w:rFonts w:ascii="Times New Roman" w:hAnsi="Times New Roman" w:cs="Times New Roman"/>
          <w:sz w:val="24"/>
          <w:szCs w:val="24"/>
        </w:rPr>
        <w:t>s</w:t>
      </w:r>
      <w:r w:rsidR="008A287F" w:rsidRPr="00FC3028">
        <w:rPr>
          <w:rFonts w:ascii="Times New Roman" w:hAnsi="Times New Roman" w:cs="Times New Roman"/>
          <w:sz w:val="24"/>
          <w:szCs w:val="24"/>
        </w:rPr>
        <w:t>sure</w:t>
      </w:r>
      <w:r w:rsidRPr="00FC3028">
        <w:rPr>
          <w:rFonts w:ascii="Times New Roman" w:hAnsi="Times New Roman" w:cs="Times New Roman"/>
          <w:sz w:val="24"/>
          <w:szCs w:val="24"/>
        </w:rPr>
        <w:t xml:space="preserve"> transmission line can be a potential safety threat.</w:t>
      </w:r>
      <w:r w:rsidR="00AE1CB2" w:rsidRPr="00FC3028">
        <w:rPr>
          <w:rStyle w:val="FootnoteReference"/>
          <w:rFonts w:ascii="Times New Roman" w:hAnsi="Times New Roman" w:cs="Times New Roman"/>
          <w:sz w:val="24"/>
          <w:szCs w:val="24"/>
        </w:rPr>
        <w:footnoteReference w:id="100"/>
      </w:r>
      <w:r w:rsidR="008410B1" w:rsidRPr="00FC3028">
        <w:rPr>
          <w:rFonts w:ascii="Times New Roman" w:hAnsi="Times New Roman" w:cs="Times New Roman"/>
          <w:sz w:val="24"/>
          <w:szCs w:val="24"/>
        </w:rPr>
        <w:t xml:space="preserve"> </w:t>
      </w:r>
      <w:r w:rsidRPr="00FC3028">
        <w:rPr>
          <w:rFonts w:ascii="Times New Roman" w:hAnsi="Times New Roman" w:cs="Times New Roman"/>
          <w:sz w:val="24"/>
          <w:szCs w:val="24"/>
        </w:rPr>
        <w:t>A transmission line leak caused by corrosion, weld failure, or excavation damage would generally result in a much louder sound accompanied by ground debris being blown from the area due to the higher pressure in the line.</w:t>
      </w:r>
      <w:r w:rsidR="00AE1CB2" w:rsidRPr="00FC3028">
        <w:rPr>
          <w:rStyle w:val="FootnoteReference"/>
          <w:rFonts w:ascii="Times New Roman" w:hAnsi="Times New Roman" w:cs="Times New Roman"/>
          <w:sz w:val="24"/>
          <w:szCs w:val="24"/>
        </w:rPr>
        <w:footnoteReference w:id="101"/>
      </w:r>
      <w:r w:rsidRPr="00FC3028">
        <w:rPr>
          <w:rFonts w:ascii="Times New Roman" w:hAnsi="Times New Roman" w:cs="Times New Roman"/>
          <w:sz w:val="24"/>
          <w:szCs w:val="24"/>
        </w:rPr>
        <w:t xml:space="preserve"> Static electricity from the flowing gas could even ignite and cause an explosion or fire.</w:t>
      </w:r>
      <w:r w:rsidR="00AE1CB2" w:rsidRPr="00FC3028">
        <w:rPr>
          <w:rStyle w:val="FootnoteReference"/>
          <w:rFonts w:ascii="Times New Roman" w:hAnsi="Times New Roman" w:cs="Times New Roman"/>
          <w:sz w:val="24"/>
          <w:szCs w:val="24"/>
        </w:rPr>
        <w:footnoteReference w:id="102"/>
      </w:r>
      <w:r w:rsidRPr="00FC3028">
        <w:rPr>
          <w:rFonts w:ascii="Times New Roman" w:hAnsi="Times New Roman" w:cs="Times New Roman"/>
          <w:sz w:val="24"/>
          <w:szCs w:val="24"/>
        </w:rPr>
        <w:t xml:space="preserve"> </w:t>
      </w:r>
    </w:p>
    <w:p w:rsidR="00E47A1A" w:rsidRPr="00FC3028" w:rsidRDefault="00D435C9" w:rsidP="00910B0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Therefore, a natural gas distribution service line is, by nature, not generally a hazardous pipeline.</w:t>
      </w:r>
      <w:r w:rsidR="00910B0A" w:rsidRPr="00FC3028">
        <w:rPr>
          <w:rFonts w:ascii="Times New Roman" w:hAnsi="Times New Roman" w:cs="Times New Roman"/>
          <w:sz w:val="24"/>
          <w:szCs w:val="24"/>
        </w:rPr>
        <w:t xml:space="preserve"> Despite these differences, Duke repeatedly used examples of incidents or explosions on mains to transmission lines to attempt to justify its service lines program.</w:t>
      </w:r>
      <w:r w:rsidR="00910B0A" w:rsidRPr="00FC3028">
        <w:rPr>
          <w:rStyle w:val="FootnoteReference"/>
          <w:rFonts w:ascii="Times New Roman" w:hAnsi="Times New Roman" w:cs="Times New Roman"/>
          <w:sz w:val="24"/>
          <w:szCs w:val="24"/>
        </w:rPr>
        <w:footnoteReference w:id="103"/>
      </w:r>
      <w:r w:rsidR="00910B0A" w:rsidRPr="00FC3028">
        <w:rPr>
          <w:rFonts w:ascii="Times New Roman" w:hAnsi="Times New Roman" w:cs="Times New Roman"/>
          <w:sz w:val="24"/>
          <w:szCs w:val="24"/>
        </w:rPr>
        <w:t xml:space="preserve"> </w:t>
      </w:r>
    </w:p>
    <w:p w:rsidR="007408CE" w:rsidRPr="00FC3028" w:rsidRDefault="00A20C61" w:rsidP="00A20C61">
      <w:pPr>
        <w:pStyle w:val="Heading4"/>
      </w:pPr>
      <w:bookmarkStart w:id="20" w:name="_Toc437441471"/>
      <w:r>
        <w:t>b</w:t>
      </w:r>
      <w:r w:rsidR="00A62460">
        <w:t>.</w:t>
      </w:r>
      <w:r w:rsidR="00A62460">
        <w:tab/>
      </w:r>
      <w:r w:rsidR="00981304" w:rsidRPr="00FC3028">
        <w:t>Duke’s s</w:t>
      </w:r>
      <w:r w:rsidR="007408CE" w:rsidRPr="00FC3028">
        <w:t>ervice lines do not hav</w:t>
      </w:r>
      <w:r w:rsidR="009F673B" w:rsidRPr="00FC3028">
        <w:t>e a high risk of</w:t>
      </w:r>
      <w:r w:rsidR="007408CE" w:rsidRPr="00FC3028">
        <w:t xml:space="preserve"> leak or failure</w:t>
      </w:r>
      <w:r w:rsidR="00C036A3">
        <w:t xml:space="preserve"> that would harm customers </w:t>
      </w:r>
      <w:r w:rsidR="007408CE" w:rsidRPr="00FC3028">
        <w:t>.</w:t>
      </w:r>
      <w:bookmarkEnd w:id="20"/>
    </w:p>
    <w:p w:rsidR="007408CE" w:rsidRPr="00FC3028" w:rsidRDefault="007408CE" w:rsidP="00196F9E">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asserts in its Application and pre-filed Direct Testimony that it “proposes to implement the ASRP to replace certain of its customers’ services lines that have been statistically demonstrated to have a high risk of leak or failure, due to their age or material.”</w:t>
      </w:r>
      <w:r w:rsidRPr="00FC3028">
        <w:rPr>
          <w:rStyle w:val="FootnoteReference"/>
          <w:rFonts w:ascii="Times New Roman" w:hAnsi="Times New Roman" w:cs="Times New Roman"/>
          <w:sz w:val="24"/>
          <w:szCs w:val="24"/>
        </w:rPr>
        <w:footnoteReference w:id="104"/>
      </w:r>
      <w:r w:rsidR="00580680" w:rsidRPr="00FC3028">
        <w:rPr>
          <w:rFonts w:ascii="Times New Roman" w:hAnsi="Times New Roman" w:cs="Times New Roman"/>
          <w:sz w:val="24"/>
          <w:szCs w:val="24"/>
        </w:rPr>
        <w:t xml:space="preserve"> </w:t>
      </w:r>
      <w:r w:rsidR="009F673B" w:rsidRPr="00FC3028">
        <w:rPr>
          <w:rFonts w:ascii="Times New Roman" w:hAnsi="Times New Roman" w:cs="Times New Roman"/>
          <w:sz w:val="24"/>
          <w:szCs w:val="24"/>
        </w:rPr>
        <w:t xml:space="preserve">Duke’s claim is </w:t>
      </w:r>
      <w:r w:rsidR="007C330C" w:rsidRPr="00FC3028">
        <w:rPr>
          <w:rFonts w:ascii="Times New Roman" w:hAnsi="Times New Roman" w:cs="Times New Roman"/>
          <w:sz w:val="24"/>
          <w:szCs w:val="24"/>
        </w:rPr>
        <w:t>not true</w:t>
      </w:r>
      <w:r w:rsidR="009F673B" w:rsidRPr="00FC3028">
        <w:rPr>
          <w:rFonts w:ascii="Times New Roman" w:hAnsi="Times New Roman" w:cs="Times New Roman"/>
          <w:sz w:val="24"/>
          <w:szCs w:val="24"/>
        </w:rPr>
        <w:t xml:space="preserve"> and it</w:t>
      </w:r>
      <w:r w:rsidR="00554C97" w:rsidRPr="00FC3028">
        <w:rPr>
          <w:rFonts w:ascii="Times New Roman" w:hAnsi="Times New Roman" w:cs="Times New Roman"/>
          <w:sz w:val="24"/>
          <w:szCs w:val="24"/>
        </w:rPr>
        <w:t xml:space="preserve"> failed to provide evidence </w:t>
      </w:r>
      <w:r w:rsidR="009F673B" w:rsidRPr="00FC3028">
        <w:rPr>
          <w:rFonts w:ascii="Times New Roman" w:hAnsi="Times New Roman" w:cs="Times New Roman"/>
          <w:sz w:val="24"/>
          <w:szCs w:val="24"/>
        </w:rPr>
        <w:t>to support</w:t>
      </w:r>
      <w:r w:rsidR="00554C97" w:rsidRPr="00FC3028">
        <w:rPr>
          <w:rFonts w:ascii="Times New Roman" w:hAnsi="Times New Roman" w:cs="Times New Roman"/>
          <w:sz w:val="24"/>
          <w:szCs w:val="24"/>
        </w:rPr>
        <w:t xml:space="preserve"> </w:t>
      </w:r>
      <w:r w:rsidR="009F673B" w:rsidRPr="00FC3028">
        <w:rPr>
          <w:rFonts w:ascii="Times New Roman" w:hAnsi="Times New Roman" w:cs="Times New Roman"/>
          <w:sz w:val="24"/>
          <w:szCs w:val="24"/>
        </w:rPr>
        <w:t>it</w:t>
      </w:r>
      <w:r w:rsidR="00554C97" w:rsidRPr="00FC3028">
        <w:rPr>
          <w:rFonts w:ascii="Times New Roman" w:hAnsi="Times New Roman" w:cs="Times New Roman"/>
          <w:sz w:val="24"/>
          <w:szCs w:val="24"/>
        </w:rPr>
        <w:t>.</w:t>
      </w:r>
    </w:p>
    <w:p w:rsidR="0028745B" w:rsidRPr="00FC3028" w:rsidRDefault="00A20C61" w:rsidP="00DF1842">
      <w:pPr>
        <w:pStyle w:val="Heading4"/>
      </w:pPr>
      <w:bookmarkStart w:id="21" w:name="_Toc437441472"/>
      <w:r>
        <w:t>c</w:t>
      </w:r>
      <w:r w:rsidR="00A62460">
        <w:t>.</w:t>
      </w:r>
      <w:r w:rsidR="00A62460">
        <w:tab/>
      </w:r>
      <w:r w:rsidR="0028745B" w:rsidRPr="00FC3028">
        <w:t>Duke failed to provide sufficient or adequate data to support its claim that its service lines have a high risk of leak or failure</w:t>
      </w:r>
      <w:r w:rsidR="00C036A3">
        <w:t xml:space="preserve"> that would harm customers</w:t>
      </w:r>
      <w:r w:rsidR="0028745B" w:rsidRPr="00FC3028">
        <w:t>.</w:t>
      </w:r>
      <w:bookmarkEnd w:id="21"/>
    </w:p>
    <w:p w:rsidR="00CC7451" w:rsidRPr="00FC3028" w:rsidRDefault="00981304" w:rsidP="00CC745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Duke did not provide sufficient data to support its allegation that its service lines are an imminent safety threat </w:t>
      </w:r>
      <w:r w:rsidR="00910B0A" w:rsidRPr="00FC3028">
        <w:rPr>
          <w:rFonts w:ascii="Times New Roman" w:hAnsi="Times New Roman" w:cs="Times New Roman"/>
          <w:sz w:val="24"/>
          <w:szCs w:val="24"/>
        </w:rPr>
        <w:t>or that</w:t>
      </w:r>
      <w:r w:rsidRPr="00FC3028">
        <w:rPr>
          <w:rFonts w:ascii="Times New Roman" w:hAnsi="Times New Roman" w:cs="Times New Roman"/>
          <w:sz w:val="24"/>
          <w:szCs w:val="24"/>
        </w:rPr>
        <w:t xml:space="preserve"> they have a high leak rate</w:t>
      </w:r>
      <w:r w:rsidR="00C036A3">
        <w:rPr>
          <w:rFonts w:ascii="Times New Roman" w:hAnsi="Times New Roman" w:cs="Times New Roman"/>
          <w:sz w:val="24"/>
          <w:szCs w:val="24"/>
        </w:rPr>
        <w:t xml:space="preserve"> that would harm customers</w:t>
      </w:r>
      <w:r w:rsidRPr="00FC3028">
        <w:rPr>
          <w:rFonts w:ascii="Times New Roman" w:hAnsi="Times New Roman" w:cs="Times New Roman"/>
          <w:sz w:val="24"/>
          <w:szCs w:val="24"/>
        </w:rPr>
        <w:t xml:space="preserve">. </w:t>
      </w:r>
      <w:r w:rsidR="00CC7451" w:rsidRPr="00FC3028">
        <w:rPr>
          <w:rFonts w:ascii="Times New Roman" w:hAnsi="Times New Roman" w:cs="Times New Roman"/>
          <w:sz w:val="24"/>
          <w:szCs w:val="24"/>
        </w:rPr>
        <w:t>As part of its initial AMRP Application Duke produced the Stone &amp; Webster Report, which was an independent review of the necessity of Duke’s proposed AMRP program.</w:t>
      </w:r>
      <w:r w:rsidR="00B65F3B">
        <w:rPr>
          <w:rStyle w:val="FootnoteReference"/>
          <w:rFonts w:ascii="Times New Roman" w:hAnsi="Times New Roman" w:cs="Times New Roman"/>
          <w:sz w:val="24"/>
          <w:szCs w:val="24"/>
        </w:rPr>
        <w:footnoteReference w:id="105"/>
      </w:r>
      <w:r w:rsidR="00CC7451" w:rsidRPr="00FC3028">
        <w:rPr>
          <w:rFonts w:ascii="Times New Roman" w:hAnsi="Times New Roman" w:cs="Times New Roman"/>
          <w:sz w:val="24"/>
          <w:szCs w:val="24"/>
        </w:rPr>
        <w:t xml:space="preserve"> The report provided a comprehensive review of the condition and performance of Duke’s natural gas distribution system.</w:t>
      </w:r>
      <w:r w:rsidR="00895433">
        <w:rPr>
          <w:rStyle w:val="FootnoteReference"/>
          <w:rFonts w:ascii="Times New Roman" w:hAnsi="Times New Roman" w:cs="Times New Roman"/>
          <w:sz w:val="24"/>
          <w:szCs w:val="24"/>
        </w:rPr>
        <w:footnoteReference w:id="106"/>
      </w:r>
      <w:r w:rsidR="00CC7451" w:rsidRPr="00FC3028">
        <w:rPr>
          <w:rFonts w:ascii="Times New Roman" w:hAnsi="Times New Roman" w:cs="Times New Roman"/>
          <w:sz w:val="24"/>
          <w:szCs w:val="24"/>
        </w:rPr>
        <w:t xml:space="preserve"> Specifically, the report meticulously presented data that showed the amount of leaks and breaks per mile for each and every size and type of pipe in Duke’s system.</w:t>
      </w:r>
      <w:r w:rsidR="00895433">
        <w:rPr>
          <w:rStyle w:val="FootnoteReference"/>
          <w:rFonts w:ascii="Times New Roman" w:hAnsi="Times New Roman" w:cs="Times New Roman"/>
          <w:sz w:val="24"/>
          <w:szCs w:val="24"/>
        </w:rPr>
        <w:footnoteReference w:id="107"/>
      </w:r>
      <w:r w:rsidR="00CC7451" w:rsidRPr="00FC3028">
        <w:rPr>
          <w:rFonts w:ascii="Times New Roman" w:hAnsi="Times New Roman" w:cs="Times New Roman"/>
          <w:sz w:val="24"/>
          <w:szCs w:val="24"/>
        </w:rPr>
        <w:t xml:space="preserve"> </w:t>
      </w:r>
    </w:p>
    <w:p w:rsidR="006B19E3" w:rsidRDefault="00D66C21" w:rsidP="00ED154F">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In </w:t>
      </w:r>
      <w:r w:rsidR="002B6236">
        <w:rPr>
          <w:rFonts w:ascii="Times New Roman" w:hAnsi="Times New Roman" w:cs="Times New Roman"/>
          <w:sz w:val="24"/>
          <w:szCs w:val="24"/>
        </w:rPr>
        <w:t>its ASRP Application</w:t>
      </w:r>
      <w:r w:rsidRPr="00FC3028">
        <w:rPr>
          <w:rFonts w:ascii="Times New Roman" w:hAnsi="Times New Roman" w:cs="Times New Roman"/>
          <w:sz w:val="24"/>
          <w:szCs w:val="24"/>
        </w:rPr>
        <w:t xml:space="preserve"> Duke did not provide</w:t>
      </w:r>
      <w:r w:rsidR="006B19E3">
        <w:rPr>
          <w:rFonts w:ascii="Times New Roman" w:hAnsi="Times New Roman" w:cs="Times New Roman"/>
          <w:sz w:val="24"/>
          <w:szCs w:val="24"/>
        </w:rPr>
        <w:t xml:space="preserve"> a report comparable to the one it provided in the AMRP proceeding.</w:t>
      </w:r>
      <w:r w:rsidR="002B6236">
        <w:rPr>
          <w:rStyle w:val="FootnoteReference"/>
          <w:rFonts w:ascii="Times New Roman" w:hAnsi="Times New Roman" w:cs="Times New Roman"/>
          <w:sz w:val="24"/>
          <w:szCs w:val="24"/>
        </w:rPr>
        <w:footnoteReference w:id="108"/>
      </w:r>
      <w:r w:rsidR="006B19E3">
        <w:rPr>
          <w:rFonts w:ascii="Times New Roman" w:hAnsi="Times New Roman" w:cs="Times New Roman"/>
          <w:sz w:val="24"/>
          <w:szCs w:val="24"/>
        </w:rPr>
        <w:t xml:space="preserve"> In fact, Duke did not provide</w:t>
      </w:r>
      <w:r w:rsidRPr="00FC3028">
        <w:rPr>
          <w:rFonts w:ascii="Times New Roman" w:hAnsi="Times New Roman" w:cs="Times New Roman"/>
          <w:sz w:val="24"/>
          <w:szCs w:val="24"/>
        </w:rPr>
        <w:t xml:space="preserve"> any data, study or reports with its Ap</w:t>
      </w:r>
      <w:r w:rsidR="0019307D">
        <w:rPr>
          <w:rFonts w:ascii="Times New Roman" w:hAnsi="Times New Roman" w:cs="Times New Roman"/>
          <w:sz w:val="24"/>
          <w:szCs w:val="24"/>
        </w:rPr>
        <w:t>plication, Reply Comments, or Object</w:t>
      </w:r>
      <w:r w:rsidR="009E24CE">
        <w:rPr>
          <w:rFonts w:ascii="Times New Roman" w:hAnsi="Times New Roman" w:cs="Times New Roman"/>
          <w:sz w:val="24"/>
          <w:szCs w:val="24"/>
        </w:rPr>
        <w:t>ion</w:t>
      </w:r>
      <w:r w:rsidR="0019307D">
        <w:rPr>
          <w:rFonts w:ascii="Times New Roman" w:hAnsi="Times New Roman" w:cs="Times New Roman"/>
          <w:sz w:val="24"/>
          <w:szCs w:val="24"/>
        </w:rPr>
        <w:t>s to the Staff Report.</w:t>
      </w:r>
      <w:r w:rsidRPr="00FC3028">
        <w:rPr>
          <w:rFonts w:ascii="Times New Roman" w:hAnsi="Times New Roman" w:cs="Times New Roman"/>
          <w:sz w:val="24"/>
          <w:szCs w:val="24"/>
        </w:rPr>
        <w:t xml:space="preserve"> Instead, Duke filed a bare minimal Application with no expert testimony, data, independent study, </w:t>
      </w:r>
      <w:r w:rsidR="0019307D">
        <w:rPr>
          <w:rFonts w:ascii="Times New Roman" w:hAnsi="Times New Roman" w:cs="Times New Roman"/>
          <w:sz w:val="24"/>
          <w:szCs w:val="24"/>
        </w:rPr>
        <w:t>or</w:t>
      </w:r>
      <w:r w:rsidRPr="00FC3028">
        <w:rPr>
          <w:rFonts w:ascii="Times New Roman" w:hAnsi="Times New Roman" w:cs="Times New Roman"/>
          <w:sz w:val="24"/>
          <w:szCs w:val="24"/>
        </w:rPr>
        <w:t xml:space="preserve"> financial analysis of the costs and benefits of its proposed program.</w:t>
      </w:r>
      <w:r w:rsidR="00BA3709">
        <w:rPr>
          <w:rStyle w:val="FootnoteReference"/>
          <w:rFonts w:ascii="Times New Roman" w:hAnsi="Times New Roman" w:cs="Times New Roman"/>
          <w:sz w:val="24"/>
          <w:szCs w:val="24"/>
        </w:rPr>
        <w:footnoteReference w:id="109"/>
      </w:r>
      <w:r w:rsidRPr="00FC3028">
        <w:rPr>
          <w:rFonts w:ascii="Times New Roman" w:hAnsi="Times New Roman" w:cs="Times New Roman"/>
          <w:sz w:val="24"/>
          <w:szCs w:val="24"/>
        </w:rPr>
        <w:t xml:space="preserve"> In other words, Duke provided no support for its $320 million program. </w:t>
      </w:r>
    </w:p>
    <w:p w:rsidR="00D66C21" w:rsidRDefault="00D66C21" w:rsidP="00ED154F">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When D</w:t>
      </w:r>
      <w:r w:rsidR="0019307D">
        <w:rPr>
          <w:rFonts w:ascii="Times New Roman" w:hAnsi="Times New Roman" w:cs="Times New Roman"/>
          <w:sz w:val="24"/>
          <w:szCs w:val="24"/>
        </w:rPr>
        <w:t xml:space="preserve">uke did finally produce </w:t>
      </w:r>
      <w:r w:rsidR="00C542DD">
        <w:rPr>
          <w:rFonts w:ascii="Times New Roman" w:hAnsi="Times New Roman" w:cs="Times New Roman"/>
          <w:sz w:val="24"/>
          <w:szCs w:val="24"/>
        </w:rPr>
        <w:t>the Lummus Report</w:t>
      </w:r>
      <w:r w:rsidR="0019307D">
        <w:rPr>
          <w:rFonts w:ascii="Times New Roman" w:hAnsi="Times New Roman" w:cs="Times New Roman"/>
          <w:sz w:val="24"/>
          <w:szCs w:val="24"/>
        </w:rPr>
        <w:t xml:space="preserve">, </w:t>
      </w:r>
      <w:r w:rsidRPr="00FC3028">
        <w:rPr>
          <w:rFonts w:ascii="Times New Roman" w:hAnsi="Times New Roman" w:cs="Times New Roman"/>
          <w:sz w:val="24"/>
          <w:szCs w:val="24"/>
        </w:rPr>
        <w:t>as part of its Direct Testimony, it was a mere three weeks before the evidentiary hearing.</w:t>
      </w:r>
      <w:r w:rsidR="00B65F3B">
        <w:rPr>
          <w:rStyle w:val="FootnoteReference"/>
          <w:rFonts w:ascii="Times New Roman" w:hAnsi="Times New Roman" w:cs="Times New Roman"/>
          <w:sz w:val="24"/>
          <w:szCs w:val="24"/>
        </w:rPr>
        <w:footnoteReference w:id="110"/>
      </w:r>
      <w:r w:rsidRPr="00FC3028">
        <w:rPr>
          <w:rFonts w:ascii="Times New Roman" w:hAnsi="Times New Roman" w:cs="Times New Roman"/>
          <w:sz w:val="24"/>
          <w:szCs w:val="24"/>
        </w:rPr>
        <w:t xml:space="preserve"> </w:t>
      </w:r>
      <w:r w:rsidR="00AD0D69">
        <w:rPr>
          <w:rFonts w:ascii="Times New Roman" w:hAnsi="Times New Roman" w:cs="Times New Roman"/>
          <w:sz w:val="24"/>
          <w:szCs w:val="24"/>
        </w:rPr>
        <w:t xml:space="preserve">However, </w:t>
      </w:r>
      <w:r w:rsidR="00ED154F">
        <w:rPr>
          <w:rFonts w:ascii="Times New Roman" w:hAnsi="Times New Roman" w:cs="Times New Roman"/>
          <w:sz w:val="24"/>
          <w:szCs w:val="24"/>
        </w:rPr>
        <w:t>in contrast to the Stone &amp; Webster Report</w:t>
      </w:r>
      <w:r w:rsidR="00AD0D69">
        <w:rPr>
          <w:rFonts w:ascii="Times New Roman" w:hAnsi="Times New Roman" w:cs="Times New Roman"/>
          <w:sz w:val="24"/>
          <w:szCs w:val="24"/>
        </w:rPr>
        <w:t xml:space="preserve">, </w:t>
      </w:r>
      <w:r w:rsidR="00C542DD">
        <w:rPr>
          <w:rFonts w:ascii="Times New Roman" w:hAnsi="Times New Roman" w:cs="Times New Roman"/>
          <w:sz w:val="24"/>
          <w:szCs w:val="24"/>
        </w:rPr>
        <w:t>the Lummus Report</w:t>
      </w:r>
      <w:r w:rsidRPr="00FC3028">
        <w:rPr>
          <w:rFonts w:ascii="Times New Roman" w:hAnsi="Times New Roman" w:cs="Times New Roman"/>
          <w:sz w:val="24"/>
          <w:szCs w:val="24"/>
        </w:rPr>
        <w:t xml:space="preserve"> lacked a comprehensive examination and presentation of the essential data needed to determine whether Duke’s proposal was just and reasonable.</w:t>
      </w:r>
      <w:r w:rsidR="00B65F3B">
        <w:rPr>
          <w:rStyle w:val="FootnoteReference"/>
          <w:rFonts w:ascii="Times New Roman" w:hAnsi="Times New Roman" w:cs="Times New Roman"/>
          <w:sz w:val="24"/>
          <w:szCs w:val="24"/>
        </w:rPr>
        <w:footnoteReference w:id="111"/>
      </w:r>
      <w:r w:rsidR="00363047">
        <w:rPr>
          <w:rFonts w:ascii="Times New Roman" w:hAnsi="Times New Roman" w:cs="Times New Roman"/>
          <w:sz w:val="24"/>
          <w:szCs w:val="24"/>
        </w:rPr>
        <w:t xml:space="preserve"> </w:t>
      </w:r>
      <w:r w:rsidR="00AD0D69">
        <w:rPr>
          <w:rFonts w:ascii="Times New Roman" w:hAnsi="Times New Roman" w:cs="Times New Roman"/>
          <w:sz w:val="24"/>
          <w:szCs w:val="24"/>
        </w:rPr>
        <w:t>Among other things</w:t>
      </w:r>
      <w:r>
        <w:rPr>
          <w:rFonts w:ascii="Times New Roman" w:hAnsi="Times New Roman" w:cs="Times New Roman"/>
          <w:sz w:val="24"/>
          <w:szCs w:val="24"/>
        </w:rPr>
        <w:t>,</w:t>
      </w:r>
      <w:r w:rsidRPr="00FC3028">
        <w:rPr>
          <w:rFonts w:ascii="Times New Roman" w:hAnsi="Times New Roman" w:cs="Times New Roman"/>
          <w:sz w:val="24"/>
          <w:szCs w:val="24"/>
        </w:rPr>
        <w:t xml:space="preserve"> </w:t>
      </w:r>
      <w:r w:rsidR="00363047">
        <w:rPr>
          <w:rFonts w:ascii="Times New Roman" w:hAnsi="Times New Roman" w:cs="Times New Roman"/>
          <w:sz w:val="24"/>
          <w:szCs w:val="24"/>
        </w:rPr>
        <w:t>the report</w:t>
      </w:r>
      <w:r w:rsidRPr="00FC3028">
        <w:rPr>
          <w:rFonts w:ascii="Times New Roman" w:hAnsi="Times New Roman" w:cs="Times New Roman"/>
          <w:sz w:val="24"/>
          <w:szCs w:val="24"/>
        </w:rPr>
        <w:t xml:space="preserve"> did not provide any information specific to the actual number of leaks (or severity of leaks based on the grade classification of leaks) that have occurred on the 58,000 pre-1971 metallic and non-protected service lines that Duke proposes to replace under the ASRP or the additional 21,000</w:t>
      </w:r>
      <w:r w:rsidRPr="00FC3028">
        <w:rPr>
          <w:rStyle w:val="FootnoteReference"/>
          <w:rFonts w:ascii="Times New Roman" w:hAnsi="Times New Roman" w:cs="Times New Roman"/>
          <w:sz w:val="24"/>
          <w:szCs w:val="24"/>
        </w:rPr>
        <w:footnoteReference w:id="112"/>
      </w:r>
      <w:r w:rsidRPr="00FC3028">
        <w:rPr>
          <w:rFonts w:ascii="Times New Roman" w:hAnsi="Times New Roman" w:cs="Times New Roman"/>
          <w:sz w:val="24"/>
          <w:szCs w:val="24"/>
        </w:rPr>
        <w:t xml:space="preserve"> service lines that may need to be replaced after reconnaissance efforts are conducted. Duke simply provided information for all its service lines, which could give a distorted or misleading view of Duke’s current state of affairs.</w:t>
      </w:r>
      <w:r w:rsidR="00363047">
        <w:rPr>
          <w:rFonts w:ascii="Times New Roman" w:hAnsi="Times New Roman" w:cs="Times New Roman"/>
          <w:sz w:val="24"/>
          <w:szCs w:val="24"/>
        </w:rPr>
        <w:t xml:space="preserve"> </w:t>
      </w:r>
      <w:r w:rsidRPr="00FC3028">
        <w:rPr>
          <w:rFonts w:ascii="Times New Roman" w:hAnsi="Times New Roman" w:cs="Times New Roman"/>
          <w:sz w:val="24"/>
          <w:szCs w:val="24"/>
        </w:rPr>
        <w:t>Without specific data that demonstrates the past leak rate and leak intensity of the lines that Duke wants to charge Ohioans $320 million to replace, Duke’s proposal is not just and reasonable.</w:t>
      </w:r>
    </w:p>
    <w:p w:rsidR="00D66C21" w:rsidRDefault="00D66C21" w:rsidP="00D66C2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As a result, not only did Duke, the party with the burden in this proceeding, fail to present ample support for its proposal, but it also limited the ability of Intervenors, Staff, and the PUCO, to review the proposal, weigh the costs and benefits, and ultimately decide whether it was a just and reasonable proposal.</w:t>
      </w:r>
      <w:r w:rsidRPr="00FC3028">
        <w:rPr>
          <w:rStyle w:val="FootnoteReference"/>
          <w:rFonts w:ascii="Times New Roman" w:hAnsi="Times New Roman" w:cs="Times New Roman"/>
          <w:sz w:val="24"/>
          <w:szCs w:val="24"/>
        </w:rPr>
        <w:t xml:space="preserve"> </w:t>
      </w:r>
      <w:r w:rsidRPr="00FC3028">
        <w:rPr>
          <w:rStyle w:val="FootnoteReference"/>
          <w:rFonts w:ascii="Times New Roman" w:hAnsi="Times New Roman" w:cs="Times New Roman"/>
          <w:sz w:val="24"/>
          <w:szCs w:val="24"/>
        </w:rPr>
        <w:footnoteReference w:id="113"/>
      </w:r>
      <w:r w:rsidRPr="00FC3028">
        <w:rPr>
          <w:rFonts w:ascii="Times New Roman" w:hAnsi="Times New Roman" w:cs="Times New Roman"/>
          <w:sz w:val="24"/>
          <w:szCs w:val="24"/>
        </w:rPr>
        <w:t xml:space="preserve"> </w:t>
      </w:r>
    </w:p>
    <w:p w:rsidR="00981304" w:rsidRPr="00FC3028" w:rsidRDefault="00A20C61" w:rsidP="00A62460">
      <w:pPr>
        <w:pStyle w:val="Heading4"/>
      </w:pPr>
      <w:bookmarkStart w:id="22" w:name="_Toc437441473"/>
      <w:r>
        <w:t>d</w:t>
      </w:r>
      <w:r w:rsidR="00A62460">
        <w:t>.</w:t>
      </w:r>
      <w:r w:rsidR="00A62460">
        <w:tab/>
      </w:r>
      <w:r w:rsidR="00653BBC" w:rsidRPr="00FC3028">
        <w:t xml:space="preserve">Duke did </w:t>
      </w:r>
      <w:r w:rsidR="0028745B" w:rsidRPr="00FC3028">
        <w:t>not show that its service lines have a high risk of leak or failure</w:t>
      </w:r>
      <w:r w:rsidR="00C036A3">
        <w:t xml:space="preserve"> that would harm customers</w:t>
      </w:r>
      <w:r w:rsidR="0028745B" w:rsidRPr="00FC3028">
        <w:t>.</w:t>
      </w:r>
      <w:bookmarkEnd w:id="22"/>
    </w:p>
    <w:p w:rsidR="00290645" w:rsidRPr="00FC3028" w:rsidRDefault="00193ED3" w:rsidP="000042D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The</w:t>
      </w:r>
      <w:r w:rsidR="00BC3917" w:rsidRPr="00FC3028">
        <w:rPr>
          <w:rFonts w:ascii="Times New Roman" w:hAnsi="Times New Roman" w:cs="Times New Roman"/>
          <w:sz w:val="24"/>
          <w:szCs w:val="24"/>
        </w:rPr>
        <w:t xml:space="preserve"> </w:t>
      </w:r>
      <w:r w:rsidRPr="00FC3028">
        <w:rPr>
          <w:rFonts w:ascii="Times New Roman" w:hAnsi="Times New Roman" w:cs="Times New Roman"/>
          <w:sz w:val="24"/>
          <w:szCs w:val="24"/>
        </w:rPr>
        <w:t>brief</w:t>
      </w:r>
      <w:r w:rsidR="00BC3917" w:rsidRPr="00FC3028">
        <w:rPr>
          <w:rFonts w:ascii="Times New Roman" w:hAnsi="Times New Roman" w:cs="Times New Roman"/>
          <w:sz w:val="24"/>
          <w:szCs w:val="24"/>
        </w:rPr>
        <w:t xml:space="preserve"> and simple set of </w:t>
      </w:r>
      <w:r w:rsidRPr="00FC3028">
        <w:rPr>
          <w:rFonts w:ascii="Times New Roman" w:hAnsi="Times New Roman" w:cs="Times New Roman"/>
          <w:sz w:val="24"/>
          <w:szCs w:val="24"/>
        </w:rPr>
        <w:t>statistics that Duke provided in the Lummus Report did not demonstrate that Duke’s service lines have a high risk of leak or failure. In fact,</w:t>
      </w:r>
      <w:r w:rsidR="00BC3917" w:rsidRPr="00FC3028">
        <w:rPr>
          <w:rFonts w:ascii="Times New Roman" w:hAnsi="Times New Roman" w:cs="Times New Roman"/>
          <w:sz w:val="24"/>
          <w:szCs w:val="24"/>
        </w:rPr>
        <w:t xml:space="preserve"> Duke </w:t>
      </w:r>
      <w:r w:rsidRPr="00FC3028">
        <w:rPr>
          <w:rFonts w:ascii="Times New Roman" w:hAnsi="Times New Roman" w:cs="Times New Roman"/>
          <w:sz w:val="24"/>
          <w:szCs w:val="24"/>
        </w:rPr>
        <w:t>acknowledged</w:t>
      </w:r>
      <w:r w:rsidR="00BC3917" w:rsidRPr="00FC3028">
        <w:rPr>
          <w:rFonts w:ascii="Times New Roman" w:hAnsi="Times New Roman" w:cs="Times New Roman"/>
          <w:sz w:val="24"/>
          <w:szCs w:val="24"/>
        </w:rPr>
        <w:t xml:space="preserve"> that “leaks on service line segments are seen to be declining overall, but possibly not quite as fast as one might anticipate, given the extensive AMRP program that has taken place.”</w:t>
      </w:r>
      <w:r w:rsidR="00BC3917" w:rsidRPr="00FC3028">
        <w:rPr>
          <w:rStyle w:val="FootnoteReference"/>
          <w:rFonts w:ascii="Times New Roman" w:hAnsi="Times New Roman" w:cs="Times New Roman"/>
          <w:sz w:val="24"/>
          <w:szCs w:val="24"/>
        </w:rPr>
        <w:footnoteReference w:id="114"/>
      </w:r>
      <w:r w:rsidR="00BC3917" w:rsidRPr="00FC3028">
        <w:rPr>
          <w:rFonts w:ascii="Times New Roman" w:hAnsi="Times New Roman" w:cs="Times New Roman"/>
          <w:sz w:val="24"/>
          <w:szCs w:val="24"/>
        </w:rPr>
        <w:t xml:space="preserve"> </w:t>
      </w:r>
      <w:r w:rsidRPr="00FC3028">
        <w:rPr>
          <w:rFonts w:ascii="Times New Roman" w:hAnsi="Times New Roman" w:cs="Times New Roman"/>
          <w:sz w:val="24"/>
          <w:szCs w:val="24"/>
        </w:rPr>
        <w:t>In support of this statement,</w:t>
      </w:r>
      <w:r w:rsidR="006B19E3">
        <w:rPr>
          <w:rFonts w:ascii="Times New Roman" w:hAnsi="Times New Roman" w:cs="Times New Roman"/>
          <w:sz w:val="24"/>
          <w:szCs w:val="24"/>
        </w:rPr>
        <w:t xml:space="preserve"> a</w:t>
      </w:r>
      <w:r w:rsidRPr="00FC3028">
        <w:rPr>
          <w:rFonts w:ascii="Times New Roman" w:hAnsi="Times New Roman" w:cs="Times New Roman"/>
          <w:sz w:val="24"/>
          <w:szCs w:val="24"/>
        </w:rPr>
        <w:t xml:space="preserve"> Duke witness</w:t>
      </w:r>
      <w:r w:rsidR="0028403A">
        <w:rPr>
          <w:rFonts w:ascii="Times New Roman" w:hAnsi="Times New Roman" w:cs="Times New Roman"/>
          <w:sz w:val="24"/>
          <w:szCs w:val="24"/>
        </w:rPr>
        <w:t xml:space="preserve"> presented data showing a s</w:t>
      </w:r>
      <w:r w:rsidR="00EF2486" w:rsidRPr="00FC3028">
        <w:rPr>
          <w:rFonts w:ascii="Times New Roman" w:hAnsi="Times New Roman" w:cs="Times New Roman"/>
          <w:sz w:val="24"/>
          <w:szCs w:val="24"/>
        </w:rPr>
        <w:t>teady decline in repaired leaks on services from 2002 to 2014.</w:t>
      </w:r>
      <w:r w:rsidR="00EF2486" w:rsidRPr="00FC3028">
        <w:rPr>
          <w:rStyle w:val="FootnoteReference"/>
          <w:rFonts w:ascii="Times New Roman" w:hAnsi="Times New Roman" w:cs="Times New Roman"/>
          <w:sz w:val="24"/>
          <w:szCs w:val="24"/>
        </w:rPr>
        <w:footnoteReference w:id="115"/>
      </w:r>
      <w:r w:rsidRPr="00FC3028">
        <w:rPr>
          <w:rFonts w:ascii="Times New Roman" w:hAnsi="Times New Roman" w:cs="Times New Roman"/>
          <w:sz w:val="24"/>
          <w:szCs w:val="24"/>
        </w:rPr>
        <w:t xml:space="preserve"> </w:t>
      </w:r>
      <w:r w:rsidR="00392231">
        <w:rPr>
          <w:rFonts w:ascii="Times New Roman" w:hAnsi="Times New Roman" w:cs="Times New Roman"/>
          <w:sz w:val="24"/>
          <w:szCs w:val="24"/>
        </w:rPr>
        <w:t xml:space="preserve">That data showed that </w:t>
      </w:r>
      <w:r w:rsidR="00EF2486" w:rsidRPr="00FC3028">
        <w:rPr>
          <w:rFonts w:ascii="Times New Roman" w:hAnsi="Times New Roman" w:cs="Times New Roman"/>
          <w:sz w:val="24"/>
          <w:szCs w:val="24"/>
        </w:rPr>
        <w:t>Duke repaired over 3,000 service leaks in 2002 compared to approximately 1,</w:t>
      </w:r>
      <w:r w:rsidR="00A77061" w:rsidRPr="00FC3028">
        <w:rPr>
          <w:rFonts w:ascii="Times New Roman" w:hAnsi="Times New Roman" w:cs="Times New Roman"/>
          <w:sz w:val="24"/>
          <w:szCs w:val="24"/>
        </w:rPr>
        <w:t>800</w:t>
      </w:r>
      <w:r w:rsidR="00EF2486" w:rsidRPr="00FC3028">
        <w:rPr>
          <w:rFonts w:ascii="Times New Roman" w:hAnsi="Times New Roman" w:cs="Times New Roman"/>
          <w:sz w:val="24"/>
          <w:szCs w:val="24"/>
        </w:rPr>
        <w:t xml:space="preserve"> in 2014.</w:t>
      </w:r>
      <w:r w:rsidR="00EF2486" w:rsidRPr="00FC3028">
        <w:rPr>
          <w:rStyle w:val="FootnoteReference"/>
          <w:rFonts w:ascii="Times New Roman" w:hAnsi="Times New Roman" w:cs="Times New Roman"/>
          <w:sz w:val="24"/>
          <w:szCs w:val="24"/>
        </w:rPr>
        <w:footnoteReference w:id="116"/>
      </w:r>
      <w:r w:rsidR="008576FC" w:rsidRPr="00FC3028">
        <w:rPr>
          <w:rFonts w:ascii="Times New Roman" w:hAnsi="Times New Roman" w:cs="Times New Roman"/>
          <w:sz w:val="24"/>
          <w:szCs w:val="24"/>
        </w:rPr>
        <w:t xml:space="preserve"> In addition, </w:t>
      </w:r>
      <w:r w:rsidR="008F00F0">
        <w:rPr>
          <w:rFonts w:ascii="Times New Roman" w:hAnsi="Times New Roman" w:cs="Times New Roman"/>
          <w:sz w:val="24"/>
          <w:szCs w:val="24"/>
        </w:rPr>
        <w:t xml:space="preserve">the data showed that </w:t>
      </w:r>
      <w:r w:rsidR="008576FC" w:rsidRPr="00FC3028">
        <w:rPr>
          <w:rFonts w:ascii="Times New Roman" w:hAnsi="Times New Roman" w:cs="Times New Roman"/>
          <w:sz w:val="24"/>
          <w:szCs w:val="24"/>
        </w:rPr>
        <w:t>Duke</w:t>
      </w:r>
      <w:r w:rsidR="008F00F0">
        <w:rPr>
          <w:rFonts w:ascii="Times New Roman" w:hAnsi="Times New Roman" w:cs="Times New Roman"/>
          <w:sz w:val="24"/>
          <w:szCs w:val="24"/>
        </w:rPr>
        <w:t>’s leak repair rate declined even though it</w:t>
      </w:r>
      <w:r w:rsidR="008576FC" w:rsidRPr="00FC3028">
        <w:rPr>
          <w:rFonts w:ascii="Times New Roman" w:hAnsi="Times New Roman" w:cs="Times New Roman"/>
          <w:sz w:val="24"/>
          <w:szCs w:val="24"/>
        </w:rPr>
        <w:t xml:space="preserve"> had approximately 375,000 total service lines in 2003 compared to over</w:t>
      </w:r>
      <w:r w:rsidR="00B76083" w:rsidRPr="00FC3028">
        <w:rPr>
          <w:rFonts w:ascii="Times New Roman" w:hAnsi="Times New Roman" w:cs="Times New Roman"/>
          <w:sz w:val="24"/>
          <w:szCs w:val="24"/>
        </w:rPr>
        <w:t xml:space="preserve"> 400,000 in 2014. </w:t>
      </w:r>
      <w:r w:rsidR="008F00F0">
        <w:rPr>
          <w:rFonts w:ascii="Times New Roman" w:hAnsi="Times New Roman" w:cs="Times New Roman"/>
          <w:sz w:val="24"/>
          <w:szCs w:val="24"/>
        </w:rPr>
        <w:t>In other words</w:t>
      </w:r>
      <w:r w:rsidR="00B76083" w:rsidRPr="00FC3028">
        <w:rPr>
          <w:rFonts w:ascii="Times New Roman" w:hAnsi="Times New Roman" w:cs="Times New Roman"/>
          <w:sz w:val="24"/>
          <w:szCs w:val="24"/>
        </w:rPr>
        <w:t>, Duke had a 0.8 percent</w:t>
      </w:r>
      <w:r w:rsidR="00B76083" w:rsidRPr="00FC3028">
        <w:rPr>
          <w:rStyle w:val="FootnoteReference"/>
          <w:rFonts w:ascii="Times New Roman" w:hAnsi="Times New Roman" w:cs="Times New Roman"/>
          <w:sz w:val="24"/>
          <w:szCs w:val="24"/>
        </w:rPr>
        <w:footnoteReference w:id="117"/>
      </w:r>
      <w:r w:rsidR="00B76083" w:rsidRPr="00FC3028">
        <w:rPr>
          <w:rFonts w:ascii="Times New Roman" w:hAnsi="Times New Roman" w:cs="Times New Roman"/>
          <w:sz w:val="24"/>
          <w:szCs w:val="24"/>
        </w:rPr>
        <w:t xml:space="preserve"> service line leak repair rate</w:t>
      </w:r>
      <w:r w:rsidR="00A77061" w:rsidRPr="00FC3028">
        <w:rPr>
          <w:rFonts w:ascii="Times New Roman" w:hAnsi="Times New Roman" w:cs="Times New Roman"/>
          <w:sz w:val="24"/>
          <w:szCs w:val="24"/>
        </w:rPr>
        <w:t xml:space="preserve"> in 2003 compared to a 0.45</w:t>
      </w:r>
      <w:r w:rsidR="00B76083" w:rsidRPr="00FC3028">
        <w:rPr>
          <w:rFonts w:ascii="Times New Roman" w:hAnsi="Times New Roman" w:cs="Times New Roman"/>
          <w:sz w:val="24"/>
          <w:szCs w:val="24"/>
        </w:rPr>
        <w:t xml:space="preserve"> percent</w:t>
      </w:r>
      <w:r w:rsidR="00B76083" w:rsidRPr="00FC3028">
        <w:rPr>
          <w:rStyle w:val="FootnoteReference"/>
          <w:rFonts w:ascii="Times New Roman" w:hAnsi="Times New Roman" w:cs="Times New Roman"/>
          <w:sz w:val="24"/>
          <w:szCs w:val="24"/>
        </w:rPr>
        <w:footnoteReference w:id="118"/>
      </w:r>
      <w:r w:rsidR="00B76083" w:rsidRPr="00FC3028">
        <w:rPr>
          <w:rFonts w:ascii="Times New Roman" w:hAnsi="Times New Roman" w:cs="Times New Roman"/>
          <w:sz w:val="24"/>
          <w:szCs w:val="24"/>
        </w:rPr>
        <w:t xml:space="preserve"> service line leak repair rate in 2014. In other words, Duke’s repair rate in 2014 was almost half of what it was in 2003. </w:t>
      </w:r>
    </w:p>
    <w:p w:rsidR="00A77061" w:rsidRPr="00FC3028" w:rsidRDefault="00580680" w:rsidP="00580680">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states that in the year</w:t>
      </w:r>
      <w:r w:rsidR="005358F5">
        <w:rPr>
          <w:rFonts w:ascii="Times New Roman" w:hAnsi="Times New Roman" w:cs="Times New Roman"/>
          <w:sz w:val="24"/>
          <w:szCs w:val="24"/>
        </w:rPr>
        <w:t>s</w:t>
      </w:r>
      <w:r w:rsidRPr="00FC3028">
        <w:rPr>
          <w:rFonts w:ascii="Times New Roman" w:hAnsi="Times New Roman" w:cs="Times New Roman"/>
          <w:sz w:val="24"/>
          <w:szCs w:val="24"/>
        </w:rPr>
        <w:t xml:space="preserve"> 2012, 2013</w:t>
      </w:r>
      <w:r w:rsidR="005358F5">
        <w:rPr>
          <w:rFonts w:ascii="Times New Roman" w:hAnsi="Times New Roman" w:cs="Times New Roman"/>
          <w:sz w:val="24"/>
          <w:szCs w:val="24"/>
        </w:rPr>
        <w:t>,</w:t>
      </w:r>
      <w:r w:rsidRPr="00FC3028">
        <w:rPr>
          <w:rFonts w:ascii="Times New Roman" w:hAnsi="Times New Roman" w:cs="Times New Roman"/>
          <w:sz w:val="24"/>
          <w:szCs w:val="24"/>
        </w:rPr>
        <w:t xml:space="preserve"> and 2014 the number of leaks on its service lines that it classified as</w:t>
      </w:r>
      <w:r w:rsidR="00290645" w:rsidRPr="00FC3028">
        <w:rPr>
          <w:rFonts w:ascii="Times New Roman" w:hAnsi="Times New Roman" w:cs="Times New Roman"/>
          <w:sz w:val="24"/>
          <w:szCs w:val="24"/>
        </w:rPr>
        <w:t xml:space="preserve"> hazardous or</w:t>
      </w:r>
      <w:r w:rsidRPr="00FC3028">
        <w:rPr>
          <w:rFonts w:ascii="Times New Roman" w:hAnsi="Times New Roman" w:cs="Times New Roman"/>
          <w:sz w:val="24"/>
          <w:szCs w:val="24"/>
        </w:rPr>
        <w:t xml:space="preserve"> grade-one</w:t>
      </w:r>
      <w:r w:rsidR="00290645" w:rsidRPr="00FC3028">
        <w:rPr>
          <w:rFonts w:ascii="Times New Roman" w:hAnsi="Times New Roman" w:cs="Times New Roman"/>
          <w:sz w:val="24"/>
          <w:szCs w:val="24"/>
        </w:rPr>
        <w:t xml:space="preserve"> leaks</w:t>
      </w:r>
      <w:r w:rsidR="00193ED3" w:rsidRPr="00FC3028">
        <w:rPr>
          <w:rFonts w:ascii="Times New Roman" w:hAnsi="Times New Roman" w:cs="Times New Roman"/>
          <w:sz w:val="24"/>
          <w:szCs w:val="24"/>
        </w:rPr>
        <w:t xml:space="preserve"> were 1</w:t>
      </w:r>
      <w:r w:rsidR="00986764" w:rsidRPr="00FC3028">
        <w:rPr>
          <w:rFonts w:ascii="Times New Roman" w:hAnsi="Times New Roman" w:cs="Times New Roman"/>
          <w:sz w:val="24"/>
          <w:szCs w:val="24"/>
        </w:rPr>
        <w:t>,</w:t>
      </w:r>
      <w:r w:rsidR="00193ED3" w:rsidRPr="00FC3028">
        <w:rPr>
          <w:rFonts w:ascii="Times New Roman" w:hAnsi="Times New Roman" w:cs="Times New Roman"/>
          <w:sz w:val="24"/>
          <w:szCs w:val="24"/>
        </w:rPr>
        <w:t>473, 2</w:t>
      </w:r>
      <w:r w:rsidR="00986764" w:rsidRPr="00FC3028">
        <w:rPr>
          <w:rFonts w:ascii="Times New Roman" w:hAnsi="Times New Roman" w:cs="Times New Roman"/>
          <w:sz w:val="24"/>
          <w:szCs w:val="24"/>
        </w:rPr>
        <w:t>,</w:t>
      </w:r>
      <w:r w:rsidR="00CF704D" w:rsidRPr="00FC3028">
        <w:rPr>
          <w:rFonts w:ascii="Times New Roman" w:hAnsi="Times New Roman" w:cs="Times New Roman"/>
          <w:sz w:val="24"/>
          <w:szCs w:val="24"/>
        </w:rPr>
        <w:t>241, and 1</w:t>
      </w:r>
      <w:r w:rsidR="00986764" w:rsidRPr="00FC3028">
        <w:rPr>
          <w:rFonts w:ascii="Times New Roman" w:hAnsi="Times New Roman" w:cs="Times New Roman"/>
          <w:sz w:val="24"/>
          <w:szCs w:val="24"/>
        </w:rPr>
        <w:t>,</w:t>
      </w:r>
      <w:r w:rsidRPr="00FC3028">
        <w:rPr>
          <w:rFonts w:ascii="Times New Roman" w:hAnsi="Times New Roman" w:cs="Times New Roman"/>
          <w:sz w:val="24"/>
          <w:szCs w:val="24"/>
        </w:rPr>
        <w:t>776, respectively.</w:t>
      </w:r>
      <w:r w:rsidRPr="00FC3028">
        <w:rPr>
          <w:rStyle w:val="FootnoteReference"/>
          <w:rFonts w:ascii="Times New Roman" w:hAnsi="Times New Roman" w:cs="Times New Roman"/>
          <w:sz w:val="24"/>
          <w:szCs w:val="24"/>
        </w:rPr>
        <w:footnoteReference w:id="119"/>
      </w:r>
      <w:r w:rsidRPr="00FC3028">
        <w:rPr>
          <w:rFonts w:ascii="Times New Roman" w:hAnsi="Times New Roman" w:cs="Times New Roman"/>
          <w:sz w:val="24"/>
          <w:szCs w:val="24"/>
        </w:rPr>
        <w:t xml:space="preserve"> </w:t>
      </w:r>
      <w:r w:rsidR="00A77061" w:rsidRPr="00FC3028">
        <w:rPr>
          <w:rFonts w:ascii="Times New Roman" w:hAnsi="Times New Roman" w:cs="Times New Roman"/>
          <w:sz w:val="24"/>
          <w:szCs w:val="24"/>
        </w:rPr>
        <w:t>Duke states that in the year 2012, 2013 and 2014 the number of leaks on its service lines that it classified as non-hazardous or grade-two or grade-three leaks were 3</w:t>
      </w:r>
      <w:r w:rsidR="00986764" w:rsidRPr="00FC3028">
        <w:rPr>
          <w:rFonts w:ascii="Times New Roman" w:hAnsi="Times New Roman" w:cs="Times New Roman"/>
          <w:sz w:val="24"/>
          <w:szCs w:val="24"/>
        </w:rPr>
        <w:t>,</w:t>
      </w:r>
      <w:r w:rsidR="00A77061" w:rsidRPr="00FC3028">
        <w:rPr>
          <w:rFonts w:ascii="Times New Roman" w:hAnsi="Times New Roman" w:cs="Times New Roman"/>
          <w:sz w:val="24"/>
          <w:szCs w:val="24"/>
        </w:rPr>
        <w:t>036, 3</w:t>
      </w:r>
      <w:r w:rsidR="00986764" w:rsidRPr="00FC3028">
        <w:rPr>
          <w:rFonts w:ascii="Times New Roman" w:hAnsi="Times New Roman" w:cs="Times New Roman"/>
          <w:sz w:val="24"/>
          <w:szCs w:val="24"/>
        </w:rPr>
        <w:t>,</w:t>
      </w:r>
      <w:r w:rsidR="00A77061" w:rsidRPr="00FC3028">
        <w:rPr>
          <w:rFonts w:ascii="Times New Roman" w:hAnsi="Times New Roman" w:cs="Times New Roman"/>
          <w:sz w:val="24"/>
          <w:szCs w:val="24"/>
        </w:rPr>
        <w:t>031, and 2</w:t>
      </w:r>
      <w:r w:rsidR="00986764" w:rsidRPr="00FC3028">
        <w:rPr>
          <w:rFonts w:ascii="Times New Roman" w:hAnsi="Times New Roman" w:cs="Times New Roman"/>
          <w:sz w:val="24"/>
          <w:szCs w:val="24"/>
        </w:rPr>
        <w:t>,</w:t>
      </w:r>
      <w:r w:rsidR="00A77061" w:rsidRPr="00FC3028">
        <w:rPr>
          <w:rFonts w:ascii="Times New Roman" w:hAnsi="Times New Roman" w:cs="Times New Roman"/>
          <w:sz w:val="24"/>
          <w:szCs w:val="24"/>
        </w:rPr>
        <w:t>398, respectively.</w:t>
      </w:r>
      <w:r w:rsidR="00A77061" w:rsidRPr="00FC3028">
        <w:rPr>
          <w:rStyle w:val="FootnoteReference"/>
          <w:rFonts w:ascii="Times New Roman" w:hAnsi="Times New Roman" w:cs="Times New Roman"/>
          <w:sz w:val="24"/>
          <w:szCs w:val="24"/>
        </w:rPr>
        <w:footnoteReference w:id="120"/>
      </w:r>
      <w:r w:rsidR="00801A2A" w:rsidRPr="00FC3028">
        <w:rPr>
          <w:rFonts w:ascii="Times New Roman" w:hAnsi="Times New Roman" w:cs="Times New Roman"/>
          <w:sz w:val="24"/>
          <w:szCs w:val="24"/>
        </w:rPr>
        <w:t xml:space="preserve"> This means the </w:t>
      </w:r>
      <w:r w:rsidR="00A77061" w:rsidRPr="00FC3028">
        <w:rPr>
          <w:rFonts w:ascii="Times New Roman" w:hAnsi="Times New Roman" w:cs="Times New Roman"/>
          <w:sz w:val="24"/>
          <w:szCs w:val="24"/>
        </w:rPr>
        <w:t>4,174</w:t>
      </w:r>
      <w:r w:rsidR="00A77061" w:rsidRPr="00FC3028">
        <w:rPr>
          <w:rStyle w:val="FootnoteReference"/>
          <w:rFonts w:ascii="Times New Roman" w:hAnsi="Times New Roman" w:cs="Times New Roman"/>
          <w:sz w:val="24"/>
          <w:szCs w:val="24"/>
        </w:rPr>
        <w:footnoteReference w:id="121"/>
      </w:r>
      <w:r w:rsidR="00A77061" w:rsidRPr="00FC3028">
        <w:rPr>
          <w:rFonts w:ascii="Times New Roman" w:hAnsi="Times New Roman" w:cs="Times New Roman"/>
          <w:sz w:val="24"/>
          <w:szCs w:val="24"/>
        </w:rPr>
        <w:t xml:space="preserve"> </w:t>
      </w:r>
      <w:r w:rsidR="00801A2A" w:rsidRPr="00FC3028">
        <w:rPr>
          <w:rFonts w:ascii="Times New Roman" w:hAnsi="Times New Roman" w:cs="Times New Roman"/>
          <w:sz w:val="24"/>
          <w:szCs w:val="24"/>
        </w:rPr>
        <w:t xml:space="preserve">service line leaks </w:t>
      </w:r>
      <w:r w:rsidR="00682889">
        <w:rPr>
          <w:rFonts w:ascii="Times New Roman" w:hAnsi="Times New Roman" w:cs="Times New Roman"/>
          <w:sz w:val="24"/>
          <w:szCs w:val="24"/>
        </w:rPr>
        <w:t>that Duke reported in 2014 was</w:t>
      </w:r>
      <w:r w:rsidR="00801A2A" w:rsidRPr="00FC3028">
        <w:rPr>
          <w:rFonts w:ascii="Times New Roman" w:hAnsi="Times New Roman" w:cs="Times New Roman"/>
          <w:sz w:val="24"/>
          <w:szCs w:val="24"/>
        </w:rPr>
        <w:t xml:space="preserve"> </w:t>
      </w:r>
      <w:r w:rsidR="00A77061" w:rsidRPr="00FC3028">
        <w:rPr>
          <w:rFonts w:ascii="Times New Roman" w:hAnsi="Times New Roman" w:cs="Times New Roman"/>
          <w:sz w:val="24"/>
          <w:szCs w:val="24"/>
        </w:rPr>
        <w:t xml:space="preserve">less </w:t>
      </w:r>
      <w:r w:rsidR="00801A2A" w:rsidRPr="00FC3028">
        <w:rPr>
          <w:rFonts w:ascii="Times New Roman" w:hAnsi="Times New Roman" w:cs="Times New Roman"/>
          <w:sz w:val="24"/>
          <w:szCs w:val="24"/>
        </w:rPr>
        <w:t xml:space="preserve">than the amount of </w:t>
      </w:r>
      <w:r w:rsidR="00C37C52" w:rsidRPr="00FC3028">
        <w:rPr>
          <w:rFonts w:ascii="Times New Roman" w:hAnsi="Times New Roman" w:cs="Times New Roman"/>
          <w:sz w:val="24"/>
          <w:szCs w:val="24"/>
        </w:rPr>
        <w:t>service line</w:t>
      </w:r>
      <w:r w:rsidR="00801A2A" w:rsidRPr="00FC3028">
        <w:rPr>
          <w:rFonts w:ascii="Times New Roman" w:hAnsi="Times New Roman" w:cs="Times New Roman"/>
          <w:sz w:val="24"/>
          <w:szCs w:val="24"/>
        </w:rPr>
        <w:t xml:space="preserve"> leaks that</w:t>
      </w:r>
      <w:r w:rsidR="00A77061" w:rsidRPr="00FC3028">
        <w:rPr>
          <w:rFonts w:ascii="Times New Roman" w:hAnsi="Times New Roman" w:cs="Times New Roman"/>
          <w:sz w:val="24"/>
          <w:szCs w:val="24"/>
        </w:rPr>
        <w:t xml:space="preserve"> Duke</w:t>
      </w:r>
      <w:r w:rsidR="00801A2A" w:rsidRPr="00FC3028">
        <w:rPr>
          <w:rFonts w:ascii="Times New Roman" w:hAnsi="Times New Roman" w:cs="Times New Roman"/>
          <w:sz w:val="24"/>
          <w:szCs w:val="24"/>
        </w:rPr>
        <w:t xml:space="preserve"> reported</w:t>
      </w:r>
      <w:r w:rsidR="00A77061" w:rsidRPr="00FC3028">
        <w:rPr>
          <w:rFonts w:ascii="Times New Roman" w:hAnsi="Times New Roman" w:cs="Times New Roman"/>
          <w:sz w:val="24"/>
          <w:szCs w:val="24"/>
        </w:rPr>
        <w:t xml:space="preserve"> in 2006, 2007, 2008, 2009, 2010, 2011, 2012</w:t>
      </w:r>
      <w:r w:rsidR="005358F5">
        <w:rPr>
          <w:rFonts w:ascii="Times New Roman" w:hAnsi="Times New Roman" w:cs="Times New Roman"/>
          <w:sz w:val="24"/>
          <w:szCs w:val="24"/>
        </w:rPr>
        <w:t>,</w:t>
      </w:r>
      <w:r w:rsidR="00A77061" w:rsidRPr="00FC3028">
        <w:rPr>
          <w:rFonts w:ascii="Times New Roman" w:hAnsi="Times New Roman" w:cs="Times New Roman"/>
          <w:sz w:val="24"/>
          <w:szCs w:val="24"/>
        </w:rPr>
        <w:t xml:space="preserve"> or 2013.</w:t>
      </w:r>
      <w:r w:rsidR="00A77061" w:rsidRPr="00FC3028">
        <w:rPr>
          <w:rStyle w:val="FootnoteReference"/>
          <w:rFonts w:ascii="Times New Roman" w:hAnsi="Times New Roman" w:cs="Times New Roman"/>
          <w:sz w:val="24"/>
          <w:szCs w:val="24"/>
        </w:rPr>
        <w:footnoteReference w:id="122"/>
      </w:r>
      <w:r w:rsidR="00A77061" w:rsidRPr="00FC3028">
        <w:rPr>
          <w:rFonts w:ascii="Times New Roman" w:hAnsi="Times New Roman" w:cs="Times New Roman"/>
          <w:sz w:val="24"/>
          <w:szCs w:val="24"/>
        </w:rPr>
        <w:t xml:space="preserve"> Therefore, the amount of leaks on Duke’s service lines is in fact decreasing.</w:t>
      </w:r>
    </w:p>
    <w:p w:rsidR="00DF1842" w:rsidRDefault="00A77061" w:rsidP="00497054">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  </w:t>
      </w:r>
      <w:r w:rsidR="00CD7523" w:rsidRPr="00FC3028">
        <w:rPr>
          <w:rFonts w:ascii="Times New Roman" w:hAnsi="Times New Roman" w:cs="Times New Roman"/>
          <w:sz w:val="24"/>
          <w:szCs w:val="24"/>
        </w:rPr>
        <w:t>In addition</w:t>
      </w:r>
      <w:r w:rsidR="00290645" w:rsidRPr="00FC3028">
        <w:rPr>
          <w:rFonts w:ascii="Times New Roman" w:hAnsi="Times New Roman" w:cs="Times New Roman"/>
          <w:sz w:val="24"/>
          <w:szCs w:val="24"/>
        </w:rPr>
        <w:t xml:space="preserve">, </w:t>
      </w:r>
      <w:r w:rsidR="0044140D" w:rsidRPr="00FC3028">
        <w:rPr>
          <w:rFonts w:ascii="Times New Roman" w:hAnsi="Times New Roman" w:cs="Times New Roman"/>
          <w:sz w:val="24"/>
          <w:szCs w:val="24"/>
        </w:rPr>
        <w:t>the</w:t>
      </w:r>
      <w:r w:rsidR="00682889">
        <w:rPr>
          <w:rFonts w:ascii="Times New Roman" w:hAnsi="Times New Roman" w:cs="Times New Roman"/>
          <w:sz w:val="24"/>
          <w:szCs w:val="24"/>
        </w:rPr>
        <w:t xml:space="preserve"> amount of</w:t>
      </w:r>
      <w:r w:rsidR="00290645" w:rsidRPr="00FC3028">
        <w:rPr>
          <w:rFonts w:ascii="Times New Roman" w:hAnsi="Times New Roman" w:cs="Times New Roman"/>
          <w:sz w:val="24"/>
          <w:szCs w:val="24"/>
        </w:rPr>
        <w:t xml:space="preserve"> </w:t>
      </w:r>
      <w:r w:rsidR="00682889">
        <w:rPr>
          <w:rFonts w:ascii="Times New Roman" w:hAnsi="Times New Roman" w:cs="Times New Roman"/>
          <w:sz w:val="24"/>
          <w:szCs w:val="24"/>
        </w:rPr>
        <w:t xml:space="preserve">grade-one </w:t>
      </w:r>
      <w:r w:rsidR="00290645" w:rsidRPr="00FC3028">
        <w:rPr>
          <w:rFonts w:ascii="Times New Roman" w:hAnsi="Times New Roman" w:cs="Times New Roman"/>
          <w:sz w:val="24"/>
          <w:szCs w:val="24"/>
        </w:rPr>
        <w:t xml:space="preserve">hazardous leaks on Duke’s system </w:t>
      </w:r>
      <w:r w:rsidR="00CD7523" w:rsidRPr="00FC3028">
        <w:rPr>
          <w:rFonts w:ascii="Times New Roman" w:hAnsi="Times New Roman" w:cs="Times New Roman"/>
          <w:sz w:val="24"/>
          <w:szCs w:val="24"/>
        </w:rPr>
        <w:t>in recent year</w:t>
      </w:r>
      <w:r w:rsidR="0044140D" w:rsidRPr="00FC3028">
        <w:rPr>
          <w:rFonts w:ascii="Times New Roman" w:hAnsi="Times New Roman" w:cs="Times New Roman"/>
          <w:sz w:val="24"/>
          <w:szCs w:val="24"/>
        </w:rPr>
        <w:t>s</w:t>
      </w:r>
      <w:r w:rsidR="00682889">
        <w:rPr>
          <w:rFonts w:ascii="Times New Roman" w:hAnsi="Times New Roman" w:cs="Times New Roman"/>
          <w:sz w:val="24"/>
          <w:szCs w:val="24"/>
        </w:rPr>
        <w:t xml:space="preserve"> that</w:t>
      </w:r>
      <w:r w:rsidR="00CD7523" w:rsidRPr="00FC3028">
        <w:rPr>
          <w:rFonts w:ascii="Times New Roman" w:hAnsi="Times New Roman" w:cs="Times New Roman"/>
          <w:sz w:val="24"/>
          <w:szCs w:val="24"/>
        </w:rPr>
        <w:t xml:space="preserve"> were caused by </w:t>
      </w:r>
      <w:r w:rsidR="00682889">
        <w:rPr>
          <w:rFonts w:ascii="Times New Roman" w:hAnsi="Times New Roman" w:cs="Times New Roman"/>
          <w:sz w:val="24"/>
          <w:szCs w:val="24"/>
        </w:rPr>
        <w:t>the three</w:t>
      </w:r>
      <w:r w:rsidR="00891A88">
        <w:rPr>
          <w:rFonts w:ascii="Times New Roman" w:hAnsi="Times New Roman" w:cs="Times New Roman"/>
          <w:sz w:val="24"/>
          <w:szCs w:val="24"/>
        </w:rPr>
        <w:t xml:space="preserve"> threats the ASRP is designed to</w:t>
      </w:r>
      <w:r w:rsidR="00682889">
        <w:rPr>
          <w:rFonts w:ascii="Times New Roman" w:hAnsi="Times New Roman" w:cs="Times New Roman"/>
          <w:sz w:val="24"/>
          <w:szCs w:val="24"/>
        </w:rPr>
        <w:t xml:space="preserve"> combat -- </w:t>
      </w:r>
      <w:r w:rsidR="00CD7523" w:rsidRPr="00FC3028">
        <w:rPr>
          <w:rFonts w:ascii="Times New Roman" w:hAnsi="Times New Roman" w:cs="Times New Roman"/>
          <w:sz w:val="24"/>
          <w:szCs w:val="24"/>
        </w:rPr>
        <w:t>corrosion</w:t>
      </w:r>
      <w:r w:rsidR="00682889">
        <w:rPr>
          <w:rFonts w:ascii="Times New Roman" w:hAnsi="Times New Roman" w:cs="Times New Roman"/>
          <w:sz w:val="24"/>
          <w:szCs w:val="24"/>
        </w:rPr>
        <w:t>, natural forces, and material &amp; welds --  are few and have been decreasing</w:t>
      </w:r>
      <w:r w:rsidR="00CD7523" w:rsidRPr="00FC3028">
        <w:rPr>
          <w:rFonts w:ascii="Times New Roman" w:hAnsi="Times New Roman" w:cs="Times New Roman"/>
          <w:sz w:val="24"/>
          <w:szCs w:val="24"/>
        </w:rPr>
        <w:t>.</w:t>
      </w:r>
      <w:r w:rsidR="00290645" w:rsidRPr="00FC3028">
        <w:rPr>
          <w:rFonts w:ascii="Times New Roman" w:hAnsi="Times New Roman" w:cs="Times New Roman"/>
          <w:sz w:val="24"/>
          <w:szCs w:val="24"/>
        </w:rPr>
        <w:t xml:space="preserve"> </w:t>
      </w:r>
      <w:r w:rsidR="00682889">
        <w:rPr>
          <w:rFonts w:ascii="Times New Roman" w:hAnsi="Times New Roman" w:cs="Times New Roman"/>
          <w:sz w:val="24"/>
          <w:szCs w:val="24"/>
        </w:rPr>
        <w:t>Specifically, t</w:t>
      </w:r>
      <w:r w:rsidR="00B83341">
        <w:rPr>
          <w:rFonts w:ascii="Times New Roman" w:hAnsi="Times New Roman" w:cs="Times New Roman"/>
          <w:sz w:val="24"/>
          <w:szCs w:val="24"/>
        </w:rPr>
        <w:t>he number of grade-</w:t>
      </w:r>
      <w:r w:rsidR="00580680" w:rsidRPr="00FC3028">
        <w:rPr>
          <w:rFonts w:ascii="Times New Roman" w:hAnsi="Times New Roman" w:cs="Times New Roman"/>
          <w:sz w:val="24"/>
          <w:szCs w:val="24"/>
        </w:rPr>
        <w:t xml:space="preserve">one leaks that were caused by </w:t>
      </w:r>
      <w:r w:rsidR="00682889" w:rsidRPr="00FC3028">
        <w:rPr>
          <w:rFonts w:ascii="Times New Roman" w:hAnsi="Times New Roman" w:cs="Times New Roman"/>
          <w:sz w:val="24"/>
          <w:szCs w:val="24"/>
        </w:rPr>
        <w:t>corrosion</w:t>
      </w:r>
      <w:r w:rsidR="00682889">
        <w:rPr>
          <w:rFonts w:ascii="Times New Roman" w:hAnsi="Times New Roman" w:cs="Times New Roman"/>
          <w:sz w:val="24"/>
          <w:szCs w:val="24"/>
        </w:rPr>
        <w:t>, natural forces, or material &amp; welds combined</w:t>
      </w:r>
      <w:r w:rsidR="00580680" w:rsidRPr="00FC3028">
        <w:rPr>
          <w:rFonts w:ascii="Times New Roman" w:hAnsi="Times New Roman" w:cs="Times New Roman"/>
          <w:sz w:val="24"/>
          <w:szCs w:val="24"/>
        </w:rPr>
        <w:t xml:space="preserve"> in years 2012 through 2014 </w:t>
      </w:r>
      <w:r w:rsidR="00682889">
        <w:rPr>
          <w:rFonts w:ascii="Times New Roman" w:hAnsi="Times New Roman" w:cs="Times New Roman"/>
          <w:sz w:val="24"/>
          <w:szCs w:val="24"/>
        </w:rPr>
        <w:t>were</w:t>
      </w:r>
      <w:r w:rsidR="00580680" w:rsidRPr="00FC3028">
        <w:rPr>
          <w:rFonts w:ascii="Times New Roman" w:hAnsi="Times New Roman" w:cs="Times New Roman"/>
          <w:sz w:val="24"/>
          <w:szCs w:val="24"/>
        </w:rPr>
        <w:t xml:space="preserve"> </w:t>
      </w:r>
      <w:r w:rsidR="00682889">
        <w:rPr>
          <w:rFonts w:ascii="Times New Roman" w:hAnsi="Times New Roman" w:cs="Times New Roman"/>
          <w:sz w:val="24"/>
          <w:szCs w:val="24"/>
        </w:rPr>
        <w:t>444</w:t>
      </w:r>
      <w:r w:rsidR="00580680" w:rsidRPr="00FC3028">
        <w:rPr>
          <w:rFonts w:ascii="Times New Roman" w:hAnsi="Times New Roman" w:cs="Times New Roman"/>
          <w:sz w:val="24"/>
          <w:szCs w:val="24"/>
        </w:rPr>
        <w:t xml:space="preserve">, </w:t>
      </w:r>
      <w:r w:rsidR="00682889">
        <w:rPr>
          <w:rFonts w:ascii="Times New Roman" w:hAnsi="Times New Roman" w:cs="Times New Roman"/>
          <w:sz w:val="24"/>
          <w:szCs w:val="24"/>
        </w:rPr>
        <w:t>304</w:t>
      </w:r>
      <w:r w:rsidR="00580680" w:rsidRPr="00FC3028">
        <w:rPr>
          <w:rFonts w:ascii="Times New Roman" w:hAnsi="Times New Roman" w:cs="Times New Roman"/>
          <w:sz w:val="24"/>
          <w:szCs w:val="24"/>
        </w:rPr>
        <w:t xml:space="preserve">, and </w:t>
      </w:r>
      <w:r w:rsidR="00682889">
        <w:rPr>
          <w:rFonts w:ascii="Times New Roman" w:hAnsi="Times New Roman" w:cs="Times New Roman"/>
          <w:sz w:val="24"/>
          <w:szCs w:val="24"/>
        </w:rPr>
        <w:t>315</w:t>
      </w:r>
      <w:r w:rsidR="00580680" w:rsidRPr="00FC3028">
        <w:rPr>
          <w:rFonts w:ascii="Times New Roman" w:hAnsi="Times New Roman" w:cs="Times New Roman"/>
          <w:sz w:val="24"/>
          <w:szCs w:val="24"/>
        </w:rPr>
        <w:t>, respectively.</w:t>
      </w:r>
      <w:r w:rsidR="00580680" w:rsidRPr="00FC3028">
        <w:rPr>
          <w:rStyle w:val="FootnoteReference"/>
          <w:rFonts w:ascii="Times New Roman" w:hAnsi="Times New Roman" w:cs="Times New Roman"/>
          <w:sz w:val="24"/>
          <w:szCs w:val="24"/>
        </w:rPr>
        <w:footnoteReference w:id="123"/>
      </w:r>
      <w:r w:rsidR="00580680" w:rsidRPr="00FC3028">
        <w:rPr>
          <w:rFonts w:ascii="Times New Roman" w:hAnsi="Times New Roman" w:cs="Times New Roman"/>
          <w:sz w:val="24"/>
          <w:szCs w:val="24"/>
        </w:rPr>
        <w:t xml:space="preserve"> </w:t>
      </w:r>
      <w:r w:rsidR="00682889">
        <w:rPr>
          <w:rFonts w:ascii="Times New Roman" w:hAnsi="Times New Roman" w:cs="Times New Roman"/>
          <w:sz w:val="24"/>
          <w:szCs w:val="24"/>
        </w:rPr>
        <w:t>As shown in the table below,</w:t>
      </w:r>
      <w:r w:rsidR="00580680" w:rsidRPr="00FC3028">
        <w:rPr>
          <w:rFonts w:ascii="Times New Roman" w:hAnsi="Times New Roman" w:cs="Times New Roman"/>
          <w:sz w:val="24"/>
          <w:szCs w:val="24"/>
        </w:rPr>
        <w:t xml:space="preserve"> the percentage of </w:t>
      </w:r>
      <w:r w:rsidR="0044140D" w:rsidRPr="00FC3028">
        <w:rPr>
          <w:rFonts w:ascii="Times New Roman" w:hAnsi="Times New Roman" w:cs="Times New Roman"/>
          <w:sz w:val="24"/>
          <w:szCs w:val="24"/>
        </w:rPr>
        <w:t xml:space="preserve">grade-one </w:t>
      </w:r>
      <w:r w:rsidR="00580680" w:rsidRPr="00FC3028">
        <w:rPr>
          <w:rFonts w:ascii="Times New Roman" w:hAnsi="Times New Roman" w:cs="Times New Roman"/>
          <w:sz w:val="24"/>
          <w:szCs w:val="24"/>
        </w:rPr>
        <w:t xml:space="preserve">hazardous leaks on Duke service lines caused by </w:t>
      </w:r>
      <w:r w:rsidR="00682889" w:rsidRPr="00FC3028">
        <w:rPr>
          <w:rFonts w:ascii="Times New Roman" w:hAnsi="Times New Roman" w:cs="Times New Roman"/>
          <w:sz w:val="24"/>
          <w:szCs w:val="24"/>
        </w:rPr>
        <w:t>corrosion</w:t>
      </w:r>
      <w:r w:rsidR="00682889">
        <w:rPr>
          <w:rFonts w:ascii="Times New Roman" w:hAnsi="Times New Roman" w:cs="Times New Roman"/>
          <w:sz w:val="24"/>
          <w:szCs w:val="24"/>
        </w:rPr>
        <w:t xml:space="preserve">, natural forces, or material &amp; welds </w:t>
      </w:r>
      <w:r w:rsidR="00580680" w:rsidRPr="00FC3028">
        <w:rPr>
          <w:rFonts w:ascii="Times New Roman" w:hAnsi="Times New Roman" w:cs="Times New Roman"/>
          <w:sz w:val="24"/>
          <w:szCs w:val="24"/>
        </w:rPr>
        <w:t>in the year</w:t>
      </w:r>
      <w:r w:rsidR="00554C97" w:rsidRPr="00FC3028">
        <w:rPr>
          <w:rFonts w:ascii="Times New Roman" w:hAnsi="Times New Roman" w:cs="Times New Roman"/>
          <w:sz w:val="24"/>
          <w:szCs w:val="24"/>
        </w:rPr>
        <w:t>s</w:t>
      </w:r>
      <w:r w:rsidR="00580680" w:rsidRPr="00FC3028">
        <w:rPr>
          <w:rFonts w:ascii="Times New Roman" w:hAnsi="Times New Roman" w:cs="Times New Roman"/>
          <w:sz w:val="24"/>
          <w:szCs w:val="24"/>
        </w:rPr>
        <w:t xml:space="preserve"> 2012, 2013, and 2014, were </w:t>
      </w:r>
      <w:r w:rsidR="00682889">
        <w:rPr>
          <w:rFonts w:ascii="Times New Roman" w:hAnsi="Times New Roman" w:cs="Times New Roman"/>
          <w:sz w:val="24"/>
          <w:szCs w:val="24"/>
        </w:rPr>
        <w:t xml:space="preserve">30.2 </w:t>
      </w:r>
      <w:r w:rsidR="00580680" w:rsidRPr="00FC3028">
        <w:rPr>
          <w:rFonts w:ascii="Times New Roman" w:hAnsi="Times New Roman" w:cs="Times New Roman"/>
          <w:sz w:val="24"/>
          <w:szCs w:val="24"/>
        </w:rPr>
        <w:t xml:space="preserve"> percent, </w:t>
      </w:r>
      <w:r w:rsidR="00682889">
        <w:rPr>
          <w:rFonts w:ascii="Times New Roman" w:hAnsi="Times New Roman" w:cs="Times New Roman"/>
          <w:sz w:val="24"/>
          <w:szCs w:val="24"/>
        </w:rPr>
        <w:t xml:space="preserve">13.4 </w:t>
      </w:r>
      <w:r w:rsidR="00580680" w:rsidRPr="00FC3028">
        <w:rPr>
          <w:rFonts w:ascii="Times New Roman" w:hAnsi="Times New Roman" w:cs="Times New Roman"/>
          <w:sz w:val="24"/>
          <w:szCs w:val="24"/>
        </w:rPr>
        <w:t xml:space="preserve">percent, and </w:t>
      </w:r>
      <w:r w:rsidR="00682889">
        <w:rPr>
          <w:rFonts w:ascii="Times New Roman" w:hAnsi="Times New Roman" w:cs="Times New Roman"/>
          <w:sz w:val="24"/>
          <w:szCs w:val="24"/>
        </w:rPr>
        <w:t xml:space="preserve">17.7 </w:t>
      </w:r>
      <w:r w:rsidR="00580680" w:rsidRPr="00FC3028">
        <w:rPr>
          <w:rFonts w:ascii="Times New Roman" w:hAnsi="Times New Roman" w:cs="Times New Roman"/>
          <w:sz w:val="24"/>
          <w:szCs w:val="24"/>
        </w:rPr>
        <w:t xml:space="preserve"> percent, respectively.</w:t>
      </w:r>
      <w:r w:rsidR="00580680" w:rsidRPr="00FC3028">
        <w:rPr>
          <w:rStyle w:val="FootnoteReference"/>
          <w:rFonts w:ascii="Times New Roman" w:hAnsi="Times New Roman" w:cs="Times New Roman"/>
          <w:sz w:val="24"/>
          <w:szCs w:val="24"/>
        </w:rPr>
        <w:footnoteReference w:id="124"/>
      </w:r>
      <w:r w:rsidR="00580680" w:rsidRPr="00FC3028">
        <w:rPr>
          <w:rFonts w:ascii="Times New Roman" w:hAnsi="Times New Roman" w:cs="Times New Roman"/>
          <w:sz w:val="24"/>
          <w:szCs w:val="24"/>
        </w:rPr>
        <w:t xml:space="preserve"> </w:t>
      </w:r>
    </w:p>
    <w:p w:rsidR="00682889" w:rsidRDefault="00682889" w:rsidP="006828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Leaks by Cause (2012 – 2014)</w:t>
      </w:r>
    </w:p>
    <w:tbl>
      <w:tblPr>
        <w:tblStyle w:val="TableGrid"/>
        <w:tblW w:w="0" w:type="auto"/>
        <w:tblLook w:val="04A0" w:firstRow="1" w:lastRow="0" w:firstColumn="1" w:lastColumn="0" w:noHBand="0" w:noVBand="1"/>
      </w:tblPr>
      <w:tblGrid>
        <w:gridCol w:w="946"/>
        <w:gridCol w:w="1544"/>
        <w:gridCol w:w="1210"/>
        <w:gridCol w:w="940"/>
        <w:gridCol w:w="1371"/>
        <w:gridCol w:w="936"/>
        <w:gridCol w:w="1909"/>
      </w:tblGrid>
      <w:tr w:rsidR="00682889" w:rsidTr="00D44B10">
        <w:tc>
          <w:tcPr>
            <w:tcW w:w="1008" w:type="dxa"/>
          </w:tcPr>
          <w:p w:rsidR="00682889" w:rsidRDefault="00682889" w:rsidP="00D44B10">
            <w:pPr>
              <w:rPr>
                <w:rFonts w:ascii="Times New Roman" w:hAnsi="Times New Roman" w:cs="Times New Roman"/>
                <w:sz w:val="24"/>
                <w:szCs w:val="24"/>
              </w:rPr>
            </w:pPr>
          </w:p>
        </w:tc>
        <w:tc>
          <w:tcPr>
            <w:tcW w:w="171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Total Grade-one Leaks</w:t>
            </w:r>
          </w:p>
        </w:tc>
        <w:tc>
          <w:tcPr>
            <w:tcW w:w="1219"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Corrosion</w:t>
            </w:r>
          </w:p>
        </w:tc>
        <w:tc>
          <w:tcPr>
            <w:tcW w:w="941"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Natural Forces</w:t>
            </w:r>
          </w:p>
        </w:tc>
        <w:tc>
          <w:tcPr>
            <w:tcW w:w="144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Material/ Weld</w:t>
            </w:r>
          </w:p>
        </w:tc>
        <w:tc>
          <w:tcPr>
            <w:tcW w:w="99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Total</w:t>
            </w:r>
          </w:p>
        </w:tc>
        <w:tc>
          <w:tcPr>
            <w:tcW w:w="207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Percentage of Total Leaks (Grade-one)</w:t>
            </w:r>
          </w:p>
        </w:tc>
      </w:tr>
      <w:tr w:rsidR="00682889" w:rsidTr="00D44B10">
        <w:tc>
          <w:tcPr>
            <w:tcW w:w="1008"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2012</w:t>
            </w:r>
          </w:p>
        </w:tc>
        <w:tc>
          <w:tcPr>
            <w:tcW w:w="171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1472</w:t>
            </w:r>
          </w:p>
        </w:tc>
        <w:tc>
          <w:tcPr>
            <w:tcW w:w="1219"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101</w:t>
            </w:r>
          </w:p>
        </w:tc>
        <w:tc>
          <w:tcPr>
            <w:tcW w:w="941"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196</w:t>
            </w:r>
          </w:p>
        </w:tc>
        <w:tc>
          <w:tcPr>
            <w:tcW w:w="144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147</w:t>
            </w:r>
          </w:p>
        </w:tc>
        <w:tc>
          <w:tcPr>
            <w:tcW w:w="99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444</w:t>
            </w:r>
          </w:p>
        </w:tc>
        <w:tc>
          <w:tcPr>
            <w:tcW w:w="207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30.2%</w:t>
            </w:r>
          </w:p>
        </w:tc>
      </w:tr>
      <w:tr w:rsidR="00682889" w:rsidTr="00D44B10">
        <w:tc>
          <w:tcPr>
            <w:tcW w:w="1008"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2013</w:t>
            </w:r>
          </w:p>
        </w:tc>
        <w:tc>
          <w:tcPr>
            <w:tcW w:w="171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2271</w:t>
            </w:r>
          </w:p>
        </w:tc>
        <w:tc>
          <w:tcPr>
            <w:tcW w:w="1219"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172</w:t>
            </w:r>
          </w:p>
        </w:tc>
        <w:tc>
          <w:tcPr>
            <w:tcW w:w="941"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36</w:t>
            </w:r>
          </w:p>
        </w:tc>
        <w:tc>
          <w:tcPr>
            <w:tcW w:w="144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96</w:t>
            </w:r>
          </w:p>
        </w:tc>
        <w:tc>
          <w:tcPr>
            <w:tcW w:w="99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304</w:t>
            </w:r>
          </w:p>
        </w:tc>
        <w:tc>
          <w:tcPr>
            <w:tcW w:w="207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13.4%</w:t>
            </w:r>
          </w:p>
        </w:tc>
      </w:tr>
      <w:tr w:rsidR="00682889" w:rsidTr="00D44B10">
        <w:tc>
          <w:tcPr>
            <w:tcW w:w="1008"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2014</w:t>
            </w:r>
          </w:p>
        </w:tc>
        <w:tc>
          <w:tcPr>
            <w:tcW w:w="171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1776</w:t>
            </w:r>
          </w:p>
        </w:tc>
        <w:tc>
          <w:tcPr>
            <w:tcW w:w="1219"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209</w:t>
            </w:r>
          </w:p>
        </w:tc>
        <w:tc>
          <w:tcPr>
            <w:tcW w:w="941"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62</w:t>
            </w:r>
          </w:p>
        </w:tc>
        <w:tc>
          <w:tcPr>
            <w:tcW w:w="144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44</w:t>
            </w:r>
          </w:p>
        </w:tc>
        <w:tc>
          <w:tcPr>
            <w:tcW w:w="99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315</w:t>
            </w:r>
          </w:p>
        </w:tc>
        <w:tc>
          <w:tcPr>
            <w:tcW w:w="2070" w:type="dxa"/>
          </w:tcPr>
          <w:p w:rsidR="00682889" w:rsidRDefault="00682889" w:rsidP="00D44B10">
            <w:pPr>
              <w:rPr>
                <w:rFonts w:ascii="Times New Roman" w:hAnsi="Times New Roman" w:cs="Times New Roman"/>
                <w:sz w:val="24"/>
                <w:szCs w:val="24"/>
              </w:rPr>
            </w:pPr>
            <w:r>
              <w:rPr>
                <w:rFonts w:ascii="Times New Roman" w:hAnsi="Times New Roman" w:cs="Times New Roman"/>
                <w:sz w:val="24"/>
                <w:szCs w:val="24"/>
              </w:rPr>
              <w:t>17.7%</w:t>
            </w:r>
          </w:p>
        </w:tc>
      </w:tr>
    </w:tbl>
    <w:p w:rsidR="00682889" w:rsidRDefault="00682889" w:rsidP="00FF2537">
      <w:pPr>
        <w:spacing w:after="0" w:line="480" w:lineRule="auto"/>
        <w:ind w:firstLine="720"/>
        <w:rPr>
          <w:rFonts w:ascii="Times New Roman" w:hAnsi="Times New Roman" w:cs="Times New Roman"/>
          <w:sz w:val="24"/>
          <w:szCs w:val="24"/>
        </w:rPr>
      </w:pPr>
    </w:p>
    <w:p w:rsidR="00682889" w:rsidRPr="00FC3028" w:rsidRDefault="00682889" w:rsidP="00FF25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6B19E3">
        <w:rPr>
          <w:rFonts w:ascii="Times New Roman" w:hAnsi="Times New Roman" w:cs="Times New Roman"/>
          <w:sz w:val="24"/>
          <w:szCs w:val="24"/>
        </w:rPr>
        <w:t>ese</w:t>
      </w:r>
      <w:r>
        <w:rPr>
          <w:rFonts w:ascii="Times New Roman" w:hAnsi="Times New Roman" w:cs="Times New Roman"/>
          <w:sz w:val="24"/>
          <w:szCs w:val="24"/>
        </w:rPr>
        <w:t xml:space="preserve"> data prove that these types of leaks are a</w:t>
      </w:r>
      <w:r w:rsidRPr="00FC3028">
        <w:rPr>
          <w:rFonts w:ascii="Times New Roman" w:hAnsi="Times New Roman" w:cs="Times New Roman"/>
          <w:sz w:val="24"/>
          <w:szCs w:val="24"/>
        </w:rPr>
        <w:t xml:space="preserve"> very small percentage of </w:t>
      </w:r>
      <w:r w:rsidR="00B83341">
        <w:rPr>
          <w:rFonts w:ascii="Times New Roman" w:hAnsi="Times New Roman" w:cs="Times New Roman"/>
          <w:sz w:val="24"/>
          <w:szCs w:val="24"/>
        </w:rPr>
        <w:t>grade-</w:t>
      </w:r>
      <w:r>
        <w:rPr>
          <w:rFonts w:ascii="Times New Roman" w:hAnsi="Times New Roman" w:cs="Times New Roman"/>
          <w:sz w:val="24"/>
          <w:szCs w:val="24"/>
        </w:rPr>
        <w:t>one leaks in Duke’s system and declining in occurrence</w:t>
      </w:r>
      <w:r w:rsidRPr="00FC3028">
        <w:rPr>
          <w:rFonts w:ascii="Times New Roman" w:hAnsi="Times New Roman" w:cs="Times New Roman"/>
          <w:sz w:val="24"/>
          <w:szCs w:val="24"/>
        </w:rPr>
        <w:t>.</w:t>
      </w:r>
    </w:p>
    <w:p w:rsidR="00CF704D" w:rsidRPr="00FC3028" w:rsidRDefault="00A20C61" w:rsidP="00A62460">
      <w:pPr>
        <w:pStyle w:val="Heading4"/>
      </w:pPr>
      <w:bookmarkStart w:id="23" w:name="_Toc437441474"/>
      <w:r>
        <w:t>e</w:t>
      </w:r>
      <w:r w:rsidR="00A62460">
        <w:t>.</w:t>
      </w:r>
      <w:r w:rsidR="00A62460">
        <w:tab/>
      </w:r>
      <w:r w:rsidR="00CF704D" w:rsidRPr="00FC3028">
        <w:t xml:space="preserve">Of the service line leaks that do occur, the </w:t>
      </w:r>
      <w:r w:rsidR="00534036">
        <w:t>likelihood that of an</w:t>
      </w:r>
      <w:r w:rsidR="00CF704D" w:rsidRPr="00FC3028">
        <w:t xml:space="preserve"> “incident”</w:t>
      </w:r>
      <w:r w:rsidR="00C036A3">
        <w:t xml:space="preserve"> that would harm customers </w:t>
      </w:r>
      <w:r w:rsidR="00CF704D" w:rsidRPr="00FC3028">
        <w:t>is almost non-existent.</w:t>
      </w:r>
      <w:bookmarkEnd w:id="23"/>
    </w:p>
    <w:p w:rsidR="00CF704D" w:rsidRPr="00FC3028" w:rsidRDefault="00CF704D" w:rsidP="00CF704D">
      <w:pPr>
        <w:pStyle w:val="BodyTextIndent3"/>
        <w:widowControl w:val="0"/>
        <w:spacing w:line="480" w:lineRule="auto"/>
        <w:ind w:right="-24"/>
        <w:rPr>
          <w:szCs w:val="24"/>
        </w:rPr>
      </w:pPr>
      <w:r w:rsidRPr="00FC3028">
        <w:rPr>
          <w:szCs w:val="24"/>
        </w:rPr>
        <w:t>While service lines are generally not hazardous</w:t>
      </w:r>
      <w:r w:rsidR="00562D19" w:rsidRPr="00FC3028">
        <w:rPr>
          <w:szCs w:val="24"/>
        </w:rPr>
        <w:t xml:space="preserve"> and the leak rate on Duke’s service lines is decreasing</w:t>
      </w:r>
      <w:r w:rsidRPr="00FC3028">
        <w:rPr>
          <w:szCs w:val="24"/>
        </w:rPr>
        <w:t>, it is possible for an incident</w:t>
      </w:r>
      <w:r w:rsidRPr="00FC3028">
        <w:rPr>
          <w:rStyle w:val="FootnoteReference"/>
          <w:szCs w:val="24"/>
        </w:rPr>
        <w:footnoteReference w:id="125"/>
      </w:r>
      <w:r w:rsidRPr="00FC3028">
        <w:rPr>
          <w:szCs w:val="24"/>
        </w:rPr>
        <w:t xml:space="preserve"> to occur as a result of corrosion on a service line. Fortunately, incidents are extremely rare. In fact, in its history, Duke could only cite to one corrosion-related service line incident in Ohio!</w:t>
      </w:r>
      <w:r w:rsidRPr="00FC3028">
        <w:rPr>
          <w:rStyle w:val="FootnoteReference"/>
          <w:szCs w:val="24"/>
        </w:rPr>
        <w:footnoteReference w:id="126"/>
      </w:r>
      <w:r w:rsidRPr="00FC3028">
        <w:rPr>
          <w:szCs w:val="24"/>
        </w:rPr>
        <w:t xml:space="preserve"> This statistic is not an anomaly as it was corroborated by data collected by Staff</w:t>
      </w:r>
      <w:r w:rsidR="00986764" w:rsidRPr="00FC3028">
        <w:rPr>
          <w:szCs w:val="24"/>
        </w:rPr>
        <w:t>.</w:t>
      </w:r>
      <w:r w:rsidRPr="00FC3028">
        <w:rPr>
          <w:rStyle w:val="FootnoteReference"/>
          <w:szCs w:val="24"/>
        </w:rPr>
        <w:footnoteReference w:id="127"/>
      </w:r>
      <w:r w:rsidR="00986764" w:rsidRPr="00FC3028">
        <w:rPr>
          <w:szCs w:val="24"/>
        </w:rPr>
        <w:t xml:space="preserve"> </w:t>
      </w:r>
      <w:r w:rsidRPr="00FC3028">
        <w:rPr>
          <w:szCs w:val="24"/>
        </w:rPr>
        <w:t xml:space="preserve"> </w:t>
      </w:r>
    </w:p>
    <w:p w:rsidR="00CF704D" w:rsidRPr="00FC3028" w:rsidRDefault="00CF704D" w:rsidP="00CF704D">
      <w:pPr>
        <w:pStyle w:val="BodyTextIndent3"/>
        <w:widowControl w:val="0"/>
        <w:spacing w:line="480" w:lineRule="auto"/>
        <w:ind w:right="-24"/>
        <w:rPr>
          <w:szCs w:val="24"/>
        </w:rPr>
      </w:pPr>
      <w:r w:rsidRPr="00FC3028">
        <w:rPr>
          <w:szCs w:val="24"/>
        </w:rPr>
        <w:t xml:space="preserve">Data from the U.S. DOT show that during the </w:t>
      </w:r>
      <w:r w:rsidR="008D67F4">
        <w:rPr>
          <w:szCs w:val="24"/>
        </w:rPr>
        <w:t>10</w:t>
      </w:r>
      <w:r w:rsidR="008D67F4" w:rsidRPr="00FC3028">
        <w:rPr>
          <w:szCs w:val="24"/>
        </w:rPr>
        <w:t xml:space="preserve"> </w:t>
      </w:r>
      <w:r w:rsidRPr="00FC3028">
        <w:rPr>
          <w:szCs w:val="24"/>
        </w:rPr>
        <w:t>years from 2005 to 2014 there were only 217,336</w:t>
      </w:r>
      <w:r w:rsidRPr="00FC3028">
        <w:rPr>
          <w:rStyle w:val="FootnoteReference"/>
          <w:szCs w:val="24"/>
        </w:rPr>
        <w:footnoteReference w:id="128"/>
      </w:r>
      <w:r w:rsidRPr="00FC3028">
        <w:rPr>
          <w:szCs w:val="24"/>
        </w:rPr>
        <w:t xml:space="preserve"> corrosion-related “leaks” </w:t>
      </w:r>
      <w:r w:rsidR="00DA5E28">
        <w:rPr>
          <w:szCs w:val="24"/>
        </w:rPr>
        <w:t xml:space="preserve">of any kind </w:t>
      </w:r>
      <w:r w:rsidRPr="00FC3028">
        <w:rPr>
          <w:szCs w:val="24"/>
        </w:rPr>
        <w:t>on Ohio gas distribution lines.</w:t>
      </w:r>
      <w:r w:rsidRPr="00FC3028">
        <w:rPr>
          <w:rStyle w:val="FootnoteReference"/>
          <w:szCs w:val="24"/>
        </w:rPr>
        <w:footnoteReference w:id="129"/>
      </w:r>
      <w:r w:rsidRPr="00FC3028">
        <w:rPr>
          <w:szCs w:val="24"/>
        </w:rPr>
        <w:t xml:space="preserve"> However, only four of those leaks resulted in corrosion-related natural gas line “incidents,” of any type.</w:t>
      </w:r>
      <w:r w:rsidRPr="00FC3028">
        <w:rPr>
          <w:rStyle w:val="FootnoteReference"/>
          <w:szCs w:val="24"/>
        </w:rPr>
        <w:footnoteReference w:id="130"/>
      </w:r>
      <w:r w:rsidRPr="00FC3028">
        <w:rPr>
          <w:szCs w:val="24"/>
        </w:rPr>
        <w:t xml:space="preserve"> Thus, statistically, for every corrosion-related leak on an Ohio gas distribution line there is only a 0.0018 percent</w:t>
      </w:r>
      <w:r w:rsidRPr="00FC3028">
        <w:rPr>
          <w:rStyle w:val="FootnoteReference"/>
          <w:szCs w:val="24"/>
        </w:rPr>
        <w:footnoteReference w:id="131"/>
      </w:r>
      <w:r w:rsidRPr="00FC3028">
        <w:rPr>
          <w:szCs w:val="24"/>
        </w:rPr>
        <w:t xml:space="preserve"> chance that that leak will result in an “incident.” </w:t>
      </w:r>
      <w:r w:rsidR="004226C9">
        <w:rPr>
          <w:szCs w:val="24"/>
        </w:rPr>
        <w:t>Moreover</w:t>
      </w:r>
      <w:r w:rsidRPr="00FC3028">
        <w:rPr>
          <w:szCs w:val="24"/>
        </w:rPr>
        <w:t>, not one of the four incid</w:t>
      </w:r>
      <w:r w:rsidR="004226C9">
        <w:rPr>
          <w:szCs w:val="24"/>
        </w:rPr>
        <w:t xml:space="preserve">ents occurred on Duke’s system. </w:t>
      </w:r>
      <w:r w:rsidR="00DA5E28">
        <w:rPr>
          <w:szCs w:val="24"/>
        </w:rPr>
        <w:t>And</w:t>
      </w:r>
      <w:r w:rsidRPr="00FC3028">
        <w:rPr>
          <w:szCs w:val="24"/>
        </w:rPr>
        <w:t>, there is no documentation that any of the four incidents were related to</w:t>
      </w:r>
      <w:r w:rsidR="00986764" w:rsidRPr="00FC3028">
        <w:rPr>
          <w:szCs w:val="24"/>
        </w:rPr>
        <w:t xml:space="preserve"> corrosion issues on</w:t>
      </w:r>
      <w:r w:rsidRPr="00FC3028">
        <w:rPr>
          <w:szCs w:val="24"/>
        </w:rPr>
        <w:t xml:space="preserve"> service lines. This means that the amount of corrosion-related incidents on service lines in Ohio from 2004 to 2014 is likely less than </w:t>
      </w:r>
      <w:r w:rsidR="008D67F4">
        <w:rPr>
          <w:szCs w:val="24"/>
        </w:rPr>
        <w:t>four</w:t>
      </w:r>
      <w:r w:rsidR="008D67F4" w:rsidRPr="00FC3028">
        <w:rPr>
          <w:szCs w:val="24"/>
        </w:rPr>
        <w:t xml:space="preserve"> </w:t>
      </w:r>
      <w:r w:rsidR="00986764" w:rsidRPr="00FC3028">
        <w:rPr>
          <w:szCs w:val="24"/>
        </w:rPr>
        <w:t>percent</w:t>
      </w:r>
      <w:r w:rsidRPr="00FC3028">
        <w:rPr>
          <w:szCs w:val="24"/>
        </w:rPr>
        <w:t xml:space="preserve"> and the </w:t>
      </w:r>
      <w:r w:rsidR="00986764" w:rsidRPr="00FC3028">
        <w:rPr>
          <w:szCs w:val="24"/>
        </w:rPr>
        <w:t>likel</w:t>
      </w:r>
      <w:r w:rsidR="004E1C4E">
        <w:rPr>
          <w:szCs w:val="24"/>
        </w:rPr>
        <w:t>i</w:t>
      </w:r>
      <w:r w:rsidR="00986764" w:rsidRPr="00FC3028">
        <w:rPr>
          <w:szCs w:val="24"/>
        </w:rPr>
        <w:t>hood</w:t>
      </w:r>
      <w:r w:rsidRPr="00FC3028">
        <w:rPr>
          <w:szCs w:val="24"/>
        </w:rPr>
        <w:t xml:space="preserve"> that a corrosion-related leak on a service line will result in an incident is likely less than 0.0018 percent.</w:t>
      </w:r>
    </w:p>
    <w:p w:rsidR="000E42BF" w:rsidRDefault="000E42BF">
      <w:pPr>
        <w:rPr>
          <w:rFonts w:ascii="Times New Roman" w:eastAsia="Times New Roman" w:hAnsi="Times New Roman" w:cs="Times New Roman"/>
          <w:sz w:val="24"/>
          <w:szCs w:val="24"/>
        </w:rPr>
      </w:pPr>
      <w:r>
        <w:rPr>
          <w:szCs w:val="24"/>
        </w:rPr>
        <w:br w:type="page"/>
      </w:r>
    </w:p>
    <w:p w:rsidR="00CF704D" w:rsidRPr="00FC3028" w:rsidRDefault="00CF704D" w:rsidP="00CF704D">
      <w:pPr>
        <w:pStyle w:val="BodyTextIndent3"/>
        <w:widowControl w:val="0"/>
        <w:spacing w:line="480" w:lineRule="auto"/>
        <w:ind w:right="-24"/>
        <w:rPr>
          <w:szCs w:val="24"/>
        </w:rPr>
      </w:pPr>
      <w:r w:rsidRPr="00FC3028">
        <w:rPr>
          <w:szCs w:val="24"/>
        </w:rPr>
        <w:t xml:space="preserve">The rarity of an incident resulting from service line corrosion continues when data from the entire country is examined. </w:t>
      </w:r>
      <w:r w:rsidR="00353804">
        <w:rPr>
          <w:szCs w:val="24"/>
        </w:rPr>
        <w:t>As OCC witness Williams stated, f</w:t>
      </w:r>
      <w:r w:rsidRPr="00FC3028">
        <w:rPr>
          <w:szCs w:val="24"/>
        </w:rPr>
        <w:t>rom 2005 to 2014 there were only 28 incidents caused by corrosion on gas distribution lines in all of the United States.</w:t>
      </w:r>
      <w:r w:rsidRPr="00FC3028">
        <w:rPr>
          <w:rStyle w:val="FootnoteReference"/>
          <w:szCs w:val="24"/>
        </w:rPr>
        <w:footnoteReference w:id="132"/>
      </w:r>
      <w:r w:rsidRPr="00FC3028">
        <w:rPr>
          <w:szCs w:val="24"/>
        </w:rPr>
        <w:t xml:space="preserve"> Yet, the PHMSA data states that there were 1,330,393</w:t>
      </w:r>
      <w:r w:rsidRPr="00FC3028">
        <w:rPr>
          <w:rStyle w:val="FootnoteReference"/>
          <w:szCs w:val="24"/>
        </w:rPr>
        <w:footnoteReference w:id="133"/>
      </w:r>
      <w:r w:rsidRPr="00FC3028">
        <w:rPr>
          <w:szCs w:val="24"/>
        </w:rPr>
        <w:t xml:space="preserve"> corrosion-related “leaks” on gas distribution pipes recorded in the United States during the same time period.</w:t>
      </w:r>
      <w:r w:rsidRPr="00FC3028">
        <w:rPr>
          <w:rStyle w:val="FootnoteReference"/>
          <w:szCs w:val="24"/>
        </w:rPr>
        <w:footnoteReference w:id="134"/>
      </w:r>
      <w:r w:rsidRPr="00FC3028">
        <w:rPr>
          <w:szCs w:val="24"/>
        </w:rPr>
        <w:t xml:space="preserve"> That means from 2005 to 2014, only 0.0021 percent of the time did a corrosion-related leak on a gas distribution line result in an “incident.”</w:t>
      </w:r>
      <w:r w:rsidR="00353804">
        <w:rPr>
          <w:rStyle w:val="FootnoteReference"/>
          <w:szCs w:val="24"/>
        </w:rPr>
        <w:footnoteReference w:id="135"/>
      </w:r>
      <w:r w:rsidRPr="00FC3028">
        <w:rPr>
          <w:szCs w:val="24"/>
        </w:rPr>
        <w:t xml:space="preserve"> Notably, the U.S. DOT data does not specify what</w:t>
      </w:r>
      <w:r w:rsidR="00986764" w:rsidRPr="00FC3028">
        <w:rPr>
          <w:szCs w:val="24"/>
        </w:rPr>
        <w:t xml:space="preserve"> type of gas distribution line -- main or service --</w:t>
      </w:r>
      <w:r w:rsidRPr="00FC3028">
        <w:rPr>
          <w:szCs w:val="24"/>
        </w:rPr>
        <w:t xml:space="preserve"> the incident occurred on. Consequently, the number of corrosion-related incidents across the United States from 2004 to 2014 that occurred on </w:t>
      </w:r>
      <w:r w:rsidRPr="004F26BE">
        <w:rPr>
          <w:i/>
          <w:szCs w:val="24"/>
        </w:rPr>
        <w:t>service lines</w:t>
      </w:r>
      <w:r w:rsidRPr="00FC3028">
        <w:rPr>
          <w:szCs w:val="24"/>
        </w:rPr>
        <w:t xml:space="preserve"> is likely lower than 28. This would result in the </w:t>
      </w:r>
      <w:r w:rsidR="00986764" w:rsidRPr="00FC3028">
        <w:rPr>
          <w:szCs w:val="24"/>
        </w:rPr>
        <w:t>likelihood</w:t>
      </w:r>
      <w:r w:rsidRPr="00FC3028">
        <w:rPr>
          <w:szCs w:val="24"/>
        </w:rPr>
        <w:t xml:space="preserve"> of corrosion-related service line incidents in the United States between 2004 and 2014 being less than 0.0021 percent. </w:t>
      </w:r>
    </w:p>
    <w:p w:rsidR="00CF704D" w:rsidRPr="00FC3028" w:rsidRDefault="00CF704D" w:rsidP="00CF704D">
      <w:pPr>
        <w:pStyle w:val="BodyTextIndent3"/>
        <w:widowControl w:val="0"/>
        <w:spacing w:line="480" w:lineRule="auto"/>
        <w:ind w:right="-24"/>
        <w:rPr>
          <w:szCs w:val="24"/>
        </w:rPr>
      </w:pPr>
      <w:r w:rsidRPr="00FC3028">
        <w:rPr>
          <w:szCs w:val="24"/>
        </w:rPr>
        <w:t>Therefore, the chance that a service line will experience a corrosion-related incident in Ohio is likely less than 0.0018 percent and nationwide the chances are likely less than 0.0021 percent. Yet, Duke wants to spend $320 million to try and make that probability even smaller. This is not a just and reasonable proposal for consumers.</w:t>
      </w:r>
    </w:p>
    <w:p w:rsidR="00067957" w:rsidRPr="00FC3028" w:rsidRDefault="00A20C61" w:rsidP="00A20C61">
      <w:pPr>
        <w:pStyle w:val="Heading4"/>
      </w:pPr>
      <w:bookmarkStart w:id="24" w:name="_Toc437441475"/>
      <w:r>
        <w:t>f</w:t>
      </w:r>
      <w:r w:rsidR="009420EC">
        <w:t>.</w:t>
      </w:r>
      <w:r w:rsidR="009420EC">
        <w:tab/>
      </w:r>
      <w:r w:rsidR="009E7D29" w:rsidRPr="00FC3028">
        <w:t xml:space="preserve">Current </w:t>
      </w:r>
      <w:r w:rsidR="00067957" w:rsidRPr="00FC3028">
        <w:t>regulations and procedures are more than adequate to manage</w:t>
      </w:r>
      <w:r w:rsidR="00FF2537" w:rsidRPr="00FC3028">
        <w:t xml:space="preserve"> Duke’s</w:t>
      </w:r>
      <w:r w:rsidR="00067957" w:rsidRPr="00FC3028">
        <w:t xml:space="preserve"> service line leaks</w:t>
      </w:r>
      <w:r w:rsidR="000C0F30">
        <w:t xml:space="preserve"> and protect consumers</w:t>
      </w:r>
      <w:r w:rsidR="00067957" w:rsidRPr="00FC3028">
        <w:t>.</w:t>
      </w:r>
      <w:bookmarkEnd w:id="24"/>
    </w:p>
    <w:p w:rsidR="00182D8C" w:rsidRPr="00FC3028" w:rsidRDefault="00424515" w:rsidP="00067957">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w:t>
      </w:r>
      <w:r w:rsidR="00067957" w:rsidRPr="00FC3028">
        <w:rPr>
          <w:rFonts w:ascii="Times New Roman" w:hAnsi="Times New Roman" w:cs="Times New Roman"/>
          <w:sz w:val="24"/>
          <w:szCs w:val="24"/>
        </w:rPr>
        <w:t>o the extent that one of Duke’s</w:t>
      </w:r>
      <w:r w:rsidR="00986764" w:rsidRPr="00FC3028">
        <w:rPr>
          <w:rFonts w:ascii="Times New Roman" w:hAnsi="Times New Roman" w:cs="Times New Roman"/>
          <w:sz w:val="24"/>
          <w:szCs w:val="24"/>
        </w:rPr>
        <w:t xml:space="preserve"> 58,000 pre-1971 metallic or non-protected</w:t>
      </w:r>
      <w:r w:rsidR="00067957" w:rsidRPr="00FC3028">
        <w:rPr>
          <w:rFonts w:ascii="Times New Roman" w:hAnsi="Times New Roman" w:cs="Times New Roman"/>
          <w:sz w:val="24"/>
          <w:szCs w:val="24"/>
        </w:rPr>
        <w:t xml:space="preserve"> service lines does develop a leak there are already adequate regulations and procedures in place to manage and address t</w:t>
      </w:r>
      <w:r w:rsidR="00320476" w:rsidRPr="00FC3028">
        <w:rPr>
          <w:rFonts w:ascii="Times New Roman" w:hAnsi="Times New Roman" w:cs="Times New Roman"/>
          <w:sz w:val="24"/>
          <w:szCs w:val="24"/>
        </w:rPr>
        <w:t xml:space="preserve">he situation. Consequently, </w:t>
      </w:r>
      <w:r w:rsidR="00067957" w:rsidRPr="00FC3028">
        <w:rPr>
          <w:rFonts w:ascii="Times New Roman" w:hAnsi="Times New Roman" w:cs="Times New Roman"/>
          <w:sz w:val="24"/>
          <w:szCs w:val="24"/>
        </w:rPr>
        <w:t>the service lines are not an imminent threat because any leak or safety con</w:t>
      </w:r>
      <w:r w:rsidR="00182D8C" w:rsidRPr="00FC3028">
        <w:rPr>
          <w:rFonts w:ascii="Times New Roman" w:hAnsi="Times New Roman" w:cs="Times New Roman"/>
          <w:sz w:val="24"/>
          <w:szCs w:val="24"/>
        </w:rPr>
        <w:t>cern must</w:t>
      </w:r>
      <w:r w:rsidR="00986764" w:rsidRPr="00FC3028">
        <w:rPr>
          <w:rFonts w:ascii="Times New Roman" w:hAnsi="Times New Roman" w:cs="Times New Roman"/>
          <w:sz w:val="24"/>
          <w:szCs w:val="24"/>
        </w:rPr>
        <w:t xml:space="preserve"> already</w:t>
      </w:r>
      <w:r w:rsidR="00182D8C" w:rsidRPr="00FC3028">
        <w:rPr>
          <w:rFonts w:ascii="Times New Roman" w:hAnsi="Times New Roman" w:cs="Times New Roman"/>
          <w:sz w:val="24"/>
          <w:szCs w:val="24"/>
        </w:rPr>
        <w:t xml:space="preserve"> be addressed by Duke</w:t>
      </w:r>
      <w:r w:rsidRPr="00FC3028">
        <w:rPr>
          <w:rFonts w:ascii="Times New Roman" w:hAnsi="Times New Roman" w:cs="Times New Roman"/>
          <w:sz w:val="24"/>
          <w:szCs w:val="24"/>
        </w:rPr>
        <w:t xml:space="preserve"> in accordance with the Ohio Administrative Code</w:t>
      </w:r>
      <w:r w:rsidR="00182D8C" w:rsidRPr="00FC3028">
        <w:rPr>
          <w:rFonts w:ascii="Times New Roman" w:hAnsi="Times New Roman" w:cs="Times New Roman"/>
          <w:sz w:val="24"/>
          <w:szCs w:val="24"/>
        </w:rPr>
        <w:t>.</w:t>
      </w:r>
    </w:p>
    <w:p w:rsidR="00067957" w:rsidRPr="00FC3028" w:rsidRDefault="00424515" w:rsidP="00067957">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As stated earlier, </w:t>
      </w:r>
      <w:r w:rsidR="00067957" w:rsidRPr="00FC3028">
        <w:rPr>
          <w:rFonts w:ascii="Times New Roman" w:hAnsi="Times New Roman" w:cs="Times New Roman"/>
          <w:sz w:val="24"/>
          <w:szCs w:val="24"/>
        </w:rPr>
        <w:t>PUCO regulations require all natural gas pipeline operators to classify and address leaks based on the severity of the leak.</w:t>
      </w:r>
      <w:r w:rsidR="00067957" w:rsidRPr="00FC3028">
        <w:rPr>
          <w:rStyle w:val="FootnoteReference"/>
          <w:rFonts w:ascii="Times New Roman" w:hAnsi="Times New Roman" w:cs="Times New Roman"/>
          <w:sz w:val="24"/>
          <w:szCs w:val="24"/>
        </w:rPr>
        <w:footnoteReference w:id="136"/>
      </w:r>
      <w:r w:rsidR="00067957" w:rsidRPr="00FC3028">
        <w:rPr>
          <w:rFonts w:ascii="Times New Roman" w:hAnsi="Times New Roman" w:cs="Times New Roman"/>
          <w:sz w:val="24"/>
          <w:szCs w:val="24"/>
        </w:rPr>
        <w:t xml:space="preserve"> Under these regulations, a grade-one</w:t>
      </w:r>
      <w:r w:rsidRPr="00FC3028">
        <w:rPr>
          <w:rFonts w:ascii="Times New Roman" w:hAnsi="Times New Roman" w:cs="Times New Roman"/>
          <w:sz w:val="24"/>
          <w:szCs w:val="24"/>
        </w:rPr>
        <w:t xml:space="preserve"> leak </w:t>
      </w:r>
      <w:r w:rsidR="00067957" w:rsidRPr="00FC3028">
        <w:rPr>
          <w:rFonts w:ascii="Times New Roman" w:hAnsi="Times New Roman" w:cs="Times New Roman"/>
          <w:sz w:val="24"/>
          <w:szCs w:val="24"/>
        </w:rPr>
        <w:t xml:space="preserve">is considered “hazardous” and </w:t>
      </w:r>
      <w:r w:rsidRPr="00FC3028">
        <w:rPr>
          <w:rFonts w:ascii="Times New Roman" w:hAnsi="Times New Roman" w:cs="Times New Roman"/>
          <w:sz w:val="24"/>
          <w:szCs w:val="24"/>
        </w:rPr>
        <w:t>the operator must immediately and continuously</w:t>
      </w:r>
      <w:r w:rsidR="00067957" w:rsidRPr="00FC3028">
        <w:rPr>
          <w:rFonts w:ascii="Times New Roman" w:hAnsi="Times New Roman" w:cs="Times New Roman"/>
          <w:sz w:val="24"/>
          <w:szCs w:val="24"/>
        </w:rPr>
        <w:t xml:space="preserve"> take action until such time as the leak is no longer hazardous.</w:t>
      </w:r>
      <w:r w:rsidR="00FF2537" w:rsidRPr="00FC3028">
        <w:rPr>
          <w:rStyle w:val="FootnoteReference"/>
          <w:rFonts w:ascii="Times New Roman" w:hAnsi="Times New Roman" w:cs="Times New Roman"/>
          <w:sz w:val="24"/>
          <w:szCs w:val="24"/>
        </w:rPr>
        <w:footnoteReference w:id="137"/>
      </w:r>
      <w:r w:rsidR="00067957" w:rsidRPr="00FC3028">
        <w:rPr>
          <w:rFonts w:ascii="Times New Roman" w:hAnsi="Times New Roman" w:cs="Times New Roman"/>
          <w:sz w:val="24"/>
          <w:szCs w:val="24"/>
        </w:rPr>
        <w:t xml:space="preserve"> However, even a grade-one hazardous leak, the most severe grade of leaks, does not necessarily require replacement of the affected pipe.</w:t>
      </w:r>
      <w:r w:rsidR="00FF2537" w:rsidRPr="00FC3028">
        <w:rPr>
          <w:rStyle w:val="FootnoteReference"/>
          <w:rFonts w:ascii="Times New Roman" w:hAnsi="Times New Roman" w:cs="Times New Roman"/>
          <w:sz w:val="24"/>
          <w:szCs w:val="24"/>
        </w:rPr>
        <w:footnoteReference w:id="138"/>
      </w:r>
      <w:r w:rsidR="00067957" w:rsidRPr="00FC3028">
        <w:rPr>
          <w:rFonts w:ascii="Times New Roman" w:hAnsi="Times New Roman" w:cs="Times New Roman"/>
          <w:sz w:val="24"/>
          <w:szCs w:val="24"/>
        </w:rPr>
        <w:t xml:space="preserve"> The PUCO regulations explicitly state that repairs can be performed on the affected pipe and the leak grade can be reclassified provided that a reevaluation is performed within 30 days of the repair.</w:t>
      </w:r>
      <w:r w:rsidR="00FF2537" w:rsidRPr="00FC3028">
        <w:rPr>
          <w:rStyle w:val="FootnoteReference"/>
          <w:rFonts w:ascii="Times New Roman" w:hAnsi="Times New Roman" w:cs="Times New Roman"/>
          <w:sz w:val="24"/>
          <w:szCs w:val="24"/>
        </w:rPr>
        <w:footnoteReference w:id="139"/>
      </w:r>
    </w:p>
    <w:p w:rsidR="00986764" w:rsidRPr="00FC3028" w:rsidRDefault="00067957" w:rsidP="00986764">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A grade-two</w:t>
      </w:r>
      <w:r w:rsidR="00D22641" w:rsidRPr="00FC3028">
        <w:rPr>
          <w:rFonts w:ascii="Times New Roman" w:hAnsi="Times New Roman" w:cs="Times New Roman"/>
          <w:sz w:val="24"/>
          <w:szCs w:val="24"/>
        </w:rPr>
        <w:t xml:space="preserve"> or non-hazardous, leak </w:t>
      </w:r>
      <w:r w:rsidRPr="00FC3028">
        <w:rPr>
          <w:rFonts w:ascii="Times New Roman" w:hAnsi="Times New Roman" w:cs="Times New Roman"/>
          <w:sz w:val="24"/>
          <w:szCs w:val="24"/>
        </w:rPr>
        <w:t>must be repaired no later than fifteen months from the time the leak is discovered, unless the pipeline containing the leak is scheduled for replacement within twenty-four months from th</w:t>
      </w:r>
      <w:r w:rsidR="00D22641" w:rsidRPr="00FC3028">
        <w:rPr>
          <w:rFonts w:ascii="Times New Roman" w:hAnsi="Times New Roman" w:cs="Times New Roman"/>
          <w:sz w:val="24"/>
          <w:szCs w:val="24"/>
        </w:rPr>
        <w:t>e date the leak is discovered.</w:t>
      </w:r>
      <w:r w:rsidR="00B4300E" w:rsidRPr="00FC3028">
        <w:rPr>
          <w:rStyle w:val="FootnoteReference"/>
          <w:rFonts w:ascii="Times New Roman" w:hAnsi="Times New Roman" w:cs="Times New Roman"/>
          <w:sz w:val="24"/>
          <w:szCs w:val="24"/>
        </w:rPr>
        <w:footnoteReference w:id="140"/>
      </w:r>
      <w:r w:rsidR="00D22641" w:rsidRPr="00FC3028">
        <w:rPr>
          <w:rFonts w:ascii="Times New Roman" w:hAnsi="Times New Roman" w:cs="Times New Roman"/>
          <w:sz w:val="24"/>
          <w:szCs w:val="24"/>
        </w:rPr>
        <w:t xml:space="preserve"> </w:t>
      </w:r>
      <w:r w:rsidRPr="00FC3028">
        <w:rPr>
          <w:rFonts w:ascii="Times New Roman" w:hAnsi="Times New Roman" w:cs="Times New Roman"/>
          <w:sz w:val="24"/>
          <w:szCs w:val="24"/>
        </w:rPr>
        <w:t>The leak must then be reevaluated every six months until the leak is cleared.</w:t>
      </w:r>
      <w:r w:rsidR="00B4300E" w:rsidRPr="00FC3028">
        <w:rPr>
          <w:rStyle w:val="FootnoteReference"/>
          <w:rFonts w:ascii="Times New Roman" w:hAnsi="Times New Roman" w:cs="Times New Roman"/>
          <w:sz w:val="24"/>
          <w:szCs w:val="24"/>
        </w:rPr>
        <w:footnoteReference w:id="141"/>
      </w:r>
      <w:r w:rsidRPr="00FC3028">
        <w:rPr>
          <w:rFonts w:ascii="Times New Roman" w:hAnsi="Times New Roman" w:cs="Times New Roman"/>
          <w:sz w:val="24"/>
          <w:szCs w:val="24"/>
        </w:rPr>
        <w:t xml:space="preserve"> The fact that PUCO regulations classify these types of lea</w:t>
      </w:r>
      <w:r w:rsidR="00D22641" w:rsidRPr="00FC3028">
        <w:rPr>
          <w:rFonts w:ascii="Times New Roman" w:hAnsi="Times New Roman" w:cs="Times New Roman"/>
          <w:sz w:val="24"/>
          <w:szCs w:val="24"/>
        </w:rPr>
        <w:t>ks as “non-hazardous” and allow</w:t>
      </w:r>
      <w:r w:rsidRPr="00FC3028">
        <w:rPr>
          <w:rFonts w:ascii="Times New Roman" w:hAnsi="Times New Roman" w:cs="Times New Roman"/>
          <w:sz w:val="24"/>
          <w:szCs w:val="24"/>
        </w:rPr>
        <w:t xml:space="preserve"> operators to wait 15</w:t>
      </w:r>
      <w:r w:rsidR="00D22641" w:rsidRPr="00FC3028">
        <w:rPr>
          <w:rFonts w:ascii="Times New Roman" w:hAnsi="Times New Roman" w:cs="Times New Roman"/>
          <w:sz w:val="24"/>
          <w:szCs w:val="24"/>
        </w:rPr>
        <w:t xml:space="preserve"> to 24</w:t>
      </w:r>
      <w:r w:rsidRPr="00FC3028">
        <w:rPr>
          <w:rFonts w:ascii="Times New Roman" w:hAnsi="Times New Roman" w:cs="Times New Roman"/>
          <w:sz w:val="24"/>
          <w:szCs w:val="24"/>
        </w:rPr>
        <w:t xml:space="preserve"> months to repair the leak shows that they are not an immin</w:t>
      </w:r>
      <w:r w:rsidR="00986764" w:rsidRPr="00FC3028">
        <w:rPr>
          <w:rFonts w:ascii="Times New Roman" w:hAnsi="Times New Roman" w:cs="Times New Roman"/>
          <w:sz w:val="24"/>
          <w:szCs w:val="24"/>
        </w:rPr>
        <w:t>ent safety threat. Furthermore, Duke produced no evidence to show that it has ever had a grade-two leak become a safety threat or result in a reportable incident.</w:t>
      </w:r>
    </w:p>
    <w:p w:rsidR="00067957" w:rsidRPr="00FC3028" w:rsidRDefault="00067957" w:rsidP="00986764">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Finally, a grade-three or non-hazardous leak has no specific standards for repair. Instead, an evaluation is required during the next scheduled survey or within 15 months until the leak is cleared, classified or replaced.</w:t>
      </w:r>
      <w:r w:rsidR="00B4300E" w:rsidRPr="00FC3028">
        <w:rPr>
          <w:rStyle w:val="FootnoteReference"/>
          <w:rFonts w:ascii="Times New Roman" w:hAnsi="Times New Roman" w:cs="Times New Roman"/>
          <w:sz w:val="24"/>
          <w:szCs w:val="24"/>
        </w:rPr>
        <w:footnoteReference w:id="142"/>
      </w:r>
      <w:r w:rsidRPr="00FC3028">
        <w:rPr>
          <w:rFonts w:ascii="Times New Roman" w:hAnsi="Times New Roman" w:cs="Times New Roman"/>
          <w:sz w:val="24"/>
          <w:szCs w:val="24"/>
        </w:rPr>
        <w:t xml:space="preserve"> Grade-three leaks are not expected to become hazardous and they do not even have to be repaired!</w:t>
      </w:r>
      <w:r w:rsidR="00B4300E" w:rsidRPr="00FC3028">
        <w:rPr>
          <w:rStyle w:val="FootnoteReference"/>
          <w:rFonts w:ascii="Times New Roman" w:hAnsi="Times New Roman" w:cs="Times New Roman"/>
          <w:sz w:val="24"/>
          <w:szCs w:val="24"/>
        </w:rPr>
        <w:footnoteReference w:id="143"/>
      </w:r>
      <w:r w:rsidR="00B4300E" w:rsidRPr="00FC3028">
        <w:rPr>
          <w:rFonts w:ascii="Times New Roman" w:hAnsi="Times New Roman" w:cs="Times New Roman"/>
          <w:sz w:val="24"/>
          <w:szCs w:val="24"/>
        </w:rPr>
        <w:t xml:space="preserve"> Therefore,</w:t>
      </w:r>
      <w:r w:rsidR="00986764" w:rsidRPr="00FC3028">
        <w:rPr>
          <w:rFonts w:ascii="Times New Roman" w:hAnsi="Times New Roman" w:cs="Times New Roman"/>
          <w:sz w:val="24"/>
          <w:szCs w:val="24"/>
        </w:rPr>
        <w:t xml:space="preserve"> by definition</w:t>
      </w:r>
      <w:r w:rsidR="00B4300E" w:rsidRPr="00FC3028">
        <w:rPr>
          <w:rFonts w:ascii="Times New Roman" w:hAnsi="Times New Roman" w:cs="Times New Roman"/>
          <w:sz w:val="24"/>
          <w:szCs w:val="24"/>
        </w:rPr>
        <w:t xml:space="preserve"> no grade-</w:t>
      </w:r>
      <w:r w:rsidR="00D22641" w:rsidRPr="00FC3028">
        <w:rPr>
          <w:rFonts w:ascii="Times New Roman" w:hAnsi="Times New Roman" w:cs="Times New Roman"/>
          <w:sz w:val="24"/>
          <w:szCs w:val="24"/>
        </w:rPr>
        <w:t>three leak should be seen as an imminent threat.</w:t>
      </w:r>
    </w:p>
    <w:p w:rsidR="00BD0731" w:rsidRPr="00FC3028" w:rsidRDefault="00BD0731" w:rsidP="00BD0731">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Additionally, the PHMSA took a similar stance when it established the DIMP. Under the PHMSA’s DIMP regulations, a gas line operator who discovers a threat to a line due to corrosion is not required to repair or replace the line. Instead, the operator may simply order more frequent leak surveys to be performed on the line.</w:t>
      </w:r>
      <w:r w:rsidRPr="00FC3028">
        <w:rPr>
          <w:rFonts w:ascii="Times New Roman" w:hAnsi="Times New Roman" w:cs="Times New Roman"/>
          <w:sz w:val="24"/>
          <w:szCs w:val="24"/>
          <w:vertAlign w:val="superscript"/>
        </w:rPr>
        <w:footnoteReference w:id="144"/>
      </w:r>
      <w:r w:rsidRPr="00FC3028">
        <w:rPr>
          <w:rFonts w:ascii="Times New Roman" w:hAnsi="Times New Roman" w:cs="Times New Roman"/>
          <w:sz w:val="24"/>
          <w:szCs w:val="24"/>
        </w:rPr>
        <w:t xml:space="preserve"> This is further evidence that service lines, which are candidates for corrosion</w:t>
      </w:r>
      <w:r w:rsidR="00986764" w:rsidRPr="00FC3028">
        <w:rPr>
          <w:rFonts w:ascii="Times New Roman" w:hAnsi="Times New Roman" w:cs="Times New Roman"/>
          <w:sz w:val="24"/>
          <w:szCs w:val="24"/>
        </w:rPr>
        <w:t>-related issues</w:t>
      </w:r>
      <w:r w:rsidRPr="00FC3028">
        <w:rPr>
          <w:rFonts w:ascii="Times New Roman" w:hAnsi="Times New Roman" w:cs="Times New Roman"/>
          <w:sz w:val="24"/>
          <w:szCs w:val="24"/>
        </w:rPr>
        <w:t>, are not necessarily a safety risk. And, furthermore, that even if a corrosion-afflicted line exists, it does not necessarily need to be replaced. There are other less costly and less burdensome alternatives.</w:t>
      </w:r>
      <w:r w:rsidR="00B4300E" w:rsidRPr="00FC3028">
        <w:rPr>
          <w:rFonts w:ascii="Times New Roman" w:hAnsi="Times New Roman" w:cs="Times New Roman"/>
          <w:sz w:val="24"/>
          <w:szCs w:val="24"/>
        </w:rPr>
        <w:t xml:space="preserve"> However, Duke admitted that it did not consider any alternatives to the ASRP.</w:t>
      </w:r>
      <w:r w:rsidR="00B4300E" w:rsidRPr="00FC3028">
        <w:rPr>
          <w:rStyle w:val="FootnoteReference"/>
          <w:rFonts w:ascii="Times New Roman" w:hAnsi="Times New Roman" w:cs="Times New Roman"/>
          <w:sz w:val="24"/>
          <w:szCs w:val="24"/>
        </w:rPr>
        <w:footnoteReference w:id="145"/>
      </w:r>
    </w:p>
    <w:p w:rsidR="00F0504B" w:rsidRPr="00FC3028" w:rsidRDefault="00932C04" w:rsidP="0050633D">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w:t>
      </w:r>
      <w:r w:rsidR="00BD0731" w:rsidRPr="00FC3028">
        <w:rPr>
          <w:rFonts w:ascii="Times New Roman" w:hAnsi="Times New Roman" w:cs="Times New Roman"/>
          <w:sz w:val="24"/>
          <w:szCs w:val="24"/>
        </w:rPr>
        <w:t xml:space="preserve">hese regulations show that while it is possible, under certain circumstances, that a service line leak could present a safety hazard, a vast majority of the time service line leaks are harmless. And, moreover, even if </w:t>
      </w:r>
      <w:r w:rsidR="00067957" w:rsidRPr="00FC3028">
        <w:rPr>
          <w:rFonts w:ascii="Times New Roman" w:hAnsi="Times New Roman" w:cs="Times New Roman"/>
          <w:sz w:val="24"/>
          <w:szCs w:val="24"/>
        </w:rPr>
        <w:t>a</w:t>
      </w:r>
      <w:r w:rsidR="00BD0731" w:rsidRPr="00FC3028">
        <w:rPr>
          <w:rFonts w:ascii="Times New Roman" w:hAnsi="Times New Roman" w:cs="Times New Roman"/>
          <w:sz w:val="24"/>
          <w:szCs w:val="24"/>
        </w:rPr>
        <w:t xml:space="preserve"> service line does develop a “hazardous” leak there are already procedures in place that require the operator to immediately address the problem.</w:t>
      </w:r>
      <w:r w:rsidR="009A7294">
        <w:rPr>
          <w:rStyle w:val="FootnoteReference"/>
          <w:rFonts w:ascii="Times New Roman" w:hAnsi="Times New Roman" w:cs="Times New Roman"/>
          <w:sz w:val="24"/>
          <w:szCs w:val="24"/>
        </w:rPr>
        <w:footnoteReference w:id="146"/>
      </w:r>
      <w:r w:rsidR="00BD0731" w:rsidRPr="00FC3028">
        <w:rPr>
          <w:rFonts w:ascii="Times New Roman" w:hAnsi="Times New Roman" w:cs="Times New Roman"/>
          <w:sz w:val="24"/>
          <w:szCs w:val="24"/>
        </w:rPr>
        <w:t xml:space="preserve"> Therefore, a</w:t>
      </w:r>
      <w:r w:rsidR="00067957" w:rsidRPr="00FC3028">
        <w:rPr>
          <w:rFonts w:ascii="Times New Roman" w:hAnsi="Times New Roman" w:cs="Times New Roman"/>
          <w:sz w:val="24"/>
          <w:szCs w:val="24"/>
        </w:rPr>
        <w:t xml:space="preserve"> new program that calls for the replacement of all</w:t>
      </w:r>
      <w:r w:rsidR="00986764" w:rsidRPr="00FC3028">
        <w:rPr>
          <w:rFonts w:ascii="Times New Roman" w:hAnsi="Times New Roman" w:cs="Times New Roman"/>
          <w:sz w:val="24"/>
          <w:szCs w:val="24"/>
        </w:rPr>
        <w:t xml:space="preserve"> pre-1971 metallic and non-protected</w:t>
      </w:r>
      <w:r w:rsidR="00067957" w:rsidRPr="00FC3028">
        <w:rPr>
          <w:rFonts w:ascii="Times New Roman" w:hAnsi="Times New Roman" w:cs="Times New Roman"/>
          <w:sz w:val="24"/>
          <w:szCs w:val="24"/>
        </w:rPr>
        <w:t xml:space="preserve"> service lines</w:t>
      </w:r>
      <w:r w:rsidR="009E7D29" w:rsidRPr="00FC3028">
        <w:rPr>
          <w:rFonts w:ascii="Times New Roman" w:hAnsi="Times New Roman" w:cs="Times New Roman"/>
          <w:sz w:val="24"/>
          <w:szCs w:val="24"/>
        </w:rPr>
        <w:t xml:space="preserve"> at a cost of $320 million</w:t>
      </w:r>
      <w:r w:rsidR="00067957" w:rsidRPr="00FC3028">
        <w:rPr>
          <w:rFonts w:ascii="Times New Roman" w:hAnsi="Times New Roman" w:cs="Times New Roman"/>
          <w:sz w:val="24"/>
          <w:szCs w:val="24"/>
        </w:rPr>
        <w:t xml:space="preserve"> is not </w:t>
      </w:r>
      <w:r w:rsidR="009E7D29" w:rsidRPr="00FC3028">
        <w:rPr>
          <w:rFonts w:ascii="Times New Roman" w:hAnsi="Times New Roman" w:cs="Times New Roman"/>
          <w:sz w:val="24"/>
          <w:szCs w:val="24"/>
        </w:rPr>
        <w:t>just and reasonable</w:t>
      </w:r>
      <w:r w:rsidR="00067957" w:rsidRPr="00FC3028">
        <w:rPr>
          <w:rFonts w:ascii="Times New Roman" w:hAnsi="Times New Roman" w:cs="Times New Roman"/>
          <w:sz w:val="24"/>
          <w:szCs w:val="24"/>
        </w:rPr>
        <w:t>.</w:t>
      </w:r>
      <w:r w:rsidR="00C91916">
        <w:rPr>
          <w:rStyle w:val="FootnoteReference"/>
          <w:rFonts w:ascii="Times New Roman" w:hAnsi="Times New Roman" w:cs="Times New Roman"/>
          <w:sz w:val="24"/>
          <w:szCs w:val="24"/>
        </w:rPr>
        <w:footnoteReference w:id="147"/>
      </w:r>
    </w:p>
    <w:p w:rsidR="00CC30D0" w:rsidRPr="00FC3028" w:rsidRDefault="00A20C61" w:rsidP="009420EC">
      <w:pPr>
        <w:pStyle w:val="Heading4"/>
      </w:pPr>
      <w:bookmarkStart w:id="26" w:name="_Toc437441476"/>
      <w:r>
        <w:t>g</w:t>
      </w:r>
      <w:r w:rsidR="009420EC">
        <w:t>.</w:t>
      </w:r>
      <w:r w:rsidR="009420EC">
        <w:tab/>
      </w:r>
      <w:r w:rsidR="00780BEA">
        <w:t xml:space="preserve">Customer funding of a </w:t>
      </w:r>
      <w:r w:rsidR="006C7FB8" w:rsidRPr="00FC3028">
        <w:t xml:space="preserve">$320 million </w:t>
      </w:r>
      <w:r w:rsidR="003C10E1" w:rsidRPr="00FC3028">
        <w:t>ASRP</w:t>
      </w:r>
      <w:r w:rsidR="00B46047" w:rsidRPr="00FC3028">
        <w:t xml:space="preserve"> is not necessary because it</w:t>
      </w:r>
      <w:r w:rsidR="00CC30D0" w:rsidRPr="00FC3028">
        <w:t xml:space="preserve"> does not</w:t>
      </w:r>
      <w:r w:rsidR="00B46047" w:rsidRPr="00FC3028">
        <w:t xml:space="preserve"> </w:t>
      </w:r>
      <w:r w:rsidR="00CC30D0" w:rsidRPr="00FC3028">
        <w:t xml:space="preserve">address the greatest cause </w:t>
      </w:r>
      <w:r w:rsidR="00B46047" w:rsidRPr="00FC3028">
        <w:t>of leaks</w:t>
      </w:r>
      <w:r w:rsidR="00CC30D0" w:rsidRPr="00FC3028">
        <w:t xml:space="preserve"> on Duke’s </w:t>
      </w:r>
      <w:r w:rsidR="006C7FB8" w:rsidRPr="00FC3028">
        <w:t>service lines</w:t>
      </w:r>
      <w:r w:rsidR="00EB4589" w:rsidRPr="00FC3028">
        <w:t>.</w:t>
      </w:r>
      <w:bookmarkEnd w:id="26"/>
      <w:r w:rsidR="00476337" w:rsidRPr="00FC3028">
        <w:t xml:space="preserve"> </w:t>
      </w:r>
    </w:p>
    <w:p w:rsidR="00722F48" w:rsidRPr="00FC3028" w:rsidRDefault="00DA74E4" w:rsidP="00D25BDB">
      <w:pPr>
        <w:pStyle w:val="BodyTextIndent3"/>
        <w:widowControl w:val="0"/>
        <w:spacing w:line="480" w:lineRule="auto"/>
        <w:ind w:right="-24"/>
        <w:rPr>
          <w:szCs w:val="24"/>
        </w:rPr>
      </w:pPr>
      <w:r w:rsidRPr="00FC3028">
        <w:rPr>
          <w:szCs w:val="24"/>
        </w:rPr>
        <w:t>Duke admits that l</w:t>
      </w:r>
      <w:r w:rsidR="00F97D17">
        <w:rPr>
          <w:szCs w:val="24"/>
        </w:rPr>
        <w:t>eaks due to corrosion, material</w:t>
      </w:r>
      <w:r w:rsidRPr="00FC3028">
        <w:rPr>
          <w:szCs w:val="24"/>
        </w:rPr>
        <w:t xml:space="preserve"> &amp; welds, and natural forces are not individually or</w:t>
      </w:r>
      <w:r w:rsidR="002150A1" w:rsidRPr="00FC3028">
        <w:rPr>
          <w:szCs w:val="24"/>
        </w:rPr>
        <w:t xml:space="preserve"> even</w:t>
      </w:r>
      <w:r w:rsidRPr="00FC3028">
        <w:rPr>
          <w:szCs w:val="24"/>
        </w:rPr>
        <w:t xml:space="preserve"> collectively the greatest threat to its system.</w:t>
      </w:r>
      <w:r w:rsidR="002150A1" w:rsidRPr="00FC3028">
        <w:rPr>
          <w:rStyle w:val="FootnoteReference"/>
          <w:szCs w:val="24"/>
        </w:rPr>
        <w:footnoteReference w:id="148"/>
      </w:r>
      <w:r w:rsidRPr="00FC3028">
        <w:rPr>
          <w:szCs w:val="24"/>
        </w:rPr>
        <w:t xml:space="preserve"> According to </w:t>
      </w:r>
      <w:r w:rsidR="00EE787D">
        <w:rPr>
          <w:szCs w:val="24"/>
        </w:rPr>
        <w:t xml:space="preserve">Duke, </w:t>
      </w:r>
      <w:r w:rsidRPr="00FC3028">
        <w:rPr>
          <w:szCs w:val="24"/>
        </w:rPr>
        <w:t>excavation damage accounted for 63.9 percent of the total risk by cause to its distribution system between the year</w:t>
      </w:r>
      <w:r w:rsidR="002150A1" w:rsidRPr="00FC3028">
        <w:rPr>
          <w:szCs w:val="24"/>
        </w:rPr>
        <w:t>s 2010 and</w:t>
      </w:r>
      <w:r w:rsidRPr="00FC3028">
        <w:rPr>
          <w:szCs w:val="24"/>
        </w:rPr>
        <w:t xml:space="preserve"> 2014.</w:t>
      </w:r>
      <w:r w:rsidRPr="00FC3028">
        <w:rPr>
          <w:rStyle w:val="FootnoteReference"/>
          <w:szCs w:val="24"/>
        </w:rPr>
        <w:footnoteReference w:id="149"/>
      </w:r>
      <w:r w:rsidRPr="00FC3028">
        <w:rPr>
          <w:szCs w:val="24"/>
        </w:rPr>
        <w:t xml:space="preserve"> </w:t>
      </w:r>
      <w:r w:rsidR="000D46B2" w:rsidRPr="00FC3028">
        <w:rPr>
          <w:szCs w:val="24"/>
        </w:rPr>
        <w:t>In fact, excavation damage has accounted for the highest risk by cause every year from 2002 to 2014.</w:t>
      </w:r>
      <w:r w:rsidR="000D46B2" w:rsidRPr="00FC3028">
        <w:rPr>
          <w:rStyle w:val="FootnoteReference"/>
          <w:szCs w:val="24"/>
        </w:rPr>
        <w:footnoteReference w:id="150"/>
      </w:r>
      <w:r w:rsidRPr="00FC3028">
        <w:rPr>
          <w:szCs w:val="24"/>
        </w:rPr>
        <w:t xml:space="preserve"> </w:t>
      </w:r>
      <w:r w:rsidR="00DB73E9" w:rsidRPr="00FC3028">
        <w:rPr>
          <w:szCs w:val="24"/>
        </w:rPr>
        <w:t>Furthermore, a</w:t>
      </w:r>
      <w:r w:rsidR="00722F48" w:rsidRPr="00FC3028">
        <w:rPr>
          <w:szCs w:val="24"/>
        </w:rPr>
        <w:t xml:space="preserve">ccording to U.S. </w:t>
      </w:r>
      <w:r w:rsidR="002150A1" w:rsidRPr="00FC3028">
        <w:rPr>
          <w:szCs w:val="24"/>
        </w:rPr>
        <w:t xml:space="preserve">DOT </w:t>
      </w:r>
      <w:r w:rsidRPr="00FC3028">
        <w:rPr>
          <w:szCs w:val="24"/>
        </w:rPr>
        <w:t xml:space="preserve">statistics </w:t>
      </w:r>
      <w:r w:rsidR="00722F48" w:rsidRPr="00FC3028">
        <w:rPr>
          <w:szCs w:val="24"/>
        </w:rPr>
        <w:t xml:space="preserve">the vast majority of </w:t>
      </w:r>
      <w:r w:rsidRPr="00FC3028">
        <w:rPr>
          <w:szCs w:val="24"/>
        </w:rPr>
        <w:t>natural gas</w:t>
      </w:r>
      <w:r w:rsidR="00DB73E9" w:rsidRPr="00FC3028">
        <w:rPr>
          <w:szCs w:val="24"/>
        </w:rPr>
        <w:t xml:space="preserve"> distribution</w:t>
      </w:r>
      <w:r w:rsidRPr="00FC3028">
        <w:rPr>
          <w:szCs w:val="24"/>
        </w:rPr>
        <w:t xml:space="preserve"> pipeline</w:t>
      </w:r>
      <w:r w:rsidR="00722F48" w:rsidRPr="00FC3028">
        <w:rPr>
          <w:szCs w:val="24"/>
        </w:rPr>
        <w:t xml:space="preserve"> incidents</w:t>
      </w:r>
      <w:r w:rsidR="00DB73E9" w:rsidRPr="00FC3028">
        <w:rPr>
          <w:szCs w:val="24"/>
        </w:rPr>
        <w:t xml:space="preserve"> in Ohio and nationwide</w:t>
      </w:r>
      <w:r w:rsidR="00722F48" w:rsidRPr="00FC3028">
        <w:rPr>
          <w:szCs w:val="24"/>
        </w:rPr>
        <w:t xml:space="preserve"> were caused by damage to natural gas lines from construction or excavation activities, incorrect operation, or some other unidentified cause.</w:t>
      </w:r>
      <w:r w:rsidR="002150A1" w:rsidRPr="00FC3028">
        <w:rPr>
          <w:rStyle w:val="FootnoteReference"/>
          <w:szCs w:val="24"/>
        </w:rPr>
        <w:footnoteReference w:id="151"/>
      </w:r>
      <w:r w:rsidR="00722F48" w:rsidRPr="00FC3028">
        <w:rPr>
          <w:szCs w:val="24"/>
        </w:rPr>
        <w:t xml:space="preserve"> In fact,</w:t>
      </w:r>
      <w:r w:rsidR="000B586E" w:rsidRPr="00FC3028">
        <w:rPr>
          <w:szCs w:val="24"/>
        </w:rPr>
        <w:t xml:space="preserve"> from 2005 to 2014, excavation damage and other outside forces accounted for 822 of the 1,311 gas distribution incidents in the United States.</w:t>
      </w:r>
      <w:r w:rsidR="000B586E" w:rsidRPr="00FC3028">
        <w:rPr>
          <w:rStyle w:val="FootnoteReference"/>
          <w:szCs w:val="24"/>
        </w:rPr>
        <w:footnoteReference w:id="152"/>
      </w:r>
      <w:r w:rsidR="00722F48" w:rsidRPr="00FC3028">
        <w:rPr>
          <w:szCs w:val="24"/>
        </w:rPr>
        <w:t xml:space="preserve"> </w:t>
      </w:r>
      <w:r w:rsidR="000B586E" w:rsidRPr="00FC3028">
        <w:rPr>
          <w:szCs w:val="24"/>
        </w:rPr>
        <w:t>As stated earlier, during the same time period there were only 28 distribution line corrosion-related incidents across the whole country.</w:t>
      </w:r>
      <w:r w:rsidR="000B586E" w:rsidRPr="00FC3028">
        <w:rPr>
          <w:rStyle w:val="FootnoteReference"/>
          <w:szCs w:val="24"/>
        </w:rPr>
        <w:footnoteReference w:id="153"/>
      </w:r>
      <w:r w:rsidR="000B586E" w:rsidRPr="00FC3028">
        <w:rPr>
          <w:szCs w:val="24"/>
        </w:rPr>
        <w:t xml:space="preserve"> </w:t>
      </w:r>
      <w:r w:rsidR="00D25BDB" w:rsidRPr="00FC3028">
        <w:rPr>
          <w:szCs w:val="24"/>
        </w:rPr>
        <w:t>From 2010 to 2014, e</w:t>
      </w:r>
      <w:r w:rsidR="0088785F" w:rsidRPr="00FC3028">
        <w:rPr>
          <w:szCs w:val="24"/>
        </w:rPr>
        <w:t>xcavation damage was the cause of 34 percent of all hazardous leak</w:t>
      </w:r>
      <w:r w:rsidR="00986764" w:rsidRPr="00FC3028">
        <w:rPr>
          <w:szCs w:val="24"/>
        </w:rPr>
        <w:t xml:space="preserve">s on Duke’s distribution system -- </w:t>
      </w:r>
      <w:r w:rsidR="0088785F" w:rsidRPr="00FC3028">
        <w:rPr>
          <w:szCs w:val="24"/>
        </w:rPr>
        <w:t>more than corrosion, material &amp; welds, and natural forces combined.</w:t>
      </w:r>
      <w:r w:rsidR="0088785F" w:rsidRPr="00FC3028">
        <w:rPr>
          <w:rStyle w:val="FootnoteReference"/>
          <w:szCs w:val="24"/>
        </w:rPr>
        <w:footnoteReference w:id="154"/>
      </w:r>
      <w:r w:rsidR="00FF49B3" w:rsidRPr="00FC3028">
        <w:rPr>
          <w:szCs w:val="24"/>
        </w:rPr>
        <w:t xml:space="preserve"> It is not just and reasonable for Duke to charge customers $320 million to address risks that are not even the greatest threat to its system.</w:t>
      </w:r>
    </w:p>
    <w:p w:rsidR="00F0504B" w:rsidRPr="00DF1842" w:rsidRDefault="00DF1842" w:rsidP="00DF18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F49B3" w:rsidRPr="00DF1842">
        <w:rPr>
          <w:rFonts w:ascii="Times New Roman" w:hAnsi="Times New Roman" w:cs="Times New Roman"/>
          <w:sz w:val="24"/>
          <w:szCs w:val="24"/>
        </w:rPr>
        <w:t>Duke</w:t>
      </w:r>
      <w:r w:rsidR="00811ACE" w:rsidRPr="00DF1842">
        <w:rPr>
          <w:rFonts w:ascii="Times New Roman" w:hAnsi="Times New Roman" w:cs="Times New Roman"/>
          <w:sz w:val="24"/>
          <w:szCs w:val="24"/>
        </w:rPr>
        <w:t xml:space="preserve"> has stated</w:t>
      </w:r>
      <w:r w:rsidR="00FF49B3" w:rsidRPr="00DF1842">
        <w:rPr>
          <w:rFonts w:ascii="Times New Roman" w:hAnsi="Times New Roman" w:cs="Times New Roman"/>
          <w:sz w:val="24"/>
          <w:szCs w:val="24"/>
        </w:rPr>
        <w:t xml:space="preserve"> that it has alre</w:t>
      </w:r>
      <w:r w:rsidR="00811ACE" w:rsidRPr="00DF1842">
        <w:rPr>
          <w:rFonts w:ascii="Times New Roman" w:hAnsi="Times New Roman" w:cs="Times New Roman"/>
          <w:sz w:val="24"/>
          <w:szCs w:val="24"/>
        </w:rPr>
        <w:t>ady started to take</w:t>
      </w:r>
      <w:r w:rsidR="00FF49B3" w:rsidRPr="00DF1842">
        <w:rPr>
          <w:rFonts w:ascii="Times New Roman" w:hAnsi="Times New Roman" w:cs="Times New Roman"/>
          <w:sz w:val="24"/>
          <w:szCs w:val="24"/>
        </w:rPr>
        <w:t xml:space="preserve"> steps to address the risk that </w:t>
      </w:r>
      <w:r w:rsidR="00811ACE" w:rsidRPr="00DF1842">
        <w:rPr>
          <w:rFonts w:ascii="Times New Roman" w:hAnsi="Times New Roman" w:cs="Times New Roman"/>
          <w:sz w:val="24"/>
          <w:szCs w:val="24"/>
        </w:rPr>
        <w:t>excavation</w:t>
      </w:r>
      <w:r w:rsidR="00FF49B3" w:rsidRPr="00DF1842">
        <w:rPr>
          <w:rFonts w:ascii="Times New Roman" w:hAnsi="Times New Roman" w:cs="Times New Roman"/>
          <w:sz w:val="24"/>
          <w:szCs w:val="24"/>
        </w:rPr>
        <w:t xml:space="preserve"> damage poses on its system.</w:t>
      </w:r>
      <w:r w:rsidR="00FF49B3" w:rsidRPr="00DF1842">
        <w:rPr>
          <w:rStyle w:val="FootnoteReference"/>
          <w:rFonts w:ascii="Times New Roman" w:hAnsi="Times New Roman" w:cs="Times New Roman"/>
          <w:sz w:val="24"/>
          <w:szCs w:val="24"/>
        </w:rPr>
        <w:footnoteReference w:id="155"/>
      </w:r>
      <w:r w:rsidR="00811ACE" w:rsidRPr="00DF1842">
        <w:rPr>
          <w:rFonts w:ascii="Times New Roman" w:hAnsi="Times New Roman" w:cs="Times New Roman"/>
          <w:sz w:val="24"/>
          <w:szCs w:val="24"/>
        </w:rPr>
        <w:t xml:space="preserve"> However, Duke has provided very little information concerning how much these steps have cost, what their effectiveness has been,</w:t>
      </w:r>
      <w:r w:rsidR="00444C96" w:rsidRPr="00DF1842">
        <w:rPr>
          <w:rFonts w:ascii="Times New Roman" w:hAnsi="Times New Roman" w:cs="Times New Roman"/>
          <w:sz w:val="24"/>
          <w:szCs w:val="24"/>
        </w:rPr>
        <w:t xml:space="preserve"> or how such steps will benefit consumers. And even if it had, the problem remains that excavation damage is the biggest threat to Duke</w:t>
      </w:r>
      <w:r w:rsidR="00D25BDB" w:rsidRPr="00DF1842">
        <w:rPr>
          <w:rFonts w:ascii="Times New Roman" w:hAnsi="Times New Roman" w:cs="Times New Roman"/>
          <w:sz w:val="24"/>
          <w:szCs w:val="24"/>
        </w:rPr>
        <w:t>’s</w:t>
      </w:r>
      <w:r w:rsidR="00444C96" w:rsidRPr="00DF1842">
        <w:rPr>
          <w:rFonts w:ascii="Times New Roman" w:hAnsi="Times New Roman" w:cs="Times New Roman"/>
          <w:sz w:val="24"/>
          <w:szCs w:val="24"/>
        </w:rPr>
        <w:t xml:space="preserve"> system and the ASRP does not address excavation damage at all.</w:t>
      </w:r>
      <w:r w:rsidR="00D25BDB" w:rsidRPr="00DF1842">
        <w:rPr>
          <w:rStyle w:val="FootnoteReference"/>
          <w:rFonts w:ascii="Times New Roman" w:hAnsi="Times New Roman" w:cs="Times New Roman"/>
          <w:sz w:val="24"/>
          <w:szCs w:val="24"/>
        </w:rPr>
        <w:footnoteReference w:id="156"/>
      </w:r>
      <w:r w:rsidR="00444C96" w:rsidRPr="00DF1842">
        <w:rPr>
          <w:rFonts w:ascii="Times New Roman" w:hAnsi="Times New Roman" w:cs="Times New Roman"/>
          <w:sz w:val="24"/>
          <w:szCs w:val="24"/>
        </w:rPr>
        <w:t xml:space="preserve"> Duke should be required to address the biggest threat to its system</w:t>
      </w:r>
      <w:r w:rsidR="00850CC5" w:rsidRPr="00DF1842">
        <w:rPr>
          <w:rFonts w:ascii="Times New Roman" w:hAnsi="Times New Roman" w:cs="Times New Roman"/>
          <w:sz w:val="24"/>
          <w:szCs w:val="24"/>
        </w:rPr>
        <w:t xml:space="preserve"> before it seeks</w:t>
      </w:r>
      <w:r w:rsidR="00444C96" w:rsidRPr="00DF1842">
        <w:rPr>
          <w:rFonts w:ascii="Times New Roman" w:hAnsi="Times New Roman" w:cs="Times New Roman"/>
          <w:sz w:val="24"/>
          <w:szCs w:val="24"/>
        </w:rPr>
        <w:t xml:space="preserve"> to spend</w:t>
      </w:r>
      <w:r w:rsidR="00850CC5" w:rsidRPr="00DF1842">
        <w:rPr>
          <w:rFonts w:ascii="Times New Roman" w:hAnsi="Times New Roman" w:cs="Times New Roman"/>
          <w:sz w:val="24"/>
          <w:szCs w:val="24"/>
        </w:rPr>
        <w:t xml:space="preserve"> another</w:t>
      </w:r>
      <w:r w:rsidR="00444C96" w:rsidRPr="00DF1842">
        <w:rPr>
          <w:rFonts w:ascii="Times New Roman" w:hAnsi="Times New Roman" w:cs="Times New Roman"/>
          <w:sz w:val="24"/>
          <w:szCs w:val="24"/>
        </w:rPr>
        <w:t xml:space="preserve"> $320 million </w:t>
      </w:r>
      <w:r w:rsidR="00850CC5" w:rsidRPr="00DF1842">
        <w:rPr>
          <w:rFonts w:ascii="Times New Roman" w:hAnsi="Times New Roman" w:cs="Times New Roman"/>
          <w:sz w:val="24"/>
          <w:szCs w:val="24"/>
        </w:rPr>
        <w:t xml:space="preserve">of customer money </w:t>
      </w:r>
      <w:r w:rsidR="00444C96" w:rsidRPr="00DF1842">
        <w:rPr>
          <w:rFonts w:ascii="Times New Roman" w:hAnsi="Times New Roman" w:cs="Times New Roman"/>
          <w:sz w:val="24"/>
          <w:szCs w:val="24"/>
        </w:rPr>
        <w:t>in the name of system improvements.</w:t>
      </w:r>
      <w:r w:rsidR="001A0EB5" w:rsidRPr="00DF1842">
        <w:rPr>
          <w:rFonts w:ascii="Times New Roman" w:hAnsi="Times New Roman" w:cs="Times New Roman"/>
          <w:sz w:val="24"/>
          <w:szCs w:val="24"/>
        </w:rPr>
        <w:t xml:space="preserve"> Accordingly, the ASRP is not necessary and Duke’s Application should be denied</w:t>
      </w:r>
      <w:r w:rsidR="00623F4E" w:rsidRPr="00DF1842">
        <w:rPr>
          <w:rFonts w:ascii="Times New Roman" w:hAnsi="Times New Roman" w:cs="Times New Roman"/>
          <w:sz w:val="24"/>
          <w:szCs w:val="24"/>
        </w:rPr>
        <w:t xml:space="preserve"> as unwarranted, unjust, and unreasonable.</w:t>
      </w:r>
    </w:p>
    <w:p w:rsidR="000E42BF" w:rsidRDefault="000E42BF">
      <w:pPr>
        <w:rPr>
          <w:rFonts w:ascii="Times New Roman Bold" w:eastAsiaTheme="majorEastAsia" w:hAnsi="Times New Roman Bold" w:cstheme="majorBidi"/>
          <w:b/>
          <w:bCs/>
          <w:sz w:val="24"/>
          <w:szCs w:val="26"/>
        </w:rPr>
      </w:pPr>
      <w:r>
        <w:br w:type="page"/>
      </w:r>
    </w:p>
    <w:p w:rsidR="006277E5" w:rsidRPr="00FC3028" w:rsidRDefault="00170F6A" w:rsidP="00DF1842">
      <w:pPr>
        <w:pStyle w:val="Heading2"/>
        <w:spacing w:after="0"/>
      </w:pPr>
      <w:bookmarkStart w:id="27" w:name="_Toc437441477"/>
      <w:r>
        <w:t>B</w:t>
      </w:r>
      <w:r w:rsidR="009420EC">
        <w:t>.</w:t>
      </w:r>
      <w:r w:rsidR="009420EC">
        <w:tab/>
      </w:r>
      <w:r w:rsidR="006277E5" w:rsidRPr="00FC3028">
        <w:t xml:space="preserve">Duke failed to prove the need for and reasonableness of the </w:t>
      </w:r>
      <w:r w:rsidR="000C0F30">
        <w:t xml:space="preserve">ASRP </w:t>
      </w:r>
      <w:r w:rsidR="006277E5" w:rsidRPr="00FC3028">
        <w:t>by not conducting a cost benefit analysis of the $320 million ASRP, and by not quantifying any of the alleged claimed benefits for customers.</w:t>
      </w:r>
      <w:bookmarkEnd w:id="27"/>
      <w:r w:rsidR="006277E5" w:rsidRPr="00FC3028">
        <w:t xml:space="preserve"> </w:t>
      </w:r>
    </w:p>
    <w:p w:rsidR="00DF1842" w:rsidRDefault="00DF1842" w:rsidP="00DF1842">
      <w:pPr>
        <w:spacing w:after="0" w:line="240" w:lineRule="auto"/>
        <w:ind w:firstLine="720"/>
        <w:rPr>
          <w:rFonts w:ascii="Times New Roman" w:hAnsi="Times New Roman" w:cs="Times New Roman"/>
          <w:sz w:val="24"/>
          <w:szCs w:val="24"/>
        </w:rPr>
      </w:pPr>
    </w:p>
    <w:p w:rsidR="00780BEA" w:rsidRDefault="006277E5" w:rsidP="006277E5">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Although Duke eventually filed the testimony of four in-house experts and two consultants,</w:t>
      </w:r>
      <w:r w:rsidRPr="00FC3028">
        <w:rPr>
          <w:rStyle w:val="FootnoteReference"/>
          <w:rFonts w:ascii="Times New Roman" w:hAnsi="Times New Roman" w:cs="Times New Roman"/>
          <w:sz w:val="24"/>
          <w:szCs w:val="24"/>
        </w:rPr>
        <w:footnoteReference w:id="157"/>
      </w:r>
      <w:r w:rsidRPr="00FC3028">
        <w:rPr>
          <w:rFonts w:ascii="Times New Roman" w:hAnsi="Times New Roman" w:cs="Times New Roman"/>
          <w:sz w:val="24"/>
          <w:szCs w:val="24"/>
        </w:rPr>
        <w:t xml:space="preserve"> the</w:t>
      </w:r>
      <w:r w:rsidR="00850CC5">
        <w:rPr>
          <w:rFonts w:ascii="Times New Roman" w:hAnsi="Times New Roman" w:cs="Times New Roman"/>
          <w:sz w:val="24"/>
          <w:szCs w:val="24"/>
        </w:rPr>
        <w:t xml:space="preserve"> Utility did not include a basic</w:t>
      </w:r>
      <w:r w:rsidRPr="00FC3028">
        <w:rPr>
          <w:rFonts w:ascii="Times New Roman" w:hAnsi="Times New Roman" w:cs="Times New Roman"/>
          <w:sz w:val="24"/>
          <w:szCs w:val="24"/>
        </w:rPr>
        <w:t xml:space="preserve"> cost-benefit analysis comparing the $320 million price tag for the ASRP to the claimed benefits from the program for customers.</w:t>
      </w:r>
      <w:r w:rsidRPr="00FC3028">
        <w:rPr>
          <w:rStyle w:val="FootnoteReference"/>
          <w:rFonts w:ascii="Times New Roman" w:hAnsi="Times New Roman" w:cs="Times New Roman"/>
          <w:sz w:val="24"/>
          <w:szCs w:val="24"/>
        </w:rPr>
        <w:footnoteReference w:id="158"/>
      </w:r>
      <w:r w:rsidRPr="00FC3028">
        <w:rPr>
          <w:rFonts w:ascii="Times New Roman" w:hAnsi="Times New Roman" w:cs="Times New Roman"/>
          <w:sz w:val="24"/>
          <w:szCs w:val="24"/>
        </w:rPr>
        <w:t xml:space="preserve"> In fact, Duke did not even quantify the alleged customer benefits from the ASRP.</w:t>
      </w:r>
      <w:r w:rsidRPr="00FC3028">
        <w:rPr>
          <w:rStyle w:val="FootnoteReference"/>
          <w:rFonts w:ascii="Times New Roman" w:hAnsi="Times New Roman" w:cs="Times New Roman"/>
          <w:sz w:val="24"/>
          <w:szCs w:val="24"/>
        </w:rPr>
        <w:footnoteReference w:id="159"/>
      </w:r>
      <w:r w:rsidRPr="00FC3028">
        <w:rPr>
          <w:rFonts w:ascii="Times New Roman" w:hAnsi="Times New Roman" w:cs="Times New Roman"/>
          <w:sz w:val="24"/>
          <w:szCs w:val="24"/>
        </w:rPr>
        <w:t xml:space="preserve"> Despite the fact that Duke </w:t>
      </w:r>
      <w:r w:rsidR="00F26387" w:rsidRPr="00FC3028">
        <w:rPr>
          <w:rFonts w:ascii="Times New Roman" w:hAnsi="Times New Roman" w:cs="Times New Roman"/>
          <w:sz w:val="24"/>
          <w:szCs w:val="24"/>
        </w:rPr>
        <w:t>claimed</w:t>
      </w:r>
      <w:r w:rsidRPr="00FC3028">
        <w:rPr>
          <w:rFonts w:ascii="Times New Roman" w:hAnsi="Times New Roman" w:cs="Times New Roman"/>
          <w:sz w:val="24"/>
          <w:szCs w:val="24"/>
        </w:rPr>
        <w:t xml:space="preserve"> in </w:t>
      </w:r>
      <w:r w:rsidR="00583EC3">
        <w:rPr>
          <w:rFonts w:ascii="Times New Roman" w:hAnsi="Times New Roman" w:cs="Times New Roman"/>
          <w:sz w:val="24"/>
          <w:szCs w:val="24"/>
        </w:rPr>
        <w:t>its</w:t>
      </w:r>
      <w:r w:rsidRPr="00FC3028">
        <w:rPr>
          <w:rFonts w:ascii="Times New Roman" w:hAnsi="Times New Roman" w:cs="Times New Roman"/>
          <w:sz w:val="24"/>
          <w:szCs w:val="24"/>
        </w:rPr>
        <w:t xml:space="preserve"> pre-filed testimony to “outline the [ASRP] program’s benefits to our customers and employees,”</w:t>
      </w:r>
      <w:r w:rsidRPr="00FC3028">
        <w:rPr>
          <w:rStyle w:val="FootnoteReference"/>
          <w:rFonts w:ascii="Times New Roman" w:hAnsi="Times New Roman" w:cs="Times New Roman"/>
          <w:sz w:val="24"/>
          <w:szCs w:val="24"/>
        </w:rPr>
        <w:footnoteReference w:id="160"/>
      </w:r>
      <w:r w:rsidR="00E96602">
        <w:rPr>
          <w:rFonts w:ascii="Times New Roman" w:hAnsi="Times New Roman" w:cs="Times New Roman"/>
          <w:sz w:val="24"/>
          <w:szCs w:val="24"/>
        </w:rPr>
        <w:t xml:space="preserve"> no</w:t>
      </w:r>
      <w:r w:rsidRPr="00FC3028">
        <w:rPr>
          <w:rFonts w:ascii="Times New Roman" w:hAnsi="Times New Roman" w:cs="Times New Roman"/>
          <w:sz w:val="24"/>
          <w:szCs w:val="24"/>
        </w:rPr>
        <w:t xml:space="preserve"> Duke witness provided any quantification of these alleged benefits.</w:t>
      </w:r>
      <w:r w:rsidRPr="00FC3028">
        <w:rPr>
          <w:rStyle w:val="FootnoteReference"/>
          <w:rFonts w:ascii="Times New Roman" w:hAnsi="Times New Roman" w:cs="Times New Roman"/>
          <w:sz w:val="24"/>
          <w:szCs w:val="24"/>
        </w:rPr>
        <w:footnoteReference w:id="161"/>
      </w:r>
      <w:r w:rsidRPr="00FC3028">
        <w:rPr>
          <w:rFonts w:ascii="Times New Roman" w:hAnsi="Times New Roman" w:cs="Times New Roman"/>
          <w:sz w:val="24"/>
          <w:szCs w:val="24"/>
        </w:rPr>
        <w:t xml:space="preserve"> </w:t>
      </w:r>
      <w:r w:rsidR="00ED2D5D" w:rsidRPr="00FC3028">
        <w:rPr>
          <w:rFonts w:ascii="Times New Roman" w:hAnsi="Times New Roman" w:cs="Times New Roman"/>
          <w:sz w:val="24"/>
          <w:szCs w:val="24"/>
        </w:rPr>
        <w:t xml:space="preserve">In failing to quantify the alleged benefits, Duke essentially ignored the statutory requirement of R. C. 4929.02 that its alternative rate plan must be “just and reasonable.” </w:t>
      </w:r>
    </w:p>
    <w:p w:rsidR="000A18BB" w:rsidRDefault="00ED2D5D" w:rsidP="006277E5">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also failed to provide this germane and relevant information when it filed its Reply Comments</w:t>
      </w:r>
      <w:r w:rsidRPr="00FC3028">
        <w:rPr>
          <w:rStyle w:val="FootnoteReference"/>
          <w:rFonts w:ascii="Times New Roman" w:hAnsi="Times New Roman" w:cs="Times New Roman"/>
          <w:sz w:val="24"/>
          <w:szCs w:val="24"/>
        </w:rPr>
        <w:footnoteReference w:id="162"/>
      </w:r>
      <w:r w:rsidRPr="00FC3028">
        <w:rPr>
          <w:rFonts w:ascii="Times New Roman" w:hAnsi="Times New Roman" w:cs="Times New Roman"/>
          <w:sz w:val="24"/>
          <w:szCs w:val="24"/>
        </w:rPr>
        <w:t xml:space="preserve"> and Objections to the Staff Report.</w:t>
      </w:r>
      <w:r w:rsidRPr="00FC3028">
        <w:rPr>
          <w:rStyle w:val="FootnoteReference"/>
          <w:rFonts w:ascii="Times New Roman" w:hAnsi="Times New Roman" w:cs="Times New Roman"/>
          <w:sz w:val="24"/>
          <w:szCs w:val="24"/>
        </w:rPr>
        <w:footnoteReference w:id="163"/>
      </w:r>
      <w:r>
        <w:rPr>
          <w:rFonts w:ascii="Times New Roman" w:hAnsi="Times New Roman" w:cs="Times New Roman"/>
          <w:sz w:val="24"/>
          <w:szCs w:val="24"/>
        </w:rPr>
        <w:t xml:space="preserve"> </w:t>
      </w:r>
      <w:r w:rsidR="006277E5" w:rsidRPr="00FC3028">
        <w:rPr>
          <w:rFonts w:ascii="Times New Roman" w:hAnsi="Times New Roman" w:cs="Times New Roman"/>
          <w:sz w:val="24"/>
          <w:szCs w:val="24"/>
        </w:rPr>
        <w:t>Duke provided no quantification of any alleged or potential Operation and Maintenance (“O&amp;M”) cost savings,</w:t>
      </w:r>
      <w:r w:rsidR="006277E5" w:rsidRPr="00FC3028">
        <w:rPr>
          <w:rStyle w:val="FootnoteReference"/>
          <w:rFonts w:ascii="Times New Roman" w:hAnsi="Times New Roman" w:cs="Times New Roman"/>
          <w:sz w:val="24"/>
          <w:szCs w:val="24"/>
        </w:rPr>
        <w:footnoteReference w:id="164"/>
      </w:r>
      <w:r w:rsidR="006277E5" w:rsidRPr="00FC3028">
        <w:rPr>
          <w:rFonts w:ascii="Times New Roman" w:hAnsi="Times New Roman" w:cs="Times New Roman"/>
          <w:sz w:val="24"/>
          <w:szCs w:val="24"/>
        </w:rPr>
        <w:t xml:space="preserve"> and no quantification of any leak reductions.</w:t>
      </w:r>
      <w:r w:rsidR="006277E5" w:rsidRPr="00FC3028">
        <w:rPr>
          <w:rStyle w:val="FootnoteReference"/>
          <w:rFonts w:ascii="Times New Roman" w:hAnsi="Times New Roman" w:cs="Times New Roman"/>
          <w:sz w:val="24"/>
          <w:szCs w:val="24"/>
        </w:rPr>
        <w:footnoteReference w:id="165"/>
      </w:r>
      <w:r w:rsidR="006277E5" w:rsidRPr="00FC3028">
        <w:rPr>
          <w:rFonts w:ascii="Times New Roman" w:hAnsi="Times New Roman" w:cs="Times New Roman"/>
          <w:sz w:val="24"/>
          <w:szCs w:val="24"/>
        </w:rPr>
        <w:t xml:space="preserve"> In fact, Duke did not even attempt to quantify the cost impact of the ASRP on customers through the proposed ten year term.</w:t>
      </w:r>
      <w:r w:rsidR="006277E5" w:rsidRPr="00FC3028">
        <w:rPr>
          <w:rStyle w:val="FootnoteReference"/>
          <w:rFonts w:ascii="Times New Roman" w:hAnsi="Times New Roman" w:cs="Times New Roman"/>
          <w:sz w:val="24"/>
          <w:szCs w:val="24"/>
        </w:rPr>
        <w:footnoteReference w:id="166"/>
      </w:r>
      <w:r w:rsidR="006277E5" w:rsidRPr="00FC3028">
        <w:rPr>
          <w:rFonts w:ascii="Times New Roman" w:hAnsi="Times New Roman" w:cs="Times New Roman"/>
          <w:sz w:val="24"/>
          <w:szCs w:val="24"/>
        </w:rPr>
        <w:t xml:space="preserve"> </w:t>
      </w:r>
    </w:p>
    <w:p w:rsidR="006277E5" w:rsidRPr="00FC3028" w:rsidRDefault="000A18BB" w:rsidP="00627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w:t>
      </w:r>
      <w:r w:rsidR="006277E5" w:rsidRPr="00FC3028">
        <w:rPr>
          <w:rFonts w:ascii="Times New Roman" w:hAnsi="Times New Roman" w:cs="Times New Roman"/>
          <w:sz w:val="24"/>
          <w:szCs w:val="24"/>
        </w:rPr>
        <w:t xml:space="preserve"> claimed that the ASRP would make its natural gas distribution system safer for customers, and employees.</w:t>
      </w:r>
      <w:r w:rsidR="006277E5" w:rsidRPr="00FC3028">
        <w:rPr>
          <w:rStyle w:val="FootnoteReference"/>
          <w:rFonts w:ascii="Times New Roman" w:hAnsi="Times New Roman" w:cs="Times New Roman"/>
          <w:sz w:val="24"/>
          <w:szCs w:val="24"/>
        </w:rPr>
        <w:footnoteReference w:id="167"/>
      </w:r>
      <w:r w:rsidR="006277E5" w:rsidRPr="00FC3028">
        <w:rPr>
          <w:rFonts w:ascii="Times New Roman" w:hAnsi="Times New Roman" w:cs="Times New Roman"/>
          <w:sz w:val="24"/>
          <w:szCs w:val="24"/>
        </w:rPr>
        <w:t xml:space="preserve"> In an attempt to support this claim, Duke relied on unrelated anecdotal stories rather than any empirical data. For example, Duke cited incidents that occurred in Texas,</w:t>
      </w:r>
      <w:r w:rsidR="006277E5" w:rsidRPr="00FC3028">
        <w:rPr>
          <w:rStyle w:val="FootnoteReference"/>
          <w:rFonts w:ascii="Times New Roman" w:hAnsi="Times New Roman" w:cs="Times New Roman"/>
          <w:sz w:val="24"/>
          <w:szCs w:val="24"/>
        </w:rPr>
        <w:footnoteReference w:id="168"/>
      </w:r>
      <w:r w:rsidR="006277E5" w:rsidRPr="00FC3028">
        <w:rPr>
          <w:rFonts w:ascii="Times New Roman" w:hAnsi="Times New Roman" w:cs="Times New Roman"/>
          <w:sz w:val="24"/>
          <w:szCs w:val="24"/>
        </w:rPr>
        <w:t xml:space="preserve"> California</w:t>
      </w:r>
      <w:r w:rsidR="0018517A">
        <w:rPr>
          <w:rStyle w:val="FootnoteReference"/>
          <w:rFonts w:ascii="Times New Roman" w:hAnsi="Times New Roman" w:cs="Times New Roman"/>
          <w:sz w:val="24"/>
          <w:szCs w:val="24"/>
        </w:rPr>
        <w:footnoteReference w:id="169"/>
      </w:r>
      <w:r w:rsidR="006277E5" w:rsidRPr="00FC3028">
        <w:rPr>
          <w:rFonts w:ascii="Times New Roman" w:hAnsi="Times New Roman" w:cs="Times New Roman"/>
          <w:sz w:val="24"/>
          <w:szCs w:val="24"/>
        </w:rPr>
        <w:t xml:space="preserve"> and Pennsylvania,</w:t>
      </w:r>
      <w:r w:rsidR="006277E5" w:rsidRPr="00FC3028">
        <w:rPr>
          <w:rStyle w:val="FootnoteReference"/>
          <w:rFonts w:ascii="Times New Roman" w:hAnsi="Times New Roman" w:cs="Times New Roman"/>
          <w:sz w:val="24"/>
          <w:szCs w:val="24"/>
        </w:rPr>
        <w:footnoteReference w:id="170"/>
      </w:r>
      <w:r w:rsidR="006277E5" w:rsidRPr="00FC3028">
        <w:rPr>
          <w:rFonts w:ascii="Times New Roman" w:hAnsi="Times New Roman" w:cs="Times New Roman"/>
          <w:sz w:val="24"/>
          <w:szCs w:val="24"/>
        </w:rPr>
        <w:t xml:space="preserve"> or in theory.</w:t>
      </w:r>
      <w:r w:rsidR="006277E5" w:rsidRPr="00FC3028">
        <w:rPr>
          <w:rStyle w:val="FootnoteReference"/>
          <w:rFonts w:ascii="Times New Roman" w:hAnsi="Times New Roman" w:cs="Times New Roman"/>
          <w:sz w:val="24"/>
          <w:szCs w:val="24"/>
        </w:rPr>
        <w:footnoteReference w:id="171"/>
      </w:r>
      <w:r w:rsidR="006277E5" w:rsidRPr="00FC3028">
        <w:rPr>
          <w:rFonts w:ascii="Times New Roman" w:hAnsi="Times New Roman" w:cs="Times New Roman"/>
          <w:sz w:val="24"/>
          <w:szCs w:val="24"/>
        </w:rPr>
        <w:t xml:space="preserve"> Yet, the fact remains that the California</w:t>
      </w:r>
      <w:r w:rsidR="0018517A">
        <w:rPr>
          <w:rStyle w:val="FootnoteReference"/>
          <w:rFonts w:ascii="Times New Roman" w:hAnsi="Times New Roman" w:cs="Times New Roman"/>
          <w:sz w:val="24"/>
          <w:szCs w:val="24"/>
        </w:rPr>
        <w:footnoteReference w:id="172"/>
      </w:r>
      <w:r w:rsidR="006277E5" w:rsidRPr="00FC3028">
        <w:rPr>
          <w:rFonts w:ascii="Times New Roman" w:hAnsi="Times New Roman" w:cs="Times New Roman"/>
          <w:sz w:val="24"/>
          <w:szCs w:val="24"/>
        </w:rPr>
        <w:t xml:space="preserve"> and Pennsylvania incidents </w:t>
      </w:r>
      <w:r w:rsidR="0018517A">
        <w:rPr>
          <w:rFonts w:ascii="Times New Roman" w:hAnsi="Times New Roman" w:cs="Times New Roman"/>
          <w:sz w:val="24"/>
          <w:szCs w:val="24"/>
        </w:rPr>
        <w:t>did not involve</w:t>
      </w:r>
      <w:r w:rsidR="006277E5" w:rsidRPr="00FC3028">
        <w:rPr>
          <w:rFonts w:ascii="Times New Roman" w:hAnsi="Times New Roman" w:cs="Times New Roman"/>
          <w:sz w:val="24"/>
          <w:szCs w:val="24"/>
        </w:rPr>
        <w:t xml:space="preserve"> service lines.</w:t>
      </w:r>
      <w:r w:rsidR="006277E5" w:rsidRPr="00FC3028">
        <w:rPr>
          <w:rStyle w:val="FootnoteReference"/>
          <w:rFonts w:ascii="Times New Roman" w:hAnsi="Times New Roman" w:cs="Times New Roman"/>
          <w:sz w:val="24"/>
          <w:szCs w:val="24"/>
        </w:rPr>
        <w:footnoteReference w:id="173"/>
      </w:r>
      <w:r w:rsidR="006277E5" w:rsidRPr="00FC3028">
        <w:rPr>
          <w:rFonts w:ascii="Times New Roman" w:hAnsi="Times New Roman" w:cs="Times New Roman"/>
          <w:sz w:val="24"/>
          <w:szCs w:val="24"/>
        </w:rPr>
        <w:t xml:space="preserve"> Moreover, </w:t>
      </w:r>
      <w:r w:rsidR="00583EC3">
        <w:rPr>
          <w:rFonts w:ascii="Times New Roman" w:hAnsi="Times New Roman" w:cs="Times New Roman"/>
          <w:sz w:val="24"/>
          <w:szCs w:val="24"/>
        </w:rPr>
        <w:t>Duke Witness Dr.</w:t>
      </w:r>
      <w:r w:rsidR="006277E5" w:rsidRPr="00FC3028">
        <w:rPr>
          <w:rFonts w:ascii="Times New Roman" w:hAnsi="Times New Roman" w:cs="Times New Roman"/>
          <w:sz w:val="24"/>
          <w:szCs w:val="24"/>
        </w:rPr>
        <w:t xml:space="preserve"> McGee admitted that he did no analysis to determine if the conditions surrounding the Texas incidents were similar to the conditions that exist in Duke</w:t>
      </w:r>
      <w:r w:rsidR="00623F4E">
        <w:rPr>
          <w:rFonts w:ascii="Times New Roman" w:hAnsi="Times New Roman" w:cs="Times New Roman"/>
          <w:sz w:val="24"/>
          <w:szCs w:val="24"/>
        </w:rPr>
        <w:t>’s</w:t>
      </w:r>
      <w:r w:rsidR="006277E5" w:rsidRPr="00FC3028">
        <w:rPr>
          <w:rFonts w:ascii="Times New Roman" w:hAnsi="Times New Roman" w:cs="Times New Roman"/>
          <w:sz w:val="24"/>
          <w:szCs w:val="24"/>
        </w:rPr>
        <w:t xml:space="preserve"> service territory.</w:t>
      </w:r>
      <w:r w:rsidR="006277E5" w:rsidRPr="00FC3028">
        <w:rPr>
          <w:rStyle w:val="FootnoteReference"/>
          <w:rFonts w:ascii="Times New Roman" w:hAnsi="Times New Roman" w:cs="Times New Roman"/>
          <w:sz w:val="24"/>
          <w:szCs w:val="24"/>
        </w:rPr>
        <w:footnoteReference w:id="174"/>
      </w:r>
      <w:r w:rsidR="006277E5" w:rsidRPr="00FC3028">
        <w:rPr>
          <w:rFonts w:ascii="Times New Roman" w:hAnsi="Times New Roman" w:cs="Times New Roman"/>
          <w:sz w:val="24"/>
          <w:szCs w:val="24"/>
        </w:rPr>
        <w:t xml:space="preserve"> Finally, Mr. McGee acknowledged that he was </w:t>
      </w:r>
      <w:r w:rsidR="006277E5" w:rsidRPr="00FC3028">
        <w:rPr>
          <w:rFonts w:ascii="Times New Roman" w:hAnsi="Times New Roman" w:cs="Times New Roman"/>
          <w:b/>
          <w:sz w:val="24"/>
          <w:szCs w:val="24"/>
        </w:rPr>
        <w:t>not</w:t>
      </w:r>
      <w:r w:rsidR="006277E5" w:rsidRPr="00FC3028">
        <w:rPr>
          <w:rFonts w:ascii="Times New Roman" w:hAnsi="Times New Roman" w:cs="Times New Roman"/>
          <w:sz w:val="24"/>
          <w:szCs w:val="24"/>
        </w:rPr>
        <w:t xml:space="preserve"> aware of </w:t>
      </w:r>
      <w:r w:rsidR="006277E5" w:rsidRPr="00FC3028">
        <w:rPr>
          <w:rFonts w:ascii="Times New Roman" w:hAnsi="Times New Roman" w:cs="Times New Roman"/>
          <w:b/>
          <w:sz w:val="24"/>
          <w:szCs w:val="24"/>
        </w:rPr>
        <w:t>ANY</w:t>
      </w:r>
      <w:r w:rsidR="006277E5" w:rsidRPr="00FC3028">
        <w:rPr>
          <w:rFonts w:ascii="Times New Roman" w:hAnsi="Times New Roman" w:cs="Times New Roman"/>
          <w:sz w:val="24"/>
          <w:szCs w:val="24"/>
        </w:rPr>
        <w:t xml:space="preserve"> incidents resulting from natural gas escaping a corroded service line and entering an occupied area or building and resulting in an incident.</w:t>
      </w:r>
      <w:r w:rsidR="006277E5" w:rsidRPr="00FC3028">
        <w:rPr>
          <w:rStyle w:val="FootnoteReference"/>
          <w:rFonts w:ascii="Times New Roman" w:hAnsi="Times New Roman" w:cs="Times New Roman"/>
          <w:sz w:val="24"/>
          <w:szCs w:val="24"/>
        </w:rPr>
        <w:footnoteReference w:id="175"/>
      </w:r>
      <w:r w:rsidR="006277E5" w:rsidRPr="00FC3028">
        <w:rPr>
          <w:rFonts w:ascii="Times New Roman" w:hAnsi="Times New Roman" w:cs="Times New Roman"/>
          <w:sz w:val="24"/>
          <w:szCs w:val="24"/>
        </w:rPr>
        <w:t xml:space="preserve"> </w:t>
      </w:r>
    </w:p>
    <w:p w:rsidR="006277E5" w:rsidRPr="00FC3028" w:rsidRDefault="006277E5" w:rsidP="006277E5">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Duke’s failure to actually quantify any of the alleged customer benefits also makes it very difficult, if not impossible for the PUCO to evaluate the prudence of the proposed $320 million in spending. Without any quantification of the alleged benefits the PUCO cannot evaluate how much benefit customers are getting for their money. In fact, Staff witness Adkins emphasized this very point:</w:t>
      </w:r>
    </w:p>
    <w:p w:rsidR="006277E5" w:rsidRPr="00FC3028" w:rsidRDefault="006277E5" w:rsidP="009420EC">
      <w:pPr>
        <w:autoSpaceDE w:val="0"/>
        <w:autoSpaceDN w:val="0"/>
        <w:adjustRightInd w:val="0"/>
        <w:spacing w:after="0" w:line="240" w:lineRule="auto"/>
        <w:ind w:left="1440" w:right="720"/>
        <w:rPr>
          <w:rFonts w:ascii="Times New Roman" w:hAnsi="Times New Roman" w:cs="Times New Roman"/>
          <w:sz w:val="24"/>
          <w:szCs w:val="24"/>
        </w:rPr>
      </w:pPr>
      <w:r w:rsidRPr="00FC3028">
        <w:rPr>
          <w:rFonts w:ascii="Times New Roman" w:hAnsi="Times New Roman" w:cs="Times New Roman"/>
          <w:sz w:val="24"/>
          <w:szCs w:val="24"/>
        </w:rPr>
        <w:t xml:space="preserve">I think the more central point that we’re making is that </w:t>
      </w:r>
      <w:r w:rsidRPr="00FC3028">
        <w:rPr>
          <w:rFonts w:ascii="Times New Roman" w:hAnsi="Times New Roman" w:cs="Times New Roman"/>
          <w:b/>
          <w:sz w:val="24"/>
          <w:szCs w:val="24"/>
        </w:rPr>
        <w:t>the company hasn’t proven that it’s needed</w:t>
      </w:r>
      <w:r w:rsidRPr="00FC3028">
        <w:rPr>
          <w:rFonts w:ascii="Times New Roman" w:hAnsi="Times New Roman" w:cs="Times New Roman"/>
          <w:sz w:val="24"/>
          <w:szCs w:val="24"/>
        </w:rPr>
        <w:t xml:space="preserve">. In our opinion as staff, the company did not examine any alternatives. </w:t>
      </w:r>
      <w:r w:rsidRPr="00FC3028">
        <w:rPr>
          <w:rFonts w:ascii="Times New Roman" w:hAnsi="Times New Roman" w:cs="Times New Roman"/>
          <w:b/>
          <w:sz w:val="24"/>
          <w:szCs w:val="24"/>
        </w:rPr>
        <w:t>The company has failed to do any sort of cost benefit analysis.</w:t>
      </w:r>
    </w:p>
    <w:p w:rsidR="006277E5" w:rsidRPr="00FC3028" w:rsidRDefault="006277E5" w:rsidP="009420EC">
      <w:pPr>
        <w:autoSpaceDE w:val="0"/>
        <w:autoSpaceDN w:val="0"/>
        <w:adjustRightInd w:val="0"/>
        <w:spacing w:after="0" w:line="240" w:lineRule="auto"/>
        <w:ind w:left="1440" w:right="720"/>
        <w:rPr>
          <w:rFonts w:ascii="Times New Roman" w:hAnsi="Times New Roman" w:cs="Times New Roman"/>
          <w:sz w:val="24"/>
          <w:szCs w:val="24"/>
        </w:rPr>
      </w:pPr>
    </w:p>
    <w:p w:rsidR="006277E5" w:rsidRPr="00FC3028" w:rsidRDefault="006277E5" w:rsidP="009420EC">
      <w:pPr>
        <w:autoSpaceDE w:val="0"/>
        <w:autoSpaceDN w:val="0"/>
        <w:adjustRightInd w:val="0"/>
        <w:spacing w:after="0" w:line="240" w:lineRule="auto"/>
        <w:ind w:left="1440" w:right="720"/>
        <w:rPr>
          <w:rFonts w:ascii="Times New Roman" w:hAnsi="Times New Roman" w:cs="Times New Roman"/>
          <w:sz w:val="24"/>
          <w:szCs w:val="24"/>
        </w:rPr>
      </w:pPr>
      <w:r w:rsidRPr="00FC3028">
        <w:rPr>
          <w:rFonts w:ascii="Times New Roman" w:hAnsi="Times New Roman" w:cs="Times New Roman"/>
          <w:b/>
          <w:sz w:val="24"/>
          <w:szCs w:val="24"/>
        </w:rPr>
        <w:t>We have an idea of the costs, but not necessarily any idea of the benefits, especially those benefits accrued to customers</w:t>
      </w:r>
      <w:r w:rsidRPr="00FC3028">
        <w:rPr>
          <w:rFonts w:ascii="Times New Roman" w:hAnsi="Times New Roman" w:cs="Times New Roman"/>
          <w:sz w:val="24"/>
          <w:szCs w:val="24"/>
        </w:rPr>
        <w:t>. There’s some benefits accrued to the company, but, again, there’s no quantification of those benefits.</w:t>
      </w:r>
      <w:r w:rsidRPr="00FC3028">
        <w:rPr>
          <w:rStyle w:val="FootnoteReference"/>
          <w:rFonts w:ascii="Times New Roman" w:hAnsi="Times New Roman" w:cs="Times New Roman"/>
          <w:sz w:val="24"/>
          <w:szCs w:val="24"/>
        </w:rPr>
        <w:footnoteReference w:id="176"/>
      </w:r>
    </w:p>
    <w:p w:rsidR="006277E5" w:rsidRPr="00FC3028" w:rsidRDefault="006277E5" w:rsidP="006277E5">
      <w:pPr>
        <w:autoSpaceDE w:val="0"/>
        <w:autoSpaceDN w:val="0"/>
        <w:adjustRightInd w:val="0"/>
        <w:spacing w:after="0" w:line="240" w:lineRule="auto"/>
        <w:rPr>
          <w:rFonts w:ascii="Times New Roman" w:hAnsi="Times New Roman" w:cs="Times New Roman"/>
          <w:sz w:val="24"/>
          <w:szCs w:val="24"/>
        </w:rPr>
      </w:pPr>
    </w:p>
    <w:p w:rsidR="006277E5" w:rsidRPr="00FC3028" w:rsidRDefault="006277E5" w:rsidP="00B20141">
      <w:pPr>
        <w:spacing w:after="0" w:line="480" w:lineRule="auto"/>
        <w:rPr>
          <w:rFonts w:ascii="Times New Roman" w:hAnsi="Times New Roman" w:cs="Times New Roman"/>
          <w:sz w:val="24"/>
          <w:szCs w:val="24"/>
        </w:rPr>
      </w:pPr>
      <w:r w:rsidRPr="00FC3028">
        <w:rPr>
          <w:rFonts w:ascii="Times New Roman" w:hAnsi="Times New Roman" w:cs="Times New Roman"/>
          <w:sz w:val="24"/>
          <w:szCs w:val="24"/>
        </w:rPr>
        <w:t>The lack of any quantification of benefits means that the PUCO must base prudence on whether a distribution system that is already safe and reliable</w:t>
      </w:r>
      <w:r w:rsidRPr="00FC3028">
        <w:rPr>
          <w:rStyle w:val="FootnoteReference"/>
          <w:rFonts w:ascii="Times New Roman" w:hAnsi="Times New Roman" w:cs="Times New Roman"/>
          <w:sz w:val="24"/>
          <w:szCs w:val="24"/>
        </w:rPr>
        <w:footnoteReference w:id="177"/>
      </w:r>
      <w:r w:rsidRPr="00FC3028">
        <w:rPr>
          <w:rFonts w:ascii="Times New Roman" w:hAnsi="Times New Roman" w:cs="Times New Roman"/>
          <w:sz w:val="24"/>
          <w:szCs w:val="24"/>
        </w:rPr>
        <w:t xml:space="preserve"> and that currently exceeds minimum natural gas service standards</w:t>
      </w:r>
      <w:r w:rsidRPr="00FC3028">
        <w:rPr>
          <w:rStyle w:val="FootnoteReference"/>
          <w:rFonts w:ascii="Times New Roman" w:hAnsi="Times New Roman" w:cs="Times New Roman"/>
          <w:sz w:val="24"/>
          <w:szCs w:val="24"/>
        </w:rPr>
        <w:footnoteReference w:id="178"/>
      </w:r>
      <w:r w:rsidRPr="00FC3028">
        <w:rPr>
          <w:rFonts w:ascii="Times New Roman" w:hAnsi="Times New Roman" w:cs="Times New Roman"/>
          <w:sz w:val="24"/>
          <w:szCs w:val="24"/>
        </w:rPr>
        <w:t xml:space="preserve"> is made safer enough to warrant the $320 million price tag. In fact, Duke’s witnesses</w:t>
      </w:r>
      <w:r w:rsidR="00AE451B">
        <w:rPr>
          <w:rFonts w:ascii="Times New Roman" w:hAnsi="Times New Roman" w:cs="Times New Roman"/>
          <w:sz w:val="24"/>
          <w:szCs w:val="24"/>
        </w:rPr>
        <w:t xml:space="preserve"> </w:t>
      </w:r>
      <w:r w:rsidRPr="00FC3028">
        <w:rPr>
          <w:rFonts w:ascii="Times New Roman" w:hAnsi="Times New Roman" w:cs="Times New Roman"/>
          <w:sz w:val="24"/>
          <w:szCs w:val="24"/>
        </w:rPr>
        <w:t>testified that not only was Duke’s distribution system, including service lines safe and reliable today, but that it would remain so in the future, even if the PUCO were to reject the ASRP.</w:t>
      </w:r>
      <w:r w:rsidRPr="00FC3028">
        <w:rPr>
          <w:rStyle w:val="FootnoteReference"/>
          <w:rFonts w:ascii="Times New Roman" w:hAnsi="Times New Roman" w:cs="Times New Roman"/>
          <w:sz w:val="24"/>
          <w:szCs w:val="24"/>
        </w:rPr>
        <w:footnoteReference w:id="179"/>
      </w:r>
      <w:r w:rsidRPr="00FC3028">
        <w:rPr>
          <w:rFonts w:ascii="Times New Roman" w:hAnsi="Times New Roman" w:cs="Times New Roman"/>
          <w:sz w:val="24"/>
          <w:szCs w:val="24"/>
        </w:rPr>
        <w:t xml:space="preserve"> Staff Witness Adkins correctly summed up the problem stating:</w:t>
      </w:r>
    </w:p>
    <w:p w:rsidR="006277E5" w:rsidRDefault="006277E5" w:rsidP="009420EC">
      <w:pPr>
        <w:autoSpaceDE w:val="0"/>
        <w:autoSpaceDN w:val="0"/>
        <w:adjustRightInd w:val="0"/>
        <w:spacing w:after="0" w:line="240" w:lineRule="auto"/>
        <w:ind w:left="1440" w:right="720"/>
        <w:rPr>
          <w:rFonts w:ascii="Times New Roman" w:hAnsi="Times New Roman" w:cs="Times New Roman"/>
          <w:sz w:val="24"/>
          <w:szCs w:val="24"/>
        </w:rPr>
      </w:pPr>
      <w:r w:rsidRPr="00FC3028">
        <w:rPr>
          <w:rFonts w:ascii="Times New Roman" w:hAnsi="Times New Roman" w:cs="Times New Roman"/>
          <w:sz w:val="24"/>
          <w:szCs w:val="24"/>
        </w:rPr>
        <w:t>In my mind, safety is a relative term. Safety has to be considered in terms of its cost as well as its benefit. I think I pointed out in my testimony that Duke’s system or any other system in the country cannot be made 100 percent safe. That’s not humanly possible. There will always be some risk. The question is how much safer can the system be made, and in our minds, the company could have and should have quantified that. In terms of safer, one of my colleagues said it best, it seems like we’re saferererer. It's getting very expensive getting those last few ers. The increments in safety are getting very expensive.</w:t>
      </w:r>
      <w:r w:rsidRPr="00FC3028">
        <w:rPr>
          <w:rStyle w:val="FootnoteReference"/>
          <w:rFonts w:ascii="Times New Roman" w:hAnsi="Times New Roman" w:cs="Times New Roman"/>
          <w:sz w:val="24"/>
          <w:szCs w:val="24"/>
        </w:rPr>
        <w:footnoteReference w:id="180"/>
      </w:r>
    </w:p>
    <w:p w:rsidR="006E495D" w:rsidRPr="00FC3028" w:rsidRDefault="006E495D" w:rsidP="006E495D">
      <w:pPr>
        <w:autoSpaceDE w:val="0"/>
        <w:autoSpaceDN w:val="0"/>
        <w:adjustRightInd w:val="0"/>
        <w:spacing w:after="0" w:line="240" w:lineRule="auto"/>
        <w:ind w:left="1440" w:right="1440"/>
        <w:rPr>
          <w:rFonts w:ascii="Times New Roman" w:hAnsi="Times New Roman" w:cs="Times New Roman"/>
          <w:sz w:val="24"/>
          <w:szCs w:val="24"/>
        </w:rPr>
      </w:pPr>
    </w:p>
    <w:p w:rsidR="006277E5" w:rsidRPr="00FC3028" w:rsidRDefault="006277E5" w:rsidP="009420EC">
      <w:pPr>
        <w:autoSpaceDE w:val="0"/>
        <w:autoSpaceDN w:val="0"/>
        <w:adjustRightInd w:val="0"/>
        <w:spacing w:after="0" w:line="240" w:lineRule="auto"/>
        <w:ind w:left="1440" w:right="720"/>
        <w:rPr>
          <w:rFonts w:ascii="Times New Roman" w:hAnsi="Times New Roman" w:cs="Times New Roman"/>
          <w:sz w:val="24"/>
          <w:szCs w:val="24"/>
        </w:rPr>
      </w:pPr>
      <w:r w:rsidRPr="00FC3028">
        <w:rPr>
          <w:rFonts w:ascii="Times New Roman" w:hAnsi="Times New Roman" w:cs="Times New Roman"/>
          <w:sz w:val="24"/>
          <w:szCs w:val="24"/>
        </w:rPr>
        <w:t>In my mind, the safety of the company’s system, it cannot be made</w:t>
      </w:r>
      <w:r w:rsidR="009066BD">
        <w:rPr>
          <w:rFonts w:ascii="Times New Roman" w:hAnsi="Times New Roman" w:cs="Times New Roman"/>
          <w:sz w:val="24"/>
          <w:szCs w:val="24"/>
        </w:rPr>
        <w:t xml:space="preserve"> </w:t>
      </w:r>
      <w:r w:rsidRPr="00FC3028">
        <w:rPr>
          <w:rFonts w:ascii="Times New Roman" w:hAnsi="Times New Roman" w:cs="Times New Roman"/>
          <w:sz w:val="24"/>
          <w:szCs w:val="24"/>
        </w:rPr>
        <w:t>100 percent safe. Therefore, safety -- in order to get safer, there’s costs associated with getting safer, and in the staff’s opinion, the company should have looked at and the Commission should look at the amount of safety gained in exchange for the cost. I don’t believe that's been adequately done so in this case.</w:t>
      </w:r>
      <w:r w:rsidRPr="00FC3028">
        <w:rPr>
          <w:rStyle w:val="FootnoteReference"/>
          <w:rFonts w:ascii="Times New Roman" w:hAnsi="Times New Roman" w:cs="Times New Roman"/>
          <w:sz w:val="24"/>
          <w:szCs w:val="24"/>
        </w:rPr>
        <w:footnoteReference w:id="181"/>
      </w:r>
    </w:p>
    <w:p w:rsidR="006277E5" w:rsidRPr="00FC3028" w:rsidRDefault="006277E5" w:rsidP="006277E5">
      <w:pPr>
        <w:autoSpaceDE w:val="0"/>
        <w:autoSpaceDN w:val="0"/>
        <w:adjustRightInd w:val="0"/>
        <w:spacing w:after="0" w:line="240" w:lineRule="auto"/>
        <w:ind w:left="1440" w:right="1440"/>
        <w:rPr>
          <w:rFonts w:ascii="Times New Roman" w:hAnsi="Times New Roman" w:cs="Times New Roman"/>
          <w:sz w:val="24"/>
          <w:szCs w:val="24"/>
        </w:rPr>
      </w:pPr>
    </w:p>
    <w:p w:rsidR="006277E5" w:rsidRPr="00FC3028" w:rsidRDefault="006277E5" w:rsidP="006277E5">
      <w:pPr>
        <w:spacing w:after="0" w:line="480" w:lineRule="auto"/>
        <w:rPr>
          <w:rFonts w:ascii="Times New Roman" w:hAnsi="Times New Roman" w:cs="Times New Roman"/>
          <w:sz w:val="24"/>
          <w:szCs w:val="24"/>
        </w:rPr>
      </w:pPr>
      <w:r w:rsidRPr="00FC3028">
        <w:rPr>
          <w:rFonts w:ascii="Times New Roman" w:hAnsi="Times New Roman" w:cs="Times New Roman"/>
          <w:sz w:val="24"/>
          <w:szCs w:val="24"/>
        </w:rPr>
        <w:t>OCC Witness Hayes also noted that any reduction in risk was only incremental and that at a price of $320 million it was too costly.</w:t>
      </w:r>
      <w:r w:rsidRPr="00FC3028">
        <w:rPr>
          <w:rStyle w:val="FootnoteReference"/>
          <w:rFonts w:ascii="Times New Roman" w:hAnsi="Times New Roman" w:cs="Times New Roman"/>
          <w:sz w:val="24"/>
          <w:szCs w:val="24"/>
        </w:rPr>
        <w:footnoteReference w:id="182"/>
      </w:r>
    </w:p>
    <w:p w:rsidR="006277E5" w:rsidRPr="00FC3028" w:rsidRDefault="006277E5" w:rsidP="006277E5">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Thus</w:t>
      </w:r>
      <w:r w:rsidR="00AE451B">
        <w:rPr>
          <w:rFonts w:ascii="Times New Roman" w:hAnsi="Times New Roman" w:cs="Times New Roman"/>
          <w:sz w:val="24"/>
          <w:szCs w:val="24"/>
        </w:rPr>
        <w:t>,</w:t>
      </w:r>
      <w:r w:rsidRPr="00FC3028">
        <w:rPr>
          <w:rFonts w:ascii="Times New Roman" w:hAnsi="Times New Roman" w:cs="Times New Roman"/>
          <w:sz w:val="24"/>
          <w:szCs w:val="24"/>
        </w:rPr>
        <w:t xml:space="preserve"> the issue for the PUCO is not whether the replacement of old equipment (pre-1971 service lines that are not currently leaking but are at a risk to leak in the future) by new equipment/service lines will improve the s</w:t>
      </w:r>
      <w:r w:rsidR="00EE68FE" w:rsidRPr="00FC3028">
        <w:rPr>
          <w:rFonts w:ascii="Times New Roman" w:hAnsi="Times New Roman" w:cs="Times New Roman"/>
          <w:sz w:val="24"/>
          <w:szCs w:val="24"/>
        </w:rPr>
        <w:t>ervice being provided. Rather</w:t>
      </w:r>
      <w:r w:rsidRPr="00FC3028">
        <w:rPr>
          <w:rFonts w:ascii="Times New Roman" w:hAnsi="Times New Roman" w:cs="Times New Roman"/>
          <w:sz w:val="24"/>
          <w:szCs w:val="24"/>
        </w:rPr>
        <w:t xml:space="preserve"> the issue is whether the $320 million in cost delivers an improvement in safety and reliability that warrants the spending. Duke has the burden of proving the reasonableness of this spending. Duke has failed to prove this need.</w:t>
      </w:r>
      <w:r w:rsidR="00AD04E3">
        <w:rPr>
          <w:rFonts w:ascii="Times New Roman" w:hAnsi="Times New Roman" w:cs="Times New Roman"/>
          <w:sz w:val="24"/>
          <w:szCs w:val="24"/>
        </w:rPr>
        <w:t xml:space="preserve"> Therefore, the proposal is not just and reasonable and should not be approved. </w:t>
      </w:r>
    </w:p>
    <w:p w:rsidR="006277E5" w:rsidRPr="00FC3028" w:rsidRDefault="00AE451B" w:rsidP="00627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d</w:t>
      </w:r>
      <w:r w:rsidR="002442FF">
        <w:rPr>
          <w:rFonts w:ascii="Times New Roman" w:hAnsi="Times New Roman" w:cs="Times New Roman"/>
          <w:sz w:val="24"/>
          <w:szCs w:val="24"/>
        </w:rPr>
        <w:t xml:space="preserve">espite the fact that Duke did not quantify the benefits of the ASRP and its current level of service and reliability exceeds PUCO minimum standards, Duke failed to solicit customer input regarding the ASRP. That is, </w:t>
      </w:r>
      <w:r w:rsidR="001862F1">
        <w:rPr>
          <w:rFonts w:ascii="Times New Roman" w:hAnsi="Times New Roman" w:cs="Times New Roman"/>
          <w:sz w:val="24"/>
          <w:szCs w:val="24"/>
        </w:rPr>
        <w:t>Duke</w:t>
      </w:r>
      <w:r w:rsidR="006277E5" w:rsidRPr="00FC3028">
        <w:rPr>
          <w:rFonts w:ascii="Times New Roman" w:hAnsi="Times New Roman" w:cs="Times New Roman"/>
          <w:sz w:val="24"/>
          <w:szCs w:val="24"/>
        </w:rPr>
        <w:t xml:space="preserve"> </w:t>
      </w:r>
      <w:r w:rsidR="001862F1">
        <w:rPr>
          <w:rFonts w:ascii="Times New Roman" w:hAnsi="Times New Roman" w:cs="Times New Roman"/>
          <w:sz w:val="24"/>
          <w:szCs w:val="24"/>
        </w:rPr>
        <w:t>did not</w:t>
      </w:r>
      <w:r w:rsidR="006277E5" w:rsidRPr="00FC3028">
        <w:rPr>
          <w:rFonts w:ascii="Times New Roman" w:hAnsi="Times New Roman" w:cs="Times New Roman"/>
          <w:sz w:val="24"/>
          <w:szCs w:val="24"/>
        </w:rPr>
        <w:t xml:space="preserve"> </w:t>
      </w:r>
      <w:r w:rsidR="002442FF">
        <w:rPr>
          <w:rFonts w:ascii="Times New Roman" w:hAnsi="Times New Roman" w:cs="Times New Roman"/>
          <w:sz w:val="24"/>
          <w:szCs w:val="24"/>
        </w:rPr>
        <w:t>survey</w:t>
      </w:r>
      <w:r w:rsidR="001862F1">
        <w:rPr>
          <w:rFonts w:ascii="Times New Roman" w:hAnsi="Times New Roman" w:cs="Times New Roman"/>
          <w:sz w:val="24"/>
          <w:szCs w:val="24"/>
        </w:rPr>
        <w:t xml:space="preserve"> customer</w:t>
      </w:r>
      <w:r w:rsidR="002442FF">
        <w:rPr>
          <w:rFonts w:ascii="Times New Roman" w:hAnsi="Times New Roman" w:cs="Times New Roman"/>
          <w:sz w:val="24"/>
          <w:szCs w:val="24"/>
        </w:rPr>
        <w:t>s</w:t>
      </w:r>
      <w:r w:rsidR="006277E5" w:rsidRPr="00FC3028">
        <w:rPr>
          <w:rFonts w:ascii="Times New Roman" w:hAnsi="Times New Roman" w:cs="Times New Roman"/>
          <w:sz w:val="24"/>
          <w:szCs w:val="24"/>
        </w:rPr>
        <w:t xml:space="preserve"> </w:t>
      </w:r>
      <w:r w:rsidR="002442FF">
        <w:rPr>
          <w:rFonts w:ascii="Times New Roman" w:hAnsi="Times New Roman" w:cs="Times New Roman"/>
          <w:sz w:val="24"/>
          <w:szCs w:val="24"/>
        </w:rPr>
        <w:t>to determine if they would be willing to</w:t>
      </w:r>
      <w:r w:rsidR="006277E5" w:rsidRPr="00FC3028">
        <w:rPr>
          <w:rFonts w:ascii="Times New Roman" w:hAnsi="Times New Roman" w:cs="Times New Roman"/>
          <w:sz w:val="24"/>
          <w:szCs w:val="24"/>
        </w:rPr>
        <w:t xml:space="preserve"> spend $320 million or almost $893 per customer over a ten</w:t>
      </w:r>
      <w:r w:rsidR="00623F4E">
        <w:rPr>
          <w:rFonts w:ascii="Times New Roman" w:hAnsi="Times New Roman" w:cs="Times New Roman"/>
          <w:sz w:val="24"/>
          <w:szCs w:val="24"/>
        </w:rPr>
        <w:t>-</w:t>
      </w:r>
      <w:r w:rsidR="006277E5" w:rsidRPr="00FC3028">
        <w:rPr>
          <w:rFonts w:ascii="Times New Roman" w:hAnsi="Times New Roman" w:cs="Times New Roman"/>
          <w:sz w:val="24"/>
          <w:szCs w:val="24"/>
        </w:rPr>
        <w:t>year period</w:t>
      </w:r>
      <w:r w:rsidR="006277E5" w:rsidRPr="00FC3028">
        <w:rPr>
          <w:rStyle w:val="FootnoteReference"/>
          <w:rFonts w:ascii="Times New Roman" w:hAnsi="Times New Roman" w:cs="Times New Roman"/>
          <w:sz w:val="24"/>
          <w:szCs w:val="24"/>
        </w:rPr>
        <w:footnoteReference w:id="183"/>
      </w:r>
      <w:r w:rsidR="006277E5" w:rsidRPr="00FC3028">
        <w:rPr>
          <w:rFonts w:ascii="Times New Roman" w:hAnsi="Times New Roman" w:cs="Times New Roman"/>
          <w:sz w:val="24"/>
          <w:szCs w:val="24"/>
        </w:rPr>
        <w:t xml:space="preserve"> </w:t>
      </w:r>
      <w:r w:rsidR="002442FF">
        <w:rPr>
          <w:rFonts w:ascii="Times New Roman" w:hAnsi="Times New Roman" w:cs="Times New Roman"/>
          <w:sz w:val="24"/>
          <w:szCs w:val="24"/>
        </w:rPr>
        <w:t>for a</w:t>
      </w:r>
      <w:r w:rsidR="001862F1" w:rsidRPr="00FC3028">
        <w:rPr>
          <w:rFonts w:ascii="Times New Roman" w:hAnsi="Times New Roman" w:cs="Times New Roman"/>
          <w:sz w:val="24"/>
          <w:szCs w:val="24"/>
        </w:rPr>
        <w:t xml:space="preserve"> </w:t>
      </w:r>
      <w:r w:rsidR="006277E5" w:rsidRPr="00FC3028">
        <w:rPr>
          <w:rFonts w:ascii="Times New Roman" w:hAnsi="Times New Roman" w:cs="Times New Roman"/>
          <w:sz w:val="24"/>
          <w:szCs w:val="24"/>
        </w:rPr>
        <w:t>“safer” and “more reliable”</w:t>
      </w:r>
      <w:r w:rsidR="001862F1">
        <w:rPr>
          <w:rFonts w:ascii="Times New Roman" w:hAnsi="Times New Roman" w:cs="Times New Roman"/>
          <w:sz w:val="24"/>
          <w:szCs w:val="24"/>
        </w:rPr>
        <w:t xml:space="preserve"> system.  </w:t>
      </w:r>
      <w:r w:rsidR="006277E5" w:rsidRPr="00FC3028">
        <w:rPr>
          <w:rFonts w:ascii="Times New Roman" w:hAnsi="Times New Roman" w:cs="Times New Roman"/>
          <w:sz w:val="24"/>
          <w:szCs w:val="24"/>
        </w:rPr>
        <w:t xml:space="preserve"> Duke failed to take this reasonable step despite the fact that </w:t>
      </w:r>
      <w:r w:rsidR="000A18BB">
        <w:rPr>
          <w:rFonts w:ascii="Times New Roman" w:hAnsi="Times New Roman" w:cs="Times New Roman"/>
          <w:sz w:val="24"/>
          <w:szCs w:val="24"/>
        </w:rPr>
        <w:t>its m</w:t>
      </w:r>
      <w:r w:rsidR="006277E5" w:rsidRPr="00FC3028">
        <w:rPr>
          <w:rFonts w:ascii="Times New Roman" w:hAnsi="Times New Roman" w:cs="Times New Roman"/>
          <w:sz w:val="24"/>
          <w:szCs w:val="24"/>
        </w:rPr>
        <w:t>anagement is familiar with the concept of surveying its customers to get feedback on customers’ willingness to spend money to get improved service reliability.</w:t>
      </w:r>
      <w:r w:rsidR="006277E5" w:rsidRPr="00FC3028">
        <w:rPr>
          <w:rStyle w:val="FootnoteReference"/>
          <w:rFonts w:ascii="Times New Roman" w:hAnsi="Times New Roman" w:cs="Times New Roman"/>
          <w:sz w:val="24"/>
          <w:szCs w:val="24"/>
        </w:rPr>
        <w:footnoteReference w:id="184"/>
      </w:r>
      <w:r w:rsidR="006277E5" w:rsidRPr="00FC3028">
        <w:rPr>
          <w:rFonts w:ascii="Times New Roman" w:hAnsi="Times New Roman" w:cs="Times New Roman"/>
          <w:sz w:val="24"/>
          <w:szCs w:val="24"/>
        </w:rPr>
        <w:t xml:space="preserve"> </w:t>
      </w:r>
    </w:p>
    <w:p w:rsidR="002200B8" w:rsidRDefault="006277E5" w:rsidP="002200B8">
      <w:pPr>
        <w:spacing w:after="0" w:line="480" w:lineRule="auto"/>
        <w:rPr>
          <w:rFonts w:ascii="Times New Roman" w:hAnsi="Times New Roman" w:cs="Times New Roman"/>
          <w:sz w:val="24"/>
          <w:szCs w:val="24"/>
        </w:rPr>
      </w:pPr>
      <w:r w:rsidRPr="00FC3028">
        <w:rPr>
          <w:rFonts w:ascii="Times New Roman" w:hAnsi="Times New Roman" w:cs="Times New Roman"/>
          <w:sz w:val="24"/>
          <w:szCs w:val="24"/>
        </w:rPr>
        <w:tab/>
        <w:t>Duke’s failure to quantify any alleged customer benefits and failure to conduct any cost</w:t>
      </w:r>
      <w:r w:rsidR="00623F4E">
        <w:rPr>
          <w:rFonts w:ascii="Times New Roman" w:hAnsi="Times New Roman" w:cs="Times New Roman"/>
          <w:sz w:val="24"/>
          <w:szCs w:val="24"/>
        </w:rPr>
        <w:t>-</w:t>
      </w:r>
      <w:r w:rsidRPr="00FC3028">
        <w:rPr>
          <w:rFonts w:ascii="Times New Roman" w:hAnsi="Times New Roman" w:cs="Times New Roman"/>
          <w:sz w:val="24"/>
          <w:szCs w:val="24"/>
        </w:rPr>
        <w:t>benefit analysis is compounded by the Utility’s failure to even consider any alternatives to the $320</w:t>
      </w:r>
      <w:r w:rsidR="00850CC5">
        <w:rPr>
          <w:rFonts w:ascii="Times New Roman" w:hAnsi="Times New Roman" w:cs="Times New Roman"/>
          <w:sz w:val="24"/>
          <w:szCs w:val="24"/>
        </w:rPr>
        <w:t xml:space="preserve"> million</w:t>
      </w:r>
      <w:r w:rsidRPr="00FC3028">
        <w:rPr>
          <w:rFonts w:ascii="Times New Roman" w:hAnsi="Times New Roman" w:cs="Times New Roman"/>
          <w:sz w:val="24"/>
          <w:szCs w:val="24"/>
        </w:rPr>
        <w:t xml:space="preserve"> ASRP.</w:t>
      </w:r>
      <w:r w:rsidRPr="00FC3028">
        <w:rPr>
          <w:rStyle w:val="FootnoteReference"/>
          <w:rFonts w:ascii="Times New Roman" w:hAnsi="Times New Roman" w:cs="Times New Roman"/>
          <w:sz w:val="24"/>
          <w:szCs w:val="24"/>
        </w:rPr>
        <w:footnoteReference w:id="185"/>
      </w:r>
      <w:r w:rsidRPr="00FC3028">
        <w:rPr>
          <w:rFonts w:ascii="Times New Roman" w:hAnsi="Times New Roman" w:cs="Times New Roman"/>
          <w:sz w:val="24"/>
          <w:szCs w:val="24"/>
        </w:rPr>
        <w:t xml:space="preserve"> Instead, as Staff Witness Adkins concluded, the Utility merely settled for the most costly option.</w:t>
      </w:r>
      <w:r w:rsidRPr="00FC3028">
        <w:rPr>
          <w:rStyle w:val="FootnoteReference"/>
          <w:rFonts w:ascii="Times New Roman" w:hAnsi="Times New Roman" w:cs="Times New Roman"/>
          <w:sz w:val="24"/>
          <w:szCs w:val="24"/>
        </w:rPr>
        <w:footnoteReference w:id="186"/>
      </w:r>
      <w:r w:rsidRPr="00FC3028">
        <w:rPr>
          <w:rFonts w:ascii="Times New Roman" w:hAnsi="Times New Roman" w:cs="Times New Roman"/>
          <w:sz w:val="24"/>
          <w:szCs w:val="24"/>
        </w:rPr>
        <w:t xml:space="preserve"> </w:t>
      </w:r>
      <w:r w:rsidR="00EE787D">
        <w:rPr>
          <w:rFonts w:ascii="Times New Roman" w:hAnsi="Times New Roman" w:cs="Times New Roman"/>
          <w:sz w:val="24"/>
          <w:szCs w:val="24"/>
        </w:rPr>
        <w:t>T</w:t>
      </w:r>
      <w:r w:rsidRPr="00FC3028">
        <w:rPr>
          <w:rFonts w:ascii="Times New Roman" w:hAnsi="Times New Roman" w:cs="Times New Roman"/>
          <w:sz w:val="24"/>
          <w:szCs w:val="24"/>
        </w:rPr>
        <w:t>he most costly option that Duke selected is also an option that will result in the greatest growth to the utility’s rate base</w:t>
      </w:r>
      <w:r w:rsidR="00780BEA">
        <w:rPr>
          <w:rFonts w:ascii="Times New Roman" w:hAnsi="Times New Roman" w:cs="Times New Roman"/>
          <w:sz w:val="24"/>
          <w:szCs w:val="24"/>
        </w:rPr>
        <w:t xml:space="preserve">, providing higher </w:t>
      </w:r>
      <w:r w:rsidRPr="00FC3028">
        <w:rPr>
          <w:rFonts w:ascii="Times New Roman" w:hAnsi="Times New Roman" w:cs="Times New Roman"/>
          <w:sz w:val="24"/>
          <w:szCs w:val="24"/>
        </w:rPr>
        <w:t>profit</w:t>
      </w:r>
      <w:r w:rsidR="00780BEA">
        <w:rPr>
          <w:rFonts w:ascii="Times New Roman" w:hAnsi="Times New Roman" w:cs="Times New Roman"/>
          <w:sz w:val="24"/>
          <w:szCs w:val="24"/>
        </w:rPr>
        <w:t xml:space="preserve">s </w:t>
      </w:r>
      <w:r w:rsidRPr="00FC3028">
        <w:rPr>
          <w:rFonts w:ascii="Times New Roman" w:hAnsi="Times New Roman" w:cs="Times New Roman"/>
          <w:sz w:val="24"/>
          <w:szCs w:val="24"/>
        </w:rPr>
        <w:t>for shareholders.</w:t>
      </w:r>
      <w:r w:rsidRPr="00FC3028">
        <w:rPr>
          <w:rStyle w:val="FootnoteReference"/>
          <w:rFonts w:ascii="Times New Roman" w:hAnsi="Times New Roman" w:cs="Times New Roman"/>
          <w:sz w:val="24"/>
          <w:szCs w:val="24"/>
        </w:rPr>
        <w:footnoteReference w:id="187"/>
      </w:r>
    </w:p>
    <w:p w:rsidR="009066BD" w:rsidRPr="00754432" w:rsidRDefault="002200B8" w:rsidP="007544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evidentiary hearing, in what can only be seen as last ditch effort to rehabilitate its proposal, Duke witnesses provided substantive modifications to its Application. For example, the Utility now claims that it currently is replacing 1,000 service lines per year through the normal routine capital budget process as opposed to 200 stated in the Application.</w:t>
      </w:r>
      <w:r>
        <w:rPr>
          <w:rStyle w:val="FootnoteReference"/>
          <w:rFonts w:ascii="Times New Roman" w:hAnsi="Times New Roman" w:cs="Times New Roman"/>
          <w:sz w:val="24"/>
          <w:szCs w:val="24"/>
        </w:rPr>
        <w:footnoteReference w:id="188"/>
      </w:r>
      <w:r>
        <w:rPr>
          <w:rFonts w:ascii="Times New Roman" w:hAnsi="Times New Roman" w:cs="Times New Roman"/>
          <w:sz w:val="24"/>
          <w:szCs w:val="24"/>
        </w:rPr>
        <w:t xml:space="preserve"> The decision to increase the number of service lines being replaced was made in August 2014 - - four months before the Utility filed it Application.</w:t>
      </w:r>
      <w:r>
        <w:rPr>
          <w:rStyle w:val="FootnoteReference"/>
          <w:rFonts w:ascii="Times New Roman" w:hAnsi="Times New Roman" w:cs="Times New Roman"/>
          <w:sz w:val="24"/>
          <w:szCs w:val="24"/>
        </w:rPr>
        <w:footnoteReference w:id="189"/>
      </w:r>
      <w:r>
        <w:rPr>
          <w:rFonts w:ascii="Times New Roman" w:hAnsi="Times New Roman" w:cs="Times New Roman"/>
          <w:sz w:val="24"/>
          <w:szCs w:val="24"/>
        </w:rPr>
        <w:t xml:space="preserve"> </w:t>
      </w:r>
      <w:r w:rsidR="00D86AF7">
        <w:rPr>
          <w:rFonts w:ascii="Times New Roman" w:hAnsi="Times New Roman" w:cs="Times New Roman"/>
          <w:sz w:val="24"/>
          <w:szCs w:val="24"/>
        </w:rPr>
        <w:t>Yet, Duke did not know why it did not include such changes in its Application.</w:t>
      </w:r>
      <w:r w:rsidR="00D86AF7">
        <w:rPr>
          <w:rStyle w:val="FootnoteReference"/>
          <w:rFonts w:ascii="Times New Roman" w:hAnsi="Times New Roman" w:cs="Times New Roman"/>
          <w:sz w:val="24"/>
          <w:szCs w:val="24"/>
        </w:rPr>
        <w:footnoteReference w:id="190"/>
      </w:r>
      <w:r w:rsidR="00D86AF7">
        <w:rPr>
          <w:rFonts w:ascii="Times New Roman" w:hAnsi="Times New Roman" w:cs="Times New Roman"/>
          <w:sz w:val="24"/>
          <w:szCs w:val="24"/>
        </w:rPr>
        <w:t xml:space="preserve"> </w:t>
      </w:r>
      <w:r>
        <w:rPr>
          <w:rFonts w:ascii="Times New Roman" w:hAnsi="Times New Roman" w:cs="Times New Roman"/>
          <w:sz w:val="24"/>
          <w:szCs w:val="24"/>
        </w:rPr>
        <w:t>Duke also modified its estimate of the number of service lines where it was uncertain about the characteristics of the pipe from 28,000 to 21,000.</w:t>
      </w:r>
      <w:r>
        <w:rPr>
          <w:rStyle w:val="FootnoteReference"/>
          <w:rFonts w:ascii="Times New Roman" w:hAnsi="Times New Roman" w:cs="Times New Roman"/>
          <w:sz w:val="24"/>
          <w:szCs w:val="24"/>
        </w:rPr>
        <w:footnoteReference w:id="191"/>
      </w:r>
      <w:r w:rsidR="00D86AF7">
        <w:rPr>
          <w:rFonts w:ascii="Times New Roman" w:hAnsi="Times New Roman" w:cs="Times New Roman"/>
          <w:sz w:val="24"/>
          <w:szCs w:val="24"/>
        </w:rPr>
        <w:t xml:space="preserve"> </w:t>
      </w:r>
      <w:r>
        <w:rPr>
          <w:rFonts w:ascii="Times New Roman" w:hAnsi="Times New Roman" w:cs="Times New Roman"/>
          <w:sz w:val="24"/>
          <w:szCs w:val="24"/>
        </w:rPr>
        <w:t>Such inconsistency between the Application, the pre-filed testimony of Duke</w:t>
      </w:r>
      <w:r w:rsidR="00623F4E">
        <w:rPr>
          <w:rFonts w:ascii="Times New Roman" w:hAnsi="Times New Roman" w:cs="Times New Roman"/>
          <w:sz w:val="24"/>
          <w:szCs w:val="24"/>
        </w:rPr>
        <w:t>’s</w:t>
      </w:r>
      <w:r>
        <w:rPr>
          <w:rFonts w:ascii="Times New Roman" w:hAnsi="Times New Roman" w:cs="Times New Roman"/>
          <w:sz w:val="24"/>
          <w:szCs w:val="24"/>
        </w:rPr>
        <w:t xml:space="preserve"> witnesses, and the evidentiary record continue to demonstrate the unreasonableness of Duke’s very expensive ASRP program.    </w:t>
      </w:r>
    </w:p>
    <w:p w:rsidR="00FF0055" w:rsidRDefault="00170F6A" w:rsidP="009420EC">
      <w:pPr>
        <w:pStyle w:val="Heading2"/>
      </w:pPr>
      <w:bookmarkStart w:id="28" w:name="_Toc437441478"/>
      <w:r>
        <w:t>C</w:t>
      </w:r>
      <w:r w:rsidR="009420EC">
        <w:t>.</w:t>
      </w:r>
      <w:r w:rsidR="009420EC">
        <w:tab/>
      </w:r>
      <w:r w:rsidR="00CC30D0" w:rsidRPr="00FC3028">
        <w:t>The proposed ASRP will not result in just and reasonable rates for customers</w:t>
      </w:r>
      <w:r w:rsidR="000C0F30">
        <w:t>.</w:t>
      </w:r>
      <w:bookmarkEnd w:id="28"/>
    </w:p>
    <w:p w:rsidR="00355015" w:rsidRPr="00FC3028" w:rsidRDefault="009420EC" w:rsidP="009420EC">
      <w:pPr>
        <w:pStyle w:val="Heading3"/>
      </w:pPr>
      <w:bookmarkStart w:id="29" w:name="_Toc437441479"/>
      <w:r>
        <w:t>1.</w:t>
      </w:r>
      <w:r>
        <w:tab/>
      </w:r>
      <w:r w:rsidR="00E8154B" w:rsidRPr="00FC3028">
        <w:t xml:space="preserve">The ASRP will cost all Duke </w:t>
      </w:r>
      <w:r w:rsidR="00A20C61">
        <w:t>c</w:t>
      </w:r>
      <w:r w:rsidR="00E8154B" w:rsidRPr="00FC3028">
        <w:t xml:space="preserve">ustomers at least $320 million dollars, and individual customers over $892 </w:t>
      </w:r>
      <w:r w:rsidR="006C5511" w:rsidRPr="00FC3028">
        <w:t>each</w:t>
      </w:r>
      <w:r w:rsidR="00476337" w:rsidRPr="00FC3028">
        <w:t>, for the 58,000 service lines</w:t>
      </w:r>
      <w:r w:rsidR="00E03EC4" w:rsidRPr="00FC3028">
        <w:t>.</w:t>
      </w:r>
      <w:r w:rsidR="00476337" w:rsidRPr="00FC3028">
        <w:t xml:space="preserve"> The cost could increase significantly based on the status of the other 21,000 service lines.</w:t>
      </w:r>
      <w:bookmarkEnd w:id="29"/>
      <w:r w:rsidR="00476337" w:rsidRPr="00FC3028">
        <w:t xml:space="preserve"> </w:t>
      </w:r>
    </w:p>
    <w:p w:rsidR="00F975B4" w:rsidRPr="00FC3028" w:rsidRDefault="00F975B4" w:rsidP="00AB095A">
      <w:pPr>
        <w:pStyle w:val="BodyTextIndent3"/>
        <w:widowControl w:val="0"/>
        <w:spacing w:line="480" w:lineRule="auto"/>
        <w:ind w:right="-24"/>
        <w:rPr>
          <w:szCs w:val="24"/>
        </w:rPr>
      </w:pPr>
      <w:r w:rsidRPr="00FC3028">
        <w:rPr>
          <w:szCs w:val="24"/>
        </w:rPr>
        <w:t xml:space="preserve">Duke’s proposal to replace service lines that are not leaking and are not hazardous is not </w:t>
      </w:r>
      <w:r w:rsidR="00AB095A" w:rsidRPr="00FC3028">
        <w:rPr>
          <w:szCs w:val="24"/>
        </w:rPr>
        <w:t xml:space="preserve">just and </w:t>
      </w:r>
      <w:r w:rsidRPr="00FC3028">
        <w:rPr>
          <w:szCs w:val="24"/>
        </w:rPr>
        <w:t xml:space="preserve">reasonable. </w:t>
      </w:r>
      <w:r w:rsidR="00AB095A" w:rsidRPr="00FC3028">
        <w:rPr>
          <w:szCs w:val="24"/>
        </w:rPr>
        <w:t xml:space="preserve">Under R.C. 4929.02 the PUCO is obligated to deny an Alternative Rate Plan if it does not promote reasonably priced natural gas service to consumers. If Duke is authorized to implement its ASRP, consumers </w:t>
      </w:r>
      <w:r w:rsidR="00CB24FF" w:rsidRPr="00FC3028">
        <w:rPr>
          <w:szCs w:val="24"/>
        </w:rPr>
        <w:t xml:space="preserve">would be exposed to an unreasonable </w:t>
      </w:r>
      <w:r w:rsidR="00AB095A" w:rsidRPr="00FC3028">
        <w:rPr>
          <w:szCs w:val="24"/>
        </w:rPr>
        <w:t xml:space="preserve">increase </w:t>
      </w:r>
      <w:r w:rsidR="00CB24FF" w:rsidRPr="00FC3028">
        <w:rPr>
          <w:szCs w:val="24"/>
        </w:rPr>
        <w:t xml:space="preserve">in </w:t>
      </w:r>
      <w:r w:rsidR="00AB095A" w:rsidRPr="00FC3028">
        <w:rPr>
          <w:szCs w:val="24"/>
        </w:rPr>
        <w:t>price for natural gas service and, thus, the ASRP, if approved, would be in violation of R.C. 4929.02</w:t>
      </w:r>
      <w:r w:rsidR="00986764" w:rsidRPr="00FC3028">
        <w:rPr>
          <w:szCs w:val="24"/>
        </w:rPr>
        <w:t>.</w:t>
      </w:r>
    </w:p>
    <w:p w:rsidR="000E42BF" w:rsidRDefault="00421164" w:rsidP="007B774C">
      <w:pPr>
        <w:pStyle w:val="BodyTextIndent3"/>
        <w:widowControl w:val="0"/>
        <w:spacing w:line="480" w:lineRule="auto"/>
        <w:ind w:right="-24"/>
        <w:rPr>
          <w:szCs w:val="24"/>
        </w:rPr>
      </w:pPr>
      <w:r w:rsidRPr="00FC3028">
        <w:rPr>
          <w:szCs w:val="24"/>
        </w:rPr>
        <w:t>Duke requests PUCO authorization to charge Ohio consumers $320 million,</w:t>
      </w:r>
      <w:r w:rsidRPr="00FC3028">
        <w:rPr>
          <w:rStyle w:val="FootnoteReference"/>
          <w:szCs w:val="24"/>
        </w:rPr>
        <w:footnoteReference w:id="192"/>
      </w:r>
      <w:r w:rsidR="00EA5741">
        <w:rPr>
          <w:szCs w:val="24"/>
        </w:rPr>
        <w:t xml:space="preserve"> </w:t>
      </w:r>
      <w:r w:rsidRPr="00FC3028">
        <w:rPr>
          <w:szCs w:val="24"/>
        </w:rPr>
        <w:t>an amount almost eight times greater than Duke requested in its most recent rate case,</w:t>
      </w:r>
      <w:r w:rsidRPr="00FC3028">
        <w:rPr>
          <w:rStyle w:val="FootnoteReference"/>
          <w:szCs w:val="24"/>
        </w:rPr>
        <w:footnoteReference w:id="193"/>
      </w:r>
      <w:r w:rsidRPr="00FC3028">
        <w:rPr>
          <w:szCs w:val="24"/>
        </w:rPr>
        <w:t xml:space="preserve"> in order to implement its ASRP. </w:t>
      </w:r>
      <w:r w:rsidR="009419D7">
        <w:rPr>
          <w:szCs w:val="24"/>
        </w:rPr>
        <w:t xml:space="preserve">Due to this expense, </w:t>
      </w:r>
      <w:r w:rsidRPr="00FC3028">
        <w:rPr>
          <w:szCs w:val="24"/>
        </w:rPr>
        <w:t>Duke has proposed initial rate caps of one dollar per customer per month.</w:t>
      </w:r>
      <w:r w:rsidRPr="00FC3028">
        <w:rPr>
          <w:rStyle w:val="FootnoteReference"/>
          <w:szCs w:val="24"/>
        </w:rPr>
        <w:footnoteReference w:id="194"/>
      </w:r>
      <w:r w:rsidR="009419D7">
        <w:rPr>
          <w:szCs w:val="24"/>
        </w:rPr>
        <w:t xml:space="preserve"> But, the ASRP is proposed to last for ten years.</w:t>
      </w:r>
      <w:r w:rsidR="009419D7" w:rsidRPr="009419D7">
        <w:rPr>
          <w:rStyle w:val="FootnoteReference"/>
          <w:szCs w:val="24"/>
        </w:rPr>
        <w:t xml:space="preserve"> </w:t>
      </w:r>
      <w:r w:rsidR="009419D7" w:rsidRPr="00FC3028">
        <w:rPr>
          <w:rStyle w:val="FootnoteReference"/>
          <w:szCs w:val="24"/>
        </w:rPr>
        <w:footnoteReference w:id="195"/>
      </w:r>
      <w:r w:rsidR="009419D7" w:rsidRPr="00FC3028">
        <w:rPr>
          <w:szCs w:val="24"/>
        </w:rPr>
        <w:t xml:space="preserve"> </w:t>
      </w:r>
      <w:r w:rsidRPr="00FC3028">
        <w:rPr>
          <w:szCs w:val="24"/>
        </w:rPr>
        <w:t xml:space="preserve"> </w:t>
      </w:r>
      <w:r w:rsidR="00AB095A" w:rsidRPr="00FC3028">
        <w:rPr>
          <w:szCs w:val="24"/>
        </w:rPr>
        <w:t>The rate caps will increase by one dollar per year until the rate reaches</w:t>
      </w:r>
      <w:r w:rsidRPr="00FC3028">
        <w:rPr>
          <w:szCs w:val="24"/>
        </w:rPr>
        <w:t xml:space="preserve"> $10 per customer per month</w:t>
      </w:r>
      <w:r w:rsidR="009502EB" w:rsidRPr="00FC3028">
        <w:rPr>
          <w:szCs w:val="24"/>
        </w:rPr>
        <w:t xml:space="preserve"> in the final year of the program</w:t>
      </w:r>
      <w:r w:rsidRPr="00FC3028">
        <w:rPr>
          <w:szCs w:val="24"/>
        </w:rPr>
        <w:t>.</w:t>
      </w:r>
      <w:r w:rsidR="00C65BD9">
        <w:rPr>
          <w:rStyle w:val="FootnoteReference"/>
          <w:szCs w:val="24"/>
        </w:rPr>
        <w:footnoteReference w:id="196"/>
      </w:r>
      <w:r w:rsidRPr="00FC3028">
        <w:rPr>
          <w:szCs w:val="24"/>
        </w:rPr>
        <w:t xml:space="preserve"> Thus</w:t>
      </w:r>
      <w:r w:rsidR="009502EB" w:rsidRPr="00FC3028">
        <w:rPr>
          <w:szCs w:val="24"/>
        </w:rPr>
        <w:t>,</w:t>
      </w:r>
      <w:r w:rsidRPr="00FC3028">
        <w:rPr>
          <w:szCs w:val="24"/>
        </w:rPr>
        <w:t xml:space="preserve"> residential customers would pay $12</w:t>
      </w:r>
      <w:r w:rsidR="00B743DD">
        <w:rPr>
          <w:szCs w:val="24"/>
        </w:rPr>
        <w:t xml:space="preserve"> annually</w:t>
      </w:r>
      <w:r w:rsidRPr="00FC3028">
        <w:rPr>
          <w:szCs w:val="24"/>
        </w:rPr>
        <w:t xml:space="preserve"> in year one, $24 in year 2</w:t>
      </w:r>
      <w:r w:rsidR="00623F4E">
        <w:rPr>
          <w:szCs w:val="24"/>
        </w:rPr>
        <w:t>,</w:t>
      </w:r>
      <w:r w:rsidRPr="00FC3028">
        <w:rPr>
          <w:szCs w:val="24"/>
        </w:rPr>
        <w:t xml:space="preserve"> and up</w:t>
      </w:r>
      <w:r w:rsidR="00AB095A" w:rsidRPr="00FC3028">
        <w:rPr>
          <w:szCs w:val="24"/>
        </w:rPr>
        <w:t xml:space="preserve"> to $120 per customer in year ten</w:t>
      </w:r>
      <w:r w:rsidRPr="00FC3028">
        <w:rPr>
          <w:szCs w:val="24"/>
        </w:rPr>
        <w:t xml:space="preserve">. A $320 </w:t>
      </w:r>
    </w:p>
    <w:p w:rsidR="000E42BF" w:rsidRDefault="000E42BF">
      <w:pPr>
        <w:rPr>
          <w:rFonts w:ascii="Times New Roman" w:eastAsia="Times New Roman" w:hAnsi="Times New Roman" w:cs="Times New Roman"/>
          <w:sz w:val="24"/>
          <w:szCs w:val="24"/>
        </w:rPr>
      </w:pPr>
      <w:r>
        <w:rPr>
          <w:szCs w:val="24"/>
        </w:rPr>
        <w:br w:type="page"/>
      </w:r>
    </w:p>
    <w:p w:rsidR="00AB095A" w:rsidRPr="00FC3028" w:rsidRDefault="00421164" w:rsidP="000E42BF">
      <w:pPr>
        <w:pStyle w:val="BodyTextIndent3"/>
        <w:widowControl w:val="0"/>
        <w:spacing w:line="480" w:lineRule="auto"/>
        <w:ind w:right="-24" w:firstLine="0"/>
        <w:rPr>
          <w:szCs w:val="24"/>
        </w:rPr>
      </w:pPr>
      <w:r w:rsidRPr="00FC3028">
        <w:rPr>
          <w:szCs w:val="24"/>
        </w:rPr>
        <w:t xml:space="preserve">million program divided </w:t>
      </w:r>
      <w:r w:rsidR="00D07B78">
        <w:rPr>
          <w:szCs w:val="24"/>
        </w:rPr>
        <w:t>among</w:t>
      </w:r>
      <w:r w:rsidR="00D07B78" w:rsidRPr="00FC3028">
        <w:rPr>
          <w:szCs w:val="24"/>
        </w:rPr>
        <w:t xml:space="preserve"> </w:t>
      </w:r>
      <w:r w:rsidRPr="00FC3028">
        <w:rPr>
          <w:szCs w:val="24"/>
        </w:rPr>
        <w:t>Duke’s 382,000 residential customers comes to a cost of almost $838 per customer.</w:t>
      </w:r>
      <w:r w:rsidRPr="00FC3028">
        <w:rPr>
          <w:rStyle w:val="FootnoteReference"/>
          <w:szCs w:val="24"/>
        </w:rPr>
        <w:footnoteReference w:id="197"/>
      </w:r>
      <w:r w:rsidR="00E33C46" w:rsidRPr="00FC3028">
        <w:rPr>
          <w:szCs w:val="24"/>
        </w:rPr>
        <w:t xml:space="preserve"> </w:t>
      </w:r>
    </w:p>
    <w:p w:rsidR="00421164" w:rsidRPr="00FC3028" w:rsidRDefault="00E33C46" w:rsidP="00421164">
      <w:pPr>
        <w:pStyle w:val="BodyTextIndent3"/>
        <w:widowControl w:val="0"/>
        <w:spacing w:line="480" w:lineRule="auto"/>
        <w:ind w:right="-24"/>
        <w:rPr>
          <w:szCs w:val="24"/>
        </w:rPr>
      </w:pPr>
      <w:r w:rsidRPr="00FC3028">
        <w:rPr>
          <w:szCs w:val="24"/>
        </w:rPr>
        <w:t xml:space="preserve">However, things could get even worse if Duke were to determine that the remaining 21,000 service lines also need to be replaced. Based upon the current fixed delivery charge of $33.03 and related usage based charges (assuming 10 MCF per month), the proposed ASRP in the tenth year would increase residential customer bills by an additional </w:t>
      </w:r>
      <w:r w:rsidR="00B743DD">
        <w:rPr>
          <w:szCs w:val="24"/>
        </w:rPr>
        <w:t>36</w:t>
      </w:r>
      <w:r w:rsidRPr="00FC3028">
        <w:rPr>
          <w:szCs w:val="24"/>
        </w:rPr>
        <w:t xml:space="preserve"> percent.</w:t>
      </w:r>
      <w:r w:rsidR="00C65BD9">
        <w:rPr>
          <w:rStyle w:val="FootnoteReference"/>
          <w:szCs w:val="24"/>
        </w:rPr>
        <w:footnoteReference w:id="198"/>
      </w:r>
      <w:r w:rsidRPr="00FC3028">
        <w:rPr>
          <w:szCs w:val="24"/>
        </w:rPr>
        <w:t xml:space="preserve"> That means before using any natural gas, Duke’s customers would be paying at least </w:t>
      </w:r>
      <w:r w:rsidR="00B743DD">
        <w:rPr>
          <w:szCs w:val="24"/>
        </w:rPr>
        <w:t>$45.03</w:t>
      </w:r>
      <w:r w:rsidRPr="00FC3028">
        <w:rPr>
          <w:szCs w:val="24"/>
        </w:rPr>
        <w:t xml:space="preserve"> per month in fixed charges.</w:t>
      </w:r>
      <w:r w:rsidR="009502EB" w:rsidRPr="00FC3028">
        <w:rPr>
          <w:szCs w:val="24"/>
        </w:rPr>
        <w:t xml:space="preserve"> The OCC believes that this is not a just and reasonable rate.</w:t>
      </w:r>
      <w:r w:rsidR="00C65BD9">
        <w:rPr>
          <w:rStyle w:val="FootnoteReference"/>
          <w:szCs w:val="24"/>
        </w:rPr>
        <w:footnoteReference w:id="199"/>
      </w:r>
    </w:p>
    <w:p w:rsidR="00355015" w:rsidRPr="00FC3028" w:rsidRDefault="009420EC" w:rsidP="009420EC">
      <w:pPr>
        <w:pStyle w:val="Heading3"/>
      </w:pPr>
      <w:bookmarkStart w:id="30" w:name="_Toc437441480"/>
      <w:r>
        <w:t>2.</w:t>
      </w:r>
      <w:r>
        <w:tab/>
      </w:r>
      <w:r w:rsidR="00476337" w:rsidRPr="00FC3028">
        <w:t xml:space="preserve">For </w:t>
      </w:r>
      <w:r w:rsidR="00355015" w:rsidRPr="00FC3028">
        <w:t>Duke</w:t>
      </w:r>
      <w:r w:rsidR="00476337" w:rsidRPr="00FC3028">
        <w:t>’s customers,</w:t>
      </w:r>
      <w:r w:rsidR="00355015" w:rsidRPr="00FC3028">
        <w:t xml:space="preserve"> </w:t>
      </w:r>
      <w:r w:rsidR="00476337" w:rsidRPr="00FC3028">
        <w:t xml:space="preserve">natural </w:t>
      </w:r>
      <w:r w:rsidR="00355015" w:rsidRPr="00FC3028">
        <w:t xml:space="preserve">gas bills </w:t>
      </w:r>
      <w:r w:rsidR="008015E1">
        <w:t xml:space="preserve">are </w:t>
      </w:r>
      <w:r w:rsidR="00355015" w:rsidRPr="00FC3028">
        <w:t>already 30% higher than other Ohio LDCS</w:t>
      </w:r>
      <w:r w:rsidR="00E03EC4" w:rsidRPr="00FC3028">
        <w:t>.</w:t>
      </w:r>
      <w:bookmarkEnd w:id="30"/>
      <w:r w:rsidR="00476337" w:rsidRPr="00FC3028">
        <w:t xml:space="preserve"> </w:t>
      </w:r>
    </w:p>
    <w:p w:rsidR="00F0504B" w:rsidRPr="00FC3028" w:rsidRDefault="008F5FC1" w:rsidP="00F53C3C">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Duke’s natural gas customers are already paying natural gas charges that are considerably higher than any of the other large LDC’s in Ohio.</w:t>
      </w:r>
      <w:r w:rsidRPr="00FC3028">
        <w:rPr>
          <w:rStyle w:val="FootnoteReference"/>
          <w:rFonts w:ascii="Times New Roman" w:hAnsi="Times New Roman" w:cs="Times New Roman"/>
          <w:sz w:val="24"/>
          <w:szCs w:val="24"/>
        </w:rPr>
        <w:footnoteReference w:id="200"/>
      </w:r>
      <w:r w:rsidRPr="00FC3028">
        <w:rPr>
          <w:rFonts w:ascii="Times New Roman" w:hAnsi="Times New Roman" w:cs="Times New Roman"/>
          <w:sz w:val="24"/>
          <w:szCs w:val="24"/>
        </w:rPr>
        <w:t xml:space="preserve"> Duke customers are paying an average natural gas bill of $97.41, as of September 2015.</w:t>
      </w:r>
      <w:r w:rsidRPr="00FC3028">
        <w:rPr>
          <w:rStyle w:val="FootnoteReference"/>
          <w:rFonts w:ascii="Times New Roman" w:hAnsi="Times New Roman" w:cs="Times New Roman"/>
          <w:sz w:val="24"/>
          <w:szCs w:val="24"/>
        </w:rPr>
        <w:footnoteReference w:id="201"/>
      </w:r>
      <w:r w:rsidRPr="00FC3028">
        <w:rPr>
          <w:rFonts w:ascii="Times New Roman" w:hAnsi="Times New Roman" w:cs="Times New Roman"/>
          <w:sz w:val="24"/>
          <w:szCs w:val="24"/>
        </w:rPr>
        <w:t xml:space="preserve"> The average natural gas bill for the remaining major cities in Ohio is $68.34.</w:t>
      </w:r>
      <w:r w:rsidR="004B5291" w:rsidRPr="00FC3028">
        <w:rPr>
          <w:rStyle w:val="FootnoteReference"/>
          <w:rFonts w:ascii="Times New Roman" w:hAnsi="Times New Roman" w:cs="Times New Roman"/>
          <w:sz w:val="24"/>
          <w:szCs w:val="24"/>
        </w:rPr>
        <w:footnoteReference w:id="202"/>
      </w:r>
      <w:r w:rsidR="00E156A2" w:rsidRPr="00FC3028">
        <w:rPr>
          <w:rFonts w:ascii="Times New Roman" w:hAnsi="Times New Roman" w:cs="Times New Roman"/>
          <w:sz w:val="24"/>
          <w:szCs w:val="24"/>
        </w:rPr>
        <w:t xml:space="preserve"> Thus, Duke’s customers have natural gas bills that are 30 percent higher than the average natural gas bills of other Ohioans.</w:t>
      </w:r>
      <w:r w:rsidR="00E156A2" w:rsidRPr="00FC3028">
        <w:rPr>
          <w:rStyle w:val="FootnoteReference"/>
          <w:rFonts w:ascii="Times New Roman" w:hAnsi="Times New Roman" w:cs="Times New Roman"/>
          <w:sz w:val="24"/>
          <w:szCs w:val="24"/>
        </w:rPr>
        <w:footnoteReference w:id="203"/>
      </w:r>
      <w:r w:rsidR="00E156A2" w:rsidRPr="00FC3028">
        <w:rPr>
          <w:rFonts w:ascii="Times New Roman" w:hAnsi="Times New Roman" w:cs="Times New Roman"/>
          <w:sz w:val="24"/>
          <w:szCs w:val="24"/>
        </w:rPr>
        <w:t xml:space="preserve"> </w:t>
      </w:r>
      <w:r w:rsidR="000E788B" w:rsidRPr="00FC3028">
        <w:rPr>
          <w:rFonts w:ascii="Times New Roman" w:hAnsi="Times New Roman" w:cs="Times New Roman"/>
          <w:sz w:val="24"/>
          <w:szCs w:val="24"/>
        </w:rPr>
        <w:t>Moreover, over a third of the population of Hamilton County as a whole has household incomes below 200 percent of the federal poverty level.</w:t>
      </w:r>
      <w:r w:rsidR="000E788B" w:rsidRPr="00FC3028">
        <w:rPr>
          <w:rStyle w:val="FootnoteReference"/>
          <w:rFonts w:ascii="Times New Roman" w:hAnsi="Times New Roman" w:cs="Times New Roman"/>
          <w:sz w:val="24"/>
          <w:szCs w:val="24"/>
        </w:rPr>
        <w:footnoteReference w:id="204"/>
      </w:r>
      <w:r w:rsidR="000E788B" w:rsidRPr="00FC3028">
        <w:rPr>
          <w:rFonts w:ascii="Times New Roman" w:hAnsi="Times New Roman" w:cs="Times New Roman"/>
          <w:sz w:val="24"/>
          <w:szCs w:val="24"/>
        </w:rPr>
        <w:t xml:space="preserve"> Many of these families do not qualify for federal or state energy assistance. Now Duke wants to charge customer’s an additional $320 million, which could increase customers’ bills by $120 per year in the final year of the program. Such a proposal is not just and reasonable and does not promote reasonably priced natural gas service as is required by state </w:t>
      </w:r>
      <w:r w:rsidR="00B743DD">
        <w:rPr>
          <w:rFonts w:ascii="Times New Roman" w:hAnsi="Times New Roman" w:cs="Times New Roman"/>
          <w:sz w:val="24"/>
          <w:szCs w:val="24"/>
        </w:rPr>
        <w:t>law</w:t>
      </w:r>
      <w:r w:rsidR="000E788B" w:rsidRPr="00FC3028">
        <w:rPr>
          <w:rFonts w:ascii="Times New Roman" w:hAnsi="Times New Roman" w:cs="Times New Roman"/>
          <w:sz w:val="24"/>
          <w:szCs w:val="24"/>
        </w:rPr>
        <w:t>.</w:t>
      </w:r>
    </w:p>
    <w:p w:rsidR="00C97DEA" w:rsidRPr="00FC3028" w:rsidRDefault="00170F6A" w:rsidP="009420EC">
      <w:pPr>
        <w:pStyle w:val="Heading2"/>
      </w:pPr>
      <w:bookmarkStart w:id="31" w:name="_Toc437441481"/>
      <w:r>
        <w:t>D</w:t>
      </w:r>
      <w:r w:rsidR="009420EC">
        <w:t>.</w:t>
      </w:r>
      <w:r w:rsidR="009420EC">
        <w:tab/>
      </w:r>
      <w:r w:rsidR="00835881" w:rsidRPr="00FC3028">
        <w:t xml:space="preserve">Duke’s proposed </w:t>
      </w:r>
      <w:r w:rsidR="000C0F30">
        <w:t>ROE</w:t>
      </w:r>
      <w:r w:rsidR="00835881" w:rsidRPr="00FC3028">
        <w:t xml:space="preserve"> </w:t>
      </w:r>
      <w:r w:rsidR="00C97DEA" w:rsidRPr="00FC3028">
        <w:t>for Rider ASRP is not just and reasonable</w:t>
      </w:r>
      <w:r w:rsidR="000C0F30">
        <w:t xml:space="preserve"> for consumers</w:t>
      </w:r>
      <w:r w:rsidR="00C036A3">
        <w:t xml:space="preserve"> to fund</w:t>
      </w:r>
      <w:bookmarkEnd w:id="31"/>
    </w:p>
    <w:p w:rsidR="00C97DEA" w:rsidRPr="00FC3028" w:rsidRDefault="00C97DEA" w:rsidP="00A5331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witness Roger A. Morin, Ph.D.</w:t>
      </w:r>
      <w:r w:rsidR="00A53312" w:rsidRPr="00FC3028">
        <w:rPr>
          <w:rFonts w:ascii="Times New Roman" w:hAnsi="Times New Roman" w:cs="Times New Roman"/>
          <w:sz w:val="24"/>
          <w:szCs w:val="24"/>
        </w:rPr>
        <w:t xml:space="preserve"> provided a direct testimony in this proceeding rec</w:t>
      </w:r>
      <w:r w:rsidR="00DC30C4" w:rsidRPr="00FC3028">
        <w:rPr>
          <w:rFonts w:ascii="Times New Roman" w:hAnsi="Times New Roman" w:cs="Times New Roman"/>
          <w:sz w:val="24"/>
          <w:szCs w:val="24"/>
        </w:rPr>
        <w:t>ommending that customers fund a</w:t>
      </w:r>
      <w:r w:rsidR="00A53312" w:rsidRPr="00FC3028">
        <w:rPr>
          <w:rFonts w:ascii="Times New Roman" w:hAnsi="Times New Roman" w:cs="Times New Roman"/>
          <w:sz w:val="24"/>
          <w:szCs w:val="24"/>
        </w:rPr>
        <w:t xml:space="preserve"> </w:t>
      </w:r>
      <w:r w:rsidR="00EB13C0" w:rsidRPr="00FC3028">
        <w:rPr>
          <w:rFonts w:ascii="Times New Roman" w:hAnsi="Times New Roman" w:cs="Times New Roman"/>
          <w:sz w:val="24"/>
          <w:szCs w:val="24"/>
        </w:rPr>
        <w:t>Return on Equity (“</w:t>
      </w:r>
      <w:r w:rsidR="00A53312" w:rsidRPr="00FC3028">
        <w:rPr>
          <w:rFonts w:ascii="Times New Roman" w:hAnsi="Times New Roman" w:cs="Times New Roman"/>
          <w:sz w:val="24"/>
          <w:szCs w:val="24"/>
        </w:rPr>
        <w:t>ROE</w:t>
      </w:r>
      <w:r w:rsidR="00EB13C0" w:rsidRPr="00FC3028">
        <w:rPr>
          <w:rFonts w:ascii="Times New Roman" w:hAnsi="Times New Roman" w:cs="Times New Roman"/>
          <w:sz w:val="24"/>
          <w:szCs w:val="24"/>
        </w:rPr>
        <w:t>”)</w:t>
      </w:r>
      <w:r w:rsidR="00A53312" w:rsidRPr="00FC3028">
        <w:rPr>
          <w:rFonts w:ascii="Times New Roman" w:hAnsi="Times New Roman" w:cs="Times New Roman"/>
          <w:sz w:val="24"/>
          <w:szCs w:val="24"/>
        </w:rPr>
        <w:t xml:space="preserve"> of 9.84 percent. </w:t>
      </w:r>
      <w:r w:rsidR="000A18BB">
        <w:rPr>
          <w:rFonts w:ascii="Times New Roman" w:hAnsi="Times New Roman" w:cs="Times New Roman"/>
          <w:sz w:val="24"/>
          <w:szCs w:val="24"/>
        </w:rPr>
        <w:t>But that ROE would require customers to fund too much profit for the Utility and would not be just and reasonable.</w:t>
      </w:r>
    </w:p>
    <w:p w:rsidR="00466122" w:rsidRPr="00FC3028" w:rsidRDefault="009420EC" w:rsidP="009420EC">
      <w:pPr>
        <w:pStyle w:val="Heading3"/>
      </w:pPr>
      <w:bookmarkStart w:id="32" w:name="_Toc437441482"/>
      <w:r>
        <w:t>1.</w:t>
      </w:r>
      <w:r>
        <w:tab/>
      </w:r>
      <w:r w:rsidR="00466122" w:rsidRPr="00FC3028">
        <w:t xml:space="preserve">Duke’s proposed ROE of 9.84 percent is </w:t>
      </w:r>
      <w:r w:rsidR="000A18BB">
        <w:t xml:space="preserve">too high </w:t>
      </w:r>
      <w:r w:rsidR="00466122" w:rsidRPr="00FC3028">
        <w:t>because it was calculated using a forecasted interest rate.</w:t>
      </w:r>
      <w:bookmarkEnd w:id="32"/>
    </w:p>
    <w:p w:rsidR="000A18BB" w:rsidRDefault="008015E1" w:rsidP="00A533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determination of ROE is important because it directly impacts the rates that customers are asked to pay. </w:t>
      </w:r>
      <w:r w:rsidR="009D5382" w:rsidRPr="00FC3028">
        <w:rPr>
          <w:rFonts w:ascii="Times New Roman" w:hAnsi="Times New Roman" w:cs="Times New Roman"/>
          <w:sz w:val="24"/>
          <w:szCs w:val="24"/>
        </w:rPr>
        <w:t>Duke’s</w:t>
      </w:r>
      <w:r w:rsidR="00A53312" w:rsidRPr="00FC3028">
        <w:rPr>
          <w:rFonts w:ascii="Times New Roman" w:hAnsi="Times New Roman" w:cs="Times New Roman"/>
          <w:sz w:val="24"/>
          <w:szCs w:val="24"/>
        </w:rPr>
        <w:t xml:space="preserve"> use of </w:t>
      </w:r>
      <w:r w:rsidR="009D5382" w:rsidRPr="00FC3028">
        <w:rPr>
          <w:rFonts w:ascii="Times New Roman" w:hAnsi="Times New Roman" w:cs="Times New Roman"/>
          <w:sz w:val="24"/>
          <w:szCs w:val="24"/>
        </w:rPr>
        <w:t>a 4.5 percent forecasted interest rate</w:t>
      </w:r>
      <w:r w:rsidR="00A53312" w:rsidRPr="00FC3028">
        <w:rPr>
          <w:rFonts w:ascii="Times New Roman" w:hAnsi="Times New Roman" w:cs="Times New Roman"/>
          <w:sz w:val="24"/>
          <w:szCs w:val="24"/>
        </w:rPr>
        <w:t xml:space="preserve"> as a proxy for risk-free return in estimating the ROE</w:t>
      </w:r>
      <w:r w:rsidR="009D5382" w:rsidRPr="00FC3028">
        <w:rPr>
          <w:rFonts w:ascii="Times New Roman" w:hAnsi="Times New Roman" w:cs="Times New Roman"/>
          <w:sz w:val="24"/>
          <w:szCs w:val="24"/>
        </w:rPr>
        <w:t xml:space="preserve"> in this proceeding</w:t>
      </w:r>
      <w:r w:rsidR="00A53312" w:rsidRPr="00FC3028">
        <w:rPr>
          <w:rFonts w:ascii="Times New Roman" w:hAnsi="Times New Roman" w:cs="Times New Roman"/>
          <w:sz w:val="24"/>
          <w:szCs w:val="24"/>
        </w:rPr>
        <w:t xml:space="preserve"> is not justified given the curren</w:t>
      </w:r>
      <w:r w:rsidR="009D5382" w:rsidRPr="00FC3028">
        <w:rPr>
          <w:rFonts w:ascii="Times New Roman" w:hAnsi="Times New Roman" w:cs="Times New Roman"/>
          <w:sz w:val="24"/>
          <w:szCs w:val="24"/>
        </w:rPr>
        <w:t>t market prices</w:t>
      </w:r>
      <w:r w:rsidR="00A53312" w:rsidRPr="00FC3028">
        <w:rPr>
          <w:rFonts w:ascii="Times New Roman" w:hAnsi="Times New Roman" w:cs="Times New Roman"/>
          <w:sz w:val="24"/>
          <w:szCs w:val="24"/>
        </w:rPr>
        <w:t xml:space="preserve"> of credi</w:t>
      </w:r>
      <w:r w:rsidR="009D5382" w:rsidRPr="00FC3028">
        <w:rPr>
          <w:rFonts w:ascii="Times New Roman" w:hAnsi="Times New Roman" w:cs="Times New Roman"/>
          <w:sz w:val="24"/>
          <w:szCs w:val="24"/>
        </w:rPr>
        <w:t>t with different risk levels.</w:t>
      </w:r>
      <w:r w:rsidR="00A22F9B" w:rsidRPr="00FC3028">
        <w:rPr>
          <w:rStyle w:val="FootnoteReference"/>
          <w:rFonts w:ascii="Times New Roman" w:hAnsi="Times New Roman" w:cs="Times New Roman"/>
          <w:sz w:val="24"/>
          <w:szCs w:val="24"/>
        </w:rPr>
        <w:footnoteReference w:id="205"/>
      </w:r>
      <w:r w:rsidR="009D5382" w:rsidRPr="00FC3028">
        <w:rPr>
          <w:rFonts w:ascii="Times New Roman" w:hAnsi="Times New Roman" w:cs="Times New Roman"/>
          <w:sz w:val="24"/>
          <w:szCs w:val="24"/>
        </w:rPr>
        <w:t xml:space="preserve"> The 4.5 percent</w:t>
      </w:r>
      <w:r w:rsidR="00A53312" w:rsidRPr="00FC3028">
        <w:rPr>
          <w:rFonts w:ascii="Times New Roman" w:hAnsi="Times New Roman" w:cs="Times New Roman"/>
          <w:sz w:val="24"/>
          <w:szCs w:val="24"/>
        </w:rPr>
        <w:t xml:space="preserve"> significantly overstates the return on risk-free investments used in the C</w:t>
      </w:r>
      <w:r w:rsidR="001C6843" w:rsidRPr="00FC3028">
        <w:rPr>
          <w:rFonts w:ascii="Times New Roman" w:hAnsi="Times New Roman" w:cs="Times New Roman"/>
          <w:sz w:val="24"/>
          <w:szCs w:val="24"/>
        </w:rPr>
        <w:t xml:space="preserve">apital </w:t>
      </w:r>
      <w:r w:rsidR="00A53312" w:rsidRPr="00FC3028">
        <w:rPr>
          <w:rFonts w:ascii="Times New Roman" w:hAnsi="Times New Roman" w:cs="Times New Roman"/>
          <w:sz w:val="24"/>
          <w:szCs w:val="24"/>
        </w:rPr>
        <w:t>A</w:t>
      </w:r>
      <w:r w:rsidR="001C6843" w:rsidRPr="00FC3028">
        <w:rPr>
          <w:rFonts w:ascii="Times New Roman" w:hAnsi="Times New Roman" w:cs="Times New Roman"/>
          <w:sz w:val="24"/>
          <w:szCs w:val="24"/>
        </w:rPr>
        <w:t xml:space="preserve">sset </w:t>
      </w:r>
      <w:r w:rsidR="00A53312" w:rsidRPr="00FC3028">
        <w:rPr>
          <w:rFonts w:ascii="Times New Roman" w:hAnsi="Times New Roman" w:cs="Times New Roman"/>
          <w:sz w:val="24"/>
          <w:szCs w:val="24"/>
        </w:rPr>
        <w:t>P</w:t>
      </w:r>
      <w:r w:rsidR="001C6843" w:rsidRPr="00FC3028">
        <w:rPr>
          <w:rFonts w:ascii="Times New Roman" w:hAnsi="Times New Roman" w:cs="Times New Roman"/>
          <w:sz w:val="24"/>
          <w:szCs w:val="24"/>
        </w:rPr>
        <w:t xml:space="preserve">ricing </w:t>
      </w:r>
      <w:r w:rsidR="00A53312" w:rsidRPr="00FC3028">
        <w:rPr>
          <w:rFonts w:ascii="Times New Roman" w:hAnsi="Times New Roman" w:cs="Times New Roman"/>
          <w:sz w:val="24"/>
          <w:szCs w:val="24"/>
        </w:rPr>
        <w:t>M</w:t>
      </w:r>
      <w:r w:rsidR="001C6843" w:rsidRPr="00FC3028">
        <w:rPr>
          <w:rFonts w:ascii="Times New Roman" w:hAnsi="Times New Roman" w:cs="Times New Roman"/>
          <w:sz w:val="24"/>
          <w:szCs w:val="24"/>
        </w:rPr>
        <w:t>odel (“CAPM”)</w:t>
      </w:r>
      <w:r w:rsidR="00A53312" w:rsidRPr="00FC3028">
        <w:rPr>
          <w:rFonts w:ascii="Times New Roman" w:hAnsi="Times New Roman" w:cs="Times New Roman"/>
          <w:sz w:val="24"/>
          <w:szCs w:val="24"/>
        </w:rPr>
        <w:t xml:space="preserve"> and the Risk Premium Method.</w:t>
      </w:r>
      <w:r w:rsidR="00A22F9B" w:rsidRPr="00FC3028">
        <w:rPr>
          <w:rStyle w:val="FootnoteReference"/>
          <w:rFonts w:ascii="Times New Roman" w:hAnsi="Times New Roman" w:cs="Times New Roman"/>
          <w:sz w:val="24"/>
          <w:szCs w:val="24"/>
        </w:rPr>
        <w:footnoteReference w:id="206"/>
      </w:r>
      <w:r w:rsidR="00A53312" w:rsidRPr="00FC3028">
        <w:rPr>
          <w:rFonts w:ascii="Times New Roman" w:hAnsi="Times New Roman" w:cs="Times New Roman"/>
          <w:sz w:val="24"/>
          <w:szCs w:val="24"/>
        </w:rPr>
        <w:t xml:space="preserve"> </w:t>
      </w:r>
    </w:p>
    <w:p w:rsidR="00A943A1" w:rsidRPr="00FC3028" w:rsidRDefault="00A53312" w:rsidP="00A5331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For example, in the 2012 Duke Rate Case, Duke use</w:t>
      </w:r>
      <w:r w:rsidR="004D67E6" w:rsidRPr="00FC3028">
        <w:rPr>
          <w:rFonts w:ascii="Times New Roman" w:hAnsi="Times New Roman" w:cs="Times New Roman"/>
          <w:sz w:val="24"/>
          <w:szCs w:val="24"/>
        </w:rPr>
        <w:t>d a risk-free rate proxy of 4.7 percent</w:t>
      </w:r>
      <w:r w:rsidRPr="00FC3028">
        <w:rPr>
          <w:rFonts w:ascii="Times New Roman" w:hAnsi="Times New Roman" w:cs="Times New Roman"/>
          <w:sz w:val="24"/>
          <w:szCs w:val="24"/>
        </w:rPr>
        <w:t>, which was based largely on the forecasts of long-term Treasury interest rates in 2013, 2014, and 2015.</w:t>
      </w:r>
      <w:r w:rsidR="00A22F9B" w:rsidRPr="00FC3028">
        <w:rPr>
          <w:rStyle w:val="FootnoteReference"/>
          <w:rFonts w:ascii="Times New Roman" w:hAnsi="Times New Roman" w:cs="Times New Roman"/>
          <w:sz w:val="24"/>
          <w:szCs w:val="24"/>
        </w:rPr>
        <w:footnoteReference w:id="207"/>
      </w:r>
      <w:r w:rsidR="004D67E6" w:rsidRPr="00FC3028">
        <w:rPr>
          <w:rFonts w:ascii="Times New Roman" w:hAnsi="Times New Roman" w:cs="Times New Roman"/>
          <w:sz w:val="24"/>
          <w:szCs w:val="24"/>
        </w:rPr>
        <w:t xml:space="preserve"> </w:t>
      </w:r>
      <w:r w:rsidRPr="00FC3028">
        <w:rPr>
          <w:rFonts w:ascii="Times New Roman" w:hAnsi="Times New Roman" w:cs="Times New Roman"/>
          <w:sz w:val="24"/>
          <w:szCs w:val="24"/>
        </w:rPr>
        <w:t>These forecasts for interest rates from 2013 to 2015 used by Duke in the 2012</w:t>
      </w:r>
      <w:r w:rsidR="004D67E6" w:rsidRPr="00FC3028">
        <w:rPr>
          <w:rFonts w:ascii="Times New Roman" w:hAnsi="Times New Roman" w:cs="Times New Roman"/>
          <w:sz w:val="24"/>
          <w:szCs w:val="24"/>
        </w:rPr>
        <w:t xml:space="preserve"> Duke Rate Case ranged from 4.1 percent to 5.3 percent</w:t>
      </w:r>
      <w:r w:rsidRPr="00FC3028">
        <w:rPr>
          <w:rFonts w:ascii="Times New Roman" w:hAnsi="Times New Roman" w:cs="Times New Roman"/>
          <w:sz w:val="24"/>
          <w:szCs w:val="24"/>
        </w:rPr>
        <w:t xml:space="preserve"> and they turned out to be significantly higher than the actual long-ter</w:t>
      </w:r>
      <w:r w:rsidR="004D67E6" w:rsidRPr="00FC3028">
        <w:rPr>
          <w:rFonts w:ascii="Times New Roman" w:hAnsi="Times New Roman" w:cs="Times New Roman"/>
          <w:sz w:val="24"/>
          <w:szCs w:val="24"/>
        </w:rPr>
        <w:t>m government bond yield of 3.67 percent in 2013 and 2.40 percent</w:t>
      </w:r>
      <w:r w:rsidRPr="00FC3028">
        <w:rPr>
          <w:rFonts w:ascii="Times New Roman" w:hAnsi="Times New Roman" w:cs="Times New Roman"/>
          <w:sz w:val="24"/>
          <w:szCs w:val="24"/>
        </w:rPr>
        <w:t xml:space="preserve"> in 2014.</w:t>
      </w:r>
      <w:r w:rsidR="00A22F9B" w:rsidRPr="00FC3028">
        <w:rPr>
          <w:rStyle w:val="FootnoteReference"/>
          <w:rFonts w:ascii="Times New Roman" w:hAnsi="Times New Roman" w:cs="Times New Roman"/>
          <w:sz w:val="24"/>
          <w:szCs w:val="24"/>
        </w:rPr>
        <w:footnoteReference w:id="208"/>
      </w:r>
      <w:r w:rsidRPr="00FC3028">
        <w:rPr>
          <w:rFonts w:ascii="Times New Roman" w:hAnsi="Times New Roman" w:cs="Times New Roman"/>
          <w:sz w:val="24"/>
          <w:szCs w:val="24"/>
        </w:rPr>
        <w:t xml:space="preserve"> This shows that the forecasted interest rates of long- term government bonds are quite subjective and may not be a reliable proxy of the current return of risk-free investments used in the CAPM and Risk Premium Method.</w:t>
      </w:r>
      <w:r w:rsidR="00A22F9B" w:rsidRPr="00FC3028">
        <w:rPr>
          <w:rStyle w:val="FootnoteReference"/>
          <w:rFonts w:ascii="Times New Roman" w:hAnsi="Times New Roman" w:cs="Times New Roman"/>
          <w:sz w:val="24"/>
          <w:szCs w:val="24"/>
        </w:rPr>
        <w:footnoteReference w:id="209"/>
      </w:r>
      <w:r w:rsidRPr="00FC3028">
        <w:rPr>
          <w:rFonts w:ascii="Times New Roman" w:hAnsi="Times New Roman" w:cs="Times New Roman"/>
          <w:sz w:val="24"/>
          <w:szCs w:val="24"/>
        </w:rPr>
        <w:t xml:space="preserve"> </w:t>
      </w:r>
    </w:p>
    <w:p w:rsidR="00A53312" w:rsidRPr="00FC3028" w:rsidRDefault="00A53312" w:rsidP="00A53312">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The use of forecasted interest rates also ignores the</w:t>
      </w:r>
      <w:r w:rsidR="00466122" w:rsidRPr="00FC3028">
        <w:rPr>
          <w:rFonts w:ascii="Times New Roman" w:hAnsi="Times New Roman" w:cs="Times New Roman"/>
          <w:sz w:val="24"/>
          <w:szCs w:val="24"/>
        </w:rPr>
        <w:t xml:space="preserve"> fact that the current market</w:t>
      </w:r>
      <w:r w:rsidR="00A943A1" w:rsidRPr="00FC3028">
        <w:rPr>
          <w:rFonts w:ascii="Times New Roman" w:hAnsi="Times New Roman" w:cs="Times New Roman"/>
          <w:sz w:val="24"/>
          <w:szCs w:val="24"/>
        </w:rPr>
        <w:t xml:space="preserve"> prices</w:t>
      </w:r>
      <w:r w:rsidRPr="00FC3028">
        <w:rPr>
          <w:rFonts w:ascii="Times New Roman" w:hAnsi="Times New Roman" w:cs="Times New Roman"/>
          <w:sz w:val="24"/>
          <w:szCs w:val="24"/>
        </w:rPr>
        <w:t xml:space="preserve"> have already fully reflected the expectation and available information to the buyer and sellers </w:t>
      </w:r>
      <w:r w:rsidR="00466122" w:rsidRPr="00FC3028">
        <w:rPr>
          <w:rFonts w:ascii="Times New Roman" w:hAnsi="Times New Roman" w:cs="Times New Roman"/>
          <w:sz w:val="24"/>
          <w:szCs w:val="24"/>
        </w:rPr>
        <w:t>of long-term government bonds.</w:t>
      </w:r>
      <w:r w:rsidR="00A22F9B" w:rsidRPr="00FC3028">
        <w:rPr>
          <w:rStyle w:val="FootnoteReference"/>
          <w:rFonts w:ascii="Times New Roman" w:hAnsi="Times New Roman" w:cs="Times New Roman"/>
          <w:sz w:val="24"/>
          <w:szCs w:val="24"/>
        </w:rPr>
        <w:footnoteReference w:id="210"/>
      </w:r>
      <w:r w:rsidR="00A943A1" w:rsidRPr="00FC3028">
        <w:rPr>
          <w:rFonts w:ascii="Times New Roman" w:hAnsi="Times New Roman" w:cs="Times New Roman"/>
          <w:sz w:val="24"/>
          <w:szCs w:val="24"/>
        </w:rPr>
        <w:t xml:space="preserve"> The current market prices </w:t>
      </w:r>
      <w:r w:rsidRPr="00FC3028">
        <w:rPr>
          <w:rFonts w:ascii="Times New Roman" w:hAnsi="Times New Roman" w:cs="Times New Roman"/>
          <w:sz w:val="24"/>
          <w:szCs w:val="24"/>
        </w:rPr>
        <w:t>of long-term governmen</w:t>
      </w:r>
      <w:r w:rsidR="00A943A1" w:rsidRPr="00FC3028">
        <w:rPr>
          <w:rFonts w:ascii="Times New Roman" w:hAnsi="Times New Roman" w:cs="Times New Roman"/>
          <w:sz w:val="24"/>
          <w:szCs w:val="24"/>
        </w:rPr>
        <w:t>t bonds</w:t>
      </w:r>
      <w:r w:rsidR="00466122" w:rsidRPr="00FC3028">
        <w:rPr>
          <w:rFonts w:ascii="Times New Roman" w:hAnsi="Times New Roman" w:cs="Times New Roman"/>
          <w:sz w:val="24"/>
          <w:szCs w:val="24"/>
        </w:rPr>
        <w:t xml:space="preserve"> are readily available</w:t>
      </w:r>
      <w:r w:rsidRPr="00FC3028">
        <w:rPr>
          <w:rFonts w:ascii="Times New Roman" w:hAnsi="Times New Roman" w:cs="Times New Roman"/>
          <w:sz w:val="24"/>
          <w:szCs w:val="24"/>
        </w:rPr>
        <w:t xml:space="preserve"> and observable.</w:t>
      </w:r>
      <w:r w:rsidR="00A22F9B" w:rsidRPr="00FC3028">
        <w:rPr>
          <w:rStyle w:val="FootnoteReference"/>
          <w:rFonts w:ascii="Times New Roman" w:hAnsi="Times New Roman" w:cs="Times New Roman"/>
          <w:sz w:val="24"/>
          <w:szCs w:val="24"/>
        </w:rPr>
        <w:footnoteReference w:id="211"/>
      </w:r>
      <w:r w:rsidRPr="00FC3028">
        <w:rPr>
          <w:rFonts w:ascii="Times New Roman" w:hAnsi="Times New Roman" w:cs="Times New Roman"/>
          <w:sz w:val="24"/>
          <w:szCs w:val="24"/>
        </w:rPr>
        <w:t xml:space="preserve"> There is no need to use the forecasted interest rat</w:t>
      </w:r>
      <w:r w:rsidR="00466122" w:rsidRPr="00FC3028">
        <w:rPr>
          <w:rFonts w:ascii="Times New Roman" w:hAnsi="Times New Roman" w:cs="Times New Roman"/>
          <w:sz w:val="24"/>
          <w:szCs w:val="24"/>
        </w:rPr>
        <w:t>es of long-term</w:t>
      </w:r>
      <w:r w:rsidRPr="00FC3028">
        <w:rPr>
          <w:rFonts w:ascii="Times New Roman" w:hAnsi="Times New Roman" w:cs="Times New Roman"/>
          <w:sz w:val="24"/>
          <w:szCs w:val="24"/>
        </w:rPr>
        <w:t xml:space="preserve"> government bonds as the proxy for the retu</w:t>
      </w:r>
      <w:r w:rsidR="00466122" w:rsidRPr="00FC3028">
        <w:rPr>
          <w:rFonts w:ascii="Times New Roman" w:hAnsi="Times New Roman" w:cs="Times New Roman"/>
          <w:sz w:val="24"/>
          <w:szCs w:val="24"/>
        </w:rPr>
        <w:t>rn of risk-free investments in</w:t>
      </w:r>
      <w:r w:rsidRPr="00FC3028">
        <w:rPr>
          <w:rFonts w:ascii="Times New Roman" w:hAnsi="Times New Roman" w:cs="Times New Roman"/>
          <w:sz w:val="24"/>
          <w:szCs w:val="24"/>
        </w:rPr>
        <w:t xml:space="preserve"> estimating the return on equity.</w:t>
      </w:r>
    </w:p>
    <w:p w:rsidR="00466122" w:rsidRPr="002442FF" w:rsidRDefault="009420EC" w:rsidP="009420EC">
      <w:pPr>
        <w:pStyle w:val="Heading3"/>
      </w:pPr>
      <w:bookmarkStart w:id="33" w:name="_Toc437441483"/>
      <w:r>
        <w:t>2</w:t>
      </w:r>
      <w:r w:rsidR="008015E1">
        <w:t>.</w:t>
      </w:r>
      <w:r w:rsidR="008015E1">
        <w:tab/>
      </w:r>
      <w:r w:rsidR="00466122" w:rsidRPr="002442FF">
        <w:t>Duke’s proposed ROE of 9.84 percent is distorted because it was calculated with a high market risk premium.</w:t>
      </w:r>
      <w:bookmarkEnd w:id="33"/>
    </w:p>
    <w:p w:rsidR="00A53312" w:rsidRPr="00FC3028" w:rsidRDefault="0097205C" w:rsidP="00D327C4">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 used a high market risk premium of 7.1 percent in calculating the ROE for Rider ASRP.</w:t>
      </w:r>
      <w:r w:rsidR="00A22F9B" w:rsidRPr="00FC3028">
        <w:rPr>
          <w:rStyle w:val="FootnoteReference"/>
          <w:rFonts w:ascii="Times New Roman" w:hAnsi="Times New Roman" w:cs="Times New Roman"/>
          <w:sz w:val="24"/>
          <w:szCs w:val="24"/>
        </w:rPr>
        <w:footnoteReference w:id="212"/>
      </w:r>
      <w:r w:rsidRPr="00FC3028">
        <w:rPr>
          <w:rFonts w:ascii="Times New Roman" w:hAnsi="Times New Roman" w:cs="Times New Roman"/>
          <w:sz w:val="24"/>
          <w:szCs w:val="24"/>
        </w:rPr>
        <w:t xml:space="preserve"> </w:t>
      </w:r>
      <w:r w:rsidR="00787629" w:rsidRPr="00FC3028">
        <w:rPr>
          <w:rFonts w:ascii="Times New Roman" w:hAnsi="Times New Roman" w:cs="Times New Roman"/>
          <w:sz w:val="24"/>
          <w:szCs w:val="24"/>
        </w:rPr>
        <w:t>As Duke witness</w:t>
      </w:r>
      <w:r w:rsidR="00A7293A" w:rsidRPr="00FC3028">
        <w:rPr>
          <w:rFonts w:ascii="Times New Roman" w:hAnsi="Times New Roman" w:cs="Times New Roman"/>
          <w:sz w:val="24"/>
          <w:szCs w:val="24"/>
        </w:rPr>
        <w:t xml:space="preserve"> Dr.</w:t>
      </w:r>
      <w:r w:rsidR="00787629" w:rsidRPr="00FC3028">
        <w:rPr>
          <w:rFonts w:ascii="Times New Roman" w:hAnsi="Times New Roman" w:cs="Times New Roman"/>
          <w:sz w:val="24"/>
          <w:szCs w:val="24"/>
        </w:rPr>
        <w:t xml:space="preserve"> Morin acknowledge, t</w:t>
      </w:r>
      <w:r w:rsidR="00466122" w:rsidRPr="00FC3028">
        <w:rPr>
          <w:rFonts w:ascii="Times New Roman" w:hAnsi="Times New Roman" w:cs="Times New Roman"/>
          <w:sz w:val="24"/>
          <w:szCs w:val="24"/>
        </w:rPr>
        <w:t>he use of a high market</w:t>
      </w:r>
      <w:r w:rsidR="00A943A1" w:rsidRPr="00FC3028">
        <w:rPr>
          <w:rFonts w:ascii="Times New Roman" w:hAnsi="Times New Roman" w:cs="Times New Roman"/>
          <w:sz w:val="24"/>
          <w:szCs w:val="24"/>
        </w:rPr>
        <w:t xml:space="preserve"> risk premium of 7.1 percent</w:t>
      </w:r>
      <w:r w:rsidR="00466122" w:rsidRPr="00FC3028">
        <w:rPr>
          <w:rFonts w:ascii="Times New Roman" w:hAnsi="Times New Roman" w:cs="Times New Roman"/>
          <w:sz w:val="24"/>
          <w:szCs w:val="24"/>
        </w:rPr>
        <w:t xml:space="preserve"> is certainly on the high end</w:t>
      </w:r>
      <w:r w:rsidR="00A943A1" w:rsidRPr="00FC3028">
        <w:rPr>
          <w:rFonts w:ascii="Times New Roman" w:hAnsi="Times New Roman" w:cs="Times New Roman"/>
          <w:sz w:val="24"/>
          <w:szCs w:val="24"/>
        </w:rPr>
        <w:t xml:space="preserve"> of the range of market risk premium</w:t>
      </w:r>
      <w:r w:rsidR="00466122" w:rsidRPr="00FC3028">
        <w:rPr>
          <w:rFonts w:ascii="Times New Roman" w:hAnsi="Times New Roman" w:cs="Times New Roman"/>
          <w:sz w:val="24"/>
          <w:szCs w:val="24"/>
        </w:rPr>
        <w:t>.</w:t>
      </w:r>
      <w:r w:rsidR="00787629" w:rsidRPr="00FC3028">
        <w:rPr>
          <w:rStyle w:val="FootnoteReference"/>
          <w:rFonts w:ascii="Times New Roman" w:hAnsi="Times New Roman" w:cs="Times New Roman"/>
          <w:sz w:val="24"/>
          <w:szCs w:val="24"/>
        </w:rPr>
        <w:footnoteReference w:id="213"/>
      </w:r>
      <w:r w:rsidR="00466122" w:rsidRPr="00FC3028">
        <w:rPr>
          <w:rFonts w:ascii="Times New Roman" w:hAnsi="Times New Roman" w:cs="Times New Roman"/>
          <w:sz w:val="24"/>
          <w:szCs w:val="24"/>
        </w:rPr>
        <w:t xml:space="preserve"> For example, in the Ibbotson SB</w:t>
      </w:r>
      <w:r w:rsidR="003E1CB4" w:rsidRPr="00FC3028">
        <w:rPr>
          <w:rFonts w:ascii="Times New Roman" w:hAnsi="Times New Roman" w:cs="Times New Roman"/>
          <w:sz w:val="24"/>
          <w:szCs w:val="24"/>
        </w:rPr>
        <w:t>BI 2015 Classic Yearbook, the</w:t>
      </w:r>
      <w:r w:rsidR="00466122" w:rsidRPr="00FC3028">
        <w:rPr>
          <w:rFonts w:ascii="Times New Roman" w:hAnsi="Times New Roman" w:cs="Times New Roman"/>
          <w:sz w:val="24"/>
          <w:szCs w:val="24"/>
        </w:rPr>
        <w:t xml:space="preserve"> market risk premium as measured by difference</w:t>
      </w:r>
      <w:r w:rsidR="003E1CB4" w:rsidRPr="00FC3028">
        <w:rPr>
          <w:rFonts w:ascii="Times New Roman" w:hAnsi="Times New Roman" w:cs="Times New Roman"/>
          <w:sz w:val="24"/>
          <w:szCs w:val="24"/>
        </w:rPr>
        <w:t xml:space="preserve"> between the annualized total</w:t>
      </w:r>
      <w:r w:rsidR="00466122" w:rsidRPr="00FC3028">
        <w:rPr>
          <w:rFonts w:ascii="Times New Roman" w:hAnsi="Times New Roman" w:cs="Times New Roman"/>
          <w:sz w:val="24"/>
          <w:szCs w:val="24"/>
        </w:rPr>
        <w:t xml:space="preserve"> return (from 1926 to 2014) of Large-Cap Stocks (12</w:t>
      </w:r>
      <w:r w:rsidR="003E1CB4" w:rsidRPr="00FC3028">
        <w:rPr>
          <w:rFonts w:ascii="Times New Roman" w:hAnsi="Times New Roman" w:cs="Times New Roman"/>
          <w:sz w:val="24"/>
          <w:szCs w:val="24"/>
        </w:rPr>
        <w:t>.1%) and the annualized total</w:t>
      </w:r>
      <w:r w:rsidR="00466122" w:rsidRPr="00FC3028">
        <w:rPr>
          <w:rFonts w:ascii="Times New Roman" w:hAnsi="Times New Roman" w:cs="Times New Roman"/>
          <w:sz w:val="24"/>
          <w:szCs w:val="24"/>
        </w:rPr>
        <w:t xml:space="preserve"> return of </w:t>
      </w:r>
      <w:r w:rsidR="00A22F9B" w:rsidRPr="00FC3028">
        <w:rPr>
          <w:rFonts w:ascii="Times New Roman" w:hAnsi="Times New Roman" w:cs="Times New Roman"/>
          <w:sz w:val="24"/>
          <w:szCs w:val="24"/>
        </w:rPr>
        <w:t>Long-term Government Bonds (6.1 percent) is 6 percent</w:t>
      </w:r>
      <w:r w:rsidR="00466122" w:rsidRPr="00FC3028">
        <w:rPr>
          <w:rFonts w:ascii="Times New Roman" w:hAnsi="Times New Roman" w:cs="Times New Roman"/>
          <w:sz w:val="24"/>
          <w:szCs w:val="24"/>
        </w:rPr>
        <w:t xml:space="preserve"> if the arithmetic me</w:t>
      </w:r>
      <w:r w:rsidR="003E1CB4" w:rsidRPr="00FC3028">
        <w:rPr>
          <w:rFonts w:ascii="Times New Roman" w:hAnsi="Times New Roman" w:cs="Times New Roman"/>
          <w:sz w:val="24"/>
          <w:szCs w:val="24"/>
        </w:rPr>
        <w:t>an of total return is used.</w:t>
      </w:r>
      <w:r w:rsidR="00A23D03" w:rsidRPr="00FC3028">
        <w:rPr>
          <w:rStyle w:val="FootnoteReference"/>
          <w:rFonts w:ascii="Times New Roman" w:hAnsi="Times New Roman" w:cs="Times New Roman"/>
          <w:sz w:val="24"/>
          <w:szCs w:val="24"/>
        </w:rPr>
        <w:footnoteReference w:id="214"/>
      </w:r>
      <w:r w:rsidR="00466122" w:rsidRPr="00FC3028">
        <w:rPr>
          <w:rFonts w:ascii="Times New Roman" w:hAnsi="Times New Roman" w:cs="Times New Roman"/>
          <w:sz w:val="24"/>
          <w:szCs w:val="24"/>
        </w:rPr>
        <w:t xml:space="preserve"> If a geometric mean of yearly total return is used, the market risk prem</w:t>
      </w:r>
      <w:r w:rsidR="00A22F9B" w:rsidRPr="00FC3028">
        <w:rPr>
          <w:rFonts w:ascii="Times New Roman" w:hAnsi="Times New Roman" w:cs="Times New Roman"/>
          <w:sz w:val="24"/>
          <w:szCs w:val="24"/>
        </w:rPr>
        <w:t>ium is 4.4 percent</w:t>
      </w:r>
      <w:r w:rsidR="003E1CB4" w:rsidRPr="00FC3028">
        <w:rPr>
          <w:rFonts w:ascii="Times New Roman" w:hAnsi="Times New Roman" w:cs="Times New Roman"/>
          <w:sz w:val="24"/>
          <w:szCs w:val="24"/>
        </w:rPr>
        <w:t>.</w:t>
      </w:r>
      <w:r w:rsidR="00A22F9B" w:rsidRPr="00FC3028">
        <w:rPr>
          <w:rStyle w:val="FootnoteReference"/>
          <w:rFonts w:ascii="Times New Roman" w:hAnsi="Times New Roman" w:cs="Times New Roman"/>
          <w:sz w:val="24"/>
          <w:szCs w:val="24"/>
        </w:rPr>
        <w:footnoteReference w:id="215"/>
      </w:r>
      <w:r w:rsidR="00466122" w:rsidRPr="00FC3028">
        <w:rPr>
          <w:rFonts w:ascii="Times New Roman" w:hAnsi="Times New Roman" w:cs="Times New Roman"/>
          <w:sz w:val="24"/>
          <w:szCs w:val="24"/>
        </w:rPr>
        <w:t xml:space="preserve"> </w:t>
      </w:r>
      <w:r w:rsidRPr="00FC3028">
        <w:rPr>
          <w:rFonts w:ascii="Times New Roman" w:hAnsi="Times New Roman" w:cs="Times New Roman"/>
          <w:sz w:val="24"/>
          <w:szCs w:val="24"/>
        </w:rPr>
        <w:t>T</w:t>
      </w:r>
      <w:r w:rsidR="00466122" w:rsidRPr="00FC3028">
        <w:rPr>
          <w:rFonts w:ascii="Times New Roman" w:hAnsi="Times New Roman" w:cs="Times New Roman"/>
          <w:sz w:val="24"/>
          <w:szCs w:val="24"/>
        </w:rPr>
        <w:t xml:space="preserve">he estimated </w:t>
      </w:r>
      <w:r w:rsidR="003E1CB4" w:rsidRPr="00FC3028">
        <w:rPr>
          <w:rFonts w:ascii="Times New Roman" w:hAnsi="Times New Roman" w:cs="Times New Roman"/>
          <w:sz w:val="24"/>
          <w:szCs w:val="24"/>
        </w:rPr>
        <w:t>ROE for Duke will be lower if</w:t>
      </w:r>
      <w:r w:rsidR="00466122" w:rsidRPr="00FC3028">
        <w:rPr>
          <w:rFonts w:ascii="Times New Roman" w:hAnsi="Times New Roman" w:cs="Times New Roman"/>
          <w:sz w:val="24"/>
          <w:szCs w:val="24"/>
        </w:rPr>
        <w:t xml:space="preserve"> a lower market risk premium that is more consistent </w:t>
      </w:r>
      <w:r w:rsidR="003E1CB4" w:rsidRPr="00FC3028">
        <w:rPr>
          <w:rFonts w:ascii="Times New Roman" w:hAnsi="Times New Roman" w:cs="Times New Roman"/>
          <w:sz w:val="24"/>
          <w:szCs w:val="24"/>
        </w:rPr>
        <w:t>with those found in financial</w:t>
      </w:r>
      <w:r w:rsidR="00466122" w:rsidRPr="00FC3028">
        <w:rPr>
          <w:rFonts w:ascii="Times New Roman" w:hAnsi="Times New Roman" w:cs="Times New Roman"/>
          <w:sz w:val="24"/>
          <w:szCs w:val="24"/>
        </w:rPr>
        <w:t xml:space="preserve"> publications is used in this proceeding.</w:t>
      </w:r>
      <w:r w:rsidR="00A22F9B" w:rsidRPr="00FC3028">
        <w:rPr>
          <w:rStyle w:val="FootnoteReference"/>
          <w:rFonts w:ascii="Times New Roman" w:hAnsi="Times New Roman" w:cs="Times New Roman"/>
          <w:sz w:val="24"/>
          <w:szCs w:val="24"/>
        </w:rPr>
        <w:footnoteReference w:id="216"/>
      </w:r>
      <w:r w:rsidR="00D327C4" w:rsidRPr="00FC3028">
        <w:rPr>
          <w:rFonts w:ascii="Times New Roman" w:hAnsi="Times New Roman" w:cs="Times New Roman"/>
          <w:sz w:val="24"/>
          <w:szCs w:val="24"/>
        </w:rPr>
        <w:t xml:space="preserve"> </w:t>
      </w:r>
    </w:p>
    <w:p w:rsidR="00A6213A" w:rsidRPr="00FC3028" w:rsidRDefault="00170F6A" w:rsidP="009420EC">
      <w:pPr>
        <w:pStyle w:val="Heading2"/>
      </w:pPr>
      <w:bookmarkStart w:id="34" w:name="_Toc437441484"/>
      <w:r>
        <w:t>E</w:t>
      </w:r>
      <w:r w:rsidR="009420EC">
        <w:t>.</w:t>
      </w:r>
      <w:r w:rsidR="009420EC">
        <w:tab/>
      </w:r>
      <w:r w:rsidR="00A6213A" w:rsidRPr="00FC3028">
        <w:t>If the PUCO were to approve the ASRP over the objections of all of the Intervenors and its customers, then the PUCO should modi</w:t>
      </w:r>
      <w:r w:rsidR="00A22F9B" w:rsidRPr="00FC3028">
        <w:t>fy the program</w:t>
      </w:r>
      <w:r w:rsidR="00476337" w:rsidRPr="00FC3028">
        <w:t>.</w:t>
      </w:r>
      <w:bookmarkEnd w:id="34"/>
    </w:p>
    <w:p w:rsidR="00692D84" w:rsidRPr="00FC3028" w:rsidRDefault="003F0C2A" w:rsidP="003F0C2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If the PUCO approves the ASRP and Rider ASRP</w:t>
      </w:r>
      <w:r w:rsidR="00692D84" w:rsidRPr="00FC3028">
        <w:rPr>
          <w:rFonts w:ascii="Times New Roman" w:hAnsi="Times New Roman" w:cs="Times New Roman"/>
          <w:sz w:val="24"/>
          <w:szCs w:val="24"/>
        </w:rPr>
        <w:t>,</w:t>
      </w:r>
      <w:r w:rsidRPr="00FC3028">
        <w:rPr>
          <w:rFonts w:ascii="Times New Roman" w:hAnsi="Times New Roman" w:cs="Times New Roman"/>
          <w:sz w:val="24"/>
          <w:szCs w:val="24"/>
        </w:rPr>
        <w:t xml:space="preserve"> over the objections of the OCC to protec</w:t>
      </w:r>
      <w:r w:rsidR="00692D84" w:rsidRPr="00FC3028">
        <w:rPr>
          <w:rFonts w:ascii="Times New Roman" w:hAnsi="Times New Roman" w:cs="Times New Roman"/>
          <w:sz w:val="24"/>
          <w:szCs w:val="24"/>
        </w:rPr>
        <w:t>t consumers</w:t>
      </w:r>
      <w:r w:rsidRPr="00FC3028">
        <w:rPr>
          <w:rFonts w:ascii="Times New Roman" w:hAnsi="Times New Roman" w:cs="Times New Roman"/>
          <w:sz w:val="24"/>
          <w:szCs w:val="24"/>
        </w:rPr>
        <w:t xml:space="preserve">, </w:t>
      </w:r>
      <w:r w:rsidR="00C45E6C" w:rsidRPr="00FC3028">
        <w:rPr>
          <w:rFonts w:ascii="Times New Roman" w:hAnsi="Times New Roman" w:cs="Times New Roman"/>
          <w:sz w:val="24"/>
          <w:szCs w:val="24"/>
        </w:rPr>
        <w:t>the</w:t>
      </w:r>
      <w:r w:rsidR="000E712F">
        <w:rPr>
          <w:rFonts w:ascii="Times New Roman" w:hAnsi="Times New Roman" w:cs="Times New Roman"/>
          <w:sz w:val="24"/>
          <w:szCs w:val="24"/>
        </w:rPr>
        <w:t>n it modify the rider and reduce its cost</w:t>
      </w:r>
      <w:r w:rsidR="00D07B78">
        <w:rPr>
          <w:rFonts w:ascii="Times New Roman" w:hAnsi="Times New Roman" w:cs="Times New Roman"/>
          <w:sz w:val="24"/>
          <w:szCs w:val="24"/>
        </w:rPr>
        <w:t>s</w:t>
      </w:r>
      <w:r w:rsidR="000E712F">
        <w:rPr>
          <w:rFonts w:ascii="Times New Roman" w:hAnsi="Times New Roman" w:cs="Times New Roman"/>
          <w:sz w:val="24"/>
          <w:szCs w:val="24"/>
        </w:rPr>
        <w:t xml:space="preserve"> </w:t>
      </w:r>
      <w:r w:rsidR="00D07B78">
        <w:rPr>
          <w:rFonts w:ascii="Times New Roman" w:hAnsi="Times New Roman" w:cs="Times New Roman"/>
          <w:sz w:val="24"/>
          <w:szCs w:val="24"/>
        </w:rPr>
        <w:t>to</w:t>
      </w:r>
      <w:r w:rsidR="000E712F">
        <w:rPr>
          <w:rFonts w:ascii="Times New Roman" w:hAnsi="Times New Roman" w:cs="Times New Roman"/>
          <w:sz w:val="24"/>
          <w:szCs w:val="24"/>
        </w:rPr>
        <w:t xml:space="preserve"> customers. </w:t>
      </w:r>
      <w:r w:rsidRPr="00FC3028">
        <w:rPr>
          <w:rFonts w:ascii="Times New Roman" w:hAnsi="Times New Roman" w:cs="Times New Roman"/>
          <w:sz w:val="24"/>
          <w:szCs w:val="24"/>
        </w:rPr>
        <w:t xml:space="preserve"> </w:t>
      </w:r>
    </w:p>
    <w:p w:rsidR="00FF0055" w:rsidRPr="00FC3028" w:rsidRDefault="009420EC" w:rsidP="009420EC">
      <w:pPr>
        <w:pStyle w:val="Heading3"/>
      </w:pPr>
      <w:bookmarkStart w:id="35" w:name="_Toc437441485"/>
      <w:r>
        <w:t>1.</w:t>
      </w:r>
      <w:r>
        <w:tab/>
      </w:r>
      <w:r w:rsidR="00FF0055" w:rsidRPr="00FC3028">
        <w:t>It is premature</w:t>
      </w:r>
      <w:r w:rsidR="00156B50" w:rsidRPr="00FC3028">
        <w:t xml:space="preserve"> and unnecessary to set the Return on Equity for </w:t>
      </w:r>
      <w:r w:rsidR="00FF0055" w:rsidRPr="00FC3028">
        <w:t>Rider ASRP because Duke will not incur ASRP capital expenditures until 2016.</w:t>
      </w:r>
      <w:bookmarkEnd w:id="35"/>
    </w:p>
    <w:p w:rsidR="006B0E0A" w:rsidRPr="00FC3028" w:rsidRDefault="00692D84" w:rsidP="003F0C2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First, </w:t>
      </w:r>
      <w:r w:rsidR="00C45E6C" w:rsidRPr="00FC3028">
        <w:rPr>
          <w:rFonts w:ascii="Times New Roman" w:hAnsi="Times New Roman" w:cs="Times New Roman"/>
          <w:sz w:val="24"/>
          <w:szCs w:val="24"/>
        </w:rPr>
        <w:t>the</w:t>
      </w:r>
      <w:r w:rsidR="003F0C2A" w:rsidRPr="00FC3028">
        <w:rPr>
          <w:rFonts w:ascii="Times New Roman" w:hAnsi="Times New Roman" w:cs="Times New Roman"/>
          <w:sz w:val="24"/>
          <w:szCs w:val="24"/>
        </w:rPr>
        <w:t xml:space="preserve"> PUCO should </w:t>
      </w:r>
      <w:r w:rsidR="00BB2899" w:rsidRPr="00FC3028">
        <w:rPr>
          <w:rFonts w:ascii="Times New Roman" w:hAnsi="Times New Roman" w:cs="Times New Roman"/>
          <w:sz w:val="24"/>
          <w:szCs w:val="24"/>
        </w:rPr>
        <w:t xml:space="preserve">set Rider ASRP to </w:t>
      </w:r>
      <w:r w:rsidR="00C45E6C" w:rsidRPr="00FC3028">
        <w:rPr>
          <w:rFonts w:ascii="Times New Roman" w:hAnsi="Times New Roman" w:cs="Times New Roman"/>
          <w:sz w:val="24"/>
          <w:szCs w:val="24"/>
        </w:rPr>
        <w:t>$0 until May 2017</w:t>
      </w:r>
      <w:r w:rsidRPr="00FC3028">
        <w:rPr>
          <w:rFonts w:ascii="Times New Roman" w:hAnsi="Times New Roman" w:cs="Times New Roman"/>
          <w:sz w:val="24"/>
          <w:szCs w:val="24"/>
        </w:rPr>
        <w:t>. Acco</w:t>
      </w:r>
      <w:r w:rsidR="00BB2899" w:rsidRPr="00FC3028">
        <w:rPr>
          <w:rFonts w:ascii="Times New Roman" w:hAnsi="Times New Roman" w:cs="Times New Roman"/>
          <w:sz w:val="24"/>
          <w:szCs w:val="24"/>
        </w:rPr>
        <w:t>rding to Duke</w:t>
      </w:r>
      <w:r w:rsidRPr="00FC3028">
        <w:rPr>
          <w:rFonts w:ascii="Times New Roman" w:hAnsi="Times New Roman" w:cs="Times New Roman"/>
          <w:sz w:val="24"/>
          <w:szCs w:val="24"/>
        </w:rPr>
        <w:t xml:space="preserve">, </w:t>
      </w:r>
      <w:r w:rsidR="00625831" w:rsidRPr="00FC3028">
        <w:rPr>
          <w:rFonts w:ascii="Times New Roman" w:hAnsi="Times New Roman" w:cs="Times New Roman"/>
          <w:sz w:val="24"/>
          <w:szCs w:val="24"/>
        </w:rPr>
        <w:t>in order to calculate Rider ASRP, on or before Decemb</w:t>
      </w:r>
      <w:r w:rsidR="00BB2899" w:rsidRPr="00FC3028">
        <w:rPr>
          <w:rFonts w:ascii="Times New Roman" w:hAnsi="Times New Roman" w:cs="Times New Roman"/>
          <w:sz w:val="24"/>
          <w:szCs w:val="24"/>
        </w:rPr>
        <w:t>er 1 of each calendar year, Duke will submit a pre-filing notice. Duke indicates it intends to file its first pre-filing notice on or before December 1, 2015.</w:t>
      </w:r>
      <w:r w:rsidR="00BB2899" w:rsidRPr="00FC3028">
        <w:rPr>
          <w:rStyle w:val="FootnoteReference"/>
          <w:rFonts w:ascii="Times New Roman" w:hAnsi="Times New Roman" w:cs="Times New Roman"/>
          <w:sz w:val="24"/>
          <w:szCs w:val="24"/>
        </w:rPr>
        <w:footnoteReference w:id="217"/>
      </w:r>
      <w:r w:rsidR="00BB2899" w:rsidRPr="00FC3028">
        <w:rPr>
          <w:rFonts w:ascii="Times New Roman" w:hAnsi="Times New Roman" w:cs="Times New Roman"/>
          <w:sz w:val="24"/>
          <w:szCs w:val="24"/>
        </w:rPr>
        <w:t xml:space="preserve"> This notice</w:t>
      </w:r>
      <w:r w:rsidR="00625831" w:rsidRPr="00FC3028">
        <w:rPr>
          <w:rFonts w:ascii="Times New Roman" w:hAnsi="Times New Roman" w:cs="Times New Roman"/>
          <w:sz w:val="24"/>
          <w:szCs w:val="24"/>
        </w:rPr>
        <w:t xml:space="preserve"> will include a revenue requirement calculation based on ten months of actual data and two months of projected data for that calendar year.</w:t>
      </w:r>
      <w:r w:rsidR="00614066" w:rsidRPr="00FC3028">
        <w:rPr>
          <w:rStyle w:val="FootnoteReference"/>
          <w:rFonts w:ascii="Times New Roman" w:hAnsi="Times New Roman" w:cs="Times New Roman"/>
          <w:sz w:val="24"/>
          <w:szCs w:val="24"/>
        </w:rPr>
        <w:footnoteReference w:id="218"/>
      </w:r>
      <w:r w:rsidR="00625831" w:rsidRPr="00FC3028">
        <w:rPr>
          <w:rFonts w:ascii="Times New Roman" w:hAnsi="Times New Roman" w:cs="Times New Roman"/>
          <w:sz w:val="24"/>
          <w:szCs w:val="24"/>
        </w:rPr>
        <w:t xml:space="preserve"> On or before Marc</w:t>
      </w:r>
      <w:r w:rsidR="006B0E0A" w:rsidRPr="00FC3028">
        <w:rPr>
          <w:rFonts w:ascii="Times New Roman" w:hAnsi="Times New Roman" w:cs="Times New Roman"/>
          <w:sz w:val="24"/>
          <w:szCs w:val="24"/>
        </w:rPr>
        <w:t>h 1 of the subs</w:t>
      </w:r>
      <w:r w:rsidR="00BB2899" w:rsidRPr="00FC3028">
        <w:rPr>
          <w:rFonts w:ascii="Times New Roman" w:hAnsi="Times New Roman" w:cs="Times New Roman"/>
          <w:sz w:val="24"/>
          <w:szCs w:val="24"/>
        </w:rPr>
        <w:t>equent year, Duke</w:t>
      </w:r>
      <w:r w:rsidR="006B0E0A" w:rsidRPr="00FC3028">
        <w:rPr>
          <w:rFonts w:ascii="Times New Roman" w:hAnsi="Times New Roman" w:cs="Times New Roman"/>
          <w:sz w:val="24"/>
          <w:szCs w:val="24"/>
        </w:rPr>
        <w:t xml:space="preserve"> </w:t>
      </w:r>
      <w:r w:rsidR="00625831" w:rsidRPr="00FC3028">
        <w:rPr>
          <w:rFonts w:ascii="Times New Roman" w:hAnsi="Times New Roman" w:cs="Times New Roman"/>
          <w:sz w:val="24"/>
          <w:szCs w:val="24"/>
        </w:rPr>
        <w:t>will file an actual application based on the twelve-month actual costs</w:t>
      </w:r>
      <w:r w:rsidRPr="00FC3028">
        <w:rPr>
          <w:rFonts w:ascii="Times New Roman" w:hAnsi="Times New Roman" w:cs="Times New Roman"/>
          <w:sz w:val="24"/>
          <w:szCs w:val="24"/>
        </w:rPr>
        <w:t>.</w:t>
      </w:r>
      <w:r w:rsidRPr="00FC3028">
        <w:rPr>
          <w:rStyle w:val="FootnoteReference"/>
          <w:rFonts w:ascii="Times New Roman" w:hAnsi="Times New Roman" w:cs="Times New Roman"/>
          <w:sz w:val="24"/>
          <w:szCs w:val="24"/>
        </w:rPr>
        <w:footnoteReference w:id="219"/>
      </w:r>
      <w:r w:rsidR="00625831" w:rsidRPr="00FC3028">
        <w:rPr>
          <w:rFonts w:ascii="Times New Roman" w:hAnsi="Times New Roman" w:cs="Times New Roman"/>
          <w:sz w:val="24"/>
          <w:szCs w:val="24"/>
        </w:rPr>
        <w:t xml:space="preserve"> Duke also proposes that Rider ASRP be effective the first billing cycle in May following the close of the calendar year.</w:t>
      </w:r>
      <w:r w:rsidR="00625831" w:rsidRPr="00FC3028">
        <w:rPr>
          <w:rStyle w:val="FootnoteReference"/>
          <w:rFonts w:ascii="Times New Roman" w:hAnsi="Times New Roman" w:cs="Times New Roman"/>
          <w:sz w:val="24"/>
          <w:szCs w:val="24"/>
        </w:rPr>
        <w:footnoteReference w:id="220"/>
      </w:r>
      <w:r w:rsidR="00625831" w:rsidRPr="00FC3028">
        <w:rPr>
          <w:rFonts w:ascii="Times New Roman" w:hAnsi="Times New Roman" w:cs="Times New Roman"/>
          <w:sz w:val="24"/>
          <w:szCs w:val="24"/>
        </w:rPr>
        <w:t xml:space="preserve"> Duke expects Rider ASRP to be effective upon approval and initially set at zero.</w:t>
      </w:r>
      <w:r w:rsidR="00625831" w:rsidRPr="00FC3028">
        <w:rPr>
          <w:rStyle w:val="FootnoteReference"/>
          <w:rFonts w:ascii="Times New Roman" w:hAnsi="Times New Roman" w:cs="Times New Roman"/>
          <w:sz w:val="24"/>
          <w:szCs w:val="24"/>
        </w:rPr>
        <w:footnoteReference w:id="221"/>
      </w:r>
      <w:r w:rsidR="00625831" w:rsidRPr="00FC3028">
        <w:rPr>
          <w:rFonts w:ascii="Times New Roman" w:hAnsi="Times New Roman" w:cs="Times New Roman"/>
          <w:sz w:val="24"/>
          <w:szCs w:val="24"/>
        </w:rPr>
        <w:t xml:space="preserve"> </w:t>
      </w:r>
    </w:p>
    <w:p w:rsidR="00A02D17" w:rsidRPr="00FC3028" w:rsidRDefault="00625831" w:rsidP="00AE4708">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Duke cannot make any ASRP capital investments until the ASRP is authorized by the PUCO. Given that reply briefs are not due in this proceeding until December 23, 2015, any decision by the PUCO regarding Duke’s Application will most likely be issued in early 2016. Consequently, a decision on Duke’s Application will most likely not come in 2015. </w:t>
      </w:r>
      <w:r w:rsidR="00A02D17" w:rsidRPr="00FC3028">
        <w:rPr>
          <w:rFonts w:ascii="Times New Roman" w:hAnsi="Times New Roman" w:cs="Times New Roman"/>
          <w:sz w:val="24"/>
          <w:szCs w:val="24"/>
        </w:rPr>
        <w:t xml:space="preserve">Absent any significant amount of ASRP-related capital investments made and put into service in 2015, there is no need for Duke to file an actual ASRP application on or before March 1, 2016. The purpose of a 2016 Rider ASRP filing by Duke would be to update its collection of the return on and of capital investment and operating expenses incurred in 2015. </w:t>
      </w:r>
      <w:r w:rsidR="006B0E0A" w:rsidRPr="00FC3028">
        <w:rPr>
          <w:rFonts w:ascii="Times New Roman" w:hAnsi="Times New Roman" w:cs="Times New Roman"/>
          <w:sz w:val="24"/>
          <w:szCs w:val="24"/>
        </w:rPr>
        <w:t>Such a filing would be</w:t>
      </w:r>
      <w:r w:rsidR="00A02D17" w:rsidRPr="00FC3028">
        <w:rPr>
          <w:rFonts w:ascii="Times New Roman" w:hAnsi="Times New Roman" w:cs="Times New Roman"/>
          <w:sz w:val="24"/>
          <w:szCs w:val="24"/>
        </w:rPr>
        <w:t xml:space="preserve"> unnecessary because the 2015 ASRP- related return on investment and O&amp;M expenses should be equal to </w:t>
      </w:r>
      <w:r w:rsidR="00A7293A" w:rsidRPr="00FC3028">
        <w:rPr>
          <w:rFonts w:ascii="Times New Roman" w:hAnsi="Times New Roman" w:cs="Times New Roman"/>
          <w:sz w:val="24"/>
          <w:szCs w:val="24"/>
        </w:rPr>
        <w:t>$0</w:t>
      </w:r>
      <w:r w:rsidR="00A02D17" w:rsidRPr="00FC3028">
        <w:rPr>
          <w:rFonts w:ascii="Times New Roman" w:hAnsi="Times New Roman" w:cs="Times New Roman"/>
          <w:sz w:val="24"/>
          <w:szCs w:val="24"/>
        </w:rPr>
        <w:t>. Assuming that the proposed ASRP and Rider</w:t>
      </w:r>
      <w:r w:rsidR="00AE4708" w:rsidRPr="00FC3028">
        <w:rPr>
          <w:rFonts w:ascii="Times New Roman" w:hAnsi="Times New Roman" w:cs="Times New Roman"/>
          <w:sz w:val="24"/>
          <w:szCs w:val="24"/>
        </w:rPr>
        <w:t xml:space="preserve"> ASRP is approved by the PUCO, </w:t>
      </w:r>
      <w:r w:rsidR="00A02D17" w:rsidRPr="00FC3028">
        <w:rPr>
          <w:rFonts w:ascii="Times New Roman" w:hAnsi="Times New Roman" w:cs="Times New Roman"/>
          <w:sz w:val="24"/>
          <w:szCs w:val="24"/>
        </w:rPr>
        <w:t>and Duke does incur substantial amounts of ASRP-related capital investments and expenses in 2016, Duke can file an application in 2017 to update Rider ASRP. The purpose of the 2017 filing is to collect the 2016 ASRP-related investment return and expenses. The earliest date for this first actual Rider ASRP application is on or before March 1, 2017.</w:t>
      </w:r>
    </w:p>
    <w:p w:rsidR="00FF0055" w:rsidRPr="00FC3028" w:rsidRDefault="009420EC" w:rsidP="009420EC">
      <w:pPr>
        <w:pStyle w:val="Heading3"/>
      </w:pPr>
      <w:bookmarkStart w:id="36" w:name="_Toc437441486"/>
      <w:r>
        <w:t>2.</w:t>
      </w:r>
      <w:r>
        <w:tab/>
      </w:r>
      <w:r w:rsidR="00FF0055" w:rsidRPr="00FC3028">
        <w:t>It is premature</w:t>
      </w:r>
      <w:r w:rsidR="00156B50" w:rsidRPr="00FC3028">
        <w:t xml:space="preserve"> and unnecessary</w:t>
      </w:r>
      <w:r w:rsidR="00FF0055" w:rsidRPr="00FC3028">
        <w:t xml:space="preserve"> to </w:t>
      </w:r>
      <w:r w:rsidR="00156B50" w:rsidRPr="00FC3028">
        <w:t xml:space="preserve">set the Return on Equity for Rider ASRP at this time </w:t>
      </w:r>
      <w:r w:rsidR="00FF0055" w:rsidRPr="00FC3028">
        <w:t>because</w:t>
      </w:r>
      <w:r w:rsidR="00156B50" w:rsidRPr="00FC3028">
        <w:t xml:space="preserve"> it will not reflect</w:t>
      </w:r>
      <w:r w:rsidR="00FF0055" w:rsidRPr="00FC3028">
        <w:t xml:space="preserve"> the most current financial information.</w:t>
      </w:r>
      <w:bookmarkEnd w:id="36"/>
    </w:p>
    <w:p w:rsidR="00A02D17" w:rsidRPr="00FC3028" w:rsidRDefault="00AD5F59" w:rsidP="00A95CD0">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T</w:t>
      </w:r>
      <w:r w:rsidR="003F0C2A" w:rsidRPr="00FC3028">
        <w:rPr>
          <w:rFonts w:ascii="Times New Roman" w:hAnsi="Times New Roman" w:cs="Times New Roman"/>
          <w:sz w:val="24"/>
          <w:szCs w:val="24"/>
        </w:rPr>
        <w:t>he PUCO s</w:t>
      </w:r>
      <w:r w:rsidR="00C45E6C" w:rsidRPr="00FC3028">
        <w:rPr>
          <w:rFonts w:ascii="Times New Roman" w:hAnsi="Times New Roman" w:cs="Times New Roman"/>
          <w:sz w:val="24"/>
          <w:szCs w:val="24"/>
        </w:rPr>
        <w:t>hould direct Duke to file all</w:t>
      </w:r>
      <w:r w:rsidR="003F0C2A" w:rsidRPr="00FC3028">
        <w:rPr>
          <w:rFonts w:ascii="Times New Roman" w:hAnsi="Times New Roman" w:cs="Times New Roman"/>
          <w:sz w:val="24"/>
          <w:szCs w:val="24"/>
        </w:rPr>
        <w:t xml:space="preserve"> relevant financial informat</w:t>
      </w:r>
      <w:r w:rsidR="00C45E6C" w:rsidRPr="00FC3028">
        <w:rPr>
          <w:rFonts w:ascii="Times New Roman" w:hAnsi="Times New Roman" w:cs="Times New Roman"/>
          <w:sz w:val="24"/>
          <w:szCs w:val="24"/>
        </w:rPr>
        <w:t>ion when Duke makes its first</w:t>
      </w:r>
      <w:r w:rsidR="003F0C2A" w:rsidRPr="00FC3028">
        <w:rPr>
          <w:rFonts w:ascii="Times New Roman" w:hAnsi="Times New Roman" w:cs="Times New Roman"/>
          <w:sz w:val="24"/>
          <w:szCs w:val="24"/>
        </w:rPr>
        <w:t xml:space="preserve"> actual application for Rid</w:t>
      </w:r>
      <w:r w:rsidR="00C45E6C" w:rsidRPr="00FC3028">
        <w:rPr>
          <w:rFonts w:ascii="Times New Roman" w:hAnsi="Times New Roman" w:cs="Times New Roman"/>
          <w:sz w:val="24"/>
          <w:szCs w:val="24"/>
        </w:rPr>
        <w:t>er ASRP on or before March 1,</w:t>
      </w:r>
      <w:r w:rsidR="003F0C2A" w:rsidRPr="00FC3028">
        <w:rPr>
          <w:rFonts w:ascii="Times New Roman" w:hAnsi="Times New Roman" w:cs="Times New Roman"/>
          <w:sz w:val="24"/>
          <w:szCs w:val="24"/>
        </w:rPr>
        <w:t xml:space="preserve"> 2017.</w:t>
      </w:r>
      <w:r w:rsidR="007B7E82" w:rsidRPr="00FC3028">
        <w:rPr>
          <w:rStyle w:val="FootnoteReference"/>
          <w:rFonts w:ascii="Times New Roman" w:hAnsi="Times New Roman" w:cs="Times New Roman"/>
          <w:sz w:val="24"/>
          <w:szCs w:val="24"/>
        </w:rPr>
        <w:footnoteReference w:id="222"/>
      </w:r>
      <w:r w:rsidR="003F0C2A" w:rsidRPr="00FC3028">
        <w:rPr>
          <w:rFonts w:ascii="Times New Roman" w:hAnsi="Times New Roman" w:cs="Times New Roman"/>
          <w:sz w:val="24"/>
          <w:szCs w:val="24"/>
        </w:rPr>
        <w:t xml:space="preserve"> The </w:t>
      </w:r>
      <w:r w:rsidR="00EB13C0" w:rsidRPr="00FC3028">
        <w:rPr>
          <w:rFonts w:ascii="Times New Roman" w:hAnsi="Times New Roman" w:cs="Times New Roman"/>
          <w:sz w:val="24"/>
          <w:szCs w:val="24"/>
        </w:rPr>
        <w:t>Rate of Return (“</w:t>
      </w:r>
      <w:r w:rsidR="003F0C2A" w:rsidRPr="00FC3028">
        <w:rPr>
          <w:rFonts w:ascii="Times New Roman" w:hAnsi="Times New Roman" w:cs="Times New Roman"/>
          <w:sz w:val="24"/>
          <w:szCs w:val="24"/>
        </w:rPr>
        <w:t>ROR</w:t>
      </w:r>
      <w:r w:rsidR="00EB13C0" w:rsidRPr="00FC3028">
        <w:rPr>
          <w:rFonts w:ascii="Times New Roman" w:hAnsi="Times New Roman" w:cs="Times New Roman"/>
          <w:sz w:val="24"/>
          <w:szCs w:val="24"/>
        </w:rPr>
        <w:t>”)</w:t>
      </w:r>
      <w:r w:rsidR="003F0C2A" w:rsidRPr="00FC3028">
        <w:rPr>
          <w:rFonts w:ascii="Times New Roman" w:hAnsi="Times New Roman" w:cs="Times New Roman"/>
          <w:sz w:val="24"/>
          <w:szCs w:val="24"/>
        </w:rPr>
        <w:t xml:space="preserve"> and ROE us</w:t>
      </w:r>
      <w:r w:rsidR="00C45E6C" w:rsidRPr="00FC3028">
        <w:rPr>
          <w:rFonts w:ascii="Times New Roman" w:hAnsi="Times New Roman" w:cs="Times New Roman"/>
          <w:sz w:val="24"/>
          <w:szCs w:val="24"/>
        </w:rPr>
        <w:t>ed for calculating Rider ASRP</w:t>
      </w:r>
      <w:r w:rsidR="003F0C2A" w:rsidRPr="00FC3028">
        <w:rPr>
          <w:rFonts w:ascii="Times New Roman" w:hAnsi="Times New Roman" w:cs="Times New Roman"/>
          <w:sz w:val="24"/>
          <w:szCs w:val="24"/>
        </w:rPr>
        <w:t xml:space="preserve"> should b</w:t>
      </w:r>
      <w:r w:rsidR="00A02D17" w:rsidRPr="00FC3028">
        <w:rPr>
          <w:rFonts w:ascii="Times New Roman" w:hAnsi="Times New Roman" w:cs="Times New Roman"/>
          <w:sz w:val="24"/>
          <w:szCs w:val="24"/>
        </w:rPr>
        <w:t>e determined at that time.</w:t>
      </w:r>
      <w:r w:rsidR="004A5DEE" w:rsidRPr="00FC3028">
        <w:rPr>
          <w:rStyle w:val="FootnoteReference"/>
          <w:rFonts w:ascii="Times New Roman" w:hAnsi="Times New Roman" w:cs="Times New Roman"/>
          <w:sz w:val="24"/>
          <w:szCs w:val="24"/>
        </w:rPr>
        <w:footnoteReference w:id="223"/>
      </w:r>
      <w:r w:rsidR="00A95CD0" w:rsidRPr="00FC3028">
        <w:rPr>
          <w:rFonts w:ascii="Times New Roman" w:hAnsi="Times New Roman" w:cs="Times New Roman"/>
          <w:sz w:val="24"/>
          <w:szCs w:val="24"/>
        </w:rPr>
        <w:t xml:space="preserve"> </w:t>
      </w:r>
      <w:r w:rsidR="00A02D17" w:rsidRPr="00FC3028">
        <w:rPr>
          <w:rFonts w:ascii="Times New Roman" w:hAnsi="Times New Roman" w:cs="Times New Roman"/>
          <w:sz w:val="24"/>
          <w:szCs w:val="24"/>
        </w:rPr>
        <w:t>During the time period between now and March 2017 Duke’s financial condition (</w:t>
      </w:r>
      <w:r w:rsidRPr="00FC3028">
        <w:rPr>
          <w:rFonts w:ascii="Times New Roman" w:hAnsi="Times New Roman" w:cs="Times New Roman"/>
          <w:sz w:val="24"/>
          <w:szCs w:val="24"/>
        </w:rPr>
        <w:t xml:space="preserve">i.e., its capital structure, </w:t>
      </w:r>
      <w:r w:rsidR="00A02D17" w:rsidRPr="00FC3028">
        <w:rPr>
          <w:rFonts w:ascii="Times New Roman" w:hAnsi="Times New Roman" w:cs="Times New Roman"/>
          <w:sz w:val="24"/>
          <w:szCs w:val="24"/>
        </w:rPr>
        <w:t xml:space="preserve">embedded costs of </w:t>
      </w:r>
      <w:r w:rsidRPr="00FC3028">
        <w:rPr>
          <w:rFonts w:ascii="Times New Roman" w:hAnsi="Times New Roman" w:cs="Times New Roman"/>
          <w:sz w:val="24"/>
          <w:szCs w:val="24"/>
        </w:rPr>
        <w:t xml:space="preserve">debt, and </w:t>
      </w:r>
      <w:r w:rsidR="00A02D17" w:rsidRPr="00FC3028">
        <w:rPr>
          <w:rFonts w:ascii="Times New Roman" w:hAnsi="Times New Roman" w:cs="Times New Roman"/>
          <w:sz w:val="24"/>
          <w:szCs w:val="24"/>
        </w:rPr>
        <w:t>estimated return o</w:t>
      </w:r>
      <w:r w:rsidRPr="00FC3028">
        <w:rPr>
          <w:rFonts w:ascii="Times New Roman" w:hAnsi="Times New Roman" w:cs="Times New Roman"/>
          <w:sz w:val="24"/>
          <w:szCs w:val="24"/>
        </w:rPr>
        <w:t xml:space="preserve">n equity) is subject to change due to the fluctuations in the U.S. and global </w:t>
      </w:r>
      <w:r w:rsidR="00A02D17" w:rsidRPr="00FC3028">
        <w:rPr>
          <w:rFonts w:ascii="Times New Roman" w:hAnsi="Times New Roman" w:cs="Times New Roman"/>
          <w:sz w:val="24"/>
          <w:szCs w:val="24"/>
        </w:rPr>
        <w:t xml:space="preserve">credit and equity market conditions and Duke’s business practices </w:t>
      </w:r>
      <w:r w:rsidR="00A95CD0" w:rsidRPr="00FC3028">
        <w:rPr>
          <w:rFonts w:ascii="Times New Roman" w:hAnsi="Times New Roman" w:cs="Times New Roman"/>
          <w:sz w:val="24"/>
          <w:szCs w:val="24"/>
        </w:rPr>
        <w:t>and strategies</w:t>
      </w:r>
      <w:r w:rsidR="00A02D17" w:rsidRPr="00FC3028">
        <w:rPr>
          <w:rFonts w:ascii="Times New Roman" w:hAnsi="Times New Roman" w:cs="Times New Roman"/>
          <w:sz w:val="24"/>
          <w:szCs w:val="24"/>
        </w:rPr>
        <w:t>.</w:t>
      </w:r>
      <w:r w:rsidR="004A5DEE" w:rsidRPr="00FC3028">
        <w:rPr>
          <w:rStyle w:val="FootnoteReference"/>
          <w:rFonts w:ascii="Times New Roman" w:hAnsi="Times New Roman" w:cs="Times New Roman"/>
          <w:sz w:val="24"/>
          <w:szCs w:val="24"/>
        </w:rPr>
        <w:footnoteReference w:id="224"/>
      </w:r>
      <w:r w:rsidR="00A02D17" w:rsidRPr="00FC3028">
        <w:rPr>
          <w:rFonts w:ascii="Times New Roman" w:hAnsi="Times New Roman" w:cs="Times New Roman"/>
          <w:sz w:val="24"/>
          <w:szCs w:val="24"/>
        </w:rPr>
        <w:t xml:space="preserve"> </w:t>
      </w:r>
      <w:r w:rsidR="00A95CD0" w:rsidRPr="00FC3028">
        <w:rPr>
          <w:rFonts w:ascii="Times New Roman" w:hAnsi="Times New Roman" w:cs="Times New Roman"/>
          <w:sz w:val="24"/>
          <w:szCs w:val="24"/>
        </w:rPr>
        <w:t>T</w:t>
      </w:r>
      <w:r w:rsidR="00A02D17" w:rsidRPr="00FC3028">
        <w:rPr>
          <w:rFonts w:ascii="Times New Roman" w:hAnsi="Times New Roman" w:cs="Times New Roman"/>
          <w:sz w:val="24"/>
          <w:szCs w:val="24"/>
        </w:rPr>
        <w:t>he setting of a ROR and a ROE for a regulated utility should reflect the prevailing financial market and economical condition at that time.</w:t>
      </w:r>
      <w:r w:rsidR="004A5DEE" w:rsidRPr="00FC3028">
        <w:rPr>
          <w:rStyle w:val="FootnoteReference"/>
          <w:rFonts w:ascii="Times New Roman" w:hAnsi="Times New Roman" w:cs="Times New Roman"/>
          <w:sz w:val="24"/>
          <w:szCs w:val="24"/>
        </w:rPr>
        <w:footnoteReference w:id="225"/>
      </w:r>
      <w:r w:rsidR="00A02D17" w:rsidRPr="00FC3028">
        <w:rPr>
          <w:rFonts w:ascii="Times New Roman" w:hAnsi="Times New Roman" w:cs="Times New Roman"/>
          <w:sz w:val="24"/>
          <w:szCs w:val="24"/>
        </w:rPr>
        <w:t xml:space="preserve"> In other words, </w:t>
      </w:r>
      <w:r w:rsidR="00A95CD0" w:rsidRPr="00FC3028">
        <w:rPr>
          <w:rFonts w:ascii="Times New Roman" w:hAnsi="Times New Roman" w:cs="Times New Roman"/>
          <w:sz w:val="24"/>
          <w:szCs w:val="24"/>
        </w:rPr>
        <w:t xml:space="preserve">it is very important to establish utility rates as </w:t>
      </w:r>
      <w:r w:rsidR="00A02D17" w:rsidRPr="00FC3028">
        <w:rPr>
          <w:rFonts w:ascii="Times New Roman" w:hAnsi="Times New Roman" w:cs="Times New Roman"/>
          <w:sz w:val="24"/>
          <w:szCs w:val="24"/>
        </w:rPr>
        <w:t>close</w:t>
      </w:r>
      <w:r w:rsidR="00A95CD0" w:rsidRPr="00FC3028">
        <w:rPr>
          <w:rFonts w:ascii="Times New Roman" w:hAnsi="Times New Roman" w:cs="Times New Roman"/>
          <w:sz w:val="24"/>
          <w:szCs w:val="24"/>
        </w:rPr>
        <w:t xml:space="preserve"> as possible</w:t>
      </w:r>
      <w:r w:rsidR="00A02D17" w:rsidRPr="00FC3028">
        <w:rPr>
          <w:rFonts w:ascii="Times New Roman" w:hAnsi="Times New Roman" w:cs="Times New Roman"/>
          <w:sz w:val="24"/>
          <w:szCs w:val="24"/>
        </w:rPr>
        <w:t xml:space="preserve"> to the time when the proposed rates will become effective.</w:t>
      </w:r>
      <w:r w:rsidR="004A5DEE" w:rsidRPr="00FC3028">
        <w:rPr>
          <w:rStyle w:val="FootnoteReference"/>
          <w:rFonts w:ascii="Times New Roman" w:hAnsi="Times New Roman" w:cs="Times New Roman"/>
          <w:sz w:val="24"/>
          <w:szCs w:val="24"/>
        </w:rPr>
        <w:footnoteReference w:id="226"/>
      </w:r>
      <w:r w:rsidR="00A02D17" w:rsidRPr="00FC3028">
        <w:rPr>
          <w:rFonts w:ascii="Times New Roman" w:hAnsi="Times New Roman" w:cs="Times New Roman"/>
          <w:sz w:val="24"/>
          <w:szCs w:val="24"/>
        </w:rPr>
        <w:t xml:space="preserve"> </w:t>
      </w:r>
      <w:r w:rsidR="00A95CD0" w:rsidRPr="00FC3028">
        <w:rPr>
          <w:rFonts w:ascii="Times New Roman" w:hAnsi="Times New Roman" w:cs="Times New Roman"/>
          <w:sz w:val="24"/>
          <w:szCs w:val="24"/>
        </w:rPr>
        <w:t>Therefore, i</w:t>
      </w:r>
      <w:r w:rsidR="00A02D17" w:rsidRPr="00FC3028">
        <w:rPr>
          <w:rFonts w:ascii="Times New Roman" w:hAnsi="Times New Roman" w:cs="Times New Roman"/>
          <w:sz w:val="24"/>
          <w:szCs w:val="24"/>
        </w:rPr>
        <w:t>t is premature and unreasonable, at this time, to set a ROR or ROE</w:t>
      </w:r>
      <w:r w:rsidR="00A95CD0" w:rsidRPr="00FC3028">
        <w:rPr>
          <w:rFonts w:ascii="Times New Roman" w:hAnsi="Times New Roman" w:cs="Times New Roman"/>
          <w:sz w:val="24"/>
          <w:szCs w:val="24"/>
        </w:rPr>
        <w:t xml:space="preserve"> for Rider ASRP</w:t>
      </w:r>
      <w:r w:rsidR="00A02D17" w:rsidRPr="00FC3028">
        <w:rPr>
          <w:rFonts w:ascii="Times New Roman" w:hAnsi="Times New Roman" w:cs="Times New Roman"/>
          <w:sz w:val="24"/>
          <w:szCs w:val="24"/>
        </w:rPr>
        <w:t xml:space="preserve"> that will</w:t>
      </w:r>
      <w:r w:rsidR="00A95CD0" w:rsidRPr="00FC3028">
        <w:rPr>
          <w:rFonts w:ascii="Times New Roman" w:hAnsi="Times New Roman" w:cs="Times New Roman"/>
          <w:sz w:val="24"/>
          <w:szCs w:val="24"/>
        </w:rPr>
        <w:t xml:space="preserve"> not</w:t>
      </w:r>
      <w:r w:rsidR="00A02D17" w:rsidRPr="00FC3028">
        <w:rPr>
          <w:rFonts w:ascii="Times New Roman" w:hAnsi="Times New Roman" w:cs="Times New Roman"/>
          <w:sz w:val="24"/>
          <w:szCs w:val="24"/>
        </w:rPr>
        <w:t xml:space="preserve"> be used for setting rates charged</w:t>
      </w:r>
      <w:r w:rsidR="00A95CD0" w:rsidRPr="00FC3028">
        <w:rPr>
          <w:rFonts w:ascii="Times New Roman" w:hAnsi="Times New Roman" w:cs="Times New Roman"/>
          <w:sz w:val="24"/>
          <w:szCs w:val="24"/>
        </w:rPr>
        <w:t xml:space="preserve"> to customers until May 2017.</w:t>
      </w:r>
      <w:r w:rsidR="00545070" w:rsidRPr="00FC3028">
        <w:rPr>
          <w:rStyle w:val="FootnoteReference"/>
          <w:rFonts w:ascii="Times New Roman" w:hAnsi="Times New Roman" w:cs="Times New Roman"/>
          <w:sz w:val="24"/>
          <w:szCs w:val="24"/>
        </w:rPr>
        <w:footnoteReference w:id="227"/>
      </w:r>
      <w:r w:rsidR="00A95CD0" w:rsidRPr="00FC3028">
        <w:rPr>
          <w:rFonts w:ascii="Times New Roman" w:hAnsi="Times New Roman" w:cs="Times New Roman"/>
          <w:sz w:val="24"/>
          <w:szCs w:val="24"/>
        </w:rPr>
        <w:t xml:space="preserve"> The PUCO should establish an ROR or ROE for Rider ASRP when Duke makes its first Rider ASRP application.</w:t>
      </w:r>
    </w:p>
    <w:p w:rsidR="00FF0055" w:rsidRPr="00FC3028" w:rsidRDefault="009420EC" w:rsidP="009420EC">
      <w:pPr>
        <w:pStyle w:val="Heading3"/>
      </w:pPr>
      <w:bookmarkStart w:id="37" w:name="_Toc437441487"/>
      <w:r>
        <w:t>3.</w:t>
      </w:r>
      <w:r>
        <w:tab/>
      </w:r>
      <w:r w:rsidR="00FF0055" w:rsidRPr="00FC3028">
        <w:t xml:space="preserve">Duke’s proposed ROE of 9.84 percent should be </w:t>
      </w:r>
      <w:r w:rsidR="00156B50" w:rsidRPr="00FC3028">
        <w:t>reduced to account for several factors.</w:t>
      </w:r>
      <w:bookmarkEnd w:id="37"/>
    </w:p>
    <w:p w:rsidR="00476337" w:rsidRPr="00FC3028" w:rsidRDefault="003F0C2A" w:rsidP="003F0C2A">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If a ROR and ROE is to</w:t>
      </w:r>
      <w:r w:rsidR="00C45E6C" w:rsidRPr="00FC3028">
        <w:rPr>
          <w:rFonts w:ascii="Times New Roman" w:hAnsi="Times New Roman" w:cs="Times New Roman"/>
          <w:sz w:val="24"/>
          <w:szCs w:val="24"/>
        </w:rPr>
        <w:t xml:space="preserve"> be set at this time, the PUCO </w:t>
      </w:r>
      <w:r w:rsidRPr="00FC3028">
        <w:rPr>
          <w:rFonts w:ascii="Times New Roman" w:hAnsi="Times New Roman" w:cs="Times New Roman"/>
          <w:sz w:val="24"/>
          <w:szCs w:val="24"/>
        </w:rPr>
        <w:t>should reduce Duke’s pr</w:t>
      </w:r>
      <w:r w:rsidR="00C45E6C" w:rsidRPr="00FC3028">
        <w:rPr>
          <w:rFonts w:ascii="Times New Roman" w:hAnsi="Times New Roman" w:cs="Times New Roman"/>
          <w:sz w:val="24"/>
          <w:szCs w:val="24"/>
        </w:rPr>
        <w:t xml:space="preserve">oposed ROE by 100 basis points </w:t>
      </w:r>
      <w:r w:rsidR="00AE4708" w:rsidRPr="00FC3028">
        <w:rPr>
          <w:rFonts w:ascii="Times New Roman" w:hAnsi="Times New Roman" w:cs="Times New Roman"/>
          <w:sz w:val="24"/>
          <w:szCs w:val="24"/>
        </w:rPr>
        <w:t>(1 percent</w:t>
      </w:r>
      <w:r w:rsidRPr="00FC3028">
        <w:rPr>
          <w:rFonts w:ascii="Times New Roman" w:hAnsi="Times New Roman" w:cs="Times New Roman"/>
          <w:sz w:val="24"/>
          <w:szCs w:val="24"/>
        </w:rPr>
        <w:t>).</w:t>
      </w:r>
      <w:r w:rsidR="00A41626">
        <w:rPr>
          <w:rStyle w:val="FootnoteReference"/>
          <w:rFonts w:ascii="Times New Roman" w:hAnsi="Times New Roman" w:cs="Times New Roman"/>
          <w:sz w:val="24"/>
          <w:szCs w:val="24"/>
        </w:rPr>
        <w:footnoteReference w:id="228"/>
      </w:r>
      <w:r w:rsidRPr="00FC3028">
        <w:rPr>
          <w:rFonts w:ascii="Times New Roman" w:hAnsi="Times New Roman" w:cs="Times New Roman"/>
          <w:sz w:val="24"/>
          <w:szCs w:val="24"/>
        </w:rPr>
        <w:t xml:space="preserve"> In other words, t</w:t>
      </w:r>
      <w:r w:rsidR="00C45E6C" w:rsidRPr="00FC3028">
        <w:rPr>
          <w:rFonts w:ascii="Times New Roman" w:hAnsi="Times New Roman" w:cs="Times New Roman"/>
          <w:sz w:val="24"/>
          <w:szCs w:val="24"/>
        </w:rPr>
        <w:t>he PUCO should authorize a ROE</w:t>
      </w:r>
      <w:r w:rsidRPr="00FC3028">
        <w:rPr>
          <w:rFonts w:ascii="Times New Roman" w:hAnsi="Times New Roman" w:cs="Times New Roman"/>
          <w:sz w:val="24"/>
          <w:szCs w:val="24"/>
        </w:rPr>
        <w:t xml:space="preserve"> no higher than 8.84%</w:t>
      </w:r>
      <w:r w:rsidR="00AE4708" w:rsidRPr="00FC3028">
        <w:rPr>
          <w:rFonts w:ascii="Times New Roman" w:hAnsi="Times New Roman" w:cs="Times New Roman"/>
          <w:sz w:val="24"/>
          <w:szCs w:val="24"/>
        </w:rPr>
        <w:t xml:space="preserve"> percent</w:t>
      </w:r>
      <w:r w:rsidRPr="00FC3028">
        <w:rPr>
          <w:rFonts w:ascii="Times New Roman" w:hAnsi="Times New Roman" w:cs="Times New Roman"/>
          <w:sz w:val="24"/>
          <w:szCs w:val="24"/>
        </w:rPr>
        <w:t xml:space="preserve"> (v</w:t>
      </w:r>
      <w:r w:rsidR="00AE4708" w:rsidRPr="00FC3028">
        <w:rPr>
          <w:rFonts w:ascii="Times New Roman" w:hAnsi="Times New Roman" w:cs="Times New Roman"/>
          <w:sz w:val="24"/>
          <w:szCs w:val="24"/>
        </w:rPr>
        <w:t>s. the 9.84 percent</w:t>
      </w:r>
      <w:r w:rsidR="00F165EA" w:rsidRPr="00FC3028">
        <w:rPr>
          <w:rFonts w:ascii="Times New Roman" w:hAnsi="Times New Roman" w:cs="Times New Roman"/>
          <w:sz w:val="24"/>
          <w:szCs w:val="24"/>
        </w:rPr>
        <w:t xml:space="preserve"> proposed by Duke)</w:t>
      </w:r>
      <w:r w:rsidRPr="00FC3028">
        <w:rPr>
          <w:rFonts w:ascii="Times New Roman" w:hAnsi="Times New Roman" w:cs="Times New Roman"/>
          <w:sz w:val="24"/>
          <w:szCs w:val="24"/>
        </w:rPr>
        <w:t xml:space="preserve"> applicable to Rider A</w:t>
      </w:r>
      <w:r w:rsidR="00C45E6C" w:rsidRPr="00FC3028">
        <w:rPr>
          <w:rFonts w:ascii="Times New Roman" w:hAnsi="Times New Roman" w:cs="Times New Roman"/>
          <w:sz w:val="24"/>
          <w:szCs w:val="24"/>
        </w:rPr>
        <w:t>SRP. The resulting pre-tax ROR</w:t>
      </w:r>
      <w:r w:rsidRPr="00FC3028">
        <w:rPr>
          <w:rFonts w:ascii="Times New Roman" w:hAnsi="Times New Roman" w:cs="Times New Roman"/>
          <w:sz w:val="24"/>
          <w:szCs w:val="24"/>
        </w:rPr>
        <w:t xml:space="preserve"> should be no higher than </w:t>
      </w:r>
      <w:r w:rsidR="00AE4708" w:rsidRPr="00FC3028">
        <w:rPr>
          <w:rFonts w:ascii="Times New Roman" w:hAnsi="Times New Roman" w:cs="Times New Roman"/>
          <w:sz w:val="24"/>
          <w:szCs w:val="24"/>
        </w:rPr>
        <w:t>9.77 percent (vs. the 10.60 percent</w:t>
      </w:r>
      <w:r w:rsidR="00C45E6C" w:rsidRPr="00FC3028">
        <w:rPr>
          <w:rFonts w:ascii="Times New Roman" w:hAnsi="Times New Roman" w:cs="Times New Roman"/>
          <w:sz w:val="24"/>
          <w:szCs w:val="24"/>
        </w:rPr>
        <w:t xml:space="preserve"> proposed</w:t>
      </w:r>
      <w:r w:rsidRPr="00FC3028">
        <w:rPr>
          <w:rFonts w:ascii="Times New Roman" w:hAnsi="Times New Roman" w:cs="Times New Roman"/>
          <w:sz w:val="24"/>
          <w:szCs w:val="24"/>
        </w:rPr>
        <w:t xml:space="preserve"> by Duke) and the after-tax ROE s</w:t>
      </w:r>
      <w:r w:rsidR="00AE4708" w:rsidRPr="00FC3028">
        <w:rPr>
          <w:rFonts w:ascii="Times New Roman" w:hAnsi="Times New Roman" w:cs="Times New Roman"/>
          <w:sz w:val="24"/>
          <w:szCs w:val="24"/>
        </w:rPr>
        <w:t>hould be no higher than 7.20 percent</w:t>
      </w:r>
      <w:r w:rsidR="00C45E6C" w:rsidRPr="00FC3028">
        <w:rPr>
          <w:rFonts w:ascii="Times New Roman" w:hAnsi="Times New Roman" w:cs="Times New Roman"/>
          <w:sz w:val="24"/>
          <w:szCs w:val="24"/>
        </w:rPr>
        <w:t>.</w:t>
      </w:r>
      <w:r w:rsidR="00A41626">
        <w:rPr>
          <w:rStyle w:val="FootnoteReference"/>
          <w:rFonts w:ascii="Times New Roman" w:hAnsi="Times New Roman" w:cs="Times New Roman"/>
          <w:sz w:val="24"/>
          <w:szCs w:val="24"/>
        </w:rPr>
        <w:footnoteReference w:id="229"/>
      </w:r>
      <w:r w:rsidR="00C45E6C" w:rsidRPr="00FC3028">
        <w:rPr>
          <w:rFonts w:ascii="Times New Roman" w:hAnsi="Times New Roman" w:cs="Times New Roman"/>
          <w:sz w:val="24"/>
          <w:szCs w:val="24"/>
        </w:rPr>
        <w:t xml:space="preserve"> </w:t>
      </w:r>
    </w:p>
    <w:p w:rsidR="00156B50" w:rsidRPr="00FC3028" w:rsidRDefault="009420EC" w:rsidP="009420EC">
      <w:pPr>
        <w:pStyle w:val="Heading4"/>
      </w:pPr>
      <w:bookmarkStart w:id="38" w:name="_Toc437441488"/>
      <w:r>
        <w:t>a.</w:t>
      </w:r>
      <w:r>
        <w:tab/>
      </w:r>
      <w:r w:rsidR="00156B50" w:rsidRPr="00FC3028">
        <w:t>Duke’s proposed ROE of 9.84 percent should be</w:t>
      </w:r>
      <w:r w:rsidR="0088715E">
        <w:t xml:space="preserve"> further</w:t>
      </w:r>
      <w:r w:rsidR="00156B50" w:rsidRPr="00FC3028">
        <w:t xml:space="preserve"> reduced by 25 basis points to reflect the recent changes in the U.S. credit and equity markets.</w:t>
      </w:r>
      <w:bookmarkEnd w:id="38"/>
    </w:p>
    <w:p w:rsidR="003F0C2A" w:rsidRPr="00FC3028" w:rsidRDefault="00A41626" w:rsidP="00156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w:t>
      </w:r>
      <w:r w:rsidR="00156B50" w:rsidRPr="00FC3028">
        <w:rPr>
          <w:rFonts w:ascii="Times New Roman" w:hAnsi="Times New Roman" w:cs="Times New Roman"/>
          <w:sz w:val="24"/>
          <w:szCs w:val="24"/>
        </w:rPr>
        <w:t>he PUCO should reduce Duke’s proposed ROE by 25 basis points due to changing conditions in the U.S. credit and equity markets. T</w:t>
      </w:r>
      <w:r w:rsidR="00FF0055" w:rsidRPr="00FC3028">
        <w:rPr>
          <w:rFonts w:ascii="Times New Roman" w:hAnsi="Times New Roman" w:cs="Times New Roman"/>
          <w:sz w:val="24"/>
          <w:szCs w:val="24"/>
        </w:rPr>
        <w:t xml:space="preserve">here </w:t>
      </w:r>
      <w:r w:rsidR="00156B50" w:rsidRPr="00FC3028">
        <w:rPr>
          <w:rFonts w:ascii="Times New Roman" w:hAnsi="Times New Roman" w:cs="Times New Roman"/>
          <w:sz w:val="24"/>
          <w:szCs w:val="24"/>
        </w:rPr>
        <w:t>has been a decline in the allowed ROE</w:t>
      </w:r>
      <w:r w:rsidR="00FF0055" w:rsidRPr="00FC3028">
        <w:rPr>
          <w:rFonts w:ascii="Times New Roman" w:hAnsi="Times New Roman" w:cs="Times New Roman"/>
          <w:sz w:val="24"/>
          <w:szCs w:val="24"/>
        </w:rPr>
        <w:t xml:space="preserve"> set by state regulators for regulated utilities in rec</w:t>
      </w:r>
      <w:r w:rsidR="00156B50" w:rsidRPr="00FC3028">
        <w:rPr>
          <w:rFonts w:ascii="Times New Roman" w:hAnsi="Times New Roman" w:cs="Times New Roman"/>
          <w:sz w:val="24"/>
          <w:szCs w:val="24"/>
        </w:rPr>
        <w:t>ent years.</w:t>
      </w:r>
      <w:r w:rsidR="00AD0A35" w:rsidRPr="00FC3028">
        <w:rPr>
          <w:rStyle w:val="FootnoteReference"/>
          <w:rFonts w:ascii="Times New Roman" w:hAnsi="Times New Roman" w:cs="Times New Roman"/>
          <w:sz w:val="24"/>
          <w:szCs w:val="24"/>
        </w:rPr>
        <w:footnoteReference w:id="230"/>
      </w:r>
      <w:r w:rsidR="00156B50" w:rsidRPr="00FC3028">
        <w:rPr>
          <w:rFonts w:ascii="Times New Roman" w:hAnsi="Times New Roman" w:cs="Times New Roman"/>
          <w:sz w:val="24"/>
          <w:szCs w:val="24"/>
        </w:rPr>
        <w:t xml:space="preserve"> </w:t>
      </w:r>
      <w:r w:rsidR="00FF0055" w:rsidRPr="00FC3028">
        <w:rPr>
          <w:rFonts w:ascii="Times New Roman" w:hAnsi="Times New Roman" w:cs="Times New Roman"/>
          <w:sz w:val="24"/>
          <w:szCs w:val="24"/>
        </w:rPr>
        <w:t xml:space="preserve">This decline of </w:t>
      </w:r>
      <w:r w:rsidR="00AD0A35" w:rsidRPr="00FC3028">
        <w:rPr>
          <w:rFonts w:ascii="Times New Roman" w:hAnsi="Times New Roman" w:cs="Times New Roman"/>
          <w:sz w:val="24"/>
          <w:szCs w:val="24"/>
        </w:rPr>
        <w:t xml:space="preserve">average ROE’s is due, </w:t>
      </w:r>
      <w:r w:rsidR="00156B50" w:rsidRPr="00FC3028">
        <w:rPr>
          <w:rFonts w:ascii="Times New Roman" w:hAnsi="Times New Roman" w:cs="Times New Roman"/>
          <w:sz w:val="24"/>
          <w:szCs w:val="24"/>
        </w:rPr>
        <w:t>in part, to the</w:t>
      </w:r>
      <w:r w:rsidR="00FF0055" w:rsidRPr="00FC3028">
        <w:rPr>
          <w:rFonts w:ascii="Times New Roman" w:hAnsi="Times New Roman" w:cs="Times New Roman"/>
          <w:sz w:val="24"/>
          <w:szCs w:val="24"/>
        </w:rPr>
        <w:t xml:space="preserve"> dramatic increase in the availability of credit at very low cost and the substa</w:t>
      </w:r>
      <w:r w:rsidR="00156B50" w:rsidRPr="00FC3028">
        <w:rPr>
          <w:rFonts w:ascii="Times New Roman" w:hAnsi="Times New Roman" w:cs="Times New Roman"/>
          <w:sz w:val="24"/>
          <w:szCs w:val="24"/>
        </w:rPr>
        <w:t>ntial</w:t>
      </w:r>
      <w:r w:rsidR="00FF0055" w:rsidRPr="00FC3028">
        <w:rPr>
          <w:rFonts w:ascii="Times New Roman" w:hAnsi="Times New Roman" w:cs="Times New Roman"/>
          <w:sz w:val="24"/>
          <w:szCs w:val="24"/>
        </w:rPr>
        <w:t xml:space="preserve"> appreciation in equity prices following the 2008 glob</w:t>
      </w:r>
      <w:r w:rsidR="00156B50" w:rsidRPr="00FC3028">
        <w:rPr>
          <w:rFonts w:ascii="Times New Roman" w:hAnsi="Times New Roman" w:cs="Times New Roman"/>
          <w:sz w:val="24"/>
          <w:szCs w:val="24"/>
        </w:rPr>
        <w:t>al financial crisis.</w:t>
      </w:r>
      <w:r w:rsidR="00AD0A35" w:rsidRPr="00FC3028">
        <w:rPr>
          <w:rStyle w:val="FootnoteReference"/>
          <w:rFonts w:ascii="Times New Roman" w:hAnsi="Times New Roman" w:cs="Times New Roman"/>
          <w:sz w:val="24"/>
          <w:szCs w:val="24"/>
        </w:rPr>
        <w:footnoteReference w:id="231"/>
      </w:r>
      <w:r w:rsidR="00156B50" w:rsidRPr="00FC3028">
        <w:rPr>
          <w:rFonts w:ascii="Times New Roman" w:hAnsi="Times New Roman" w:cs="Times New Roman"/>
          <w:sz w:val="24"/>
          <w:szCs w:val="24"/>
        </w:rPr>
        <w:t xml:space="preserve"> </w:t>
      </w:r>
      <w:r w:rsidR="00257D16" w:rsidRPr="00FC3028">
        <w:rPr>
          <w:rFonts w:ascii="Times New Roman" w:hAnsi="Times New Roman" w:cs="Times New Roman"/>
          <w:sz w:val="24"/>
          <w:szCs w:val="24"/>
        </w:rPr>
        <w:t>Regulatory agencies generally have slower pace of change for the</w:t>
      </w:r>
      <w:r w:rsidR="00FF0055" w:rsidRPr="00FC3028">
        <w:rPr>
          <w:rFonts w:ascii="Times New Roman" w:hAnsi="Times New Roman" w:cs="Times New Roman"/>
          <w:sz w:val="24"/>
          <w:szCs w:val="24"/>
        </w:rPr>
        <w:t xml:space="preserve"> allowed ROE </w:t>
      </w:r>
      <w:r w:rsidR="00257D16" w:rsidRPr="00FC3028">
        <w:rPr>
          <w:rFonts w:ascii="Times New Roman" w:hAnsi="Times New Roman" w:cs="Times New Roman"/>
          <w:sz w:val="24"/>
          <w:szCs w:val="24"/>
        </w:rPr>
        <w:t xml:space="preserve">than </w:t>
      </w:r>
      <w:r w:rsidR="00FF0055" w:rsidRPr="00FC3028">
        <w:rPr>
          <w:rFonts w:ascii="Times New Roman" w:hAnsi="Times New Roman" w:cs="Times New Roman"/>
          <w:sz w:val="24"/>
          <w:szCs w:val="24"/>
        </w:rPr>
        <w:t>th</w:t>
      </w:r>
      <w:r w:rsidR="00156B50" w:rsidRPr="00FC3028">
        <w:rPr>
          <w:rFonts w:ascii="Times New Roman" w:hAnsi="Times New Roman" w:cs="Times New Roman"/>
          <w:sz w:val="24"/>
          <w:szCs w:val="24"/>
        </w:rPr>
        <w:t>e costs of credit and equity.</w:t>
      </w:r>
      <w:r w:rsidR="00AD0A35" w:rsidRPr="00FC3028">
        <w:rPr>
          <w:rStyle w:val="FootnoteReference"/>
          <w:rFonts w:ascii="Times New Roman" w:hAnsi="Times New Roman" w:cs="Times New Roman"/>
          <w:sz w:val="24"/>
          <w:szCs w:val="24"/>
        </w:rPr>
        <w:footnoteReference w:id="232"/>
      </w:r>
      <w:r w:rsidR="00FF0055" w:rsidRPr="00FC3028">
        <w:rPr>
          <w:rFonts w:ascii="Times New Roman" w:hAnsi="Times New Roman" w:cs="Times New Roman"/>
          <w:sz w:val="24"/>
          <w:szCs w:val="24"/>
        </w:rPr>
        <w:t xml:space="preserve"> Nevertheless, regulatory agencies have respo</w:t>
      </w:r>
      <w:r w:rsidR="00156B50" w:rsidRPr="00FC3028">
        <w:rPr>
          <w:rFonts w:ascii="Times New Roman" w:hAnsi="Times New Roman" w:cs="Times New Roman"/>
          <w:sz w:val="24"/>
          <w:szCs w:val="24"/>
        </w:rPr>
        <w:t>nded to market conditions and</w:t>
      </w:r>
      <w:r w:rsidR="00FF0055" w:rsidRPr="00FC3028">
        <w:rPr>
          <w:rFonts w:ascii="Times New Roman" w:hAnsi="Times New Roman" w:cs="Times New Roman"/>
          <w:sz w:val="24"/>
          <w:szCs w:val="24"/>
        </w:rPr>
        <w:t xml:space="preserve"> gradually set a lower allowed ROE to reflect the</w:t>
      </w:r>
      <w:r w:rsidR="00156B50" w:rsidRPr="00FC3028">
        <w:rPr>
          <w:rFonts w:ascii="Times New Roman" w:hAnsi="Times New Roman" w:cs="Times New Roman"/>
          <w:sz w:val="24"/>
          <w:szCs w:val="24"/>
        </w:rPr>
        <w:t xml:space="preserve"> decreased cost of credit and</w:t>
      </w:r>
      <w:r w:rsidR="00FF0055" w:rsidRPr="00FC3028">
        <w:rPr>
          <w:rFonts w:ascii="Times New Roman" w:hAnsi="Times New Roman" w:cs="Times New Roman"/>
          <w:sz w:val="24"/>
          <w:szCs w:val="24"/>
        </w:rPr>
        <w:t xml:space="preserve"> equity observed in the financial markets</w:t>
      </w:r>
      <w:r w:rsidR="00156B50" w:rsidRPr="00FC3028">
        <w:rPr>
          <w:rFonts w:ascii="Times New Roman" w:hAnsi="Times New Roman" w:cs="Times New Roman"/>
          <w:sz w:val="24"/>
          <w:szCs w:val="24"/>
        </w:rPr>
        <w:t>.</w:t>
      </w:r>
      <w:r w:rsidR="00AD0A35" w:rsidRPr="00FC3028">
        <w:rPr>
          <w:rStyle w:val="FootnoteReference"/>
          <w:rFonts w:ascii="Times New Roman" w:hAnsi="Times New Roman" w:cs="Times New Roman"/>
          <w:sz w:val="24"/>
          <w:szCs w:val="24"/>
        </w:rPr>
        <w:footnoteReference w:id="233"/>
      </w:r>
      <w:r w:rsidR="00156B50" w:rsidRPr="00FC3028">
        <w:rPr>
          <w:rFonts w:ascii="Times New Roman" w:hAnsi="Times New Roman" w:cs="Times New Roman"/>
          <w:sz w:val="24"/>
          <w:szCs w:val="24"/>
        </w:rPr>
        <w:t xml:space="preserve"> The PUCO should Duke’s proposed ROE by 25 basis points to reflect these changes and fluctuations in the U.S. markets. </w:t>
      </w:r>
    </w:p>
    <w:p w:rsidR="00156B50" w:rsidRPr="00FC3028" w:rsidRDefault="009420EC" w:rsidP="009420EC">
      <w:pPr>
        <w:pStyle w:val="Heading4"/>
      </w:pPr>
      <w:bookmarkStart w:id="39" w:name="_Toc437441489"/>
      <w:r>
        <w:t>b.</w:t>
      </w:r>
      <w:r>
        <w:tab/>
      </w:r>
      <w:r w:rsidR="00156B50" w:rsidRPr="00FC3028">
        <w:t>Duke’s proposed ROE of 9.84 percent should be reduced by</w:t>
      </w:r>
      <w:r w:rsidR="00DF33F5">
        <w:t xml:space="preserve"> an additional</w:t>
      </w:r>
      <w:r w:rsidR="00156B50" w:rsidRPr="00FC3028">
        <w:t xml:space="preserve"> 25 basis points to reflect the decrease in regulatory lag and </w:t>
      </w:r>
      <w:r w:rsidR="00823100" w:rsidRPr="00FC3028">
        <w:t>risk associated with Rider ASRP.</w:t>
      </w:r>
      <w:bookmarkEnd w:id="39"/>
    </w:p>
    <w:p w:rsidR="00823100" w:rsidRPr="00FC3028" w:rsidRDefault="000A18BB" w:rsidP="000D6C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OCC Witness Duann testified, i</w:t>
      </w:r>
      <w:r w:rsidR="00823100" w:rsidRPr="00FC3028">
        <w:rPr>
          <w:rFonts w:ascii="Times New Roman" w:hAnsi="Times New Roman" w:cs="Times New Roman"/>
          <w:sz w:val="24"/>
          <w:szCs w:val="24"/>
        </w:rPr>
        <w:t>t is well recognized that an accelerated infrastructure replacement rider mechanism, such as Rider ASRP, can reduce regulator</w:t>
      </w:r>
      <w:r w:rsidR="002C5B6C" w:rsidRPr="00FC3028">
        <w:rPr>
          <w:rFonts w:ascii="Times New Roman" w:hAnsi="Times New Roman" w:cs="Times New Roman"/>
          <w:sz w:val="24"/>
          <w:szCs w:val="24"/>
        </w:rPr>
        <w:t>y lag and risk for a utility.</w:t>
      </w:r>
      <w:r w:rsidR="002C5B6C" w:rsidRPr="00FC3028">
        <w:rPr>
          <w:rStyle w:val="FootnoteReference"/>
          <w:rFonts w:ascii="Times New Roman" w:hAnsi="Times New Roman" w:cs="Times New Roman"/>
          <w:sz w:val="24"/>
          <w:szCs w:val="24"/>
        </w:rPr>
        <w:footnoteReference w:id="234"/>
      </w:r>
      <w:r w:rsidR="00823100" w:rsidRPr="00FC3028">
        <w:rPr>
          <w:rFonts w:ascii="Times New Roman" w:hAnsi="Times New Roman" w:cs="Times New Roman"/>
          <w:sz w:val="24"/>
          <w:szCs w:val="24"/>
        </w:rPr>
        <w:t xml:space="preserve"> </w:t>
      </w:r>
      <w:r w:rsidR="002C5B6C" w:rsidRPr="00FC3028">
        <w:rPr>
          <w:rFonts w:ascii="Times New Roman" w:hAnsi="Times New Roman" w:cs="Times New Roman"/>
          <w:sz w:val="24"/>
          <w:szCs w:val="24"/>
        </w:rPr>
        <w:t>The OCC recommends</w:t>
      </w:r>
      <w:r w:rsidR="00395846" w:rsidRPr="00FC3028">
        <w:rPr>
          <w:rFonts w:ascii="Times New Roman" w:hAnsi="Times New Roman" w:cs="Times New Roman"/>
          <w:sz w:val="24"/>
          <w:szCs w:val="24"/>
        </w:rPr>
        <w:t xml:space="preserve"> a</w:t>
      </w:r>
      <w:r w:rsidR="0088715E">
        <w:rPr>
          <w:rFonts w:ascii="Times New Roman" w:hAnsi="Times New Roman" w:cs="Times New Roman"/>
          <w:sz w:val="24"/>
          <w:szCs w:val="24"/>
        </w:rPr>
        <w:t>n additional</w:t>
      </w:r>
      <w:r w:rsidR="00395846" w:rsidRPr="00FC3028">
        <w:rPr>
          <w:rFonts w:ascii="Times New Roman" w:hAnsi="Times New Roman" w:cs="Times New Roman"/>
          <w:sz w:val="24"/>
          <w:szCs w:val="24"/>
        </w:rPr>
        <w:t xml:space="preserve"> 25</w:t>
      </w:r>
      <w:r w:rsidR="00823100" w:rsidRPr="00FC3028">
        <w:rPr>
          <w:rFonts w:ascii="Times New Roman" w:hAnsi="Times New Roman" w:cs="Times New Roman"/>
          <w:sz w:val="24"/>
          <w:szCs w:val="24"/>
        </w:rPr>
        <w:t xml:space="preserve"> basis point reduction to the proposed ROE in this proceeding </w:t>
      </w:r>
      <w:r w:rsidR="00395846" w:rsidRPr="00FC3028">
        <w:rPr>
          <w:rFonts w:ascii="Times New Roman" w:hAnsi="Times New Roman" w:cs="Times New Roman"/>
          <w:sz w:val="24"/>
          <w:szCs w:val="24"/>
        </w:rPr>
        <w:t>in order to protect customers from unreasonable rates that Rider ASRP will produce</w:t>
      </w:r>
      <w:r w:rsidR="00823100" w:rsidRPr="00FC3028">
        <w:rPr>
          <w:rFonts w:ascii="Times New Roman" w:hAnsi="Times New Roman" w:cs="Times New Roman"/>
          <w:sz w:val="24"/>
          <w:szCs w:val="24"/>
        </w:rPr>
        <w:t>.</w:t>
      </w:r>
      <w:r w:rsidR="00395846" w:rsidRPr="00FC3028">
        <w:rPr>
          <w:rStyle w:val="FootnoteReference"/>
          <w:rFonts w:ascii="Times New Roman" w:hAnsi="Times New Roman" w:cs="Times New Roman"/>
          <w:sz w:val="24"/>
          <w:szCs w:val="24"/>
        </w:rPr>
        <w:footnoteReference w:id="235"/>
      </w:r>
      <w:r w:rsidR="00395846" w:rsidRPr="00FC3028">
        <w:rPr>
          <w:rFonts w:ascii="Times New Roman" w:hAnsi="Times New Roman" w:cs="Times New Roman"/>
          <w:sz w:val="24"/>
          <w:szCs w:val="24"/>
        </w:rPr>
        <w:t xml:space="preserve"> As stated earlier, the ASRP will eventually </w:t>
      </w:r>
      <w:r w:rsidR="00E04186">
        <w:rPr>
          <w:rFonts w:ascii="Times New Roman" w:hAnsi="Times New Roman" w:cs="Times New Roman"/>
          <w:sz w:val="24"/>
          <w:szCs w:val="24"/>
        </w:rPr>
        <w:t>cost consumers $10</w:t>
      </w:r>
      <w:r w:rsidR="00395846" w:rsidRPr="00FC3028">
        <w:rPr>
          <w:rFonts w:ascii="Times New Roman" w:hAnsi="Times New Roman" w:cs="Times New Roman"/>
          <w:sz w:val="24"/>
          <w:szCs w:val="24"/>
        </w:rPr>
        <w:t xml:space="preserve"> per month.</w:t>
      </w:r>
      <w:r w:rsidR="000D6C97" w:rsidRPr="00FC3028">
        <w:rPr>
          <w:rStyle w:val="FootnoteReference"/>
          <w:rFonts w:ascii="Times New Roman" w:hAnsi="Times New Roman" w:cs="Times New Roman"/>
          <w:sz w:val="24"/>
          <w:szCs w:val="24"/>
        </w:rPr>
        <w:footnoteReference w:id="236"/>
      </w:r>
      <w:r w:rsidR="00823100" w:rsidRPr="00FC3028">
        <w:rPr>
          <w:rFonts w:ascii="Times New Roman" w:hAnsi="Times New Roman" w:cs="Times New Roman"/>
          <w:sz w:val="24"/>
          <w:szCs w:val="24"/>
        </w:rPr>
        <w:t xml:space="preserve"> The PUCO has recognized this reduction in regulatory risk and regulatory lag and the corresponding financial benefits to a regulated utility as a result of the accelerated infrastructure replacement programs.</w:t>
      </w:r>
      <w:r w:rsidR="002C5B6C" w:rsidRPr="00FC3028">
        <w:rPr>
          <w:rStyle w:val="FootnoteReference"/>
          <w:rFonts w:ascii="Times New Roman" w:hAnsi="Times New Roman" w:cs="Times New Roman"/>
          <w:sz w:val="24"/>
          <w:szCs w:val="24"/>
        </w:rPr>
        <w:footnoteReference w:id="237"/>
      </w:r>
      <w:r w:rsidR="00395846" w:rsidRPr="00FC3028">
        <w:rPr>
          <w:rFonts w:ascii="Times New Roman" w:hAnsi="Times New Roman" w:cs="Times New Roman"/>
          <w:sz w:val="24"/>
          <w:szCs w:val="24"/>
        </w:rPr>
        <w:t xml:space="preserve"> The PUCO should continue this practice by reducing the ROE in this proceeding.</w:t>
      </w:r>
    </w:p>
    <w:p w:rsidR="00156B50" w:rsidRPr="00FC3028" w:rsidRDefault="009420EC" w:rsidP="009420EC">
      <w:pPr>
        <w:pStyle w:val="Heading4"/>
      </w:pPr>
      <w:bookmarkStart w:id="40" w:name="_Toc437441490"/>
      <w:r>
        <w:t>c.</w:t>
      </w:r>
      <w:r>
        <w:tab/>
      </w:r>
      <w:r w:rsidR="00156B50" w:rsidRPr="00FC3028">
        <w:t>Duke’s proposed ROE of 9.84 percent should be reduced by</w:t>
      </w:r>
      <w:r w:rsidR="0088715E">
        <w:t xml:space="preserve"> an additional</w:t>
      </w:r>
      <w:r w:rsidR="00156B50" w:rsidRPr="00FC3028">
        <w:t xml:space="preserve"> 50 basis points to </w:t>
      </w:r>
      <w:r w:rsidR="00823100" w:rsidRPr="00FC3028">
        <w:t>provide relief to Duke’s residential customers who are currently paying the highest monthly natural gas bills in the state.</w:t>
      </w:r>
      <w:bookmarkEnd w:id="40"/>
    </w:p>
    <w:p w:rsidR="000E42BF" w:rsidRDefault="00823100" w:rsidP="002505C9">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 xml:space="preserve">The affordability of utility services </w:t>
      </w:r>
      <w:r w:rsidR="00975B12" w:rsidRPr="00FC3028">
        <w:rPr>
          <w:rFonts w:ascii="Times New Roman" w:hAnsi="Times New Roman" w:cs="Times New Roman"/>
          <w:sz w:val="24"/>
          <w:szCs w:val="24"/>
        </w:rPr>
        <w:t>should be and is an important consideration for</w:t>
      </w:r>
      <w:r w:rsidRPr="00FC3028">
        <w:rPr>
          <w:rFonts w:ascii="Times New Roman" w:hAnsi="Times New Roman" w:cs="Times New Roman"/>
          <w:sz w:val="24"/>
          <w:szCs w:val="24"/>
        </w:rPr>
        <w:t xml:space="preserve"> regulatory agencies in setting the rates f</w:t>
      </w:r>
      <w:r w:rsidR="00975B12" w:rsidRPr="00FC3028">
        <w:rPr>
          <w:rFonts w:ascii="Times New Roman" w:hAnsi="Times New Roman" w:cs="Times New Roman"/>
          <w:sz w:val="24"/>
          <w:szCs w:val="24"/>
        </w:rPr>
        <w:t>or utility services. In fact</w:t>
      </w:r>
      <w:r w:rsidRPr="00FC3028">
        <w:rPr>
          <w:rFonts w:ascii="Times New Roman" w:hAnsi="Times New Roman" w:cs="Times New Roman"/>
          <w:sz w:val="24"/>
          <w:szCs w:val="24"/>
        </w:rPr>
        <w:t>, it is the policy of the state to “Promote the availability to consumer of adequate, reliable, and reasonably pr</w:t>
      </w:r>
      <w:r w:rsidR="00975B12" w:rsidRPr="00FC3028">
        <w:rPr>
          <w:rFonts w:ascii="Times New Roman" w:hAnsi="Times New Roman" w:cs="Times New Roman"/>
          <w:sz w:val="24"/>
          <w:szCs w:val="24"/>
        </w:rPr>
        <w:t>iced natural services and goods”</w:t>
      </w:r>
      <w:r w:rsidR="00975B12" w:rsidRPr="00FC3028">
        <w:rPr>
          <w:rStyle w:val="FootnoteReference"/>
          <w:rFonts w:ascii="Times New Roman" w:hAnsi="Times New Roman" w:cs="Times New Roman"/>
          <w:sz w:val="24"/>
          <w:szCs w:val="24"/>
        </w:rPr>
        <w:footnoteReference w:id="238"/>
      </w:r>
      <w:r w:rsidR="00975B12" w:rsidRPr="00FC3028">
        <w:rPr>
          <w:rFonts w:ascii="Times New Roman" w:hAnsi="Times New Roman" w:cs="Times New Roman"/>
          <w:sz w:val="24"/>
          <w:szCs w:val="24"/>
        </w:rPr>
        <w:t xml:space="preserve"> and to “f</w:t>
      </w:r>
      <w:r w:rsidRPr="00FC3028">
        <w:rPr>
          <w:rFonts w:ascii="Times New Roman" w:hAnsi="Times New Roman" w:cs="Times New Roman"/>
          <w:sz w:val="24"/>
          <w:szCs w:val="24"/>
        </w:rPr>
        <w:t>acilitate the state’s competitiveness in the global economy.”</w:t>
      </w:r>
      <w:r w:rsidR="00975B12" w:rsidRPr="00FC3028">
        <w:rPr>
          <w:rStyle w:val="FootnoteReference"/>
          <w:rFonts w:ascii="Times New Roman" w:hAnsi="Times New Roman" w:cs="Times New Roman"/>
          <w:sz w:val="24"/>
          <w:szCs w:val="24"/>
        </w:rPr>
        <w:footnoteReference w:id="239"/>
      </w:r>
      <w:r w:rsidR="002505C9">
        <w:rPr>
          <w:rFonts w:ascii="Times New Roman" w:hAnsi="Times New Roman" w:cs="Times New Roman"/>
          <w:sz w:val="24"/>
          <w:szCs w:val="24"/>
        </w:rPr>
        <w:t xml:space="preserve"> </w:t>
      </w:r>
      <w:r w:rsidR="00975B12" w:rsidRPr="00FC3028">
        <w:rPr>
          <w:rFonts w:ascii="Times New Roman" w:hAnsi="Times New Roman" w:cs="Times New Roman"/>
          <w:sz w:val="24"/>
          <w:szCs w:val="24"/>
        </w:rPr>
        <w:t>In compliance with these state policies</w:t>
      </w:r>
      <w:r w:rsidR="009419D7">
        <w:rPr>
          <w:rFonts w:ascii="Times New Roman" w:hAnsi="Times New Roman" w:cs="Times New Roman"/>
          <w:sz w:val="24"/>
          <w:szCs w:val="24"/>
        </w:rPr>
        <w:t>,</w:t>
      </w:r>
      <w:r w:rsidR="00975B12" w:rsidRPr="00FC3028">
        <w:rPr>
          <w:rFonts w:ascii="Times New Roman" w:hAnsi="Times New Roman" w:cs="Times New Roman"/>
          <w:sz w:val="24"/>
          <w:szCs w:val="24"/>
        </w:rPr>
        <w:t xml:space="preserve"> the </w:t>
      </w:r>
      <w:r w:rsidRPr="00FC3028">
        <w:rPr>
          <w:rFonts w:ascii="Times New Roman" w:hAnsi="Times New Roman" w:cs="Times New Roman"/>
          <w:sz w:val="24"/>
          <w:szCs w:val="24"/>
        </w:rPr>
        <w:t>PUCO has</w:t>
      </w:r>
      <w:r w:rsidR="00975B12" w:rsidRPr="00FC3028">
        <w:rPr>
          <w:rFonts w:ascii="Times New Roman" w:hAnsi="Times New Roman" w:cs="Times New Roman"/>
          <w:sz w:val="24"/>
          <w:szCs w:val="24"/>
        </w:rPr>
        <w:t xml:space="preserve"> previously</w:t>
      </w:r>
      <w:r w:rsidR="00D45095">
        <w:rPr>
          <w:rFonts w:ascii="Times New Roman" w:hAnsi="Times New Roman" w:cs="Times New Roman"/>
          <w:sz w:val="24"/>
          <w:szCs w:val="24"/>
        </w:rPr>
        <w:t xml:space="preserve"> </w:t>
      </w:r>
      <w:r w:rsidR="009419D7">
        <w:rPr>
          <w:rFonts w:ascii="Times New Roman" w:hAnsi="Times New Roman" w:cs="Times New Roman"/>
          <w:sz w:val="24"/>
          <w:szCs w:val="24"/>
        </w:rPr>
        <w:t>consider</w:t>
      </w:r>
      <w:r w:rsidR="00D45095">
        <w:rPr>
          <w:rFonts w:ascii="Times New Roman" w:hAnsi="Times New Roman" w:cs="Times New Roman"/>
          <w:sz w:val="24"/>
          <w:szCs w:val="24"/>
        </w:rPr>
        <w:t>ed</w:t>
      </w:r>
      <w:r w:rsidR="009419D7">
        <w:rPr>
          <w:rFonts w:ascii="Times New Roman" w:hAnsi="Times New Roman" w:cs="Times New Roman"/>
          <w:sz w:val="24"/>
          <w:szCs w:val="24"/>
        </w:rPr>
        <w:t xml:space="preserve"> the affordability of services for customers when determining ROR and </w:t>
      </w:r>
    </w:p>
    <w:p w:rsidR="000E42BF" w:rsidRDefault="000E42BF">
      <w:pPr>
        <w:rPr>
          <w:rFonts w:ascii="Times New Roman" w:hAnsi="Times New Roman" w:cs="Times New Roman"/>
          <w:sz w:val="24"/>
          <w:szCs w:val="24"/>
        </w:rPr>
      </w:pPr>
      <w:r>
        <w:rPr>
          <w:rFonts w:ascii="Times New Roman" w:hAnsi="Times New Roman" w:cs="Times New Roman"/>
          <w:sz w:val="24"/>
          <w:szCs w:val="24"/>
        </w:rPr>
        <w:br w:type="page"/>
      </w:r>
    </w:p>
    <w:p w:rsidR="00156B50" w:rsidRDefault="009419D7" w:rsidP="000E42BF">
      <w:pPr>
        <w:spacing w:after="0" w:line="480" w:lineRule="auto"/>
        <w:rPr>
          <w:rFonts w:ascii="Times New Roman" w:hAnsi="Times New Roman" w:cs="Times New Roman"/>
          <w:sz w:val="24"/>
          <w:szCs w:val="24"/>
        </w:rPr>
      </w:pPr>
      <w:r>
        <w:rPr>
          <w:rFonts w:ascii="Times New Roman" w:hAnsi="Times New Roman" w:cs="Times New Roman"/>
          <w:sz w:val="24"/>
          <w:szCs w:val="24"/>
        </w:rPr>
        <w:t>ROE.</w:t>
      </w:r>
      <w:r w:rsidR="00347461" w:rsidRPr="00FC3028">
        <w:rPr>
          <w:rStyle w:val="FootnoteReference"/>
          <w:rFonts w:ascii="Times New Roman" w:hAnsi="Times New Roman" w:cs="Times New Roman"/>
          <w:sz w:val="24"/>
          <w:szCs w:val="24"/>
        </w:rPr>
        <w:footnoteReference w:id="240"/>
      </w:r>
      <w:r w:rsidR="00823100" w:rsidRPr="00FC3028">
        <w:rPr>
          <w:rFonts w:ascii="Times New Roman" w:hAnsi="Times New Roman" w:cs="Times New Roman"/>
          <w:sz w:val="24"/>
          <w:szCs w:val="24"/>
        </w:rPr>
        <w:t xml:space="preserve"> </w:t>
      </w:r>
      <w:r w:rsidR="000160C4" w:rsidRPr="00FC3028">
        <w:rPr>
          <w:rFonts w:ascii="Times New Roman" w:hAnsi="Times New Roman" w:cs="Times New Roman"/>
          <w:sz w:val="24"/>
          <w:szCs w:val="24"/>
        </w:rPr>
        <w:t>As stated earlier, Duke’s natural gas customers pay the highest natural gas rates in the state.</w:t>
      </w:r>
      <w:r w:rsidR="000160C4" w:rsidRPr="00FC3028">
        <w:rPr>
          <w:rStyle w:val="FootnoteReference"/>
          <w:rFonts w:ascii="Times New Roman" w:hAnsi="Times New Roman" w:cs="Times New Roman"/>
          <w:sz w:val="24"/>
          <w:szCs w:val="24"/>
        </w:rPr>
        <w:footnoteReference w:id="241"/>
      </w:r>
      <w:r w:rsidR="000160C4" w:rsidRPr="00FC3028">
        <w:rPr>
          <w:rFonts w:ascii="Times New Roman" w:hAnsi="Times New Roman" w:cs="Times New Roman"/>
          <w:sz w:val="24"/>
          <w:szCs w:val="24"/>
        </w:rPr>
        <w:t xml:space="preserve"> In addition, </w:t>
      </w:r>
      <w:r w:rsidR="00823100" w:rsidRPr="00FC3028">
        <w:rPr>
          <w:rFonts w:ascii="Times New Roman" w:hAnsi="Times New Roman" w:cs="Times New Roman"/>
          <w:sz w:val="24"/>
          <w:szCs w:val="24"/>
        </w:rPr>
        <w:t>Duke’s customers have been paying for the existing infrastructure replacement program through Rider AMRP since May 31, 2002.</w:t>
      </w:r>
      <w:r w:rsidR="007535C1" w:rsidRPr="00FC3028">
        <w:rPr>
          <w:rStyle w:val="FootnoteReference"/>
          <w:rFonts w:ascii="Times New Roman" w:hAnsi="Times New Roman" w:cs="Times New Roman"/>
          <w:sz w:val="24"/>
          <w:szCs w:val="24"/>
        </w:rPr>
        <w:footnoteReference w:id="242"/>
      </w:r>
      <w:r w:rsidR="00823100" w:rsidRPr="00FC3028">
        <w:rPr>
          <w:rFonts w:ascii="Times New Roman" w:hAnsi="Times New Roman" w:cs="Times New Roman"/>
          <w:sz w:val="24"/>
          <w:szCs w:val="24"/>
        </w:rPr>
        <w:t xml:space="preserve"> </w:t>
      </w:r>
      <w:r w:rsidR="00D0472B" w:rsidRPr="00FC3028">
        <w:rPr>
          <w:rFonts w:ascii="Times New Roman" w:hAnsi="Times New Roman" w:cs="Times New Roman"/>
          <w:sz w:val="24"/>
          <w:szCs w:val="24"/>
        </w:rPr>
        <w:t xml:space="preserve">This has resulted in customers </w:t>
      </w:r>
      <w:r w:rsidR="00823100" w:rsidRPr="00FC3028">
        <w:rPr>
          <w:rFonts w:ascii="Times New Roman" w:hAnsi="Times New Roman" w:cs="Times New Roman"/>
          <w:sz w:val="24"/>
          <w:szCs w:val="24"/>
        </w:rPr>
        <w:t>paying a higher AMRP charge every year through either Rider AMRP or base distribution rate</w:t>
      </w:r>
      <w:r w:rsidR="00D0472B" w:rsidRPr="00FC3028">
        <w:rPr>
          <w:rFonts w:ascii="Times New Roman" w:hAnsi="Times New Roman" w:cs="Times New Roman"/>
          <w:sz w:val="24"/>
          <w:szCs w:val="24"/>
        </w:rPr>
        <w:t>s</w:t>
      </w:r>
      <w:r w:rsidR="00EE787D">
        <w:rPr>
          <w:rFonts w:ascii="Times New Roman" w:hAnsi="Times New Roman" w:cs="Times New Roman"/>
          <w:sz w:val="24"/>
          <w:szCs w:val="24"/>
        </w:rPr>
        <w:t>.</w:t>
      </w:r>
      <w:r w:rsidR="007535C1" w:rsidRPr="00FC3028">
        <w:rPr>
          <w:rStyle w:val="FootnoteReference"/>
          <w:rFonts w:ascii="Times New Roman" w:hAnsi="Times New Roman" w:cs="Times New Roman"/>
          <w:sz w:val="24"/>
          <w:szCs w:val="24"/>
        </w:rPr>
        <w:footnoteReference w:id="243"/>
      </w:r>
      <w:r w:rsidR="00823100" w:rsidRPr="00FC3028">
        <w:rPr>
          <w:rFonts w:ascii="Times New Roman" w:hAnsi="Times New Roman" w:cs="Times New Roman"/>
          <w:sz w:val="24"/>
          <w:szCs w:val="24"/>
        </w:rPr>
        <w:t xml:space="preserve"> </w:t>
      </w:r>
      <w:r w:rsidR="00D0472B" w:rsidRPr="00FC3028">
        <w:rPr>
          <w:rFonts w:ascii="Times New Roman" w:hAnsi="Times New Roman" w:cs="Times New Roman"/>
          <w:sz w:val="24"/>
          <w:szCs w:val="24"/>
        </w:rPr>
        <w:t xml:space="preserve">While, the </w:t>
      </w:r>
      <w:r w:rsidR="00823100" w:rsidRPr="00FC3028">
        <w:rPr>
          <w:rFonts w:ascii="Times New Roman" w:hAnsi="Times New Roman" w:cs="Times New Roman"/>
          <w:sz w:val="24"/>
          <w:szCs w:val="24"/>
        </w:rPr>
        <w:t xml:space="preserve">AMRP </w:t>
      </w:r>
      <w:r w:rsidR="00D0472B" w:rsidRPr="00FC3028">
        <w:rPr>
          <w:rFonts w:ascii="Times New Roman" w:hAnsi="Times New Roman" w:cs="Times New Roman"/>
          <w:sz w:val="24"/>
          <w:szCs w:val="24"/>
        </w:rPr>
        <w:t>is scheduled to end at the end of 2015,</w:t>
      </w:r>
      <w:r w:rsidR="00823100" w:rsidRPr="00FC3028">
        <w:rPr>
          <w:rFonts w:ascii="Times New Roman" w:hAnsi="Times New Roman" w:cs="Times New Roman"/>
          <w:sz w:val="24"/>
          <w:szCs w:val="24"/>
        </w:rPr>
        <w:t xml:space="preserve"> customers may still be paying AMRP charges until the filing of Duke’s next gas distribution case</w:t>
      </w:r>
      <w:r w:rsidR="00347461" w:rsidRPr="00FC3028">
        <w:rPr>
          <w:rFonts w:ascii="Times New Roman" w:hAnsi="Times New Roman" w:cs="Times New Roman"/>
          <w:sz w:val="24"/>
          <w:szCs w:val="24"/>
        </w:rPr>
        <w:t>.</w:t>
      </w:r>
      <w:r w:rsidR="00D45095">
        <w:rPr>
          <w:rStyle w:val="FootnoteReference"/>
          <w:rFonts w:ascii="Times New Roman" w:hAnsi="Times New Roman" w:cs="Times New Roman"/>
          <w:sz w:val="24"/>
          <w:szCs w:val="24"/>
        </w:rPr>
        <w:footnoteReference w:id="244"/>
      </w:r>
      <w:r w:rsidR="00823100" w:rsidRPr="00FC3028">
        <w:rPr>
          <w:rFonts w:ascii="Times New Roman" w:hAnsi="Times New Roman" w:cs="Times New Roman"/>
          <w:sz w:val="24"/>
          <w:szCs w:val="24"/>
        </w:rPr>
        <w:t xml:space="preserve"> Now Duke is asking for anot</w:t>
      </w:r>
      <w:r w:rsidR="00CB385D" w:rsidRPr="00FC3028">
        <w:rPr>
          <w:rFonts w:ascii="Times New Roman" w:hAnsi="Times New Roman" w:cs="Times New Roman"/>
          <w:sz w:val="24"/>
          <w:szCs w:val="24"/>
        </w:rPr>
        <w:t>her infrastructure replacement</w:t>
      </w:r>
      <w:r w:rsidR="00823100" w:rsidRPr="00FC3028">
        <w:rPr>
          <w:rFonts w:ascii="Times New Roman" w:hAnsi="Times New Roman" w:cs="Times New Roman"/>
          <w:sz w:val="24"/>
          <w:szCs w:val="24"/>
        </w:rPr>
        <w:t xml:space="preserve"> program for service line replacement. It is time for the PUCO to provide some relief to Duke’s customers. The PUCO can do so </w:t>
      </w:r>
      <w:r w:rsidR="000E712F">
        <w:rPr>
          <w:rFonts w:ascii="Times New Roman" w:hAnsi="Times New Roman" w:cs="Times New Roman"/>
          <w:sz w:val="24"/>
          <w:szCs w:val="24"/>
        </w:rPr>
        <w:t>rejecting Rid</w:t>
      </w:r>
      <w:r w:rsidR="00823100" w:rsidRPr="00FC3028">
        <w:rPr>
          <w:rFonts w:ascii="Times New Roman" w:hAnsi="Times New Roman" w:cs="Times New Roman"/>
          <w:sz w:val="24"/>
          <w:szCs w:val="24"/>
        </w:rPr>
        <w:t>er ASRP</w:t>
      </w:r>
      <w:r w:rsidR="000E712F">
        <w:rPr>
          <w:rFonts w:ascii="Times New Roman" w:hAnsi="Times New Roman" w:cs="Times New Roman"/>
          <w:sz w:val="24"/>
          <w:szCs w:val="24"/>
        </w:rPr>
        <w:t>.</w:t>
      </w:r>
      <w:r w:rsidR="00823100" w:rsidRPr="00FC3028">
        <w:rPr>
          <w:rFonts w:ascii="Times New Roman" w:hAnsi="Times New Roman" w:cs="Times New Roman"/>
          <w:sz w:val="24"/>
          <w:szCs w:val="24"/>
        </w:rPr>
        <w:t xml:space="preserve"> </w:t>
      </w:r>
    </w:p>
    <w:p w:rsidR="009420EC" w:rsidRPr="00FC3028" w:rsidRDefault="009420EC" w:rsidP="009420EC">
      <w:pPr>
        <w:spacing w:after="0" w:line="240" w:lineRule="auto"/>
        <w:ind w:firstLine="720"/>
        <w:rPr>
          <w:rFonts w:ascii="Times New Roman" w:hAnsi="Times New Roman" w:cs="Times New Roman"/>
          <w:sz w:val="24"/>
          <w:szCs w:val="24"/>
        </w:rPr>
      </w:pPr>
    </w:p>
    <w:p w:rsidR="006012CC" w:rsidRPr="00FC3028" w:rsidRDefault="009420EC" w:rsidP="009420EC">
      <w:pPr>
        <w:pStyle w:val="Heading1"/>
      </w:pPr>
      <w:bookmarkStart w:id="41" w:name="_Toc437441491"/>
      <w:r>
        <w:t>IV.</w:t>
      </w:r>
      <w:r>
        <w:tab/>
      </w:r>
      <w:r w:rsidR="00FE3E59" w:rsidRPr="00FC3028">
        <w:t>CONCLUSION</w:t>
      </w:r>
      <w:bookmarkEnd w:id="41"/>
    </w:p>
    <w:p w:rsidR="006A32F0" w:rsidRPr="00FC3028" w:rsidRDefault="006A32F0" w:rsidP="006A32F0">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Duke’s proposed</w:t>
      </w:r>
      <w:r w:rsidR="007D42CB" w:rsidRPr="00FC3028">
        <w:rPr>
          <w:rFonts w:ascii="Times New Roman" w:hAnsi="Times New Roman" w:cs="Times New Roman"/>
          <w:sz w:val="24"/>
          <w:szCs w:val="24"/>
        </w:rPr>
        <w:t xml:space="preserve"> $320 </w:t>
      </w:r>
      <w:r w:rsidR="009268CF" w:rsidRPr="00FC3028">
        <w:rPr>
          <w:rFonts w:ascii="Times New Roman" w:hAnsi="Times New Roman" w:cs="Times New Roman"/>
          <w:sz w:val="24"/>
          <w:szCs w:val="24"/>
        </w:rPr>
        <w:t>million</w:t>
      </w:r>
      <w:r w:rsidRPr="00FC3028">
        <w:rPr>
          <w:rFonts w:ascii="Times New Roman" w:hAnsi="Times New Roman" w:cs="Times New Roman"/>
          <w:sz w:val="24"/>
          <w:szCs w:val="24"/>
        </w:rPr>
        <w:t xml:space="preserve"> ASRP is a bad dea</w:t>
      </w:r>
      <w:r w:rsidR="007D42CB" w:rsidRPr="00FC3028">
        <w:rPr>
          <w:rFonts w:ascii="Times New Roman" w:hAnsi="Times New Roman" w:cs="Times New Roman"/>
          <w:sz w:val="24"/>
          <w:szCs w:val="24"/>
        </w:rPr>
        <w:t>l for Ohio and its consumers. The ASRP seeks to replace service lines that are not an imminent safety threat, delivers very minimal benefit for consumers, and is not required by any law or regulation. Consequently, Duke</w:t>
      </w:r>
      <w:r w:rsidRPr="00FC3028">
        <w:rPr>
          <w:rFonts w:ascii="Times New Roman" w:hAnsi="Times New Roman" w:cs="Times New Roman"/>
          <w:sz w:val="24"/>
          <w:szCs w:val="24"/>
        </w:rPr>
        <w:t xml:space="preserve"> </w:t>
      </w:r>
      <w:r w:rsidR="007D42CB" w:rsidRPr="00FC3028">
        <w:rPr>
          <w:rFonts w:ascii="Times New Roman" w:hAnsi="Times New Roman" w:cs="Times New Roman"/>
          <w:sz w:val="24"/>
          <w:szCs w:val="24"/>
        </w:rPr>
        <w:t>has not carried</w:t>
      </w:r>
      <w:r w:rsidRPr="00FC3028">
        <w:rPr>
          <w:rFonts w:ascii="Times New Roman" w:hAnsi="Times New Roman" w:cs="Times New Roman"/>
          <w:sz w:val="24"/>
          <w:szCs w:val="24"/>
        </w:rPr>
        <w:t xml:space="preserve"> its burden of s</w:t>
      </w:r>
      <w:r w:rsidR="007D42CB" w:rsidRPr="00FC3028">
        <w:rPr>
          <w:rFonts w:ascii="Times New Roman" w:hAnsi="Times New Roman" w:cs="Times New Roman"/>
          <w:sz w:val="24"/>
          <w:szCs w:val="24"/>
        </w:rPr>
        <w:t xml:space="preserve">howing that its proposed ASRP is just and reasonable </w:t>
      </w:r>
      <w:r w:rsidR="000A18BB">
        <w:rPr>
          <w:rFonts w:ascii="Times New Roman" w:hAnsi="Times New Roman" w:cs="Times New Roman"/>
          <w:sz w:val="24"/>
          <w:szCs w:val="24"/>
        </w:rPr>
        <w:t>and necessary to provide reliable and adequate service</w:t>
      </w:r>
      <w:r w:rsidR="00C036A3">
        <w:rPr>
          <w:rFonts w:ascii="Times New Roman" w:hAnsi="Times New Roman" w:cs="Times New Roman"/>
          <w:sz w:val="24"/>
          <w:szCs w:val="24"/>
        </w:rPr>
        <w:t xml:space="preserve"> to its customers</w:t>
      </w:r>
      <w:r w:rsidR="000A18BB">
        <w:rPr>
          <w:rFonts w:ascii="Times New Roman" w:hAnsi="Times New Roman" w:cs="Times New Roman"/>
          <w:sz w:val="24"/>
          <w:szCs w:val="24"/>
        </w:rPr>
        <w:t>.  The</w:t>
      </w:r>
      <w:r w:rsidR="007D42CB" w:rsidRPr="00FC3028">
        <w:rPr>
          <w:rFonts w:ascii="Times New Roman" w:hAnsi="Times New Roman" w:cs="Times New Roman"/>
          <w:sz w:val="24"/>
          <w:szCs w:val="24"/>
        </w:rPr>
        <w:t xml:space="preserve"> PUCO should not approve the program.</w:t>
      </w:r>
    </w:p>
    <w:p w:rsidR="006012CC" w:rsidRPr="00FC3028" w:rsidRDefault="009066BD" w:rsidP="009066B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CC" w:rsidRPr="00FC3028">
        <w:rPr>
          <w:rFonts w:ascii="Times New Roman" w:hAnsi="Times New Roman" w:cs="Times New Roman"/>
          <w:sz w:val="24"/>
          <w:szCs w:val="24"/>
        </w:rPr>
        <w:t>Respectfully submitted,</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Bruce J. Weston (0016973)</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009066BD">
        <w:rPr>
          <w:rFonts w:ascii="Times New Roman" w:hAnsi="Times New Roman" w:cs="Times New Roman"/>
          <w:sz w:val="24"/>
          <w:szCs w:val="24"/>
        </w:rPr>
        <w:t xml:space="preserve">OHIO </w:t>
      </w:r>
      <w:r w:rsidRPr="00FC3028">
        <w:rPr>
          <w:rFonts w:ascii="Times New Roman" w:hAnsi="Times New Roman" w:cs="Times New Roman"/>
          <w:sz w:val="24"/>
          <w:szCs w:val="24"/>
        </w:rPr>
        <w:t>CONSUMERS’ COUNSEL</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p>
    <w:p w:rsidR="006012CC" w:rsidRPr="00FC3028" w:rsidRDefault="006012CC" w:rsidP="006012CC">
      <w:pPr>
        <w:spacing w:after="0" w:line="240" w:lineRule="auto"/>
        <w:rPr>
          <w:rFonts w:ascii="Times New Roman" w:hAnsi="Times New Roman" w:cs="Times New Roman"/>
          <w:sz w:val="24"/>
          <w:szCs w:val="24"/>
          <w:u w:val="single"/>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u w:val="single"/>
        </w:rPr>
        <w:t xml:space="preserve">/s/ </w:t>
      </w:r>
      <w:r w:rsidRPr="00FC3028">
        <w:rPr>
          <w:rFonts w:ascii="Times New Roman" w:hAnsi="Times New Roman" w:cs="Times New Roman"/>
          <w:i/>
          <w:sz w:val="24"/>
          <w:szCs w:val="24"/>
          <w:u w:val="single"/>
        </w:rPr>
        <w:t>Kevin F. Moore</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Kevin F. Moore (0089228)</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Assistant Consumers’ Counsel</w:t>
      </w:r>
    </w:p>
    <w:p w:rsidR="006012CC" w:rsidRPr="00FC3028" w:rsidRDefault="006012CC" w:rsidP="006012CC">
      <w:pPr>
        <w:spacing w:after="0" w:line="240" w:lineRule="auto"/>
        <w:rPr>
          <w:rFonts w:ascii="Times New Roman" w:hAnsi="Times New Roman" w:cs="Times New Roman"/>
          <w:sz w:val="24"/>
          <w:szCs w:val="24"/>
        </w:rPr>
      </w:pPr>
    </w:p>
    <w:p w:rsidR="006012CC" w:rsidRPr="00FC3028" w:rsidRDefault="006012CC" w:rsidP="006012CC">
      <w:pPr>
        <w:spacing w:after="0" w:line="240" w:lineRule="auto"/>
        <w:rPr>
          <w:rFonts w:ascii="Times New Roman" w:hAnsi="Times New Roman" w:cs="Times New Roman"/>
          <w:b/>
          <w:sz w:val="24"/>
          <w:szCs w:val="24"/>
        </w:rPr>
      </w:pP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r>
      <w:r w:rsidRPr="00FC3028">
        <w:rPr>
          <w:rFonts w:ascii="Times New Roman" w:hAnsi="Times New Roman" w:cs="Times New Roman"/>
          <w:b/>
          <w:sz w:val="24"/>
          <w:szCs w:val="24"/>
        </w:rPr>
        <w:tab/>
        <w:t>Office of the Ohio Consumers’ Counsel</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10 W. Broad Street, Suite 1800</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Columbus, Ohio 43215-3485</w:t>
      </w:r>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Telephone [Moore]: 614-466-2965</w:t>
      </w:r>
    </w:p>
    <w:p w:rsidR="006012CC"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hyperlink r:id="rId17" w:history="1">
        <w:r w:rsidR="009066BD" w:rsidRPr="007A6828">
          <w:rPr>
            <w:rStyle w:val="Hyperlink"/>
            <w:rFonts w:ascii="Times New Roman" w:hAnsi="Times New Roman" w:cs="Times New Roman"/>
            <w:sz w:val="24"/>
            <w:szCs w:val="24"/>
          </w:rPr>
          <w:t>kevin.moore@occ.ohio.gov</w:t>
        </w:r>
      </w:hyperlink>
    </w:p>
    <w:p w:rsidR="006012CC" w:rsidRPr="00FC3028" w:rsidRDefault="006012CC" w:rsidP="006012CC">
      <w:pPr>
        <w:spacing w:after="0" w:line="240" w:lineRule="auto"/>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(will accept service via email)</w:t>
      </w:r>
    </w:p>
    <w:p w:rsidR="006012CC" w:rsidRPr="00FC3028" w:rsidRDefault="006012CC">
      <w:pPr>
        <w:rPr>
          <w:rFonts w:ascii="Times New Roman" w:hAnsi="Times New Roman" w:cs="Times New Roman"/>
          <w:b/>
          <w:sz w:val="24"/>
          <w:szCs w:val="24"/>
        </w:rPr>
      </w:pPr>
      <w:r w:rsidRPr="00FC3028">
        <w:rPr>
          <w:rFonts w:ascii="Times New Roman" w:hAnsi="Times New Roman" w:cs="Times New Roman"/>
          <w:b/>
          <w:sz w:val="24"/>
          <w:szCs w:val="24"/>
        </w:rPr>
        <w:br w:type="page"/>
      </w:r>
    </w:p>
    <w:p w:rsidR="006012CC" w:rsidRPr="00FC3028" w:rsidRDefault="006012CC">
      <w:pPr>
        <w:rPr>
          <w:rFonts w:ascii="Times New Roman" w:hAnsi="Times New Roman" w:cs="Times New Roman"/>
          <w:b/>
          <w:sz w:val="24"/>
          <w:szCs w:val="24"/>
        </w:rPr>
      </w:pPr>
    </w:p>
    <w:p w:rsidR="006012CC" w:rsidRPr="00FC3028" w:rsidRDefault="006012CC" w:rsidP="006012CC">
      <w:pPr>
        <w:spacing w:after="0" w:line="480" w:lineRule="auto"/>
        <w:ind w:firstLine="720"/>
        <w:jc w:val="center"/>
        <w:rPr>
          <w:rFonts w:ascii="Times New Roman" w:hAnsi="Times New Roman" w:cs="Times New Roman"/>
          <w:b/>
          <w:sz w:val="24"/>
          <w:szCs w:val="24"/>
          <w:u w:val="single"/>
        </w:rPr>
      </w:pPr>
      <w:r w:rsidRPr="00FC3028">
        <w:rPr>
          <w:rFonts w:ascii="Times New Roman" w:hAnsi="Times New Roman" w:cs="Times New Roman"/>
          <w:b/>
          <w:sz w:val="24"/>
          <w:szCs w:val="24"/>
          <w:u w:val="single"/>
        </w:rPr>
        <w:t>CERTIFICATE OF SERVICE</w:t>
      </w:r>
    </w:p>
    <w:p w:rsidR="006012CC" w:rsidRPr="00FC3028" w:rsidRDefault="006012CC" w:rsidP="006012CC">
      <w:pPr>
        <w:spacing w:after="0" w:line="480" w:lineRule="auto"/>
        <w:ind w:firstLine="720"/>
        <w:rPr>
          <w:rFonts w:ascii="Times New Roman" w:hAnsi="Times New Roman" w:cs="Times New Roman"/>
          <w:sz w:val="24"/>
          <w:szCs w:val="24"/>
        </w:rPr>
      </w:pPr>
      <w:r w:rsidRPr="00FC3028">
        <w:rPr>
          <w:rFonts w:ascii="Times New Roman" w:hAnsi="Times New Roman" w:cs="Times New Roman"/>
          <w:sz w:val="24"/>
          <w:szCs w:val="24"/>
        </w:rPr>
        <w:t>I hereby certify that a copy of this Initial Post Hearing Brief was served on the persons stated below via electronic transmission, this 9</w:t>
      </w:r>
      <w:r w:rsidRPr="00FC3028">
        <w:rPr>
          <w:rFonts w:ascii="Times New Roman" w:hAnsi="Times New Roman" w:cs="Times New Roman"/>
          <w:sz w:val="24"/>
          <w:szCs w:val="24"/>
          <w:vertAlign w:val="superscript"/>
        </w:rPr>
        <w:t>th</w:t>
      </w:r>
      <w:r w:rsidRPr="00FC3028">
        <w:rPr>
          <w:rFonts w:ascii="Times New Roman" w:hAnsi="Times New Roman" w:cs="Times New Roman"/>
          <w:sz w:val="24"/>
          <w:szCs w:val="24"/>
        </w:rPr>
        <w:t xml:space="preserve"> day of December 2015.</w:t>
      </w:r>
    </w:p>
    <w:p w:rsidR="006012CC" w:rsidRPr="00FC3028" w:rsidRDefault="006012CC" w:rsidP="006012CC">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u w:val="single"/>
        </w:rPr>
        <w:t xml:space="preserve">/s/ </w:t>
      </w:r>
      <w:r w:rsidRPr="00FC3028">
        <w:rPr>
          <w:rFonts w:ascii="Times New Roman" w:hAnsi="Times New Roman" w:cs="Times New Roman"/>
          <w:i/>
          <w:sz w:val="24"/>
          <w:szCs w:val="24"/>
          <w:u w:val="single"/>
        </w:rPr>
        <w:t>Kevin F. Moore</w:t>
      </w:r>
      <w:r w:rsidRPr="00FC3028">
        <w:rPr>
          <w:rFonts w:ascii="Times New Roman" w:hAnsi="Times New Roman" w:cs="Times New Roman"/>
          <w:sz w:val="24"/>
          <w:szCs w:val="24"/>
        </w:rPr>
        <w:t>_______</w:t>
      </w:r>
    </w:p>
    <w:p w:rsidR="006012CC" w:rsidRPr="00FC3028" w:rsidRDefault="006012CC" w:rsidP="006012CC">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Kevin F. Moore</w:t>
      </w:r>
    </w:p>
    <w:p w:rsidR="006012CC" w:rsidRPr="00FC3028" w:rsidRDefault="006012CC" w:rsidP="006012CC">
      <w:pPr>
        <w:spacing w:after="0" w:line="240" w:lineRule="auto"/>
        <w:ind w:firstLine="720"/>
        <w:rPr>
          <w:rFonts w:ascii="Times New Roman" w:hAnsi="Times New Roman" w:cs="Times New Roman"/>
          <w:sz w:val="24"/>
          <w:szCs w:val="24"/>
        </w:rPr>
      </w:pP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r>
      <w:r w:rsidRPr="00FC3028">
        <w:rPr>
          <w:rFonts w:ascii="Times New Roman" w:hAnsi="Times New Roman" w:cs="Times New Roman"/>
          <w:sz w:val="24"/>
          <w:szCs w:val="24"/>
        </w:rPr>
        <w:tab/>
        <w:t>Assistant Consumers’ Counsel</w:t>
      </w:r>
    </w:p>
    <w:p w:rsidR="006012CC" w:rsidRPr="00FC3028" w:rsidRDefault="006012CC" w:rsidP="006012CC">
      <w:pPr>
        <w:pStyle w:val="ListParagraph"/>
        <w:spacing w:after="0" w:line="480" w:lineRule="auto"/>
        <w:rPr>
          <w:rFonts w:ascii="Times New Roman" w:hAnsi="Times New Roman" w:cs="Times New Roman"/>
          <w:b/>
          <w:sz w:val="24"/>
          <w:szCs w:val="24"/>
        </w:rPr>
      </w:pPr>
    </w:p>
    <w:p w:rsidR="009066BD" w:rsidRPr="009066BD" w:rsidRDefault="009066BD" w:rsidP="009066BD">
      <w:pPr>
        <w:pStyle w:val="BodyText"/>
        <w:jc w:val="center"/>
        <w:rPr>
          <w:b/>
          <w:bCs/>
        </w:rPr>
      </w:pPr>
      <w:r w:rsidRPr="009066BD">
        <w:rPr>
          <w:b/>
          <w:bCs/>
        </w:rPr>
        <w:t>SERVICE LIST</w:t>
      </w:r>
    </w:p>
    <w:tbl>
      <w:tblPr>
        <w:tblW w:w="0" w:type="auto"/>
        <w:tblLook w:val="04A0" w:firstRow="1" w:lastRow="0" w:firstColumn="1" w:lastColumn="0" w:noHBand="0" w:noVBand="1"/>
      </w:tblPr>
      <w:tblGrid>
        <w:gridCol w:w="4428"/>
        <w:gridCol w:w="4428"/>
      </w:tblGrid>
      <w:tr w:rsidR="009066BD" w:rsidRPr="00A24794" w:rsidTr="00750D0A">
        <w:tc>
          <w:tcPr>
            <w:tcW w:w="4428" w:type="dxa"/>
            <w:shd w:val="clear" w:color="auto" w:fill="auto"/>
          </w:tcPr>
          <w:p w:rsidR="009066BD" w:rsidRPr="004A0947" w:rsidRDefault="009066BD" w:rsidP="00750D0A">
            <w:pPr>
              <w:pStyle w:val="BodyText"/>
              <w:spacing w:after="0"/>
              <w:rPr>
                <w:bCs/>
              </w:rPr>
            </w:pPr>
          </w:p>
          <w:p w:rsidR="009066BD" w:rsidRDefault="00112617" w:rsidP="00750D0A">
            <w:pPr>
              <w:pStyle w:val="BodyText"/>
              <w:spacing w:after="0"/>
              <w:rPr>
                <w:rFonts w:eastAsia="Courier New"/>
                <w:bCs/>
              </w:rPr>
            </w:pPr>
            <w:hyperlink r:id="rId18" w:history="1">
              <w:r w:rsidR="009066BD" w:rsidRPr="004915DD">
                <w:rPr>
                  <w:rStyle w:val="Hyperlink"/>
                  <w:rFonts w:eastAsia="Courier New"/>
                  <w:bCs/>
                </w:rPr>
                <w:t>Thomas.lindgren@puc.state.oh.us</w:t>
              </w:r>
            </w:hyperlink>
          </w:p>
          <w:p w:rsidR="009066BD" w:rsidRDefault="00112617" w:rsidP="00750D0A">
            <w:pPr>
              <w:pStyle w:val="BodyText"/>
              <w:spacing w:after="0"/>
              <w:rPr>
                <w:rFonts w:eastAsia="Courier New"/>
                <w:bCs/>
              </w:rPr>
            </w:pPr>
            <w:hyperlink r:id="rId19" w:history="1">
              <w:r w:rsidR="009066BD" w:rsidRPr="004915DD">
                <w:rPr>
                  <w:rStyle w:val="Hyperlink"/>
                  <w:rFonts w:eastAsia="Courier New"/>
                  <w:bCs/>
                </w:rPr>
                <w:t>cmooney@ohiopartners.org</w:t>
              </w:r>
            </w:hyperlink>
          </w:p>
          <w:p w:rsidR="009066BD" w:rsidRDefault="009066BD" w:rsidP="00750D0A">
            <w:pPr>
              <w:pStyle w:val="BodyText"/>
              <w:spacing w:after="0"/>
              <w:rPr>
                <w:rFonts w:eastAsia="Courier New"/>
                <w:bCs/>
              </w:rPr>
            </w:pPr>
          </w:p>
          <w:p w:rsidR="009066BD" w:rsidRPr="004A0947" w:rsidRDefault="009066BD" w:rsidP="00750D0A">
            <w:pPr>
              <w:pStyle w:val="BodyText"/>
              <w:spacing w:after="0"/>
              <w:rPr>
                <w:bCs/>
              </w:rPr>
            </w:pPr>
          </w:p>
          <w:p w:rsidR="009066BD" w:rsidRPr="004A0947" w:rsidRDefault="009066BD" w:rsidP="00750D0A">
            <w:pPr>
              <w:pStyle w:val="BodyText"/>
              <w:spacing w:after="0"/>
              <w:rPr>
                <w:bCs/>
              </w:rPr>
            </w:pPr>
          </w:p>
          <w:p w:rsidR="009066BD" w:rsidRPr="004A0947" w:rsidRDefault="009066BD" w:rsidP="00750D0A">
            <w:pPr>
              <w:pStyle w:val="BodyText"/>
              <w:spacing w:after="0"/>
              <w:rPr>
                <w:bCs/>
              </w:rPr>
            </w:pPr>
          </w:p>
        </w:tc>
        <w:tc>
          <w:tcPr>
            <w:tcW w:w="4428" w:type="dxa"/>
            <w:shd w:val="clear" w:color="auto" w:fill="auto"/>
          </w:tcPr>
          <w:p w:rsidR="009066BD" w:rsidRDefault="009066BD" w:rsidP="00750D0A">
            <w:pPr>
              <w:pStyle w:val="BodyText"/>
              <w:spacing w:after="0"/>
            </w:pPr>
          </w:p>
          <w:p w:rsidR="009066BD" w:rsidRDefault="00112617" w:rsidP="00750D0A">
            <w:pPr>
              <w:pStyle w:val="BodyText"/>
              <w:spacing w:after="0"/>
              <w:rPr>
                <w:rFonts w:eastAsia="Courier New"/>
                <w:bCs/>
              </w:rPr>
            </w:pPr>
            <w:hyperlink r:id="rId20" w:history="1">
              <w:r w:rsidR="009066BD" w:rsidRPr="004915DD">
                <w:rPr>
                  <w:rStyle w:val="Hyperlink"/>
                  <w:rFonts w:eastAsia="Courier New"/>
                  <w:bCs/>
                </w:rPr>
                <w:t>Amy.Spiller@duke-energy.com</w:t>
              </w:r>
            </w:hyperlink>
          </w:p>
          <w:p w:rsidR="009066BD" w:rsidRDefault="00112617" w:rsidP="00750D0A">
            <w:pPr>
              <w:pStyle w:val="BodyText"/>
              <w:spacing w:after="0"/>
              <w:rPr>
                <w:rFonts w:eastAsia="Courier New"/>
                <w:bCs/>
              </w:rPr>
            </w:pPr>
            <w:hyperlink r:id="rId21" w:history="1">
              <w:r w:rsidR="009066BD" w:rsidRPr="004915DD">
                <w:rPr>
                  <w:rStyle w:val="Hyperlink"/>
                  <w:rFonts w:eastAsia="Courier New"/>
                  <w:bCs/>
                </w:rPr>
                <w:t>Jeanne.Kingery@duke-energy.com</w:t>
              </w:r>
            </w:hyperlink>
          </w:p>
          <w:p w:rsidR="009066BD" w:rsidRDefault="009066BD" w:rsidP="00750D0A">
            <w:pPr>
              <w:pStyle w:val="BodyText"/>
              <w:spacing w:after="0"/>
              <w:rPr>
                <w:rFonts w:eastAsia="Courier New"/>
                <w:bCs/>
              </w:rPr>
            </w:pPr>
          </w:p>
          <w:p w:rsidR="009066BD" w:rsidRPr="004A0947" w:rsidRDefault="009066BD" w:rsidP="00750D0A">
            <w:pPr>
              <w:pStyle w:val="BodyText"/>
              <w:rPr>
                <w:bCs/>
              </w:rPr>
            </w:pPr>
          </w:p>
          <w:p w:rsidR="009066BD" w:rsidRPr="004A0947" w:rsidRDefault="009066BD" w:rsidP="00750D0A">
            <w:pPr>
              <w:pStyle w:val="BodyText"/>
              <w:rPr>
                <w:bCs/>
              </w:rPr>
            </w:pPr>
          </w:p>
        </w:tc>
      </w:tr>
      <w:tr w:rsidR="009066BD" w:rsidRPr="00A24794" w:rsidTr="00750D0A">
        <w:tc>
          <w:tcPr>
            <w:tcW w:w="4428" w:type="dxa"/>
            <w:shd w:val="clear" w:color="auto" w:fill="auto"/>
          </w:tcPr>
          <w:p w:rsidR="009066BD" w:rsidRPr="004A0947" w:rsidRDefault="009066BD" w:rsidP="00750D0A">
            <w:pPr>
              <w:pStyle w:val="BodyText"/>
              <w:spacing w:after="0"/>
              <w:rPr>
                <w:bCs/>
              </w:rPr>
            </w:pPr>
            <w:r w:rsidRPr="004A0947">
              <w:rPr>
                <w:bCs/>
              </w:rPr>
              <w:t>Attorney Examiner:</w:t>
            </w:r>
          </w:p>
          <w:p w:rsidR="009066BD" w:rsidRPr="004A0947" w:rsidRDefault="009066BD" w:rsidP="00750D0A">
            <w:pPr>
              <w:pStyle w:val="BodyText"/>
              <w:spacing w:after="0"/>
              <w:rPr>
                <w:bCs/>
              </w:rPr>
            </w:pPr>
          </w:p>
          <w:p w:rsidR="009066BD" w:rsidRDefault="00112617" w:rsidP="00750D0A">
            <w:pPr>
              <w:pStyle w:val="BodyText"/>
              <w:spacing w:after="0"/>
              <w:rPr>
                <w:rFonts w:eastAsia="Courier New"/>
                <w:bCs/>
              </w:rPr>
            </w:pPr>
            <w:hyperlink r:id="rId22" w:history="1">
              <w:r w:rsidR="009066BD" w:rsidRPr="004915DD">
                <w:rPr>
                  <w:rStyle w:val="Hyperlink"/>
                  <w:rFonts w:eastAsia="Courier New"/>
                  <w:bCs/>
                </w:rPr>
                <w:t>Megan.addison@puc.state.oh.us</w:t>
              </w:r>
            </w:hyperlink>
          </w:p>
          <w:p w:rsidR="009066BD" w:rsidRDefault="009066BD" w:rsidP="00750D0A">
            <w:pPr>
              <w:pStyle w:val="BodyText"/>
              <w:spacing w:after="0"/>
              <w:rPr>
                <w:rFonts w:eastAsia="Courier New"/>
                <w:bCs/>
              </w:rPr>
            </w:pPr>
          </w:p>
          <w:p w:rsidR="009066BD" w:rsidRPr="004A0947" w:rsidRDefault="009066BD" w:rsidP="00750D0A">
            <w:pPr>
              <w:pStyle w:val="BodyText"/>
              <w:spacing w:after="0"/>
              <w:rPr>
                <w:bCs/>
              </w:rPr>
            </w:pPr>
          </w:p>
          <w:p w:rsidR="009066BD" w:rsidRPr="004A0947" w:rsidRDefault="009066BD" w:rsidP="00750D0A">
            <w:pPr>
              <w:pStyle w:val="BodyText"/>
              <w:spacing w:after="0"/>
              <w:rPr>
                <w:bCs/>
              </w:rPr>
            </w:pPr>
          </w:p>
          <w:p w:rsidR="009066BD" w:rsidRPr="004A0947" w:rsidRDefault="009066BD" w:rsidP="00750D0A">
            <w:pPr>
              <w:pStyle w:val="BodyText"/>
              <w:spacing w:after="0"/>
              <w:rPr>
                <w:bCs/>
              </w:rPr>
            </w:pPr>
          </w:p>
        </w:tc>
        <w:tc>
          <w:tcPr>
            <w:tcW w:w="4428" w:type="dxa"/>
            <w:shd w:val="clear" w:color="auto" w:fill="auto"/>
          </w:tcPr>
          <w:p w:rsidR="009066BD" w:rsidRPr="004A0947" w:rsidRDefault="009066BD" w:rsidP="00750D0A">
            <w:pPr>
              <w:pStyle w:val="BodyText"/>
              <w:rPr>
                <w:bCs/>
              </w:rPr>
            </w:pPr>
          </w:p>
        </w:tc>
      </w:tr>
    </w:tbl>
    <w:p w:rsidR="006012CC" w:rsidRPr="00FC3028" w:rsidRDefault="006012CC" w:rsidP="009066BD">
      <w:pPr>
        <w:spacing w:after="0" w:line="240" w:lineRule="auto"/>
        <w:jc w:val="center"/>
        <w:rPr>
          <w:rFonts w:ascii="Times New Roman" w:hAnsi="Times New Roman" w:cs="Times New Roman"/>
          <w:b/>
          <w:sz w:val="24"/>
          <w:szCs w:val="24"/>
        </w:rPr>
      </w:pPr>
    </w:p>
    <w:sectPr w:rsidR="006012CC" w:rsidRPr="00FC3028" w:rsidSect="0093493F">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19" w:rsidRDefault="002C2819" w:rsidP="00754613">
      <w:pPr>
        <w:spacing w:after="0" w:line="240" w:lineRule="auto"/>
      </w:pPr>
      <w:r>
        <w:separator/>
      </w:r>
    </w:p>
  </w:endnote>
  <w:endnote w:type="continuationSeparator" w:id="0">
    <w:p w:rsidR="002C2819" w:rsidRDefault="002C2819" w:rsidP="0075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BF" w:rsidRDefault="000E42BF" w:rsidP="00D43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42BF" w:rsidRDefault="000E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C" w:rsidRDefault="00A96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C" w:rsidRDefault="00A96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1706"/>
      <w:docPartObj>
        <w:docPartGallery w:val="Page Numbers (Bottom of Page)"/>
        <w:docPartUnique/>
      </w:docPartObj>
    </w:sdtPr>
    <w:sdtEndPr>
      <w:rPr>
        <w:noProof/>
      </w:rPr>
    </w:sdtEndPr>
    <w:sdtContent>
      <w:p w:rsidR="000E42BF" w:rsidRDefault="000E42BF">
        <w:pPr>
          <w:pStyle w:val="Footer"/>
          <w:jc w:val="center"/>
        </w:pPr>
        <w:r>
          <w:fldChar w:fldCharType="begin"/>
        </w:r>
        <w:r>
          <w:instrText xml:space="preserve"> PAGE   \* MERGEFORMAT </w:instrText>
        </w:r>
        <w:r>
          <w:fldChar w:fldCharType="separate"/>
        </w:r>
        <w:r w:rsidR="00A969CC">
          <w:rPr>
            <w:noProof/>
          </w:rPr>
          <w:t>iii</w:t>
        </w:r>
        <w:r>
          <w:rPr>
            <w:noProof/>
          </w:rPr>
          <w:fldChar w:fldCharType="end"/>
        </w:r>
      </w:p>
    </w:sdtContent>
  </w:sdt>
  <w:p w:rsidR="000E42BF" w:rsidRDefault="000E42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5264"/>
      <w:docPartObj>
        <w:docPartGallery w:val="Page Numbers (Bottom of Page)"/>
        <w:docPartUnique/>
      </w:docPartObj>
    </w:sdtPr>
    <w:sdtEndPr>
      <w:rPr>
        <w:rFonts w:ascii="Times New Roman" w:hAnsi="Times New Roman" w:cs="Times New Roman"/>
        <w:noProof/>
        <w:sz w:val="24"/>
        <w:szCs w:val="24"/>
      </w:rPr>
    </w:sdtEndPr>
    <w:sdtContent>
      <w:p w:rsidR="000E42BF" w:rsidRPr="00331CAA" w:rsidRDefault="000E42BF">
        <w:pPr>
          <w:pStyle w:val="Footer"/>
          <w:jc w:val="center"/>
          <w:rPr>
            <w:rFonts w:ascii="Times New Roman" w:hAnsi="Times New Roman" w:cs="Times New Roman"/>
            <w:sz w:val="24"/>
            <w:szCs w:val="24"/>
          </w:rPr>
        </w:pPr>
        <w:r w:rsidRPr="00331CAA">
          <w:rPr>
            <w:rFonts w:ascii="Times New Roman" w:hAnsi="Times New Roman" w:cs="Times New Roman"/>
            <w:sz w:val="24"/>
            <w:szCs w:val="24"/>
          </w:rPr>
          <w:fldChar w:fldCharType="begin"/>
        </w:r>
        <w:r w:rsidRPr="00331CAA">
          <w:rPr>
            <w:rFonts w:ascii="Times New Roman" w:hAnsi="Times New Roman" w:cs="Times New Roman"/>
            <w:sz w:val="24"/>
            <w:szCs w:val="24"/>
          </w:rPr>
          <w:instrText xml:space="preserve"> PAGE   \* MERGEFORMAT </w:instrText>
        </w:r>
        <w:r w:rsidRPr="00331CAA">
          <w:rPr>
            <w:rFonts w:ascii="Times New Roman" w:hAnsi="Times New Roman" w:cs="Times New Roman"/>
            <w:sz w:val="24"/>
            <w:szCs w:val="24"/>
          </w:rPr>
          <w:fldChar w:fldCharType="separate"/>
        </w:r>
        <w:r w:rsidR="00A969CC">
          <w:rPr>
            <w:rFonts w:ascii="Times New Roman" w:hAnsi="Times New Roman" w:cs="Times New Roman"/>
            <w:noProof/>
            <w:sz w:val="24"/>
            <w:szCs w:val="24"/>
          </w:rPr>
          <w:t>47</w:t>
        </w:r>
        <w:r w:rsidRPr="00331CAA">
          <w:rPr>
            <w:rFonts w:ascii="Times New Roman" w:hAnsi="Times New Roman" w:cs="Times New Roman"/>
            <w:noProof/>
            <w:sz w:val="24"/>
            <w:szCs w:val="24"/>
          </w:rPr>
          <w:fldChar w:fldCharType="end"/>
        </w:r>
      </w:p>
    </w:sdtContent>
  </w:sdt>
  <w:p w:rsidR="000E42BF" w:rsidRDefault="000E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19" w:rsidRDefault="002C2819" w:rsidP="00754613">
      <w:pPr>
        <w:spacing w:after="0" w:line="240" w:lineRule="auto"/>
      </w:pPr>
      <w:r>
        <w:separator/>
      </w:r>
    </w:p>
  </w:footnote>
  <w:footnote w:type="continuationSeparator" w:id="0">
    <w:p w:rsidR="002C2819" w:rsidRDefault="002C2819" w:rsidP="00754613">
      <w:pPr>
        <w:spacing w:after="0" w:line="240" w:lineRule="auto"/>
      </w:pPr>
      <w:r>
        <w:continuationSeparator/>
      </w:r>
    </w:p>
  </w:footnote>
  <w:footnote w:id="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Staff Ex. 3 at 14 (Adkins Direct).</w:t>
      </w:r>
    </w:p>
  </w:footnote>
  <w:footnote w:id="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e.g., </w:t>
      </w:r>
      <w:r w:rsidRPr="0093493F">
        <w:rPr>
          <w:rFonts w:ascii="Times New Roman" w:hAnsi="Times New Roman" w:cs="Times New Roman"/>
          <w:i/>
        </w:rPr>
        <w:t>In the Matter of the Application of the Cincinnati Gas &amp; Electric Company for an Increase in its Gas Rates in its Service Territory</w:t>
      </w:r>
      <w:r w:rsidRPr="0093493F">
        <w:rPr>
          <w:rFonts w:ascii="Times New Roman" w:hAnsi="Times New Roman" w:cs="Times New Roman"/>
        </w:rPr>
        <w:t>, PUCO Case No. 01-1228-GA-AIR at al.,, Opinion and Order at 12 (May 30, 2002).</w:t>
      </w:r>
    </w:p>
  </w:footnote>
  <w:footnote w:id="3">
    <w:p w:rsidR="000E42BF" w:rsidRPr="0093493F" w:rsidRDefault="000E42BF" w:rsidP="0093493F">
      <w:pPr>
        <w:pStyle w:val="FootnoteText"/>
        <w:spacing w:after="120"/>
        <w:rPr>
          <w:rFonts w:ascii="Times New Roman" w:hAnsi="Times New Roman" w:cs="Times New Roman"/>
          <w:i/>
        </w:rPr>
      </w:pPr>
      <w:r w:rsidRPr="0093493F">
        <w:rPr>
          <w:rStyle w:val="FootnoteReference"/>
          <w:rFonts w:ascii="Times New Roman" w:hAnsi="Times New Roman" w:cs="Times New Roman"/>
        </w:rPr>
        <w:footnoteRef/>
      </w:r>
      <w:r w:rsidRPr="0093493F">
        <w:rPr>
          <w:rFonts w:ascii="Times New Roman" w:hAnsi="Times New Roman" w:cs="Times New Roman"/>
        </w:rPr>
        <w:t xml:space="preserve"> Id.</w:t>
      </w:r>
    </w:p>
  </w:footnote>
  <w:footnote w:id="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5 (Application).</w:t>
      </w:r>
    </w:p>
  </w:footnote>
  <w:footnote w:id="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5-6 (Application).</w:t>
      </w:r>
    </w:p>
  </w:footnote>
  <w:footnote w:id="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5 (Application); </w:t>
      </w:r>
      <w:r w:rsidRPr="0093493F">
        <w:rPr>
          <w:rFonts w:ascii="Times New Roman" w:hAnsi="Times New Roman" w:cs="Times New Roman"/>
          <w:i/>
        </w:rPr>
        <w:t>In the Matter of the Application of the Cincinnati Gas &amp; Electric Company for an Adjustment to Rider AMRP Rates to Recover Costs Incurred in 2010</w:t>
      </w:r>
      <w:r w:rsidRPr="0093493F">
        <w:rPr>
          <w:rFonts w:ascii="Times New Roman" w:hAnsi="Times New Roman" w:cs="Times New Roman"/>
        </w:rPr>
        <w:t>, PUCO Case No. 10-2788-GA-RDR, Opinion and Order at pp. 10-11 (May 4, 2011).</w:t>
      </w:r>
    </w:p>
  </w:footnote>
  <w:footnote w:id="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19-20 (Duann Direct) citing </w:t>
      </w:r>
      <w:r w:rsidRPr="0093493F">
        <w:rPr>
          <w:rFonts w:ascii="Times New Roman" w:hAnsi="Times New Roman" w:cs="Times New Roman"/>
          <w:i/>
        </w:rPr>
        <w:t xml:space="preserve">In the Matter of the Annual Application of Duke Energy Ohio for an Adjustment to Rider AMRP Rates, </w:t>
      </w:r>
      <w:r w:rsidRPr="0093493F">
        <w:rPr>
          <w:rFonts w:ascii="Times New Roman" w:hAnsi="Times New Roman" w:cs="Times New Roman"/>
        </w:rPr>
        <w:t>PUCO Case No. 10-2788-GA-RDR, Opinion and Order at 8 and 10 (May 4, 2011) (PUCO Opinion and Order allowing Duke to recover costs for allowable capital additions under AMRP past December 31, 2015).</w:t>
      </w:r>
    </w:p>
  </w:footnote>
  <w:footnote w:id="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496:1-17.</w:t>
      </w:r>
    </w:p>
  </w:footnote>
  <w:footnote w:id="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R.C. 4929.05.</w:t>
      </w:r>
    </w:p>
  </w:footnote>
  <w:footnote w:id="1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R.C. 4929.05 (emphasis added).</w:t>
      </w:r>
    </w:p>
  </w:footnote>
  <w:footnote w:id="1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4905.22.</w:t>
      </w:r>
    </w:p>
  </w:footnote>
  <w:footnote w:id="1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w:t>
      </w:r>
      <w:r w:rsidRPr="0093493F">
        <w:rPr>
          <w:rFonts w:ascii="Times New Roman" w:hAnsi="Times New Roman" w:cs="Times New Roman"/>
          <w:i/>
        </w:rPr>
        <w:t xml:space="preserve">, </w:t>
      </w:r>
      <w:r w:rsidRPr="0093493F">
        <w:rPr>
          <w:rFonts w:ascii="Times New Roman" w:hAnsi="Times New Roman" w:cs="Times New Roman"/>
        </w:rPr>
        <w:t>e.g.,</w:t>
      </w:r>
      <w:r w:rsidRPr="0093493F">
        <w:rPr>
          <w:rFonts w:ascii="Times New Roman" w:hAnsi="Times New Roman" w:cs="Times New Roman"/>
          <w:i/>
        </w:rPr>
        <w:t xml:space="preserve"> </w:t>
      </w:r>
      <w:r w:rsidRPr="0093493F">
        <w:rPr>
          <w:rFonts w:ascii="Times New Roman" w:hAnsi="Times New Roman" w:cs="Times New Roman"/>
        </w:rPr>
        <w:t xml:space="preserve">R.C. 4928.143(C)(1); </w:t>
      </w:r>
      <w:r w:rsidRPr="0093493F">
        <w:rPr>
          <w:rFonts w:ascii="Times New Roman" w:hAnsi="Times New Roman" w:cs="Times New Roman"/>
          <w:i/>
        </w:rPr>
        <w:t>In the Matter of the Application of The Ohio Bell Telephone Company for Authority to Amend Certain of its Intrastate Tariffs to Increase and Adjust its Rates and Charges and to Change its Regulations</w:t>
      </w:r>
      <w:r w:rsidRPr="0093493F">
        <w:rPr>
          <w:rFonts w:ascii="Times New Roman" w:hAnsi="Times New Roman" w:cs="Times New Roman"/>
        </w:rPr>
        <w:t xml:space="preserve">, 1985 Ohio PUC Lexis 7, 91 (PUCO Case No. 84-1435-TP-AIR); </w:t>
      </w:r>
      <w:r w:rsidRPr="0093493F">
        <w:rPr>
          <w:rFonts w:ascii="Times New Roman" w:hAnsi="Times New Roman" w:cs="Times New Roman"/>
          <w:i/>
        </w:rPr>
        <w:t>In the Matter of the Application of the Ottoville Mutual Telephone Company for Authority to Increase its Rates and Charges and to Revise its Tariffs on an Emergency and Temporary Basis Pursuant to Section 4909.16 Revised Code</w:t>
      </w:r>
      <w:r w:rsidRPr="0093493F">
        <w:rPr>
          <w:rFonts w:ascii="Times New Roman" w:hAnsi="Times New Roman" w:cs="Times New Roman"/>
        </w:rPr>
        <w:t>, 1973 Ohio PUC Lexis 3, 4 (PUCO Case No. 73-356-Y) (“Although the applicant must shoulder the burden of proof in every application proceeding before the Commission, this burden takes on an added dimension in the context of an emergency rate case.”).</w:t>
      </w:r>
    </w:p>
  </w:footnote>
  <w:footnote w:id="1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Fonts w:ascii="Times New Roman" w:hAnsi="Times New Roman" w:cs="Times New Roman"/>
          <w:i/>
        </w:rPr>
        <w:t>In the Matter of the Application of Duke Energy Ohio, Inc. for an Increase in Rates</w:t>
      </w:r>
      <w:r w:rsidRPr="0093493F">
        <w:rPr>
          <w:rFonts w:ascii="Times New Roman" w:hAnsi="Times New Roman" w:cs="Times New Roman"/>
        </w:rPr>
        <w:t>, Case No. 07-589-GA-AIR et al., Stipulation and Recommendation at 14 (February 20, 2008); Tr. Vol. I at 38:16-18 (Whitlock).</w:t>
      </w:r>
    </w:p>
  </w:footnote>
  <w:footnote w:id="1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39:5-16 (Whitlock); Tr. Vol. I at 139:19-22 (Hebbeler).</w:t>
      </w:r>
    </w:p>
  </w:footnote>
  <w:footnote w:id="1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1 (Application); Tr. Vol. I at 140 (Whitlock).</w:t>
      </w:r>
    </w:p>
  </w:footnote>
  <w:footnote w:id="1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 at 96:3-7 (Hill); Tr. Vol. I at 139:19-140:25 (Hebbeler); Tr. Vol. I at 39:17-20 (Whitlock).</w:t>
      </w:r>
    </w:p>
  </w:footnote>
  <w:footnote w:id="1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2 at 9 (Whitlock); see also Tr. Vol. I at 39:17-20 (Whitlock); Tr. Vol. II at 139:10-140:25 (Hebbeler).</w:t>
      </w:r>
    </w:p>
  </w:footnote>
  <w:footnote w:id="1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Ohio. Adm. Code 4901-1-14(F).</w:t>
      </w:r>
    </w:p>
  </w:footnote>
  <w:footnote w:id="1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164:6-17 (Hebbeler).</w:t>
      </w:r>
    </w:p>
  </w:footnote>
  <w:footnote w:id="2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195:25-203:21 (Objections of OCC, OPAE, and Staff).</w:t>
      </w:r>
    </w:p>
  </w:footnote>
  <w:footnote w:id="2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Rule of Evidence 401.</w:t>
      </w:r>
    </w:p>
  </w:footnote>
  <w:footnote w:id="2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Rule of Evidence 401(Evidence is relevant if it has any tendency to make the existence of any fact that is of consequence to the determination of the action more probable or less probable than it would be without the evidence).</w:t>
      </w:r>
    </w:p>
  </w:footnote>
  <w:footnote w:id="2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McCluskey v. Burroughs</w:t>
      </w:r>
      <w:r w:rsidRPr="0093493F">
        <w:rPr>
          <w:rFonts w:ascii="Times New Roman" w:hAnsi="Times New Roman" w:cs="Times New Roman"/>
        </w:rPr>
        <w:t>, 4 Ohio App. 3d 182, 446 N.E.2d 1143, 4 Ohio B. 284, 1982 Ohio App. LEXIS 10980 (1982); See also Ohio Rule of Evidence 401.</w:t>
      </w:r>
    </w:p>
  </w:footnote>
  <w:footnote w:id="2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State v. Zukor</w:t>
      </w:r>
      <w:r w:rsidRPr="0093493F">
        <w:rPr>
          <w:rFonts w:ascii="Times New Roman" w:hAnsi="Times New Roman" w:cs="Times New Roman"/>
        </w:rPr>
        <w:t>, 1976 Ohio App. LEXIS 7357, 1976 WL 189504 (Ohio Ct. App., Hamilton County Feb. 9, 1976).</w:t>
      </w:r>
      <w:r w:rsidRPr="0093493F">
        <w:rPr>
          <w:rFonts w:ascii="Times New Roman" w:hAnsi="Times New Roman" w:cs="Times New Roman"/>
          <w:i/>
          <w:iCs/>
        </w:rPr>
        <w:t xml:space="preserve"> </w:t>
      </w:r>
    </w:p>
  </w:footnote>
  <w:footnote w:id="2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Fonts w:ascii="Times New Roman" w:hAnsi="Times New Roman" w:cs="Times New Roman"/>
          <w:iCs/>
        </w:rPr>
        <w:t>See Id.</w:t>
      </w:r>
    </w:p>
  </w:footnote>
  <w:footnote w:id="2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 at 162-163 (Hebbeler).</w:t>
      </w:r>
    </w:p>
  </w:footnote>
  <w:footnote w:id="2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182:2-20 (Duke witness Hebbeler testifying: “I was looking for a deteriorated pipe. That’s what I asked for”).</w:t>
      </w:r>
    </w:p>
  </w:footnote>
  <w:footnote w:id="2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174:21-175:2 (Hebbeler)  (Duke testifying that while Duke Ex. Nos. 7 and 8 are approximately five feet long, a typical service lines is approximately 65 feet long).</w:t>
      </w:r>
    </w:p>
  </w:footnote>
  <w:footnote w:id="2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 at 169-170 (Hebbeler).</w:t>
      </w:r>
    </w:p>
  </w:footnote>
  <w:footnote w:id="3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See Tr. Vol. II at 173:25-174:2 (Hebbeler) (Testifying that he was not present when the pipe was excavated).</w:t>
      </w:r>
    </w:p>
  </w:footnote>
  <w:footnote w:id="3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II at 175:7-13 (Hebbeler).</w:t>
      </w:r>
    </w:p>
  </w:footnote>
  <w:footnote w:id="3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II at 178:24-25 (Hebbeler).</w:t>
      </w:r>
    </w:p>
  </w:footnote>
  <w:footnote w:id="3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175:4-6 (Hebbeler).</w:t>
      </w:r>
    </w:p>
  </w:footnote>
  <w:footnote w:id="3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179:8-10 (Hebbeler).</w:t>
      </w:r>
    </w:p>
  </w:footnote>
  <w:footnote w:id="3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174:10-16 (Hebbeler).</w:t>
      </w:r>
    </w:p>
  </w:footnote>
  <w:footnote w:id="3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179:11-18 (Hebbeler).</w:t>
      </w:r>
    </w:p>
  </w:footnote>
  <w:footnote w:id="3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 at 178:18-179:18 (Hebbeler).</w:t>
      </w:r>
    </w:p>
  </w:footnote>
  <w:footnote w:id="38">
    <w:p w:rsidR="000E42BF" w:rsidRPr="0093493F" w:rsidRDefault="000E42BF" w:rsidP="0093493F">
      <w:pPr>
        <w:pStyle w:val="FootnoteText"/>
        <w:spacing w:after="120"/>
        <w:jc w:val="both"/>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Fonts w:ascii="Times New Roman" w:hAnsi="Times New Roman" w:cs="Times New Roman"/>
          <w:i/>
        </w:rPr>
        <w:t>Day Lay Egg Farm v. Union County Bd. of Revision</w:t>
      </w:r>
      <w:r w:rsidRPr="0093493F">
        <w:rPr>
          <w:rFonts w:ascii="Times New Roman" w:hAnsi="Times New Roman" w:cs="Times New Roman"/>
        </w:rPr>
        <w:t xml:space="preserve">, 62 Ohio App. 3d 555, 577 N.E.2d 84, 1989 Ohio App. LEXIS 1412 (Ohio Ct. App., Union County (1989)) citing </w:t>
      </w:r>
      <w:r w:rsidRPr="0093493F">
        <w:rPr>
          <w:rStyle w:val="ssit"/>
          <w:rFonts w:ascii="Times New Roman" w:hAnsi="Times New Roman" w:cs="Times New Roman"/>
          <w:i/>
          <w:iCs/>
          <w:bdr w:val="none" w:sz="0" w:space="0" w:color="auto" w:frame="1"/>
          <w:shd w:val="clear" w:color="auto" w:fill="FFFFFF"/>
        </w:rPr>
        <w:t>Provident Sav. Bank &amp; Trust Co. v. Tax Commission</w:t>
      </w:r>
      <w:r w:rsidRPr="0093493F">
        <w:rPr>
          <w:rStyle w:val="apple-converted-space"/>
          <w:rFonts w:ascii="Times New Roman" w:hAnsi="Times New Roman" w:cs="Times New Roman"/>
          <w:u w:val="single"/>
          <w:bdr w:val="none" w:sz="0" w:space="0" w:color="auto" w:frame="1"/>
          <w:shd w:val="clear" w:color="auto" w:fill="FFFFFF"/>
        </w:rPr>
        <w:t xml:space="preserve"> </w:t>
      </w:r>
      <w:r w:rsidRPr="0093493F">
        <w:rPr>
          <w:rFonts w:ascii="Times New Roman" w:hAnsi="Times New Roman" w:cs="Times New Roman"/>
          <w:bdr w:val="none" w:sz="0" w:space="0" w:color="auto" w:frame="1"/>
          <w:shd w:val="clear" w:color="auto" w:fill="FFFFFF"/>
        </w:rPr>
        <w:t>(1931), 10 O.O. 469</w:t>
      </w:r>
      <w:r w:rsidRPr="0093493F">
        <w:rPr>
          <w:rStyle w:val="apple-converted-space"/>
          <w:rFonts w:ascii="Times New Roman" w:hAnsi="Times New Roman" w:cs="Times New Roman"/>
          <w:shd w:val="clear" w:color="auto" w:fill="FFFFFF"/>
        </w:rPr>
        <w:t> </w:t>
      </w:r>
      <w:r w:rsidRPr="0093493F">
        <w:rPr>
          <w:rFonts w:ascii="Times New Roman" w:hAnsi="Times New Roman" w:cs="Times New Roman"/>
          <w:shd w:val="clear" w:color="auto" w:fill="FFFFFF"/>
        </w:rPr>
        <w:t>[474,</w:t>
      </w:r>
      <w:r w:rsidRPr="0093493F">
        <w:rPr>
          <w:rStyle w:val="apple-converted-space"/>
          <w:rFonts w:ascii="Times New Roman" w:hAnsi="Times New Roman" w:cs="Times New Roman"/>
          <w:shd w:val="clear" w:color="auto" w:fill="FFFFFF"/>
        </w:rPr>
        <w:t> </w:t>
      </w:r>
      <w:r w:rsidRPr="0093493F">
        <w:rPr>
          <w:rFonts w:ascii="Times New Roman" w:hAnsi="Times New Roman" w:cs="Times New Roman"/>
          <w:bdr w:val="none" w:sz="0" w:space="0" w:color="auto" w:frame="1"/>
          <w:shd w:val="clear" w:color="auto" w:fill="FFFFFF"/>
        </w:rPr>
        <w:t>26 Ohio Law Abs. 175, 181]</w:t>
      </w:r>
      <w:r w:rsidRPr="0093493F">
        <w:rPr>
          <w:rFonts w:ascii="Times New Roman" w:hAnsi="Times New Roman" w:cs="Times New Roman"/>
        </w:rPr>
        <w:t>.</w:t>
      </w:r>
    </w:p>
  </w:footnote>
  <w:footnote w:id="3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Fonts w:ascii="Times New Roman" w:hAnsi="Times New Roman" w:cs="Times New Roman"/>
          <w:i/>
        </w:rPr>
        <w:t>Eastern Ohio Distributing Co. v. Bd. of Liquor Control</w:t>
      </w:r>
      <w:r w:rsidRPr="0093493F">
        <w:rPr>
          <w:rFonts w:ascii="Times New Roman" w:hAnsi="Times New Roman" w:cs="Times New Roman"/>
        </w:rPr>
        <w:t xml:space="preserve"> (1950), 59 Ohio Law Abs. 188 [190, 98 N.E.2d 330, 332].</w:t>
      </w:r>
    </w:p>
  </w:footnote>
  <w:footnote w:id="4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2006 Ohio PUC LEXIS 270 (“The S.G. Foods complainants argue that, since the Commission is not required to apply the rules of evidence, it should not do so. We decline to accept this invitation. While it is true that the Commission has the leeway to apply evidentiary rules as we think appropriate, the rules are certainly instructive. In this situation, we deem it appropriate to follow the Ohio rules of evidence. By following the Ohio rules in this situation, we find that we can most equitably decide the dispute among the parties.”).</w:t>
      </w:r>
    </w:p>
  </w:footnote>
  <w:footnote w:id="4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Style w:val="apple-converted-space"/>
          <w:rFonts w:ascii="Times New Roman" w:hAnsi="Times New Roman" w:cs="Times New Roman"/>
          <w:shd w:val="clear" w:color="auto" w:fill="FFFFFF"/>
        </w:rPr>
        <w:t> </w:t>
      </w:r>
      <w:r w:rsidRPr="0093493F">
        <w:rPr>
          <w:rStyle w:val="ssit"/>
          <w:rFonts w:ascii="Times New Roman" w:hAnsi="Times New Roman" w:cs="Times New Roman"/>
          <w:i/>
          <w:iCs/>
          <w:bdr w:val="none" w:sz="0" w:space="0" w:color="auto" w:frame="1"/>
          <w:shd w:val="clear" w:color="auto" w:fill="FFFFFF"/>
        </w:rPr>
        <w:t>Lykins v. Public Utilities Commission,</w:t>
      </w:r>
      <w:r w:rsidRPr="0093493F">
        <w:rPr>
          <w:rStyle w:val="apple-converted-space"/>
          <w:rFonts w:ascii="Times New Roman" w:hAnsi="Times New Roman" w:cs="Times New Roman"/>
          <w:bdr w:val="none" w:sz="0" w:space="0" w:color="auto" w:frame="1"/>
          <w:shd w:val="clear" w:color="auto" w:fill="FFFFFF"/>
        </w:rPr>
        <w:t xml:space="preserve"> </w:t>
      </w:r>
      <w:r w:rsidRPr="0093493F">
        <w:rPr>
          <w:rFonts w:ascii="Times New Roman" w:hAnsi="Times New Roman" w:cs="Times New Roman"/>
          <w:bdr w:val="none" w:sz="0" w:space="0" w:color="auto" w:frame="1"/>
          <w:shd w:val="clear" w:color="auto" w:fill="FFFFFF"/>
        </w:rPr>
        <w:t>115 Ohio St. 376 (154 N.E. 249) (1926)</w:t>
      </w:r>
      <w:r w:rsidRPr="0093493F">
        <w:rPr>
          <w:rFonts w:ascii="Times New Roman" w:hAnsi="Times New Roman" w:cs="Times New Roman"/>
          <w:shd w:val="clear" w:color="auto" w:fill="FFFFFF"/>
        </w:rPr>
        <w:t>.</w:t>
      </w:r>
    </w:p>
  </w:footnote>
  <w:footnote w:id="4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2-3 (Application).</w:t>
      </w:r>
    </w:p>
  </w:footnote>
  <w:footnote w:id="4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3 at 2:19-3:5 (Hill Direct).</w:t>
      </w:r>
    </w:p>
  </w:footnote>
  <w:footnote w:id="4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R.C. 4929.02(A)(10).</w:t>
      </w:r>
    </w:p>
  </w:footnote>
  <w:footnote w:id="4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2, 14 (Application) (“The policy objective of R.C. 4929.02(A)(10) is advanced through the ASRP in that the program will provide Duke Energy Ohio with the ability to upgrade its distribution system in an efficient manner, thereby yielding safer and more reliable service to customers.”).</w:t>
      </w:r>
    </w:p>
  </w:footnote>
  <w:footnote w:id="4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14 (Application).</w:t>
      </w:r>
    </w:p>
  </w:footnote>
  <w:footnote w:id="4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4929.02(A)(10).; See Staff Ex. 1 at 4 (Staff Report) (“However, Duke’s assertion that the state policy as set forth in R.C. 4929.02 calls for upgrading distribution systems is not correct….No part of the Section mentions or makes reference to upgrading natural gas distribution services. The Commission should not infer from Duke’s description of the state’s policies in the Application that state policy set forth in R.C. 4929.02 somehow mandates or calls for upgrades to natural gas distribution systems as advocated under the ASRP.”).</w:t>
      </w:r>
    </w:p>
  </w:footnote>
  <w:footnote w:id="4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12 (Williams Direct).</w:t>
      </w:r>
    </w:p>
  </w:footnote>
  <w:footnote w:id="4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2-3 (Application) (citing Ohio Amend. Sub. House Bill 95).</w:t>
      </w:r>
    </w:p>
  </w:footnote>
  <w:footnote w:id="5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Amend. Sub. H.B. 95, 129</w:t>
      </w:r>
      <w:r w:rsidRPr="0093493F">
        <w:rPr>
          <w:rFonts w:ascii="Times New Roman" w:hAnsi="Times New Roman" w:cs="Times New Roman"/>
          <w:vertAlign w:val="superscript"/>
        </w:rPr>
        <w:t>th</w:t>
      </w:r>
      <w:r w:rsidRPr="0093493F">
        <w:rPr>
          <w:rFonts w:ascii="Times New Roman" w:hAnsi="Times New Roman" w:cs="Times New Roman"/>
        </w:rPr>
        <w:t xml:space="preserve"> General Assembly (emphasis added).</w:t>
      </w:r>
    </w:p>
  </w:footnote>
  <w:footnote w:id="5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Amend. Sub. H.B. 95, 129</w:t>
      </w:r>
      <w:r w:rsidRPr="0093493F">
        <w:rPr>
          <w:rFonts w:ascii="Times New Roman" w:hAnsi="Times New Roman" w:cs="Times New Roman"/>
          <w:vertAlign w:val="superscript"/>
        </w:rPr>
        <w:t>th</w:t>
      </w:r>
      <w:r w:rsidRPr="0093493F">
        <w:rPr>
          <w:rFonts w:ascii="Times New Roman" w:hAnsi="Times New Roman" w:cs="Times New Roman"/>
        </w:rPr>
        <w:t xml:space="preserve"> General Assembly.</w:t>
      </w:r>
    </w:p>
  </w:footnote>
  <w:footnote w:id="5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4905.35, 4929.02, and 4929.05.</w:t>
      </w:r>
    </w:p>
  </w:footnote>
  <w:footnote w:id="5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Amend. Sub. H.B. 95, 129</w:t>
      </w:r>
      <w:r w:rsidRPr="0093493F">
        <w:rPr>
          <w:rFonts w:ascii="Times New Roman" w:hAnsi="Times New Roman" w:cs="Times New Roman"/>
          <w:vertAlign w:val="superscript"/>
        </w:rPr>
        <w:t>th</w:t>
      </w:r>
      <w:r w:rsidRPr="0093493F">
        <w:rPr>
          <w:rFonts w:ascii="Times New Roman" w:hAnsi="Times New Roman" w:cs="Times New Roman"/>
        </w:rPr>
        <w:t xml:space="preserve"> General Assembly.</w:t>
      </w:r>
    </w:p>
  </w:footnote>
  <w:footnote w:id="5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Ohio Amend. Sub. H.B. 95, 129</w:t>
      </w:r>
      <w:r w:rsidRPr="0093493F">
        <w:rPr>
          <w:rFonts w:ascii="Times New Roman" w:hAnsi="Times New Roman" w:cs="Times New Roman"/>
          <w:vertAlign w:val="superscript"/>
        </w:rPr>
        <w:t>th</w:t>
      </w:r>
      <w:r w:rsidRPr="0093493F">
        <w:rPr>
          <w:rFonts w:ascii="Times New Roman" w:hAnsi="Times New Roman" w:cs="Times New Roman"/>
        </w:rPr>
        <w:t xml:space="preserve"> General Assembly.</w:t>
      </w:r>
    </w:p>
  </w:footnote>
  <w:footnote w:id="5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1 at 1, 6, and 14 (Application); Duke Ex. 6 at 10:15-22 (Hebbeler Direct); Duke Ex. 3 at 3:6-4:15 (Hill Direct).</w:t>
      </w:r>
    </w:p>
  </w:footnote>
  <w:footnote w:id="5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1 at 1 (Application).</w:t>
      </w:r>
    </w:p>
  </w:footnote>
  <w:footnote w:id="5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Staff Ex. 1 at 4-5 (emphasis added).</w:t>
      </w:r>
    </w:p>
  </w:footnote>
  <w:footnote w:id="5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at 1 (49 C.F.R. § 192, Subpart P).</w:t>
      </w:r>
    </w:p>
  </w:footnote>
  <w:footnote w:id="5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60:21-61:1 (Hill).</w:t>
      </w:r>
    </w:p>
  </w:footnote>
  <w:footnote w:id="6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(49 C.F.R. § 192, Subpart P).</w:t>
      </w:r>
    </w:p>
  </w:footnote>
  <w:footnote w:id="6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(49 C.F.R. § 192, Subpart P).</w:t>
      </w:r>
    </w:p>
  </w:footnote>
  <w:footnote w:id="6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(49 C.F.R. § 192, Subpart P); Tr. Vol I at 67:4-7 (Hill).</w:t>
      </w:r>
    </w:p>
  </w:footnote>
  <w:footnote w:id="6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2 at 3 (49 C.F.R. § 192, Subpart P).</w:t>
      </w:r>
    </w:p>
  </w:footnote>
  <w:footnote w:id="6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(49 C.F.R. § 192, Subpart P).</w:t>
      </w:r>
    </w:p>
  </w:footnote>
  <w:footnote w:id="6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 at 67:25-68:5 (Hill).</w:t>
      </w:r>
    </w:p>
  </w:footnote>
  <w:footnote w:id="6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2 (49 C.F.R. § 192, Subpart P); Tr. Vol. I at 66:20-68:5 (Hill).</w:t>
      </w:r>
    </w:p>
  </w:footnote>
  <w:footnote w:id="6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Tr. Vol. II at 221-222 (McGee).</w:t>
      </w:r>
    </w:p>
  </w:footnote>
  <w:footnote w:id="6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Staff Ex. 3 at 13-15 (Adkins Direct); Tr. Vol. I at 161:10-13 (Hebbeler).</w:t>
      </w:r>
    </w:p>
  </w:footnote>
  <w:footnote w:id="6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161:10-13 (Hebbeler) (Duke witness Hebbeler testifying that Duke did not consider any other alternatives to the ASRP that would both contribute to improving system safety and comply with the DIMP regulations).</w:t>
      </w:r>
    </w:p>
  </w:footnote>
  <w:footnote w:id="7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Staff Ex. 3 at 13-15 (Adkins Direct). </w:t>
      </w:r>
    </w:p>
  </w:footnote>
  <w:footnote w:id="7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1 (Application); Duke Ex. 10 (McGee Addendum).</w:t>
      </w:r>
    </w:p>
  </w:footnote>
  <w:footnote w:id="7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e.g., U.S. Department of Health and Human Services. Step It Up! The Surgeon General’s Call to Action to Promote Walking and Walkable Communities. Washington, DC: U.S. Dept. of Health and Human Services, Office of the Surgeon General; 2015 http://www.surgeongeneral.gov/library/calls/walking-and-walkable-communities/call-to-action-walking-and-walkable-communites.pdf  (The U.S. Department of Health and Human Services issued a “Call to Action” in 2015 to urge communities to support walking, which it hopes would lead to improved health for American citizens).</w:t>
      </w:r>
    </w:p>
  </w:footnote>
  <w:footnote w:id="7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530:8-23 (Adkins).</w:t>
      </w:r>
    </w:p>
  </w:footnote>
  <w:footnote w:id="7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530:8-23 (Adkins).</w:t>
      </w:r>
    </w:p>
  </w:footnote>
  <w:footnote w:id="7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497:6-10 (Williams)  (As OCC witness James Williams testifies on re-direct examination, if every call to action resulted in an Ohio utility spending $320 million, rate would be unaffordable and we would all be bankrupt).</w:t>
      </w:r>
    </w:p>
  </w:footnote>
  <w:footnote w:id="7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288:13-18 (McGee).</w:t>
      </w:r>
    </w:p>
  </w:footnote>
  <w:footnote w:id="7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w:t>
      </w:r>
    </w:p>
  </w:footnote>
  <w:footnote w:id="7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w:t>
      </w:r>
    </w:p>
  </w:footnote>
  <w:footnote w:id="7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w:t>
      </w:r>
    </w:p>
  </w:footnote>
  <w:footnote w:id="8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w:t>
      </w:r>
    </w:p>
  </w:footnote>
  <w:footnote w:id="8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71:2-8 (Hill).</w:t>
      </w:r>
    </w:p>
  </w:footnote>
  <w:footnote w:id="8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9:1-10:5 (Williams Direct).</w:t>
      </w:r>
    </w:p>
  </w:footnote>
  <w:footnote w:id="8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Staff Ex. 1 at 6-7 (Staff Report) (Staff states that continuing with and devoting additional resources towards increasing frequency of Duke’s leak surveys and repairing identified Grade 2 leaks on service lines more quickly would address the identified risks from the pre-1971 metallic service lines pursuant to Duke’s DIMP plan at considerably less cost per year than the ASRP).</w:t>
      </w:r>
    </w:p>
  </w:footnote>
  <w:footnote w:id="8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4929.22(E).</w:t>
      </w:r>
    </w:p>
  </w:footnote>
  <w:footnote w:id="8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4905.22 (“Every public utility shall furnish necessary and adequate service and facilities, and every public utility shall furnish and provide with respect to its business such instrumentalities and facilities, as are adequate and in all respects just and reasonable. All charges made or demanded for any service rendered, or to be rendered, shall be just, reasonable, and not more than the charges allowed by law or by order of the public utilities commission, and no unjust or unreasonable charge shall be made or demanded for, or in connection with, any service, or in excess of that allowed by law or by order of the commission.”).</w:t>
      </w:r>
    </w:p>
  </w:footnote>
  <w:footnote w:id="8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13 (Whitlock); Tr. Vol. I at 69 (Hill); Tr. Vol. I at 151 (Hebbeler); Tr. Vol. II at 218 (McGee).</w:t>
      </w:r>
    </w:p>
  </w:footnote>
  <w:footnote w:id="8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13 (Whitlock); Tr. Vol. I at 69 (Hill); Tr. Vol. I at 151 (Hebbeler); Tr. Vol. II at 218 (McGee).</w:t>
      </w:r>
    </w:p>
  </w:footnote>
  <w:footnote w:id="8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6 at 6:8-15 (Hebbeler Direct).</w:t>
      </w:r>
    </w:p>
  </w:footnote>
  <w:footnote w:id="89">
    <w:p w:rsidR="000E42BF" w:rsidRPr="0093493F" w:rsidRDefault="000E42BF" w:rsidP="0093493F">
      <w:pPr>
        <w:spacing w:after="120" w:line="240" w:lineRule="auto"/>
        <w:rPr>
          <w:rFonts w:ascii="Times New Roman" w:hAnsi="Times New Roman" w:cs="Times New Roman"/>
          <w:sz w:val="20"/>
          <w:szCs w:val="20"/>
        </w:rPr>
      </w:pPr>
      <w:r w:rsidRPr="0093493F">
        <w:rPr>
          <w:rStyle w:val="FootnoteReference"/>
          <w:rFonts w:ascii="Times New Roman" w:hAnsi="Times New Roman" w:cs="Times New Roman"/>
          <w:sz w:val="20"/>
          <w:szCs w:val="20"/>
        </w:rPr>
        <w:footnoteRef/>
      </w:r>
      <w:r w:rsidRPr="0093493F">
        <w:rPr>
          <w:rFonts w:ascii="Times New Roman" w:hAnsi="Times New Roman" w:cs="Times New Roman"/>
          <w:sz w:val="20"/>
          <w:szCs w:val="20"/>
        </w:rPr>
        <w:t xml:space="preserve"> </w:t>
      </w:r>
      <w:r w:rsidRPr="0093493F">
        <w:rPr>
          <w:rStyle w:val="Hyperlink"/>
          <w:rFonts w:ascii="Times New Roman" w:hAnsi="Times New Roman" w:cs="Times New Roman"/>
          <w:color w:val="auto"/>
          <w:sz w:val="20"/>
          <w:szCs w:val="20"/>
          <w:u w:val="none"/>
        </w:rPr>
        <w:t>See OCC Ex. No. 12:3 (Hayes Direct).</w:t>
      </w:r>
    </w:p>
  </w:footnote>
  <w:footnote w:id="9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9:16-22 (Hayes Direct).</w:t>
      </w:r>
    </w:p>
  </w:footnote>
  <w:footnote w:id="9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9:16-17 (Hayes Direct).</w:t>
      </w:r>
    </w:p>
  </w:footnote>
  <w:footnote w:id="9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9:19-22 (Hayes Direct).</w:t>
      </w:r>
    </w:p>
  </w:footnote>
  <w:footnote w:id="9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Style w:val="Hyperlink"/>
          <w:rFonts w:ascii="Times New Roman" w:hAnsi="Times New Roman" w:cs="Times New Roman"/>
          <w:color w:val="auto"/>
          <w:u w:val="none"/>
        </w:rPr>
        <w:t>See OCC Ex. No. 12:8-11 (Hayes Direct).</w:t>
      </w:r>
    </w:p>
  </w:footnote>
  <w:footnote w:id="9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11:13-15 (Hayes Direct).</w:t>
      </w:r>
    </w:p>
  </w:footnote>
  <w:footnote w:id="9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11:13:15 (Hayes Direct).</w:t>
      </w:r>
    </w:p>
  </w:footnote>
  <w:footnote w:id="9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11 at 11:18-19 (Hayes Direct).</w:t>
      </w:r>
    </w:p>
  </w:footnote>
  <w:footnote w:id="9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12:3-6 (Hayes Direct).</w:t>
      </w:r>
    </w:p>
  </w:footnote>
  <w:footnote w:id="9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180:8-23 (Hebbeler).</w:t>
      </w:r>
    </w:p>
  </w:footnote>
  <w:footnote w:id="9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174:17-20 (Hebbeler). </w:t>
      </w:r>
    </w:p>
  </w:footnote>
  <w:footnote w:id="10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10:6-13. (Hayes Direct).</w:t>
      </w:r>
    </w:p>
  </w:footnote>
  <w:footnote w:id="10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10:6-11. (Hayes Direct).</w:t>
      </w:r>
    </w:p>
  </w:footnote>
  <w:footnote w:id="10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11 at 10:10-13. (Hayes Direct).</w:t>
      </w:r>
    </w:p>
  </w:footnote>
  <w:footnote w:id="10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e.g., Duke Ex. 10 at 5-6 (McGee Addendum).</w:t>
      </w:r>
    </w:p>
  </w:footnote>
  <w:footnote w:id="10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6 at 6:8-10 (Hebbeler Direct).</w:t>
      </w:r>
    </w:p>
  </w:footnote>
  <w:footnote w:id="10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In the Matter of the Application of the Cincinnati Gas &amp; Electric Company for an Increase in its Gas Rates in its Service Territory</w:t>
      </w:r>
      <w:r w:rsidRPr="0093493F">
        <w:rPr>
          <w:rFonts w:ascii="Times New Roman" w:hAnsi="Times New Roman" w:cs="Times New Roman"/>
        </w:rPr>
        <w:t>, PUCO Case No. 01-1228-GA-AIR, et al., Application, Volume 6, Stone &amp; Webster Report (July 31, 2001).</w:t>
      </w:r>
    </w:p>
  </w:footnote>
  <w:footnote w:id="10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In the Matter of the Application of the Cincinnati Gas &amp; Electric Company for an Increase in its Gas Rates in its Service Territory</w:t>
      </w:r>
      <w:r w:rsidRPr="0093493F">
        <w:rPr>
          <w:rFonts w:ascii="Times New Roman" w:hAnsi="Times New Roman" w:cs="Times New Roman"/>
        </w:rPr>
        <w:t>, PUCO Case No. 01-1228-GA-AIR, et al., Application, Volume 6, Stone &amp; Webster Report (July 31, 2001).</w:t>
      </w:r>
    </w:p>
  </w:footnote>
  <w:footnote w:id="10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In the Matter of the Application of the Cincinnati Gas &amp; Electric Company for an Increase in its Gas Rates in its Service Territory</w:t>
      </w:r>
      <w:r w:rsidRPr="0093493F">
        <w:rPr>
          <w:rFonts w:ascii="Times New Roman" w:hAnsi="Times New Roman" w:cs="Times New Roman"/>
        </w:rPr>
        <w:t>, PUCO Case No. 01-1228-GA-AIR, et al., Application, Volume 6, Stone &amp; Webster Report (July 31, 2001).</w:t>
      </w:r>
    </w:p>
  </w:footnote>
  <w:footnote w:id="10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1 (Application).</w:t>
      </w:r>
    </w:p>
  </w:footnote>
  <w:footnote w:id="10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1 (Application).</w:t>
      </w:r>
    </w:p>
  </w:footnote>
  <w:footnote w:id="11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9 (McGee Direct).</w:t>
      </w:r>
    </w:p>
  </w:footnote>
  <w:footnote w:id="11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9 (McGee Direct).</w:t>
      </w:r>
    </w:p>
  </w:footnote>
  <w:footnote w:id="11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p. 9:5-9 (Whitlock) (Duke witness changing amount of service lines that Duke proposes to do reconnaissance on from 28,000 to 21,000).</w:t>
      </w:r>
    </w:p>
  </w:footnote>
  <w:footnote w:id="11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537-538 (Adkins) (Staff witness Adkins testifying that “It's an alternative to a base rate proceeding. In a base rate proceeding, the company has the burden of proof. The company provides boxes and boxes of data, schedules, et cetera, that support its position. In this case the company provided a 23-page application, no testimony, nothing. So I'm not sure the staff is in a position to -- I don't believe it's appropriate for the staff to have to try to figure out everything that the company relied on. We asked the company what was relied on, and then the company didn't provide everything that was relied on.  Unless it's exclusively relied on the Lummus report, because that's what was provided in response to our data request, I don't think appropriate for the staff to have to chase down everything that the company may or may not have relied on or doubt the company didn't answer the question properly.”)</w:t>
      </w:r>
      <w:r>
        <w:rPr>
          <w:rFonts w:ascii="Times New Roman" w:hAnsi="Times New Roman" w:cs="Times New Roman"/>
        </w:rPr>
        <w:t>.</w:t>
      </w:r>
    </w:p>
  </w:footnote>
  <w:footnote w:id="11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21 of 45 (McGee Direct).</w:t>
      </w:r>
    </w:p>
  </w:footnote>
  <w:footnote w:id="11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EAM-3, p. 10 of 24 (McGee Direct).</w:t>
      </w:r>
    </w:p>
  </w:footnote>
  <w:footnote w:id="116">
    <w:p w:rsidR="000E42BF" w:rsidRPr="0093493F" w:rsidRDefault="000E42BF" w:rsidP="0093493F">
      <w:pPr>
        <w:pStyle w:val="FootnoteText"/>
        <w:tabs>
          <w:tab w:val="left" w:pos="908"/>
        </w:tabs>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EAM-3, p. 10 of 24 (McGee Direct).</w:t>
      </w:r>
      <w:r w:rsidRPr="0093493F">
        <w:rPr>
          <w:rFonts w:ascii="Times New Roman" w:hAnsi="Times New Roman" w:cs="Times New Roman"/>
        </w:rPr>
        <w:tab/>
      </w:r>
    </w:p>
  </w:footnote>
  <w:footnote w:id="11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3,000 leaks /375,000 service lines=0.008.</w:t>
      </w:r>
    </w:p>
  </w:footnote>
  <w:footnote w:id="11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1,750 leaks/375,000 service lines=0.0045</w:t>
      </w:r>
      <w:r>
        <w:rPr>
          <w:rFonts w:ascii="Times New Roman" w:hAnsi="Times New Roman" w:cs="Times New Roman"/>
        </w:rPr>
        <w:t>.</w:t>
      </w:r>
    </w:p>
  </w:footnote>
  <w:footnote w:id="11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4 (Duke Response to OCC Interrogatory Nos. 65, 66, 67, 68).</w:t>
      </w:r>
    </w:p>
  </w:footnote>
  <w:footnote w:id="12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4 (Duke Response to OCC Interrogatory Nos. 65, 66, 67, 68).</w:t>
      </w:r>
    </w:p>
  </w:footnote>
  <w:footnote w:id="12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1,776+2,398=4,174 (total amount of service line leaks in 2014).</w:t>
      </w:r>
    </w:p>
  </w:footnote>
  <w:footnote w:id="12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9 at EMA-3 at 9 of 45 (McGee Direct).</w:t>
      </w:r>
    </w:p>
  </w:footnote>
  <w:footnote w:id="12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4 at 2 (Duke Response to OCC Interrogatory Nos. 65, 66, 67, 68).</w:t>
      </w:r>
    </w:p>
  </w:footnote>
  <w:footnote w:id="12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2012: 101/1473=0.0685; 2013: 172/2241=0.0767; 2014: 209/1776=0.1176.</w:t>
      </w:r>
    </w:p>
  </w:footnote>
  <w:footnote w:id="125">
    <w:p w:rsidR="000E42BF" w:rsidRPr="0093493F" w:rsidRDefault="000E42BF" w:rsidP="0093493F">
      <w:pPr>
        <w:pStyle w:val="FootnoteText"/>
        <w:spacing w:after="120"/>
        <w:rPr>
          <w:rFonts w:ascii="Times New Roman" w:hAnsi="Times New Roman" w:cs="Times New Roman"/>
          <w:bCs/>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5 (49 C.F.R. § 193) (</w:t>
      </w:r>
      <w:r w:rsidRPr="0093493F">
        <w:rPr>
          <w:rFonts w:ascii="Times New Roman" w:hAnsi="Times New Roman" w:cs="Times New Roman"/>
          <w:bCs/>
          <w:i/>
          <w:iCs/>
        </w:rPr>
        <w:t>Incident</w:t>
      </w:r>
      <w:r w:rsidRPr="0093493F">
        <w:rPr>
          <w:rFonts w:ascii="Times New Roman" w:hAnsi="Times New Roman" w:cs="Times New Roman"/>
          <w:bCs/>
        </w:rPr>
        <w:t> means any of the following events:</w:t>
      </w:r>
    </w:p>
    <w:p w:rsidR="000E42BF" w:rsidRPr="0093493F" w:rsidRDefault="000E42BF" w:rsidP="0093493F">
      <w:pPr>
        <w:pStyle w:val="FootnoteText"/>
        <w:spacing w:after="120"/>
        <w:ind w:left="720"/>
        <w:rPr>
          <w:rFonts w:ascii="Times New Roman" w:hAnsi="Times New Roman" w:cs="Times New Roman"/>
          <w:bCs/>
        </w:rPr>
      </w:pPr>
      <w:r w:rsidRPr="0093493F">
        <w:rPr>
          <w:rFonts w:ascii="Times New Roman" w:hAnsi="Times New Roman" w:cs="Times New Roman"/>
          <w:bCs/>
        </w:rPr>
        <w:t>(1) An event that involves a release of gas from a pipeline, or of liquefied natural gas, liquefied petroleum gas, refrigerant gas, or gas from an LNG facility, and that results in one or more of the following consequences:</w:t>
      </w:r>
    </w:p>
    <w:p w:rsidR="000E42BF" w:rsidRPr="0093493F" w:rsidRDefault="000E42BF" w:rsidP="0093493F">
      <w:pPr>
        <w:pStyle w:val="FootnoteText"/>
        <w:spacing w:after="120"/>
        <w:ind w:left="720" w:firstLine="720"/>
        <w:rPr>
          <w:rFonts w:ascii="Times New Roman" w:hAnsi="Times New Roman" w:cs="Times New Roman"/>
          <w:bCs/>
        </w:rPr>
      </w:pPr>
      <w:r w:rsidRPr="0093493F">
        <w:rPr>
          <w:rFonts w:ascii="Times New Roman" w:hAnsi="Times New Roman" w:cs="Times New Roman"/>
          <w:bCs/>
        </w:rPr>
        <w:t>(i) A death, or personal injury necessitating in-patient hospitalization;</w:t>
      </w:r>
    </w:p>
    <w:p w:rsidR="000E42BF" w:rsidRPr="0093493F" w:rsidRDefault="000E42BF" w:rsidP="0093493F">
      <w:pPr>
        <w:pStyle w:val="FootnoteText"/>
        <w:spacing w:after="120"/>
        <w:ind w:left="1440"/>
        <w:rPr>
          <w:rFonts w:ascii="Times New Roman" w:hAnsi="Times New Roman" w:cs="Times New Roman"/>
          <w:bCs/>
        </w:rPr>
      </w:pPr>
      <w:r w:rsidRPr="0093493F">
        <w:rPr>
          <w:rFonts w:ascii="Times New Roman" w:hAnsi="Times New Roman" w:cs="Times New Roman"/>
          <w:bCs/>
        </w:rPr>
        <w:t>(ii) Estimated property damage of $50,000 or more, including loss to the operator and others, or both, but excluding cost of gas lost;</w:t>
      </w:r>
    </w:p>
    <w:p w:rsidR="000E42BF" w:rsidRPr="0093493F" w:rsidRDefault="000E42BF" w:rsidP="0093493F">
      <w:pPr>
        <w:pStyle w:val="FootnoteText"/>
        <w:spacing w:after="120"/>
        <w:ind w:left="720" w:firstLine="720"/>
        <w:rPr>
          <w:rFonts w:ascii="Times New Roman" w:hAnsi="Times New Roman" w:cs="Times New Roman"/>
          <w:bCs/>
        </w:rPr>
      </w:pPr>
      <w:r w:rsidRPr="0093493F">
        <w:rPr>
          <w:rFonts w:ascii="Times New Roman" w:hAnsi="Times New Roman" w:cs="Times New Roman"/>
          <w:bCs/>
        </w:rPr>
        <w:t>(iii) Unintentional estimated gas loss of three million cubic feet or more;</w:t>
      </w:r>
    </w:p>
    <w:p w:rsidR="000E42BF" w:rsidRPr="0093493F" w:rsidRDefault="000E42BF" w:rsidP="0093493F">
      <w:pPr>
        <w:pStyle w:val="FootnoteText"/>
        <w:spacing w:after="120"/>
        <w:ind w:left="720"/>
        <w:rPr>
          <w:rFonts w:ascii="Times New Roman" w:hAnsi="Times New Roman" w:cs="Times New Roman"/>
          <w:bCs/>
        </w:rPr>
      </w:pPr>
      <w:r w:rsidRPr="0093493F">
        <w:rPr>
          <w:rFonts w:ascii="Times New Roman" w:hAnsi="Times New Roman" w:cs="Times New Roman"/>
          <w:bCs/>
        </w:rPr>
        <w:t>(2) An event that results in an emergency shutdown of an LNG facility. Activation of an emergency shutdown system for reasons other than an actual emergency does not constitute an incident.</w:t>
      </w:r>
    </w:p>
    <w:p w:rsidR="000E42BF" w:rsidRPr="0093493F" w:rsidRDefault="000E42BF" w:rsidP="0093493F">
      <w:pPr>
        <w:pStyle w:val="FootnoteText"/>
        <w:spacing w:after="120"/>
        <w:ind w:left="720"/>
        <w:rPr>
          <w:rFonts w:ascii="Times New Roman" w:hAnsi="Times New Roman" w:cs="Times New Roman"/>
        </w:rPr>
      </w:pPr>
      <w:r w:rsidRPr="0093493F">
        <w:rPr>
          <w:rFonts w:ascii="Times New Roman" w:hAnsi="Times New Roman" w:cs="Times New Roman"/>
          <w:bCs/>
        </w:rPr>
        <w:t>(3) An event that is significant in the judgment of the operator, even though it did not meet the criteria of paragraphs (1) or (2) of this definition.)</w:t>
      </w:r>
      <w:r>
        <w:rPr>
          <w:rFonts w:ascii="Times New Roman" w:hAnsi="Times New Roman" w:cs="Times New Roman"/>
          <w:bCs/>
        </w:rPr>
        <w:t>.</w:t>
      </w:r>
    </w:p>
  </w:footnote>
  <w:footnote w:id="12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149:2-25–150:1-3 (Hebbeler) (Duke witness testifying that to his knowledge there has only been one incident, in 1998, on a service line that was caused by corrosion).</w:t>
      </w:r>
    </w:p>
  </w:footnote>
  <w:footnote w:id="12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Staff Ex. 1 at 4 (Application).</w:t>
      </w:r>
    </w:p>
  </w:footnote>
  <w:footnote w:id="12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15,066 + 14,568 + 14,822 + 19,787 + 31,920 + 33,348 + 26,625 + 23,943 + 19,552 + 17,705 = 217,336.</w:t>
      </w:r>
    </w:p>
  </w:footnote>
  <w:footnote w:id="12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Attach. 4 (Williams Direct) (U.S. Department of Transportation Pipeline and Hazardous Materials Safety Administration, Gas Distribution Integrity Management Program: Resources, Gas Distribution Leaks by Cause and Type (April 20, 2015), https://hip.phmsa.dot.gov/analyticsSOAP/saw.dll?PortalPages</w:t>
      </w:r>
      <w:r w:rsidRPr="0093493F">
        <w:rPr>
          <w:rStyle w:val="Hyperlink"/>
          <w:rFonts w:ascii="Times New Roman" w:hAnsi="Times New Roman" w:cs="Times New Roman"/>
          <w:color w:val="auto"/>
          <w:u w:val="none"/>
        </w:rPr>
        <w:t>).</w:t>
      </w:r>
    </w:p>
  </w:footnote>
  <w:footnote w:id="13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(Williams Direct); U.S. Department of Transportation Pipeline and Hazardous Materials Safety Administration, Gas Distribution Integrity Management Program: Resources (April 11, 2015), https://hip.phmsa.dot.gov/analyticsSOAP/saw.dll?PortalPages&amp;NQUser=PDM_WEB_USER&amp;NQPassword=Public_Web_User1&amp;PortalPath=/shared/PDM%20Public%20Website/_portal/GD%20IM%20Perf.   </w:t>
      </w:r>
    </w:p>
  </w:footnote>
  <w:footnote w:id="13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4/217,336=0.000018.</w:t>
      </w:r>
    </w:p>
  </w:footnote>
  <w:footnote w:id="13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Attach. 2 (Williams Direct) (U.S. Department of Transportation Pipeline and Hazardous Materials Safety Administration, Gas Distribution Integrity Management Program: Resources, Gas Distribution Leaks by Cause and Type (April 20, 2015) https://hip.phmsa.dot.gov/analyticsSOAP/saw.dll?PortalPages).</w:t>
      </w:r>
    </w:p>
  </w:footnote>
  <w:footnote w:id="13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139,236 + 133,751 + 127,810 + 128,420 + 147,484 + 140,522 + 132,412 + 133,129 + 122,806 + 124,823 = 1,330,393.</w:t>
      </w:r>
    </w:p>
  </w:footnote>
  <w:footnote w:id="13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Attach. 3 (Williams Direct) (U.S. Department of Transportation Pipeline and Hazardous Materials Safety Administration, Gas Distribution Integrity Management Program: Resources, Gas Distribution Leaks By Cause (April 20, 2015) </w:t>
      </w:r>
      <w:hyperlink r:id="rId1" w:history="1">
        <w:r w:rsidRPr="0093493F">
          <w:rPr>
            <w:rStyle w:val="Hyperlink"/>
            <w:rFonts w:ascii="Times New Roman" w:hAnsi="Times New Roman" w:cs="Times New Roman"/>
          </w:rPr>
          <w:t>https://hip.phmsa.dot.gov/analyticsSOAP/saw.dll?PortalPages</w:t>
        </w:r>
      </w:hyperlink>
      <w:r w:rsidRPr="0093493F">
        <w:rPr>
          <w:rFonts w:ascii="Times New Roman" w:hAnsi="Times New Roman" w:cs="Times New Roman"/>
        </w:rPr>
        <w:t>).</w:t>
      </w:r>
    </w:p>
  </w:footnote>
  <w:footnote w:id="13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28/1,330,393=0.000021.</w:t>
      </w:r>
    </w:p>
  </w:footnote>
  <w:footnote w:id="13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bookmarkStart w:id="25" w:name="4901:1-16-04(H)"/>
      <w:r w:rsidRPr="0093493F">
        <w:rPr>
          <w:rFonts w:ascii="Times New Roman" w:hAnsi="Times New Roman" w:cs="Times New Roman"/>
        </w:rPr>
        <w:t xml:space="preserve"> See OCC Ex. 3</w:t>
      </w:r>
      <w:bookmarkEnd w:id="25"/>
      <w:r w:rsidRPr="0093493F">
        <w:rPr>
          <w:rFonts w:ascii="Times New Roman" w:hAnsi="Times New Roman" w:cs="Times New Roman"/>
        </w:rPr>
        <w:t xml:space="preserve"> (Ohio Adm. Code 4901:1-16-04); OCC Ex. 12 at 6-10 (Williams Direct).</w:t>
      </w:r>
    </w:p>
  </w:footnote>
  <w:footnote w:id="13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 </w:t>
      </w:r>
    </w:p>
  </w:footnote>
  <w:footnote w:id="13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3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PHMSA’s DIMP State-Federal Implementation Team Pilot Inspection Findings, at 24 (April 20, 2015) </w:t>
      </w:r>
      <w:hyperlink r:id="rId2" w:history="1">
        <w:r w:rsidRPr="0093493F">
          <w:rPr>
            <w:rStyle w:val="Hyperlink"/>
            <w:rFonts w:ascii="Times New Roman" w:hAnsi="Times New Roman" w:cs="Times New Roman"/>
          </w:rPr>
          <w:t>https://primis.phmsa.dot.gov/dimp/docs/DIMP_MEA_Conerence_080411.pdf</w:t>
        </w:r>
      </w:hyperlink>
      <w:r w:rsidRPr="0093493F">
        <w:rPr>
          <w:rFonts w:ascii="Times New Roman" w:hAnsi="Times New Roman" w:cs="Times New Roman"/>
        </w:rPr>
        <w:t xml:space="preserve">.  </w:t>
      </w:r>
    </w:p>
  </w:footnote>
  <w:footnote w:id="14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1 at 161:10-13 (Hebbeler) (Duke witness Hebbeler testifying that Duke did not consider any other alternatives to the ASRP that would both contribute to improving system safety and comply with the DIMP regulations).</w:t>
      </w:r>
    </w:p>
  </w:footnote>
  <w:footnote w:id="14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3 (Ohio Adm. Code 4901:1-16-04) ; OCC Ex. 12 at 6-10 (Williams Direct).</w:t>
      </w:r>
    </w:p>
  </w:footnote>
  <w:footnote w:id="14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Staff Ex. 1 at 6-7 (Staff Report) (Staff states that continuing with and devoting additional resources towards increasing frequency of Duke’s leak surveys and repairing identified Grade 2 leaks on service lines more quickly would address the identified risks from the pre-1971 metallic service lines pursuant to Duke’s DIMP plan at considerably less cost per year than the ASRP).</w:t>
      </w:r>
    </w:p>
  </w:footnote>
  <w:footnote w:id="14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3 at 8 (Hill Direct).</w:t>
      </w:r>
    </w:p>
  </w:footnote>
  <w:footnote w:id="14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3 at 8 (Hill Direct).</w:t>
      </w:r>
    </w:p>
  </w:footnote>
  <w:footnote w:id="15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3 at 7 (Hill Direct).</w:t>
      </w:r>
    </w:p>
  </w:footnote>
  <w:footnote w:id="15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12A (PHMSA Incident Report); OCC Ex. 12 at Attach. JDW-6, p. 1 of 2 (Williams Direct).</w:t>
      </w:r>
    </w:p>
  </w:footnote>
  <w:footnote w:id="15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12A (PHMSA Incident Report) (381+343=822).</w:t>
      </w:r>
    </w:p>
  </w:footnote>
  <w:footnote w:id="15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12A (PHMSA Incident Report).</w:t>
      </w:r>
    </w:p>
  </w:footnote>
  <w:footnote w:id="15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24, Figure EAM-7 (McGee Direct).</w:t>
      </w:r>
    </w:p>
  </w:footnote>
  <w:footnote w:id="15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3 at 13-15:1-3 (Hill Direct) (Duke states that it has, among other things,: (1) tried to increase public awareness; (2) investigated excavation damage occurrences; (3) educated individual contractors of excavation damage risk; (4) promoted April as National Safe Digging Month; and (5) been an active participant in the Ohio Underground Damage Prevention Coalition).</w:t>
      </w:r>
    </w:p>
  </w:footnote>
  <w:footnote w:id="15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45:3-19 (Whitlock); Tr. Vol. I at 64-65:19 (Hill).</w:t>
      </w:r>
    </w:p>
  </w:footnote>
  <w:footnote w:id="15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Ex. 2 (Whitlock Direct), Duke Ex. 3 (Hill Direct), Duke Ex. 4 (Laub Direct), Duke Ex. 6 (Hebbeler Direct), Duke Ex. 9 (McGee Direct) and Duke Ex. 11 (Morin Direct) (October 23, 2015).</w:t>
      </w:r>
    </w:p>
  </w:footnote>
  <w:footnote w:id="15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20, 23 (Whitlock), Tr. Vol. III at 542 (Adkins).</w:t>
      </w:r>
    </w:p>
  </w:footnote>
  <w:footnote w:id="15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506 (Williams), Tr. Vol. III at 542 (Adkins).</w:t>
      </w:r>
    </w:p>
  </w:footnote>
  <w:footnote w:id="16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2 at 3 (Whitlock Direct).</w:t>
      </w:r>
    </w:p>
  </w:footnote>
  <w:footnote w:id="16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19 (Whitlock).</w:t>
      </w:r>
    </w:p>
  </w:footnote>
  <w:footnote w:id="16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Duke Energy Ohio, Inc.’s Reply Comments, PUCO Case No. 14-1622-GA-ALT (May 8, 2015).</w:t>
      </w:r>
    </w:p>
  </w:footnote>
  <w:footnote w:id="16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Objections of Duke Energy Ohio, Inc. to the Staff Report of Investigation, PUCO Case No. 14-1622-GA-ALT (July 6, 2015).</w:t>
      </w:r>
    </w:p>
  </w:footnote>
  <w:footnote w:id="16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117 (Whitlock).</w:t>
      </w:r>
    </w:p>
  </w:footnote>
  <w:footnote w:id="16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125 (Whitlock).</w:t>
      </w:r>
    </w:p>
  </w:footnote>
  <w:footnote w:id="16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126 (Whitlock).</w:t>
      </w:r>
    </w:p>
  </w:footnote>
  <w:footnote w:id="16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2 at 3 (Whitlock).</w:t>
      </w:r>
    </w:p>
  </w:footnote>
  <w:footnote w:id="16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18 (McGee Direct).</w:t>
      </w:r>
    </w:p>
  </w:footnote>
  <w:footnote w:id="16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10 at 5 (McGee Addendum).</w:t>
      </w:r>
    </w:p>
  </w:footnote>
  <w:footnote w:id="17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10 at 6 (McGee Addendum).</w:t>
      </w:r>
    </w:p>
  </w:footnote>
  <w:footnote w:id="17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9 at EAM-2, p. 10 of 45 (McGee Direct). </w:t>
      </w:r>
    </w:p>
  </w:footnote>
  <w:footnote w:id="17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298 (McGee).</w:t>
      </w:r>
    </w:p>
  </w:footnote>
  <w:footnote w:id="17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10 at 5 (McGee).</w:t>
      </w:r>
    </w:p>
  </w:footnote>
  <w:footnote w:id="17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220 (McGee).</w:t>
      </w:r>
    </w:p>
  </w:footnote>
  <w:footnote w:id="17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254 at 254:12-19 (McGee).</w:t>
      </w:r>
    </w:p>
  </w:footnote>
  <w:footnote w:id="17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542 (Adkins) (emphasis added).</w:t>
      </w:r>
    </w:p>
  </w:footnote>
  <w:footnote w:id="177">
    <w:p w:rsidR="000E42BF" w:rsidRPr="0093493F" w:rsidRDefault="000E42BF" w:rsidP="0093493F">
      <w:pPr>
        <w:pStyle w:val="FootnoteText"/>
        <w:tabs>
          <w:tab w:val="left" w:pos="4771"/>
        </w:tabs>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13 (Whitlock); Tr. Vol. I at 69 (Hill); Tr. Vol. I at 151 (Hebbeler); Tr. Vol. II at 218 (McGee).</w:t>
      </w:r>
    </w:p>
  </w:footnote>
  <w:footnote w:id="17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9 (Williams Direct).</w:t>
      </w:r>
    </w:p>
  </w:footnote>
  <w:footnote w:id="17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223 (McGee).</w:t>
      </w:r>
    </w:p>
  </w:footnote>
  <w:footnote w:id="18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595 (Adkins).</w:t>
      </w:r>
    </w:p>
  </w:footnote>
  <w:footnote w:id="18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596 (Adkins).</w:t>
      </w:r>
    </w:p>
  </w:footnote>
  <w:footnote w:id="18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 at 388 (Hayes).</w:t>
      </w:r>
    </w:p>
  </w:footnote>
  <w:footnote w:id="18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III at 501:25-502:11 (Williams).</w:t>
      </w:r>
    </w:p>
  </w:footnote>
  <w:footnote w:id="18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23 (Whitlock).</w:t>
      </w:r>
    </w:p>
  </w:footnote>
  <w:footnote w:id="18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94 (Whitlock); Tr. Vol. I at 161 (Hebbeler). Tr. Vol. II at 267 (McGee)..</w:t>
      </w:r>
    </w:p>
  </w:footnote>
  <w:footnote w:id="18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Staff Ex. 3 at 14 (Adkins Direct). </w:t>
      </w:r>
    </w:p>
  </w:footnote>
  <w:footnote w:id="18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III at 495:20-25 (Williams); Tr. Vol. I at 20:3-7 (Whitlock); Tr. Vol. I at 120:2-6 (Laub).</w:t>
      </w:r>
    </w:p>
  </w:footnote>
  <w:footnote w:id="188">
    <w:p w:rsidR="000E42BF" w:rsidRPr="0093493F" w:rsidRDefault="000E42BF" w:rsidP="0093493F">
      <w:pPr>
        <w:pStyle w:val="FootnoteText"/>
        <w:spacing w:after="120"/>
        <w:rPr>
          <w:rFonts w:ascii="Times New Roman" w:hAnsi="Times New Roman" w:cs="Times New Roman"/>
          <w:b/>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8:21-9:3. (Whitlock) (Duke witness changing amount of service lines that Duke will replace on a proactive basis from 200 to 1,000).</w:t>
      </w:r>
    </w:p>
  </w:footnote>
  <w:footnote w:id="18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50:13-19 (Whitlock).</w:t>
      </w:r>
    </w:p>
  </w:footnote>
  <w:footnote w:id="19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Tr. Vol. I at 91:21-92:8. (Hill).</w:t>
      </w:r>
    </w:p>
  </w:footnote>
  <w:footnote w:id="19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Tr. Vol. I at p. 9:5-9 (Whitlock) (Duke witness changing amount of service lines that Duke proposes to do reconnaissance on from 28,000 to 21,000).</w:t>
      </w:r>
    </w:p>
  </w:footnote>
  <w:footnote w:id="19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9 (Application). </w:t>
      </w:r>
    </w:p>
  </w:footnote>
  <w:footnote w:id="193">
    <w:p w:rsidR="000E42BF" w:rsidRPr="0093493F" w:rsidRDefault="000E42BF" w:rsidP="0093493F">
      <w:pPr>
        <w:autoSpaceDE w:val="0"/>
        <w:autoSpaceDN w:val="0"/>
        <w:adjustRightInd w:val="0"/>
        <w:spacing w:after="120" w:line="240" w:lineRule="auto"/>
        <w:rPr>
          <w:rFonts w:ascii="Times New Roman" w:hAnsi="Times New Roman" w:cs="Times New Roman"/>
          <w:sz w:val="20"/>
          <w:szCs w:val="20"/>
        </w:rPr>
      </w:pPr>
      <w:r w:rsidRPr="0093493F">
        <w:rPr>
          <w:rStyle w:val="FootnoteReference"/>
          <w:rFonts w:ascii="Times New Roman" w:hAnsi="Times New Roman" w:cs="Times New Roman"/>
          <w:sz w:val="20"/>
          <w:szCs w:val="20"/>
        </w:rPr>
        <w:footnoteRef/>
      </w:r>
      <w:r w:rsidRPr="0093493F">
        <w:rPr>
          <w:rFonts w:ascii="Times New Roman" w:hAnsi="Times New Roman" w:cs="Times New Roman"/>
          <w:sz w:val="20"/>
          <w:szCs w:val="20"/>
        </w:rPr>
        <w:t xml:space="preserve"> </w:t>
      </w:r>
      <w:r w:rsidRPr="0093493F">
        <w:rPr>
          <w:rFonts w:ascii="Times New Roman" w:hAnsi="Times New Roman" w:cs="Times New Roman"/>
          <w:i/>
          <w:sz w:val="20"/>
          <w:szCs w:val="20"/>
        </w:rPr>
        <w:t>In the Matter of the Application of Duke Energy Ohio, Inc., for an Increase in its Natural Gas Distribution Rates</w:t>
      </w:r>
      <w:r w:rsidRPr="0093493F">
        <w:rPr>
          <w:rFonts w:ascii="Times New Roman" w:hAnsi="Times New Roman" w:cs="Times New Roman"/>
          <w:sz w:val="20"/>
          <w:szCs w:val="20"/>
        </w:rPr>
        <w:t>, Case Nos. 12-1685-GA-ALT et al., Opinion and Order at 3 (November 13, 2013).</w:t>
      </w:r>
    </w:p>
  </w:footnote>
  <w:footnote w:id="19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11 (Application).</w:t>
      </w:r>
    </w:p>
  </w:footnote>
  <w:footnote w:id="19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1 at 9 (Application). </w:t>
      </w:r>
    </w:p>
  </w:footnote>
  <w:footnote w:id="19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25:2-3 (Williams Direct).</w:t>
      </w:r>
    </w:p>
  </w:footnote>
  <w:footnote w:id="19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$320 million / 382,000 residential customers = $837.70 per customer. </w:t>
      </w:r>
    </w:p>
  </w:footnote>
  <w:footnote w:id="19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25:5-8 (Williams Direct).</w:t>
      </w:r>
    </w:p>
  </w:footnote>
  <w:footnote w:id="19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25:8-10 (Williams Direct).</w:t>
      </w:r>
    </w:p>
  </w:footnote>
  <w:footnote w:id="20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27, Table 1 (Williams Direct).</w:t>
      </w:r>
    </w:p>
  </w:footnote>
  <w:footnote w:id="20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27, Table 1 (Williams Direct).</w:t>
      </w:r>
    </w:p>
  </w:footnote>
  <w:footnote w:id="20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27, Table 1 (Williams Direct) (Cities include Cincinnati, Columbus, Toledo, Dayton, Canton, Akron, Youngstown, and Cleveland).</w:t>
      </w:r>
    </w:p>
  </w:footnote>
  <w:footnote w:id="20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27 (Williams Direct).</w:t>
      </w:r>
    </w:p>
  </w:footnote>
  <w:footnote w:id="20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27 (Williams Direct).</w:t>
      </w:r>
    </w:p>
  </w:footnote>
  <w:footnote w:id="20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21:5-8 (Duann Direct).</w:t>
      </w:r>
    </w:p>
  </w:footnote>
  <w:footnote w:id="20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21:8-9 (Duann Direct).</w:t>
      </w:r>
    </w:p>
  </w:footnote>
  <w:footnote w:id="20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21:9-11 (Duann Direct).</w:t>
      </w:r>
    </w:p>
  </w:footnote>
  <w:footnote w:id="20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21:12-15 (Duann Direct).</w:t>
      </w:r>
    </w:p>
  </w:footnote>
  <w:footnote w:id="20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21:15-18 (Duann Direct).</w:t>
      </w:r>
    </w:p>
  </w:footnote>
  <w:footnote w:id="21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21:20-22:1 (Duann Direct).</w:t>
      </w:r>
    </w:p>
  </w:footnote>
  <w:footnote w:id="21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22:2-5 (Duann Direct).</w:t>
      </w:r>
    </w:p>
  </w:footnote>
  <w:footnote w:id="21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22:9 (Duann Direct).</w:t>
      </w:r>
    </w:p>
  </w:footnote>
  <w:footnote w:id="21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22:10-13 (Duann Direct) citing Duke Ex. 11 at 43 (Morin Direct).</w:t>
      </w:r>
    </w:p>
  </w:footnote>
  <w:footnote w:id="21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 10 at 22:13-17 (Duann Direct) citing See 2015 Ibbotson Stocks, Bonds, Bills, and Inflation (SBBI) Classic Yearbook at 91, Table 6-7.</w:t>
      </w:r>
    </w:p>
  </w:footnote>
  <w:footnote w:id="21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22:17-18 (Duann Direct).</w:t>
      </w:r>
    </w:p>
  </w:footnote>
  <w:footnote w:id="21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22:19-21 (Duann Direct).</w:t>
      </w:r>
    </w:p>
  </w:footnote>
  <w:footnote w:id="21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5 at 5:9-10 (Laub Direct).</w:t>
      </w:r>
    </w:p>
  </w:footnote>
  <w:footnote w:id="21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5 at 5:8-12 (Laub Direct).</w:t>
      </w:r>
    </w:p>
  </w:footnote>
  <w:footnote w:id="21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5 at 3:4-6 (Laub Direct).</w:t>
      </w:r>
    </w:p>
  </w:footnote>
  <w:footnote w:id="22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5 at 5:19-21 (Laub Direct).</w:t>
      </w:r>
    </w:p>
  </w:footnote>
  <w:footnote w:id="22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Duke Ex. 5 at 5:17 (Laub Direct).</w:t>
      </w:r>
    </w:p>
  </w:footnote>
  <w:footnote w:id="22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9:17-18 (Duann Direct).</w:t>
      </w:r>
    </w:p>
  </w:footnote>
  <w:footnote w:id="22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21:15-18 (Duann Direct).</w:t>
      </w:r>
    </w:p>
  </w:footnote>
  <w:footnote w:id="22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10:1-5 (Duann Direct).</w:t>
      </w:r>
    </w:p>
  </w:footnote>
  <w:footnote w:id="22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10:5-7 (Duann Direct).</w:t>
      </w:r>
    </w:p>
  </w:footnote>
  <w:footnote w:id="22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10:7-10 (Duann Direct).</w:t>
      </w:r>
    </w:p>
  </w:footnote>
  <w:footnote w:id="22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10:11-12 (Duann Direct).</w:t>
      </w:r>
    </w:p>
  </w:footnote>
  <w:footnote w:id="22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7:2-3 (Duann Direct).</w:t>
      </w:r>
    </w:p>
  </w:footnote>
  <w:footnote w:id="22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7:3-8 (Duann Direct).</w:t>
      </w:r>
    </w:p>
  </w:footnote>
  <w:footnote w:id="23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16:7-9 (Duann Direct).</w:t>
      </w:r>
    </w:p>
  </w:footnote>
  <w:footnote w:id="23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16:13-15 (Duann Direct).</w:t>
      </w:r>
    </w:p>
  </w:footnote>
  <w:footnote w:id="23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16:15-17 (Duann Direct).</w:t>
      </w:r>
    </w:p>
  </w:footnote>
  <w:footnote w:id="23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16:18-20 (Duann Direct).</w:t>
      </w:r>
    </w:p>
  </w:footnote>
  <w:footnote w:id="23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17:5-6 (Duann Direct).</w:t>
      </w:r>
    </w:p>
  </w:footnote>
  <w:footnote w:id="235">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17 (Duann Direct).</w:t>
      </w:r>
    </w:p>
  </w:footnote>
  <w:footnote w:id="236">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OCC Ex. 12 at 25:1-3 (Williams Direct).</w:t>
      </w:r>
    </w:p>
  </w:footnote>
  <w:footnote w:id="237">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17:11-13 (Duann Direct).</w:t>
      </w:r>
    </w:p>
  </w:footnote>
  <w:footnote w:id="238">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4929.02. </w:t>
      </w:r>
    </w:p>
  </w:footnote>
  <w:footnote w:id="239">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R.C. 4929.02.</w:t>
      </w:r>
    </w:p>
  </w:footnote>
  <w:footnote w:id="240">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See </w:t>
      </w:r>
      <w:r w:rsidRPr="0093493F">
        <w:rPr>
          <w:rFonts w:ascii="Times New Roman" w:hAnsi="Times New Roman" w:cs="Times New Roman"/>
          <w:i/>
        </w:rPr>
        <w:t>In the Matter of the Application for Ohio American Water Company to Increase its Rates for Water and Sewer Services to its entire Service Area</w:t>
      </w:r>
      <w:r w:rsidRPr="0093493F">
        <w:rPr>
          <w:rFonts w:ascii="Times New Roman" w:hAnsi="Times New Roman" w:cs="Times New Roman"/>
        </w:rPr>
        <w:t xml:space="preserve">, PUCO Case No. 09-391-WS-AIR, (May 5, 2010) (In this case the PUCO adopted a 7.73 percent ROR that was at the lower end of the range (7.60 percent to 8.11 percent) recommended by the PUCO Staff. This was a significant departure from the established PUCO practice that typically set the ROR at the mid-point of the range recommended by the PUCO Staff. It was clear that the PUCO was concerned with the affordability of OAW’s services and wanted to set a lower ROR to make the water services more affordable for customers. In its Opinion and Order, the PUCO specifically cited a harsh economic condition in OAW’s service area and the fact that the rate case was OAW’s fourth application for a rate increase in five years as influencing its opinion); See </w:t>
      </w:r>
      <w:r w:rsidRPr="0093493F">
        <w:rPr>
          <w:rFonts w:ascii="Times New Roman" w:hAnsi="Times New Roman" w:cs="Times New Roman"/>
          <w:i/>
        </w:rPr>
        <w:t>In the Matter of the Application of the East Ohio Gas Company d/b/a Dominion East Ohio for Authority to Increase Rates for its Gas Distribution Service</w:t>
      </w:r>
      <w:r w:rsidRPr="0093493F">
        <w:rPr>
          <w:rFonts w:ascii="Times New Roman" w:hAnsi="Times New Roman" w:cs="Times New Roman"/>
        </w:rPr>
        <w:t>, PUCO Case No. 07-829-GA-AIR et al., (October 27, 2015)</w:t>
      </w:r>
      <w:r w:rsidRPr="0093493F">
        <w:rPr>
          <w:rFonts w:ascii="Times New Roman" w:hAnsi="Times New Roman" w:cs="Times New Roman"/>
          <w:i/>
        </w:rPr>
        <w:t xml:space="preserve"> </w:t>
      </w:r>
      <w:r w:rsidRPr="0093493F">
        <w:rPr>
          <w:rFonts w:ascii="Times New Roman" w:hAnsi="Times New Roman" w:cs="Times New Roman"/>
        </w:rPr>
        <w:t xml:space="preserve">(In this case the PUCO intended to reduce a stipulated ROE by 20 basis points (from 8.49 percent to 8.29 percent). The PUCO stated that it was ordering the ROE reduction due to the deteriorating economic conditions of customers expressed at local public hearings as well as a decrease of risk assumed by Dominion East Ohio in ordering such a reduction. On rehearing, the PUCO reestablished the original ROE or 8.49 percent as it concluded that, upon review, the stipulation approved by the parties had, in fact, already incorporated a lower ROR to account for the lower risk to Dominion East Ohio.). </w:t>
      </w:r>
    </w:p>
  </w:footnote>
  <w:footnote w:id="241">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12 at 26-27 (Williams Direct).</w:t>
      </w:r>
    </w:p>
  </w:footnote>
  <w:footnote w:id="242">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w:t>
      </w:r>
      <w:r w:rsidRPr="0093493F">
        <w:rPr>
          <w:rFonts w:ascii="Times New Roman" w:hAnsi="Times New Roman" w:cs="Times New Roman"/>
          <w:i/>
        </w:rPr>
        <w:t xml:space="preserve">In the Matter of the Application of the Cincinnati Gas &amp; Electric Company for an Increase in Rates, </w:t>
      </w:r>
      <w:r w:rsidRPr="0093493F">
        <w:rPr>
          <w:rFonts w:ascii="Times New Roman" w:hAnsi="Times New Roman" w:cs="Times New Roman"/>
        </w:rPr>
        <w:t>PUCO Case No. 01-1228-GA-AIR et al., Opinion and Order at 4 and 8 (May 30, 2002).</w:t>
      </w:r>
    </w:p>
  </w:footnote>
  <w:footnote w:id="243">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19:14-17 (Duann Direct).</w:t>
      </w:r>
    </w:p>
  </w:footnote>
  <w:footnote w:id="244">
    <w:p w:rsidR="000E42BF" w:rsidRPr="0093493F" w:rsidRDefault="000E42BF" w:rsidP="0093493F">
      <w:pPr>
        <w:pStyle w:val="FootnoteText"/>
        <w:spacing w:after="120"/>
        <w:rPr>
          <w:rFonts w:ascii="Times New Roman" w:hAnsi="Times New Roman" w:cs="Times New Roman"/>
        </w:rPr>
      </w:pPr>
      <w:r w:rsidRPr="0093493F">
        <w:rPr>
          <w:rStyle w:val="FootnoteReference"/>
          <w:rFonts w:ascii="Times New Roman" w:hAnsi="Times New Roman" w:cs="Times New Roman"/>
        </w:rPr>
        <w:footnoteRef/>
      </w:r>
      <w:r w:rsidRPr="0093493F">
        <w:rPr>
          <w:rFonts w:ascii="Times New Roman" w:hAnsi="Times New Roman" w:cs="Times New Roman"/>
        </w:rPr>
        <w:t xml:space="preserve"> OCC Ex. 10 at 19-20 (Duann Direct) citing </w:t>
      </w:r>
      <w:r w:rsidRPr="0093493F">
        <w:rPr>
          <w:rFonts w:ascii="Times New Roman" w:hAnsi="Times New Roman" w:cs="Times New Roman"/>
          <w:i/>
        </w:rPr>
        <w:t xml:space="preserve">In the Matter of the Annual Application of Duke Energy Ohio for an Adjustment to Rider AMRP Rates, </w:t>
      </w:r>
      <w:r w:rsidRPr="0093493F">
        <w:rPr>
          <w:rFonts w:ascii="Times New Roman" w:hAnsi="Times New Roman" w:cs="Times New Roman"/>
        </w:rPr>
        <w:t>PUCO Case No. 10-2788-GA-RDR, Opinion and Order at 8 and 10 (May 4, 2011) (PUCO Opinion and Order allowing Duke to recover costs for allowable capital additions under AMRP passed December 31,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C" w:rsidRDefault="00A9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78943"/>
      <w:docPartObj>
        <w:docPartGallery w:val="Watermarks"/>
        <w:docPartUnique/>
      </w:docPartObj>
    </w:sdtPr>
    <w:sdtEndPr/>
    <w:sdtContent>
      <w:p w:rsidR="000E42BF" w:rsidRDefault="00112617">
        <w:pPr>
          <w:pStyle w:val="Header"/>
          <w:jc w:val="center"/>
        </w:pPr>
      </w:p>
    </w:sdtContent>
  </w:sdt>
  <w:p w:rsidR="000E42BF" w:rsidRDefault="000E4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C" w:rsidRDefault="00A96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66105"/>
      <w:docPartObj>
        <w:docPartGallery w:val="Watermarks"/>
        <w:docPartUnique/>
      </w:docPartObj>
    </w:sdtPr>
    <w:sdtEndPr/>
    <w:sdtContent>
      <w:p w:rsidR="000E42BF" w:rsidRDefault="00112617">
        <w:pPr>
          <w:pStyle w:val="Header"/>
          <w:jc w:val="center"/>
        </w:pPr>
      </w:p>
    </w:sdtContent>
  </w:sdt>
  <w:p w:rsidR="000E42BF" w:rsidRDefault="000E42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34227"/>
      <w:docPartObj>
        <w:docPartGallery w:val="Watermarks"/>
        <w:docPartUnique/>
      </w:docPartObj>
    </w:sdtPr>
    <w:sdtEndPr/>
    <w:sdtContent>
      <w:p w:rsidR="000E42BF" w:rsidRDefault="00112617">
        <w:pPr>
          <w:pStyle w:val="Header"/>
          <w:jc w:val="center"/>
        </w:pPr>
      </w:p>
    </w:sdtContent>
  </w:sdt>
  <w:p w:rsidR="000E42BF" w:rsidRDefault="000E4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A0D66"/>
    <w:lvl w:ilvl="0">
      <w:start w:val="1"/>
      <w:numFmt w:val="decimal"/>
      <w:lvlText w:val="%1."/>
      <w:lvlJc w:val="left"/>
      <w:pPr>
        <w:tabs>
          <w:tab w:val="num" w:pos="1800"/>
        </w:tabs>
        <w:ind w:left="1800" w:hanging="360"/>
      </w:pPr>
    </w:lvl>
  </w:abstractNum>
  <w:abstractNum w:abstractNumId="1">
    <w:nsid w:val="FFFFFF7D"/>
    <w:multiLevelType w:val="singleLevel"/>
    <w:tmpl w:val="392A6D10"/>
    <w:lvl w:ilvl="0">
      <w:start w:val="1"/>
      <w:numFmt w:val="decimal"/>
      <w:lvlText w:val="%1."/>
      <w:lvlJc w:val="left"/>
      <w:pPr>
        <w:tabs>
          <w:tab w:val="num" w:pos="1440"/>
        </w:tabs>
        <w:ind w:left="1440" w:hanging="360"/>
      </w:pPr>
    </w:lvl>
  </w:abstractNum>
  <w:abstractNum w:abstractNumId="2">
    <w:nsid w:val="FFFFFF7E"/>
    <w:multiLevelType w:val="singleLevel"/>
    <w:tmpl w:val="E6E231BA"/>
    <w:lvl w:ilvl="0">
      <w:start w:val="1"/>
      <w:numFmt w:val="decimal"/>
      <w:lvlText w:val="%1."/>
      <w:lvlJc w:val="left"/>
      <w:pPr>
        <w:tabs>
          <w:tab w:val="num" w:pos="1080"/>
        </w:tabs>
        <w:ind w:left="1080" w:hanging="360"/>
      </w:pPr>
    </w:lvl>
  </w:abstractNum>
  <w:abstractNum w:abstractNumId="3">
    <w:nsid w:val="FFFFFF7F"/>
    <w:multiLevelType w:val="singleLevel"/>
    <w:tmpl w:val="386C004E"/>
    <w:lvl w:ilvl="0">
      <w:start w:val="1"/>
      <w:numFmt w:val="decimal"/>
      <w:lvlText w:val="%1."/>
      <w:lvlJc w:val="left"/>
      <w:pPr>
        <w:tabs>
          <w:tab w:val="num" w:pos="720"/>
        </w:tabs>
        <w:ind w:left="720" w:hanging="360"/>
      </w:pPr>
    </w:lvl>
  </w:abstractNum>
  <w:abstractNum w:abstractNumId="4">
    <w:nsid w:val="FFFFFF80"/>
    <w:multiLevelType w:val="singleLevel"/>
    <w:tmpl w:val="712C0F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1017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2602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0623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44DACA"/>
    <w:lvl w:ilvl="0">
      <w:start w:val="1"/>
      <w:numFmt w:val="decimal"/>
      <w:lvlText w:val="%1."/>
      <w:lvlJc w:val="left"/>
      <w:pPr>
        <w:tabs>
          <w:tab w:val="num" w:pos="360"/>
        </w:tabs>
        <w:ind w:left="360" w:hanging="360"/>
      </w:pPr>
    </w:lvl>
  </w:abstractNum>
  <w:abstractNum w:abstractNumId="9">
    <w:nsid w:val="FFFFFF89"/>
    <w:multiLevelType w:val="singleLevel"/>
    <w:tmpl w:val="24F07954"/>
    <w:lvl w:ilvl="0">
      <w:start w:val="1"/>
      <w:numFmt w:val="bullet"/>
      <w:lvlText w:val=""/>
      <w:lvlJc w:val="left"/>
      <w:pPr>
        <w:tabs>
          <w:tab w:val="num" w:pos="360"/>
        </w:tabs>
        <w:ind w:left="360" w:hanging="360"/>
      </w:pPr>
      <w:rPr>
        <w:rFonts w:ascii="Symbol" w:hAnsi="Symbol" w:hint="default"/>
      </w:rPr>
    </w:lvl>
  </w:abstractNum>
  <w:abstractNum w:abstractNumId="10">
    <w:nsid w:val="05537680"/>
    <w:multiLevelType w:val="hybridMultilevel"/>
    <w:tmpl w:val="133C5960"/>
    <w:lvl w:ilvl="0" w:tplc="74BCC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CA1EE8"/>
    <w:multiLevelType w:val="hybridMultilevel"/>
    <w:tmpl w:val="B61CDBA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088F0152"/>
    <w:multiLevelType w:val="hybridMultilevel"/>
    <w:tmpl w:val="4D34413A"/>
    <w:lvl w:ilvl="0" w:tplc="D3F88C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7B7220"/>
    <w:multiLevelType w:val="hybridMultilevel"/>
    <w:tmpl w:val="DF1AA6FA"/>
    <w:lvl w:ilvl="0" w:tplc="B7723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4135B3"/>
    <w:multiLevelType w:val="hybridMultilevel"/>
    <w:tmpl w:val="BE9CD9E2"/>
    <w:lvl w:ilvl="0" w:tplc="0409001B">
      <w:start w:val="1"/>
      <w:numFmt w:val="lowerRoman"/>
      <w:lvlText w:val="%1."/>
      <w:lvlJc w:val="right"/>
      <w:pPr>
        <w:ind w:left="30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2C95773"/>
    <w:multiLevelType w:val="hybridMultilevel"/>
    <w:tmpl w:val="7E666BEA"/>
    <w:lvl w:ilvl="0" w:tplc="25AE03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67886"/>
    <w:multiLevelType w:val="hybridMultilevel"/>
    <w:tmpl w:val="F4B0A346"/>
    <w:lvl w:ilvl="0" w:tplc="63ECB7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B3784E"/>
    <w:multiLevelType w:val="hybridMultilevel"/>
    <w:tmpl w:val="34E47D4E"/>
    <w:lvl w:ilvl="0" w:tplc="3FD06DEE">
      <w:start w:val="1"/>
      <w:numFmt w:val="lowerRoman"/>
      <w:lvlText w:val="%1."/>
      <w:lvlJc w:val="right"/>
      <w:pPr>
        <w:ind w:left="2070" w:hanging="18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76F22DB"/>
    <w:multiLevelType w:val="hybridMultilevel"/>
    <w:tmpl w:val="CF0CB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482A87"/>
    <w:multiLevelType w:val="hybridMultilevel"/>
    <w:tmpl w:val="14CC27DE"/>
    <w:lvl w:ilvl="0" w:tplc="25AE0342">
      <w:start w:val="1"/>
      <w:numFmt w:val="upperRoman"/>
      <w:lvlText w:val="%1."/>
      <w:lvlJc w:val="left"/>
      <w:pPr>
        <w:ind w:left="1080" w:hanging="720"/>
      </w:pPr>
      <w:rPr>
        <w:rFonts w:hint="default"/>
      </w:rPr>
    </w:lvl>
    <w:lvl w:ilvl="1" w:tplc="63ECB720">
      <w:start w:val="1"/>
      <w:numFmt w:val="upperLetter"/>
      <w:lvlText w:val="%2."/>
      <w:lvlJc w:val="left"/>
      <w:pPr>
        <w:ind w:left="1440" w:hanging="360"/>
      </w:pPr>
      <w:rPr>
        <w:rFonts w:hint="default"/>
        <w:b/>
      </w:rPr>
    </w:lvl>
    <w:lvl w:ilvl="2" w:tplc="7C5E919A">
      <w:start w:val="1"/>
      <w:numFmt w:val="lowerRoman"/>
      <w:lvlText w:val="%3."/>
      <w:lvlJc w:val="right"/>
      <w:pPr>
        <w:ind w:left="2160" w:hanging="180"/>
      </w:pPr>
      <w:rPr>
        <w:b/>
      </w:rPr>
    </w:lvl>
    <w:lvl w:ilvl="3" w:tplc="0409000F">
      <w:start w:val="1"/>
      <w:numFmt w:val="decimal"/>
      <w:lvlText w:val="%4."/>
      <w:lvlJc w:val="left"/>
      <w:pPr>
        <w:ind w:left="315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7C66C1"/>
    <w:multiLevelType w:val="hybridMultilevel"/>
    <w:tmpl w:val="19A2AB5C"/>
    <w:lvl w:ilvl="0" w:tplc="63D68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B212E"/>
    <w:multiLevelType w:val="hybridMultilevel"/>
    <w:tmpl w:val="49243C44"/>
    <w:lvl w:ilvl="0" w:tplc="081ED1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7830C88"/>
    <w:multiLevelType w:val="hybridMultilevel"/>
    <w:tmpl w:val="133C5960"/>
    <w:lvl w:ilvl="0" w:tplc="74BCC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6512BD"/>
    <w:multiLevelType w:val="hybridMultilevel"/>
    <w:tmpl w:val="6A90ADC6"/>
    <w:lvl w:ilvl="0" w:tplc="9BEE9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D0426A"/>
    <w:multiLevelType w:val="hybridMultilevel"/>
    <w:tmpl w:val="47BA3E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2F092760"/>
    <w:multiLevelType w:val="hybridMultilevel"/>
    <w:tmpl w:val="B3681534"/>
    <w:lvl w:ilvl="0" w:tplc="5ED6B3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AC3FEE"/>
    <w:multiLevelType w:val="hybridMultilevel"/>
    <w:tmpl w:val="8C1ECFF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81261F"/>
    <w:multiLevelType w:val="hybridMultilevel"/>
    <w:tmpl w:val="749E5F22"/>
    <w:lvl w:ilvl="0" w:tplc="F59055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CB3D88"/>
    <w:multiLevelType w:val="hybridMultilevel"/>
    <w:tmpl w:val="1E563A70"/>
    <w:lvl w:ilvl="0" w:tplc="AB86C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FE7B1E"/>
    <w:multiLevelType w:val="hybridMultilevel"/>
    <w:tmpl w:val="DF8CA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AA2BE6"/>
    <w:multiLevelType w:val="hybridMultilevel"/>
    <w:tmpl w:val="DF50900E"/>
    <w:lvl w:ilvl="0" w:tplc="04090015">
      <w:start w:val="1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3C60F29"/>
    <w:multiLevelType w:val="hybridMultilevel"/>
    <w:tmpl w:val="B5F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B87CF3"/>
    <w:multiLevelType w:val="hybridMultilevel"/>
    <w:tmpl w:val="9320AA74"/>
    <w:lvl w:ilvl="0" w:tplc="AB86C578">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C37637"/>
    <w:multiLevelType w:val="hybridMultilevel"/>
    <w:tmpl w:val="A4C6F314"/>
    <w:lvl w:ilvl="0" w:tplc="3FD06DEE">
      <w:start w:val="1"/>
      <w:numFmt w:val="lowerRoman"/>
      <w:lvlText w:val="%1."/>
      <w:lvlJc w:val="right"/>
      <w:pPr>
        <w:ind w:left="1800" w:hanging="180"/>
      </w:pPr>
      <w:rPr>
        <w:b/>
      </w:rPr>
    </w:lvl>
    <w:lvl w:ilvl="1" w:tplc="F6EA1DF0">
      <w:start w:val="1"/>
      <w:numFmt w:val="lowerLetter"/>
      <w:lvlText w:val="%2."/>
      <w:lvlJc w:val="left"/>
      <w:pPr>
        <w:ind w:left="22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E69C4"/>
    <w:multiLevelType w:val="hybridMultilevel"/>
    <w:tmpl w:val="7CA6595C"/>
    <w:lvl w:ilvl="0" w:tplc="87343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E076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72F9106D"/>
    <w:multiLevelType w:val="hybridMultilevel"/>
    <w:tmpl w:val="A32651DC"/>
    <w:lvl w:ilvl="0" w:tplc="0409000F">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8E5320"/>
    <w:multiLevelType w:val="hybridMultilevel"/>
    <w:tmpl w:val="27D0B1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6254191"/>
    <w:multiLevelType w:val="hybridMultilevel"/>
    <w:tmpl w:val="61D6B1FC"/>
    <w:lvl w:ilvl="0" w:tplc="EDBCC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9145C"/>
    <w:multiLevelType w:val="hybridMultilevel"/>
    <w:tmpl w:val="F370BF66"/>
    <w:lvl w:ilvl="0" w:tplc="C22C9DFA">
      <w:start w:val="1"/>
      <w:numFmt w:val="upperLetter"/>
      <w:lvlText w:val="%1."/>
      <w:lvlJc w:val="left"/>
      <w:pPr>
        <w:ind w:left="1080" w:hanging="360"/>
      </w:pPr>
      <w:rPr>
        <w:rFonts w:hint="default"/>
      </w:rPr>
    </w:lvl>
    <w:lvl w:ilvl="1" w:tplc="04090019">
      <w:start w:val="1"/>
      <w:numFmt w:val="lowerLetter"/>
      <w:lvlText w:val="%2."/>
      <w:lvlJc w:val="left"/>
      <w:pPr>
        <w:ind w:left="1170" w:hanging="360"/>
      </w:pPr>
    </w:lvl>
    <w:lvl w:ilvl="2" w:tplc="3FD06DEE">
      <w:start w:val="1"/>
      <w:numFmt w:val="lowerRoman"/>
      <w:lvlText w:val="%3."/>
      <w:lvlJc w:val="right"/>
      <w:pPr>
        <w:ind w:left="207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7E663A"/>
    <w:multiLevelType w:val="hybridMultilevel"/>
    <w:tmpl w:val="859E6454"/>
    <w:lvl w:ilvl="0" w:tplc="79FEA96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A82A39"/>
    <w:multiLevelType w:val="hybridMultilevel"/>
    <w:tmpl w:val="25C2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0"/>
  </w:num>
  <w:num w:numId="4">
    <w:abstractNumId w:val="34"/>
  </w:num>
  <w:num w:numId="5">
    <w:abstractNumId w:val="23"/>
  </w:num>
  <w:num w:numId="6">
    <w:abstractNumId w:val="22"/>
  </w:num>
  <w:num w:numId="7">
    <w:abstractNumId w:val="39"/>
  </w:num>
  <w:num w:numId="8">
    <w:abstractNumId w:val="12"/>
  </w:num>
  <w:num w:numId="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num>
  <w:num w:numId="12">
    <w:abstractNumId w:val="19"/>
  </w:num>
  <w:num w:numId="13">
    <w:abstractNumId w:val="10"/>
  </w:num>
  <w:num w:numId="14">
    <w:abstractNumId w:val="41"/>
  </w:num>
  <w:num w:numId="15">
    <w:abstractNumId w:val="38"/>
  </w:num>
  <w:num w:numId="16">
    <w:abstractNumId w:val="20"/>
  </w:num>
  <w:num w:numId="17">
    <w:abstractNumId w:val="27"/>
  </w:num>
  <w:num w:numId="18">
    <w:abstractNumId w:val="21"/>
  </w:num>
  <w:num w:numId="19">
    <w:abstractNumId w:val="28"/>
  </w:num>
  <w:num w:numId="20">
    <w:abstractNumId w:val="30"/>
  </w:num>
  <w:num w:numId="21">
    <w:abstractNumId w:val="32"/>
  </w:num>
  <w:num w:numId="22">
    <w:abstractNumId w:val="35"/>
  </w:num>
  <w:num w:numId="23">
    <w:abstractNumId w:val="14"/>
  </w:num>
  <w:num w:numId="24">
    <w:abstractNumId w:val="26"/>
  </w:num>
  <w:num w:numId="25">
    <w:abstractNumId w:val="36"/>
  </w:num>
  <w:num w:numId="26">
    <w:abstractNumId w:val="31"/>
  </w:num>
  <w:num w:numId="27">
    <w:abstractNumId w:val="29"/>
  </w:num>
  <w:num w:numId="28">
    <w:abstractNumId w:val="24"/>
  </w:num>
  <w:num w:numId="29">
    <w:abstractNumId w:val="18"/>
  </w:num>
  <w:num w:numId="30">
    <w:abstractNumId w:val="11"/>
  </w:num>
  <w:num w:numId="31">
    <w:abstractNumId w:val="37"/>
  </w:num>
  <w:num w:numId="32">
    <w:abstractNumId w:val="17"/>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DE"/>
    <w:rsid w:val="000042DA"/>
    <w:rsid w:val="000077C7"/>
    <w:rsid w:val="000160C4"/>
    <w:rsid w:val="00020424"/>
    <w:rsid w:val="000221C3"/>
    <w:rsid w:val="00025019"/>
    <w:rsid w:val="00031795"/>
    <w:rsid w:val="00033487"/>
    <w:rsid w:val="00034F38"/>
    <w:rsid w:val="00035C59"/>
    <w:rsid w:val="000376BC"/>
    <w:rsid w:val="00040C5A"/>
    <w:rsid w:val="00040DBF"/>
    <w:rsid w:val="00044B07"/>
    <w:rsid w:val="00047AC4"/>
    <w:rsid w:val="0005066D"/>
    <w:rsid w:val="000540BF"/>
    <w:rsid w:val="00057AAB"/>
    <w:rsid w:val="00064142"/>
    <w:rsid w:val="00065103"/>
    <w:rsid w:val="00065C7C"/>
    <w:rsid w:val="00067957"/>
    <w:rsid w:val="000741A1"/>
    <w:rsid w:val="0007555C"/>
    <w:rsid w:val="0007627C"/>
    <w:rsid w:val="00077193"/>
    <w:rsid w:val="00080A36"/>
    <w:rsid w:val="0008193B"/>
    <w:rsid w:val="00082AE5"/>
    <w:rsid w:val="00087A7D"/>
    <w:rsid w:val="000913C3"/>
    <w:rsid w:val="000A18BB"/>
    <w:rsid w:val="000A7B64"/>
    <w:rsid w:val="000B0298"/>
    <w:rsid w:val="000B13C8"/>
    <w:rsid w:val="000B20AA"/>
    <w:rsid w:val="000B2777"/>
    <w:rsid w:val="000B3E10"/>
    <w:rsid w:val="000B586E"/>
    <w:rsid w:val="000C0F30"/>
    <w:rsid w:val="000D36FE"/>
    <w:rsid w:val="000D46B2"/>
    <w:rsid w:val="000D555D"/>
    <w:rsid w:val="000D6C97"/>
    <w:rsid w:val="000E0C32"/>
    <w:rsid w:val="000E42BF"/>
    <w:rsid w:val="000E58A2"/>
    <w:rsid w:val="000E712F"/>
    <w:rsid w:val="000E788B"/>
    <w:rsid w:val="000F6ACC"/>
    <w:rsid w:val="00100C5E"/>
    <w:rsid w:val="00112617"/>
    <w:rsid w:val="00113663"/>
    <w:rsid w:val="00115698"/>
    <w:rsid w:val="00117A6A"/>
    <w:rsid w:val="00121029"/>
    <w:rsid w:val="00130B24"/>
    <w:rsid w:val="001333C7"/>
    <w:rsid w:val="00135F2E"/>
    <w:rsid w:val="00137438"/>
    <w:rsid w:val="00141AF3"/>
    <w:rsid w:val="0015130F"/>
    <w:rsid w:val="0015184A"/>
    <w:rsid w:val="001544C2"/>
    <w:rsid w:val="00156B50"/>
    <w:rsid w:val="001656EE"/>
    <w:rsid w:val="00165716"/>
    <w:rsid w:val="00167B23"/>
    <w:rsid w:val="001709DF"/>
    <w:rsid w:val="00170F6A"/>
    <w:rsid w:val="00174E67"/>
    <w:rsid w:val="001761FA"/>
    <w:rsid w:val="00182763"/>
    <w:rsid w:val="00182D8C"/>
    <w:rsid w:val="0018517A"/>
    <w:rsid w:val="001862F1"/>
    <w:rsid w:val="001914CF"/>
    <w:rsid w:val="00191795"/>
    <w:rsid w:val="0019307D"/>
    <w:rsid w:val="00193ED3"/>
    <w:rsid w:val="00196F9E"/>
    <w:rsid w:val="001A0234"/>
    <w:rsid w:val="001A0EB5"/>
    <w:rsid w:val="001A31FC"/>
    <w:rsid w:val="001B06F2"/>
    <w:rsid w:val="001B0F16"/>
    <w:rsid w:val="001B4D82"/>
    <w:rsid w:val="001B565A"/>
    <w:rsid w:val="001C5021"/>
    <w:rsid w:val="001C5A14"/>
    <w:rsid w:val="001C6843"/>
    <w:rsid w:val="001C7A83"/>
    <w:rsid w:val="001D5CA1"/>
    <w:rsid w:val="001E257E"/>
    <w:rsid w:val="001F2D7F"/>
    <w:rsid w:val="001F45EF"/>
    <w:rsid w:val="001F53E8"/>
    <w:rsid w:val="00203C4B"/>
    <w:rsid w:val="002070A4"/>
    <w:rsid w:val="002123C9"/>
    <w:rsid w:val="002150A1"/>
    <w:rsid w:val="002167AF"/>
    <w:rsid w:val="002200B8"/>
    <w:rsid w:val="0022081D"/>
    <w:rsid w:val="00222B42"/>
    <w:rsid w:val="002237BA"/>
    <w:rsid w:val="00233387"/>
    <w:rsid w:val="002347E7"/>
    <w:rsid w:val="00241B85"/>
    <w:rsid w:val="002442FF"/>
    <w:rsid w:val="00247369"/>
    <w:rsid w:val="002505C9"/>
    <w:rsid w:val="00251BAF"/>
    <w:rsid w:val="002558EF"/>
    <w:rsid w:val="00257D16"/>
    <w:rsid w:val="00263B1E"/>
    <w:rsid w:val="00265D67"/>
    <w:rsid w:val="002669A4"/>
    <w:rsid w:val="00272303"/>
    <w:rsid w:val="002724BB"/>
    <w:rsid w:val="00274B73"/>
    <w:rsid w:val="00280944"/>
    <w:rsid w:val="002834AE"/>
    <w:rsid w:val="0028403A"/>
    <w:rsid w:val="0028745B"/>
    <w:rsid w:val="00290645"/>
    <w:rsid w:val="00291A70"/>
    <w:rsid w:val="002A1456"/>
    <w:rsid w:val="002A75B4"/>
    <w:rsid w:val="002B07AC"/>
    <w:rsid w:val="002B55EB"/>
    <w:rsid w:val="002B6236"/>
    <w:rsid w:val="002B7711"/>
    <w:rsid w:val="002C05CF"/>
    <w:rsid w:val="002C2819"/>
    <w:rsid w:val="002C49DF"/>
    <w:rsid w:val="002C5B6C"/>
    <w:rsid w:val="002D056D"/>
    <w:rsid w:val="002D069F"/>
    <w:rsid w:val="002D41E2"/>
    <w:rsid w:val="002D7A3F"/>
    <w:rsid w:val="002D7A6C"/>
    <w:rsid w:val="002D7E5A"/>
    <w:rsid w:val="002E1010"/>
    <w:rsid w:val="002E3A02"/>
    <w:rsid w:val="002E5025"/>
    <w:rsid w:val="002E5866"/>
    <w:rsid w:val="002F1C6E"/>
    <w:rsid w:val="002F3AAA"/>
    <w:rsid w:val="002F3B23"/>
    <w:rsid w:val="002F52EB"/>
    <w:rsid w:val="003077C3"/>
    <w:rsid w:val="00310E79"/>
    <w:rsid w:val="00311334"/>
    <w:rsid w:val="00315DB3"/>
    <w:rsid w:val="00320476"/>
    <w:rsid w:val="00321C5A"/>
    <w:rsid w:val="003304F5"/>
    <w:rsid w:val="0033165E"/>
    <w:rsid w:val="00331CAA"/>
    <w:rsid w:val="00332CD5"/>
    <w:rsid w:val="003363A3"/>
    <w:rsid w:val="003407BA"/>
    <w:rsid w:val="00340F1D"/>
    <w:rsid w:val="00345EFF"/>
    <w:rsid w:val="00346481"/>
    <w:rsid w:val="00346F30"/>
    <w:rsid w:val="00347461"/>
    <w:rsid w:val="003510A4"/>
    <w:rsid w:val="00353804"/>
    <w:rsid w:val="003549B8"/>
    <w:rsid w:val="00355015"/>
    <w:rsid w:val="0035759C"/>
    <w:rsid w:val="00363047"/>
    <w:rsid w:val="003669FE"/>
    <w:rsid w:val="00375D61"/>
    <w:rsid w:val="00377E63"/>
    <w:rsid w:val="003802ED"/>
    <w:rsid w:val="00382FDD"/>
    <w:rsid w:val="00385063"/>
    <w:rsid w:val="003851A6"/>
    <w:rsid w:val="00391FC5"/>
    <w:rsid w:val="00392231"/>
    <w:rsid w:val="00395846"/>
    <w:rsid w:val="003A0CF2"/>
    <w:rsid w:val="003A2455"/>
    <w:rsid w:val="003A2CDF"/>
    <w:rsid w:val="003A3D68"/>
    <w:rsid w:val="003A47BD"/>
    <w:rsid w:val="003A5649"/>
    <w:rsid w:val="003A73A4"/>
    <w:rsid w:val="003A7E06"/>
    <w:rsid w:val="003B2BE2"/>
    <w:rsid w:val="003B5F28"/>
    <w:rsid w:val="003C084E"/>
    <w:rsid w:val="003C10E1"/>
    <w:rsid w:val="003C34D2"/>
    <w:rsid w:val="003C603D"/>
    <w:rsid w:val="003D0559"/>
    <w:rsid w:val="003D0658"/>
    <w:rsid w:val="003D18BE"/>
    <w:rsid w:val="003D3AC6"/>
    <w:rsid w:val="003D440B"/>
    <w:rsid w:val="003D4464"/>
    <w:rsid w:val="003E09A9"/>
    <w:rsid w:val="003E18FD"/>
    <w:rsid w:val="003E1CB4"/>
    <w:rsid w:val="003E75D4"/>
    <w:rsid w:val="003F0C2A"/>
    <w:rsid w:val="003F6FB7"/>
    <w:rsid w:val="00403BEA"/>
    <w:rsid w:val="00405C86"/>
    <w:rsid w:val="00406171"/>
    <w:rsid w:val="0041005B"/>
    <w:rsid w:val="00412C22"/>
    <w:rsid w:val="00415C8E"/>
    <w:rsid w:val="00417FF4"/>
    <w:rsid w:val="00421164"/>
    <w:rsid w:val="004226C9"/>
    <w:rsid w:val="00424515"/>
    <w:rsid w:val="00425ADA"/>
    <w:rsid w:val="004360D9"/>
    <w:rsid w:val="0044140D"/>
    <w:rsid w:val="00442763"/>
    <w:rsid w:val="0044406C"/>
    <w:rsid w:val="00444417"/>
    <w:rsid w:val="00444C96"/>
    <w:rsid w:val="00444FB9"/>
    <w:rsid w:val="00445276"/>
    <w:rsid w:val="00450754"/>
    <w:rsid w:val="00460B07"/>
    <w:rsid w:val="00460DEB"/>
    <w:rsid w:val="00461548"/>
    <w:rsid w:val="00466122"/>
    <w:rsid w:val="00467AD2"/>
    <w:rsid w:val="00471BCB"/>
    <w:rsid w:val="00472759"/>
    <w:rsid w:val="004748C0"/>
    <w:rsid w:val="0047591F"/>
    <w:rsid w:val="00476337"/>
    <w:rsid w:val="004822CC"/>
    <w:rsid w:val="004828E8"/>
    <w:rsid w:val="00482C4A"/>
    <w:rsid w:val="00484C3B"/>
    <w:rsid w:val="00485CA3"/>
    <w:rsid w:val="00487405"/>
    <w:rsid w:val="00490ABB"/>
    <w:rsid w:val="004924CD"/>
    <w:rsid w:val="00492620"/>
    <w:rsid w:val="00496798"/>
    <w:rsid w:val="00497054"/>
    <w:rsid w:val="004A5DEE"/>
    <w:rsid w:val="004B0B2C"/>
    <w:rsid w:val="004B15C6"/>
    <w:rsid w:val="004B4026"/>
    <w:rsid w:val="004B452A"/>
    <w:rsid w:val="004B5291"/>
    <w:rsid w:val="004C4379"/>
    <w:rsid w:val="004D1064"/>
    <w:rsid w:val="004D20A0"/>
    <w:rsid w:val="004D21DA"/>
    <w:rsid w:val="004D67E6"/>
    <w:rsid w:val="004E1C4E"/>
    <w:rsid w:val="004E7336"/>
    <w:rsid w:val="004F26BE"/>
    <w:rsid w:val="004F55C3"/>
    <w:rsid w:val="004F5C7A"/>
    <w:rsid w:val="00502113"/>
    <w:rsid w:val="00506264"/>
    <w:rsid w:val="0050633D"/>
    <w:rsid w:val="005112FC"/>
    <w:rsid w:val="00511627"/>
    <w:rsid w:val="005131EE"/>
    <w:rsid w:val="00517160"/>
    <w:rsid w:val="0051728C"/>
    <w:rsid w:val="00517AE7"/>
    <w:rsid w:val="00520B4F"/>
    <w:rsid w:val="005240BE"/>
    <w:rsid w:val="00534036"/>
    <w:rsid w:val="00534159"/>
    <w:rsid w:val="005358F5"/>
    <w:rsid w:val="00536387"/>
    <w:rsid w:val="0054199A"/>
    <w:rsid w:val="00545070"/>
    <w:rsid w:val="00550E71"/>
    <w:rsid w:val="00554C97"/>
    <w:rsid w:val="005557B7"/>
    <w:rsid w:val="00557323"/>
    <w:rsid w:val="00562B20"/>
    <w:rsid w:val="00562D19"/>
    <w:rsid w:val="005634B1"/>
    <w:rsid w:val="005651F1"/>
    <w:rsid w:val="005709FD"/>
    <w:rsid w:val="00573C11"/>
    <w:rsid w:val="00573D68"/>
    <w:rsid w:val="0057513A"/>
    <w:rsid w:val="005766B2"/>
    <w:rsid w:val="00580680"/>
    <w:rsid w:val="00583EC3"/>
    <w:rsid w:val="00587B81"/>
    <w:rsid w:val="00595492"/>
    <w:rsid w:val="00596B48"/>
    <w:rsid w:val="005A4B43"/>
    <w:rsid w:val="005A79FE"/>
    <w:rsid w:val="005B4553"/>
    <w:rsid w:val="005B5A53"/>
    <w:rsid w:val="005B71E7"/>
    <w:rsid w:val="005C0214"/>
    <w:rsid w:val="005C14C1"/>
    <w:rsid w:val="005C2541"/>
    <w:rsid w:val="005D2C7F"/>
    <w:rsid w:val="005E67BE"/>
    <w:rsid w:val="005F036B"/>
    <w:rsid w:val="005F4386"/>
    <w:rsid w:val="006012CC"/>
    <w:rsid w:val="00601CDE"/>
    <w:rsid w:val="00602469"/>
    <w:rsid w:val="00602C71"/>
    <w:rsid w:val="00603478"/>
    <w:rsid w:val="00603E74"/>
    <w:rsid w:val="00613E02"/>
    <w:rsid w:val="00614066"/>
    <w:rsid w:val="00623F4E"/>
    <w:rsid w:val="00623F67"/>
    <w:rsid w:val="0062456A"/>
    <w:rsid w:val="00624BF2"/>
    <w:rsid w:val="00625831"/>
    <w:rsid w:val="006277E5"/>
    <w:rsid w:val="00630D94"/>
    <w:rsid w:val="006337F5"/>
    <w:rsid w:val="00637EFB"/>
    <w:rsid w:val="00640DF4"/>
    <w:rsid w:val="0064671D"/>
    <w:rsid w:val="00647045"/>
    <w:rsid w:val="00647D4F"/>
    <w:rsid w:val="00651B52"/>
    <w:rsid w:val="00651DDE"/>
    <w:rsid w:val="00653BBC"/>
    <w:rsid w:val="006546E0"/>
    <w:rsid w:val="00657EFA"/>
    <w:rsid w:val="00663644"/>
    <w:rsid w:val="00664853"/>
    <w:rsid w:val="00671DC9"/>
    <w:rsid w:val="0067527B"/>
    <w:rsid w:val="00675D2E"/>
    <w:rsid w:val="00682889"/>
    <w:rsid w:val="00684375"/>
    <w:rsid w:val="00684DF6"/>
    <w:rsid w:val="006902A0"/>
    <w:rsid w:val="00692D84"/>
    <w:rsid w:val="006937BB"/>
    <w:rsid w:val="00695387"/>
    <w:rsid w:val="00696D1C"/>
    <w:rsid w:val="006A32F0"/>
    <w:rsid w:val="006A422C"/>
    <w:rsid w:val="006A6436"/>
    <w:rsid w:val="006A708E"/>
    <w:rsid w:val="006B0E0A"/>
    <w:rsid w:val="006B19E3"/>
    <w:rsid w:val="006B472B"/>
    <w:rsid w:val="006C2108"/>
    <w:rsid w:val="006C4476"/>
    <w:rsid w:val="006C5511"/>
    <w:rsid w:val="006C7FB8"/>
    <w:rsid w:val="006E495D"/>
    <w:rsid w:val="006F411F"/>
    <w:rsid w:val="006F4461"/>
    <w:rsid w:val="00700696"/>
    <w:rsid w:val="007043D7"/>
    <w:rsid w:val="00705C3F"/>
    <w:rsid w:val="007106BE"/>
    <w:rsid w:val="007159D5"/>
    <w:rsid w:val="0071707E"/>
    <w:rsid w:val="00722269"/>
    <w:rsid w:val="00722F48"/>
    <w:rsid w:val="00724B7C"/>
    <w:rsid w:val="00730DD2"/>
    <w:rsid w:val="007319F8"/>
    <w:rsid w:val="00740694"/>
    <w:rsid w:val="007408CE"/>
    <w:rsid w:val="00741E0D"/>
    <w:rsid w:val="007508F3"/>
    <w:rsid w:val="00750D0A"/>
    <w:rsid w:val="00752D3D"/>
    <w:rsid w:val="0075314F"/>
    <w:rsid w:val="007535C1"/>
    <w:rsid w:val="00754432"/>
    <w:rsid w:val="00754613"/>
    <w:rsid w:val="007666EE"/>
    <w:rsid w:val="00766F28"/>
    <w:rsid w:val="00772028"/>
    <w:rsid w:val="00773AB4"/>
    <w:rsid w:val="007744E4"/>
    <w:rsid w:val="00776861"/>
    <w:rsid w:val="00780BEA"/>
    <w:rsid w:val="00784836"/>
    <w:rsid w:val="00786DDC"/>
    <w:rsid w:val="00787629"/>
    <w:rsid w:val="00791EC5"/>
    <w:rsid w:val="007A6DF7"/>
    <w:rsid w:val="007A7EB3"/>
    <w:rsid w:val="007B774C"/>
    <w:rsid w:val="007B7E82"/>
    <w:rsid w:val="007C3141"/>
    <w:rsid w:val="007C330C"/>
    <w:rsid w:val="007D42CB"/>
    <w:rsid w:val="007D655B"/>
    <w:rsid w:val="007E0EDF"/>
    <w:rsid w:val="007E236F"/>
    <w:rsid w:val="007E66CF"/>
    <w:rsid w:val="007F2A05"/>
    <w:rsid w:val="007F6574"/>
    <w:rsid w:val="008015E1"/>
    <w:rsid w:val="00801A2A"/>
    <w:rsid w:val="00803C00"/>
    <w:rsid w:val="00806A15"/>
    <w:rsid w:val="00811AC7"/>
    <w:rsid w:val="00811ACE"/>
    <w:rsid w:val="00812926"/>
    <w:rsid w:val="00813AC5"/>
    <w:rsid w:val="00821187"/>
    <w:rsid w:val="00823100"/>
    <w:rsid w:val="00834A99"/>
    <w:rsid w:val="00835881"/>
    <w:rsid w:val="008408B7"/>
    <w:rsid w:val="008410B1"/>
    <w:rsid w:val="008443FD"/>
    <w:rsid w:val="008504A8"/>
    <w:rsid w:val="008505E4"/>
    <w:rsid w:val="00850CC5"/>
    <w:rsid w:val="00854830"/>
    <w:rsid w:val="008576FC"/>
    <w:rsid w:val="0086111E"/>
    <w:rsid w:val="008640ED"/>
    <w:rsid w:val="00875971"/>
    <w:rsid w:val="00881A1A"/>
    <w:rsid w:val="008827E1"/>
    <w:rsid w:val="0088715E"/>
    <w:rsid w:val="008875AA"/>
    <w:rsid w:val="0088785F"/>
    <w:rsid w:val="00891A88"/>
    <w:rsid w:val="00895433"/>
    <w:rsid w:val="008A287F"/>
    <w:rsid w:val="008A3224"/>
    <w:rsid w:val="008A5F21"/>
    <w:rsid w:val="008A6A10"/>
    <w:rsid w:val="008A7037"/>
    <w:rsid w:val="008B196A"/>
    <w:rsid w:val="008C0894"/>
    <w:rsid w:val="008C12D1"/>
    <w:rsid w:val="008C3311"/>
    <w:rsid w:val="008C7355"/>
    <w:rsid w:val="008C7D01"/>
    <w:rsid w:val="008D1B64"/>
    <w:rsid w:val="008D67F4"/>
    <w:rsid w:val="008D6DC1"/>
    <w:rsid w:val="008E22AF"/>
    <w:rsid w:val="008E720A"/>
    <w:rsid w:val="008F00F0"/>
    <w:rsid w:val="008F2171"/>
    <w:rsid w:val="008F5FC1"/>
    <w:rsid w:val="00902899"/>
    <w:rsid w:val="0090312D"/>
    <w:rsid w:val="009066BD"/>
    <w:rsid w:val="00907698"/>
    <w:rsid w:val="00910201"/>
    <w:rsid w:val="00910B0A"/>
    <w:rsid w:val="00910DBD"/>
    <w:rsid w:val="00913E27"/>
    <w:rsid w:val="00914CE0"/>
    <w:rsid w:val="009179CA"/>
    <w:rsid w:val="00920691"/>
    <w:rsid w:val="00922978"/>
    <w:rsid w:val="00925536"/>
    <w:rsid w:val="0092637A"/>
    <w:rsid w:val="009268CF"/>
    <w:rsid w:val="00927D0A"/>
    <w:rsid w:val="0093255E"/>
    <w:rsid w:val="00932C04"/>
    <w:rsid w:val="0093362C"/>
    <w:rsid w:val="00933DEB"/>
    <w:rsid w:val="0093493F"/>
    <w:rsid w:val="00940432"/>
    <w:rsid w:val="009419D7"/>
    <w:rsid w:val="009420EC"/>
    <w:rsid w:val="009502EB"/>
    <w:rsid w:val="00954348"/>
    <w:rsid w:val="00955926"/>
    <w:rsid w:val="009572A6"/>
    <w:rsid w:val="009645F3"/>
    <w:rsid w:val="00971086"/>
    <w:rsid w:val="009714D9"/>
    <w:rsid w:val="0097205C"/>
    <w:rsid w:val="00975B12"/>
    <w:rsid w:val="009809F1"/>
    <w:rsid w:val="00981304"/>
    <w:rsid w:val="00983D95"/>
    <w:rsid w:val="00983DFF"/>
    <w:rsid w:val="009866C5"/>
    <w:rsid w:val="00986764"/>
    <w:rsid w:val="009903B1"/>
    <w:rsid w:val="00990C08"/>
    <w:rsid w:val="00991A17"/>
    <w:rsid w:val="009929CA"/>
    <w:rsid w:val="00997B6C"/>
    <w:rsid w:val="009A060B"/>
    <w:rsid w:val="009A69DA"/>
    <w:rsid w:val="009A7294"/>
    <w:rsid w:val="009B1B2C"/>
    <w:rsid w:val="009B28B7"/>
    <w:rsid w:val="009B2F8B"/>
    <w:rsid w:val="009B549A"/>
    <w:rsid w:val="009B7490"/>
    <w:rsid w:val="009C0A19"/>
    <w:rsid w:val="009C1D76"/>
    <w:rsid w:val="009C25F3"/>
    <w:rsid w:val="009C3537"/>
    <w:rsid w:val="009C4072"/>
    <w:rsid w:val="009C4AE9"/>
    <w:rsid w:val="009C70FC"/>
    <w:rsid w:val="009D5382"/>
    <w:rsid w:val="009E24CE"/>
    <w:rsid w:val="009E3FD4"/>
    <w:rsid w:val="009E7D29"/>
    <w:rsid w:val="009F30AC"/>
    <w:rsid w:val="009F673B"/>
    <w:rsid w:val="00A02D17"/>
    <w:rsid w:val="00A05101"/>
    <w:rsid w:val="00A133D7"/>
    <w:rsid w:val="00A1341D"/>
    <w:rsid w:val="00A17C59"/>
    <w:rsid w:val="00A20C61"/>
    <w:rsid w:val="00A22F9B"/>
    <w:rsid w:val="00A23D03"/>
    <w:rsid w:val="00A25C89"/>
    <w:rsid w:val="00A302EF"/>
    <w:rsid w:val="00A322FF"/>
    <w:rsid w:val="00A32E08"/>
    <w:rsid w:val="00A334EF"/>
    <w:rsid w:val="00A34BF3"/>
    <w:rsid w:val="00A3708E"/>
    <w:rsid w:val="00A41626"/>
    <w:rsid w:val="00A46B0F"/>
    <w:rsid w:val="00A46D60"/>
    <w:rsid w:val="00A50C39"/>
    <w:rsid w:val="00A53312"/>
    <w:rsid w:val="00A56C78"/>
    <w:rsid w:val="00A6213A"/>
    <w:rsid w:val="00A62460"/>
    <w:rsid w:val="00A6371B"/>
    <w:rsid w:val="00A6454F"/>
    <w:rsid w:val="00A64BAB"/>
    <w:rsid w:val="00A64CB5"/>
    <w:rsid w:val="00A65CA9"/>
    <w:rsid w:val="00A7038F"/>
    <w:rsid w:val="00A7293A"/>
    <w:rsid w:val="00A74120"/>
    <w:rsid w:val="00A766E4"/>
    <w:rsid w:val="00A77061"/>
    <w:rsid w:val="00A847AC"/>
    <w:rsid w:val="00A8652B"/>
    <w:rsid w:val="00A9144D"/>
    <w:rsid w:val="00A943A1"/>
    <w:rsid w:val="00A95CD0"/>
    <w:rsid w:val="00A969CC"/>
    <w:rsid w:val="00AA7839"/>
    <w:rsid w:val="00AB095A"/>
    <w:rsid w:val="00AB6F79"/>
    <w:rsid w:val="00AD04E3"/>
    <w:rsid w:val="00AD0A35"/>
    <w:rsid w:val="00AD0D69"/>
    <w:rsid w:val="00AD3EA5"/>
    <w:rsid w:val="00AD5F59"/>
    <w:rsid w:val="00AE1CB2"/>
    <w:rsid w:val="00AE451B"/>
    <w:rsid w:val="00AE4708"/>
    <w:rsid w:val="00AE5CF8"/>
    <w:rsid w:val="00AF0B78"/>
    <w:rsid w:val="00AF19B4"/>
    <w:rsid w:val="00AF2FF1"/>
    <w:rsid w:val="00AF37A1"/>
    <w:rsid w:val="00AF55D3"/>
    <w:rsid w:val="00B00F33"/>
    <w:rsid w:val="00B0359F"/>
    <w:rsid w:val="00B107AE"/>
    <w:rsid w:val="00B148EA"/>
    <w:rsid w:val="00B20141"/>
    <w:rsid w:val="00B20437"/>
    <w:rsid w:val="00B20D28"/>
    <w:rsid w:val="00B4300E"/>
    <w:rsid w:val="00B4493C"/>
    <w:rsid w:val="00B46047"/>
    <w:rsid w:val="00B520C8"/>
    <w:rsid w:val="00B52D36"/>
    <w:rsid w:val="00B5551B"/>
    <w:rsid w:val="00B5577D"/>
    <w:rsid w:val="00B56C8D"/>
    <w:rsid w:val="00B65F3B"/>
    <w:rsid w:val="00B723E0"/>
    <w:rsid w:val="00B743DD"/>
    <w:rsid w:val="00B76083"/>
    <w:rsid w:val="00B81CAE"/>
    <w:rsid w:val="00B83341"/>
    <w:rsid w:val="00B84629"/>
    <w:rsid w:val="00B91379"/>
    <w:rsid w:val="00B915BA"/>
    <w:rsid w:val="00B9391C"/>
    <w:rsid w:val="00B9421D"/>
    <w:rsid w:val="00BA2403"/>
    <w:rsid w:val="00BA3374"/>
    <w:rsid w:val="00BA3709"/>
    <w:rsid w:val="00BA51E0"/>
    <w:rsid w:val="00BB00AE"/>
    <w:rsid w:val="00BB21B3"/>
    <w:rsid w:val="00BB2899"/>
    <w:rsid w:val="00BC3917"/>
    <w:rsid w:val="00BC3F3D"/>
    <w:rsid w:val="00BD001C"/>
    <w:rsid w:val="00BD069B"/>
    <w:rsid w:val="00BD0731"/>
    <w:rsid w:val="00BD168E"/>
    <w:rsid w:val="00BD2F64"/>
    <w:rsid w:val="00BD4D0E"/>
    <w:rsid w:val="00BD7323"/>
    <w:rsid w:val="00BD7FEF"/>
    <w:rsid w:val="00BF3058"/>
    <w:rsid w:val="00BF38A7"/>
    <w:rsid w:val="00BF76FB"/>
    <w:rsid w:val="00C036A3"/>
    <w:rsid w:val="00C040D3"/>
    <w:rsid w:val="00C13073"/>
    <w:rsid w:val="00C1413C"/>
    <w:rsid w:val="00C154F4"/>
    <w:rsid w:val="00C17894"/>
    <w:rsid w:val="00C22FB6"/>
    <w:rsid w:val="00C2305C"/>
    <w:rsid w:val="00C26A3A"/>
    <w:rsid w:val="00C2782E"/>
    <w:rsid w:val="00C34D5B"/>
    <w:rsid w:val="00C35B65"/>
    <w:rsid w:val="00C37C52"/>
    <w:rsid w:val="00C41634"/>
    <w:rsid w:val="00C452C1"/>
    <w:rsid w:val="00C45E6C"/>
    <w:rsid w:val="00C503CC"/>
    <w:rsid w:val="00C542DD"/>
    <w:rsid w:val="00C54CF1"/>
    <w:rsid w:val="00C6034D"/>
    <w:rsid w:val="00C6174D"/>
    <w:rsid w:val="00C65BD9"/>
    <w:rsid w:val="00C701E3"/>
    <w:rsid w:val="00C815F9"/>
    <w:rsid w:val="00C86B04"/>
    <w:rsid w:val="00C87418"/>
    <w:rsid w:val="00C87D65"/>
    <w:rsid w:val="00C91916"/>
    <w:rsid w:val="00C925F9"/>
    <w:rsid w:val="00C93785"/>
    <w:rsid w:val="00C9434E"/>
    <w:rsid w:val="00C97DEA"/>
    <w:rsid w:val="00CA6F08"/>
    <w:rsid w:val="00CB16B0"/>
    <w:rsid w:val="00CB24FF"/>
    <w:rsid w:val="00CB385D"/>
    <w:rsid w:val="00CB40D8"/>
    <w:rsid w:val="00CB6F3D"/>
    <w:rsid w:val="00CB7EBC"/>
    <w:rsid w:val="00CC30D0"/>
    <w:rsid w:val="00CC39FA"/>
    <w:rsid w:val="00CC7451"/>
    <w:rsid w:val="00CD17D7"/>
    <w:rsid w:val="00CD3A88"/>
    <w:rsid w:val="00CD6684"/>
    <w:rsid w:val="00CD7523"/>
    <w:rsid w:val="00CE47E0"/>
    <w:rsid w:val="00CE71C4"/>
    <w:rsid w:val="00CF2B16"/>
    <w:rsid w:val="00CF30E1"/>
    <w:rsid w:val="00CF4043"/>
    <w:rsid w:val="00CF704D"/>
    <w:rsid w:val="00D02477"/>
    <w:rsid w:val="00D02CF1"/>
    <w:rsid w:val="00D0472B"/>
    <w:rsid w:val="00D070C6"/>
    <w:rsid w:val="00D07B78"/>
    <w:rsid w:val="00D12E71"/>
    <w:rsid w:val="00D2066F"/>
    <w:rsid w:val="00D22641"/>
    <w:rsid w:val="00D22FCD"/>
    <w:rsid w:val="00D25BDB"/>
    <w:rsid w:val="00D327C4"/>
    <w:rsid w:val="00D346C0"/>
    <w:rsid w:val="00D435C9"/>
    <w:rsid w:val="00D44B10"/>
    <w:rsid w:val="00D45095"/>
    <w:rsid w:val="00D4513A"/>
    <w:rsid w:val="00D455A6"/>
    <w:rsid w:val="00D45F9B"/>
    <w:rsid w:val="00D47D12"/>
    <w:rsid w:val="00D50BD7"/>
    <w:rsid w:val="00D5548D"/>
    <w:rsid w:val="00D6152F"/>
    <w:rsid w:val="00D6685C"/>
    <w:rsid w:val="00D66C21"/>
    <w:rsid w:val="00D672D5"/>
    <w:rsid w:val="00D67CD7"/>
    <w:rsid w:val="00D70256"/>
    <w:rsid w:val="00D72BBD"/>
    <w:rsid w:val="00D72BD6"/>
    <w:rsid w:val="00D74FEF"/>
    <w:rsid w:val="00D82905"/>
    <w:rsid w:val="00D84B18"/>
    <w:rsid w:val="00D86AF7"/>
    <w:rsid w:val="00D87DAD"/>
    <w:rsid w:val="00D912F3"/>
    <w:rsid w:val="00D93256"/>
    <w:rsid w:val="00D935D2"/>
    <w:rsid w:val="00D96DDF"/>
    <w:rsid w:val="00DA0639"/>
    <w:rsid w:val="00DA4EFC"/>
    <w:rsid w:val="00DA5E28"/>
    <w:rsid w:val="00DA74E4"/>
    <w:rsid w:val="00DB0CE0"/>
    <w:rsid w:val="00DB2E99"/>
    <w:rsid w:val="00DB53EF"/>
    <w:rsid w:val="00DB7192"/>
    <w:rsid w:val="00DB73E9"/>
    <w:rsid w:val="00DC0C88"/>
    <w:rsid w:val="00DC30C4"/>
    <w:rsid w:val="00DD17C9"/>
    <w:rsid w:val="00DD3276"/>
    <w:rsid w:val="00DD7ABF"/>
    <w:rsid w:val="00DE05AC"/>
    <w:rsid w:val="00DE06A8"/>
    <w:rsid w:val="00DE0B01"/>
    <w:rsid w:val="00DE4064"/>
    <w:rsid w:val="00DE5F4A"/>
    <w:rsid w:val="00DF1842"/>
    <w:rsid w:val="00DF33F5"/>
    <w:rsid w:val="00DF4828"/>
    <w:rsid w:val="00E034DE"/>
    <w:rsid w:val="00E038FB"/>
    <w:rsid w:val="00E03EC4"/>
    <w:rsid w:val="00E04186"/>
    <w:rsid w:val="00E07FA8"/>
    <w:rsid w:val="00E156A2"/>
    <w:rsid w:val="00E211F2"/>
    <w:rsid w:val="00E21BB9"/>
    <w:rsid w:val="00E30383"/>
    <w:rsid w:val="00E33C46"/>
    <w:rsid w:val="00E351E7"/>
    <w:rsid w:val="00E3795D"/>
    <w:rsid w:val="00E44E67"/>
    <w:rsid w:val="00E47A1A"/>
    <w:rsid w:val="00E50784"/>
    <w:rsid w:val="00E5455A"/>
    <w:rsid w:val="00E60785"/>
    <w:rsid w:val="00E61757"/>
    <w:rsid w:val="00E61B19"/>
    <w:rsid w:val="00E648D5"/>
    <w:rsid w:val="00E64A5B"/>
    <w:rsid w:val="00E64C24"/>
    <w:rsid w:val="00E65472"/>
    <w:rsid w:val="00E74ADE"/>
    <w:rsid w:val="00E77491"/>
    <w:rsid w:val="00E8154B"/>
    <w:rsid w:val="00E83029"/>
    <w:rsid w:val="00E96602"/>
    <w:rsid w:val="00EA025C"/>
    <w:rsid w:val="00EA48E6"/>
    <w:rsid w:val="00EA5741"/>
    <w:rsid w:val="00EA6A61"/>
    <w:rsid w:val="00EB0DD2"/>
    <w:rsid w:val="00EB13C0"/>
    <w:rsid w:val="00EB4589"/>
    <w:rsid w:val="00EB4874"/>
    <w:rsid w:val="00EC3B02"/>
    <w:rsid w:val="00ED154F"/>
    <w:rsid w:val="00ED2D5D"/>
    <w:rsid w:val="00ED4B1E"/>
    <w:rsid w:val="00EE68FE"/>
    <w:rsid w:val="00EE787D"/>
    <w:rsid w:val="00EF207B"/>
    <w:rsid w:val="00EF2486"/>
    <w:rsid w:val="00EF36AB"/>
    <w:rsid w:val="00EF76B5"/>
    <w:rsid w:val="00F03CCE"/>
    <w:rsid w:val="00F04A6D"/>
    <w:rsid w:val="00F0504B"/>
    <w:rsid w:val="00F05D5C"/>
    <w:rsid w:val="00F10676"/>
    <w:rsid w:val="00F165EA"/>
    <w:rsid w:val="00F20142"/>
    <w:rsid w:val="00F224DF"/>
    <w:rsid w:val="00F22CE6"/>
    <w:rsid w:val="00F26387"/>
    <w:rsid w:val="00F2648E"/>
    <w:rsid w:val="00F343E9"/>
    <w:rsid w:val="00F409DE"/>
    <w:rsid w:val="00F40A33"/>
    <w:rsid w:val="00F43E65"/>
    <w:rsid w:val="00F440ED"/>
    <w:rsid w:val="00F4741A"/>
    <w:rsid w:val="00F530AC"/>
    <w:rsid w:val="00F53C3C"/>
    <w:rsid w:val="00F5688A"/>
    <w:rsid w:val="00F6207F"/>
    <w:rsid w:val="00F654A1"/>
    <w:rsid w:val="00F67BC4"/>
    <w:rsid w:val="00F7002E"/>
    <w:rsid w:val="00F8092A"/>
    <w:rsid w:val="00F811AC"/>
    <w:rsid w:val="00F81E1D"/>
    <w:rsid w:val="00F81E8A"/>
    <w:rsid w:val="00F82459"/>
    <w:rsid w:val="00F86C24"/>
    <w:rsid w:val="00F90F55"/>
    <w:rsid w:val="00F92A9C"/>
    <w:rsid w:val="00F94E1B"/>
    <w:rsid w:val="00F95723"/>
    <w:rsid w:val="00F975B4"/>
    <w:rsid w:val="00F97BE2"/>
    <w:rsid w:val="00F97D17"/>
    <w:rsid w:val="00FA28CF"/>
    <w:rsid w:val="00FA48C1"/>
    <w:rsid w:val="00FA566A"/>
    <w:rsid w:val="00FA5FC7"/>
    <w:rsid w:val="00FB6F5B"/>
    <w:rsid w:val="00FC1275"/>
    <w:rsid w:val="00FC3028"/>
    <w:rsid w:val="00FC554C"/>
    <w:rsid w:val="00FC693C"/>
    <w:rsid w:val="00FD5007"/>
    <w:rsid w:val="00FD6AD4"/>
    <w:rsid w:val="00FD71EB"/>
    <w:rsid w:val="00FD7D48"/>
    <w:rsid w:val="00FE05AE"/>
    <w:rsid w:val="00FE3E59"/>
    <w:rsid w:val="00FF0055"/>
    <w:rsid w:val="00FF2537"/>
    <w:rsid w:val="00FF25B3"/>
    <w:rsid w:val="00FF3C0A"/>
    <w:rsid w:val="00FF49B3"/>
    <w:rsid w:val="00FF5AAA"/>
    <w:rsid w:val="00FF73A7"/>
    <w:rsid w:val="00FF7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qFormat="1"/>
    <w:lsdException w:name="toc 5" w:uiPriority="39" w:qFormat="1"/>
    <w:lsdException w:name="footnote text" w:uiPriority="99"/>
    <w:lsdException w:name="header" w:uiPriority="99"/>
    <w:lsdException w:name="footer" w:uiPriority="99"/>
    <w:lsdException w:name="footnote reference" w:uiPriority="99"/>
    <w:lsdException w:name="Hyperlink" w:uiPriority="99"/>
    <w:lsdException w:name="List Paragraph" w:uiPriority="34" w:qFormat="1"/>
  </w:latentStyles>
  <w:style w:type="paragraph" w:default="1" w:styleId="Normal">
    <w:name w:val="Normal"/>
    <w:qFormat/>
    <w:rsid w:val="00485CA3"/>
  </w:style>
  <w:style w:type="paragraph" w:styleId="Heading1">
    <w:name w:val="heading 1"/>
    <w:basedOn w:val="Normal"/>
    <w:next w:val="Normal"/>
    <w:link w:val="Heading1Char"/>
    <w:autoRedefine/>
    <w:qFormat/>
    <w:rsid w:val="00485CA3"/>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qFormat/>
    <w:rsid w:val="009420E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qFormat/>
    <w:rsid w:val="00A62460"/>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qFormat/>
    <w:rsid w:val="00A62460"/>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paragraph" w:styleId="Heading5">
    <w:name w:val="heading 5"/>
    <w:basedOn w:val="Normal"/>
    <w:next w:val="Normal"/>
    <w:link w:val="Heading5Char"/>
    <w:autoRedefine/>
    <w:qFormat/>
    <w:rsid w:val="00A20C61"/>
    <w:pPr>
      <w:keepNext/>
      <w:keepLines/>
      <w:spacing w:after="240" w:line="240" w:lineRule="auto"/>
      <w:ind w:left="3600" w:right="720" w:hanging="720"/>
      <w:outlineLvl w:val="4"/>
    </w:pPr>
    <w:rPr>
      <w:rFonts w:ascii="Times New Roman Bold" w:eastAsiaTheme="majorEastAsia" w:hAnsi="Times New Roman Bold"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DE"/>
    <w:pPr>
      <w:ind w:left="720"/>
      <w:contextualSpacing/>
    </w:pPr>
  </w:style>
  <w:style w:type="character" w:styleId="Hyperlink">
    <w:name w:val="Hyperlink"/>
    <w:basedOn w:val="DefaultParagraphFont"/>
    <w:uiPriority w:val="99"/>
    <w:unhideWhenUsed/>
    <w:rsid w:val="00754613"/>
    <w:rPr>
      <w:color w:val="0000FF"/>
      <w:u w:val="single"/>
    </w:rPr>
  </w:style>
  <w:style w:type="paragraph" w:styleId="FootnoteText">
    <w:name w:val="footnote text"/>
    <w:basedOn w:val="Normal"/>
    <w:link w:val="FootnoteTextChar"/>
    <w:uiPriority w:val="99"/>
    <w:unhideWhenUsed/>
    <w:rsid w:val="00754613"/>
    <w:pPr>
      <w:spacing w:after="0" w:line="240" w:lineRule="auto"/>
    </w:pPr>
    <w:rPr>
      <w:sz w:val="20"/>
      <w:szCs w:val="20"/>
    </w:rPr>
  </w:style>
  <w:style w:type="character" w:customStyle="1" w:styleId="FootnoteTextChar">
    <w:name w:val="Footnote Text Char"/>
    <w:basedOn w:val="DefaultParagraphFont"/>
    <w:link w:val="FootnoteText"/>
    <w:uiPriority w:val="99"/>
    <w:rsid w:val="00754613"/>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754613"/>
    <w:rPr>
      <w:vertAlign w:val="superscript"/>
    </w:rPr>
  </w:style>
  <w:style w:type="paragraph" w:styleId="BodyTextIndent3">
    <w:name w:val="Body Text Indent 3"/>
    <w:basedOn w:val="Normal"/>
    <w:link w:val="BodyTextIndent3Char"/>
    <w:rsid w:val="009903B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903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11"/>
    <w:rPr>
      <w:rFonts w:ascii="Tahoma" w:hAnsi="Tahoma" w:cs="Tahoma"/>
      <w:sz w:val="16"/>
      <w:szCs w:val="16"/>
    </w:rPr>
  </w:style>
  <w:style w:type="paragraph" w:styleId="Header">
    <w:name w:val="header"/>
    <w:basedOn w:val="Normal"/>
    <w:link w:val="HeaderChar"/>
    <w:uiPriority w:val="99"/>
    <w:unhideWhenUsed/>
    <w:rsid w:val="0090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98"/>
  </w:style>
  <w:style w:type="paragraph" w:styleId="Footer">
    <w:name w:val="footer"/>
    <w:basedOn w:val="Normal"/>
    <w:link w:val="FooterChar"/>
    <w:uiPriority w:val="99"/>
    <w:unhideWhenUsed/>
    <w:rsid w:val="0090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98"/>
  </w:style>
  <w:style w:type="paragraph" w:styleId="HTMLPreformatted">
    <w:name w:val="HTML Preformatted"/>
    <w:basedOn w:val="Normal"/>
    <w:link w:val="HTMLPreformattedChar"/>
    <w:unhideWhenUsed/>
    <w:rsid w:val="00B84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84629"/>
    <w:rPr>
      <w:rFonts w:ascii="Courier New" w:eastAsia="Courier New" w:hAnsi="Courier New" w:cs="Courier New"/>
      <w:sz w:val="20"/>
      <w:szCs w:val="20"/>
    </w:rPr>
  </w:style>
  <w:style w:type="paragraph" w:styleId="BodyTextIndent">
    <w:name w:val="Body Text Indent"/>
    <w:basedOn w:val="Normal"/>
    <w:link w:val="BodyTextIndentChar"/>
    <w:uiPriority w:val="99"/>
    <w:semiHidden/>
    <w:unhideWhenUsed/>
    <w:rsid w:val="00B84629"/>
    <w:pPr>
      <w:spacing w:after="120"/>
      <w:ind w:left="360"/>
    </w:pPr>
  </w:style>
  <w:style w:type="character" w:customStyle="1" w:styleId="BodyTextIndentChar">
    <w:name w:val="Body Text Indent Char"/>
    <w:basedOn w:val="DefaultParagraphFont"/>
    <w:link w:val="BodyTextIndent"/>
    <w:uiPriority w:val="99"/>
    <w:semiHidden/>
    <w:rsid w:val="00B84629"/>
  </w:style>
  <w:style w:type="character" w:styleId="FollowedHyperlink">
    <w:name w:val="FollowedHyperlink"/>
    <w:basedOn w:val="DefaultParagraphFont"/>
    <w:uiPriority w:val="99"/>
    <w:semiHidden/>
    <w:unhideWhenUsed/>
    <w:rsid w:val="00A1341D"/>
    <w:rPr>
      <w:color w:val="800080" w:themeColor="followedHyperlink"/>
      <w:u w:val="single"/>
    </w:rPr>
  </w:style>
  <w:style w:type="paragraph" w:styleId="NormalWeb">
    <w:name w:val="Normal (Web)"/>
    <w:basedOn w:val="Normal"/>
    <w:uiPriority w:val="99"/>
    <w:semiHidden/>
    <w:unhideWhenUsed/>
    <w:rsid w:val="001C5021"/>
    <w:rPr>
      <w:rFonts w:ascii="Times New Roman" w:hAnsi="Times New Roman" w:cs="Times New Roman"/>
      <w:sz w:val="24"/>
      <w:szCs w:val="24"/>
    </w:rPr>
  </w:style>
  <w:style w:type="character" w:customStyle="1" w:styleId="apple-converted-space">
    <w:name w:val="apple-converted-space"/>
    <w:basedOn w:val="DefaultParagraphFont"/>
    <w:rsid w:val="00983D95"/>
  </w:style>
  <w:style w:type="character" w:styleId="PageNumber">
    <w:name w:val="page number"/>
    <w:basedOn w:val="DefaultParagraphFont"/>
    <w:uiPriority w:val="99"/>
    <w:semiHidden/>
    <w:unhideWhenUsed/>
    <w:rsid w:val="00F409DE"/>
  </w:style>
  <w:style w:type="character" w:customStyle="1" w:styleId="ssrfcpassagedeactivated">
    <w:name w:val="ss_rfcpassage_deactivated"/>
    <w:basedOn w:val="DefaultParagraphFont"/>
    <w:rsid w:val="005B5A53"/>
  </w:style>
  <w:style w:type="character" w:customStyle="1" w:styleId="ssit">
    <w:name w:val="ss_it"/>
    <w:basedOn w:val="DefaultParagraphFont"/>
    <w:rsid w:val="005B5A53"/>
  </w:style>
  <w:style w:type="character" w:styleId="CommentReference">
    <w:name w:val="annotation reference"/>
    <w:basedOn w:val="DefaultParagraphFont"/>
    <w:rsid w:val="00AD3EA5"/>
    <w:rPr>
      <w:sz w:val="16"/>
      <w:szCs w:val="16"/>
    </w:rPr>
  </w:style>
  <w:style w:type="paragraph" w:styleId="CommentText">
    <w:name w:val="annotation text"/>
    <w:basedOn w:val="Normal"/>
    <w:link w:val="CommentTextChar"/>
    <w:rsid w:val="00AD3EA5"/>
    <w:pPr>
      <w:spacing w:line="240" w:lineRule="auto"/>
    </w:pPr>
    <w:rPr>
      <w:sz w:val="20"/>
      <w:szCs w:val="20"/>
    </w:rPr>
  </w:style>
  <w:style w:type="character" w:customStyle="1" w:styleId="CommentTextChar">
    <w:name w:val="Comment Text Char"/>
    <w:basedOn w:val="DefaultParagraphFont"/>
    <w:link w:val="CommentText"/>
    <w:rsid w:val="00AD3EA5"/>
    <w:rPr>
      <w:sz w:val="20"/>
      <w:szCs w:val="20"/>
    </w:rPr>
  </w:style>
  <w:style w:type="paragraph" w:styleId="CommentSubject">
    <w:name w:val="annotation subject"/>
    <w:basedOn w:val="CommentText"/>
    <w:next w:val="CommentText"/>
    <w:link w:val="CommentSubjectChar"/>
    <w:rsid w:val="00AD3EA5"/>
    <w:rPr>
      <w:b/>
      <w:bCs/>
    </w:rPr>
  </w:style>
  <w:style w:type="character" w:customStyle="1" w:styleId="CommentSubjectChar">
    <w:name w:val="Comment Subject Char"/>
    <w:basedOn w:val="CommentTextChar"/>
    <w:link w:val="CommentSubject"/>
    <w:rsid w:val="00AD3EA5"/>
    <w:rPr>
      <w:b/>
      <w:bCs/>
      <w:sz w:val="20"/>
      <w:szCs w:val="20"/>
    </w:rPr>
  </w:style>
  <w:style w:type="table" w:styleId="TableGrid">
    <w:name w:val="Table Grid"/>
    <w:basedOn w:val="TableNormal"/>
    <w:rsid w:val="0068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70F6A"/>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qFormat/>
    <w:rsid w:val="00D44B10"/>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qFormat/>
    <w:rsid w:val="00D44B10"/>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qFormat/>
    <w:rsid w:val="00170F6A"/>
    <w:pPr>
      <w:tabs>
        <w:tab w:val="decimal" w:leader="dot" w:pos="8640"/>
      </w:tabs>
      <w:spacing w:after="240" w:line="240" w:lineRule="auto"/>
      <w:ind w:left="2880" w:hanging="720"/>
    </w:pPr>
    <w:rPr>
      <w:rFonts w:ascii="Times New Roman" w:hAnsi="Times New Roman"/>
      <w:sz w:val="24"/>
    </w:rPr>
  </w:style>
  <w:style w:type="paragraph" w:styleId="TOC5">
    <w:name w:val="toc 5"/>
    <w:basedOn w:val="Normal"/>
    <w:next w:val="Normal"/>
    <w:autoRedefine/>
    <w:uiPriority w:val="39"/>
    <w:qFormat/>
    <w:rsid w:val="00D44B10"/>
    <w:pPr>
      <w:tabs>
        <w:tab w:val="decimal" w:leader="dot" w:pos="8640"/>
      </w:tabs>
      <w:spacing w:after="240" w:line="240" w:lineRule="auto"/>
      <w:ind w:left="3600" w:hanging="720"/>
    </w:pPr>
    <w:rPr>
      <w:rFonts w:ascii="Times New Roman" w:hAnsi="Times New Roman"/>
      <w:sz w:val="24"/>
    </w:rPr>
  </w:style>
  <w:style w:type="character" w:customStyle="1" w:styleId="sssh">
    <w:name w:val="ss_sh"/>
    <w:basedOn w:val="DefaultParagraphFont"/>
    <w:rsid w:val="00311334"/>
  </w:style>
  <w:style w:type="character" w:customStyle="1" w:styleId="Heading1Char">
    <w:name w:val="Heading 1 Char"/>
    <w:basedOn w:val="DefaultParagraphFont"/>
    <w:link w:val="Heading1"/>
    <w:rsid w:val="00485CA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9420E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A62460"/>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rsid w:val="00A62460"/>
    <w:rPr>
      <w:rFonts w:ascii="Times New Roman Bold" w:eastAsiaTheme="majorEastAsia" w:hAnsi="Times New Roman Bold" w:cstheme="majorBidi"/>
      <w:b/>
      <w:bCs/>
      <w:iCs/>
      <w:sz w:val="24"/>
    </w:rPr>
  </w:style>
  <w:style w:type="paragraph" w:styleId="BodyText">
    <w:name w:val="Body Text"/>
    <w:basedOn w:val="Normal"/>
    <w:link w:val="BodyTextChar"/>
    <w:rsid w:val="009066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66B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20C61"/>
    <w:rPr>
      <w:rFonts w:ascii="Times New Roman Bold" w:eastAsiaTheme="majorEastAsia" w:hAnsi="Times New Roman Bold" w:cstheme="maj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qFormat="1"/>
    <w:lsdException w:name="toc 5" w:uiPriority="39" w:qFormat="1"/>
    <w:lsdException w:name="footnote text" w:uiPriority="99"/>
    <w:lsdException w:name="header" w:uiPriority="99"/>
    <w:lsdException w:name="footer" w:uiPriority="99"/>
    <w:lsdException w:name="footnote reference" w:uiPriority="99"/>
    <w:lsdException w:name="Hyperlink" w:uiPriority="99"/>
    <w:lsdException w:name="List Paragraph" w:uiPriority="34" w:qFormat="1"/>
  </w:latentStyles>
  <w:style w:type="paragraph" w:default="1" w:styleId="Normal">
    <w:name w:val="Normal"/>
    <w:qFormat/>
    <w:rsid w:val="00485CA3"/>
  </w:style>
  <w:style w:type="paragraph" w:styleId="Heading1">
    <w:name w:val="heading 1"/>
    <w:basedOn w:val="Normal"/>
    <w:next w:val="Normal"/>
    <w:link w:val="Heading1Char"/>
    <w:autoRedefine/>
    <w:qFormat/>
    <w:rsid w:val="00485CA3"/>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qFormat/>
    <w:rsid w:val="009420E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qFormat/>
    <w:rsid w:val="00A62460"/>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qFormat/>
    <w:rsid w:val="00A62460"/>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paragraph" w:styleId="Heading5">
    <w:name w:val="heading 5"/>
    <w:basedOn w:val="Normal"/>
    <w:next w:val="Normal"/>
    <w:link w:val="Heading5Char"/>
    <w:autoRedefine/>
    <w:qFormat/>
    <w:rsid w:val="00A20C61"/>
    <w:pPr>
      <w:keepNext/>
      <w:keepLines/>
      <w:spacing w:after="240" w:line="240" w:lineRule="auto"/>
      <w:ind w:left="3600" w:right="720" w:hanging="720"/>
      <w:outlineLvl w:val="4"/>
    </w:pPr>
    <w:rPr>
      <w:rFonts w:ascii="Times New Roman Bold" w:eastAsiaTheme="majorEastAsia" w:hAnsi="Times New Roman Bold"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DE"/>
    <w:pPr>
      <w:ind w:left="720"/>
      <w:contextualSpacing/>
    </w:pPr>
  </w:style>
  <w:style w:type="character" w:styleId="Hyperlink">
    <w:name w:val="Hyperlink"/>
    <w:basedOn w:val="DefaultParagraphFont"/>
    <w:uiPriority w:val="99"/>
    <w:unhideWhenUsed/>
    <w:rsid w:val="00754613"/>
    <w:rPr>
      <w:color w:val="0000FF"/>
      <w:u w:val="single"/>
    </w:rPr>
  </w:style>
  <w:style w:type="paragraph" w:styleId="FootnoteText">
    <w:name w:val="footnote text"/>
    <w:basedOn w:val="Normal"/>
    <w:link w:val="FootnoteTextChar"/>
    <w:uiPriority w:val="99"/>
    <w:unhideWhenUsed/>
    <w:rsid w:val="00754613"/>
    <w:pPr>
      <w:spacing w:after="0" w:line="240" w:lineRule="auto"/>
    </w:pPr>
    <w:rPr>
      <w:sz w:val="20"/>
      <w:szCs w:val="20"/>
    </w:rPr>
  </w:style>
  <w:style w:type="character" w:customStyle="1" w:styleId="FootnoteTextChar">
    <w:name w:val="Footnote Text Char"/>
    <w:basedOn w:val="DefaultParagraphFont"/>
    <w:link w:val="FootnoteText"/>
    <w:uiPriority w:val="99"/>
    <w:rsid w:val="00754613"/>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754613"/>
    <w:rPr>
      <w:vertAlign w:val="superscript"/>
    </w:rPr>
  </w:style>
  <w:style w:type="paragraph" w:styleId="BodyTextIndent3">
    <w:name w:val="Body Text Indent 3"/>
    <w:basedOn w:val="Normal"/>
    <w:link w:val="BodyTextIndent3Char"/>
    <w:rsid w:val="009903B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903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11"/>
    <w:rPr>
      <w:rFonts w:ascii="Tahoma" w:hAnsi="Tahoma" w:cs="Tahoma"/>
      <w:sz w:val="16"/>
      <w:szCs w:val="16"/>
    </w:rPr>
  </w:style>
  <w:style w:type="paragraph" w:styleId="Header">
    <w:name w:val="header"/>
    <w:basedOn w:val="Normal"/>
    <w:link w:val="HeaderChar"/>
    <w:uiPriority w:val="99"/>
    <w:unhideWhenUsed/>
    <w:rsid w:val="0090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98"/>
  </w:style>
  <w:style w:type="paragraph" w:styleId="Footer">
    <w:name w:val="footer"/>
    <w:basedOn w:val="Normal"/>
    <w:link w:val="FooterChar"/>
    <w:uiPriority w:val="99"/>
    <w:unhideWhenUsed/>
    <w:rsid w:val="0090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98"/>
  </w:style>
  <w:style w:type="paragraph" w:styleId="HTMLPreformatted">
    <w:name w:val="HTML Preformatted"/>
    <w:basedOn w:val="Normal"/>
    <w:link w:val="HTMLPreformattedChar"/>
    <w:unhideWhenUsed/>
    <w:rsid w:val="00B84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84629"/>
    <w:rPr>
      <w:rFonts w:ascii="Courier New" w:eastAsia="Courier New" w:hAnsi="Courier New" w:cs="Courier New"/>
      <w:sz w:val="20"/>
      <w:szCs w:val="20"/>
    </w:rPr>
  </w:style>
  <w:style w:type="paragraph" w:styleId="BodyTextIndent">
    <w:name w:val="Body Text Indent"/>
    <w:basedOn w:val="Normal"/>
    <w:link w:val="BodyTextIndentChar"/>
    <w:uiPriority w:val="99"/>
    <w:semiHidden/>
    <w:unhideWhenUsed/>
    <w:rsid w:val="00B84629"/>
    <w:pPr>
      <w:spacing w:after="120"/>
      <w:ind w:left="360"/>
    </w:pPr>
  </w:style>
  <w:style w:type="character" w:customStyle="1" w:styleId="BodyTextIndentChar">
    <w:name w:val="Body Text Indent Char"/>
    <w:basedOn w:val="DefaultParagraphFont"/>
    <w:link w:val="BodyTextIndent"/>
    <w:uiPriority w:val="99"/>
    <w:semiHidden/>
    <w:rsid w:val="00B84629"/>
  </w:style>
  <w:style w:type="character" w:styleId="FollowedHyperlink">
    <w:name w:val="FollowedHyperlink"/>
    <w:basedOn w:val="DefaultParagraphFont"/>
    <w:uiPriority w:val="99"/>
    <w:semiHidden/>
    <w:unhideWhenUsed/>
    <w:rsid w:val="00A1341D"/>
    <w:rPr>
      <w:color w:val="800080" w:themeColor="followedHyperlink"/>
      <w:u w:val="single"/>
    </w:rPr>
  </w:style>
  <w:style w:type="paragraph" w:styleId="NormalWeb">
    <w:name w:val="Normal (Web)"/>
    <w:basedOn w:val="Normal"/>
    <w:uiPriority w:val="99"/>
    <w:semiHidden/>
    <w:unhideWhenUsed/>
    <w:rsid w:val="001C5021"/>
    <w:rPr>
      <w:rFonts w:ascii="Times New Roman" w:hAnsi="Times New Roman" w:cs="Times New Roman"/>
      <w:sz w:val="24"/>
      <w:szCs w:val="24"/>
    </w:rPr>
  </w:style>
  <w:style w:type="character" w:customStyle="1" w:styleId="apple-converted-space">
    <w:name w:val="apple-converted-space"/>
    <w:basedOn w:val="DefaultParagraphFont"/>
    <w:rsid w:val="00983D95"/>
  </w:style>
  <w:style w:type="character" w:styleId="PageNumber">
    <w:name w:val="page number"/>
    <w:basedOn w:val="DefaultParagraphFont"/>
    <w:uiPriority w:val="99"/>
    <w:semiHidden/>
    <w:unhideWhenUsed/>
    <w:rsid w:val="00F409DE"/>
  </w:style>
  <w:style w:type="character" w:customStyle="1" w:styleId="ssrfcpassagedeactivated">
    <w:name w:val="ss_rfcpassage_deactivated"/>
    <w:basedOn w:val="DefaultParagraphFont"/>
    <w:rsid w:val="005B5A53"/>
  </w:style>
  <w:style w:type="character" w:customStyle="1" w:styleId="ssit">
    <w:name w:val="ss_it"/>
    <w:basedOn w:val="DefaultParagraphFont"/>
    <w:rsid w:val="005B5A53"/>
  </w:style>
  <w:style w:type="character" w:styleId="CommentReference">
    <w:name w:val="annotation reference"/>
    <w:basedOn w:val="DefaultParagraphFont"/>
    <w:rsid w:val="00AD3EA5"/>
    <w:rPr>
      <w:sz w:val="16"/>
      <w:szCs w:val="16"/>
    </w:rPr>
  </w:style>
  <w:style w:type="paragraph" w:styleId="CommentText">
    <w:name w:val="annotation text"/>
    <w:basedOn w:val="Normal"/>
    <w:link w:val="CommentTextChar"/>
    <w:rsid w:val="00AD3EA5"/>
    <w:pPr>
      <w:spacing w:line="240" w:lineRule="auto"/>
    </w:pPr>
    <w:rPr>
      <w:sz w:val="20"/>
      <w:szCs w:val="20"/>
    </w:rPr>
  </w:style>
  <w:style w:type="character" w:customStyle="1" w:styleId="CommentTextChar">
    <w:name w:val="Comment Text Char"/>
    <w:basedOn w:val="DefaultParagraphFont"/>
    <w:link w:val="CommentText"/>
    <w:rsid w:val="00AD3EA5"/>
    <w:rPr>
      <w:sz w:val="20"/>
      <w:szCs w:val="20"/>
    </w:rPr>
  </w:style>
  <w:style w:type="paragraph" w:styleId="CommentSubject">
    <w:name w:val="annotation subject"/>
    <w:basedOn w:val="CommentText"/>
    <w:next w:val="CommentText"/>
    <w:link w:val="CommentSubjectChar"/>
    <w:rsid w:val="00AD3EA5"/>
    <w:rPr>
      <w:b/>
      <w:bCs/>
    </w:rPr>
  </w:style>
  <w:style w:type="character" w:customStyle="1" w:styleId="CommentSubjectChar">
    <w:name w:val="Comment Subject Char"/>
    <w:basedOn w:val="CommentTextChar"/>
    <w:link w:val="CommentSubject"/>
    <w:rsid w:val="00AD3EA5"/>
    <w:rPr>
      <w:b/>
      <w:bCs/>
      <w:sz w:val="20"/>
      <w:szCs w:val="20"/>
    </w:rPr>
  </w:style>
  <w:style w:type="table" w:styleId="TableGrid">
    <w:name w:val="Table Grid"/>
    <w:basedOn w:val="TableNormal"/>
    <w:rsid w:val="0068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70F6A"/>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qFormat/>
    <w:rsid w:val="00D44B10"/>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qFormat/>
    <w:rsid w:val="00D44B10"/>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qFormat/>
    <w:rsid w:val="00170F6A"/>
    <w:pPr>
      <w:tabs>
        <w:tab w:val="decimal" w:leader="dot" w:pos="8640"/>
      </w:tabs>
      <w:spacing w:after="240" w:line="240" w:lineRule="auto"/>
      <w:ind w:left="2880" w:hanging="720"/>
    </w:pPr>
    <w:rPr>
      <w:rFonts w:ascii="Times New Roman" w:hAnsi="Times New Roman"/>
      <w:sz w:val="24"/>
    </w:rPr>
  </w:style>
  <w:style w:type="paragraph" w:styleId="TOC5">
    <w:name w:val="toc 5"/>
    <w:basedOn w:val="Normal"/>
    <w:next w:val="Normal"/>
    <w:autoRedefine/>
    <w:uiPriority w:val="39"/>
    <w:qFormat/>
    <w:rsid w:val="00D44B10"/>
    <w:pPr>
      <w:tabs>
        <w:tab w:val="decimal" w:leader="dot" w:pos="8640"/>
      </w:tabs>
      <w:spacing w:after="240" w:line="240" w:lineRule="auto"/>
      <w:ind w:left="3600" w:hanging="720"/>
    </w:pPr>
    <w:rPr>
      <w:rFonts w:ascii="Times New Roman" w:hAnsi="Times New Roman"/>
      <w:sz w:val="24"/>
    </w:rPr>
  </w:style>
  <w:style w:type="character" w:customStyle="1" w:styleId="sssh">
    <w:name w:val="ss_sh"/>
    <w:basedOn w:val="DefaultParagraphFont"/>
    <w:rsid w:val="00311334"/>
  </w:style>
  <w:style w:type="character" w:customStyle="1" w:styleId="Heading1Char">
    <w:name w:val="Heading 1 Char"/>
    <w:basedOn w:val="DefaultParagraphFont"/>
    <w:link w:val="Heading1"/>
    <w:rsid w:val="00485CA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9420E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A62460"/>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rsid w:val="00A62460"/>
    <w:rPr>
      <w:rFonts w:ascii="Times New Roman Bold" w:eastAsiaTheme="majorEastAsia" w:hAnsi="Times New Roman Bold" w:cstheme="majorBidi"/>
      <w:b/>
      <w:bCs/>
      <w:iCs/>
      <w:sz w:val="24"/>
    </w:rPr>
  </w:style>
  <w:style w:type="paragraph" w:styleId="BodyText">
    <w:name w:val="Body Text"/>
    <w:basedOn w:val="Normal"/>
    <w:link w:val="BodyTextChar"/>
    <w:rsid w:val="009066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66B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20C61"/>
    <w:rPr>
      <w:rFonts w:ascii="Times New Roman Bold" w:eastAsiaTheme="majorEastAsia" w:hAnsi="Times New Roman Bold"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219">
      <w:bodyDiv w:val="1"/>
      <w:marLeft w:val="0"/>
      <w:marRight w:val="0"/>
      <w:marTop w:val="0"/>
      <w:marBottom w:val="0"/>
      <w:divBdr>
        <w:top w:val="none" w:sz="0" w:space="0" w:color="auto"/>
        <w:left w:val="none" w:sz="0" w:space="0" w:color="auto"/>
        <w:bottom w:val="none" w:sz="0" w:space="0" w:color="auto"/>
        <w:right w:val="none" w:sz="0" w:space="0" w:color="auto"/>
      </w:divBdr>
    </w:div>
    <w:div w:id="784694171">
      <w:bodyDiv w:val="1"/>
      <w:marLeft w:val="0"/>
      <w:marRight w:val="0"/>
      <w:marTop w:val="0"/>
      <w:marBottom w:val="0"/>
      <w:divBdr>
        <w:top w:val="none" w:sz="0" w:space="0" w:color="auto"/>
        <w:left w:val="none" w:sz="0" w:space="0" w:color="auto"/>
        <w:bottom w:val="none" w:sz="0" w:space="0" w:color="auto"/>
        <w:right w:val="none" w:sz="0" w:space="0" w:color="auto"/>
      </w:divBdr>
    </w:div>
    <w:div w:id="886647143">
      <w:bodyDiv w:val="1"/>
      <w:marLeft w:val="0"/>
      <w:marRight w:val="0"/>
      <w:marTop w:val="0"/>
      <w:marBottom w:val="0"/>
      <w:divBdr>
        <w:top w:val="none" w:sz="0" w:space="0" w:color="auto"/>
        <w:left w:val="none" w:sz="0" w:space="0" w:color="auto"/>
        <w:bottom w:val="none" w:sz="0" w:space="0" w:color="auto"/>
        <w:right w:val="none" w:sz="0" w:space="0" w:color="auto"/>
      </w:divBdr>
    </w:div>
    <w:div w:id="958150703">
      <w:bodyDiv w:val="1"/>
      <w:marLeft w:val="0"/>
      <w:marRight w:val="0"/>
      <w:marTop w:val="0"/>
      <w:marBottom w:val="0"/>
      <w:divBdr>
        <w:top w:val="none" w:sz="0" w:space="0" w:color="auto"/>
        <w:left w:val="none" w:sz="0" w:space="0" w:color="auto"/>
        <w:bottom w:val="none" w:sz="0" w:space="0" w:color="auto"/>
        <w:right w:val="none" w:sz="0" w:space="0" w:color="auto"/>
      </w:divBdr>
    </w:div>
    <w:div w:id="1014725918">
      <w:bodyDiv w:val="1"/>
      <w:marLeft w:val="0"/>
      <w:marRight w:val="0"/>
      <w:marTop w:val="0"/>
      <w:marBottom w:val="0"/>
      <w:divBdr>
        <w:top w:val="none" w:sz="0" w:space="0" w:color="auto"/>
        <w:left w:val="none" w:sz="0" w:space="0" w:color="auto"/>
        <w:bottom w:val="none" w:sz="0" w:space="0" w:color="auto"/>
        <w:right w:val="none" w:sz="0" w:space="0" w:color="auto"/>
      </w:divBdr>
    </w:div>
    <w:div w:id="1173494447">
      <w:bodyDiv w:val="1"/>
      <w:marLeft w:val="0"/>
      <w:marRight w:val="0"/>
      <w:marTop w:val="0"/>
      <w:marBottom w:val="0"/>
      <w:divBdr>
        <w:top w:val="none" w:sz="0" w:space="0" w:color="auto"/>
        <w:left w:val="none" w:sz="0" w:space="0" w:color="auto"/>
        <w:bottom w:val="none" w:sz="0" w:space="0" w:color="auto"/>
        <w:right w:val="none" w:sz="0" w:space="0" w:color="auto"/>
      </w:divBdr>
    </w:div>
    <w:div w:id="1268199556">
      <w:bodyDiv w:val="1"/>
      <w:marLeft w:val="0"/>
      <w:marRight w:val="0"/>
      <w:marTop w:val="0"/>
      <w:marBottom w:val="0"/>
      <w:divBdr>
        <w:top w:val="none" w:sz="0" w:space="0" w:color="auto"/>
        <w:left w:val="none" w:sz="0" w:space="0" w:color="auto"/>
        <w:bottom w:val="none" w:sz="0" w:space="0" w:color="auto"/>
        <w:right w:val="none" w:sz="0" w:space="0" w:color="auto"/>
      </w:divBdr>
    </w:div>
    <w:div w:id="1373846503">
      <w:bodyDiv w:val="1"/>
      <w:marLeft w:val="0"/>
      <w:marRight w:val="0"/>
      <w:marTop w:val="0"/>
      <w:marBottom w:val="0"/>
      <w:divBdr>
        <w:top w:val="none" w:sz="0" w:space="0" w:color="auto"/>
        <w:left w:val="none" w:sz="0" w:space="0" w:color="auto"/>
        <w:bottom w:val="none" w:sz="0" w:space="0" w:color="auto"/>
        <w:right w:val="none" w:sz="0" w:space="0" w:color="auto"/>
      </w:divBdr>
    </w:div>
    <w:div w:id="1480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oore@occ.ohio.gov" TargetMode="External"/><Relationship Id="rId13" Type="http://schemas.openxmlformats.org/officeDocument/2006/relationships/header" Target="header3.xml"/><Relationship Id="rId18" Type="http://schemas.openxmlformats.org/officeDocument/2006/relationships/hyperlink" Target="mailto:Thomas.lindgren@puc.state.oh.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Jeanne.Kingery@duke-energy.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evin.moore@occ.ohio.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Amy.Spiller@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cmooney@ohiopartner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egan.addison@puc.state.oh.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rimis.phmsa.dot.gov/dimp/docs/DIMP_MEA_Conerence_080411.pdf" TargetMode="External"/><Relationship Id="rId1" Type="http://schemas.openxmlformats.org/officeDocument/2006/relationships/hyperlink" Target="https://hip.phmsa.dot.gov/analyticsSOAP/saw.dll?Portal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11233</Words>
  <Characters>57085</Characters>
  <Application>Microsoft Office Word</Application>
  <DocSecurity>0</DocSecurity>
  <Lines>1122</Lines>
  <Paragraphs>280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2015-11-27T22:01:00Z</cp:lastPrinted>
  <dcterms:created xsi:type="dcterms:W3CDTF">2015-12-09T21:23:00Z</dcterms:created>
  <dcterms:modified xsi:type="dcterms:W3CDTF">2015-12-09T21:23:00Z</dcterms:modified>
  <cp:category> </cp:category>
  <cp:contentStatus> </cp:contentStatus>
</cp:coreProperties>
</file>