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6A" w:rsidRPr="002D54AC" w:rsidRDefault="00663D6A" w:rsidP="00663D6A">
      <w:pPr>
        <w:jc w:val="center"/>
        <w:rPr>
          <w:b/>
          <w:sz w:val="26"/>
          <w:szCs w:val="26"/>
        </w:rPr>
      </w:pPr>
      <w:r w:rsidRPr="002D54AC">
        <w:rPr>
          <w:b/>
          <w:sz w:val="26"/>
          <w:szCs w:val="26"/>
        </w:rPr>
        <w:t>BEFORE</w:t>
      </w:r>
    </w:p>
    <w:p w:rsidR="00663D6A" w:rsidRPr="002D54AC" w:rsidRDefault="00663D6A" w:rsidP="00663D6A">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rsidR="00663D6A" w:rsidRDefault="00663D6A"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689"/>
        <w:gridCol w:w="289"/>
        <w:gridCol w:w="4598"/>
      </w:tblGrid>
      <w:tr w:rsidR="00663D6A" w:rsidTr="00221496">
        <w:tc>
          <w:tcPr>
            <w:tcW w:w="4698" w:type="dxa"/>
          </w:tcPr>
          <w:p w:rsidR="001A5C2F" w:rsidRPr="00221496" w:rsidRDefault="00663D6A" w:rsidP="006F4BE6">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sidR="00F910F7">
              <w:rPr>
                <w:rFonts w:ascii="Times New Roman" w:hAnsi="Times New Roman"/>
                <w:sz w:val="26"/>
                <w:szCs w:val="26"/>
              </w:rPr>
              <w:t xml:space="preserve"> the Application to Modify, in Accordance with Section 4928.08, Revised Code, the Exemption Granted Columbia Gas of Ohio, Inc., Case N</w:t>
            </w:r>
            <w:r w:rsidR="006F4BE6">
              <w:rPr>
                <w:rFonts w:ascii="Times New Roman" w:hAnsi="Times New Roman"/>
                <w:sz w:val="26"/>
                <w:szCs w:val="26"/>
              </w:rPr>
              <w:t>o</w:t>
            </w:r>
            <w:r w:rsidR="00F910F7">
              <w:rPr>
                <w:rFonts w:ascii="Times New Roman" w:hAnsi="Times New Roman"/>
                <w:sz w:val="26"/>
                <w:szCs w:val="26"/>
              </w:rPr>
              <w:t>. 08-1344-GA-EXM.</w:t>
            </w:r>
          </w:p>
        </w:tc>
        <w:tc>
          <w:tcPr>
            <w:tcW w:w="270" w:type="dxa"/>
          </w:tcPr>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1A5C2F"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F910F7" w:rsidRDefault="00F910F7"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910F7" w:rsidRPr="00221496" w:rsidRDefault="00F910F7"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608" w:type="dxa"/>
          </w:tcPr>
          <w:p w:rsidR="00F910F7" w:rsidRDefault="00F910F7" w:rsidP="00977F01">
            <w:pPr>
              <w:pStyle w:val="Title"/>
              <w:tabs>
                <w:tab w:val="left" w:pos="1142"/>
                <w:tab w:val="left" w:pos="5130"/>
                <w:tab w:val="left" w:pos="5670"/>
              </w:tabs>
              <w:jc w:val="left"/>
              <w:rPr>
                <w:rFonts w:ascii="Times New Roman" w:hAnsi="Times New Roman"/>
                <w:sz w:val="26"/>
                <w:szCs w:val="26"/>
              </w:rPr>
            </w:pPr>
            <w:r>
              <w:rPr>
                <w:rFonts w:ascii="Times New Roman" w:hAnsi="Times New Roman"/>
                <w:sz w:val="26"/>
                <w:szCs w:val="26"/>
              </w:rPr>
              <w:t xml:space="preserve"> </w:t>
            </w:r>
          </w:p>
          <w:p w:rsidR="001A5C2F" w:rsidRPr="00221496" w:rsidRDefault="00663D6A" w:rsidP="00977F01">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sidR="00F910F7">
              <w:rPr>
                <w:rFonts w:ascii="Times New Roman" w:hAnsi="Times New Roman"/>
                <w:sz w:val="26"/>
                <w:szCs w:val="26"/>
              </w:rPr>
              <w:t>12-2637-GA-EXM</w:t>
            </w:r>
          </w:p>
        </w:tc>
      </w:tr>
    </w:tbl>
    <w:p w:rsidR="00663D6A" w:rsidRPr="002D54AC" w:rsidRDefault="00663D6A" w:rsidP="00663D6A">
      <w:pPr>
        <w:pStyle w:val="Title"/>
        <w:tabs>
          <w:tab w:val="left" w:pos="5130"/>
          <w:tab w:val="left" w:pos="5670"/>
        </w:tabs>
        <w:rPr>
          <w:rFonts w:ascii="Times New Roman" w:hAnsi="Times New Roman"/>
          <w:sz w:val="26"/>
          <w:szCs w:val="26"/>
        </w:rPr>
      </w:pPr>
    </w:p>
    <w:p w:rsidR="00663D6A" w:rsidRDefault="00663D6A" w:rsidP="00663D6A">
      <w:pPr>
        <w:pStyle w:val="Title"/>
        <w:tabs>
          <w:tab w:val="left" w:pos="5130"/>
          <w:tab w:val="left" w:pos="5670"/>
        </w:tabs>
        <w:jc w:val="left"/>
        <w:rPr>
          <w:rFonts w:ascii="Times New Roman" w:hAnsi="Times New Roman"/>
          <w:sz w:val="26"/>
          <w:szCs w:val="26"/>
        </w:rPr>
      </w:pPr>
    </w:p>
    <w:p w:rsidR="003B12DD" w:rsidRDefault="003B12DD" w:rsidP="00663D6A">
      <w:pPr>
        <w:pStyle w:val="Title"/>
        <w:tabs>
          <w:tab w:val="left" w:pos="5130"/>
          <w:tab w:val="left" w:pos="5670"/>
        </w:tabs>
        <w:jc w:val="left"/>
        <w:rPr>
          <w:rFonts w:ascii="Times New Roman" w:hAnsi="Times New Roman"/>
          <w:sz w:val="26"/>
          <w:szCs w:val="26"/>
        </w:rPr>
      </w:pPr>
    </w:p>
    <w:p w:rsidR="00E10679" w:rsidRDefault="00E10679" w:rsidP="00663D6A">
      <w:pPr>
        <w:pStyle w:val="Title"/>
        <w:tabs>
          <w:tab w:val="left" w:pos="5130"/>
          <w:tab w:val="left" w:pos="5670"/>
        </w:tabs>
        <w:jc w:val="left"/>
        <w:rPr>
          <w:rFonts w:ascii="Times New Roman" w:hAnsi="Times New Roman"/>
          <w:sz w:val="26"/>
          <w:szCs w:val="26"/>
        </w:rPr>
      </w:pPr>
    </w:p>
    <w:p w:rsidR="00E10679" w:rsidRDefault="00E10679" w:rsidP="00663D6A">
      <w:pPr>
        <w:pStyle w:val="Title"/>
        <w:tabs>
          <w:tab w:val="left" w:pos="5130"/>
          <w:tab w:val="left" w:pos="5670"/>
        </w:tabs>
        <w:jc w:val="left"/>
        <w:rPr>
          <w:rFonts w:ascii="Times New Roman" w:hAnsi="Times New Roman"/>
          <w:sz w:val="26"/>
          <w:szCs w:val="26"/>
        </w:rPr>
      </w:pPr>
    </w:p>
    <w:p w:rsidR="003B12DD" w:rsidRDefault="003B12DD" w:rsidP="00663D6A">
      <w:pPr>
        <w:pStyle w:val="Title"/>
        <w:tabs>
          <w:tab w:val="left" w:pos="5130"/>
          <w:tab w:val="left" w:pos="5670"/>
        </w:tabs>
        <w:jc w:val="left"/>
        <w:rPr>
          <w:rFonts w:ascii="Times New Roman" w:hAnsi="Times New Roman"/>
          <w:sz w:val="26"/>
          <w:szCs w:val="26"/>
        </w:rPr>
      </w:pPr>
    </w:p>
    <w:p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F910F7" w:rsidP="00E10679">
      <w:pPr>
        <w:pStyle w:val="Title"/>
        <w:tabs>
          <w:tab w:val="left" w:pos="9360"/>
        </w:tabs>
        <w:rPr>
          <w:rFonts w:ascii="Times New Roman" w:hAnsi="Times New Roman"/>
          <w:b/>
          <w:sz w:val="32"/>
          <w:szCs w:val="32"/>
        </w:rPr>
      </w:pPr>
      <w:r>
        <w:rPr>
          <w:rFonts w:ascii="Times New Roman" w:hAnsi="Times New Roman"/>
          <w:b/>
          <w:sz w:val="32"/>
          <w:szCs w:val="32"/>
        </w:rPr>
        <w:t>AN ALLOCATION METHODOLOGY PROPOSAL</w:t>
      </w:r>
    </w:p>
    <w:p w:rsidR="00663D6A" w:rsidRPr="00F910F7" w:rsidRDefault="00663D6A" w:rsidP="00F910F7">
      <w:pPr>
        <w:jc w:val="center"/>
        <w:rPr>
          <w:sz w:val="28"/>
          <w:szCs w:val="28"/>
        </w:rPr>
      </w:pPr>
      <w:bookmarkStart w:id="0" w:name="_Toc257632572"/>
      <w:bookmarkStart w:id="1" w:name="_Toc257632676"/>
      <w:bookmarkStart w:id="2" w:name="_Toc257637808"/>
      <w:bookmarkStart w:id="3" w:name="_Toc257798062"/>
      <w:bookmarkStart w:id="4" w:name="_Toc260124108"/>
      <w:bookmarkStart w:id="5" w:name="_Toc260125213"/>
      <w:bookmarkStart w:id="6" w:name="_Toc260212953"/>
      <w:r w:rsidRPr="00F910F7">
        <w:rPr>
          <w:sz w:val="28"/>
          <w:szCs w:val="28"/>
        </w:rPr>
        <w:t>SUBMITTED ON BEHALF OF THE STAFF OF</w:t>
      </w:r>
      <w:bookmarkEnd w:id="0"/>
      <w:bookmarkEnd w:id="1"/>
      <w:bookmarkEnd w:id="2"/>
      <w:bookmarkEnd w:id="3"/>
      <w:bookmarkEnd w:id="4"/>
      <w:bookmarkEnd w:id="5"/>
      <w:bookmarkEnd w:id="6"/>
    </w:p>
    <w:p w:rsidR="00663D6A" w:rsidRPr="00F910F7" w:rsidRDefault="00663D6A" w:rsidP="00F910F7">
      <w:pPr>
        <w:jc w:val="center"/>
        <w:rPr>
          <w:sz w:val="28"/>
          <w:szCs w:val="28"/>
        </w:rPr>
      </w:pPr>
      <w:bookmarkStart w:id="7" w:name="_Toc257632573"/>
      <w:bookmarkStart w:id="8" w:name="_Toc257632677"/>
      <w:bookmarkStart w:id="9" w:name="_Toc257637809"/>
      <w:bookmarkStart w:id="10" w:name="_Toc257798063"/>
      <w:bookmarkStart w:id="11" w:name="_Toc260124109"/>
      <w:bookmarkStart w:id="12" w:name="_Toc260125214"/>
      <w:bookmarkStart w:id="13" w:name="_Toc260212954"/>
      <w:r w:rsidRPr="00F910F7">
        <w:rPr>
          <w:sz w:val="28"/>
          <w:szCs w:val="28"/>
        </w:rPr>
        <w:t>THE PUBLIC UTILITIES COMMISSION OF OHIO</w:t>
      </w:r>
      <w:bookmarkEnd w:id="7"/>
      <w:bookmarkEnd w:id="8"/>
      <w:bookmarkEnd w:id="9"/>
      <w:bookmarkEnd w:id="10"/>
      <w:bookmarkEnd w:id="11"/>
      <w:bookmarkEnd w:id="12"/>
      <w:bookmarkEnd w:id="13"/>
    </w:p>
    <w:p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2D54AC" w:rsidRDefault="00E10679" w:rsidP="00663D6A">
      <w:pPr>
        <w:pStyle w:val="PlainText"/>
        <w:jc w:val="center"/>
        <w:outlineLvl w:val="0"/>
        <w:rPr>
          <w:rFonts w:ascii="Times New Roman" w:hAnsi="Times New Roman"/>
          <w:sz w:val="26"/>
          <w:szCs w:val="26"/>
        </w:rPr>
      </w:pPr>
    </w:p>
    <w:p w:rsidR="00663D6A" w:rsidRDefault="00E10679" w:rsidP="00E10679">
      <w:pPr>
        <w:pStyle w:val="Title"/>
        <w:tabs>
          <w:tab w:val="left" w:pos="4320"/>
        </w:tabs>
        <w:jc w:val="left"/>
        <w:rPr>
          <w:rFonts w:ascii="Times New Roman" w:hAnsi="Times New Roman"/>
          <w:b/>
          <w:sz w:val="26"/>
          <w:szCs w:val="26"/>
        </w:rPr>
      </w:pPr>
      <w:r>
        <w:rPr>
          <w:rFonts w:ascii="Times New Roman" w:hAnsi="Times New Roman"/>
          <w:sz w:val="26"/>
          <w:szCs w:val="26"/>
        </w:rPr>
        <w:tab/>
      </w:r>
      <w:r w:rsidR="00C90964">
        <w:rPr>
          <w:rFonts w:ascii="Times New Roman" w:hAnsi="Times New Roman"/>
          <w:b/>
          <w:sz w:val="26"/>
          <w:szCs w:val="26"/>
        </w:rPr>
        <w:t>Michael DeWine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Ohio </w:t>
      </w:r>
      <w:r w:rsidR="00721F2D">
        <w:rPr>
          <w:rFonts w:ascii="Times New Roman" w:hAnsi="Times New Roman"/>
          <w:sz w:val="26"/>
          <w:szCs w:val="26"/>
        </w:rPr>
        <w:t>Attorney</w:t>
      </w:r>
      <w:r>
        <w:rPr>
          <w:rFonts w:ascii="Times New Roman" w:hAnsi="Times New Roman"/>
          <w:sz w:val="26"/>
          <w:szCs w:val="26"/>
        </w:rPr>
        <w:t xml:space="preserve"> General</w:t>
      </w:r>
    </w:p>
    <w:p w:rsidR="00E10679" w:rsidRDefault="00E10679" w:rsidP="00E10679">
      <w:pPr>
        <w:pStyle w:val="Title"/>
        <w:tabs>
          <w:tab w:val="left" w:pos="4320"/>
        </w:tabs>
        <w:jc w:val="left"/>
        <w:rPr>
          <w:rFonts w:ascii="Times New Roman" w:hAnsi="Times New Roman"/>
          <w:sz w:val="26"/>
          <w:szCs w:val="26"/>
        </w:rPr>
      </w:pP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BC5B75">
        <w:rPr>
          <w:rFonts w:ascii="Times New Roman" w:hAnsi="Times New Roman"/>
          <w:b/>
          <w:sz w:val="26"/>
          <w:szCs w:val="26"/>
        </w:rPr>
        <w:t>William L. Wright</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Section Chief</w:t>
      </w:r>
    </w:p>
    <w:p w:rsidR="00E10679" w:rsidRDefault="00E10679" w:rsidP="00E10679">
      <w:pPr>
        <w:pStyle w:val="Title"/>
        <w:tabs>
          <w:tab w:val="left" w:pos="4320"/>
        </w:tabs>
        <w:jc w:val="left"/>
        <w:rPr>
          <w:rFonts w:ascii="Times New Roman" w:hAnsi="Times New Roman"/>
          <w:sz w:val="26"/>
          <w:szCs w:val="26"/>
        </w:rPr>
      </w:pPr>
    </w:p>
    <w:p w:rsidR="00E10679" w:rsidRDefault="00E10679" w:rsidP="00F910F7">
      <w:pPr>
        <w:pStyle w:val="Title"/>
        <w:tabs>
          <w:tab w:val="left" w:pos="4320"/>
        </w:tabs>
        <w:jc w:val="left"/>
        <w:rPr>
          <w:rFonts w:ascii="Times New Roman" w:hAnsi="Times New Roman"/>
          <w:b/>
          <w:sz w:val="26"/>
          <w:szCs w:val="26"/>
        </w:rPr>
      </w:pPr>
      <w:r>
        <w:rPr>
          <w:rFonts w:ascii="Times New Roman" w:hAnsi="Times New Roman"/>
          <w:sz w:val="26"/>
          <w:szCs w:val="26"/>
        </w:rPr>
        <w:tab/>
      </w:r>
      <w:r w:rsidR="00F910F7">
        <w:rPr>
          <w:rFonts w:ascii="Times New Roman" w:hAnsi="Times New Roman"/>
          <w:b/>
          <w:sz w:val="26"/>
          <w:szCs w:val="26"/>
        </w:rPr>
        <w:t>Stephen A. Reilly</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721F2D">
        <w:rPr>
          <w:rFonts w:ascii="Times New Roman" w:hAnsi="Times New Roman"/>
          <w:sz w:val="26"/>
          <w:szCs w:val="26"/>
        </w:rPr>
        <w:t>Assistant</w:t>
      </w:r>
      <w:r w:rsidR="00000C8C">
        <w:rPr>
          <w:rFonts w:ascii="Times New Roman" w:hAnsi="Times New Roman"/>
          <w:sz w:val="26"/>
          <w:szCs w:val="26"/>
        </w:rPr>
        <w:t xml:space="preserve"> Attorney</w:t>
      </w:r>
      <w:r>
        <w:rPr>
          <w:rFonts w:ascii="Times New Roman" w:hAnsi="Times New Roman"/>
          <w:sz w:val="26"/>
          <w:szCs w:val="26"/>
        </w:rPr>
        <w:t xml:space="preserve"> General</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Public </w:t>
      </w:r>
      <w:r w:rsidR="00721F2D">
        <w:rPr>
          <w:rFonts w:ascii="Times New Roman" w:hAnsi="Times New Roman"/>
          <w:sz w:val="26"/>
          <w:szCs w:val="26"/>
        </w:rPr>
        <w:t>Utilities</w:t>
      </w:r>
      <w:r>
        <w:rPr>
          <w:rFonts w:ascii="Times New Roman" w:hAnsi="Times New Roman"/>
          <w:sz w:val="26"/>
          <w:szCs w:val="26"/>
        </w:rPr>
        <w:t xml:space="preserve"> Section</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Columbus, OH  43215-3793</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614.466.4397 (telephone)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614.644.8764 (fax)</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hyperlink r:id="rId9" w:history="1">
        <w:r w:rsidR="00F910F7" w:rsidRPr="0059241F">
          <w:rPr>
            <w:rStyle w:val="Hyperlink"/>
            <w:rFonts w:ascii="Times New Roman" w:hAnsi="Times New Roman"/>
            <w:sz w:val="26"/>
            <w:szCs w:val="26"/>
          </w:rPr>
          <w:t>stephen.reilly@puc.state.oh.us</w:t>
        </w:r>
      </w:hyperlink>
    </w:p>
    <w:p w:rsidR="00E10679" w:rsidRPr="00E10679" w:rsidRDefault="00E10679" w:rsidP="00E10679">
      <w:pPr>
        <w:pStyle w:val="Title"/>
        <w:tabs>
          <w:tab w:val="left" w:pos="4320"/>
        </w:tabs>
        <w:jc w:val="left"/>
        <w:rPr>
          <w:rFonts w:ascii="Times New Roman" w:hAnsi="Times New Roman"/>
          <w:sz w:val="26"/>
          <w:szCs w:val="26"/>
        </w:rPr>
      </w:pPr>
    </w:p>
    <w:p w:rsidR="00663D6A" w:rsidRPr="002D54AC" w:rsidRDefault="00663D6A" w:rsidP="00663D6A">
      <w:pPr>
        <w:pStyle w:val="Title"/>
        <w:tabs>
          <w:tab w:val="left" w:pos="5130"/>
          <w:tab w:val="left" w:pos="5670"/>
        </w:tabs>
        <w:jc w:val="left"/>
        <w:rPr>
          <w:rFonts w:ascii="Times New Roman" w:hAnsi="Times New Roman"/>
          <w:sz w:val="26"/>
          <w:szCs w:val="26"/>
        </w:rPr>
      </w:pPr>
    </w:p>
    <w:p w:rsidR="00663D6A" w:rsidRPr="002D54AC" w:rsidRDefault="00663D6A" w:rsidP="00663D6A">
      <w:pPr>
        <w:pStyle w:val="Title"/>
        <w:tabs>
          <w:tab w:val="left" w:pos="5130"/>
          <w:tab w:val="left" w:pos="5670"/>
        </w:tabs>
        <w:jc w:val="left"/>
        <w:rPr>
          <w:rFonts w:ascii="Times New Roman" w:hAnsi="Times New Roman"/>
          <w:sz w:val="26"/>
          <w:szCs w:val="26"/>
        </w:rPr>
      </w:pPr>
    </w:p>
    <w:p w:rsidR="00663D6A" w:rsidRPr="002D54AC" w:rsidRDefault="00E10679" w:rsidP="004B6358">
      <w:pPr>
        <w:pStyle w:val="PlainText"/>
        <w:rPr>
          <w:rFonts w:ascii="Times New Roman" w:hAnsi="Times New Roman"/>
          <w:sz w:val="26"/>
          <w:szCs w:val="26"/>
        </w:rPr>
      </w:pPr>
      <w:r>
        <w:rPr>
          <w:rFonts w:ascii="Times New Roman" w:hAnsi="Times New Roman"/>
          <w:sz w:val="26"/>
          <w:szCs w:val="26"/>
        </w:rPr>
        <w:t xml:space="preserve">June </w:t>
      </w:r>
      <w:r w:rsidR="00F910F7">
        <w:rPr>
          <w:rFonts w:ascii="Times New Roman" w:hAnsi="Times New Roman"/>
          <w:sz w:val="26"/>
          <w:szCs w:val="26"/>
        </w:rPr>
        <w:t>18</w:t>
      </w:r>
      <w:r w:rsidR="00663D6A">
        <w:rPr>
          <w:rFonts w:ascii="Times New Roman" w:hAnsi="Times New Roman"/>
          <w:sz w:val="26"/>
          <w:szCs w:val="26"/>
        </w:rPr>
        <w:t xml:space="preserve">, </w:t>
      </w:r>
      <w:r w:rsidR="00A46998">
        <w:rPr>
          <w:rFonts w:ascii="Times New Roman" w:hAnsi="Times New Roman"/>
          <w:sz w:val="26"/>
          <w:szCs w:val="26"/>
        </w:rPr>
        <w:t>2010</w:t>
      </w:r>
    </w:p>
    <w:p w:rsidR="003B12DD" w:rsidRDefault="003B12DD" w:rsidP="00663D6A">
      <w:pPr>
        <w:jc w:val="center"/>
        <w:rPr>
          <w:b/>
          <w:sz w:val="26"/>
          <w:szCs w:val="26"/>
        </w:rPr>
        <w:sectPr w:rsidR="003B12DD" w:rsidSect="003B12DD">
          <w:headerReference w:type="default" r:id="rId10"/>
          <w:footerReference w:type="default" r:id="rId11"/>
          <w:pgSz w:w="12240" w:h="15840" w:code="1"/>
          <w:pgMar w:top="1440" w:right="1440" w:bottom="1440" w:left="1440" w:header="720" w:footer="720" w:gutter="0"/>
          <w:pgNumType w:fmt="lowerRoman" w:start="1"/>
          <w:cols w:space="720"/>
          <w:titlePg/>
          <w:docGrid w:linePitch="360"/>
        </w:sectPr>
      </w:pPr>
    </w:p>
    <w:bookmarkStart w:id="14" w:name="_Toc260212957"/>
    <w:p w:rsidR="006F4BE6" w:rsidRPr="006F4BE6" w:rsidRDefault="006F4BE6" w:rsidP="00B374AB">
      <w:pPr>
        <w:pStyle w:val="TOC1"/>
        <w:rPr>
          <w:rFonts w:ascii="Calibri" w:hAnsi="Calibri"/>
          <w:noProof/>
          <w:sz w:val="22"/>
          <w:szCs w:val="22"/>
        </w:rPr>
      </w:pPr>
      <w:r>
        <w:rPr>
          <w:b/>
          <w:szCs w:val="26"/>
        </w:rPr>
        <w:lastRenderedPageBreak/>
        <w:fldChar w:fldCharType="begin"/>
      </w:r>
      <w:r>
        <w:rPr>
          <w:b/>
          <w:szCs w:val="26"/>
        </w:rPr>
        <w:instrText xml:space="preserve"> TOC \o "1-3" \u </w:instrText>
      </w:r>
      <w:r>
        <w:rPr>
          <w:b/>
          <w:szCs w:val="26"/>
        </w:rPr>
        <w:fldChar w:fldCharType="separate"/>
      </w:r>
      <w:r>
        <w:rPr>
          <w:noProof/>
        </w:rPr>
        <w:t>BACKGROUND</w:t>
      </w:r>
      <w:bookmarkStart w:id="15" w:name="_GoBack"/>
      <w:bookmarkEnd w:id="15"/>
      <w:r>
        <w:rPr>
          <w:noProof/>
        </w:rPr>
        <w:tab/>
      </w:r>
      <w:r>
        <w:rPr>
          <w:noProof/>
        </w:rPr>
        <w:fldChar w:fldCharType="begin"/>
      </w:r>
      <w:r>
        <w:rPr>
          <w:noProof/>
        </w:rPr>
        <w:instrText xml:space="preserve"> PAGEREF _Toc359331446 \h </w:instrText>
      </w:r>
      <w:r>
        <w:rPr>
          <w:noProof/>
        </w:rPr>
      </w:r>
      <w:r>
        <w:rPr>
          <w:noProof/>
        </w:rPr>
        <w:fldChar w:fldCharType="separate"/>
      </w:r>
      <w:r w:rsidR="00C977AE">
        <w:rPr>
          <w:noProof/>
        </w:rPr>
        <w:t>1</w:t>
      </w:r>
      <w:r>
        <w:rPr>
          <w:noProof/>
        </w:rPr>
        <w:fldChar w:fldCharType="end"/>
      </w:r>
    </w:p>
    <w:p w:rsidR="006F4BE6" w:rsidRPr="006F4BE6" w:rsidRDefault="006F4BE6" w:rsidP="00B374AB">
      <w:pPr>
        <w:pStyle w:val="TOC1"/>
        <w:rPr>
          <w:rFonts w:ascii="Calibri" w:hAnsi="Calibri"/>
          <w:noProof/>
          <w:sz w:val="22"/>
          <w:szCs w:val="22"/>
        </w:rPr>
      </w:pPr>
      <w:r w:rsidRPr="00133D89">
        <w:rPr>
          <w:noProof/>
        </w:rPr>
        <w:t>ALGORITHM FOR MVR ALLOCATION</w:t>
      </w:r>
      <w:r>
        <w:rPr>
          <w:noProof/>
        </w:rPr>
        <w:tab/>
      </w:r>
      <w:r>
        <w:rPr>
          <w:noProof/>
        </w:rPr>
        <w:fldChar w:fldCharType="begin"/>
      </w:r>
      <w:r>
        <w:rPr>
          <w:noProof/>
        </w:rPr>
        <w:instrText xml:space="preserve"> PAGEREF _Toc359331447 \h </w:instrText>
      </w:r>
      <w:r>
        <w:rPr>
          <w:noProof/>
        </w:rPr>
      </w:r>
      <w:r>
        <w:rPr>
          <w:noProof/>
        </w:rPr>
        <w:fldChar w:fldCharType="separate"/>
      </w:r>
      <w:r w:rsidR="00C977AE">
        <w:rPr>
          <w:noProof/>
        </w:rPr>
        <w:t>3</w:t>
      </w:r>
      <w:r>
        <w:rPr>
          <w:noProof/>
        </w:rPr>
        <w:fldChar w:fldCharType="end"/>
      </w:r>
    </w:p>
    <w:p w:rsidR="006F4BE6" w:rsidRPr="006F4BE6" w:rsidRDefault="006F4BE6" w:rsidP="00B374AB">
      <w:pPr>
        <w:pStyle w:val="TOC1"/>
        <w:rPr>
          <w:rFonts w:ascii="Calibri" w:hAnsi="Calibri"/>
          <w:noProof/>
          <w:sz w:val="22"/>
          <w:szCs w:val="22"/>
        </w:rPr>
      </w:pPr>
      <w:r w:rsidRPr="00133D89">
        <w:rPr>
          <w:noProof/>
        </w:rPr>
        <w:t xml:space="preserve">STEP </w:t>
      </w:r>
      <w:r>
        <w:rPr>
          <w:noProof/>
        </w:rPr>
        <w:t>1:</w:t>
      </w:r>
      <w:r w:rsidRPr="00133D89">
        <w:rPr>
          <w:noProof/>
        </w:rPr>
        <w:t xml:space="preserve"> DETERMINATION OF INITIAL MARKET OWNERSHIP</w:t>
      </w:r>
      <w:r>
        <w:rPr>
          <w:noProof/>
        </w:rPr>
        <w:tab/>
      </w:r>
      <w:r>
        <w:rPr>
          <w:noProof/>
        </w:rPr>
        <w:fldChar w:fldCharType="begin"/>
      </w:r>
      <w:r>
        <w:rPr>
          <w:noProof/>
        </w:rPr>
        <w:instrText xml:space="preserve"> PAGEREF _Toc359331448 \h </w:instrText>
      </w:r>
      <w:r>
        <w:rPr>
          <w:noProof/>
        </w:rPr>
      </w:r>
      <w:r>
        <w:rPr>
          <w:noProof/>
        </w:rPr>
        <w:fldChar w:fldCharType="separate"/>
      </w:r>
      <w:r w:rsidR="00C977AE">
        <w:rPr>
          <w:noProof/>
        </w:rPr>
        <w:t>3</w:t>
      </w:r>
      <w:r>
        <w:rPr>
          <w:noProof/>
        </w:rPr>
        <w:fldChar w:fldCharType="end"/>
      </w:r>
    </w:p>
    <w:p w:rsidR="006F4BE6" w:rsidRPr="006F4BE6" w:rsidRDefault="006F4BE6" w:rsidP="00B374AB">
      <w:pPr>
        <w:pStyle w:val="TOC1"/>
        <w:rPr>
          <w:rFonts w:ascii="Calibri" w:hAnsi="Calibri"/>
          <w:noProof/>
          <w:sz w:val="22"/>
          <w:szCs w:val="22"/>
        </w:rPr>
      </w:pPr>
      <w:r w:rsidRPr="00133D89">
        <w:rPr>
          <w:noProof/>
        </w:rPr>
        <w:t>STEP 2: INITIAL ALLOCATION OF SCO CUSTOMERS</w:t>
      </w:r>
      <w:r>
        <w:rPr>
          <w:noProof/>
        </w:rPr>
        <w:tab/>
      </w:r>
      <w:r>
        <w:rPr>
          <w:noProof/>
        </w:rPr>
        <w:fldChar w:fldCharType="begin"/>
      </w:r>
      <w:r>
        <w:rPr>
          <w:noProof/>
        </w:rPr>
        <w:instrText xml:space="preserve"> PAGEREF _Toc359331449 \h </w:instrText>
      </w:r>
      <w:r>
        <w:rPr>
          <w:noProof/>
        </w:rPr>
      </w:r>
      <w:r>
        <w:rPr>
          <w:noProof/>
        </w:rPr>
        <w:fldChar w:fldCharType="separate"/>
      </w:r>
      <w:r w:rsidR="00C977AE">
        <w:rPr>
          <w:noProof/>
        </w:rPr>
        <w:t>4</w:t>
      </w:r>
      <w:r>
        <w:rPr>
          <w:noProof/>
        </w:rPr>
        <w:fldChar w:fldCharType="end"/>
      </w:r>
    </w:p>
    <w:p w:rsidR="006F4BE6" w:rsidRPr="006F4BE6" w:rsidRDefault="006F4BE6" w:rsidP="00B374AB">
      <w:pPr>
        <w:pStyle w:val="TOC1"/>
        <w:rPr>
          <w:rFonts w:ascii="Calibri" w:hAnsi="Calibri"/>
          <w:noProof/>
          <w:sz w:val="22"/>
          <w:szCs w:val="22"/>
        </w:rPr>
      </w:pPr>
      <w:r w:rsidRPr="00133D89">
        <w:rPr>
          <w:noProof/>
        </w:rPr>
        <w:t>STEP 3: ALLOCATION OF RESIDUAL SCO CUSTOMERS TO MVR SUPPLIERS</w:t>
      </w:r>
      <w:r>
        <w:rPr>
          <w:noProof/>
        </w:rPr>
        <w:tab/>
      </w:r>
      <w:r>
        <w:rPr>
          <w:noProof/>
        </w:rPr>
        <w:fldChar w:fldCharType="begin"/>
      </w:r>
      <w:r>
        <w:rPr>
          <w:noProof/>
        </w:rPr>
        <w:instrText xml:space="preserve"> PAGEREF _Toc359331450 \h </w:instrText>
      </w:r>
      <w:r>
        <w:rPr>
          <w:noProof/>
        </w:rPr>
      </w:r>
      <w:r>
        <w:rPr>
          <w:noProof/>
        </w:rPr>
        <w:fldChar w:fldCharType="separate"/>
      </w:r>
      <w:r w:rsidR="00C977AE">
        <w:rPr>
          <w:noProof/>
        </w:rPr>
        <w:t>5</w:t>
      </w:r>
      <w:r>
        <w:rPr>
          <w:noProof/>
        </w:rPr>
        <w:fldChar w:fldCharType="end"/>
      </w:r>
    </w:p>
    <w:p w:rsidR="006F4BE6" w:rsidRPr="006F4BE6" w:rsidRDefault="006F4BE6" w:rsidP="00B374AB">
      <w:pPr>
        <w:pStyle w:val="TOC1"/>
        <w:rPr>
          <w:rFonts w:ascii="Calibri" w:hAnsi="Calibri"/>
          <w:noProof/>
          <w:sz w:val="22"/>
          <w:szCs w:val="22"/>
        </w:rPr>
      </w:pPr>
      <w:r w:rsidRPr="00133D89">
        <w:rPr>
          <w:noProof/>
        </w:rPr>
        <w:t>TARIFF MODIFICATION</w:t>
      </w:r>
      <w:r>
        <w:rPr>
          <w:noProof/>
        </w:rPr>
        <w:tab/>
      </w:r>
      <w:r>
        <w:rPr>
          <w:noProof/>
        </w:rPr>
        <w:fldChar w:fldCharType="begin"/>
      </w:r>
      <w:r>
        <w:rPr>
          <w:noProof/>
        </w:rPr>
        <w:instrText xml:space="preserve"> PAGEREF _Toc359331451 \h </w:instrText>
      </w:r>
      <w:r>
        <w:rPr>
          <w:noProof/>
        </w:rPr>
      </w:r>
      <w:r>
        <w:rPr>
          <w:noProof/>
        </w:rPr>
        <w:fldChar w:fldCharType="separate"/>
      </w:r>
      <w:r w:rsidR="00C977AE">
        <w:rPr>
          <w:noProof/>
        </w:rPr>
        <w:t>7</w:t>
      </w:r>
      <w:r>
        <w:rPr>
          <w:noProof/>
        </w:rPr>
        <w:fldChar w:fldCharType="end"/>
      </w:r>
    </w:p>
    <w:p w:rsidR="006F4BE6" w:rsidRPr="006F4BE6" w:rsidRDefault="006F4BE6" w:rsidP="00B374AB">
      <w:pPr>
        <w:pStyle w:val="TOC1"/>
        <w:rPr>
          <w:rFonts w:ascii="Calibri" w:hAnsi="Calibri"/>
          <w:noProof/>
          <w:sz w:val="22"/>
          <w:szCs w:val="22"/>
        </w:rPr>
      </w:pPr>
      <w:r w:rsidRPr="00133D89">
        <w:rPr>
          <w:noProof/>
        </w:rPr>
        <w:t>CONCLUSION</w:t>
      </w:r>
      <w:r>
        <w:rPr>
          <w:noProof/>
        </w:rPr>
        <w:tab/>
      </w:r>
      <w:r>
        <w:rPr>
          <w:noProof/>
        </w:rPr>
        <w:fldChar w:fldCharType="begin"/>
      </w:r>
      <w:r>
        <w:rPr>
          <w:noProof/>
        </w:rPr>
        <w:instrText xml:space="preserve"> PAGEREF _Toc359331452 \h </w:instrText>
      </w:r>
      <w:r>
        <w:rPr>
          <w:noProof/>
        </w:rPr>
      </w:r>
      <w:r>
        <w:rPr>
          <w:noProof/>
        </w:rPr>
        <w:fldChar w:fldCharType="separate"/>
      </w:r>
      <w:r w:rsidR="00C977AE">
        <w:rPr>
          <w:noProof/>
        </w:rPr>
        <w:t>8</w:t>
      </w:r>
      <w:r>
        <w:rPr>
          <w:noProof/>
        </w:rPr>
        <w:fldChar w:fldCharType="end"/>
      </w:r>
    </w:p>
    <w:p w:rsidR="006F4BE6" w:rsidRPr="006F4BE6" w:rsidRDefault="006F4BE6" w:rsidP="00B374AB">
      <w:pPr>
        <w:pStyle w:val="TOC1"/>
        <w:rPr>
          <w:rFonts w:ascii="Calibri" w:hAnsi="Calibri"/>
          <w:noProof/>
          <w:sz w:val="22"/>
          <w:szCs w:val="22"/>
        </w:rPr>
      </w:pPr>
      <w:r w:rsidRPr="00133D89">
        <w:rPr>
          <w:noProof/>
        </w:rPr>
        <w:t>PROOF OF SERVICE</w:t>
      </w:r>
      <w:r>
        <w:rPr>
          <w:noProof/>
        </w:rPr>
        <w:tab/>
      </w:r>
      <w:r>
        <w:rPr>
          <w:noProof/>
        </w:rPr>
        <w:fldChar w:fldCharType="begin"/>
      </w:r>
      <w:r>
        <w:rPr>
          <w:noProof/>
        </w:rPr>
        <w:instrText xml:space="preserve"> PAGEREF _Toc359331453 \h </w:instrText>
      </w:r>
      <w:r>
        <w:rPr>
          <w:noProof/>
        </w:rPr>
      </w:r>
      <w:r>
        <w:rPr>
          <w:noProof/>
        </w:rPr>
        <w:fldChar w:fldCharType="separate"/>
      </w:r>
      <w:r w:rsidR="00C977AE">
        <w:rPr>
          <w:noProof/>
        </w:rPr>
        <w:t>9</w:t>
      </w:r>
      <w:r>
        <w:rPr>
          <w:noProof/>
        </w:rPr>
        <w:fldChar w:fldCharType="end"/>
      </w:r>
    </w:p>
    <w:p w:rsidR="006F4BE6" w:rsidRDefault="006F4BE6" w:rsidP="00F910F7">
      <w:pPr>
        <w:jc w:val="center"/>
        <w:rPr>
          <w:b/>
          <w:sz w:val="26"/>
          <w:szCs w:val="26"/>
        </w:rPr>
        <w:sectPr w:rsidR="006F4BE6" w:rsidSect="006F4BE6">
          <w:headerReference w:type="default" r:id="rId12"/>
          <w:footerReference w:type="default" r:id="rId13"/>
          <w:headerReference w:type="first" r:id="rId14"/>
          <w:footerReference w:type="first" r:id="rId15"/>
          <w:pgSz w:w="12240" w:h="15840" w:code="1"/>
          <w:pgMar w:top="1440" w:right="1440" w:bottom="1440" w:left="1440" w:header="720" w:footer="720" w:gutter="0"/>
          <w:pgNumType w:fmt="lowerRoman" w:start="1"/>
          <w:cols w:space="720"/>
          <w:titlePg/>
          <w:docGrid w:linePitch="360"/>
        </w:sectPr>
      </w:pPr>
      <w:r>
        <w:rPr>
          <w:b/>
          <w:sz w:val="26"/>
          <w:szCs w:val="26"/>
        </w:rPr>
        <w:fldChar w:fldCharType="end"/>
      </w:r>
    </w:p>
    <w:p w:rsidR="00F910F7" w:rsidRPr="002D54AC" w:rsidRDefault="00F910F7" w:rsidP="00F910F7">
      <w:pPr>
        <w:jc w:val="center"/>
        <w:rPr>
          <w:b/>
          <w:sz w:val="26"/>
          <w:szCs w:val="26"/>
        </w:rPr>
      </w:pPr>
      <w:r w:rsidRPr="002D54AC">
        <w:rPr>
          <w:b/>
          <w:sz w:val="26"/>
          <w:szCs w:val="26"/>
        </w:rPr>
        <w:lastRenderedPageBreak/>
        <w:t>BEFORE</w:t>
      </w:r>
    </w:p>
    <w:p w:rsidR="00F910F7" w:rsidRPr="002D54AC" w:rsidRDefault="00F910F7" w:rsidP="00F910F7">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rsidR="00F910F7" w:rsidRDefault="00F910F7" w:rsidP="00F910F7">
      <w:pPr>
        <w:pStyle w:val="Title"/>
        <w:tabs>
          <w:tab w:val="left" w:pos="5130"/>
          <w:tab w:val="left" w:pos="5670"/>
        </w:tabs>
        <w:rPr>
          <w:rFonts w:ascii="Times New Roman" w:hAnsi="Times New Roman"/>
          <w:sz w:val="26"/>
          <w:szCs w:val="26"/>
        </w:rPr>
      </w:pPr>
    </w:p>
    <w:p w:rsidR="00F910F7" w:rsidRDefault="00F910F7" w:rsidP="00F910F7">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689"/>
        <w:gridCol w:w="289"/>
        <w:gridCol w:w="4598"/>
      </w:tblGrid>
      <w:tr w:rsidR="00F910F7" w:rsidTr="00D07C53">
        <w:tc>
          <w:tcPr>
            <w:tcW w:w="4698" w:type="dxa"/>
          </w:tcPr>
          <w:p w:rsidR="00F910F7" w:rsidRPr="00221496" w:rsidRDefault="00F910F7" w:rsidP="006F4BE6">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Pr>
                <w:rFonts w:ascii="Times New Roman" w:hAnsi="Times New Roman"/>
                <w:sz w:val="26"/>
                <w:szCs w:val="26"/>
              </w:rPr>
              <w:t xml:space="preserve"> the Application to Modify, in Accordance with Section 4928.08, Revised Code, the Exemption Granted Columbia Gas of Ohio, Inc., </w:t>
            </w:r>
            <w:r w:rsidR="006F4BE6">
              <w:rPr>
                <w:rFonts w:ascii="Times New Roman" w:hAnsi="Times New Roman"/>
                <w:sz w:val="26"/>
                <w:szCs w:val="26"/>
              </w:rPr>
              <w:t>Case No</w:t>
            </w:r>
            <w:r>
              <w:rPr>
                <w:rFonts w:ascii="Times New Roman" w:hAnsi="Times New Roman"/>
                <w:sz w:val="26"/>
                <w:szCs w:val="26"/>
              </w:rPr>
              <w:t>. 08-1344-GA-EXM.</w:t>
            </w:r>
          </w:p>
        </w:tc>
        <w:tc>
          <w:tcPr>
            <w:tcW w:w="270" w:type="dxa"/>
          </w:tcPr>
          <w:p w:rsidR="00F910F7" w:rsidRPr="00221496" w:rsidRDefault="00F910F7" w:rsidP="00D07C53">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F910F7" w:rsidRPr="00221496" w:rsidRDefault="00F910F7" w:rsidP="00D07C53">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F910F7" w:rsidRDefault="00F910F7" w:rsidP="00D07C53">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F910F7" w:rsidRDefault="00F910F7" w:rsidP="00D07C53">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910F7" w:rsidRPr="00221496" w:rsidRDefault="00F910F7" w:rsidP="00D07C53">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608" w:type="dxa"/>
          </w:tcPr>
          <w:p w:rsidR="00F910F7" w:rsidRDefault="00F910F7" w:rsidP="00D07C53">
            <w:pPr>
              <w:pStyle w:val="Title"/>
              <w:tabs>
                <w:tab w:val="left" w:pos="1142"/>
                <w:tab w:val="left" w:pos="5130"/>
                <w:tab w:val="left" w:pos="5670"/>
              </w:tabs>
              <w:jc w:val="left"/>
              <w:rPr>
                <w:rFonts w:ascii="Times New Roman" w:hAnsi="Times New Roman"/>
                <w:sz w:val="26"/>
                <w:szCs w:val="26"/>
              </w:rPr>
            </w:pPr>
            <w:r>
              <w:rPr>
                <w:rFonts w:ascii="Times New Roman" w:hAnsi="Times New Roman"/>
                <w:sz w:val="26"/>
                <w:szCs w:val="26"/>
              </w:rPr>
              <w:t xml:space="preserve"> </w:t>
            </w:r>
          </w:p>
          <w:p w:rsidR="00F910F7" w:rsidRPr="00221496" w:rsidRDefault="00F910F7" w:rsidP="00D07C53">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Pr>
                <w:rFonts w:ascii="Times New Roman" w:hAnsi="Times New Roman"/>
                <w:sz w:val="26"/>
                <w:szCs w:val="26"/>
              </w:rPr>
              <w:t>12-2637-GA-EXM</w:t>
            </w:r>
          </w:p>
        </w:tc>
      </w:tr>
    </w:tbl>
    <w:p w:rsidR="00F910F7" w:rsidRPr="002D54AC" w:rsidRDefault="00F910F7" w:rsidP="00F910F7">
      <w:pPr>
        <w:pStyle w:val="Title"/>
        <w:tabs>
          <w:tab w:val="left" w:pos="5130"/>
          <w:tab w:val="left" w:pos="5670"/>
        </w:tabs>
        <w:rPr>
          <w:rFonts w:ascii="Times New Roman" w:hAnsi="Times New Roman"/>
          <w:sz w:val="26"/>
          <w:szCs w:val="26"/>
        </w:rPr>
      </w:pPr>
    </w:p>
    <w:p w:rsidR="00F910F7" w:rsidRDefault="00F910F7" w:rsidP="00F910F7">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F910F7" w:rsidRPr="00E10679" w:rsidRDefault="00F910F7" w:rsidP="00F910F7">
      <w:pPr>
        <w:pStyle w:val="Title"/>
        <w:tabs>
          <w:tab w:val="left" w:pos="9360"/>
        </w:tabs>
        <w:rPr>
          <w:rFonts w:ascii="Times New Roman" w:hAnsi="Times New Roman"/>
          <w:b/>
          <w:sz w:val="32"/>
          <w:szCs w:val="32"/>
        </w:rPr>
      </w:pPr>
      <w:r>
        <w:rPr>
          <w:rFonts w:ascii="Times New Roman" w:hAnsi="Times New Roman"/>
          <w:b/>
          <w:sz w:val="32"/>
          <w:szCs w:val="32"/>
        </w:rPr>
        <w:t>AN ALLOCATION METHODOLOGY PROPOSAL</w:t>
      </w:r>
    </w:p>
    <w:p w:rsidR="00F910F7" w:rsidRPr="00F910F7" w:rsidRDefault="00F910F7" w:rsidP="00F910F7">
      <w:pPr>
        <w:jc w:val="center"/>
        <w:rPr>
          <w:sz w:val="28"/>
          <w:szCs w:val="28"/>
        </w:rPr>
      </w:pPr>
      <w:r w:rsidRPr="00F910F7">
        <w:rPr>
          <w:sz w:val="28"/>
          <w:szCs w:val="28"/>
        </w:rPr>
        <w:t>SUBMITTED ON BEHALF OF THE STAFF OF</w:t>
      </w:r>
    </w:p>
    <w:p w:rsidR="00F910F7" w:rsidRPr="00F910F7" w:rsidRDefault="00F910F7" w:rsidP="00F910F7">
      <w:pPr>
        <w:jc w:val="center"/>
        <w:rPr>
          <w:sz w:val="28"/>
          <w:szCs w:val="28"/>
        </w:rPr>
      </w:pPr>
      <w:r w:rsidRPr="00F910F7">
        <w:rPr>
          <w:sz w:val="28"/>
          <w:szCs w:val="28"/>
        </w:rPr>
        <w:t>THE PUBLIC UTILITIES COMMISSION OF OHIO</w:t>
      </w:r>
    </w:p>
    <w:p w:rsidR="00F910F7" w:rsidRDefault="00F910F7" w:rsidP="00F910F7">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CB5644" w:rsidRPr="00613023" w:rsidRDefault="00F910F7" w:rsidP="0064436A">
      <w:pPr>
        <w:pStyle w:val="Heading1"/>
      </w:pPr>
      <w:bookmarkStart w:id="16" w:name="_Toc359331446"/>
      <w:bookmarkEnd w:id="14"/>
      <w:r>
        <w:t>BACKGROUND</w:t>
      </w:r>
      <w:bookmarkEnd w:id="16"/>
    </w:p>
    <w:p w:rsidR="00F910F7" w:rsidRDefault="00F910F7" w:rsidP="00F910F7">
      <w:pPr>
        <w:pStyle w:val="textstyle0"/>
      </w:pPr>
      <w:bookmarkStart w:id="17" w:name="_Toc260212958"/>
      <w:r>
        <w:tab/>
      </w:r>
      <w:r w:rsidRPr="00DF45BB">
        <w:t xml:space="preserve">The Commission in its March 20, 2013 entry on rehearing recognized that </w:t>
      </w:r>
      <w:r>
        <w:t>prior to Columbia Gas of Ohio Inc.’s (“Columbia”) exit of the merchant function for non-resi</w:t>
      </w:r>
      <w:r w:rsidR="006F4BE6">
        <w:softHyphen/>
      </w:r>
      <w:r>
        <w:t xml:space="preserve">dential customers, </w:t>
      </w:r>
      <w:r w:rsidRPr="00DF45BB">
        <w:t xml:space="preserve">certain details regarding </w:t>
      </w:r>
      <w:r>
        <w:t>the</w:t>
      </w:r>
      <w:r w:rsidRPr="00DF45BB">
        <w:t xml:space="preserve"> customer allocation met</w:t>
      </w:r>
      <w:r>
        <w:t>hodology needed to be discussed</w:t>
      </w:r>
      <w:r w:rsidRPr="00DF45BB">
        <w:t xml:space="preserve"> </w:t>
      </w:r>
      <w:r>
        <w:t xml:space="preserve">and resolved </w:t>
      </w:r>
      <w:r w:rsidRPr="00DF45BB">
        <w:t>among the parties</w:t>
      </w:r>
      <w:r>
        <w:t xml:space="preserve">. </w:t>
      </w:r>
      <w:r w:rsidRPr="00DF45BB">
        <w:t xml:space="preserve"> In this entry the Commission directed Staff to meet with Colu</w:t>
      </w:r>
      <w:r>
        <w:t xml:space="preserve">mbia and its stakeholder group </w:t>
      </w:r>
      <w:r w:rsidRPr="00DF45BB">
        <w:t>to discuss and work out these details and file a</w:t>
      </w:r>
      <w:r>
        <w:t>n</w:t>
      </w:r>
      <w:r w:rsidRPr="00DF45BB">
        <w:t xml:space="preserve"> </w:t>
      </w:r>
      <w:r>
        <w:t xml:space="preserve">allocation methodology </w:t>
      </w:r>
      <w:r w:rsidRPr="00DF45BB">
        <w:t xml:space="preserve">for review and approval within 90 days </w:t>
      </w:r>
      <w:r>
        <w:t>of the date of the entry.  The</w:t>
      </w:r>
      <w:r w:rsidRPr="00DF45BB">
        <w:t xml:space="preserve"> </w:t>
      </w:r>
      <w:r>
        <w:t xml:space="preserve">Commission specified the non-residential </w:t>
      </w:r>
      <w:r w:rsidRPr="00DF45BB">
        <w:t xml:space="preserve">Choice </w:t>
      </w:r>
      <w:r>
        <w:t>customers</w:t>
      </w:r>
      <w:r>
        <w:rPr>
          <w:rStyle w:val="FootnoteReference"/>
          <w:sz w:val="24"/>
        </w:rPr>
        <w:footnoteReference w:id="1"/>
      </w:r>
      <w:r>
        <w:t xml:space="preserve"> </w:t>
      </w:r>
      <w:r w:rsidRPr="00066A01">
        <w:t>alloca</w:t>
      </w:r>
      <w:r w:rsidR="006F4BE6">
        <w:softHyphen/>
      </w:r>
      <w:r w:rsidRPr="00066A01">
        <w:t xml:space="preserve">tion </w:t>
      </w:r>
      <w:r>
        <w:t>methodology was to</w:t>
      </w:r>
      <w:r w:rsidRPr="00DF45BB">
        <w:t xml:space="preserve"> include:</w:t>
      </w:r>
    </w:p>
    <w:p w:rsidR="00F910F7" w:rsidRPr="00F910F7" w:rsidRDefault="00F910F7" w:rsidP="00F910F7">
      <w:pPr>
        <w:pStyle w:val="NoSpacing"/>
        <w:spacing w:before="240" w:after="240"/>
        <w:ind w:left="2160" w:hanging="1440"/>
        <w:rPr>
          <w:rFonts w:ascii="Times New Roman" w:hAnsi="Times New Roman"/>
          <w:sz w:val="26"/>
          <w:szCs w:val="26"/>
        </w:rPr>
      </w:pPr>
      <w:r w:rsidRPr="00F910F7">
        <w:rPr>
          <w:rFonts w:ascii="Times New Roman" w:hAnsi="Times New Roman"/>
          <w:sz w:val="26"/>
          <w:szCs w:val="26"/>
        </w:rPr>
        <w:lastRenderedPageBreak/>
        <w:t>(i)</w:t>
      </w:r>
      <w:r w:rsidRPr="00F910F7">
        <w:rPr>
          <w:rFonts w:ascii="Times New Roman" w:hAnsi="Times New Roman"/>
          <w:sz w:val="26"/>
          <w:szCs w:val="26"/>
        </w:rPr>
        <w:tab/>
        <w:t>A formula to calculate each MVR</w:t>
      </w:r>
      <w:r w:rsidRPr="00F910F7">
        <w:rPr>
          <w:rStyle w:val="FootnoteReference"/>
          <w:rFonts w:ascii="Times New Roman" w:hAnsi="Times New Roman"/>
          <w:sz w:val="26"/>
          <w:szCs w:val="26"/>
        </w:rPr>
        <w:footnoteReference w:id="2"/>
      </w:r>
      <w:r w:rsidRPr="00F910F7">
        <w:rPr>
          <w:rFonts w:ascii="Times New Roman" w:hAnsi="Times New Roman"/>
          <w:sz w:val="26"/>
          <w:szCs w:val="26"/>
        </w:rPr>
        <w:t xml:space="preserve"> Choice supplier's market share of non-residential Choice customers, as described in the entry;</w:t>
      </w:r>
    </w:p>
    <w:p w:rsidR="00F910F7" w:rsidRPr="00F910F7" w:rsidRDefault="00F910F7" w:rsidP="00F910F7">
      <w:pPr>
        <w:pStyle w:val="NoSpacing"/>
        <w:spacing w:before="240" w:after="240"/>
        <w:ind w:left="2160" w:hanging="1440"/>
        <w:rPr>
          <w:rFonts w:ascii="Times New Roman" w:hAnsi="Times New Roman"/>
          <w:sz w:val="26"/>
          <w:szCs w:val="26"/>
        </w:rPr>
      </w:pPr>
      <w:r w:rsidRPr="00F910F7">
        <w:rPr>
          <w:rFonts w:ascii="Times New Roman" w:hAnsi="Times New Roman"/>
          <w:sz w:val="26"/>
          <w:szCs w:val="26"/>
        </w:rPr>
        <w:t>(ii)</w:t>
      </w:r>
      <w:r w:rsidRPr="00F910F7">
        <w:rPr>
          <w:rFonts w:ascii="Times New Roman" w:hAnsi="Times New Roman"/>
          <w:sz w:val="26"/>
          <w:szCs w:val="26"/>
        </w:rPr>
        <w:tab/>
        <w:t>A formula to calculate each MVR SCO</w:t>
      </w:r>
      <w:r w:rsidRPr="00F910F7">
        <w:rPr>
          <w:rStyle w:val="FootnoteReference"/>
          <w:rFonts w:ascii="Times New Roman" w:hAnsi="Times New Roman"/>
          <w:sz w:val="26"/>
          <w:szCs w:val="26"/>
        </w:rPr>
        <w:footnoteReference w:id="3"/>
      </w:r>
      <w:r w:rsidRPr="00F910F7">
        <w:rPr>
          <w:rFonts w:ascii="Times New Roman" w:hAnsi="Times New Roman"/>
          <w:sz w:val="26"/>
          <w:szCs w:val="26"/>
        </w:rPr>
        <w:t xml:space="preserve"> supplier's market share of non-residential Choice customers, as described in the entry;</w:t>
      </w:r>
    </w:p>
    <w:p w:rsidR="00F910F7" w:rsidRPr="00F910F7" w:rsidRDefault="00F910F7" w:rsidP="00F910F7">
      <w:pPr>
        <w:pStyle w:val="NoSpacing"/>
        <w:spacing w:before="240" w:after="240"/>
        <w:ind w:left="2160" w:hanging="1440"/>
        <w:rPr>
          <w:rFonts w:ascii="Times New Roman" w:hAnsi="Times New Roman"/>
          <w:sz w:val="26"/>
          <w:szCs w:val="26"/>
        </w:rPr>
      </w:pPr>
      <w:r w:rsidRPr="00F910F7">
        <w:rPr>
          <w:rFonts w:ascii="Times New Roman" w:hAnsi="Times New Roman"/>
          <w:sz w:val="26"/>
          <w:szCs w:val="26"/>
        </w:rPr>
        <w:t>(iii)</w:t>
      </w:r>
      <w:r w:rsidRPr="00F910F7">
        <w:rPr>
          <w:rFonts w:ascii="Times New Roman" w:hAnsi="Times New Roman"/>
          <w:sz w:val="26"/>
          <w:szCs w:val="26"/>
        </w:rPr>
        <w:tab/>
        <w:t>A formula to calculate how the residual customers will be allocated under the methodology in finding in the entry.</w:t>
      </w:r>
    </w:p>
    <w:p w:rsidR="00F910F7" w:rsidRPr="00DF45BB" w:rsidRDefault="00F910F7" w:rsidP="00F910F7">
      <w:pPr>
        <w:pStyle w:val="textstyle0"/>
      </w:pPr>
      <w:r w:rsidRPr="00DF45BB">
        <w:t xml:space="preserve">Staff met with Columbia and </w:t>
      </w:r>
      <w:r>
        <w:t xml:space="preserve">the </w:t>
      </w:r>
      <w:r w:rsidRPr="00DF45BB">
        <w:t>stakeholder group on May 3</w:t>
      </w:r>
      <w:r>
        <w:t>rd and 14</w:t>
      </w:r>
      <w:r w:rsidRPr="008975CA">
        <w:rPr>
          <w:vertAlign w:val="superscript"/>
        </w:rPr>
        <w:t>th</w:t>
      </w:r>
      <w:r>
        <w:t>,</w:t>
      </w:r>
      <w:r w:rsidRPr="00DF45BB">
        <w:t xml:space="preserve"> 2013.  Columbia at the May 3</w:t>
      </w:r>
      <w:r>
        <w:t>rd</w:t>
      </w:r>
      <w:r w:rsidRPr="00DF45BB">
        <w:t xml:space="preserve"> meeting </w:t>
      </w:r>
      <w:r>
        <w:t xml:space="preserve">proposed </w:t>
      </w:r>
      <w:r w:rsidRPr="00DF45BB">
        <w:t>an algorithm to carry out the allocation methodologies and a methodology</w:t>
      </w:r>
      <w:r>
        <w:t xml:space="preserve"> for</w:t>
      </w:r>
      <w:r w:rsidRPr="00DF45BB">
        <w:t xml:space="preserve"> allocat</w:t>
      </w:r>
      <w:r>
        <w:t>ing</w:t>
      </w:r>
      <w:r w:rsidRPr="00DF45BB">
        <w:t xml:space="preserve"> residual </w:t>
      </w:r>
      <w:r>
        <w:t xml:space="preserve">non-residential SCO </w:t>
      </w:r>
      <w:r w:rsidRPr="00DF45BB">
        <w:t xml:space="preserve">customers not initially allocated because </w:t>
      </w:r>
      <w:r>
        <w:t xml:space="preserve">an otherwise entitled </w:t>
      </w:r>
      <w:r w:rsidRPr="00DF45BB">
        <w:t>SCO or Choice suppliers chose not to be an MVR supplier.  There was general support within the stakeholder group for Columbia’s algorithm to carry out the allocation methodology, bu</w:t>
      </w:r>
      <w:r>
        <w:t>t it took additional dis</w:t>
      </w:r>
      <w:r w:rsidR="006F4BE6">
        <w:softHyphen/>
      </w:r>
      <w:r>
        <w:t>cussion</w:t>
      </w:r>
      <w:r w:rsidRPr="00DF45BB">
        <w:t xml:space="preserve"> for the stakeholders to come to a consens</w:t>
      </w:r>
      <w:r>
        <w:t>us proposal around methodology.</w:t>
      </w:r>
      <w:r>
        <w:rPr>
          <w:rStyle w:val="FootnoteReference"/>
          <w:sz w:val="24"/>
        </w:rPr>
        <w:footnoteReference w:id="4"/>
      </w:r>
      <w:r w:rsidRPr="00DF45BB">
        <w:t xml:space="preserve">  It should be noted that the Office of the Consumers’ Counsel (“OCC”) as a member of the stakeholder group attended the May 14</w:t>
      </w:r>
      <w:r>
        <w:t>th</w:t>
      </w:r>
      <w:r w:rsidRPr="00DF45BB">
        <w:t xml:space="preserve"> meeting, however since the discussion related exclusively to non-residential customers</w:t>
      </w:r>
      <w:r>
        <w:t>,</w:t>
      </w:r>
      <w:r w:rsidRPr="00DF45BB">
        <w:t xml:space="preserve"> OCC did not participate other than to request that it be noted in the proposal</w:t>
      </w:r>
      <w:r>
        <w:t>,</w:t>
      </w:r>
      <w:r w:rsidRPr="00DF45BB">
        <w:t xml:space="preserve"> that the adopted framework for the MVR allocation </w:t>
      </w:r>
      <w:r w:rsidRPr="00DF45BB">
        <w:lastRenderedPageBreak/>
        <w:t xml:space="preserve">methodology is </w:t>
      </w:r>
      <w:r>
        <w:t xml:space="preserve">only for </w:t>
      </w:r>
      <w:r w:rsidRPr="00DF45BB">
        <w:t xml:space="preserve">non-residential </w:t>
      </w:r>
      <w:r>
        <w:t xml:space="preserve">customers </w:t>
      </w:r>
      <w:r w:rsidRPr="00DF45BB">
        <w:t xml:space="preserve">and in no way establishes a precedent for any future </w:t>
      </w:r>
      <w:r>
        <w:t xml:space="preserve">exit by Columbia for </w:t>
      </w:r>
      <w:r w:rsidRPr="00DF45BB">
        <w:t>residential customer</w:t>
      </w:r>
      <w:r>
        <w:t>s</w:t>
      </w:r>
      <w:r>
        <w:rPr>
          <w:rStyle w:val="FootnoteReference"/>
          <w:sz w:val="24"/>
        </w:rPr>
        <w:footnoteReference w:id="5"/>
      </w:r>
      <w:r w:rsidRPr="00DF45BB">
        <w:t>.</w:t>
      </w:r>
    </w:p>
    <w:p w:rsidR="00F910F7" w:rsidRPr="00784A6C" w:rsidRDefault="00000C8C" w:rsidP="00F910F7">
      <w:pPr>
        <w:pStyle w:val="Heading1"/>
      </w:pPr>
      <w:bookmarkStart w:id="18" w:name="_Toc359331447"/>
      <w:r w:rsidRPr="00784A6C">
        <w:rPr>
          <w:caps w:val="0"/>
        </w:rPr>
        <w:t>ALGORITHM FOR MVR ALLOCATION</w:t>
      </w:r>
      <w:bookmarkEnd w:id="18"/>
    </w:p>
    <w:p w:rsidR="00F910F7" w:rsidRPr="00DF45BB" w:rsidRDefault="00F910F7" w:rsidP="00F910F7">
      <w:pPr>
        <w:pStyle w:val="textstyle0"/>
      </w:pPr>
      <w:r>
        <w:tab/>
      </w:r>
      <w:r w:rsidRPr="00DF45BB">
        <w:t>The Commission directed Staff, Columbia, and the stakeholder group to develop</w:t>
      </w:r>
      <w:r>
        <w:t xml:space="preserve"> a methodology </w:t>
      </w:r>
      <w:r w:rsidRPr="00DF45BB">
        <w:t xml:space="preserve">and algorithm that would result in an allocation </w:t>
      </w:r>
      <w:r>
        <w:t xml:space="preserve">of </w:t>
      </w:r>
      <w:r w:rsidRPr="00DF45BB">
        <w:t xml:space="preserve">non-residential </w:t>
      </w:r>
      <w:r>
        <w:t xml:space="preserve">SCO </w:t>
      </w:r>
      <w:r w:rsidRPr="00DF45BB">
        <w:t>customers</w:t>
      </w:r>
      <w:r>
        <w:t xml:space="preserve"> to MVR suppliers</w:t>
      </w:r>
      <w:r w:rsidRPr="00DF45BB">
        <w:t>.</w:t>
      </w:r>
      <w:r>
        <w:t xml:space="preserve"> </w:t>
      </w:r>
      <w:r w:rsidRPr="00DF45BB">
        <w:t xml:space="preserve"> Below is a written explanation of the </w:t>
      </w:r>
      <w:r>
        <w:t xml:space="preserve">proposed </w:t>
      </w:r>
      <w:r w:rsidRPr="00DF45BB">
        <w:t>methodol</w:t>
      </w:r>
      <w:r w:rsidR="006F4BE6">
        <w:softHyphen/>
      </w:r>
      <w:r w:rsidRPr="00DF45BB">
        <w:t>ogy and algorithm</w:t>
      </w:r>
      <w:r>
        <w:t xml:space="preserve">.  </w:t>
      </w:r>
      <w:r w:rsidRPr="00DF45BB">
        <w:t>The attached Appendix is a worksheet</w:t>
      </w:r>
      <w:r>
        <w:t xml:space="preserve"> detailing an example as it relates to the described methodology</w:t>
      </w:r>
      <w:r w:rsidRPr="00DF45BB">
        <w:t>.</w:t>
      </w:r>
    </w:p>
    <w:p w:rsidR="00F910F7" w:rsidRPr="00073544" w:rsidRDefault="00000C8C" w:rsidP="00F910F7">
      <w:pPr>
        <w:pStyle w:val="Heading1"/>
      </w:pPr>
      <w:bookmarkStart w:id="19" w:name="_Toc359331448"/>
      <w:r w:rsidRPr="00073544">
        <w:rPr>
          <w:caps w:val="0"/>
        </w:rPr>
        <w:t xml:space="preserve">STEP </w:t>
      </w:r>
      <w:r w:rsidR="00F910F7" w:rsidRPr="00073544">
        <w:t>1:</w:t>
      </w:r>
      <w:r w:rsidRPr="00073544">
        <w:rPr>
          <w:caps w:val="0"/>
        </w:rPr>
        <w:t xml:space="preserve"> DETERMINATION OF INITIAL MARKET OWNERSHIP</w:t>
      </w:r>
      <w:bookmarkEnd w:id="19"/>
    </w:p>
    <w:p w:rsidR="00F910F7" w:rsidRPr="00083124" w:rsidRDefault="00F910F7" w:rsidP="00F910F7">
      <w:pPr>
        <w:pStyle w:val="textstyle0"/>
      </w:pPr>
      <w:r>
        <w:tab/>
      </w:r>
      <w:r w:rsidRPr="00083124">
        <w:t xml:space="preserve">The first step </w:t>
      </w:r>
      <w:r>
        <w:t xml:space="preserve">of the allocation methodology </w:t>
      </w:r>
      <w:r w:rsidRPr="00083124">
        <w:t xml:space="preserve">begins with the identification of non-residential customer accounts which are being served by </w:t>
      </w:r>
      <w:r>
        <w:t xml:space="preserve">an </w:t>
      </w:r>
      <w:r w:rsidRPr="00083124">
        <w:t xml:space="preserve">SCO </w:t>
      </w:r>
      <w:r>
        <w:t xml:space="preserve">supplier </w:t>
      </w:r>
      <w:r w:rsidRPr="00083124">
        <w:t xml:space="preserve">or Choice </w:t>
      </w:r>
      <w:r>
        <w:t>sup</w:t>
      </w:r>
      <w:r w:rsidR="006F4BE6">
        <w:softHyphen/>
      </w:r>
      <w:r>
        <w:t xml:space="preserve">plier in </w:t>
      </w:r>
      <w:r w:rsidRPr="00083124">
        <w:t xml:space="preserve">the </w:t>
      </w:r>
      <w:r>
        <w:t xml:space="preserve">month </w:t>
      </w:r>
      <w:r w:rsidRPr="00083124">
        <w:t>immediately preceding the date of exit.  Once identified, the SCO customers will be allocated between two groups, one made up of Choice Suppliers</w:t>
      </w:r>
      <w:r>
        <w:rPr>
          <w:rStyle w:val="FootnoteReference"/>
          <w:sz w:val="24"/>
        </w:rPr>
        <w:footnoteReference w:id="6"/>
      </w:r>
      <w:r w:rsidRPr="00083124">
        <w:t xml:space="preserve"> and the other made up of SCO Suppliers</w:t>
      </w:r>
      <w:r>
        <w:rPr>
          <w:rStyle w:val="FootnoteReference"/>
          <w:sz w:val="24"/>
        </w:rPr>
        <w:footnoteReference w:id="7"/>
      </w:r>
      <w:r w:rsidRPr="00083124">
        <w:t xml:space="preserve"> who served SCO customers during the time period </w:t>
      </w:r>
      <w:r w:rsidRPr="00083124">
        <w:lastRenderedPageBreak/>
        <w:t>beginning January 9, 2013</w:t>
      </w:r>
      <w:r w:rsidRPr="00083124">
        <w:rPr>
          <w:rStyle w:val="FootnoteReference"/>
          <w:sz w:val="24"/>
        </w:rPr>
        <w:footnoteReference w:id="8"/>
      </w:r>
      <w:r w:rsidRPr="00083124">
        <w:t xml:space="preserve"> and ending in the month immediately preceding the date of exit</w:t>
      </w:r>
      <w:r w:rsidR="006F4BE6" w:rsidRPr="00083124">
        <w:t xml:space="preserve">.  </w:t>
      </w:r>
      <w:r w:rsidRPr="00083124">
        <w:t xml:space="preserve">Accordingly, the SCO Supplier </w:t>
      </w:r>
      <w:r>
        <w:t>G</w:t>
      </w:r>
      <w:r w:rsidRPr="00083124">
        <w:t>roup’s percentage is calculated by dividing the total number of non-residential SCO customers by the total number of Choice Eligible customers;</w:t>
      </w:r>
      <w:r>
        <w:rPr>
          <w:rStyle w:val="FootnoteReference"/>
        </w:rPr>
        <w:footnoteReference w:id="9"/>
      </w:r>
      <w:r w:rsidRPr="00083124">
        <w:t xml:space="preserve"> and the Choice </w:t>
      </w:r>
      <w:r>
        <w:t>G</w:t>
      </w:r>
      <w:r w:rsidRPr="00083124">
        <w:t>roup percentage is calculated by the dividing the total num</w:t>
      </w:r>
      <w:r w:rsidR="006F4BE6">
        <w:softHyphen/>
      </w:r>
      <w:r w:rsidRPr="00083124">
        <w:t>ber of non-residential Choice customers also by the total number of Choice Eligible cus</w:t>
      </w:r>
      <w:r w:rsidR="006F4BE6">
        <w:softHyphen/>
      </w:r>
      <w:r w:rsidRPr="00083124">
        <w:t>tomers.  The resulting percentages are then multiplied by the total number of remaining SCO customers to obtain the number of SCO customers to allocate to the SCO Supplier Group and the Choice Supplier Group</w:t>
      </w:r>
      <w:r w:rsidR="006F4BE6" w:rsidRPr="00083124">
        <w:t xml:space="preserve">.  </w:t>
      </w:r>
      <w:r>
        <w:t>(</w:t>
      </w:r>
      <w:r w:rsidRPr="00083124">
        <w:t xml:space="preserve">See columns 8, 12, and 13 of the attached </w:t>
      </w:r>
      <w:r>
        <w:t xml:space="preserve">Appendix </w:t>
      </w:r>
      <w:r w:rsidRPr="00083124">
        <w:t xml:space="preserve">for SCO Suppliers, and columns </w:t>
      </w:r>
      <w:r>
        <w:t>8</w:t>
      </w:r>
      <w:r w:rsidRPr="00083124">
        <w:t>, 12</w:t>
      </w:r>
      <w:r>
        <w:t>,</w:t>
      </w:r>
      <w:r w:rsidRPr="00083124">
        <w:t xml:space="preserve"> and 13 for Choice Suppliers</w:t>
      </w:r>
      <w:r>
        <w:t>)</w:t>
      </w:r>
      <w:r w:rsidRPr="00083124">
        <w:t>.</w:t>
      </w:r>
    </w:p>
    <w:p w:rsidR="00F910F7" w:rsidRPr="00083124" w:rsidRDefault="00000C8C" w:rsidP="00F910F7">
      <w:pPr>
        <w:pStyle w:val="Heading1"/>
      </w:pPr>
      <w:bookmarkStart w:id="20" w:name="_Toc359331449"/>
      <w:r w:rsidRPr="00083124">
        <w:rPr>
          <w:caps w:val="0"/>
        </w:rPr>
        <w:t>STEP 2: INITIAL ALLOCATION OF SCO CUSTOMERS</w:t>
      </w:r>
      <w:bookmarkEnd w:id="20"/>
    </w:p>
    <w:p w:rsidR="00F910F7" w:rsidRDefault="00F910F7" w:rsidP="00F910F7">
      <w:pPr>
        <w:pStyle w:val="textstyle0"/>
      </w:pPr>
      <w:r>
        <w:tab/>
      </w:r>
      <w:r w:rsidRPr="00083124">
        <w:t xml:space="preserve">The second step involves allocating the SCO customers between suppliers within the SCO Supplier Group and within the Choice Supplier Group.  </w:t>
      </w:r>
    </w:p>
    <w:p w:rsidR="00F910F7" w:rsidRPr="00F910F7" w:rsidRDefault="00F910F7" w:rsidP="00F910F7">
      <w:pPr>
        <w:spacing w:line="480" w:lineRule="auto"/>
        <w:ind w:left="720" w:right="720"/>
        <w:rPr>
          <w:sz w:val="26"/>
          <w:szCs w:val="26"/>
        </w:rPr>
      </w:pPr>
      <w:r w:rsidRPr="00F910F7">
        <w:rPr>
          <w:b/>
          <w:sz w:val="26"/>
          <w:szCs w:val="26"/>
        </w:rPr>
        <w:t>SCO Supplier Group --</w:t>
      </w:r>
      <w:r w:rsidRPr="00F910F7">
        <w:rPr>
          <w:sz w:val="26"/>
          <w:szCs w:val="26"/>
        </w:rPr>
        <w:t xml:space="preserve"> The allocation of customers within the SCO Sup</w:t>
      </w:r>
      <w:r w:rsidR="006F4BE6">
        <w:rPr>
          <w:sz w:val="26"/>
          <w:szCs w:val="26"/>
        </w:rPr>
        <w:softHyphen/>
      </w:r>
      <w:r w:rsidRPr="00F910F7">
        <w:rPr>
          <w:sz w:val="26"/>
          <w:szCs w:val="26"/>
        </w:rPr>
        <w:t>plier Group is based on the percentage of qualifying tranches held by each supplier in the SCO Supplier Group.  That percentage is calculated by dividing each supplier’s tranches accumulated during the tranche period by the total number of tranches awarded during the tranche period.  The resulting percentages are then multiplied by the total number of non-resi</w:t>
      </w:r>
      <w:r w:rsidR="006F4BE6">
        <w:rPr>
          <w:sz w:val="26"/>
          <w:szCs w:val="26"/>
        </w:rPr>
        <w:softHyphen/>
      </w:r>
      <w:r w:rsidRPr="00F910F7">
        <w:rPr>
          <w:sz w:val="26"/>
          <w:szCs w:val="26"/>
        </w:rPr>
        <w:lastRenderedPageBreak/>
        <w:t xml:space="preserve">dential customers allocated to the SCO Supplier Group in Step 1 above, to arrive at the number of customers allocated to each supplier in the SCO Supplier Group. </w:t>
      </w:r>
      <w:r>
        <w:rPr>
          <w:sz w:val="26"/>
          <w:szCs w:val="26"/>
        </w:rPr>
        <w:t xml:space="preserve"> </w:t>
      </w:r>
      <w:r w:rsidRPr="00F910F7">
        <w:rPr>
          <w:sz w:val="26"/>
          <w:szCs w:val="26"/>
        </w:rPr>
        <w:t>(See columns 4 through 8, 12 and 13 of the Appendix).</w:t>
      </w:r>
    </w:p>
    <w:p w:rsidR="00F910F7" w:rsidRPr="00F910F7" w:rsidRDefault="00F910F7" w:rsidP="00F910F7">
      <w:pPr>
        <w:spacing w:line="480" w:lineRule="auto"/>
        <w:ind w:left="720" w:right="720"/>
        <w:rPr>
          <w:sz w:val="26"/>
          <w:szCs w:val="26"/>
        </w:rPr>
      </w:pPr>
    </w:p>
    <w:p w:rsidR="00F910F7" w:rsidRPr="00F910F7" w:rsidRDefault="00F910F7" w:rsidP="00F910F7">
      <w:pPr>
        <w:spacing w:line="480" w:lineRule="auto"/>
        <w:ind w:left="720" w:right="720"/>
        <w:rPr>
          <w:sz w:val="26"/>
          <w:szCs w:val="26"/>
        </w:rPr>
      </w:pPr>
      <w:r w:rsidRPr="00F910F7">
        <w:rPr>
          <w:b/>
          <w:sz w:val="26"/>
          <w:szCs w:val="26"/>
        </w:rPr>
        <w:t>Choice Supplier Group --</w:t>
      </w:r>
      <w:r w:rsidRPr="00F910F7">
        <w:rPr>
          <w:sz w:val="26"/>
          <w:szCs w:val="26"/>
        </w:rPr>
        <w:t xml:space="preserve"> The allocation of customers within the Choice Supplier Group is based on the percentage of the non-residential Choice market served, including governmental aggregations.  That percentage is calculated by dividing each supplier’s Choice customers by the total num</w:t>
      </w:r>
      <w:r w:rsidR="006F4BE6">
        <w:rPr>
          <w:sz w:val="26"/>
          <w:szCs w:val="26"/>
        </w:rPr>
        <w:softHyphen/>
      </w:r>
      <w:r w:rsidRPr="00F910F7">
        <w:rPr>
          <w:sz w:val="26"/>
          <w:szCs w:val="26"/>
        </w:rPr>
        <w:t>ber of Choice customers for all Choice suppliers in the month immediately preceding the date of exit.  The resulting percentages are then multiplied by the total number of SCO customers allocated to the Choice Supplier Group in Step 1 above, to arrive at the number of customers allocated to each sup</w:t>
      </w:r>
      <w:r w:rsidR="006F4BE6">
        <w:rPr>
          <w:sz w:val="26"/>
          <w:szCs w:val="26"/>
        </w:rPr>
        <w:softHyphen/>
      </w:r>
      <w:r w:rsidRPr="00F910F7">
        <w:rPr>
          <w:sz w:val="26"/>
          <w:szCs w:val="26"/>
        </w:rPr>
        <w:t>plier in the Choice Supplier Group</w:t>
      </w:r>
      <w:r w:rsidR="006F4BE6" w:rsidRPr="00F910F7">
        <w:rPr>
          <w:sz w:val="26"/>
          <w:szCs w:val="26"/>
        </w:rPr>
        <w:t xml:space="preserve">.  </w:t>
      </w:r>
      <w:r w:rsidRPr="00F910F7">
        <w:rPr>
          <w:sz w:val="26"/>
          <w:szCs w:val="26"/>
        </w:rPr>
        <w:t>(See columns 9 through 13 of the Appendix).</w:t>
      </w:r>
    </w:p>
    <w:p w:rsidR="00F910F7" w:rsidRPr="00F910F7" w:rsidRDefault="00F910F7" w:rsidP="00F910F7">
      <w:pPr>
        <w:spacing w:line="480" w:lineRule="auto"/>
        <w:ind w:left="720" w:right="720"/>
        <w:rPr>
          <w:sz w:val="26"/>
          <w:szCs w:val="26"/>
        </w:rPr>
      </w:pPr>
    </w:p>
    <w:p w:rsidR="00F910F7" w:rsidRPr="00083124" w:rsidRDefault="00000C8C" w:rsidP="00F910F7">
      <w:pPr>
        <w:pStyle w:val="Heading1"/>
      </w:pPr>
      <w:bookmarkStart w:id="21" w:name="_Toc359331450"/>
      <w:r w:rsidRPr="00083124">
        <w:rPr>
          <w:caps w:val="0"/>
        </w:rPr>
        <w:t>STEP 3: ALLOCATION OF RESIDUAL SCO CUSTOMERS</w:t>
      </w:r>
      <w:r>
        <w:rPr>
          <w:caps w:val="0"/>
        </w:rPr>
        <w:br/>
      </w:r>
      <w:r w:rsidRPr="00083124">
        <w:rPr>
          <w:caps w:val="0"/>
        </w:rPr>
        <w:t>TO MVR SUPPLIERS</w:t>
      </w:r>
      <w:bookmarkEnd w:id="21"/>
    </w:p>
    <w:p w:rsidR="00F910F7" w:rsidRDefault="00F910F7" w:rsidP="00F910F7">
      <w:pPr>
        <w:pStyle w:val="textstyle0"/>
      </w:pPr>
      <w:r>
        <w:tab/>
      </w:r>
      <w:r w:rsidRPr="00083124">
        <w:t>The third step involves the SCO customers that remain unallocated after comple</w:t>
      </w:r>
      <w:r w:rsidR="006F4BE6">
        <w:softHyphen/>
      </w:r>
      <w:r w:rsidRPr="00083124">
        <w:t>tion of Steps 1 and 2 because an S</w:t>
      </w:r>
      <w:r>
        <w:t xml:space="preserve">CO supplier or Choice supplier, </w:t>
      </w:r>
      <w:r w:rsidRPr="00083124">
        <w:t>that was otherwise entitled to have</w:t>
      </w:r>
      <w:r>
        <w:t xml:space="preserve"> an allocation of MVR customers, </w:t>
      </w:r>
      <w:r w:rsidRPr="00083124">
        <w:t>did not successfully register as an MVR supplier</w:t>
      </w:r>
      <w:r>
        <w:t xml:space="preserve">. </w:t>
      </w:r>
      <w:r w:rsidRPr="00083124">
        <w:t xml:space="preserve"> These </w:t>
      </w:r>
      <w:r>
        <w:t xml:space="preserve">residual </w:t>
      </w:r>
      <w:r w:rsidRPr="00083124">
        <w:t>customers will be combined into a sub-group for a defaul</w:t>
      </w:r>
      <w:r>
        <w:t>t allo</w:t>
      </w:r>
      <w:r w:rsidR="006F4BE6">
        <w:softHyphen/>
      </w:r>
      <w:r>
        <w:t xml:space="preserve">cation, with </w:t>
      </w:r>
      <w:r w:rsidRPr="00083124">
        <w:t xml:space="preserve">70 percent of these customers allocated to </w:t>
      </w:r>
      <w:r>
        <w:t xml:space="preserve">MVR </w:t>
      </w:r>
      <w:r w:rsidRPr="00083124">
        <w:t xml:space="preserve">registered Choice suppliers, </w:t>
      </w:r>
      <w:r w:rsidRPr="00083124">
        <w:lastRenderedPageBreak/>
        <w:t xml:space="preserve">and 30 percent allocated to </w:t>
      </w:r>
      <w:r>
        <w:t xml:space="preserve">MVR </w:t>
      </w:r>
      <w:r w:rsidRPr="00083124">
        <w:t>registered SCO suppliers</w:t>
      </w:r>
      <w:r w:rsidR="006F4BE6" w:rsidRPr="00083124">
        <w:t xml:space="preserve">.  </w:t>
      </w:r>
      <w:r>
        <w:t>(</w:t>
      </w:r>
      <w:r w:rsidRPr="00083124">
        <w:t>See columns 14 through 17 of the</w:t>
      </w:r>
      <w:r>
        <w:t xml:space="preserve"> Appendix)</w:t>
      </w:r>
      <w:r w:rsidRPr="00083124">
        <w:t xml:space="preserve">.  </w:t>
      </w:r>
    </w:p>
    <w:p w:rsidR="00F910F7" w:rsidRPr="00083124" w:rsidRDefault="00F910F7" w:rsidP="00F910F7">
      <w:pPr>
        <w:pStyle w:val="NoSpacing"/>
        <w:spacing w:line="360" w:lineRule="auto"/>
        <w:rPr>
          <w:rFonts w:ascii="Times New Roman" w:hAnsi="Times New Roman"/>
          <w:sz w:val="24"/>
          <w:szCs w:val="24"/>
        </w:rPr>
      </w:pPr>
    </w:p>
    <w:p w:rsidR="00F910F7" w:rsidRPr="00F910F7" w:rsidRDefault="00F910F7" w:rsidP="00F910F7">
      <w:pPr>
        <w:pStyle w:val="NoSpacing"/>
        <w:spacing w:line="480" w:lineRule="auto"/>
        <w:ind w:left="720" w:right="720"/>
        <w:rPr>
          <w:rFonts w:ascii="Times New Roman" w:hAnsi="Times New Roman"/>
          <w:sz w:val="26"/>
          <w:szCs w:val="26"/>
        </w:rPr>
      </w:pPr>
      <w:r w:rsidRPr="00F910F7">
        <w:rPr>
          <w:rFonts w:ascii="Times New Roman" w:hAnsi="Times New Roman"/>
          <w:b/>
          <w:sz w:val="26"/>
          <w:szCs w:val="26"/>
        </w:rPr>
        <w:t xml:space="preserve">SCO Supplier Allocation -- </w:t>
      </w:r>
      <w:r w:rsidRPr="00F910F7">
        <w:rPr>
          <w:rFonts w:ascii="Times New Roman" w:hAnsi="Times New Roman"/>
          <w:sz w:val="26"/>
          <w:szCs w:val="26"/>
        </w:rPr>
        <w:t>The 30 percent portion of previously unallo</w:t>
      </w:r>
      <w:r w:rsidR="006F4BE6">
        <w:rPr>
          <w:rFonts w:ascii="Times New Roman" w:hAnsi="Times New Roman"/>
          <w:sz w:val="26"/>
          <w:szCs w:val="26"/>
        </w:rPr>
        <w:softHyphen/>
      </w:r>
      <w:r w:rsidRPr="00F910F7">
        <w:rPr>
          <w:rFonts w:ascii="Times New Roman" w:hAnsi="Times New Roman"/>
          <w:sz w:val="26"/>
          <w:szCs w:val="26"/>
        </w:rPr>
        <w:t>cated SCO customers will be allocated to MVR registered SCO suppliers based on each supplier’s percentage of all SCO customers allocated to MVR registered SCO suppliers in Steps 1 and 2.  This percentage is calcu</w:t>
      </w:r>
      <w:r w:rsidR="006F4BE6">
        <w:rPr>
          <w:rFonts w:ascii="Times New Roman" w:hAnsi="Times New Roman"/>
          <w:sz w:val="26"/>
          <w:szCs w:val="26"/>
        </w:rPr>
        <w:softHyphen/>
      </w:r>
      <w:r w:rsidRPr="00F910F7">
        <w:rPr>
          <w:rFonts w:ascii="Times New Roman" w:hAnsi="Times New Roman"/>
          <w:sz w:val="26"/>
          <w:szCs w:val="26"/>
        </w:rPr>
        <w:t>lated by dividing the number of SCO customers allocated to each MVR registered SCO supplier, (in Steps 1 and 2), by the total number of SCO customers, minus residual customers, allocated to all MVR registered SCO suppliers</w:t>
      </w:r>
      <w:r w:rsidR="006F4BE6" w:rsidRPr="00F910F7">
        <w:rPr>
          <w:rFonts w:ascii="Times New Roman" w:hAnsi="Times New Roman"/>
          <w:sz w:val="26"/>
          <w:szCs w:val="26"/>
        </w:rPr>
        <w:t xml:space="preserve">.  </w:t>
      </w:r>
      <w:r w:rsidRPr="00F910F7">
        <w:rPr>
          <w:rFonts w:ascii="Times New Roman" w:hAnsi="Times New Roman"/>
          <w:sz w:val="26"/>
          <w:szCs w:val="26"/>
        </w:rPr>
        <w:t>The resulting percentages are then multiplied by 30 percent, times the total number of residual SCO customers, to arrive at the number of such SCO customers to be allocated to each MVR registered SCO sup</w:t>
      </w:r>
      <w:r w:rsidR="006F4BE6">
        <w:rPr>
          <w:rFonts w:ascii="Times New Roman" w:hAnsi="Times New Roman"/>
          <w:sz w:val="26"/>
          <w:szCs w:val="26"/>
        </w:rPr>
        <w:softHyphen/>
      </w:r>
      <w:r w:rsidRPr="00F910F7">
        <w:rPr>
          <w:rFonts w:ascii="Times New Roman" w:hAnsi="Times New Roman"/>
          <w:sz w:val="26"/>
          <w:szCs w:val="26"/>
        </w:rPr>
        <w:t>plier</w:t>
      </w:r>
      <w:r w:rsidR="006F4BE6" w:rsidRPr="00F910F7">
        <w:rPr>
          <w:rFonts w:ascii="Times New Roman" w:hAnsi="Times New Roman"/>
          <w:sz w:val="26"/>
          <w:szCs w:val="26"/>
        </w:rPr>
        <w:t xml:space="preserve">.  </w:t>
      </w:r>
      <w:r w:rsidRPr="00F910F7">
        <w:rPr>
          <w:rFonts w:ascii="Times New Roman" w:hAnsi="Times New Roman"/>
          <w:sz w:val="26"/>
          <w:szCs w:val="26"/>
        </w:rPr>
        <w:t xml:space="preserve">(See columns 13 through 16 of the Appendix). </w:t>
      </w:r>
    </w:p>
    <w:p w:rsidR="00F910F7" w:rsidRPr="00F910F7" w:rsidRDefault="00F910F7" w:rsidP="00F910F7">
      <w:pPr>
        <w:pStyle w:val="NoSpacing"/>
        <w:spacing w:line="480" w:lineRule="auto"/>
        <w:ind w:left="720" w:right="720"/>
        <w:rPr>
          <w:rFonts w:ascii="Times New Roman" w:hAnsi="Times New Roman"/>
          <w:sz w:val="26"/>
          <w:szCs w:val="26"/>
        </w:rPr>
      </w:pPr>
    </w:p>
    <w:p w:rsidR="00F910F7" w:rsidRPr="00F910F7" w:rsidRDefault="00F910F7" w:rsidP="00F910F7">
      <w:pPr>
        <w:pStyle w:val="NoSpacing"/>
        <w:spacing w:line="480" w:lineRule="auto"/>
        <w:ind w:left="720" w:right="720"/>
        <w:rPr>
          <w:rFonts w:ascii="Times New Roman" w:hAnsi="Times New Roman"/>
          <w:color w:val="FF0000"/>
          <w:sz w:val="26"/>
          <w:szCs w:val="26"/>
        </w:rPr>
      </w:pPr>
      <w:r w:rsidRPr="00F910F7">
        <w:rPr>
          <w:rFonts w:ascii="Times New Roman" w:hAnsi="Times New Roman"/>
          <w:b/>
          <w:sz w:val="26"/>
          <w:szCs w:val="26"/>
        </w:rPr>
        <w:t>Choice Supplier Allocation --</w:t>
      </w:r>
      <w:r w:rsidRPr="00F910F7">
        <w:rPr>
          <w:rFonts w:ascii="Times New Roman" w:hAnsi="Times New Roman"/>
          <w:sz w:val="26"/>
          <w:szCs w:val="26"/>
        </w:rPr>
        <w:t xml:space="preserve"> The 70 percent portion of previously unal</w:t>
      </w:r>
      <w:r w:rsidR="006F4BE6">
        <w:rPr>
          <w:rFonts w:ascii="Times New Roman" w:hAnsi="Times New Roman"/>
          <w:sz w:val="26"/>
          <w:szCs w:val="26"/>
        </w:rPr>
        <w:softHyphen/>
      </w:r>
      <w:r w:rsidRPr="00F910F7">
        <w:rPr>
          <w:rFonts w:ascii="Times New Roman" w:hAnsi="Times New Roman"/>
          <w:sz w:val="26"/>
          <w:szCs w:val="26"/>
        </w:rPr>
        <w:t>located SCO customers will be allocated to MVR registered Choice suppli</w:t>
      </w:r>
      <w:r w:rsidR="006F4BE6">
        <w:rPr>
          <w:rFonts w:ascii="Times New Roman" w:hAnsi="Times New Roman"/>
          <w:sz w:val="26"/>
          <w:szCs w:val="26"/>
        </w:rPr>
        <w:softHyphen/>
      </w:r>
      <w:r w:rsidRPr="00F910F7">
        <w:rPr>
          <w:rFonts w:ascii="Times New Roman" w:hAnsi="Times New Roman"/>
          <w:sz w:val="26"/>
          <w:szCs w:val="26"/>
        </w:rPr>
        <w:t>ers, based on each supplier’s percentage of all SCO customers, allocated to MVR registered Choice suppliers in Steps 1 and 2.  This percentage is cal</w:t>
      </w:r>
      <w:r w:rsidR="006F4BE6">
        <w:rPr>
          <w:rFonts w:ascii="Times New Roman" w:hAnsi="Times New Roman"/>
          <w:sz w:val="26"/>
          <w:szCs w:val="26"/>
        </w:rPr>
        <w:softHyphen/>
      </w:r>
      <w:r w:rsidRPr="00F910F7">
        <w:rPr>
          <w:rFonts w:ascii="Times New Roman" w:hAnsi="Times New Roman"/>
          <w:sz w:val="26"/>
          <w:szCs w:val="26"/>
        </w:rPr>
        <w:t xml:space="preserve">culated by dividing the number of SCO customers allocated to each MVR registered Choice supplier, (in Steps 1 and 2), by the total number of SCO customers, minus residual customers, allocated to all MVR registered </w:t>
      </w:r>
      <w:r w:rsidRPr="00F910F7">
        <w:rPr>
          <w:rFonts w:ascii="Times New Roman" w:hAnsi="Times New Roman"/>
          <w:sz w:val="26"/>
          <w:szCs w:val="26"/>
        </w:rPr>
        <w:lastRenderedPageBreak/>
        <w:t>Choice suppliers</w:t>
      </w:r>
      <w:r w:rsidR="006F4BE6" w:rsidRPr="00F910F7">
        <w:rPr>
          <w:rFonts w:ascii="Times New Roman" w:hAnsi="Times New Roman"/>
          <w:sz w:val="26"/>
          <w:szCs w:val="26"/>
        </w:rPr>
        <w:t xml:space="preserve">.  </w:t>
      </w:r>
      <w:r w:rsidRPr="00F910F7">
        <w:rPr>
          <w:rFonts w:ascii="Times New Roman" w:hAnsi="Times New Roman"/>
          <w:sz w:val="26"/>
          <w:szCs w:val="26"/>
        </w:rPr>
        <w:t>The resulting percentages are then multiplied by 70 per</w:t>
      </w:r>
      <w:r w:rsidR="006F4BE6">
        <w:rPr>
          <w:rFonts w:ascii="Times New Roman" w:hAnsi="Times New Roman"/>
          <w:sz w:val="26"/>
          <w:szCs w:val="26"/>
        </w:rPr>
        <w:softHyphen/>
      </w:r>
      <w:r w:rsidRPr="00F910F7">
        <w:rPr>
          <w:rFonts w:ascii="Times New Roman" w:hAnsi="Times New Roman"/>
          <w:sz w:val="26"/>
          <w:szCs w:val="26"/>
        </w:rPr>
        <w:t>cent times the total number of residual SCO customers to arrive at the number of such SCO customers to be allocated to each MVR registered Choice supplier</w:t>
      </w:r>
      <w:r w:rsidR="006F4BE6" w:rsidRPr="00F910F7">
        <w:rPr>
          <w:rFonts w:ascii="Times New Roman" w:hAnsi="Times New Roman"/>
          <w:sz w:val="26"/>
          <w:szCs w:val="26"/>
        </w:rPr>
        <w:t xml:space="preserve">.  </w:t>
      </w:r>
      <w:r w:rsidRPr="00F910F7">
        <w:rPr>
          <w:rFonts w:ascii="Times New Roman" w:hAnsi="Times New Roman"/>
          <w:sz w:val="26"/>
          <w:szCs w:val="26"/>
        </w:rPr>
        <w:t>(See Columns 13 through 16 of the Appendix).</w:t>
      </w:r>
      <w:r w:rsidRPr="00F910F7">
        <w:rPr>
          <w:rFonts w:ascii="Times New Roman" w:hAnsi="Times New Roman"/>
          <w:color w:val="FF0000"/>
          <w:sz w:val="26"/>
          <w:szCs w:val="26"/>
        </w:rPr>
        <w:t xml:space="preserve"> </w:t>
      </w:r>
    </w:p>
    <w:p w:rsidR="00F910F7" w:rsidRPr="00083124" w:rsidRDefault="00F910F7" w:rsidP="00F910F7">
      <w:pPr>
        <w:pStyle w:val="NoSpacing"/>
        <w:spacing w:line="360" w:lineRule="auto"/>
        <w:rPr>
          <w:rFonts w:ascii="Times New Roman" w:hAnsi="Times New Roman"/>
          <w:color w:val="FF0000"/>
          <w:sz w:val="24"/>
          <w:szCs w:val="24"/>
        </w:rPr>
      </w:pPr>
    </w:p>
    <w:p w:rsidR="00F910F7" w:rsidRDefault="00F910F7" w:rsidP="00F910F7">
      <w:pPr>
        <w:pStyle w:val="textstyle0"/>
      </w:pPr>
      <w:r w:rsidRPr="00083124">
        <w:t>Column 17 contains the total number of customers allocated to each MVR supplier through the initial allocation (shown in column 15A</w:t>
      </w:r>
      <w:r>
        <w:t xml:space="preserve"> of the Appendix</w:t>
      </w:r>
      <w:r w:rsidRPr="00083124">
        <w:t xml:space="preserve">) and the allocation of </w:t>
      </w:r>
      <w:r>
        <w:t>r</w:t>
      </w:r>
      <w:r w:rsidRPr="00083124">
        <w:t>esidual customers (shown in column 16</w:t>
      </w:r>
      <w:r>
        <w:t xml:space="preserve"> of the Appendix</w:t>
      </w:r>
      <w:r w:rsidRPr="00083124">
        <w:t>).</w:t>
      </w:r>
    </w:p>
    <w:p w:rsidR="00F910F7" w:rsidRPr="00784A6C" w:rsidRDefault="00000C8C" w:rsidP="00F910F7">
      <w:pPr>
        <w:pStyle w:val="Heading1"/>
      </w:pPr>
      <w:bookmarkStart w:id="22" w:name="_Toc359331451"/>
      <w:r w:rsidRPr="00784A6C">
        <w:rPr>
          <w:caps w:val="0"/>
        </w:rPr>
        <w:t>TARIFF MODIFICATION</w:t>
      </w:r>
      <w:bookmarkEnd w:id="22"/>
    </w:p>
    <w:p w:rsidR="00F910F7" w:rsidRDefault="00F910F7" w:rsidP="00F910F7">
      <w:pPr>
        <w:pStyle w:val="textstyle0"/>
      </w:pPr>
      <w:r>
        <w:tab/>
        <w:t>Finally the Commission in the entry clarified that if a supplier elected to be an MVR supplier, it had agreed to take assignment of customers under Columbia’s tariff requirements</w:t>
      </w:r>
      <w:r>
        <w:rPr>
          <w:rStyle w:val="FootnoteReference"/>
          <w:sz w:val="24"/>
        </w:rPr>
        <w:footnoteReference w:id="10"/>
      </w:r>
      <w:r>
        <w:t xml:space="preserve">.  </w:t>
      </w:r>
      <w:r w:rsidRPr="00D97FD9">
        <w:t>The stakeholder’s agreed on assignment of SCO allocation entitlements and agreed to support the following change to Columbia’s tariff assignment requirements</w:t>
      </w:r>
      <w:r w:rsidR="006F4BE6" w:rsidRPr="00D97FD9">
        <w:t xml:space="preserve">.  </w:t>
      </w:r>
      <w:r w:rsidRPr="00D97FD9">
        <w:t xml:space="preserve">In preparing the tariffs to authorize the non-residential MVR allocation, Columbia shall include a provision to allow an SCO supplier, within </w:t>
      </w:r>
      <w:r>
        <w:t xml:space="preserve">seven </w:t>
      </w:r>
      <w:r w:rsidRPr="00D97FD9">
        <w:t xml:space="preserve">business days of becoming entitled to an SCO MVR allocation, to provide notice to Columbia that </w:t>
      </w:r>
      <w:r>
        <w:t xml:space="preserve">it </w:t>
      </w:r>
      <w:r w:rsidRPr="00D97FD9">
        <w:t>elects to desig</w:t>
      </w:r>
      <w:r w:rsidR="006F4BE6">
        <w:softHyphen/>
      </w:r>
      <w:r w:rsidRPr="00D97FD9">
        <w:t xml:space="preserve">nate to an wholly owned affiliated company </w:t>
      </w:r>
      <w:r>
        <w:t xml:space="preserve">that </w:t>
      </w:r>
      <w:r w:rsidRPr="00D97FD9">
        <w:t xml:space="preserve">meets the requirements of being an MVR supplier, the SCO customers to which it would be otherwise be allocated.  An SCO </w:t>
      </w:r>
      <w:r w:rsidRPr="00D97FD9">
        <w:lastRenderedPageBreak/>
        <w:t xml:space="preserve">supplier becomes entitled to an allocation at the time at which Columbia determines the actual number of customers an SCO supplier will be initially allocated. </w:t>
      </w:r>
    </w:p>
    <w:p w:rsidR="00F910F7" w:rsidRDefault="00F910F7" w:rsidP="00F910F7">
      <w:pPr>
        <w:pStyle w:val="Heading1"/>
      </w:pPr>
      <w:bookmarkStart w:id="23" w:name="_Toc359331452"/>
      <w:r w:rsidRPr="006A5D60">
        <w:rPr>
          <w:caps w:val="0"/>
        </w:rPr>
        <w:t>CONCLUSION</w:t>
      </w:r>
      <w:bookmarkEnd w:id="23"/>
    </w:p>
    <w:p w:rsidR="00F910F7" w:rsidRDefault="00F910F7" w:rsidP="00F910F7">
      <w:pPr>
        <w:pStyle w:val="textstyle0"/>
      </w:pPr>
      <w:r>
        <w:tab/>
        <w:t>The Staff respectfully requests that the Commission give studied consideration to the merits of this proposal for an allocation methodology of non-residential SCO custom</w:t>
      </w:r>
      <w:r w:rsidR="006F4BE6">
        <w:softHyphen/>
      </w:r>
      <w:r>
        <w:t>ers to MVR suppliers upon Columbia’s exit of the merchant function.</w:t>
      </w:r>
    </w:p>
    <w:bookmarkEnd w:id="17"/>
    <w:p w:rsidR="00200A0A" w:rsidRPr="0064436A" w:rsidRDefault="00200A0A" w:rsidP="007A2B5F">
      <w:pPr>
        <w:tabs>
          <w:tab w:val="left" w:pos="9348"/>
        </w:tabs>
        <w:spacing w:line="480" w:lineRule="auto"/>
        <w:ind w:left="5040"/>
        <w:rPr>
          <w:sz w:val="26"/>
          <w:szCs w:val="26"/>
        </w:rPr>
      </w:pPr>
      <w:r w:rsidRPr="0064436A">
        <w:rPr>
          <w:sz w:val="26"/>
          <w:szCs w:val="26"/>
        </w:rPr>
        <w:t>Respectfully submitted,</w:t>
      </w:r>
    </w:p>
    <w:p w:rsidR="00200A0A" w:rsidRPr="0064436A" w:rsidRDefault="00C90964" w:rsidP="00200A0A">
      <w:pPr>
        <w:tabs>
          <w:tab w:val="left" w:pos="9348"/>
        </w:tabs>
        <w:ind w:left="5040"/>
        <w:rPr>
          <w:sz w:val="26"/>
          <w:szCs w:val="26"/>
        </w:rPr>
      </w:pPr>
      <w:r>
        <w:rPr>
          <w:b/>
          <w:sz w:val="26"/>
          <w:szCs w:val="26"/>
        </w:rPr>
        <w:t>Michael DeWine</w:t>
      </w:r>
    </w:p>
    <w:p w:rsidR="00200A0A" w:rsidRPr="0064436A" w:rsidRDefault="00200A0A" w:rsidP="00200A0A">
      <w:pPr>
        <w:tabs>
          <w:tab w:val="left" w:pos="9348"/>
        </w:tabs>
        <w:ind w:left="5040"/>
        <w:rPr>
          <w:sz w:val="26"/>
          <w:szCs w:val="26"/>
        </w:rPr>
      </w:pPr>
      <w:r w:rsidRPr="0064436A">
        <w:rPr>
          <w:sz w:val="26"/>
          <w:szCs w:val="26"/>
        </w:rPr>
        <w:t>Ohio Attorney General</w:t>
      </w:r>
    </w:p>
    <w:p w:rsidR="00200A0A" w:rsidRPr="0064436A" w:rsidRDefault="00200A0A" w:rsidP="00200A0A">
      <w:pPr>
        <w:tabs>
          <w:tab w:val="left" w:pos="9348"/>
        </w:tabs>
        <w:ind w:left="5040"/>
        <w:rPr>
          <w:sz w:val="26"/>
          <w:szCs w:val="26"/>
        </w:rPr>
      </w:pPr>
    </w:p>
    <w:p w:rsidR="000753F8" w:rsidRDefault="00BC5B75" w:rsidP="00200A0A">
      <w:pPr>
        <w:tabs>
          <w:tab w:val="left" w:pos="9348"/>
        </w:tabs>
        <w:ind w:left="5040"/>
        <w:rPr>
          <w:b/>
          <w:sz w:val="26"/>
          <w:szCs w:val="26"/>
        </w:rPr>
      </w:pPr>
      <w:r>
        <w:rPr>
          <w:b/>
          <w:sz w:val="26"/>
          <w:szCs w:val="26"/>
        </w:rPr>
        <w:t>William L. Wright</w:t>
      </w:r>
    </w:p>
    <w:p w:rsidR="00200A0A" w:rsidRPr="0064436A" w:rsidRDefault="00200A0A" w:rsidP="00200A0A">
      <w:pPr>
        <w:tabs>
          <w:tab w:val="left" w:pos="9348"/>
        </w:tabs>
        <w:ind w:left="5040"/>
        <w:rPr>
          <w:sz w:val="26"/>
          <w:szCs w:val="26"/>
        </w:rPr>
      </w:pPr>
      <w:r w:rsidRPr="0064436A">
        <w:rPr>
          <w:sz w:val="26"/>
          <w:szCs w:val="26"/>
        </w:rPr>
        <w:t>Section Chief</w:t>
      </w:r>
    </w:p>
    <w:p w:rsidR="00200A0A" w:rsidRPr="0064436A" w:rsidRDefault="00200A0A" w:rsidP="00200A0A">
      <w:pPr>
        <w:tabs>
          <w:tab w:val="left" w:pos="9348"/>
        </w:tabs>
        <w:ind w:left="5040"/>
        <w:rPr>
          <w:sz w:val="26"/>
          <w:szCs w:val="26"/>
        </w:rPr>
      </w:pPr>
    </w:p>
    <w:p w:rsidR="00200A0A" w:rsidRPr="0064436A" w:rsidRDefault="00200A0A" w:rsidP="00200A0A">
      <w:pPr>
        <w:tabs>
          <w:tab w:val="left" w:pos="9348"/>
        </w:tabs>
        <w:ind w:left="5040"/>
        <w:rPr>
          <w:sz w:val="26"/>
          <w:szCs w:val="26"/>
        </w:rPr>
      </w:pPr>
    </w:p>
    <w:p w:rsidR="00200A0A" w:rsidRPr="0064436A" w:rsidRDefault="00000C8C" w:rsidP="00200A0A">
      <w:pPr>
        <w:tabs>
          <w:tab w:val="left" w:pos="9348"/>
        </w:tabs>
        <w:ind w:left="5040"/>
        <w:rPr>
          <w:sz w:val="26"/>
          <w:szCs w:val="26"/>
          <w:u w:val="single"/>
        </w:rPr>
      </w:pPr>
      <w:r w:rsidRPr="00000C8C">
        <w:rPr>
          <w:rFonts w:ascii="Viner Hand ITC" w:hAnsi="Viner Hand ITC"/>
          <w:sz w:val="32"/>
          <w:szCs w:val="32"/>
          <w:u w:val="single"/>
        </w:rPr>
        <w:t>/s/ Stephen A. Reilly</w:t>
      </w:r>
      <w:r w:rsidR="00200A0A" w:rsidRPr="0064436A">
        <w:rPr>
          <w:sz w:val="26"/>
          <w:szCs w:val="26"/>
          <w:u w:val="single"/>
        </w:rPr>
        <w:tab/>
      </w:r>
    </w:p>
    <w:p w:rsidR="00000C8C" w:rsidRDefault="00000C8C" w:rsidP="00000C8C">
      <w:pPr>
        <w:pStyle w:val="Title"/>
        <w:tabs>
          <w:tab w:val="left" w:pos="4320"/>
        </w:tabs>
        <w:ind w:left="5040"/>
        <w:jc w:val="left"/>
        <w:rPr>
          <w:rFonts w:ascii="Times New Roman" w:hAnsi="Times New Roman"/>
          <w:b/>
          <w:sz w:val="26"/>
          <w:szCs w:val="26"/>
        </w:rPr>
      </w:pPr>
      <w:r>
        <w:rPr>
          <w:rFonts w:ascii="Times New Roman" w:hAnsi="Times New Roman"/>
          <w:b/>
          <w:sz w:val="26"/>
          <w:szCs w:val="26"/>
        </w:rPr>
        <w:t>Stephen A. Reilly</w:t>
      </w:r>
    </w:p>
    <w:p w:rsidR="00000C8C" w:rsidRDefault="00000C8C" w:rsidP="00000C8C">
      <w:pPr>
        <w:pStyle w:val="Title"/>
        <w:tabs>
          <w:tab w:val="left" w:pos="5040"/>
        </w:tabs>
        <w:jc w:val="left"/>
        <w:rPr>
          <w:rFonts w:ascii="Times New Roman" w:hAnsi="Times New Roman"/>
          <w:sz w:val="26"/>
          <w:szCs w:val="26"/>
        </w:rPr>
      </w:pPr>
      <w:r>
        <w:rPr>
          <w:rFonts w:ascii="Times New Roman" w:hAnsi="Times New Roman"/>
          <w:sz w:val="26"/>
          <w:szCs w:val="26"/>
        </w:rPr>
        <w:tab/>
        <w:t>Assistant</w:t>
      </w:r>
      <w:r>
        <w:rPr>
          <w:rFonts w:ascii="Times New Roman" w:hAnsi="Times New Roman"/>
          <w:sz w:val="26"/>
          <w:szCs w:val="26"/>
        </w:rPr>
        <w:t xml:space="preserve"> Attorney</w:t>
      </w:r>
      <w:r>
        <w:rPr>
          <w:rFonts w:ascii="Times New Roman" w:hAnsi="Times New Roman"/>
          <w:sz w:val="26"/>
          <w:szCs w:val="26"/>
        </w:rPr>
        <w:t xml:space="preserve"> General</w:t>
      </w:r>
    </w:p>
    <w:p w:rsidR="00000C8C" w:rsidRDefault="00000C8C" w:rsidP="00000C8C">
      <w:pPr>
        <w:pStyle w:val="Title"/>
        <w:tabs>
          <w:tab w:val="left" w:pos="5040"/>
        </w:tabs>
        <w:jc w:val="left"/>
        <w:rPr>
          <w:rFonts w:ascii="Times New Roman" w:hAnsi="Times New Roman"/>
          <w:sz w:val="26"/>
          <w:szCs w:val="26"/>
        </w:rPr>
      </w:pPr>
      <w:r>
        <w:rPr>
          <w:rFonts w:ascii="Times New Roman" w:hAnsi="Times New Roman"/>
          <w:sz w:val="26"/>
          <w:szCs w:val="26"/>
        </w:rPr>
        <w:tab/>
        <w:t>Public Utilities Section</w:t>
      </w:r>
    </w:p>
    <w:p w:rsidR="00000C8C" w:rsidRDefault="00000C8C" w:rsidP="00000C8C">
      <w:pPr>
        <w:pStyle w:val="Title"/>
        <w:tabs>
          <w:tab w:val="left" w:pos="5040"/>
        </w:tabs>
        <w:jc w:val="left"/>
        <w:rPr>
          <w:rFonts w:ascii="Times New Roman" w:hAnsi="Times New Roman"/>
          <w:sz w:val="26"/>
          <w:szCs w:val="26"/>
        </w:rPr>
      </w:pPr>
      <w:r>
        <w:rPr>
          <w:rFonts w:ascii="Times New Roman" w:hAnsi="Times New Roman"/>
          <w:sz w:val="26"/>
          <w:szCs w:val="26"/>
        </w:rPr>
        <w:tab/>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rsidR="00000C8C" w:rsidRDefault="00000C8C" w:rsidP="00000C8C">
      <w:pPr>
        <w:pStyle w:val="Title"/>
        <w:tabs>
          <w:tab w:val="left" w:pos="5040"/>
        </w:tabs>
        <w:jc w:val="left"/>
        <w:rPr>
          <w:rFonts w:ascii="Times New Roman" w:hAnsi="Times New Roman"/>
          <w:sz w:val="26"/>
          <w:szCs w:val="26"/>
        </w:rPr>
      </w:pPr>
      <w:r>
        <w:rPr>
          <w:rFonts w:ascii="Times New Roman" w:hAnsi="Times New Roman"/>
          <w:sz w:val="26"/>
          <w:szCs w:val="26"/>
        </w:rPr>
        <w:tab/>
        <w:t>Columbus, OH  43215-3793</w:t>
      </w:r>
    </w:p>
    <w:p w:rsidR="00000C8C" w:rsidRDefault="00000C8C" w:rsidP="00000C8C">
      <w:pPr>
        <w:pStyle w:val="Title"/>
        <w:tabs>
          <w:tab w:val="left" w:pos="5040"/>
        </w:tabs>
        <w:jc w:val="left"/>
        <w:rPr>
          <w:rFonts w:ascii="Times New Roman" w:hAnsi="Times New Roman"/>
          <w:sz w:val="26"/>
          <w:szCs w:val="26"/>
        </w:rPr>
      </w:pPr>
      <w:r>
        <w:rPr>
          <w:rFonts w:ascii="Times New Roman" w:hAnsi="Times New Roman"/>
          <w:sz w:val="26"/>
          <w:szCs w:val="26"/>
        </w:rPr>
        <w:tab/>
        <w:t>614.466.4397 (telephone)</w:t>
      </w:r>
    </w:p>
    <w:p w:rsidR="00000C8C" w:rsidRDefault="00000C8C" w:rsidP="00000C8C">
      <w:pPr>
        <w:pStyle w:val="Title"/>
        <w:tabs>
          <w:tab w:val="left" w:pos="5040"/>
        </w:tabs>
        <w:jc w:val="left"/>
        <w:rPr>
          <w:rFonts w:ascii="Times New Roman" w:hAnsi="Times New Roman"/>
          <w:sz w:val="26"/>
          <w:szCs w:val="26"/>
        </w:rPr>
      </w:pPr>
      <w:r>
        <w:rPr>
          <w:rFonts w:ascii="Times New Roman" w:hAnsi="Times New Roman"/>
          <w:sz w:val="26"/>
          <w:szCs w:val="26"/>
        </w:rPr>
        <w:tab/>
        <w:t>614.644.8764 (fax)</w:t>
      </w:r>
    </w:p>
    <w:p w:rsidR="00000C8C" w:rsidRDefault="00000C8C" w:rsidP="00000C8C">
      <w:pPr>
        <w:pStyle w:val="Title"/>
        <w:tabs>
          <w:tab w:val="left" w:pos="5040"/>
        </w:tabs>
        <w:jc w:val="left"/>
        <w:rPr>
          <w:rFonts w:ascii="Times New Roman" w:hAnsi="Times New Roman"/>
          <w:sz w:val="26"/>
          <w:szCs w:val="26"/>
        </w:rPr>
      </w:pPr>
      <w:r>
        <w:rPr>
          <w:rFonts w:ascii="Times New Roman" w:hAnsi="Times New Roman"/>
          <w:sz w:val="26"/>
          <w:szCs w:val="26"/>
        </w:rPr>
        <w:tab/>
      </w:r>
      <w:hyperlink r:id="rId16" w:history="1">
        <w:r w:rsidRPr="0059241F">
          <w:rPr>
            <w:rStyle w:val="Hyperlink"/>
            <w:rFonts w:ascii="Times New Roman" w:hAnsi="Times New Roman"/>
            <w:sz w:val="26"/>
            <w:szCs w:val="26"/>
          </w:rPr>
          <w:t>stephen.reilly@puc.state.oh.us</w:t>
        </w:r>
      </w:hyperlink>
    </w:p>
    <w:p w:rsidR="00200A0A" w:rsidRPr="00934B92" w:rsidRDefault="00200A0A" w:rsidP="0064436A">
      <w:pPr>
        <w:pStyle w:val="Heading1"/>
      </w:pPr>
      <w:r w:rsidRPr="00955E20">
        <w:br w:type="page"/>
      </w:r>
      <w:bookmarkStart w:id="24" w:name="_Toc205862526"/>
      <w:bookmarkStart w:id="25" w:name="_Toc260212964"/>
      <w:bookmarkStart w:id="26" w:name="_Toc359331453"/>
      <w:r w:rsidR="00C95499" w:rsidRPr="00934B92">
        <w:rPr>
          <w:caps w:val="0"/>
        </w:rPr>
        <w:lastRenderedPageBreak/>
        <w:t>PROOF OF SERVICE</w:t>
      </w:r>
      <w:bookmarkEnd w:id="24"/>
      <w:bookmarkEnd w:id="25"/>
      <w:bookmarkEnd w:id="26"/>
    </w:p>
    <w:p w:rsidR="00200A0A" w:rsidRPr="00934B92" w:rsidRDefault="0064436A" w:rsidP="00F910F7">
      <w:pPr>
        <w:pStyle w:val="textstyle0"/>
      </w:pPr>
      <w:r>
        <w:tab/>
      </w:r>
      <w:r w:rsidR="00200A0A" w:rsidRPr="00934B92">
        <w:t xml:space="preserve">I hereby certify that a true copy of the foregoing </w:t>
      </w:r>
      <w:r w:rsidR="00000C8C">
        <w:rPr>
          <w:b/>
        </w:rPr>
        <w:t>Allocation Methodology Pro</w:t>
      </w:r>
      <w:r w:rsidR="006F4BE6">
        <w:rPr>
          <w:b/>
        </w:rPr>
        <w:softHyphen/>
      </w:r>
      <w:r w:rsidR="00000C8C">
        <w:rPr>
          <w:b/>
        </w:rPr>
        <w:t xml:space="preserve">posal </w:t>
      </w:r>
      <w:r w:rsidR="00200A0A" w:rsidRPr="00934B92">
        <w:t>submitted on behalf of the Staff of the Public Utilities Commis</w:t>
      </w:r>
      <w:r w:rsidR="00200A0A" w:rsidRPr="00934B92">
        <w:softHyphen/>
        <w:t>sion of Ohio,</w:t>
      </w:r>
      <w:r w:rsidR="00200A0A" w:rsidRPr="00934B92">
        <w:rPr>
          <w:b/>
        </w:rPr>
        <w:t xml:space="preserve"> </w:t>
      </w:r>
      <w:r w:rsidR="00200A0A" w:rsidRPr="00934B92">
        <w:t>was served by regular U.S. mail, postage pre</w:t>
      </w:r>
      <w:r w:rsidR="00200A0A" w:rsidRPr="00934B92">
        <w:softHyphen/>
        <w:t xml:space="preserve">paid, or hand-delivered, upon </w:t>
      </w:r>
      <w:r w:rsidR="00977F01">
        <w:t>the following Par</w:t>
      </w:r>
      <w:r w:rsidR="006F4BE6">
        <w:softHyphen/>
      </w:r>
      <w:r w:rsidR="00977F01">
        <w:t>ties of Record</w:t>
      </w:r>
      <w:r w:rsidR="00721F2D">
        <w:t xml:space="preserve">, </w:t>
      </w:r>
      <w:r w:rsidR="00200A0A" w:rsidRPr="00934B92">
        <w:t xml:space="preserve">this </w:t>
      </w:r>
      <w:r w:rsidR="00000C8C">
        <w:t>18</w:t>
      </w:r>
      <w:r w:rsidR="001A5C2F" w:rsidRPr="001A5C2F">
        <w:rPr>
          <w:vertAlign w:val="superscript"/>
        </w:rPr>
        <w:t>th</w:t>
      </w:r>
      <w:r w:rsidR="001A5C2F">
        <w:t xml:space="preserve"> </w:t>
      </w:r>
      <w:r w:rsidR="004B6358">
        <w:t>d</w:t>
      </w:r>
      <w:r w:rsidR="00200A0A" w:rsidRPr="00934B92">
        <w:t xml:space="preserve">ay of </w:t>
      </w:r>
      <w:r w:rsidR="00721F2D">
        <w:t>June</w:t>
      </w:r>
      <w:r w:rsidR="00200A0A" w:rsidRPr="00934B92">
        <w:t xml:space="preserve">, </w:t>
      </w:r>
      <w:r w:rsidR="00000C8C">
        <w:t>2013</w:t>
      </w:r>
      <w:r w:rsidR="00200A0A" w:rsidRPr="00934B92">
        <w:t>.</w:t>
      </w:r>
    </w:p>
    <w:p w:rsidR="00200A0A" w:rsidRPr="00000C8C" w:rsidRDefault="00000C8C" w:rsidP="00200A0A">
      <w:pPr>
        <w:tabs>
          <w:tab w:val="right" w:pos="9360"/>
        </w:tabs>
        <w:ind w:left="4320"/>
        <w:jc w:val="both"/>
        <w:rPr>
          <w:rFonts w:ascii="Viner Hand ITC" w:hAnsi="Viner Hand ITC"/>
          <w:sz w:val="32"/>
          <w:szCs w:val="32"/>
          <w:u w:val="single"/>
        </w:rPr>
      </w:pPr>
      <w:r w:rsidRPr="00000C8C">
        <w:rPr>
          <w:rFonts w:ascii="Viner Hand ITC" w:hAnsi="Viner Hand ITC"/>
          <w:sz w:val="32"/>
          <w:szCs w:val="32"/>
          <w:u w:val="single"/>
        </w:rPr>
        <w:t>/s/ Stephen A. Reilly</w:t>
      </w:r>
      <w:r w:rsidR="00200A0A" w:rsidRPr="00000C8C">
        <w:rPr>
          <w:rFonts w:ascii="Viner Hand ITC" w:hAnsi="Viner Hand ITC"/>
          <w:sz w:val="32"/>
          <w:szCs w:val="32"/>
          <w:u w:val="single"/>
        </w:rPr>
        <w:tab/>
      </w:r>
    </w:p>
    <w:p w:rsidR="00200A0A" w:rsidRPr="00DF3D54" w:rsidRDefault="00000C8C" w:rsidP="00200A0A">
      <w:pPr>
        <w:ind w:left="4332"/>
        <w:jc w:val="both"/>
        <w:rPr>
          <w:b/>
          <w:sz w:val="26"/>
          <w:szCs w:val="26"/>
        </w:rPr>
      </w:pPr>
      <w:r>
        <w:rPr>
          <w:b/>
          <w:sz w:val="26"/>
          <w:szCs w:val="26"/>
        </w:rPr>
        <w:t>Stephen A. Reilly</w:t>
      </w:r>
    </w:p>
    <w:p w:rsidR="00200A0A" w:rsidRDefault="00200A0A" w:rsidP="00200A0A">
      <w:pPr>
        <w:ind w:left="4332"/>
        <w:jc w:val="both"/>
        <w:rPr>
          <w:sz w:val="26"/>
          <w:szCs w:val="26"/>
        </w:rPr>
      </w:pPr>
      <w:r w:rsidRPr="00DF3D54">
        <w:rPr>
          <w:sz w:val="26"/>
          <w:szCs w:val="26"/>
        </w:rPr>
        <w:t>Assistant Attorney General</w:t>
      </w:r>
    </w:p>
    <w:p w:rsidR="00977F01" w:rsidRDefault="00977F01" w:rsidP="00200A0A">
      <w:pPr>
        <w:ind w:left="4332"/>
        <w:jc w:val="both"/>
        <w:rPr>
          <w:sz w:val="26"/>
          <w:szCs w:val="26"/>
        </w:rPr>
      </w:pPr>
    </w:p>
    <w:p w:rsidR="00977F01" w:rsidRDefault="00977F01" w:rsidP="00977F01">
      <w:pPr>
        <w:rPr>
          <w:b/>
          <w:sz w:val="26"/>
          <w:szCs w:val="26"/>
        </w:rPr>
      </w:pPr>
      <w:r w:rsidRPr="00DF3D54">
        <w:rPr>
          <w:b/>
          <w:sz w:val="26"/>
          <w:szCs w:val="26"/>
        </w:rPr>
        <w:t>Parties of Record:</w:t>
      </w:r>
    </w:p>
    <w:p w:rsidR="00977F01" w:rsidRPr="00DF3D54" w:rsidRDefault="00977F01" w:rsidP="00977F01">
      <w:pPr>
        <w:rPr>
          <w:b/>
          <w:sz w:val="26"/>
          <w:szCs w:val="26"/>
        </w:rPr>
      </w:pPr>
    </w:p>
    <w:tbl>
      <w:tblPr>
        <w:tblW w:w="0" w:type="auto"/>
        <w:tblLook w:val="01E0" w:firstRow="1" w:lastRow="1" w:firstColumn="1" w:lastColumn="1" w:noHBand="0" w:noVBand="0"/>
      </w:tblPr>
      <w:tblGrid>
        <w:gridCol w:w="4788"/>
        <w:gridCol w:w="4788"/>
      </w:tblGrid>
      <w:tr w:rsidR="00000C8C" w:rsidRPr="00D2703A" w:rsidTr="00D07C53">
        <w:tc>
          <w:tcPr>
            <w:tcW w:w="4788" w:type="dxa"/>
          </w:tcPr>
          <w:p w:rsidR="00000C8C" w:rsidRDefault="00000C8C" w:rsidP="00D07C53">
            <w:pPr>
              <w:rPr>
                <w:sz w:val="26"/>
                <w:szCs w:val="26"/>
              </w:rPr>
            </w:pPr>
            <w:r>
              <w:rPr>
                <w:sz w:val="26"/>
                <w:szCs w:val="26"/>
              </w:rPr>
              <w:t>Matthew W. Warnock</w:t>
            </w:r>
          </w:p>
          <w:p w:rsidR="00000C8C" w:rsidRDefault="00000C8C" w:rsidP="00D07C53">
            <w:pPr>
              <w:rPr>
                <w:sz w:val="26"/>
                <w:szCs w:val="26"/>
              </w:rPr>
            </w:pPr>
            <w:r>
              <w:rPr>
                <w:sz w:val="26"/>
                <w:szCs w:val="26"/>
              </w:rPr>
              <w:t>J. Thomas Siwo</w:t>
            </w:r>
          </w:p>
          <w:p w:rsidR="00000C8C" w:rsidRDefault="00000C8C" w:rsidP="00D07C53">
            <w:pPr>
              <w:rPr>
                <w:sz w:val="26"/>
                <w:szCs w:val="26"/>
              </w:rPr>
            </w:pPr>
            <w:r>
              <w:rPr>
                <w:sz w:val="26"/>
                <w:szCs w:val="26"/>
              </w:rPr>
              <w:t>Bricker &amp; Eckler</w:t>
            </w:r>
          </w:p>
          <w:p w:rsidR="00000C8C" w:rsidRDefault="00000C8C" w:rsidP="00D07C53">
            <w:pPr>
              <w:rPr>
                <w:sz w:val="26"/>
                <w:szCs w:val="26"/>
              </w:rPr>
            </w:pPr>
            <w:r>
              <w:rPr>
                <w:sz w:val="26"/>
                <w:szCs w:val="26"/>
              </w:rPr>
              <w:t>100 South Third Street</w:t>
            </w:r>
          </w:p>
          <w:p w:rsidR="00000C8C" w:rsidRDefault="00000C8C" w:rsidP="00D07C53">
            <w:pPr>
              <w:rPr>
                <w:sz w:val="26"/>
                <w:szCs w:val="26"/>
              </w:rPr>
            </w:pPr>
            <w:r>
              <w:rPr>
                <w:sz w:val="26"/>
                <w:szCs w:val="26"/>
              </w:rPr>
              <w:t>Columbus, OH  43215</w:t>
            </w:r>
          </w:p>
          <w:p w:rsidR="00000C8C" w:rsidRDefault="00000C8C" w:rsidP="00D07C53">
            <w:pPr>
              <w:rPr>
                <w:sz w:val="26"/>
                <w:szCs w:val="26"/>
              </w:rPr>
            </w:pPr>
            <w:hyperlink r:id="rId17" w:history="1">
              <w:r w:rsidRPr="008D3D1D">
                <w:rPr>
                  <w:rStyle w:val="Hyperlink"/>
                  <w:sz w:val="26"/>
                  <w:szCs w:val="26"/>
                </w:rPr>
                <w:t>mwarnock@bricker.com</w:t>
              </w:r>
            </w:hyperlink>
          </w:p>
          <w:p w:rsidR="00000C8C" w:rsidRDefault="00000C8C" w:rsidP="00D07C53">
            <w:pPr>
              <w:rPr>
                <w:sz w:val="26"/>
                <w:szCs w:val="26"/>
              </w:rPr>
            </w:pPr>
            <w:hyperlink r:id="rId18" w:history="1">
              <w:r w:rsidRPr="008D3D1D">
                <w:rPr>
                  <w:rStyle w:val="Hyperlink"/>
                  <w:sz w:val="26"/>
                  <w:szCs w:val="26"/>
                </w:rPr>
                <w:t>tsiwo@bricker.com</w:t>
              </w:r>
            </w:hyperlink>
          </w:p>
          <w:p w:rsidR="00000C8C" w:rsidRDefault="00000C8C" w:rsidP="00D07C53">
            <w:pPr>
              <w:rPr>
                <w:sz w:val="26"/>
                <w:szCs w:val="26"/>
              </w:rPr>
            </w:pPr>
          </w:p>
          <w:p w:rsidR="00000C8C" w:rsidRDefault="00000C8C" w:rsidP="00D07C53">
            <w:pPr>
              <w:rPr>
                <w:sz w:val="26"/>
                <w:szCs w:val="26"/>
              </w:rPr>
            </w:pPr>
            <w:r>
              <w:rPr>
                <w:sz w:val="26"/>
                <w:szCs w:val="26"/>
              </w:rPr>
              <w:t>M. Howard Petricoff</w:t>
            </w:r>
          </w:p>
          <w:p w:rsidR="00000C8C" w:rsidRDefault="00000C8C" w:rsidP="00D07C53">
            <w:pPr>
              <w:rPr>
                <w:sz w:val="26"/>
                <w:szCs w:val="26"/>
              </w:rPr>
            </w:pPr>
            <w:r>
              <w:rPr>
                <w:sz w:val="26"/>
                <w:szCs w:val="26"/>
              </w:rPr>
              <w:t>Stephen Howard</w:t>
            </w:r>
          </w:p>
          <w:p w:rsidR="00000C8C" w:rsidRDefault="00000C8C" w:rsidP="00D07C53">
            <w:pPr>
              <w:rPr>
                <w:sz w:val="26"/>
                <w:szCs w:val="26"/>
              </w:rPr>
            </w:pPr>
            <w:r>
              <w:rPr>
                <w:sz w:val="26"/>
                <w:szCs w:val="26"/>
              </w:rPr>
              <w:t>Vorys Sater Seymour &amp; Pease</w:t>
            </w:r>
          </w:p>
          <w:p w:rsidR="00000C8C" w:rsidRDefault="00000C8C" w:rsidP="00D07C53">
            <w:pPr>
              <w:rPr>
                <w:sz w:val="26"/>
                <w:szCs w:val="26"/>
              </w:rPr>
            </w:pPr>
            <w:r>
              <w:rPr>
                <w:sz w:val="26"/>
                <w:szCs w:val="26"/>
              </w:rPr>
              <w:t>52 East Gay Street</w:t>
            </w:r>
          </w:p>
          <w:p w:rsidR="00000C8C" w:rsidRDefault="00000C8C" w:rsidP="00D07C53">
            <w:pPr>
              <w:rPr>
                <w:sz w:val="26"/>
                <w:szCs w:val="26"/>
              </w:rPr>
            </w:pPr>
            <w:r>
              <w:rPr>
                <w:sz w:val="26"/>
                <w:szCs w:val="26"/>
              </w:rPr>
              <w:t>P.O. Box 1008</w:t>
            </w:r>
          </w:p>
          <w:p w:rsidR="00000C8C" w:rsidRDefault="00000C8C" w:rsidP="00D07C53">
            <w:pPr>
              <w:rPr>
                <w:sz w:val="26"/>
                <w:szCs w:val="26"/>
              </w:rPr>
            </w:pPr>
            <w:r>
              <w:rPr>
                <w:sz w:val="26"/>
                <w:szCs w:val="26"/>
              </w:rPr>
              <w:t>Columbus, OH  43216-1008</w:t>
            </w:r>
          </w:p>
          <w:p w:rsidR="00000C8C" w:rsidRDefault="00000C8C" w:rsidP="00D07C53">
            <w:pPr>
              <w:rPr>
                <w:sz w:val="26"/>
                <w:szCs w:val="26"/>
              </w:rPr>
            </w:pPr>
            <w:hyperlink r:id="rId19" w:history="1">
              <w:r w:rsidRPr="008D3D1D">
                <w:rPr>
                  <w:rStyle w:val="Hyperlink"/>
                  <w:sz w:val="26"/>
                  <w:szCs w:val="26"/>
                </w:rPr>
                <w:t>mhpetricoff@vorys.com</w:t>
              </w:r>
            </w:hyperlink>
          </w:p>
          <w:p w:rsidR="00000C8C" w:rsidRDefault="00000C8C" w:rsidP="00D07C53">
            <w:pPr>
              <w:rPr>
                <w:sz w:val="26"/>
                <w:szCs w:val="26"/>
              </w:rPr>
            </w:pPr>
            <w:hyperlink r:id="rId20" w:history="1">
              <w:r w:rsidRPr="008D3D1D">
                <w:rPr>
                  <w:rStyle w:val="Hyperlink"/>
                  <w:sz w:val="26"/>
                  <w:szCs w:val="26"/>
                </w:rPr>
                <w:t>smhoward@vorys.com</w:t>
              </w:r>
            </w:hyperlink>
          </w:p>
          <w:p w:rsidR="00000C8C" w:rsidRDefault="00000C8C" w:rsidP="00D07C53">
            <w:pPr>
              <w:rPr>
                <w:sz w:val="26"/>
                <w:szCs w:val="26"/>
              </w:rPr>
            </w:pPr>
          </w:p>
          <w:p w:rsidR="00000C8C" w:rsidRDefault="00000C8C" w:rsidP="00D07C53">
            <w:pPr>
              <w:rPr>
                <w:sz w:val="26"/>
                <w:szCs w:val="26"/>
              </w:rPr>
            </w:pPr>
            <w:r>
              <w:rPr>
                <w:sz w:val="26"/>
                <w:szCs w:val="26"/>
              </w:rPr>
              <w:t>John L. Einstein IV</w:t>
            </w:r>
          </w:p>
          <w:p w:rsidR="00000C8C" w:rsidRDefault="00000C8C" w:rsidP="00D07C53">
            <w:pPr>
              <w:rPr>
                <w:sz w:val="26"/>
                <w:szCs w:val="26"/>
              </w:rPr>
            </w:pPr>
            <w:r>
              <w:rPr>
                <w:sz w:val="26"/>
                <w:szCs w:val="26"/>
              </w:rPr>
              <w:t>Volunteer Energy Services, Inc.</w:t>
            </w:r>
          </w:p>
          <w:p w:rsidR="00000C8C" w:rsidRDefault="00000C8C" w:rsidP="00D07C53">
            <w:pPr>
              <w:rPr>
                <w:sz w:val="26"/>
                <w:szCs w:val="26"/>
              </w:rPr>
            </w:pPr>
            <w:r>
              <w:rPr>
                <w:sz w:val="26"/>
                <w:szCs w:val="26"/>
              </w:rPr>
              <w:t>790 Windmiller Drive</w:t>
            </w:r>
          </w:p>
          <w:p w:rsidR="00000C8C" w:rsidRDefault="00000C8C" w:rsidP="00D07C53">
            <w:pPr>
              <w:rPr>
                <w:sz w:val="26"/>
                <w:szCs w:val="26"/>
              </w:rPr>
            </w:pPr>
            <w:r>
              <w:rPr>
                <w:sz w:val="26"/>
                <w:szCs w:val="26"/>
              </w:rPr>
              <w:t>Pickerington, OH  43147</w:t>
            </w:r>
          </w:p>
          <w:p w:rsidR="00000C8C" w:rsidRDefault="00000C8C" w:rsidP="00D07C53">
            <w:pPr>
              <w:rPr>
                <w:sz w:val="26"/>
                <w:szCs w:val="26"/>
              </w:rPr>
            </w:pPr>
            <w:hyperlink r:id="rId21" w:history="1">
              <w:r w:rsidRPr="008D3D1D">
                <w:rPr>
                  <w:rStyle w:val="Hyperlink"/>
                  <w:sz w:val="26"/>
                  <w:szCs w:val="26"/>
                </w:rPr>
                <w:t>jeinstein@volunteerenergy.com</w:t>
              </w:r>
            </w:hyperlink>
          </w:p>
          <w:p w:rsidR="00000C8C" w:rsidRDefault="00000C8C" w:rsidP="00D07C53">
            <w:pPr>
              <w:rPr>
                <w:sz w:val="26"/>
                <w:szCs w:val="26"/>
              </w:rPr>
            </w:pPr>
          </w:p>
          <w:p w:rsidR="00000C8C" w:rsidRDefault="00000C8C" w:rsidP="00D07C53">
            <w:pPr>
              <w:rPr>
                <w:sz w:val="26"/>
                <w:szCs w:val="26"/>
              </w:rPr>
            </w:pPr>
          </w:p>
          <w:p w:rsidR="00000C8C" w:rsidRDefault="00000C8C" w:rsidP="00D07C53">
            <w:pPr>
              <w:rPr>
                <w:sz w:val="26"/>
                <w:szCs w:val="26"/>
              </w:rPr>
            </w:pPr>
          </w:p>
          <w:p w:rsidR="00000C8C" w:rsidRDefault="00000C8C" w:rsidP="00D07C53">
            <w:pPr>
              <w:rPr>
                <w:sz w:val="26"/>
                <w:szCs w:val="26"/>
              </w:rPr>
            </w:pPr>
          </w:p>
          <w:p w:rsidR="00000C8C" w:rsidRDefault="00000C8C" w:rsidP="00D07C53">
            <w:pPr>
              <w:rPr>
                <w:sz w:val="26"/>
                <w:szCs w:val="26"/>
              </w:rPr>
            </w:pPr>
            <w:r>
              <w:rPr>
                <w:sz w:val="26"/>
                <w:szCs w:val="26"/>
              </w:rPr>
              <w:t>Matthew S. White</w:t>
            </w:r>
          </w:p>
          <w:p w:rsidR="00000C8C" w:rsidRDefault="00000C8C" w:rsidP="00D07C53">
            <w:pPr>
              <w:rPr>
                <w:sz w:val="26"/>
                <w:szCs w:val="26"/>
              </w:rPr>
            </w:pPr>
            <w:r>
              <w:rPr>
                <w:sz w:val="26"/>
                <w:szCs w:val="26"/>
              </w:rPr>
              <w:t>Interstate Gas Supply, Inc.</w:t>
            </w:r>
          </w:p>
          <w:p w:rsidR="00000C8C" w:rsidRDefault="00000C8C" w:rsidP="00D07C53">
            <w:pPr>
              <w:rPr>
                <w:sz w:val="26"/>
                <w:szCs w:val="26"/>
              </w:rPr>
            </w:pPr>
            <w:r>
              <w:rPr>
                <w:sz w:val="26"/>
                <w:szCs w:val="26"/>
              </w:rPr>
              <w:t>6100 Emerald Parkway</w:t>
            </w:r>
          </w:p>
          <w:p w:rsidR="00000C8C" w:rsidRDefault="00000C8C" w:rsidP="00D07C53">
            <w:pPr>
              <w:rPr>
                <w:sz w:val="26"/>
                <w:szCs w:val="26"/>
              </w:rPr>
            </w:pPr>
            <w:r>
              <w:rPr>
                <w:sz w:val="26"/>
                <w:szCs w:val="26"/>
              </w:rPr>
              <w:t>Dublin, OH  43016</w:t>
            </w:r>
          </w:p>
          <w:p w:rsidR="00000C8C" w:rsidRDefault="00000C8C" w:rsidP="00D07C53">
            <w:pPr>
              <w:rPr>
                <w:sz w:val="26"/>
                <w:szCs w:val="26"/>
              </w:rPr>
            </w:pPr>
            <w:hyperlink r:id="rId22" w:history="1">
              <w:r w:rsidRPr="008D3D1D">
                <w:rPr>
                  <w:rStyle w:val="Hyperlink"/>
                  <w:sz w:val="26"/>
                  <w:szCs w:val="26"/>
                </w:rPr>
                <w:t>mswhite@igsenergy.com</w:t>
              </w:r>
            </w:hyperlink>
          </w:p>
          <w:p w:rsidR="00000C8C" w:rsidRDefault="00000C8C" w:rsidP="00D07C53">
            <w:pPr>
              <w:rPr>
                <w:sz w:val="26"/>
                <w:szCs w:val="26"/>
              </w:rPr>
            </w:pPr>
          </w:p>
          <w:p w:rsidR="00000C8C" w:rsidRDefault="00000C8C" w:rsidP="00D07C53">
            <w:pPr>
              <w:rPr>
                <w:sz w:val="26"/>
                <w:szCs w:val="26"/>
              </w:rPr>
            </w:pPr>
            <w:r>
              <w:rPr>
                <w:sz w:val="26"/>
                <w:szCs w:val="26"/>
              </w:rPr>
              <w:t>Barth E. Royer</w:t>
            </w:r>
          </w:p>
          <w:p w:rsidR="00000C8C" w:rsidRDefault="00000C8C" w:rsidP="00D07C53">
            <w:pPr>
              <w:rPr>
                <w:sz w:val="26"/>
                <w:szCs w:val="26"/>
              </w:rPr>
            </w:pPr>
            <w:r>
              <w:rPr>
                <w:sz w:val="26"/>
                <w:szCs w:val="26"/>
              </w:rPr>
              <w:t>Bell &amp; Royer</w:t>
            </w:r>
          </w:p>
          <w:p w:rsidR="00000C8C" w:rsidRDefault="00000C8C" w:rsidP="00D07C53">
            <w:pPr>
              <w:rPr>
                <w:sz w:val="26"/>
                <w:szCs w:val="26"/>
              </w:rPr>
            </w:pPr>
            <w:r>
              <w:rPr>
                <w:sz w:val="26"/>
                <w:szCs w:val="26"/>
              </w:rPr>
              <w:t>33 South Grant Avenue</w:t>
            </w:r>
          </w:p>
          <w:p w:rsidR="00000C8C" w:rsidRDefault="00000C8C" w:rsidP="00D07C53">
            <w:pPr>
              <w:rPr>
                <w:sz w:val="26"/>
                <w:szCs w:val="26"/>
              </w:rPr>
            </w:pPr>
            <w:r>
              <w:rPr>
                <w:sz w:val="26"/>
                <w:szCs w:val="26"/>
              </w:rPr>
              <w:t>Columbus, OH  43215-3900</w:t>
            </w:r>
          </w:p>
          <w:p w:rsidR="00000C8C" w:rsidRDefault="00000C8C" w:rsidP="00D07C53">
            <w:pPr>
              <w:rPr>
                <w:sz w:val="26"/>
                <w:szCs w:val="26"/>
              </w:rPr>
            </w:pPr>
            <w:hyperlink r:id="rId23" w:history="1">
              <w:r w:rsidRPr="008D3D1D">
                <w:rPr>
                  <w:rStyle w:val="Hyperlink"/>
                  <w:sz w:val="26"/>
                  <w:szCs w:val="26"/>
                </w:rPr>
                <w:t>barthroyer@aol.com</w:t>
              </w:r>
            </w:hyperlink>
          </w:p>
          <w:p w:rsidR="00000C8C" w:rsidRDefault="00000C8C" w:rsidP="00D07C53">
            <w:pPr>
              <w:rPr>
                <w:sz w:val="26"/>
                <w:szCs w:val="26"/>
              </w:rPr>
            </w:pPr>
          </w:p>
          <w:p w:rsidR="00000C8C" w:rsidRDefault="00000C8C" w:rsidP="00D07C53">
            <w:pPr>
              <w:rPr>
                <w:sz w:val="26"/>
                <w:szCs w:val="26"/>
              </w:rPr>
            </w:pPr>
            <w:r>
              <w:rPr>
                <w:sz w:val="26"/>
                <w:szCs w:val="26"/>
              </w:rPr>
              <w:t>Dane Stinson</w:t>
            </w:r>
          </w:p>
          <w:p w:rsidR="00000C8C" w:rsidRDefault="00000C8C" w:rsidP="00D07C53">
            <w:pPr>
              <w:rPr>
                <w:sz w:val="26"/>
                <w:szCs w:val="26"/>
              </w:rPr>
            </w:pPr>
            <w:r>
              <w:rPr>
                <w:sz w:val="26"/>
                <w:szCs w:val="26"/>
              </w:rPr>
              <w:t>Bailey Cavalieri</w:t>
            </w:r>
          </w:p>
          <w:p w:rsidR="00000C8C" w:rsidRDefault="00000C8C" w:rsidP="00D07C53">
            <w:pPr>
              <w:rPr>
                <w:sz w:val="26"/>
                <w:szCs w:val="26"/>
              </w:rPr>
            </w:pPr>
            <w:r>
              <w:rPr>
                <w:sz w:val="26"/>
                <w:szCs w:val="26"/>
              </w:rPr>
              <w:t>One Columbus</w:t>
            </w:r>
          </w:p>
          <w:p w:rsidR="00000C8C" w:rsidRDefault="00000C8C" w:rsidP="00D07C53">
            <w:pPr>
              <w:rPr>
                <w:sz w:val="26"/>
                <w:szCs w:val="26"/>
              </w:rPr>
            </w:pPr>
            <w:r>
              <w:rPr>
                <w:sz w:val="26"/>
                <w:szCs w:val="26"/>
              </w:rPr>
              <w:t>Ten West Broad Street</w:t>
            </w:r>
          </w:p>
          <w:p w:rsidR="00000C8C" w:rsidRDefault="00000C8C" w:rsidP="00D07C53">
            <w:pPr>
              <w:rPr>
                <w:sz w:val="26"/>
                <w:szCs w:val="26"/>
              </w:rPr>
            </w:pPr>
            <w:r>
              <w:rPr>
                <w:sz w:val="26"/>
                <w:szCs w:val="26"/>
              </w:rPr>
              <w:t>Suite 2100</w:t>
            </w:r>
          </w:p>
          <w:p w:rsidR="00000C8C" w:rsidRDefault="00000C8C" w:rsidP="00D07C53">
            <w:pPr>
              <w:rPr>
                <w:sz w:val="26"/>
                <w:szCs w:val="26"/>
              </w:rPr>
            </w:pPr>
            <w:r>
              <w:rPr>
                <w:sz w:val="26"/>
                <w:szCs w:val="26"/>
              </w:rPr>
              <w:t>Columbus, OH  43215-3422</w:t>
            </w:r>
          </w:p>
          <w:p w:rsidR="00000C8C" w:rsidRDefault="00000C8C" w:rsidP="00D07C53">
            <w:pPr>
              <w:rPr>
                <w:sz w:val="26"/>
                <w:szCs w:val="26"/>
              </w:rPr>
            </w:pPr>
            <w:hyperlink r:id="rId24" w:history="1">
              <w:r w:rsidRPr="008D3D1D">
                <w:rPr>
                  <w:rStyle w:val="Hyperlink"/>
                  <w:sz w:val="26"/>
                  <w:szCs w:val="26"/>
                </w:rPr>
                <w:t>dane.stinson@baileycavalieri.com</w:t>
              </w:r>
            </w:hyperlink>
          </w:p>
          <w:p w:rsidR="00000C8C" w:rsidRDefault="00000C8C" w:rsidP="00D07C53">
            <w:pPr>
              <w:rPr>
                <w:sz w:val="26"/>
                <w:szCs w:val="26"/>
              </w:rPr>
            </w:pPr>
          </w:p>
          <w:p w:rsidR="00000C8C" w:rsidRDefault="00000C8C" w:rsidP="00D07C53">
            <w:pPr>
              <w:rPr>
                <w:sz w:val="26"/>
                <w:szCs w:val="26"/>
              </w:rPr>
            </w:pPr>
            <w:r>
              <w:rPr>
                <w:sz w:val="26"/>
                <w:szCs w:val="26"/>
              </w:rPr>
              <w:t>Bruce J. Weston</w:t>
            </w:r>
          </w:p>
          <w:p w:rsidR="00000C8C" w:rsidRDefault="00000C8C" w:rsidP="00D07C53">
            <w:pPr>
              <w:rPr>
                <w:sz w:val="26"/>
                <w:szCs w:val="26"/>
              </w:rPr>
            </w:pPr>
            <w:r>
              <w:rPr>
                <w:sz w:val="26"/>
                <w:szCs w:val="26"/>
              </w:rPr>
              <w:t>Larry S. Sauer</w:t>
            </w:r>
          </w:p>
          <w:p w:rsidR="00000C8C" w:rsidRDefault="00000C8C" w:rsidP="00D07C53">
            <w:pPr>
              <w:rPr>
                <w:sz w:val="26"/>
                <w:szCs w:val="26"/>
              </w:rPr>
            </w:pPr>
            <w:r>
              <w:rPr>
                <w:sz w:val="26"/>
                <w:szCs w:val="26"/>
              </w:rPr>
              <w:t>Joseph P. Serio</w:t>
            </w:r>
          </w:p>
          <w:p w:rsidR="00000C8C" w:rsidRDefault="00000C8C" w:rsidP="00D07C53">
            <w:pPr>
              <w:rPr>
                <w:sz w:val="26"/>
                <w:szCs w:val="26"/>
              </w:rPr>
            </w:pPr>
            <w:r>
              <w:rPr>
                <w:sz w:val="26"/>
                <w:szCs w:val="26"/>
              </w:rPr>
              <w:t>Assistant Consumers’ Counsel</w:t>
            </w:r>
          </w:p>
          <w:p w:rsidR="00000C8C" w:rsidRDefault="00000C8C" w:rsidP="00D07C53">
            <w:pPr>
              <w:rPr>
                <w:sz w:val="26"/>
                <w:szCs w:val="26"/>
              </w:rPr>
            </w:pPr>
            <w:r>
              <w:rPr>
                <w:sz w:val="26"/>
                <w:szCs w:val="26"/>
              </w:rPr>
              <w:t>Office of the Ohio Consumers’ Counsel</w:t>
            </w:r>
          </w:p>
          <w:p w:rsidR="00000C8C" w:rsidRDefault="00000C8C" w:rsidP="00D07C53">
            <w:pPr>
              <w:rPr>
                <w:sz w:val="26"/>
                <w:szCs w:val="26"/>
              </w:rPr>
            </w:pPr>
            <w:r>
              <w:rPr>
                <w:sz w:val="26"/>
                <w:szCs w:val="26"/>
              </w:rPr>
              <w:t>Ten West Broad Street, Suite 1800</w:t>
            </w:r>
          </w:p>
          <w:p w:rsidR="00000C8C" w:rsidRDefault="00000C8C" w:rsidP="00D07C53">
            <w:pPr>
              <w:rPr>
                <w:sz w:val="26"/>
                <w:szCs w:val="26"/>
              </w:rPr>
            </w:pPr>
            <w:r>
              <w:rPr>
                <w:sz w:val="26"/>
                <w:szCs w:val="26"/>
              </w:rPr>
              <w:t>Columbus, OH  43215-3485</w:t>
            </w:r>
          </w:p>
          <w:p w:rsidR="00000C8C" w:rsidRDefault="00000C8C" w:rsidP="00D07C53">
            <w:pPr>
              <w:rPr>
                <w:sz w:val="26"/>
                <w:szCs w:val="26"/>
              </w:rPr>
            </w:pPr>
            <w:hyperlink r:id="rId25" w:history="1">
              <w:r w:rsidRPr="008D3D1D">
                <w:rPr>
                  <w:rStyle w:val="Hyperlink"/>
                  <w:sz w:val="26"/>
                  <w:szCs w:val="26"/>
                </w:rPr>
                <w:t>weston@occ.state.oh.us</w:t>
              </w:r>
            </w:hyperlink>
          </w:p>
          <w:p w:rsidR="00000C8C" w:rsidRDefault="00000C8C" w:rsidP="00D07C53">
            <w:pPr>
              <w:rPr>
                <w:sz w:val="26"/>
                <w:szCs w:val="26"/>
              </w:rPr>
            </w:pPr>
            <w:hyperlink r:id="rId26" w:history="1">
              <w:r w:rsidRPr="008D3D1D">
                <w:rPr>
                  <w:rStyle w:val="Hyperlink"/>
                  <w:sz w:val="26"/>
                  <w:szCs w:val="26"/>
                </w:rPr>
                <w:t>sauer@occ.state.oh.us</w:t>
              </w:r>
            </w:hyperlink>
          </w:p>
          <w:p w:rsidR="00000C8C" w:rsidRDefault="00000C8C" w:rsidP="00D07C53">
            <w:pPr>
              <w:rPr>
                <w:sz w:val="26"/>
                <w:szCs w:val="26"/>
              </w:rPr>
            </w:pPr>
            <w:hyperlink r:id="rId27" w:history="1">
              <w:r w:rsidRPr="008D3D1D">
                <w:rPr>
                  <w:rStyle w:val="Hyperlink"/>
                  <w:sz w:val="26"/>
                  <w:szCs w:val="26"/>
                </w:rPr>
                <w:t>serio@occ.state.oh.us</w:t>
              </w:r>
            </w:hyperlink>
          </w:p>
          <w:p w:rsidR="00000C8C" w:rsidRPr="00221496" w:rsidRDefault="00000C8C" w:rsidP="00D07C53">
            <w:pPr>
              <w:rPr>
                <w:sz w:val="26"/>
                <w:szCs w:val="26"/>
              </w:rPr>
            </w:pPr>
          </w:p>
        </w:tc>
        <w:tc>
          <w:tcPr>
            <w:tcW w:w="4788" w:type="dxa"/>
          </w:tcPr>
          <w:p w:rsidR="00000C8C" w:rsidRDefault="00000C8C" w:rsidP="00D07C53">
            <w:pPr>
              <w:rPr>
                <w:sz w:val="26"/>
                <w:szCs w:val="26"/>
              </w:rPr>
            </w:pPr>
            <w:r>
              <w:rPr>
                <w:sz w:val="26"/>
                <w:szCs w:val="26"/>
              </w:rPr>
              <w:lastRenderedPageBreak/>
              <w:t>Stephen B. Seiple</w:t>
            </w:r>
          </w:p>
          <w:p w:rsidR="00000C8C" w:rsidRDefault="00000C8C" w:rsidP="00D07C53">
            <w:pPr>
              <w:rPr>
                <w:sz w:val="26"/>
                <w:szCs w:val="26"/>
              </w:rPr>
            </w:pPr>
            <w:r>
              <w:rPr>
                <w:sz w:val="26"/>
                <w:szCs w:val="26"/>
              </w:rPr>
              <w:t>Brooke E. Leslie</w:t>
            </w:r>
          </w:p>
          <w:p w:rsidR="00000C8C" w:rsidRDefault="00000C8C" w:rsidP="00D07C53">
            <w:pPr>
              <w:rPr>
                <w:sz w:val="26"/>
                <w:szCs w:val="26"/>
              </w:rPr>
            </w:pPr>
            <w:r>
              <w:rPr>
                <w:sz w:val="26"/>
                <w:szCs w:val="26"/>
              </w:rPr>
              <w:t>NiSource Corporate Services</w:t>
            </w:r>
          </w:p>
          <w:p w:rsidR="00000C8C" w:rsidRDefault="00000C8C" w:rsidP="00D07C53">
            <w:pPr>
              <w:rPr>
                <w:sz w:val="26"/>
                <w:szCs w:val="26"/>
              </w:rPr>
            </w:pPr>
            <w:r>
              <w:rPr>
                <w:sz w:val="26"/>
                <w:szCs w:val="26"/>
              </w:rPr>
              <w:t>200 Civic Center Drive</w:t>
            </w:r>
          </w:p>
          <w:p w:rsidR="00000C8C" w:rsidRDefault="00000C8C" w:rsidP="00D07C53">
            <w:pPr>
              <w:rPr>
                <w:sz w:val="26"/>
                <w:szCs w:val="26"/>
              </w:rPr>
            </w:pPr>
            <w:r>
              <w:rPr>
                <w:sz w:val="26"/>
                <w:szCs w:val="26"/>
              </w:rPr>
              <w:t>Columbus, OH  43215</w:t>
            </w:r>
          </w:p>
          <w:p w:rsidR="00000C8C" w:rsidRDefault="00000C8C" w:rsidP="00D07C53">
            <w:pPr>
              <w:rPr>
                <w:sz w:val="26"/>
                <w:szCs w:val="26"/>
              </w:rPr>
            </w:pPr>
            <w:hyperlink r:id="rId28" w:history="1">
              <w:r w:rsidRPr="008D3D1D">
                <w:rPr>
                  <w:rStyle w:val="Hyperlink"/>
                  <w:sz w:val="26"/>
                  <w:szCs w:val="26"/>
                </w:rPr>
                <w:t>sseiple@nisource.com</w:t>
              </w:r>
            </w:hyperlink>
          </w:p>
          <w:p w:rsidR="00000C8C" w:rsidRDefault="00000C8C" w:rsidP="00D07C53">
            <w:pPr>
              <w:rPr>
                <w:sz w:val="26"/>
                <w:szCs w:val="26"/>
              </w:rPr>
            </w:pPr>
            <w:hyperlink r:id="rId29" w:history="1">
              <w:r w:rsidRPr="008D3D1D">
                <w:rPr>
                  <w:rStyle w:val="Hyperlink"/>
                  <w:sz w:val="26"/>
                  <w:szCs w:val="26"/>
                </w:rPr>
                <w:t>bleslie@nisource.com</w:t>
              </w:r>
            </w:hyperlink>
          </w:p>
          <w:p w:rsidR="00000C8C" w:rsidRDefault="00000C8C" w:rsidP="00D07C53">
            <w:pPr>
              <w:rPr>
                <w:sz w:val="26"/>
                <w:szCs w:val="26"/>
              </w:rPr>
            </w:pPr>
          </w:p>
          <w:p w:rsidR="00000C8C" w:rsidRDefault="00000C8C" w:rsidP="00D07C53">
            <w:pPr>
              <w:rPr>
                <w:sz w:val="26"/>
                <w:szCs w:val="26"/>
              </w:rPr>
            </w:pPr>
            <w:r>
              <w:rPr>
                <w:sz w:val="26"/>
                <w:szCs w:val="26"/>
              </w:rPr>
              <w:t>Daniel R. Conway</w:t>
            </w:r>
          </w:p>
          <w:p w:rsidR="00000C8C" w:rsidRDefault="00000C8C" w:rsidP="00D07C53">
            <w:pPr>
              <w:rPr>
                <w:sz w:val="26"/>
                <w:szCs w:val="26"/>
              </w:rPr>
            </w:pPr>
            <w:r>
              <w:rPr>
                <w:sz w:val="26"/>
                <w:szCs w:val="26"/>
              </w:rPr>
              <w:t>Mark S. Stemm</w:t>
            </w:r>
          </w:p>
          <w:p w:rsidR="00000C8C" w:rsidRDefault="00000C8C" w:rsidP="00D07C53">
            <w:pPr>
              <w:rPr>
                <w:sz w:val="26"/>
                <w:szCs w:val="26"/>
              </w:rPr>
            </w:pPr>
            <w:r>
              <w:rPr>
                <w:sz w:val="26"/>
                <w:szCs w:val="26"/>
              </w:rPr>
              <w:t>Eric B. Gallon</w:t>
            </w:r>
          </w:p>
          <w:p w:rsidR="00000C8C" w:rsidRDefault="00000C8C" w:rsidP="00D07C53">
            <w:pPr>
              <w:rPr>
                <w:sz w:val="26"/>
                <w:szCs w:val="26"/>
              </w:rPr>
            </w:pPr>
            <w:r>
              <w:rPr>
                <w:sz w:val="26"/>
                <w:szCs w:val="26"/>
              </w:rPr>
              <w:t>Porter Wright Morris &amp; Arthur</w:t>
            </w:r>
          </w:p>
          <w:p w:rsidR="00000C8C" w:rsidRDefault="00000C8C" w:rsidP="00D07C53">
            <w:pPr>
              <w:rPr>
                <w:sz w:val="26"/>
                <w:szCs w:val="26"/>
              </w:rPr>
            </w:pPr>
            <w:r>
              <w:rPr>
                <w:sz w:val="26"/>
                <w:szCs w:val="26"/>
              </w:rPr>
              <w:t>41 South High Street</w:t>
            </w:r>
          </w:p>
          <w:p w:rsidR="00000C8C" w:rsidRDefault="00000C8C" w:rsidP="00D07C53">
            <w:pPr>
              <w:rPr>
                <w:sz w:val="26"/>
                <w:szCs w:val="26"/>
              </w:rPr>
            </w:pPr>
            <w:r>
              <w:rPr>
                <w:sz w:val="26"/>
                <w:szCs w:val="26"/>
              </w:rPr>
              <w:t>Columbus, OH  43215-6194</w:t>
            </w:r>
          </w:p>
          <w:p w:rsidR="00000C8C" w:rsidRDefault="00000C8C" w:rsidP="00D07C53">
            <w:pPr>
              <w:rPr>
                <w:sz w:val="26"/>
                <w:szCs w:val="26"/>
              </w:rPr>
            </w:pPr>
            <w:hyperlink r:id="rId30" w:history="1">
              <w:r w:rsidRPr="008D3D1D">
                <w:rPr>
                  <w:rStyle w:val="Hyperlink"/>
                  <w:sz w:val="26"/>
                  <w:szCs w:val="26"/>
                </w:rPr>
                <w:t>dconway@porterwright.com</w:t>
              </w:r>
            </w:hyperlink>
          </w:p>
          <w:p w:rsidR="00000C8C" w:rsidRDefault="00000C8C" w:rsidP="00D07C53">
            <w:pPr>
              <w:rPr>
                <w:sz w:val="26"/>
                <w:szCs w:val="26"/>
              </w:rPr>
            </w:pPr>
            <w:hyperlink r:id="rId31" w:history="1">
              <w:r w:rsidRPr="008D3D1D">
                <w:rPr>
                  <w:rStyle w:val="Hyperlink"/>
                  <w:sz w:val="26"/>
                  <w:szCs w:val="26"/>
                </w:rPr>
                <w:t>mstemm@porterwright.com</w:t>
              </w:r>
            </w:hyperlink>
          </w:p>
          <w:p w:rsidR="00000C8C" w:rsidRDefault="00000C8C" w:rsidP="00D07C53">
            <w:pPr>
              <w:rPr>
                <w:sz w:val="26"/>
                <w:szCs w:val="26"/>
              </w:rPr>
            </w:pPr>
            <w:hyperlink r:id="rId32" w:history="1">
              <w:r w:rsidRPr="008D3D1D">
                <w:rPr>
                  <w:rStyle w:val="Hyperlink"/>
                  <w:sz w:val="26"/>
                  <w:szCs w:val="26"/>
                </w:rPr>
                <w:t>egallon@porterwright.com</w:t>
              </w:r>
            </w:hyperlink>
          </w:p>
          <w:p w:rsidR="00000C8C" w:rsidRDefault="00000C8C" w:rsidP="00D07C53">
            <w:pPr>
              <w:rPr>
                <w:sz w:val="26"/>
                <w:szCs w:val="26"/>
              </w:rPr>
            </w:pPr>
          </w:p>
          <w:p w:rsidR="00000C8C" w:rsidRDefault="00000C8C" w:rsidP="00D07C53">
            <w:pPr>
              <w:rPr>
                <w:sz w:val="26"/>
                <w:szCs w:val="26"/>
              </w:rPr>
            </w:pPr>
            <w:r>
              <w:rPr>
                <w:sz w:val="26"/>
                <w:szCs w:val="26"/>
              </w:rPr>
              <w:t>Joseph M. Clark</w:t>
            </w:r>
          </w:p>
          <w:p w:rsidR="00000C8C" w:rsidRDefault="00000C8C" w:rsidP="00D07C53">
            <w:pPr>
              <w:rPr>
                <w:sz w:val="26"/>
                <w:szCs w:val="26"/>
              </w:rPr>
            </w:pPr>
            <w:r>
              <w:rPr>
                <w:sz w:val="26"/>
                <w:szCs w:val="26"/>
              </w:rPr>
              <w:t>Jennifer L. Lause</w:t>
            </w:r>
          </w:p>
          <w:p w:rsidR="00000C8C" w:rsidRDefault="00000C8C" w:rsidP="00D07C53">
            <w:pPr>
              <w:rPr>
                <w:sz w:val="26"/>
                <w:szCs w:val="26"/>
              </w:rPr>
            </w:pPr>
            <w:r>
              <w:rPr>
                <w:sz w:val="26"/>
                <w:szCs w:val="26"/>
              </w:rPr>
              <w:t>Direct Energy</w:t>
            </w:r>
          </w:p>
          <w:p w:rsidR="00000C8C" w:rsidRDefault="00000C8C" w:rsidP="00D07C53">
            <w:pPr>
              <w:rPr>
                <w:sz w:val="26"/>
                <w:szCs w:val="26"/>
              </w:rPr>
            </w:pPr>
            <w:r>
              <w:rPr>
                <w:sz w:val="26"/>
                <w:szCs w:val="26"/>
              </w:rPr>
              <w:t>6641 North High Street, Suite 200</w:t>
            </w:r>
          </w:p>
          <w:p w:rsidR="00000C8C" w:rsidRDefault="00000C8C" w:rsidP="00D07C53">
            <w:pPr>
              <w:rPr>
                <w:sz w:val="26"/>
                <w:szCs w:val="26"/>
              </w:rPr>
            </w:pPr>
            <w:r>
              <w:rPr>
                <w:sz w:val="26"/>
                <w:szCs w:val="26"/>
              </w:rPr>
              <w:t>Worthington, OH  43085</w:t>
            </w:r>
          </w:p>
          <w:p w:rsidR="00000C8C" w:rsidRDefault="00000C8C" w:rsidP="00D07C53">
            <w:pPr>
              <w:rPr>
                <w:sz w:val="26"/>
                <w:szCs w:val="26"/>
              </w:rPr>
            </w:pPr>
            <w:hyperlink r:id="rId33" w:history="1">
              <w:r w:rsidRPr="008D3D1D">
                <w:rPr>
                  <w:rStyle w:val="Hyperlink"/>
                  <w:sz w:val="26"/>
                  <w:szCs w:val="26"/>
                </w:rPr>
                <w:t>jmclark@vectren.com</w:t>
              </w:r>
            </w:hyperlink>
          </w:p>
          <w:p w:rsidR="00000C8C" w:rsidRDefault="00000C8C" w:rsidP="00D07C53">
            <w:pPr>
              <w:rPr>
                <w:sz w:val="26"/>
                <w:szCs w:val="26"/>
              </w:rPr>
            </w:pPr>
            <w:hyperlink r:id="rId34" w:history="1">
              <w:r w:rsidRPr="008D3D1D">
                <w:rPr>
                  <w:rStyle w:val="Hyperlink"/>
                  <w:sz w:val="26"/>
                  <w:szCs w:val="26"/>
                </w:rPr>
                <w:t>jllause@vectren.com</w:t>
              </w:r>
            </w:hyperlink>
          </w:p>
          <w:p w:rsidR="00000C8C" w:rsidRDefault="00000C8C" w:rsidP="00D07C53">
            <w:pPr>
              <w:rPr>
                <w:sz w:val="26"/>
                <w:szCs w:val="26"/>
              </w:rPr>
            </w:pPr>
          </w:p>
          <w:p w:rsidR="00000C8C" w:rsidRDefault="00000C8C" w:rsidP="00D07C53">
            <w:pPr>
              <w:rPr>
                <w:sz w:val="26"/>
                <w:szCs w:val="26"/>
              </w:rPr>
            </w:pPr>
            <w:r>
              <w:rPr>
                <w:sz w:val="26"/>
                <w:szCs w:val="26"/>
              </w:rPr>
              <w:t>Glenn S. Krassen</w:t>
            </w:r>
          </w:p>
          <w:p w:rsidR="00000C8C" w:rsidRDefault="00000C8C" w:rsidP="00D07C53">
            <w:pPr>
              <w:rPr>
                <w:sz w:val="26"/>
                <w:szCs w:val="26"/>
              </w:rPr>
            </w:pPr>
            <w:r>
              <w:rPr>
                <w:sz w:val="26"/>
                <w:szCs w:val="26"/>
              </w:rPr>
              <w:t>Bricker &amp; Eckler</w:t>
            </w:r>
          </w:p>
          <w:p w:rsidR="00000C8C" w:rsidRDefault="00000C8C" w:rsidP="00D07C53">
            <w:pPr>
              <w:rPr>
                <w:sz w:val="26"/>
                <w:szCs w:val="26"/>
              </w:rPr>
            </w:pPr>
            <w:r>
              <w:rPr>
                <w:sz w:val="26"/>
                <w:szCs w:val="26"/>
              </w:rPr>
              <w:t>10001 Lakeside Avenue East</w:t>
            </w:r>
          </w:p>
          <w:p w:rsidR="00000C8C" w:rsidRDefault="00000C8C" w:rsidP="00D07C53">
            <w:pPr>
              <w:rPr>
                <w:sz w:val="26"/>
                <w:szCs w:val="26"/>
              </w:rPr>
            </w:pPr>
            <w:r>
              <w:rPr>
                <w:sz w:val="26"/>
                <w:szCs w:val="26"/>
              </w:rPr>
              <w:t>Suite 1350</w:t>
            </w:r>
          </w:p>
          <w:p w:rsidR="00000C8C" w:rsidRDefault="00000C8C" w:rsidP="00D07C53">
            <w:pPr>
              <w:rPr>
                <w:sz w:val="26"/>
                <w:szCs w:val="26"/>
              </w:rPr>
            </w:pPr>
            <w:r>
              <w:rPr>
                <w:sz w:val="26"/>
                <w:szCs w:val="26"/>
              </w:rPr>
              <w:t>Cleveland, OH  44114</w:t>
            </w:r>
          </w:p>
          <w:p w:rsidR="00000C8C" w:rsidRDefault="00000C8C" w:rsidP="00D07C53">
            <w:pPr>
              <w:rPr>
                <w:sz w:val="26"/>
                <w:szCs w:val="26"/>
              </w:rPr>
            </w:pPr>
            <w:hyperlink r:id="rId35" w:history="1">
              <w:r w:rsidRPr="008D3D1D">
                <w:rPr>
                  <w:rStyle w:val="Hyperlink"/>
                  <w:sz w:val="26"/>
                  <w:szCs w:val="26"/>
                </w:rPr>
                <w:t>gkrassen@bricker.com</w:t>
              </w:r>
            </w:hyperlink>
          </w:p>
          <w:p w:rsidR="00000C8C" w:rsidRDefault="00000C8C" w:rsidP="00D07C53">
            <w:pPr>
              <w:rPr>
                <w:sz w:val="26"/>
                <w:szCs w:val="26"/>
              </w:rPr>
            </w:pPr>
          </w:p>
          <w:p w:rsidR="00000C8C" w:rsidRDefault="00000C8C" w:rsidP="00D07C53">
            <w:pPr>
              <w:rPr>
                <w:sz w:val="26"/>
                <w:szCs w:val="26"/>
              </w:rPr>
            </w:pPr>
            <w:r>
              <w:rPr>
                <w:sz w:val="26"/>
                <w:szCs w:val="26"/>
              </w:rPr>
              <w:t>David C. Rinebolt</w:t>
            </w:r>
          </w:p>
          <w:p w:rsidR="00000C8C" w:rsidRDefault="00000C8C" w:rsidP="00D07C53">
            <w:pPr>
              <w:rPr>
                <w:sz w:val="26"/>
                <w:szCs w:val="26"/>
              </w:rPr>
            </w:pPr>
            <w:r>
              <w:rPr>
                <w:sz w:val="26"/>
                <w:szCs w:val="26"/>
              </w:rPr>
              <w:t>Colleen L. Mooney</w:t>
            </w:r>
          </w:p>
          <w:p w:rsidR="00000C8C" w:rsidRDefault="00000C8C" w:rsidP="00D07C53">
            <w:pPr>
              <w:rPr>
                <w:sz w:val="26"/>
                <w:szCs w:val="26"/>
              </w:rPr>
            </w:pPr>
            <w:r>
              <w:rPr>
                <w:sz w:val="26"/>
                <w:szCs w:val="26"/>
              </w:rPr>
              <w:t>Ohio Partners for Affordable Energy</w:t>
            </w:r>
          </w:p>
          <w:p w:rsidR="00000C8C" w:rsidRDefault="00000C8C" w:rsidP="00D07C53">
            <w:pPr>
              <w:rPr>
                <w:sz w:val="26"/>
                <w:szCs w:val="26"/>
              </w:rPr>
            </w:pPr>
            <w:r>
              <w:rPr>
                <w:sz w:val="26"/>
                <w:szCs w:val="26"/>
              </w:rPr>
              <w:t>231 West Lima Street</w:t>
            </w:r>
          </w:p>
          <w:p w:rsidR="00000C8C" w:rsidRDefault="00000C8C" w:rsidP="00D07C53">
            <w:pPr>
              <w:rPr>
                <w:sz w:val="26"/>
                <w:szCs w:val="26"/>
              </w:rPr>
            </w:pPr>
            <w:r>
              <w:rPr>
                <w:sz w:val="26"/>
                <w:szCs w:val="26"/>
              </w:rPr>
              <w:t>Findlay, OH  45840</w:t>
            </w:r>
          </w:p>
          <w:p w:rsidR="00000C8C" w:rsidRDefault="00000C8C" w:rsidP="00D07C53">
            <w:pPr>
              <w:rPr>
                <w:sz w:val="26"/>
                <w:szCs w:val="26"/>
              </w:rPr>
            </w:pPr>
            <w:hyperlink r:id="rId36" w:history="1">
              <w:r w:rsidRPr="008D3D1D">
                <w:rPr>
                  <w:rStyle w:val="Hyperlink"/>
                  <w:sz w:val="26"/>
                  <w:szCs w:val="26"/>
                </w:rPr>
                <w:t>drinebolt@aol.com</w:t>
              </w:r>
            </w:hyperlink>
          </w:p>
          <w:p w:rsidR="00000C8C" w:rsidRDefault="00000C8C" w:rsidP="00D07C53">
            <w:pPr>
              <w:rPr>
                <w:sz w:val="26"/>
                <w:szCs w:val="26"/>
              </w:rPr>
            </w:pPr>
            <w:hyperlink r:id="rId37" w:history="1">
              <w:r w:rsidRPr="008D3D1D">
                <w:rPr>
                  <w:rStyle w:val="Hyperlink"/>
                  <w:sz w:val="26"/>
                  <w:szCs w:val="26"/>
                </w:rPr>
                <w:t>cmooney2@columbus.rr.com</w:t>
              </w:r>
            </w:hyperlink>
          </w:p>
          <w:p w:rsidR="00000C8C" w:rsidRDefault="00000C8C" w:rsidP="00D07C53">
            <w:pPr>
              <w:rPr>
                <w:sz w:val="26"/>
                <w:szCs w:val="26"/>
              </w:rPr>
            </w:pPr>
          </w:p>
          <w:p w:rsidR="00000C8C" w:rsidRDefault="00000C8C" w:rsidP="00D07C53">
            <w:pPr>
              <w:rPr>
                <w:sz w:val="26"/>
                <w:szCs w:val="26"/>
              </w:rPr>
            </w:pPr>
            <w:r>
              <w:rPr>
                <w:sz w:val="26"/>
                <w:szCs w:val="26"/>
              </w:rPr>
              <w:t>M. Anthony Long</w:t>
            </w:r>
          </w:p>
          <w:p w:rsidR="00000C8C" w:rsidRDefault="00000C8C" w:rsidP="00D07C53">
            <w:pPr>
              <w:rPr>
                <w:sz w:val="26"/>
                <w:szCs w:val="26"/>
              </w:rPr>
            </w:pPr>
            <w:r>
              <w:rPr>
                <w:sz w:val="26"/>
                <w:szCs w:val="26"/>
              </w:rPr>
              <w:t>Honda of American Manufacturing, Inc.</w:t>
            </w:r>
          </w:p>
          <w:p w:rsidR="00000C8C" w:rsidRDefault="00000C8C" w:rsidP="00D07C53">
            <w:pPr>
              <w:rPr>
                <w:sz w:val="26"/>
                <w:szCs w:val="26"/>
              </w:rPr>
            </w:pPr>
            <w:r>
              <w:rPr>
                <w:sz w:val="26"/>
                <w:szCs w:val="26"/>
              </w:rPr>
              <w:t>24000 Honda Parkway</w:t>
            </w:r>
          </w:p>
          <w:p w:rsidR="00000C8C" w:rsidRDefault="00000C8C" w:rsidP="00D07C53">
            <w:pPr>
              <w:rPr>
                <w:sz w:val="26"/>
                <w:szCs w:val="26"/>
              </w:rPr>
            </w:pPr>
            <w:r>
              <w:rPr>
                <w:sz w:val="26"/>
                <w:szCs w:val="26"/>
              </w:rPr>
              <w:t>Marysville, OH  43040</w:t>
            </w:r>
          </w:p>
          <w:p w:rsidR="00000C8C" w:rsidRDefault="00000C8C" w:rsidP="00D07C53">
            <w:pPr>
              <w:rPr>
                <w:sz w:val="26"/>
                <w:szCs w:val="26"/>
              </w:rPr>
            </w:pPr>
            <w:hyperlink r:id="rId38" w:history="1">
              <w:r w:rsidRPr="008D3D1D">
                <w:rPr>
                  <w:rStyle w:val="Hyperlink"/>
                  <w:sz w:val="26"/>
                  <w:szCs w:val="26"/>
                </w:rPr>
                <w:t>tony_long@honda.com</w:t>
              </w:r>
            </w:hyperlink>
          </w:p>
          <w:p w:rsidR="00000C8C" w:rsidRDefault="00000C8C" w:rsidP="00D07C53">
            <w:pPr>
              <w:rPr>
                <w:sz w:val="26"/>
                <w:szCs w:val="26"/>
              </w:rPr>
            </w:pPr>
          </w:p>
          <w:p w:rsidR="00000C8C" w:rsidRDefault="00000C8C" w:rsidP="00D07C53">
            <w:pPr>
              <w:rPr>
                <w:sz w:val="26"/>
                <w:szCs w:val="26"/>
              </w:rPr>
            </w:pPr>
            <w:r>
              <w:rPr>
                <w:sz w:val="26"/>
                <w:szCs w:val="26"/>
              </w:rPr>
              <w:t>A. Brian McIntosh</w:t>
            </w:r>
          </w:p>
          <w:p w:rsidR="00000C8C" w:rsidRDefault="00000C8C" w:rsidP="00D07C53">
            <w:pPr>
              <w:rPr>
                <w:sz w:val="26"/>
                <w:szCs w:val="26"/>
              </w:rPr>
            </w:pPr>
            <w:r>
              <w:rPr>
                <w:sz w:val="26"/>
                <w:szCs w:val="26"/>
              </w:rPr>
              <w:t>McIntosh &amp; McIntosh</w:t>
            </w:r>
          </w:p>
          <w:p w:rsidR="00000C8C" w:rsidRDefault="00000C8C" w:rsidP="00D07C53">
            <w:pPr>
              <w:rPr>
                <w:sz w:val="26"/>
                <w:szCs w:val="26"/>
              </w:rPr>
            </w:pPr>
            <w:r>
              <w:rPr>
                <w:sz w:val="26"/>
                <w:szCs w:val="26"/>
              </w:rPr>
              <w:t>1136 Saint Gregory Street</w:t>
            </w:r>
          </w:p>
          <w:p w:rsidR="00000C8C" w:rsidRDefault="00000C8C" w:rsidP="00D07C53">
            <w:pPr>
              <w:rPr>
                <w:sz w:val="26"/>
                <w:szCs w:val="26"/>
              </w:rPr>
            </w:pPr>
            <w:r>
              <w:rPr>
                <w:sz w:val="26"/>
                <w:szCs w:val="26"/>
              </w:rPr>
              <w:t>Suite 100</w:t>
            </w:r>
          </w:p>
          <w:p w:rsidR="00000C8C" w:rsidRDefault="00000C8C" w:rsidP="00D07C53">
            <w:pPr>
              <w:rPr>
                <w:sz w:val="26"/>
                <w:szCs w:val="26"/>
              </w:rPr>
            </w:pPr>
            <w:r>
              <w:rPr>
                <w:sz w:val="26"/>
                <w:szCs w:val="26"/>
              </w:rPr>
              <w:t>Cincinnati, OH 45202</w:t>
            </w:r>
          </w:p>
          <w:p w:rsidR="00000C8C" w:rsidRDefault="00000C8C" w:rsidP="00D07C53">
            <w:pPr>
              <w:rPr>
                <w:sz w:val="26"/>
                <w:szCs w:val="26"/>
              </w:rPr>
            </w:pPr>
            <w:hyperlink r:id="rId39" w:history="1">
              <w:r w:rsidRPr="008D3D1D">
                <w:rPr>
                  <w:rStyle w:val="Hyperlink"/>
                  <w:sz w:val="26"/>
                  <w:szCs w:val="26"/>
                </w:rPr>
                <w:t>brian@mcintoshlaw.com</w:t>
              </w:r>
            </w:hyperlink>
          </w:p>
          <w:p w:rsidR="00000C8C" w:rsidRPr="00221496" w:rsidRDefault="00000C8C" w:rsidP="00D07C53">
            <w:pPr>
              <w:rPr>
                <w:sz w:val="26"/>
                <w:szCs w:val="26"/>
              </w:rPr>
            </w:pPr>
          </w:p>
        </w:tc>
      </w:tr>
    </w:tbl>
    <w:p w:rsidR="00977F01" w:rsidRPr="00DF3D54" w:rsidRDefault="00977F01" w:rsidP="00200A0A">
      <w:pPr>
        <w:ind w:left="4332"/>
        <w:jc w:val="both"/>
        <w:rPr>
          <w:sz w:val="26"/>
          <w:szCs w:val="26"/>
        </w:rPr>
      </w:pPr>
    </w:p>
    <w:sectPr w:rsidR="00977F01" w:rsidRPr="00DF3D54" w:rsidSect="003B12DD">
      <w:headerReference w:type="default" r:id="rId40"/>
      <w:footerReference w:type="default" r:id="rId41"/>
      <w:headerReference w:type="first" r:id="rId42"/>
      <w:footerReference w:type="first" r:id="rId4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0F7" w:rsidRDefault="00F910F7" w:rsidP="008866FC">
      <w:pPr>
        <w:pStyle w:val="Title"/>
      </w:pPr>
      <w:r>
        <w:separator/>
      </w:r>
    </w:p>
  </w:endnote>
  <w:endnote w:type="continuationSeparator" w:id="0">
    <w:p w:rsidR="00F910F7" w:rsidRDefault="00F910F7"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8A" w:rsidRDefault="00BF0931" w:rsidP="003B12DD">
    <w:pPr>
      <w:pStyle w:val="Footer"/>
      <w:jc w:val="center"/>
    </w:pPr>
    <w:r>
      <w:rPr>
        <w:rStyle w:val="PageNumber"/>
      </w:rPr>
      <w:fldChar w:fldCharType="begin"/>
    </w:r>
    <w:r w:rsidR="00FB4C8A">
      <w:rPr>
        <w:rStyle w:val="PageNumber"/>
      </w:rPr>
      <w:instrText xml:space="preserve"> PAGE </w:instrText>
    </w:r>
    <w:r>
      <w:rPr>
        <w:rStyle w:val="PageNumber"/>
      </w:rPr>
      <w:fldChar w:fldCharType="separate"/>
    </w:r>
    <w:r w:rsidR="00F910F7">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8A" w:rsidRPr="007F5520" w:rsidRDefault="00BF0931" w:rsidP="003B12DD">
    <w:pPr>
      <w:pStyle w:val="Footer"/>
      <w:jc w:val="center"/>
      <w:rPr>
        <w:sz w:val="24"/>
        <w:szCs w:val="24"/>
      </w:rPr>
    </w:pPr>
    <w:r w:rsidRPr="007F5520">
      <w:rPr>
        <w:rStyle w:val="PageNumber"/>
        <w:sz w:val="24"/>
        <w:szCs w:val="24"/>
      </w:rPr>
      <w:fldChar w:fldCharType="begin"/>
    </w:r>
    <w:r w:rsidR="00FB4C8A" w:rsidRPr="007F5520">
      <w:rPr>
        <w:rStyle w:val="PageNumber"/>
        <w:sz w:val="24"/>
        <w:szCs w:val="24"/>
      </w:rPr>
      <w:instrText xml:space="preserve"> PAGE </w:instrText>
    </w:r>
    <w:r w:rsidRPr="007F5520">
      <w:rPr>
        <w:rStyle w:val="PageNumber"/>
        <w:sz w:val="24"/>
        <w:szCs w:val="24"/>
      </w:rPr>
      <w:fldChar w:fldCharType="separate"/>
    </w:r>
    <w:r w:rsidR="006F4BE6">
      <w:rPr>
        <w:rStyle w:val="PageNumber"/>
        <w:noProof/>
        <w:sz w:val="24"/>
        <w:szCs w:val="24"/>
      </w:rPr>
      <w:t>2</w:t>
    </w:r>
    <w:r w:rsidRPr="007F5520">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8A" w:rsidRPr="006F4BE6" w:rsidRDefault="006F4BE6" w:rsidP="006F4BE6">
    <w:pPr>
      <w:pStyle w:val="Footer"/>
      <w:jc w:val="center"/>
      <w:rPr>
        <w:sz w:val="24"/>
        <w:szCs w:val="24"/>
      </w:rPr>
    </w:pPr>
    <w:r w:rsidRPr="006F4BE6">
      <w:rPr>
        <w:sz w:val="24"/>
        <w:szCs w:val="24"/>
      </w:rPr>
      <w:fldChar w:fldCharType="begin"/>
    </w:r>
    <w:r w:rsidRPr="006F4BE6">
      <w:rPr>
        <w:sz w:val="24"/>
        <w:szCs w:val="24"/>
      </w:rPr>
      <w:instrText xml:space="preserve"> PAGE   \* MERGEFORMAT </w:instrText>
    </w:r>
    <w:r w:rsidRPr="006F4BE6">
      <w:rPr>
        <w:sz w:val="24"/>
        <w:szCs w:val="24"/>
      </w:rPr>
      <w:fldChar w:fldCharType="separate"/>
    </w:r>
    <w:r w:rsidR="00C977AE">
      <w:rPr>
        <w:noProof/>
        <w:sz w:val="24"/>
        <w:szCs w:val="24"/>
      </w:rPr>
      <w:t>i</w:t>
    </w:r>
    <w:r w:rsidRPr="006F4BE6">
      <w:rPr>
        <w:noProof/>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E6" w:rsidRPr="007F5520" w:rsidRDefault="006F4BE6" w:rsidP="003B12DD">
    <w:pPr>
      <w:pStyle w:val="Footer"/>
      <w:jc w:val="center"/>
      <w:rPr>
        <w:sz w:val="24"/>
        <w:szCs w:val="24"/>
      </w:rPr>
    </w:pPr>
    <w:r w:rsidRPr="007F5520">
      <w:rPr>
        <w:rStyle w:val="PageNumber"/>
        <w:sz w:val="24"/>
        <w:szCs w:val="24"/>
      </w:rPr>
      <w:fldChar w:fldCharType="begin"/>
    </w:r>
    <w:r w:rsidRPr="007F5520">
      <w:rPr>
        <w:rStyle w:val="PageNumber"/>
        <w:sz w:val="24"/>
        <w:szCs w:val="24"/>
      </w:rPr>
      <w:instrText xml:space="preserve"> PAGE </w:instrText>
    </w:r>
    <w:r w:rsidRPr="007F5520">
      <w:rPr>
        <w:rStyle w:val="PageNumber"/>
        <w:sz w:val="24"/>
        <w:szCs w:val="24"/>
      </w:rPr>
      <w:fldChar w:fldCharType="separate"/>
    </w:r>
    <w:r w:rsidR="00C977AE">
      <w:rPr>
        <w:rStyle w:val="PageNumber"/>
        <w:noProof/>
        <w:sz w:val="24"/>
        <w:szCs w:val="24"/>
      </w:rPr>
      <w:t>10</w:t>
    </w:r>
    <w:r w:rsidRPr="007F5520">
      <w:rPr>
        <w:rStyle w:val="PageNumbe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E6" w:rsidRPr="006F4BE6" w:rsidRDefault="006F4BE6" w:rsidP="006F4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0F7" w:rsidRDefault="00F910F7" w:rsidP="00663D6A">
      <w:pPr>
        <w:pStyle w:val="Title"/>
        <w:jc w:val="left"/>
      </w:pPr>
      <w:r>
        <w:separator/>
      </w:r>
    </w:p>
  </w:footnote>
  <w:footnote w:type="continuationSeparator" w:id="0">
    <w:p w:rsidR="00F910F7" w:rsidRDefault="00F910F7" w:rsidP="008866FC">
      <w:pPr>
        <w:pStyle w:val="Title"/>
      </w:pPr>
      <w:r>
        <w:continuationSeparator/>
      </w:r>
    </w:p>
  </w:footnote>
  <w:footnote w:id="1">
    <w:p w:rsidR="00F910F7" w:rsidRDefault="00F910F7" w:rsidP="00F910F7">
      <w:pPr>
        <w:pStyle w:val="FootnoteText"/>
      </w:pPr>
      <w:r w:rsidRPr="00B42C49">
        <w:rPr>
          <w:rStyle w:val="FootnoteReference"/>
        </w:rPr>
        <w:footnoteRef/>
      </w:r>
      <w:r>
        <w:t xml:space="preserve">  </w:t>
      </w:r>
      <w:r>
        <w:tab/>
      </w:r>
      <w:r>
        <w:tab/>
        <w:t>“</w:t>
      </w:r>
      <w:r w:rsidRPr="00B42C49">
        <w:t>Choice customers</w:t>
      </w:r>
      <w:r>
        <w:t>”</w:t>
      </w:r>
      <w:r w:rsidRPr="00B42C49">
        <w:t xml:space="preserve"> </w:t>
      </w:r>
      <w:r>
        <w:t xml:space="preserve">means </w:t>
      </w:r>
      <w:r w:rsidRPr="00B42C49">
        <w:t xml:space="preserve">customers that </w:t>
      </w:r>
      <w:r>
        <w:t xml:space="preserve">are eligible to </w:t>
      </w:r>
      <w:r w:rsidRPr="00B42C49">
        <w:t xml:space="preserve">participate in Columbia’s </w:t>
      </w:r>
      <w:r>
        <w:t xml:space="preserve">CHOICE </w:t>
      </w:r>
      <w:r w:rsidRPr="00B42C49">
        <w:t>program and receive their commodity gas through a bilateral contract with a Choice supplier.</w:t>
      </w:r>
    </w:p>
  </w:footnote>
  <w:footnote w:id="2">
    <w:p w:rsidR="00F910F7" w:rsidRPr="00784A6C" w:rsidRDefault="00F910F7" w:rsidP="00F910F7">
      <w:pPr>
        <w:pStyle w:val="FootnoteText"/>
      </w:pPr>
      <w:r w:rsidRPr="00784A6C">
        <w:rPr>
          <w:rStyle w:val="FootnoteReference"/>
        </w:rPr>
        <w:footnoteRef/>
      </w:r>
      <w:r>
        <w:t xml:space="preserve"> </w:t>
      </w:r>
      <w:r>
        <w:tab/>
      </w:r>
      <w:r>
        <w:tab/>
        <w:t>“MVR” means</w:t>
      </w:r>
      <w:r w:rsidRPr="00784A6C">
        <w:t xml:space="preserve"> the monthly variable rate.</w:t>
      </w:r>
    </w:p>
  </w:footnote>
  <w:footnote w:id="3">
    <w:p w:rsidR="00F910F7" w:rsidRPr="008975CA" w:rsidRDefault="00F910F7" w:rsidP="00F910F7">
      <w:pPr>
        <w:pStyle w:val="FootnoteText"/>
      </w:pPr>
      <w:r w:rsidRPr="008975CA">
        <w:rPr>
          <w:rStyle w:val="FootnoteReference"/>
        </w:rPr>
        <w:footnoteRef/>
      </w:r>
      <w:r w:rsidRPr="008975CA">
        <w:t xml:space="preserve"> </w:t>
      </w:r>
      <w:r>
        <w:tab/>
      </w:r>
      <w:r>
        <w:tab/>
      </w:r>
      <w:r w:rsidRPr="008975CA">
        <w:t>“SCO” means the standard choice offer.</w:t>
      </w:r>
    </w:p>
  </w:footnote>
  <w:footnote w:id="4">
    <w:p w:rsidR="00F910F7" w:rsidRDefault="00F910F7" w:rsidP="00F910F7">
      <w:pPr>
        <w:pStyle w:val="FootnoteText"/>
      </w:pPr>
      <w:r>
        <w:rPr>
          <w:rStyle w:val="FootnoteReference"/>
        </w:rPr>
        <w:footnoteRef/>
      </w:r>
      <w:r>
        <w:t xml:space="preserve"> </w:t>
      </w:r>
      <w:r>
        <w:tab/>
      </w:r>
      <w:r>
        <w:tab/>
      </w:r>
      <w:r w:rsidRPr="008975CA">
        <w:t>None of the stakeholders opposed the consensus proposal, though there was not total unanimous support.</w:t>
      </w:r>
    </w:p>
  </w:footnote>
  <w:footnote w:id="5">
    <w:p w:rsidR="00F910F7" w:rsidRPr="00097EA5" w:rsidRDefault="00F910F7" w:rsidP="00F910F7">
      <w:pPr>
        <w:pStyle w:val="FootnoteText"/>
      </w:pPr>
      <w:r w:rsidRPr="00097EA5">
        <w:rPr>
          <w:rStyle w:val="FootnoteReference"/>
        </w:rPr>
        <w:footnoteRef/>
      </w:r>
      <w:r w:rsidRPr="00097EA5">
        <w:t xml:space="preserve">   </w:t>
      </w:r>
      <w:r>
        <w:tab/>
      </w:r>
      <w:r>
        <w:tab/>
        <w:t>T</w:t>
      </w:r>
      <w:r w:rsidRPr="00097EA5">
        <w:t>he Commission in its January 09, 2013 Opinion and Order at</w:t>
      </w:r>
      <w:r>
        <w:t xml:space="preserve"> page </w:t>
      </w:r>
      <w:r w:rsidRPr="00097EA5">
        <w:t xml:space="preserve">31 </w:t>
      </w:r>
      <w:r>
        <w:t xml:space="preserve">made this point </w:t>
      </w:r>
      <w:r w:rsidRPr="00097EA5">
        <w:t>when it clarified that approval of the provisions in the stipulation, for nonresidential customers exiting the merchant function, in no way determined the reasonableness of exiting of the merchant function for residential customers.</w:t>
      </w:r>
    </w:p>
  </w:footnote>
  <w:footnote w:id="6">
    <w:p w:rsidR="00F910F7" w:rsidRPr="00097EA5" w:rsidRDefault="00F910F7" w:rsidP="00F910F7">
      <w:pPr>
        <w:pStyle w:val="FootnoteText"/>
      </w:pPr>
      <w:r w:rsidRPr="00097EA5">
        <w:rPr>
          <w:rStyle w:val="FootnoteReference"/>
        </w:rPr>
        <w:footnoteRef/>
      </w:r>
      <w:r w:rsidRPr="00097EA5">
        <w:t xml:space="preserve">  </w:t>
      </w:r>
      <w:r>
        <w:tab/>
      </w:r>
      <w:r>
        <w:tab/>
        <w:t>“Choice</w:t>
      </w:r>
      <w:r w:rsidRPr="00776DA8">
        <w:t xml:space="preserve"> Supplier” means a certified retail natural gas supplier participating in Columbia’s Customer</w:t>
      </w:r>
      <w:r>
        <w:t xml:space="preserve"> </w:t>
      </w:r>
      <w:r w:rsidRPr="00776DA8">
        <w:t>CHOICE Program.</w:t>
      </w:r>
    </w:p>
  </w:footnote>
  <w:footnote w:id="7">
    <w:p w:rsidR="00F910F7" w:rsidRPr="00097EA5" w:rsidRDefault="00F910F7" w:rsidP="00F910F7">
      <w:pPr>
        <w:pStyle w:val="FootnoteText"/>
        <w:rPr>
          <w:sz w:val="20"/>
        </w:rPr>
      </w:pPr>
      <w:r w:rsidRPr="00097EA5">
        <w:rPr>
          <w:rStyle w:val="FootnoteReference"/>
          <w:sz w:val="20"/>
        </w:rPr>
        <w:footnoteRef/>
      </w:r>
      <w:r w:rsidRPr="00097EA5">
        <w:t xml:space="preserve">  </w:t>
      </w:r>
      <w:r>
        <w:tab/>
      </w:r>
      <w:r>
        <w:tab/>
      </w:r>
      <w:r w:rsidRPr="00776DA8">
        <w:t>“SCO Supplier” means a winning SCO Auction bidder that has received the right, and</w:t>
      </w:r>
      <w:r>
        <w:t xml:space="preserve"> has the obligation, to provide </w:t>
      </w:r>
      <w:r w:rsidRPr="00776DA8">
        <w:t>natural gas commodit</w:t>
      </w:r>
      <w:r>
        <w:t>y for a specified list of Choice</w:t>
      </w:r>
      <w:r w:rsidRPr="00776DA8">
        <w:t xml:space="preserve"> eligible customers that have n</w:t>
      </w:r>
      <w:r>
        <w:t xml:space="preserve">ot elected a Competitive Retail </w:t>
      </w:r>
      <w:r w:rsidRPr="00776DA8">
        <w:t>Natural Gas Supplier and that are not served through Governmental Aggregation Programs.</w:t>
      </w:r>
    </w:p>
  </w:footnote>
  <w:footnote w:id="8">
    <w:p w:rsidR="00F910F7" w:rsidRPr="00097EA5" w:rsidRDefault="00F910F7" w:rsidP="00F910F7">
      <w:pPr>
        <w:pStyle w:val="FootnoteText"/>
      </w:pPr>
      <w:r w:rsidRPr="00097EA5">
        <w:rPr>
          <w:rStyle w:val="FootnoteReference"/>
          <w:sz w:val="20"/>
        </w:rPr>
        <w:footnoteRef/>
      </w:r>
      <w:r w:rsidRPr="00097EA5">
        <w:t xml:space="preserve">   </w:t>
      </w:r>
      <w:r>
        <w:tab/>
      </w:r>
      <w:r>
        <w:tab/>
      </w:r>
      <w:r w:rsidRPr="00097EA5">
        <w:t>The January 9, 2013 start date includes the combined SSO</w:t>
      </w:r>
      <w:r>
        <w:t>*</w:t>
      </w:r>
      <w:r w:rsidRPr="00097EA5">
        <w:t>/SCO auctions for the 2012/2013 program</w:t>
      </w:r>
      <w:r>
        <w:t>.  (*“SSO” means standard service offer).</w:t>
      </w:r>
    </w:p>
  </w:footnote>
  <w:footnote w:id="9">
    <w:p w:rsidR="00F910F7" w:rsidRDefault="00F910F7">
      <w:pPr>
        <w:pStyle w:val="FootnoteText"/>
      </w:pPr>
      <w:r>
        <w:rPr>
          <w:rStyle w:val="FootnoteReference"/>
        </w:rPr>
        <w:footnoteRef/>
      </w:r>
      <w:r>
        <w:t xml:space="preserve"> </w:t>
      </w:r>
      <w:r>
        <w:tab/>
      </w:r>
      <w:r>
        <w:tab/>
      </w:r>
      <w:r w:rsidR="006F4BE6" w:rsidRPr="00F910F7">
        <w:t>Choice Eligible customers</w:t>
      </w:r>
      <w:r w:rsidR="006F4BE6">
        <w:t>,</w:t>
      </w:r>
      <w:r w:rsidR="006F4BE6" w:rsidRPr="00F910F7">
        <w:t xml:space="preserve"> as used in this formula</w:t>
      </w:r>
      <w:r w:rsidR="006F4BE6">
        <w:t>,</w:t>
      </w:r>
      <w:r w:rsidR="006F4BE6" w:rsidRPr="00F910F7">
        <w:t xml:space="preserve"> is determined by the number of SCO non-residential customers + Choice non-residential customers.</w:t>
      </w:r>
    </w:p>
  </w:footnote>
  <w:footnote w:id="10">
    <w:p w:rsidR="00F910F7" w:rsidRPr="00F910F7" w:rsidRDefault="00F910F7" w:rsidP="00F910F7">
      <w:pPr>
        <w:pStyle w:val="FootnoteText"/>
        <w:rPr>
          <w:szCs w:val="24"/>
        </w:rPr>
      </w:pPr>
      <w:r w:rsidRPr="00FE1BBB">
        <w:rPr>
          <w:rStyle w:val="FootnoteReference"/>
        </w:rPr>
        <w:footnoteRef/>
      </w:r>
      <w:r>
        <w:tab/>
      </w:r>
      <w:r w:rsidRPr="00F910F7">
        <w:rPr>
          <w:szCs w:val="24"/>
        </w:rPr>
        <w:tab/>
      </w:r>
      <w:r w:rsidR="006F4BE6" w:rsidRPr="00F910F7">
        <w:rPr>
          <w:i/>
          <w:szCs w:val="24"/>
        </w:rPr>
        <w:t>In the Matter of the Application to Modify, in Accordance with Section 4928.08, Revised Code, the Exemption Granted Columbia Gas of Ohio, Inc., Case N</w:t>
      </w:r>
      <w:r w:rsidR="006F4BE6">
        <w:rPr>
          <w:i/>
          <w:szCs w:val="24"/>
        </w:rPr>
        <w:t>o.</w:t>
      </w:r>
      <w:r w:rsidR="006F4BE6" w:rsidRPr="00F910F7">
        <w:rPr>
          <w:i/>
          <w:szCs w:val="24"/>
        </w:rPr>
        <w:t xml:space="preserve"> </w:t>
      </w:r>
      <w:r w:rsidRPr="00F910F7">
        <w:rPr>
          <w:i/>
          <w:szCs w:val="24"/>
        </w:rPr>
        <w:t>08-1344-GA-EXM</w:t>
      </w:r>
      <w:r>
        <w:rPr>
          <w:szCs w:val="24"/>
        </w:rPr>
        <w:t xml:space="preserve"> (Entry on Rehearing at 18, ¶ 38(e)) (</w:t>
      </w:r>
      <w:r w:rsidRPr="00F910F7">
        <w:rPr>
          <w:szCs w:val="24"/>
        </w:rPr>
        <w:t>March 20,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8A" w:rsidRDefault="00FB4C8A" w:rsidP="003B12DD">
    <w:pPr>
      <w:pStyle w:val="Header"/>
      <w:jc w:val="center"/>
      <w:rPr>
        <w:b/>
        <w:color w:val="FF0000"/>
      </w:rPr>
    </w:pPr>
    <w:r>
      <w:rPr>
        <w:b/>
        <w:color w:val="FF0000"/>
      </w:rPr>
      <w:t xml:space="preserve">DRAFT - </w:t>
    </w:r>
    <w:r w:rsidR="00BF0931">
      <w:rPr>
        <w:b/>
        <w:color w:val="FF0000"/>
      </w:rPr>
      <w:fldChar w:fldCharType="begin"/>
    </w:r>
    <w:r>
      <w:rPr>
        <w:b/>
        <w:color w:val="FF0000"/>
      </w:rPr>
      <w:instrText xml:space="preserve"> DATE \@ "M/d/yyyy" </w:instrText>
    </w:r>
    <w:r w:rsidR="00BF0931">
      <w:rPr>
        <w:b/>
        <w:color w:val="FF0000"/>
      </w:rPr>
      <w:fldChar w:fldCharType="separate"/>
    </w:r>
    <w:r w:rsidR="00C977AE">
      <w:rPr>
        <w:b/>
        <w:noProof/>
        <w:color w:val="FF0000"/>
      </w:rPr>
      <w:t>6/18/2013</w:t>
    </w:r>
    <w:r w:rsidR="00BF0931">
      <w:rPr>
        <w:b/>
        <w:color w:val="FF0000"/>
      </w:rPr>
      <w:fldChar w:fldCharType="end"/>
    </w:r>
    <w:r>
      <w:rPr>
        <w:b/>
        <w:color w:val="FF0000"/>
      </w:rPr>
      <w:t xml:space="preserve"> - </w:t>
    </w:r>
    <w:r w:rsidR="00BF0931">
      <w:rPr>
        <w:b/>
        <w:color w:val="FF0000"/>
      </w:rPr>
      <w:fldChar w:fldCharType="begin"/>
    </w:r>
    <w:r>
      <w:rPr>
        <w:b/>
        <w:color w:val="FF0000"/>
      </w:rPr>
      <w:instrText xml:space="preserve"> TIME \@ "h:mm:ss am/pm" </w:instrText>
    </w:r>
    <w:r w:rsidR="00BF0931">
      <w:rPr>
        <w:b/>
        <w:color w:val="FF0000"/>
      </w:rPr>
      <w:fldChar w:fldCharType="separate"/>
    </w:r>
    <w:r w:rsidR="00C977AE">
      <w:rPr>
        <w:b/>
        <w:noProof/>
        <w:color w:val="FF0000"/>
      </w:rPr>
      <w:t>3:10:37 PM</w:t>
    </w:r>
    <w:r w:rsidR="00BF0931">
      <w:rPr>
        <w:b/>
        <w:color w:val="FF0000"/>
      </w:rPr>
      <w:fldChar w:fldCharType="end"/>
    </w:r>
  </w:p>
  <w:p w:rsidR="00FB4C8A" w:rsidRPr="003B12DD" w:rsidRDefault="00BF0931" w:rsidP="003B12DD">
    <w:pPr>
      <w:pStyle w:val="Header"/>
      <w:jc w:val="center"/>
      <w:rPr>
        <w:b/>
        <w:color w:val="FF0000"/>
      </w:rPr>
    </w:pPr>
    <w:r w:rsidRPr="003B12DD">
      <w:rPr>
        <w:b/>
        <w:color w:val="FF0000"/>
      </w:rPr>
      <w:fldChar w:fldCharType="begin"/>
    </w:r>
    <w:r w:rsidR="00FB4C8A" w:rsidRPr="003B12DD">
      <w:rPr>
        <w:b/>
        <w:color w:val="FF0000"/>
      </w:rPr>
      <w:instrText xml:space="preserve"> FILENAME \p </w:instrText>
    </w:r>
    <w:r w:rsidRPr="003B12DD">
      <w:rPr>
        <w:b/>
        <w:color w:val="FF0000"/>
      </w:rPr>
      <w:fldChar w:fldCharType="separate"/>
    </w:r>
    <w:r w:rsidR="00C977AE">
      <w:rPr>
        <w:b/>
        <w:noProof/>
        <w:color w:val="FF0000"/>
      </w:rPr>
      <w:t>\\puc\shares\Departments\Attorney General\Attorneys\Reilly\Cases\Commission Cases\Gas\12-2637-GA-EXM\Allocation Methodology Proposal 061813.docx</w:t>
    </w:r>
    <w:r w:rsidRPr="003B12DD">
      <w:rPr>
        <w:b/>
        <w:color w:val="FF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8A" w:rsidRPr="006F4BE6" w:rsidRDefault="00FB4C8A" w:rsidP="006F4B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8A" w:rsidRDefault="006F4BE6" w:rsidP="006F4BE6">
    <w:pPr>
      <w:pStyle w:val="Header"/>
      <w:jc w:val="center"/>
      <w:rPr>
        <w:b/>
        <w:sz w:val="28"/>
        <w:szCs w:val="28"/>
      </w:rPr>
    </w:pPr>
    <w:r>
      <w:rPr>
        <w:b/>
        <w:sz w:val="28"/>
        <w:szCs w:val="28"/>
      </w:rPr>
      <w:t>TABLE OF CONTENTS</w:t>
    </w:r>
  </w:p>
  <w:p w:rsidR="006F4BE6" w:rsidRDefault="006F4BE6" w:rsidP="006F4BE6">
    <w:pPr>
      <w:pStyle w:val="Header"/>
      <w:jc w:val="right"/>
      <w:rPr>
        <w:b/>
        <w:sz w:val="28"/>
        <w:szCs w:val="28"/>
      </w:rPr>
    </w:pPr>
    <w:r>
      <w:rPr>
        <w:b/>
        <w:sz w:val="28"/>
        <w:szCs w:val="28"/>
      </w:rPr>
      <w:t>Page</w:t>
    </w:r>
  </w:p>
  <w:p w:rsidR="006F4BE6" w:rsidRPr="006F4BE6" w:rsidRDefault="006F4BE6" w:rsidP="006F4BE6">
    <w:pPr>
      <w:pStyle w:val="Header"/>
      <w:jc w:val="right"/>
      <w:rPr>
        <w:b/>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E6" w:rsidRPr="006F4BE6" w:rsidRDefault="006F4BE6" w:rsidP="006F4BE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E6" w:rsidRPr="006F4BE6" w:rsidRDefault="006F4BE6" w:rsidP="006F4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0F7"/>
    <w:rsid w:val="0000004B"/>
    <w:rsid w:val="0000052E"/>
    <w:rsid w:val="000007BF"/>
    <w:rsid w:val="00000C8C"/>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B7BED"/>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6D27"/>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4BE6"/>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0CDD"/>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4AB"/>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64"/>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7AE"/>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1EA9"/>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0F7"/>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D6A"/>
  </w:style>
  <w:style w:type="paragraph" w:styleId="Heading1">
    <w:name w:val="heading 1"/>
    <w:basedOn w:val="Normal"/>
    <w:next w:val="Normal"/>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6A3730"/>
    <w:pPr>
      <w:keepNext/>
      <w:spacing w:before="360" w:after="240"/>
      <w:ind w:left="144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uiPriority w:val="99"/>
    <w:rsid w:val="006A3730"/>
    <w:pPr>
      <w:spacing w:before="240" w:after="240"/>
      <w:ind w:left="720" w:hanging="720"/>
    </w:pPr>
    <w:rPr>
      <w:sz w:val="24"/>
    </w:rPr>
  </w:style>
  <w:style w:type="character" w:customStyle="1" w:styleId="FootnoteTextChar">
    <w:name w:val="Footnote Text Char"/>
    <w:link w:val="FootnoteText"/>
    <w:uiPriority w:val="99"/>
    <w:locked/>
    <w:rsid w:val="006A3730"/>
    <w:rPr>
      <w:sz w:val="24"/>
    </w:rPr>
  </w:style>
  <w:style w:type="character" w:styleId="FootnoteReference">
    <w:name w:val="footnote reference"/>
    <w:uiPriority w:val="99"/>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F910F7"/>
    <w:pPr>
      <w:spacing w:line="480" w:lineRule="auto"/>
    </w:pPr>
    <w:rPr>
      <w:sz w:val="26"/>
      <w:szCs w:val="24"/>
    </w:rPr>
  </w:style>
  <w:style w:type="character" w:customStyle="1" w:styleId="textstyleChar">
    <w:name w:val="text style Char"/>
    <w:link w:val="textstyle0"/>
    <w:rsid w:val="00F910F7"/>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B374AB"/>
    <w:pPr>
      <w:tabs>
        <w:tab w:val="right" w:leader="dot" w:pos="9350"/>
      </w:tabs>
      <w:spacing w:before="240" w:after="240"/>
      <w:ind w:right="14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6A3730"/>
    <w:rPr>
      <w:rFonts w:eastAsia="Times New Roman" w:cs="Times New Roman"/>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paragraph" w:styleId="NoSpacing">
    <w:name w:val="No Spacing"/>
    <w:uiPriority w:val="1"/>
    <w:qFormat/>
    <w:rsid w:val="00F910F7"/>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tsiwo@bricker.com" TargetMode="External"/><Relationship Id="rId26" Type="http://schemas.openxmlformats.org/officeDocument/2006/relationships/hyperlink" Target="mailto:sauer@occ.state.oh.us" TargetMode="External"/><Relationship Id="rId39" Type="http://schemas.openxmlformats.org/officeDocument/2006/relationships/hyperlink" Target="mailto:brian@mcintoshlaw.com" TargetMode="External"/><Relationship Id="rId3" Type="http://schemas.openxmlformats.org/officeDocument/2006/relationships/styles" Target="styles.xml"/><Relationship Id="rId21" Type="http://schemas.openxmlformats.org/officeDocument/2006/relationships/hyperlink" Target="mailto:jeinstein@volunteerenergy.com" TargetMode="External"/><Relationship Id="rId34" Type="http://schemas.openxmlformats.org/officeDocument/2006/relationships/hyperlink" Target="mailto:jllause@vectren.com" TargetMode="External"/><Relationship Id="rId42"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mwarnock@bricker.com" TargetMode="External"/><Relationship Id="rId25" Type="http://schemas.openxmlformats.org/officeDocument/2006/relationships/hyperlink" Target="mailto:weston@occ.state.oh.us" TargetMode="External"/><Relationship Id="rId33" Type="http://schemas.openxmlformats.org/officeDocument/2006/relationships/hyperlink" Target="mailto:jmclark@vectren.com" TargetMode="External"/><Relationship Id="rId38" Type="http://schemas.openxmlformats.org/officeDocument/2006/relationships/hyperlink" Target="mailto:tony_long@honda.com" TargetMode="External"/><Relationship Id="rId2" Type="http://schemas.openxmlformats.org/officeDocument/2006/relationships/numbering" Target="numbering.xml"/><Relationship Id="rId16" Type="http://schemas.openxmlformats.org/officeDocument/2006/relationships/hyperlink" Target="mailto:stephen.reilly@puc.state.oh.us" TargetMode="External"/><Relationship Id="rId20" Type="http://schemas.openxmlformats.org/officeDocument/2006/relationships/hyperlink" Target="mailto:smhoward@vorys.com" TargetMode="External"/><Relationship Id="rId29" Type="http://schemas.openxmlformats.org/officeDocument/2006/relationships/hyperlink" Target="mailto:bleslie@nisource.com"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dane.stinson@baileycavalieri.com" TargetMode="External"/><Relationship Id="rId32" Type="http://schemas.openxmlformats.org/officeDocument/2006/relationships/hyperlink" Target="mailto:egallon@porterwright.com" TargetMode="External"/><Relationship Id="rId37" Type="http://schemas.openxmlformats.org/officeDocument/2006/relationships/hyperlink" Target="mailto:cmooney2@columbus.rr.com"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barthroyer@aol.com" TargetMode="External"/><Relationship Id="rId28" Type="http://schemas.openxmlformats.org/officeDocument/2006/relationships/hyperlink" Target="mailto:sseiple@nisource.com" TargetMode="External"/><Relationship Id="rId36" Type="http://schemas.openxmlformats.org/officeDocument/2006/relationships/hyperlink" Target="mailto:drinebolt@aol.com" TargetMode="External"/><Relationship Id="rId10" Type="http://schemas.openxmlformats.org/officeDocument/2006/relationships/header" Target="header1.xml"/><Relationship Id="rId19" Type="http://schemas.openxmlformats.org/officeDocument/2006/relationships/hyperlink" Target="mailto:mhpetricoff@vorys.com" TargetMode="External"/><Relationship Id="rId31" Type="http://schemas.openxmlformats.org/officeDocument/2006/relationships/hyperlink" Target="mailto:mstemm@porterwright.com"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tephen.reilly@puc.state.oh.us" TargetMode="External"/><Relationship Id="rId14" Type="http://schemas.openxmlformats.org/officeDocument/2006/relationships/header" Target="header3.xml"/><Relationship Id="rId22" Type="http://schemas.openxmlformats.org/officeDocument/2006/relationships/hyperlink" Target="mailto:mswhite@igsenergy.com" TargetMode="External"/><Relationship Id="rId27" Type="http://schemas.openxmlformats.org/officeDocument/2006/relationships/hyperlink" Target="mailto:serio@occ.state.oh.us" TargetMode="External"/><Relationship Id="rId30" Type="http://schemas.openxmlformats.org/officeDocument/2006/relationships/hyperlink" Target="mailto:dconway@porterwright.com" TargetMode="External"/><Relationship Id="rId35" Type="http://schemas.openxmlformats.org/officeDocument/2006/relationships/hyperlink" Target="mailto:gkrassen@bricker.com" TargetMode="External"/><Relationship Id="rId43"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00B2D-1C7D-4D2B-B9A5-5F05372D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PUCO (or OPSB) Pleading</Template>
  <TotalTime>20</TotalTime>
  <Pages>12</Pages>
  <Words>2136</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14287</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6</cp:revision>
  <cp:lastPrinted>2013-06-18T19:10:00Z</cp:lastPrinted>
  <dcterms:created xsi:type="dcterms:W3CDTF">2013-06-18T18:49:00Z</dcterms:created>
  <dcterms:modified xsi:type="dcterms:W3CDTF">2013-06-18T19:10:00Z</dcterms:modified>
</cp:coreProperties>
</file>