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A5637F" w:rsidRPr="00692036" w14:paraId="64590AB4" w14:textId="77777777">
      <w:pPr>
        <w:pStyle w:val="HTMLPreformatted"/>
        <w:jc w:val="center"/>
        <w:rPr>
          <w:rFonts w:ascii="Times New Roman" w:hAnsi="Times New Roman" w:cs="Times New Roman"/>
          <w:b/>
          <w:bCs/>
          <w:sz w:val="24"/>
          <w:szCs w:val="24"/>
        </w:rPr>
      </w:pPr>
      <w:r w:rsidRPr="00692036">
        <w:rPr>
          <w:rFonts w:ascii="Times New Roman" w:hAnsi="Times New Roman" w:cs="Times New Roman"/>
          <w:b/>
          <w:bCs/>
          <w:sz w:val="24"/>
          <w:szCs w:val="24"/>
        </w:rPr>
        <w:t>BEFORE</w:t>
      </w:r>
    </w:p>
    <w:p w:rsidR="00A5637F" w:rsidRPr="00692036" w14:paraId="46FC91B4" w14:textId="77777777">
      <w:pPr>
        <w:pStyle w:val="HTMLPreformatted"/>
        <w:jc w:val="center"/>
        <w:rPr>
          <w:rFonts w:ascii="Times New Roman" w:hAnsi="Times New Roman" w:cs="Times New Roman"/>
          <w:b/>
          <w:bCs/>
          <w:sz w:val="24"/>
          <w:szCs w:val="24"/>
        </w:rPr>
      </w:pPr>
      <w:r w:rsidRPr="00692036">
        <w:rPr>
          <w:rFonts w:ascii="Times New Roman" w:hAnsi="Times New Roman" w:cs="Times New Roman"/>
          <w:b/>
          <w:bCs/>
          <w:sz w:val="24"/>
          <w:szCs w:val="24"/>
        </w:rPr>
        <w:t>THE PUBLIC UTILITIES COMMISSION OF OHIO</w:t>
      </w:r>
    </w:p>
    <w:p w:rsidR="00A5637F" w:rsidRPr="00692036" w14:paraId="626E78F6" w14:textId="77777777">
      <w:pPr>
        <w:pStyle w:val="HTMLPreformatted"/>
        <w:jc w:val="center"/>
        <w:rPr>
          <w:rFonts w:ascii="Times New Roman" w:hAnsi="Times New Roman" w:cs="Times New Roman"/>
          <w:b/>
          <w:bCs/>
          <w:sz w:val="24"/>
          <w:szCs w:val="24"/>
        </w:rPr>
      </w:pPr>
    </w:p>
    <w:tbl>
      <w:tblPr>
        <w:tblW w:w="8640" w:type="dxa"/>
        <w:tblLook w:val="01E0"/>
      </w:tblPr>
      <w:tblGrid>
        <w:gridCol w:w="4230"/>
        <w:gridCol w:w="630"/>
        <w:gridCol w:w="3780"/>
      </w:tblGrid>
      <w:tr w14:paraId="15B67F5F" w14:textId="77777777" w:rsidTr="0069241E">
        <w:tblPrEx>
          <w:tblW w:w="8640" w:type="dxa"/>
          <w:tblLook w:val="01E0"/>
        </w:tblPrEx>
        <w:trPr>
          <w:trHeight w:val="807"/>
        </w:trPr>
        <w:tc>
          <w:tcPr>
            <w:tcW w:w="4230" w:type="dxa"/>
            <w:shd w:val="clear" w:color="auto" w:fill="auto"/>
          </w:tcPr>
          <w:p w:rsidR="002C7D60" w:rsidRPr="00692036" w:rsidP="003F6E1A" w14:paraId="432355A6" w14:textId="2922BA6C">
            <w:pPr>
              <w:autoSpaceDE w:val="0"/>
              <w:autoSpaceDN w:val="0"/>
              <w:adjustRightInd w:val="0"/>
            </w:pPr>
            <w:r w:rsidRPr="00692036">
              <w:t>In the Matter of the Application of the Ohio Power Company to Update Its Basic Transmission Cost Rider</w:t>
            </w:r>
            <w:r w:rsidRPr="00692036" w:rsidR="00B742C1">
              <w:t>.</w:t>
            </w:r>
          </w:p>
        </w:tc>
        <w:tc>
          <w:tcPr>
            <w:tcW w:w="630" w:type="dxa"/>
            <w:shd w:val="clear" w:color="auto" w:fill="auto"/>
          </w:tcPr>
          <w:p w:rsidR="002C7D60" w:rsidRPr="00692036" w:rsidP="003F6E1A" w14:paraId="3D99AACE" w14:textId="77777777">
            <w:pPr>
              <w:pStyle w:val="HTMLPreformatted"/>
              <w:rPr>
                <w:rFonts w:ascii="Times New Roman" w:hAnsi="Times New Roman" w:cs="Times New Roman"/>
                <w:sz w:val="24"/>
                <w:szCs w:val="24"/>
              </w:rPr>
            </w:pPr>
            <w:r w:rsidRPr="00692036">
              <w:rPr>
                <w:rFonts w:ascii="Times New Roman" w:hAnsi="Times New Roman" w:cs="Times New Roman"/>
                <w:sz w:val="24"/>
                <w:szCs w:val="24"/>
              </w:rPr>
              <w:t>)</w:t>
            </w:r>
          </w:p>
          <w:p w:rsidR="002C7D60" w:rsidRPr="00692036" w:rsidP="003F6E1A" w14:paraId="4B3A7115" w14:textId="77777777">
            <w:pPr>
              <w:pStyle w:val="HTMLPreformatted"/>
              <w:rPr>
                <w:rFonts w:ascii="Times New Roman" w:hAnsi="Times New Roman" w:cs="Times New Roman"/>
                <w:sz w:val="24"/>
                <w:szCs w:val="24"/>
              </w:rPr>
            </w:pPr>
            <w:r w:rsidRPr="00692036">
              <w:rPr>
                <w:rFonts w:ascii="Times New Roman" w:hAnsi="Times New Roman" w:cs="Times New Roman"/>
                <w:sz w:val="24"/>
                <w:szCs w:val="24"/>
              </w:rPr>
              <w:t>)</w:t>
            </w:r>
          </w:p>
          <w:p w:rsidR="002C7D60" w:rsidRPr="00692036" w:rsidP="003F6E1A" w14:paraId="1C112113" w14:textId="77777777">
            <w:pPr>
              <w:pStyle w:val="HTMLPreformatted"/>
              <w:rPr>
                <w:rFonts w:ascii="Times New Roman" w:hAnsi="Times New Roman" w:cs="Times New Roman"/>
                <w:sz w:val="24"/>
                <w:szCs w:val="24"/>
              </w:rPr>
            </w:pPr>
            <w:r w:rsidRPr="00692036">
              <w:rPr>
                <w:rFonts w:ascii="Times New Roman" w:hAnsi="Times New Roman" w:cs="Times New Roman"/>
                <w:sz w:val="24"/>
                <w:szCs w:val="24"/>
              </w:rPr>
              <w:t>)</w:t>
            </w:r>
          </w:p>
        </w:tc>
        <w:tc>
          <w:tcPr>
            <w:tcW w:w="3780" w:type="dxa"/>
            <w:shd w:val="clear" w:color="auto" w:fill="auto"/>
          </w:tcPr>
          <w:p w:rsidR="002C7D60" w:rsidRPr="00692036" w:rsidP="003F6E1A" w14:paraId="582EA5B3" w14:textId="77777777">
            <w:pPr>
              <w:pStyle w:val="HTMLPreformatted"/>
              <w:rPr>
                <w:rFonts w:ascii="Times New Roman" w:hAnsi="Times New Roman" w:cs="Times New Roman"/>
                <w:sz w:val="24"/>
                <w:szCs w:val="24"/>
              </w:rPr>
            </w:pPr>
          </w:p>
          <w:p w:rsidR="002C7D60" w:rsidRPr="00692036" w:rsidP="003F6E1A" w14:paraId="1097AF07" w14:textId="77777777">
            <w:pPr>
              <w:pStyle w:val="HTMLPreformatted"/>
              <w:rPr>
                <w:rFonts w:ascii="Times New Roman" w:hAnsi="Times New Roman" w:cs="Times New Roman"/>
                <w:sz w:val="24"/>
                <w:szCs w:val="24"/>
              </w:rPr>
            </w:pPr>
            <w:r w:rsidRPr="00692036">
              <w:rPr>
                <w:rFonts w:ascii="Times New Roman" w:hAnsi="Times New Roman" w:cs="Times New Roman"/>
                <w:sz w:val="24"/>
                <w:szCs w:val="24"/>
              </w:rPr>
              <w:t>Case No. 2</w:t>
            </w:r>
            <w:r w:rsidRPr="00692036" w:rsidR="00437A5C">
              <w:rPr>
                <w:rFonts w:ascii="Times New Roman" w:hAnsi="Times New Roman" w:cs="Times New Roman"/>
                <w:sz w:val="24"/>
                <w:szCs w:val="24"/>
              </w:rPr>
              <w:t>2-41-EL-RDR</w:t>
            </w:r>
          </w:p>
          <w:p w:rsidR="002C7D60" w:rsidRPr="00692036" w:rsidP="003F6E1A" w14:paraId="100B1F25" w14:textId="77777777">
            <w:pPr>
              <w:pStyle w:val="HTMLPreformatted"/>
              <w:rPr>
                <w:rFonts w:ascii="Times New Roman" w:hAnsi="Times New Roman" w:cs="Times New Roman"/>
                <w:sz w:val="24"/>
                <w:szCs w:val="24"/>
              </w:rPr>
            </w:pPr>
          </w:p>
        </w:tc>
      </w:tr>
    </w:tbl>
    <w:p w:rsidR="00A5637F" w:rsidRPr="00692036" w14:paraId="15412A71" w14:textId="77777777">
      <w:pPr>
        <w:pStyle w:val="InsideAddress"/>
        <w:pBdr>
          <w:bottom w:val="single" w:sz="12" w:space="1" w:color="auto"/>
        </w:pBdr>
        <w:rPr>
          <w:rFonts w:ascii="Times New Roman" w:eastAsia="Times New Roman" w:hAnsi="Times New Roman"/>
          <w:szCs w:val="24"/>
        </w:rPr>
      </w:pPr>
    </w:p>
    <w:p w:rsidR="00A5637F" w:rsidRPr="00692036" w14:paraId="0005FD1B" w14:textId="77777777">
      <w:pPr>
        <w:pStyle w:val="InsideAddress"/>
        <w:rPr>
          <w:rFonts w:ascii="Times New Roman" w:eastAsia="Times New Roman" w:hAnsi="Times New Roman"/>
          <w:szCs w:val="24"/>
        </w:rPr>
      </w:pPr>
    </w:p>
    <w:p w:rsidR="00E372F2" w:rsidRPr="00692036" w14:paraId="4E9FFCD0" w14:textId="07CA7DF1">
      <w:pPr>
        <w:pStyle w:val="Footer"/>
        <w:tabs>
          <w:tab w:val="clear" w:pos="4320"/>
          <w:tab w:val="clear" w:pos="8640"/>
        </w:tabs>
        <w:spacing w:line="240" w:lineRule="auto"/>
        <w:jc w:val="center"/>
        <w:rPr>
          <w:b/>
        </w:rPr>
      </w:pPr>
      <w:r w:rsidRPr="00692036">
        <w:rPr>
          <w:b/>
        </w:rPr>
        <w:t>MOTION TO INTERVENE OUT OF TIME</w:t>
      </w:r>
    </w:p>
    <w:p w:rsidR="00A5637F" w:rsidRPr="00692036" w14:paraId="221D5203" w14:textId="77777777">
      <w:pPr>
        <w:pStyle w:val="Footer"/>
        <w:tabs>
          <w:tab w:val="clear" w:pos="4320"/>
          <w:tab w:val="clear" w:pos="8640"/>
        </w:tabs>
        <w:spacing w:line="240" w:lineRule="auto"/>
        <w:jc w:val="center"/>
        <w:rPr>
          <w:b/>
        </w:rPr>
      </w:pPr>
      <w:r w:rsidRPr="00692036">
        <w:rPr>
          <w:b/>
        </w:rPr>
        <w:t>BY</w:t>
      </w:r>
    </w:p>
    <w:p w:rsidR="002C7D60" w:rsidRPr="00692036" w:rsidP="002C7D60" w14:paraId="59DFFA66" w14:textId="4DFA6E46">
      <w:pPr>
        <w:jc w:val="center"/>
        <w:rPr>
          <w:b/>
          <w:bCs/>
        </w:rPr>
      </w:pPr>
      <w:r w:rsidRPr="00692036">
        <w:rPr>
          <w:b/>
          <w:bCs/>
        </w:rPr>
        <w:t>OFFICE OF THE OHIO CONSUMERS</w:t>
      </w:r>
      <w:r>
        <w:rPr>
          <w:b/>
          <w:bCs/>
        </w:rPr>
        <w:t>’</w:t>
      </w:r>
      <w:r w:rsidRPr="00692036">
        <w:rPr>
          <w:b/>
          <w:bCs/>
        </w:rPr>
        <w:t xml:space="preserve"> COUNSEL</w:t>
      </w:r>
    </w:p>
    <w:p w:rsidR="00A5637F" w:rsidRPr="00692036" w14:paraId="0095FDA1" w14:textId="77777777">
      <w:pPr>
        <w:pStyle w:val="Footer"/>
        <w:pBdr>
          <w:bottom w:val="single" w:sz="12" w:space="1" w:color="auto"/>
        </w:pBdr>
        <w:tabs>
          <w:tab w:val="clear" w:pos="4320"/>
          <w:tab w:val="clear" w:pos="8640"/>
        </w:tabs>
        <w:spacing w:line="240" w:lineRule="auto"/>
        <w:rPr>
          <w:b/>
        </w:rPr>
      </w:pPr>
    </w:p>
    <w:p w:rsidR="00A5637F" w:rsidRPr="00692036" w14:paraId="152FA7C3" w14:textId="77777777">
      <w:pPr>
        <w:pStyle w:val="Footer"/>
        <w:tabs>
          <w:tab w:val="clear" w:pos="4320"/>
          <w:tab w:val="clear" w:pos="8640"/>
        </w:tabs>
        <w:spacing w:line="240" w:lineRule="auto"/>
        <w:jc w:val="center"/>
        <w:rPr>
          <w:b/>
        </w:rPr>
      </w:pPr>
    </w:p>
    <w:p w:rsidR="00343FD2" w:rsidRPr="00692036" w:rsidP="00A5637F" w14:paraId="6DAC2626" w14:textId="15125B8E">
      <w:pPr>
        <w:pStyle w:val="Footer"/>
        <w:tabs>
          <w:tab w:val="left" w:pos="4320"/>
          <w:tab w:val="clear" w:pos="8640"/>
        </w:tabs>
      </w:pPr>
      <w:r w:rsidRPr="00692036">
        <w:tab/>
        <w:t xml:space="preserve">The Office of the Ohio Consumers’ Counsel (“OCC”) hereby moves the Public Utilities Commission (“PUCO” or “Commission”) </w:t>
      </w:r>
      <w:r w:rsidRPr="00692036" w:rsidR="0076652C">
        <w:t xml:space="preserve">to intervene </w:t>
      </w:r>
      <w:r w:rsidRPr="00692036" w:rsidR="00E2102F">
        <w:t>out of time</w:t>
      </w:r>
      <w:r w:rsidRPr="00692036">
        <w:t xml:space="preserve">. Under </w:t>
      </w:r>
      <w:r w:rsidRPr="00692036" w:rsidR="00B560F2">
        <w:t>O.A.C.</w:t>
      </w:r>
      <w:r w:rsidRPr="00692036">
        <w:t xml:space="preserve"> 4901-1-12 and 4901-1-13, the PUCO</w:t>
      </w:r>
      <w:r w:rsidRPr="00692036" w:rsidR="00A92D24">
        <w:t>’s</w:t>
      </w:r>
      <w:r w:rsidRPr="00692036">
        <w:t xml:space="preserve"> rules provide for an extension of time to file pleadings for good cause shown. </w:t>
      </w:r>
    </w:p>
    <w:p w:rsidR="009F553E" w:rsidRPr="00692036" w:rsidP="00A5637F" w14:paraId="1B79A1B4" w14:textId="49033457">
      <w:pPr>
        <w:pStyle w:val="Footer"/>
        <w:tabs>
          <w:tab w:val="left" w:pos="4320"/>
          <w:tab w:val="clear" w:pos="8640"/>
        </w:tabs>
      </w:pPr>
      <w:r w:rsidRPr="00692036">
        <w:tab/>
        <w:t xml:space="preserve">Recently, </w:t>
      </w:r>
      <w:r w:rsidRPr="00692036" w:rsidR="008A7BF2">
        <w:t xml:space="preserve">on March 11, 2022, </w:t>
      </w:r>
      <w:r w:rsidRPr="00692036">
        <w:t>t</w:t>
      </w:r>
      <w:r w:rsidRPr="00692036" w:rsidR="005234CD">
        <w:t>he</w:t>
      </w:r>
      <w:r w:rsidRPr="00692036" w:rsidR="00E2102F">
        <w:t xml:space="preserve"> PUCO Staff</w:t>
      </w:r>
      <w:r w:rsidRPr="00692036" w:rsidR="005234CD">
        <w:t xml:space="preserve"> issued a report</w:t>
      </w:r>
      <w:r w:rsidRPr="00692036" w:rsidR="00E2102F">
        <w:t xml:space="preserve"> finding that AEP</w:t>
      </w:r>
      <w:r w:rsidRPr="00692036" w:rsidR="005234CD">
        <w:t xml:space="preserve"> </w:t>
      </w:r>
      <w:r w:rsidRPr="00692036">
        <w:t>“has not been able to support its application in the time available”</w:t>
      </w:r>
      <w:r>
        <w:rPr>
          <w:rStyle w:val="FootnoteReference"/>
        </w:rPr>
        <w:footnoteReference w:id="2"/>
      </w:r>
      <w:r w:rsidRPr="00692036">
        <w:t xml:space="preserve"> for </w:t>
      </w:r>
      <w:r w:rsidRPr="00692036" w:rsidR="008A7BF2">
        <w:t xml:space="preserve">increases in charges under </w:t>
      </w:r>
      <w:r w:rsidRPr="00692036">
        <w:t xml:space="preserve">its </w:t>
      </w:r>
      <w:r w:rsidRPr="00692036" w:rsidR="005234CD">
        <w:t>Basic Transmission Cost Rider (“BTCR”). Yet</w:t>
      </w:r>
      <w:r w:rsidRPr="00692036">
        <w:t>, despite AEP’s noncompliance,</w:t>
      </w:r>
      <w:r w:rsidRPr="00692036" w:rsidR="005234CD">
        <w:t xml:space="preserve"> </w:t>
      </w:r>
      <w:r w:rsidRPr="00692036" w:rsidR="003418A8">
        <w:t xml:space="preserve">the </w:t>
      </w:r>
      <w:r w:rsidRPr="00692036" w:rsidR="005234CD">
        <w:t>PUCO Staff recommend</w:t>
      </w:r>
      <w:r w:rsidRPr="00692036" w:rsidR="003418A8">
        <w:t>ed</w:t>
      </w:r>
      <w:r w:rsidRPr="00692036" w:rsidR="005234CD">
        <w:t xml:space="preserve"> that </w:t>
      </w:r>
      <w:r w:rsidRPr="00692036" w:rsidR="00504C2E">
        <w:t>AEP’s proposed charges to consumers be approved.</w:t>
      </w:r>
      <w:r w:rsidR="00692036">
        <w:t xml:space="preserve"> </w:t>
      </w:r>
      <w:r w:rsidRPr="00692036" w:rsidR="000457B7">
        <w:t>Also, the PUCO Staff stated that it will “continue its investigation” of AEP’s application.</w:t>
      </w:r>
      <w:r>
        <w:rPr>
          <w:rStyle w:val="FootnoteReference"/>
        </w:rPr>
        <w:footnoteReference w:id="3"/>
      </w:r>
    </w:p>
    <w:p w:rsidR="00A5637F" w:rsidRPr="00692036" w:rsidP="002E61B7" w14:paraId="1E444241" w14:textId="6E39ED44">
      <w:pPr>
        <w:pStyle w:val="Footer"/>
        <w:tabs>
          <w:tab w:val="left" w:pos="4320"/>
          <w:tab w:val="clear" w:pos="8640"/>
        </w:tabs>
      </w:pPr>
      <w:r w:rsidRPr="00692036">
        <w:tab/>
      </w:r>
      <w:r w:rsidRPr="00692036" w:rsidR="000457B7">
        <w:t>Accordingly, t</w:t>
      </w:r>
      <w:r w:rsidRPr="00692036" w:rsidR="00504C2E">
        <w:t xml:space="preserve">here is </w:t>
      </w:r>
      <w:r w:rsidRPr="00692036">
        <w:t>good cause to grant OCC</w:t>
      </w:r>
      <w:r w:rsidRPr="00692036" w:rsidR="000457B7">
        <w:t xml:space="preserve">’s </w:t>
      </w:r>
      <w:r w:rsidRPr="00692036">
        <w:t>motion to intervene</w:t>
      </w:r>
      <w:r w:rsidRPr="00692036" w:rsidR="00504C2E">
        <w:t xml:space="preserve"> out of time</w:t>
      </w:r>
      <w:r w:rsidRPr="00692036">
        <w:t xml:space="preserve"> in these circumstances. The grounds for this Motion are more fully described in the accompanying Memorandum in Support. </w:t>
      </w:r>
    </w:p>
    <w:p w:rsidR="00983F12" w:rsidRPr="00692036" w:rsidP="00600468" w14:paraId="55FC5531" w14:textId="77777777">
      <w:pPr>
        <w:pStyle w:val="BodyTextIndent3"/>
        <w:widowControl w:val="0"/>
        <w:ind w:left="3600" w:right="-672"/>
        <w:rPr>
          <w:szCs w:val="24"/>
        </w:rPr>
        <w:sectPr w:rsidSect="003F6E1A">
          <w:pgSz w:w="12240" w:h="15840"/>
          <w:pgMar w:top="1440" w:right="1800" w:bottom="1440" w:left="1800" w:header="720" w:footer="720" w:gutter="0"/>
          <w:pgNumType w:start="1"/>
          <w:cols w:space="720"/>
          <w:titlePg/>
          <w:docGrid w:linePitch="65"/>
        </w:sectPr>
      </w:pPr>
    </w:p>
    <w:p w:rsidR="00600468" w:rsidRPr="00692036" w:rsidP="00600468" w14:paraId="43EF5365" w14:textId="3B26AE5F">
      <w:pPr>
        <w:pStyle w:val="BodyTextIndent3"/>
        <w:widowControl w:val="0"/>
        <w:ind w:left="3600" w:right="-672"/>
        <w:rPr>
          <w:szCs w:val="24"/>
        </w:rPr>
      </w:pPr>
      <w:r w:rsidRPr="00692036">
        <w:rPr>
          <w:szCs w:val="24"/>
        </w:rPr>
        <w:t>Respectfully submitted,</w:t>
      </w:r>
    </w:p>
    <w:p w:rsidR="00600468" w:rsidRPr="00692036" w:rsidP="00600468" w14:paraId="4F5F1631" w14:textId="77777777">
      <w:r w:rsidRPr="00692036">
        <w:tab/>
      </w:r>
    </w:p>
    <w:p w:rsidR="00600468" w:rsidRPr="00692036" w:rsidP="00600468" w14:paraId="0DE3411A" w14:textId="77777777">
      <w:pPr>
        <w:ind w:left="4320"/>
      </w:pPr>
      <w:r w:rsidRPr="00692036">
        <w:t>Bruce Weston (0016973)</w:t>
      </w:r>
    </w:p>
    <w:p w:rsidR="00600468" w:rsidRPr="00692036" w:rsidP="00600468" w14:paraId="62453A1E" w14:textId="77777777">
      <w:pPr>
        <w:tabs>
          <w:tab w:val="left" w:pos="4320"/>
        </w:tabs>
        <w:ind w:left="4320" w:hanging="450"/>
      </w:pPr>
      <w:r w:rsidRPr="00692036">
        <w:tab/>
        <w:t>Ohio Consumers’ Counsel</w:t>
      </w:r>
    </w:p>
    <w:p w:rsidR="00600468" w:rsidRPr="00692036" w:rsidP="00600468" w14:paraId="14D3692B" w14:textId="77777777">
      <w:pPr>
        <w:tabs>
          <w:tab w:val="left" w:pos="4320"/>
        </w:tabs>
        <w:ind w:left="4320"/>
      </w:pPr>
    </w:p>
    <w:p w:rsidR="00600468" w:rsidRPr="00692036" w:rsidP="00600468" w14:paraId="0D76490D" w14:textId="77777777">
      <w:pPr>
        <w:tabs>
          <w:tab w:val="left" w:pos="4320"/>
        </w:tabs>
        <w:ind w:left="4320"/>
        <w:rPr>
          <w:i/>
          <w:iCs/>
          <w:u w:val="single"/>
        </w:rPr>
      </w:pPr>
      <w:r w:rsidRPr="00692036">
        <w:rPr>
          <w:i/>
          <w:iCs/>
          <w:u w:val="single"/>
        </w:rPr>
        <w:t>/s/ Angela D. O’Brien</w:t>
      </w:r>
      <w:r w:rsidRPr="00692036">
        <w:rPr>
          <w:i/>
          <w:iCs/>
          <w:u w:val="single"/>
        </w:rPr>
        <w:tab/>
      </w:r>
      <w:r w:rsidRPr="00692036">
        <w:rPr>
          <w:i/>
          <w:iCs/>
          <w:u w:val="single"/>
        </w:rPr>
        <w:tab/>
      </w:r>
    </w:p>
    <w:p w:rsidR="00600468" w:rsidRPr="00692036" w:rsidP="00600468" w14:paraId="0DDD3491" w14:textId="77777777">
      <w:pPr>
        <w:tabs>
          <w:tab w:val="left" w:pos="4320"/>
        </w:tabs>
        <w:ind w:left="4320"/>
      </w:pPr>
      <w:r w:rsidRPr="00692036">
        <w:t>Angela D. O’Brien (0097579)</w:t>
      </w:r>
    </w:p>
    <w:p w:rsidR="00600468" w:rsidRPr="00692036" w:rsidP="00600468" w14:paraId="7A366508" w14:textId="77777777">
      <w:pPr>
        <w:tabs>
          <w:tab w:val="left" w:pos="4320"/>
        </w:tabs>
        <w:ind w:left="4320"/>
      </w:pPr>
      <w:r w:rsidRPr="00692036">
        <w:t>Counsel of Record</w:t>
      </w:r>
    </w:p>
    <w:p w:rsidR="00600468" w:rsidRPr="00692036" w:rsidP="00600468" w14:paraId="13CED341" w14:textId="77777777">
      <w:pPr>
        <w:tabs>
          <w:tab w:val="left" w:pos="3870"/>
          <w:tab w:val="left" w:pos="4320"/>
        </w:tabs>
        <w:ind w:left="4320"/>
      </w:pPr>
      <w:r w:rsidRPr="00692036">
        <w:t>John Finnigan (0018689)</w:t>
      </w:r>
    </w:p>
    <w:p w:rsidR="00600468" w:rsidRPr="00692036" w:rsidP="00600468" w14:paraId="008B1519" w14:textId="77777777">
      <w:pPr>
        <w:tabs>
          <w:tab w:val="left" w:pos="3870"/>
          <w:tab w:val="left" w:pos="4320"/>
        </w:tabs>
        <w:ind w:left="4320"/>
      </w:pPr>
      <w:r w:rsidRPr="00692036">
        <w:t>Assistant Consumers’ Counsel</w:t>
      </w:r>
    </w:p>
    <w:p w:rsidR="00600468" w:rsidRPr="00692036" w:rsidP="00600468" w14:paraId="72B50133" w14:textId="77777777">
      <w:pPr>
        <w:tabs>
          <w:tab w:val="left" w:pos="3870"/>
          <w:tab w:val="left" w:pos="4320"/>
        </w:tabs>
        <w:ind w:left="4320"/>
      </w:pPr>
    </w:p>
    <w:p w:rsidR="00600468" w:rsidRPr="00692036" w:rsidP="00600468" w14:paraId="24FBE64F" w14:textId="77777777">
      <w:pPr>
        <w:ind w:left="4320"/>
        <w:rPr>
          <w:b/>
          <w:bCs/>
        </w:rPr>
      </w:pPr>
      <w:r w:rsidRPr="00692036">
        <w:rPr>
          <w:b/>
          <w:bCs/>
        </w:rPr>
        <w:t>Office of the Ohio Consumers' Counsel</w:t>
      </w:r>
    </w:p>
    <w:p w:rsidR="00600468" w:rsidRPr="00692036" w:rsidP="00600468" w14:paraId="6EBF2F8D" w14:textId="77777777">
      <w:pPr>
        <w:ind w:left="4320"/>
      </w:pPr>
      <w:r w:rsidRPr="00692036">
        <w:t>65 East State Street, Suite 700</w:t>
      </w:r>
    </w:p>
    <w:p w:rsidR="00600468" w:rsidRPr="00692036" w:rsidP="00600468" w14:paraId="37901FAC" w14:textId="77777777">
      <w:pPr>
        <w:ind w:left="4320"/>
      </w:pPr>
      <w:r w:rsidRPr="00692036">
        <w:t>Columbus, Ohio 43215</w:t>
      </w:r>
    </w:p>
    <w:p w:rsidR="00600468" w:rsidRPr="00692036" w:rsidP="00600468" w14:paraId="2F1BCF3E" w14:textId="77777777">
      <w:pPr>
        <w:autoSpaceDE w:val="0"/>
        <w:autoSpaceDN w:val="0"/>
        <w:adjustRightInd w:val="0"/>
        <w:ind w:left="4320"/>
      </w:pPr>
      <w:r w:rsidRPr="00692036">
        <w:t>Telephone: [O’Brien]: (614) 466-9531</w:t>
      </w:r>
    </w:p>
    <w:p w:rsidR="00600468" w:rsidRPr="00692036" w:rsidP="00600468" w14:paraId="58EA5B7B" w14:textId="77777777">
      <w:pPr>
        <w:pStyle w:val="ListParagraph"/>
        <w:autoSpaceDE w:val="0"/>
        <w:autoSpaceDN w:val="0"/>
        <w:adjustRightInd w:val="0"/>
        <w:ind w:left="3600" w:firstLine="720"/>
        <w:rPr>
          <w:szCs w:val="24"/>
        </w:rPr>
      </w:pPr>
      <w:r w:rsidRPr="00692036">
        <w:rPr>
          <w:szCs w:val="24"/>
        </w:rPr>
        <w:t>Telephone [Finnigan]: (614) 466-9585</w:t>
      </w:r>
    </w:p>
    <w:p w:rsidR="00600468" w:rsidRPr="00692036" w:rsidP="00600468" w14:paraId="31C47558" w14:textId="77777777">
      <w:pPr>
        <w:ind w:left="4320"/>
      </w:pPr>
      <w:hyperlink r:id="rId6" w:history="1">
        <w:r w:rsidRPr="00692036" w:rsidR="00A0729B">
          <w:rPr>
            <w:rStyle w:val="Hyperlink"/>
          </w:rPr>
          <w:t>angela.obrien@occ.ohio.gov</w:t>
        </w:r>
      </w:hyperlink>
    </w:p>
    <w:p w:rsidR="00600468" w:rsidRPr="00692036" w:rsidP="00600468" w14:paraId="58D68DE1" w14:textId="77777777">
      <w:pPr>
        <w:pStyle w:val="ListParagraph"/>
        <w:autoSpaceDE w:val="0"/>
        <w:autoSpaceDN w:val="0"/>
        <w:adjustRightInd w:val="0"/>
        <w:ind w:left="3600" w:firstLine="720"/>
        <w:rPr>
          <w:rStyle w:val="Hyperlink"/>
          <w:szCs w:val="24"/>
        </w:rPr>
      </w:pPr>
      <w:hyperlink r:id="rId7" w:history="1">
        <w:r w:rsidRPr="00692036" w:rsidR="00A0729B">
          <w:rPr>
            <w:rStyle w:val="Hyperlink"/>
            <w:szCs w:val="24"/>
          </w:rPr>
          <w:t>john.finnigan@occ.ohio.gov</w:t>
        </w:r>
      </w:hyperlink>
    </w:p>
    <w:p w:rsidR="00600468" w:rsidRPr="00692036" w:rsidP="00600468" w14:paraId="3A0DD392" w14:textId="77777777">
      <w:pPr>
        <w:ind w:left="4320" w:hanging="4320"/>
      </w:pPr>
      <w:r w:rsidRPr="00692036">
        <w:tab/>
        <w:t>(willing to accept service by e-mail)</w:t>
      </w:r>
    </w:p>
    <w:p w:rsidR="00600468" w:rsidRPr="00692036" w:rsidP="00600468" w14:paraId="4294F051" w14:textId="77777777">
      <w:pPr>
        <w:spacing w:line="480" w:lineRule="auto"/>
        <w:ind w:left="3600"/>
        <w:rPr>
          <w:b/>
          <w:bCs/>
        </w:rPr>
        <w:sectPr w:rsidSect="00983F12">
          <w:footerReference w:type="first" r:id="rId8"/>
          <w:pgSz w:w="12240" w:h="15840"/>
          <w:pgMar w:top="1440" w:right="1800" w:bottom="1440" w:left="1800" w:header="720" w:footer="720" w:gutter="0"/>
          <w:pgNumType w:start="2"/>
          <w:cols w:space="720"/>
          <w:titlePg/>
          <w:docGrid w:linePitch="326"/>
        </w:sectPr>
      </w:pPr>
    </w:p>
    <w:p w:rsidR="00A5637F" w:rsidRPr="00692036" w:rsidP="00BB4C86" w14:paraId="675B72E8" w14:textId="3F7A51EB">
      <w:pPr>
        <w:ind w:left="3600"/>
        <w:rPr>
          <w:b/>
          <w:bCs/>
        </w:rPr>
      </w:pPr>
      <w:r w:rsidRPr="00692036">
        <w:rPr>
          <w:b/>
          <w:bCs/>
        </w:rPr>
        <w:t>BEFORE</w:t>
      </w:r>
    </w:p>
    <w:p w:rsidR="00A5637F" w:rsidRPr="00692036" w:rsidP="00BB4C86" w14:paraId="3A542CD6" w14:textId="77777777">
      <w:pPr>
        <w:pStyle w:val="HTMLPreformatted"/>
        <w:jc w:val="center"/>
        <w:rPr>
          <w:rFonts w:ascii="Times New Roman" w:hAnsi="Times New Roman" w:cs="Times New Roman"/>
          <w:b/>
          <w:bCs/>
          <w:sz w:val="24"/>
          <w:szCs w:val="24"/>
        </w:rPr>
      </w:pPr>
      <w:r w:rsidRPr="00692036">
        <w:rPr>
          <w:rFonts w:ascii="Times New Roman" w:hAnsi="Times New Roman" w:cs="Times New Roman"/>
          <w:b/>
          <w:bCs/>
          <w:sz w:val="24"/>
          <w:szCs w:val="24"/>
        </w:rPr>
        <w:t>THE PUBLIC UTILITIES COMMISSION OF OHIO</w:t>
      </w:r>
    </w:p>
    <w:p w:rsidR="00A5637F" w:rsidRPr="00692036" w14:paraId="4A48DF90" w14:textId="77777777">
      <w:pPr>
        <w:pStyle w:val="HTMLPreformatted"/>
        <w:jc w:val="center"/>
        <w:rPr>
          <w:rFonts w:ascii="Times New Roman" w:hAnsi="Times New Roman" w:cs="Times New Roman"/>
          <w:b/>
          <w:bCs/>
          <w:sz w:val="24"/>
          <w:szCs w:val="24"/>
        </w:rPr>
      </w:pPr>
    </w:p>
    <w:tbl>
      <w:tblPr>
        <w:tblW w:w="8640" w:type="dxa"/>
        <w:tblLook w:val="01E0"/>
      </w:tblPr>
      <w:tblGrid>
        <w:gridCol w:w="4338"/>
        <w:gridCol w:w="360"/>
        <w:gridCol w:w="3942"/>
      </w:tblGrid>
      <w:tr w14:paraId="10806990" w14:textId="77777777" w:rsidTr="002C7D60">
        <w:tblPrEx>
          <w:tblW w:w="8640" w:type="dxa"/>
          <w:tblLook w:val="01E0"/>
        </w:tblPrEx>
        <w:trPr>
          <w:trHeight w:val="807"/>
        </w:trPr>
        <w:tc>
          <w:tcPr>
            <w:tcW w:w="4338" w:type="dxa"/>
            <w:shd w:val="clear" w:color="auto" w:fill="auto"/>
          </w:tcPr>
          <w:p w:rsidR="002C7D60" w:rsidRPr="00692036" w:rsidP="003F6E1A" w14:paraId="68B57EA3" w14:textId="46330B15">
            <w:pPr>
              <w:autoSpaceDE w:val="0"/>
              <w:autoSpaceDN w:val="0"/>
              <w:adjustRightInd w:val="0"/>
            </w:pPr>
            <w:r w:rsidRPr="00692036">
              <w:t>In the Matter of the Application of the Ohio Power Company to Update Its Basic Transmission Cost Rider</w:t>
            </w:r>
            <w:r w:rsidRPr="00692036" w:rsidR="00714F95">
              <w:t>.</w:t>
            </w:r>
          </w:p>
        </w:tc>
        <w:tc>
          <w:tcPr>
            <w:tcW w:w="360" w:type="dxa"/>
            <w:shd w:val="clear" w:color="auto" w:fill="auto"/>
          </w:tcPr>
          <w:p w:rsidR="002C7D60" w:rsidRPr="00692036" w:rsidP="003F6E1A" w14:paraId="15C81F90" w14:textId="77777777">
            <w:pPr>
              <w:pStyle w:val="HTMLPreformatted"/>
              <w:rPr>
                <w:rFonts w:ascii="Times New Roman" w:hAnsi="Times New Roman" w:cs="Times New Roman"/>
                <w:sz w:val="24"/>
                <w:szCs w:val="24"/>
              </w:rPr>
            </w:pPr>
            <w:r w:rsidRPr="00692036">
              <w:rPr>
                <w:rFonts w:ascii="Times New Roman" w:hAnsi="Times New Roman" w:cs="Times New Roman"/>
                <w:sz w:val="24"/>
                <w:szCs w:val="24"/>
              </w:rPr>
              <w:t>)</w:t>
            </w:r>
          </w:p>
          <w:p w:rsidR="002C7D60" w:rsidRPr="00692036" w:rsidP="003F6E1A" w14:paraId="396FA3D1" w14:textId="77777777">
            <w:pPr>
              <w:pStyle w:val="HTMLPreformatted"/>
              <w:rPr>
                <w:rFonts w:ascii="Times New Roman" w:hAnsi="Times New Roman" w:cs="Times New Roman"/>
                <w:sz w:val="24"/>
                <w:szCs w:val="24"/>
              </w:rPr>
            </w:pPr>
            <w:r w:rsidRPr="00692036">
              <w:rPr>
                <w:rFonts w:ascii="Times New Roman" w:hAnsi="Times New Roman" w:cs="Times New Roman"/>
                <w:sz w:val="24"/>
                <w:szCs w:val="24"/>
              </w:rPr>
              <w:t>)</w:t>
            </w:r>
          </w:p>
          <w:p w:rsidR="002C7D60" w:rsidRPr="00692036" w:rsidP="003F6E1A" w14:paraId="0AEC4DDD" w14:textId="77777777">
            <w:pPr>
              <w:pStyle w:val="HTMLPreformatted"/>
              <w:rPr>
                <w:rFonts w:ascii="Times New Roman" w:hAnsi="Times New Roman" w:cs="Times New Roman"/>
                <w:sz w:val="24"/>
                <w:szCs w:val="24"/>
              </w:rPr>
            </w:pPr>
            <w:r w:rsidRPr="00692036">
              <w:rPr>
                <w:rFonts w:ascii="Times New Roman" w:hAnsi="Times New Roman" w:cs="Times New Roman"/>
                <w:sz w:val="24"/>
                <w:szCs w:val="24"/>
              </w:rPr>
              <w:t>)</w:t>
            </w:r>
          </w:p>
        </w:tc>
        <w:tc>
          <w:tcPr>
            <w:tcW w:w="3942" w:type="dxa"/>
            <w:shd w:val="clear" w:color="auto" w:fill="auto"/>
          </w:tcPr>
          <w:p w:rsidR="002C7D60" w:rsidRPr="00692036" w:rsidP="003F6E1A" w14:paraId="2673CEF5" w14:textId="77777777">
            <w:pPr>
              <w:pStyle w:val="HTMLPreformatted"/>
              <w:rPr>
                <w:rFonts w:ascii="Times New Roman" w:hAnsi="Times New Roman" w:cs="Times New Roman"/>
                <w:sz w:val="24"/>
                <w:szCs w:val="24"/>
              </w:rPr>
            </w:pPr>
          </w:p>
          <w:p w:rsidR="002C7D60" w:rsidRPr="00692036" w:rsidP="003F6E1A" w14:paraId="43D76545" w14:textId="77777777">
            <w:pPr>
              <w:pStyle w:val="HTMLPreformatted"/>
              <w:rPr>
                <w:rFonts w:ascii="Times New Roman" w:hAnsi="Times New Roman" w:cs="Times New Roman"/>
                <w:sz w:val="24"/>
                <w:szCs w:val="24"/>
              </w:rPr>
            </w:pPr>
            <w:r w:rsidRPr="00692036">
              <w:rPr>
                <w:rFonts w:ascii="Times New Roman" w:hAnsi="Times New Roman" w:cs="Times New Roman"/>
                <w:sz w:val="24"/>
                <w:szCs w:val="24"/>
              </w:rPr>
              <w:t>Case No. 2</w:t>
            </w:r>
            <w:r w:rsidRPr="00692036" w:rsidR="003026A8">
              <w:rPr>
                <w:rFonts w:ascii="Times New Roman" w:hAnsi="Times New Roman" w:cs="Times New Roman"/>
                <w:sz w:val="24"/>
                <w:szCs w:val="24"/>
              </w:rPr>
              <w:t>2</w:t>
            </w:r>
            <w:r w:rsidRPr="00692036">
              <w:rPr>
                <w:rFonts w:ascii="Times New Roman" w:hAnsi="Times New Roman" w:cs="Times New Roman"/>
                <w:sz w:val="24"/>
                <w:szCs w:val="24"/>
              </w:rPr>
              <w:t>-</w:t>
            </w:r>
            <w:r w:rsidRPr="00692036" w:rsidR="003026A8">
              <w:rPr>
                <w:rFonts w:ascii="Times New Roman" w:hAnsi="Times New Roman" w:cs="Times New Roman"/>
                <w:sz w:val="24"/>
                <w:szCs w:val="24"/>
              </w:rPr>
              <w:t>41</w:t>
            </w:r>
            <w:r w:rsidRPr="00692036">
              <w:rPr>
                <w:rFonts w:ascii="Times New Roman" w:hAnsi="Times New Roman" w:cs="Times New Roman"/>
                <w:sz w:val="24"/>
                <w:szCs w:val="24"/>
              </w:rPr>
              <w:t>-</w:t>
            </w:r>
            <w:r w:rsidRPr="00692036" w:rsidR="003026A8">
              <w:rPr>
                <w:rFonts w:ascii="Times New Roman" w:hAnsi="Times New Roman" w:cs="Times New Roman"/>
                <w:sz w:val="24"/>
                <w:szCs w:val="24"/>
              </w:rPr>
              <w:t>EL</w:t>
            </w:r>
            <w:r w:rsidRPr="00692036">
              <w:rPr>
                <w:rFonts w:ascii="Times New Roman" w:hAnsi="Times New Roman" w:cs="Times New Roman"/>
                <w:sz w:val="24"/>
                <w:szCs w:val="24"/>
              </w:rPr>
              <w:t>-</w:t>
            </w:r>
            <w:r w:rsidRPr="00692036" w:rsidR="003026A8">
              <w:rPr>
                <w:rFonts w:ascii="Times New Roman" w:hAnsi="Times New Roman" w:cs="Times New Roman"/>
                <w:sz w:val="24"/>
                <w:szCs w:val="24"/>
              </w:rPr>
              <w:t>RDR</w:t>
            </w:r>
          </w:p>
          <w:p w:rsidR="002C7D60" w:rsidRPr="00692036" w:rsidP="003F6E1A" w14:paraId="084314C4" w14:textId="77777777">
            <w:pPr>
              <w:pStyle w:val="HTMLPreformatted"/>
              <w:rPr>
                <w:rFonts w:ascii="Times New Roman" w:hAnsi="Times New Roman" w:cs="Times New Roman"/>
                <w:sz w:val="24"/>
                <w:szCs w:val="24"/>
              </w:rPr>
            </w:pPr>
          </w:p>
        </w:tc>
      </w:tr>
    </w:tbl>
    <w:p w:rsidR="00A5637F" w:rsidRPr="00692036" w14:paraId="295E824B" w14:textId="77777777">
      <w:pPr>
        <w:pStyle w:val="HTMLPreformatted"/>
        <w:rPr>
          <w:rFonts w:ascii="Times New Roman" w:hAnsi="Times New Roman" w:cs="Times New Roman"/>
          <w:b/>
          <w:sz w:val="24"/>
          <w:szCs w:val="24"/>
        </w:rPr>
      </w:pPr>
    </w:p>
    <w:p w:rsidR="00A5637F" w:rsidRPr="00692036" w14:paraId="29B94DF1" w14:textId="77777777">
      <w:pPr>
        <w:pStyle w:val="Footer"/>
        <w:pBdr>
          <w:top w:val="single" w:sz="12" w:space="1" w:color="auto"/>
        </w:pBdr>
        <w:tabs>
          <w:tab w:val="left" w:pos="4320"/>
          <w:tab w:val="clear" w:pos="8640"/>
        </w:tabs>
        <w:spacing w:line="240" w:lineRule="auto"/>
      </w:pPr>
    </w:p>
    <w:p w:rsidR="00A5637F" w:rsidRPr="00692036" w14:paraId="44EFD019" w14:textId="77777777">
      <w:pPr>
        <w:pStyle w:val="Footer"/>
        <w:tabs>
          <w:tab w:val="left" w:pos="4320"/>
          <w:tab w:val="clear" w:pos="8640"/>
        </w:tabs>
        <w:spacing w:line="240" w:lineRule="auto"/>
        <w:jc w:val="center"/>
        <w:rPr>
          <w:b/>
        </w:rPr>
      </w:pPr>
      <w:r w:rsidRPr="00692036">
        <w:rPr>
          <w:b/>
        </w:rPr>
        <w:t>MEMORANDUM IN SUPPORT</w:t>
      </w:r>
    </w:p>
    <w:p w:rsidR="00A5637F" w:rsidRPr="00692036" w14:paraId="3F0F15BD" w14:textId="77777777">
      <w:pPr>
        <w:pStyle w:val="Footer"/>
        <w:pBdr>
          <w:bottom w:val="single" w:sz="12" w:space="1" w:color="auto"/>
        </w:pBdr>
        <w:tabs>
          <w:tab w:val="left" w:pos="4320"/>
          <w:tab w:val="clear" w:pos="8640"/>
        </w:tabs>
        <w:spacing w:line="240" w:lineRule="auto"/>
      </w:pPr>
    </w:p>
    <w:p w:rsidR="00A5637F" w:rsidRPr="00692036" w14:paraId="40C1D884" w14:textId="7C522941">
      <w:pPr>
        <w:pStyle w:val="Footer"/>
        <w:tabs>
          <w:tab w:val="left" w:pos="4320"/>
          <w:tab w:val="clear" w:pos="8640"/>
        </w:tabs>
        <w:spacing w:line="240" w:lineRule="auto"/>
      </w:pPr>
    </w:p>
    <w:p w:rsidR="00837736" w:rsidRPr="00502946" w:rsidP="00502946" w14:paraId="12438B37" w14:textId="688D02FA">
      <w:pPr>
        <w:pStyle w:val="Heading1"/>
      </w:pPr>
      <w:r>
        <w:t>I.</w:t>
      </w:r>
      <w:r>
        <w:tab/>
      </w:r>
      <w:r w:rsidRPr="00692036">
        <w:t>INTRODUCTION</w:t>
      </w:r>
    </w:p>
    <w:p w:rsidR="00837736" w:rsidRPr="00692036" w:rsidP="00A5637F" w14:paraId="3A0AC63E" w14:textId="1FD7B9AC">
      <w:pPr>
        <w:pStyle w:val="Footer"/>
        <w:tabs>
          <w:tab w:val="left" w:pos="4320"/>
          <w:tab w:val="clear" w:pos="8640"/>
        </w:tabs>
      </w:pPr>
      <w:r w:rsidRPr="00692036">
        <w:tab/>
        <w:t xml:space="preserve">OCC moves to intervene out of time to protect consumers from unreasonable and unsupported charges by </w:t>
      </w:r>
      <w:r w:rsidRPr="00692036" w:rsidR="00852654">
        <w:t>AEP</w:t>
      </w:r>
      <w:r w:rsidRPr="00692036">
        <w:t xml:space="preserve">. AEP </w:t>
      </w:r>
      <w:r w:rsidRPr="00692036" w:rsidR="00852654">
        <w:t>proposes to increase charges to consumers through its Basic Transmission Cost Rider (“BTCR”).</w:t>
      </w:r>
      <w:r>
        <w:rPr>
          <w:rStyle w:val="FootnoteReference"/>
        </w:rPr>
        <w:footnoteReference w:id="4"/>
      </w:r>
      <w:r w:rsidRPr="00692036" w:rsidR="00852654">
        <w:t xml:space="preserve"> </w:t>
      </w:r>
      <w:r w:rsidRPr="00692036">
        <w:t>The BTCR is a mechanism through which AEP can charge consumers for non-market</w:t>
      </w:r>
      <w:r w:rsidRPr="00692036" w:rsidR="002C20F3">
        <w:t>-</w:t>
      </w:r>
      <w:r w:rsidRPr="00692036">
        <w:t>based transmission charges imposed on AEP by PJM Interconnection LLC and authorized by the Federal Energy Regulatory Commission. AEP’s application here proposes an increase of approximately $1.44 per month to the average residential consumer (</w:t>
      </w:r>
      <w:r w:rsidRPr="00692036" w:rsidR="000457B7">
        <w:t xml:space="preserve">at </w:t>
      </w:r>
      <w:r w:rsidRPr="00692036">
        <w:t>750 kWh usage).</w:t>
      </w:r>
    </w:p>
    <w:p w:rsidR="00E33698" w:rsidP="00A5637F" w14:paraId="679C0629" w14:textId="1316FFBC">
      <w:pPr>
        <w:pStyle w:val="Footer"/>
        <w:tabs>
          <w:tab w:val="left" w:pos="4320"/>
          <w:tab w:val="clear" w:pos="8640"/>
        </w:tabs>
      </w:pPr>
      <w:r w:rsidRPr="00692036">
        <w:tab/>
      </w:r>
      <w:r w:rsidRPr="00692036" w:rsidR="00852654">
        <w:t>Recently, on March 11, 2022, the PUCO Staff issued a report stating that AEP “has not been able to support its application in the time available.”</w:t>
      </w:r>
      <w:r>
        <w:rPr>
          <w:rStyle w:val="FootnoteReference"/>
        </w:rPr>
        <w:footnoteReference w:id="5"/>
      </w:r>
      <w:r w:rsidRPr="00692036" w:rsidR="00852654">
        <w:t xml:space="preserve"> </w:t>
      </w:r>
      <w:r w:rsidRPr="00692036" w:rsidR="00784859">
        <w:t>Nevertheless, the PUCO Staff recommended that AEP’s proposed charges be approved and effective for the first billing cycle in April</w:t>
      </w:r>
      <w:r w:rsidRPr="00692036" w:rsidR="000457B7">
        <w:t xml:space="preserve"> to charge to consumers</w:t>
      </w:r>
      <w:r w:rsidRPr="00692036" w:rsidR="00784859">
        <w:t>.</w:t>
      </w:r>
      <w:r>
        <w:rPr>
          <w:rStyle w:val="FootnoteReference"/>
        </w:rPr>
        <w:footnoteReference w:id="6"/>
      </w:r>
      <w:r w:rsidRPr="00692036" w:rsidR="000457B7">
        <w:t xml:space="preserve"> Further, the PUCO Staff stated that it will “continue its investigation” of AEP’s application.</w:t>
      </w:r>
      <w:r>
        <w:rPr>
          <w:rStyle w:val="FootnoteReference"/>
        </w:rPr>
        <w:footnoteReference w:id="7"/>
      </w:r>
      <w:r w:rsidR="00692036">
        <w:t xml:space="preserve"> </w:t>
      </w:r>
      <w:r w:rsidRPr="00692036" w:rsidR="00784859">
        <w:t>In these circumstances</w:t>
      </w:r>
      <w:r w:rsidRPr="00692036" w:rsidR="00FC1A7D">
        <w:t>, there is good cause for OCC to intervene out of time to protect consumers</w:t>
      </w:r>
      <w:r w:rsidRPr="00692036" w:rsidR="008A7BF2">
        <w:t xml:space="preserve"> from paying charges unsupported by AEP’s application.</w:t>
      </w:r>
    </w:p>
    <w:p w:rsidR="0024284C" w:rsidRPr="00692036" w:rsidP="0024284C" w14:paraId="745D7F66" w14:textId="77777777">
      <w:pPr>
        <w:pStyle w:val="Footer"/>
        <w:tabs>
          <w:tab w:val="left" w:pos="4320"/>
          <w:tab w:val="clear" w:pos="8640"/>
        </w:tabs>
        <w:spacing w:line="240" w:lineRule="auto"/>
      </w:pPr>
    </w:p>
    <w:p w:rsidR="00837736" w:rsidRPr="00692036" w:rsidP="0024284C" w14:paraId="0BA1F8DD" w14:textId="08A76ECC">
      <w:pPr>
        <w:pStyle w:val="Heading1"/>
      </w:pPr>
      <w:r>
        <w:t>II.</w:t>
      </w:r>
      <w:r>
        <w:tab/>
      </w:r>
      <w:r w:rsidRPr="00692036" w:rsidR="00FC1A7D">
        <w:t>ARGUMENT</w:t>
      </w:r>
    </w:p>
    <w:p w:rsidR="00557F89" w:rsidRPr="0024284C" w:rsidP="0024284C" w14:paraId="1741CDDD" w14:textId="5638EB4D">
      <w:pPr>
        <w:pStyle w:val="Heading2"/>
      </w:pPr>
      <w:r>
        <w:t>A.</w:t>
      </w:r>
      <w:r>
        <w:tab/>
      </w:r>
      <w:r w:rsidRPr="00692036" w:rsidR="00FC1A7D">
        <w:t xml:space="preserve">There is good cause for </w:t>
      </w:r>
      <w:r w:rsidRPr="00692036" w:rsidR="00E372F2">
        <w:t xml:space="preserve">the PUCO to grant </w:t>
      </w:r>
      <w:r w:rsidRPr="00692036" w:rsidR="00FC1A7D">
        <w:t>OCC’s motion to intervene out of time.</w:t>
      </w:r>
    </w:p>
    <w:p w:rsidR="00961D96" w:rsidRPr="00692036" w:rsidP="00A5637F" w14:paraId="67A5344D" w14:textId="31FAC3B7">
      <w:pPr>
        <w:pStyle w:val="Footer"/>
        <w:tabs>
          <w:tab w:val="left" w:pos="4320"/>
          <w:tab w:val="clear" w:pos="8640"/>
        </w:tabs>
      </w:pPr>
      <w:r w:rsidRPr="00692036">
        <w:tab/>
        <w:t xml:space="preserve">The PUCO should find good cause to </w:t>
      </w:r>
      <w:r w:rsidRPr="00692036" w:rsidR="000457B7">
        <w:t>grant</w:t>
      </w:r>
      <w:r w:rsidRPr="00692036">
        <w:t xml:space="preserve"> OCC’s motion to intervene. </w:t>
      </w:r>
      <w:r w:rsidRPr="00692036" w:rsidR="00784859">
        <w:t>And n</w:t>
      </w:r>
      <w:r w:rsidRPr="00692036">
        <w:t xml:space="preserve">o party will be prejudiced by OCC’s motion. </w:t>
      </w:r>
      <w:r w:rsidRPr="00692036" w:rsidR="0011134C">
        <w:t>T</w:t>
      </w:r>
      <w:r w:rsidRPr="00692036" w:rsidR="00A14281">
        <w:t>ransmission cost recovery rider applications</w:t>
      </w:r>
      <w:r w:rsidRPr="00692036">
        <w:t>, such as AEP’s application in this case,</w:t>
      </w:r>
      <w:r w:rsidRPr="00692036" w:rsidR="0011134C">
        <w:t xml:space="preserve"> are subject to </w:t>
      </w:r>
      <w:r w:rsidRPr="00692036" w:rsidR="00E03228">
        <w:t xml:space="preserve">an </w:t>
      </w:r>
      <w:r w:rsidRPr="00692036" w:rsidR="0011134C">
        <w:t>expedited process under</w:t>
      </w:r>
      <w:r w:rsidRPr="00692036" w:rsidR="00A14281">
        <w:t xml:space="preserve"> </w:t>
      </w:r>
      <w:r w:rsidRPr="00692036" w:rsidR="00E33698">
        <w:t>O.A.C. 4901:1-36-03</w:t>
      </w:r>
      <w:r w:rsidRPr="00692036" w:rsidR="00E03228">
        <w:t xml:space="preserve"> that favors utilities to the detriment of intervenors</w:t>
      </w:r>
      <w:r w:rsidRPr="00692036" w:rsidR="0011134C">
        <w:t>. Under O.A.C. 4901:1-36-03</w:t>
      </w:r>
      <w:r w:rsidRPr="00692036" w:rsidR="008B1FAA">
        <w:t>(F),</w:t>
      </w:r>
      <w:r w:rsidRPr="00692036" w:rsidR="00A14281">
        <w:t xml:space="preserve"> affected parties </w:t>
      </w:r>
      <w:r w:rsidRPr="00692036" w:rsidR="000457B7">
        <w:t xml:space="preserve">have just 40 days after the application’s filing to </w:t>
      </w:r>
      <w:r w:rsidRPr="00692036" w:rsidR="00A14281">
        <w:t>file a motion to intervene</w:t>
      </w:r>
      <w:r w:rsidRPr="00692036" w:rsidR="0011134C">
        <w:t xml:space="preserve"> and comments</w:t>
      </w:r>
      <w:r w:rsidRPr="00692036" w:rsidR="003E41D6">
        <w:t>.</w:t>
      </w:r>
      <w:r w:rsidRPr="00692036" w:rsidR="008B1FAA">
        <w:t xml:space="preserve"> In addition, the application </w:t>
      </w:r>
      <w:r w:rsidRPr="00692036" w:rsidR="000457B7">
        <w:t xml:space="preserve">can </w:t>
      </w:r>
      <w:r w:rsidRPr="00692036" w:rsidR="008B1FAA">
        <w:t xml:space="preserve">be filed </w:t>
      </w:r>
      <w:r w:rsidRPr="00692036" w:rsidR="000457B7">
        <w:t>as late as just</w:t>
      </w:r>
      <w:r w:rsidRPr="00692036" w:rsidR="008B1FAA">
        <w:t xml:space="preserve"> 75 day</w:t>
      </w:r>
      <w:r w:rsidRPr="00692036" w:rsidR="0037614B">
        <w:t>s</w:t>
      </w:r>
      <w:r w:rsidRPr="00692036" w:rsidR="008B1FAA">
        <w:t xml:space="preserve"> prior to the proposed effective date of the updated rider.</w:t>
      </w:r>
      <w:r>
        <w:rPr>
          <w:rStyle w:val="FootnoteReference"/>
        </w:rPr>
        <w:footnoteReference w:id="8"/>
      </w:r>
      <w:r w:rsidRPr="00692036" w:rsidR="003E41D6">
        <w:t xml:space="preserve"> AEP filed an annual application to update its </w:t>
      </w:r>
      <w:r w:rsidRPr="00692036" w:rsidR="00784859">
        <w:t>BTCR</w:t>
      </w:r>
      <w:r w:rsidRPr="00692036" w:rsidR="003E41D6">
        <w:t xml:space="preserve"> on January 18, </w:t>
      </w:r>
      <w:r w:rsidRPr="00692036" w:rsidR="00240F08">
        <w:t xml:space="preserve">2022. </w:t>
      </w:r>
      <w:r w:rsidRPr="00692036" w:rsidR="0037614B">
        <w:t>U</w:t>
      </w:r>
      <w:r w:rsidRPr="00692036" w:rsidR="00240F08">
        <w:t>nder the rule, OCC’s motion to intervene w</w:t>
      </w:r>
      <w:r w:rsidRPr="00692036" w:rsidR="000457B7">
        <w:t>as</w:t>
      </w:r>
      <w:r w:rsidRPr="00692036" w:rsidR="00240F08">
        <w:t xml:space="preserve"> due by February 28, 2022.</w:t>
      </w:r>
      <w:r w:rsidRPr="00692036" w:rsidR="00ED4A50">
        <w:t xml:space="preserve"> </w:t>
      </w:r>
    </w:p>
    <w:p w:rsidR="00ED4A50" w:rsidRPr="00692036" w:rsidP="00A5637F" w14:paraId="47D44CE8" w14:textId="17351464">
      <w:pPr>
        <w:pStyle w:val="Footer"/>
        <w:tabs>
          <w:tab w:val="left" w:pos="4320"/>
          <w:tab w:val="clear" w:pos="8640"/>
        </w:tabs>
      </w:pPr>
      <w:r w:rsidRPr="00692036">
        <w:tab/>
        <w:t>OCC intervenes in transmission cost recovery rider cases from time to time</w:t>
      </w:r>
      <w:r w:rsidRPr="00692036" w:rsidR="00BC7A39">
        <w:t>, without intervening in every such case,</w:t>
      </w:r>
      <w:r w:rsidRPr="00692036">
        <w:t xml:space="preserve"> to monitor charges to residential consumers</w:t>
      </w:r>
      <w:r w:rsidRPr="00692036" w:rsidR="0037614B">
        <w:t xml:space="preserve">. </w:t>
      </w:r>
      <w:r w:rsidRPr="00692036" w:rsidR="00BC7A39">
        <w:t xml:space="preserve">Given the press of business in OCC’s consumer advocacy, the recentness of the PUCO Staff’s </w:t>
      </w:r>
      <w:r w:rsidRPr="00692036" w:rsidR="000457B7">
        <w:t>March 11 report</w:t>
      </w:r>
      <w:r w:rsidRPr="00692036" w:rsidR="00BC7A39">
        <w:t xml:space="preserve"> this month that AEP “has not been able to support its application in the time available</w:t>
      </w:r>
      <w:r w:rsidRPr="00692036" w:rsidR="00F620D7">
        <w:t>,</w:t>
      </w:r>
      <w:r w:rsidRPr="00692036" w:rsidR="00BC7A39">
        <w:t>”</w:t>
      </w:r>
      <w:r>
        <w:rPr>
          <w:rStyle w:val="FootnoteReference"/>
        </w:rPr>
        <w:footnoteReference w:id="9"/>
      </w:r>
      <w:r w:rsidRPr="00692036" w:rsidR="00BC7A39">
        <w:t xml:space="preserve"> and the brevity of the PUCO’s time period for allowing stakeholders to intervene in utility transmission charge cases, </w:t>
      </w:r>
      <w:r w:rsidRPr="00692036">
        <w:t xml:space="preserve">OCC </w:t>
      </w:r>
      <w:r w:rsidRPr="00692036" w:rsidR="00BC7A39">
        <w:t>has exceeded the</w:t>
      </w:r>
      <w:r w:rsidRPr="00692036">
        <w:t xml:space="preserve"> 40 days</w:t>
      </w:r>
      <w:r w:rsidRPr="00692036" w:rsidR="00BC7A39">
        <w:t xml:space="preserve"> allowed for intervention.</w:t>
      </w:r>
      <w:r w:rsidRPr="00692036">
        <w:t xml:space="preserve"> </w:t>
      </w:r>
      <w:r w:rsidRPr="00692036" w:rsidR="000457B7">
        <w:t xml:space="preserve">We note that the PUCO Staff’s report, with the finding that AEP itself did not comply with the timeline for submitting an adequately supported application, was filed </w:t>
      </w:r>
      <w:r w:rsidRPr="00692036" w:rsidR="000457B7">
        <w:rPr>
          <w:i/>
          <w:iCs/>
        </w:rPr>
        <w:t>after</w:t>
      </w:r>
      <w:r w:rsidRPr="00692036" w:rsidR="000457B7">
        <w:t xml:space="preserve"> the intervention deadline. </w:t>
      </w:r>
    </w:p>
    <w:p w:rsidR="00CE38C7" w:rsidRPr="00692036" w:rsidP="00A5637F" w14:paraId="263526F4" w14:textId="7C332136">
      <w:pPr>
        <w:pStyle w:val="Footer"/>
        <w:tabs>
          <w:tab w:val="left" w:pos="4320"/>
          <w:tab w:val="clear" w:pos="8640"/>
        </w:tabs>
      </w:pPr>
      <w:r w:rsidRPr="00692036">
        <w:tab/>
      </w:r>
      <w:r w:rsidRPr="00692036" w:rsidR="00CB5C31">
        <w:t>Yet d</w:t>
      </w:r>
      <w:r w:rsidRPr="00692036" w:rsidR="00AB76EC">
        <w:t>espite this finding</w:t>
      </w:r>
      <w:r w:rsidRPr="00692036">
        <w:t xml:space="preserve"> of AEP’s inadequate application</w:t>
      </w:r>
      <w:r w:rsidRPr="00692036" w:rsidR="00C864EE">
        <w:t xml:space="preserve">, the PUCO Staff </w:t>
      </w:r>
      <w:r w:rsidRPr="00692036">
        <w:t>still</w:t>
      </w:r>
      <w:r w:rsidRPr="00692036" w:rsidR="009F553E">
        <w:t xml:space="preserve"> </w:t>
      </w:r>
      <w:r w:rsidRPr="00692036" w:rsidR="00C864EE">
        <w:t>recommended that AEP’s proposed rate increases</w:t>
      </w:r>
      <w:r w:rsidRPr="00692036" w:rsidR="00A62965">
        <w:t xml:space="preserve"> (approximately $1.44 per month for the average residential consumer)</w:t>
      </w:r>
      <w:r w:rsidRPr="00692036" w:rsidR="00C864EE">
        <w:t xml:space="preserve"> </w:t>
      </w:r>
      <w:r w:rsidRPr="00692036" w:rsidR="00BF0449">
        <w:t>be implemented effective the first billing cycle of April 2022</w:t>
      </w:r>
      <w:r w:rsidRPr="00692036" w:rsidR="00CB48FC">
        <w:t xml:space="preserve"> “to minimize </w:t>
      </w:r>
      <w:r w:rsidRPr="00692036" w:rsidR="00E2102F">
        <w:t>any potential under-recovery.”</w:t>
      </w:r>
      <w:r>
        <w:rPr>
          <w:rStyle w:val="FootnoteReference"/>
        </w:rPr>
        <w:footnoteReference w:id="10"/>
      </w:r>
      <w:r w:rsidRPr="00692036">
        <w:t xml:space="preserve"> This situation is further testament to the regulatory process of riders being unfair to consumers. </w:t>
      </w:r>
    </w:p>
    <w:p w:rsidR="00ED4A50" w:rsidRPr="00692036" w:rsidP="00A5637F" w14:paraId="36973F71" w14:textId="7F2F1842">
      <w:pPr>
        <w:pStyle w:val="Footer"/>
        <w:tabs>
          <w:tab w:val="left" w:pos="4320"/>
          <w:tab w:val="clear" w:pos="8640"/>
        </w:tabs>
      </w:pPr>
      <w:r w:rsidRPr="00692036">
        <w:tab/>
        <w:t>This situation and the PUCO Staff’s intention to at least address the issue by continuing the investigation past the AEP rider’s implementation date are by themselves sufficient good</w:t>
      </w:r>
      <w:r w:rsidRPr="00692036" w:rsidR="00CB5C31">
        <w:t xml:space="preserve"> cause for </w:t>
      </w:r>
      <w:r w:rsidRPr="00692036">
        <w:t xml:space="preserve">granting </w:t>
      </w:r>
      <w:r w:rsidRPr="00692036" w:rsidR="00CB5C31">
        <w:t>OCC interven</w:t>
      </w:r>
      <w:r w:rsidRPr="00692036">
        <w:t>tion</w:t>
      </w:r>
      <w:r w:rsidRPr="00692036" w:rsidR="00CB5C31">
        <w:t xml:space="preserve"> out of time</w:t>
      </w:r>
      <w:r w:rsidRPr="00692036" w:rsidR="009F553E">
        <w:t>. Alternatively, the PUCO could dismiss or suspend AEP’s noncomplying application.</w:t>
      </w:r>
    </w:p>
    <w:p w:rsidR="00A5637F" w:rsidRPr="00692036" w:rsidP="00A5637F" w14:paraId="66227073" w14:textId="68277D0C">
      <w:pPr>
        <w:pStyle w:val="Footer"/>
        <w:tabs>
          <w:tab w:val="left" w:pos="4320"/>
          <w:tab w:val="clear" w:pos="8640"/>
        </w:tabs>
        <w:rPr>
          <w:rStyle w:val="ssleftalign"/>
        </w:rPr>
      </w:pPr>
      <w:r w:rsidRPr="00692036">
        <w:tab/>
        <w:t>Granting OCC</w:t>
      </w:r>
      <w:r w:rsidRPr="00692036" w:rsidR="00F620D7">
        <w:t>’</w:t>
      </w:r>
      <w:r w:rsidRPr="00692036">
        <w:t xml:space="preserve">s motion </w:t>
      </w:r>
      <w:r w:rsidRPr="00692036" w:rsidR="00CE38C7">
        <w:t xml:space="preserve">and finding good cause for the out of time filing </w:t>
      </w:r>
      <w:r w:rsidRPr="00692036">
        <w:t>would also be consistent with the Ohio Supreme Court holdings that</w:t>
      </w:r>
      <w:r w:rsidRPr="00692036" w:rsidR="006B3D4D">
        <w:t xml:space="preserve"> </w:t>
      </w:r>
      <w:r w:rsidRPr="00692036">
        <w:t>statutes</w:t>
      </w:r>
      <w:r w:rsidRPr="00692036" w:rsidR="006B3D4D">
        <w:t xml:space="preserve"> </w:t>
      </w:r>
      <w:r w:rsidRPr="00692036">
        <w:rPr>
          <w:rStyle w:val="ssleftalign"/>
        </w:rPr>
        <w:t xml:space="preserve">and rules governing </w:t>
      </w:r>
      <w:r w:rsidRPr="00692036">
        <w:rPr>
          <w:rStyle w:val="sssh"/>
        </w:rPr>
        <w:t>intervention</w:t>
      </w:r>
      <w:r w:rsidRPr="00692036">
        <w:rPr>
          <w:rStyle w:val="ssleftalign"/>
        </w:rPr>
        <w:t xml:space="preserve"> should be </w:t>
      </w:r>
      <w:r w:rsidRPr="00692036" w:rsidR="00F620D7">
        <w:rPr>
          <w:rStyle w:val="ssleftalign"/>
        </w:rPr>
        <w:t>“</w:t>
      </w:r>
      <w:r w:rsidRPr="00692036">
        <w:rPr>
          <w:rStyle w:val="ssleftalign"/>
        </w:rPr>
        <w:t xml:space="preserve">generally liberally construed in favor of </w:t>
      </w:r>
      <w:r w:rsidRPr="00692036">
        <w:rPr>
          <w:rStyle w:val="sssh"/>
        </w:rPr>
        <w:t>intervention</w:t>
      </w:r>
      <w:r w:rsidRPr="00692036">
        <w:rPr>
          <w:rStyle w:val="ssleftalign"/>
        </w:rPr>
        <w:t>.</w:t>
      </w:r>
      <w:r w:rsidRPr="00692036" w:rsidR="00F620D7">
        <w:rPr>
          <w:rStyle w:val="ssleftalign"/>
        </w:rPr>
        <w:t>”</w:t>
      </w:r>
      <w:r w:rsidRPr="00692036">
        <w:rPr>
          <w:rStyle w:val="ssleftalign"/>
        </w:rPr>
        <w:t xml:space="preserve"> </w:t>
      </w:r>
      <w:hyperlink r:id="rId9" w:history="1">
        <w:r w:rsidRPr="00692036">
          <w:rPr>
            <w:rStyle w:val="Hyperlink"/>
            <w:i/>
            <w:color w:val="auto"/>
            <w:u w:val="none"/>
          </w:rPr>
          <w:t>Ohio Consumers</w:t>
        </w:r>
        <w:r w:rsidRPr="00692036" w:rsidR="00F620D7">
          <w:rPr>
            <w:rStyle w:val="Hyperlink"/>
            <w:i/>
            <w:color w:val="auto"/>
            <w:u w:val="none"/>
          </w:rPr>
          <w:t>’</w:t>
        </w:r>
        <w:r w:rsidRPr="00692036">
          <w:rPr>
            <w:rStyle w:val="Hyperlink"/>
            <w:i/>
            <w:color w:val="auto"/>
            <w:u w:val="none"/>
          </w:rPr>
          <w:t xml:space="preserve"> Counsel v. Pub. Util. Comm.</w:t>
        </w:r>
        <w:r w:rsidRPr="00692036">
          <w:rPr>
            <w:rStyle w:val="Hyperlink"/>
            <w:color w:val="auto"/>
            <w:u w:val="none"/>
          </w:rPr>
          <w:t>, 111 Ohio St.3d 384, 2006-O</w:t>
        </w:r>
      </w:hyperlink>
      <w:r w:rsidRPr="00692036">
        <w:rPr>
          <w:rStyle w:val="ssleftalign"/>
        </w:rPr>
        <w:t xml:space="preserve">hio-5853, </w:t>
      </w:r>
      <w:hyperlink r:id="rId9" w:history="1">
        <w:r w:rsidRPr="00692036">
          <w:rPr>
            <w:rStyle w:val="Hyperlink"/>
            <w:color w:val="auto"/>
            <w:u w:val="none"/>
          </w:rPr>
          <w:t xml:space="preserve">856 N.E.2d 940, </w:t>
        </w:r>
        <w:r w:rsidRPr="00692036" w:rsidR="0047251D">
          <w:rPr>
            <w:rStyle w:val="Hyperlink"/>
            <w:color w:val="auto"/>
            <w:u w:val="none"/>
          </w:rPr>
          <w:t xml:space="preserve">¶ </w:t>
        </w:r>
        <w:r w:rsidRPr="00692036">
          <w:rPr>
            <w:rStyle w:val="Hyperlink"/>
            <w:color w:val="auto"/>
            <w:u w:val="none"/>
          </w:rPr>
          <w:t>16</w:t>
        </w:r>
      </w:hyperlink>
      <w:r w:rsidRPr="00692036">
        <w:rPr>
          <w:rStyle w:val="ssleftalign"/>
        </w:rPr>
        <w:t xml:space="preserve"> (</w:t>
      </w:r>
      <w:r w:rsidRPr="00692036">
        <w:rPr>
          <w:rStyle w:val="ssit"/>
        </w:rPr>
        <w:t xml:space="preserve">quoting </w:t>
      </w:r>
      <w:hyperlink r:id="rId9" w:history="1">
        <w:r w:rsidRPr="00692036">
          <w:rPr>
            <w:rStyle w:val="Hyperlink"/>
            <w:i/>
            <w:color w:val="auto"/>
            <w:u w:val="none"/>
          </w:rPr>
          <w:t>State ex rel. Polo v. Cuyahoga Cty. Bd. Of Elections</w:t>
        </w:r>
        <w:r w:rsidRPr="00692036">
          <w:rPr>
            <w:rStyle w:val="Hyperlink"/>
            <w:color w:val="auto"/>
            <w:u w:val="none"/>
          </w:rPr>
          <w:t>, 74 Ohio St.3d 143, 144, 656 N.E.2d 1277 (1995)).</w:t>
        </w:r>
      </w:hyperlink>
    </w:p>
    <w:p w:rsidR="004D14D4" w:rsidRPr="00692036" w:rsidP="00580E1B" w14:paraId="2DBA25FD" w14:textId="7B9FD5DB">
      <w:pPr>
        <w:pStyle w:val="Footer"/>
        <w:tabs>
          <w:tab w:val="left" w:pos="4320"/>
          <w:tab w:val="clear" w:pos="8640"/>
        </w:tabs>
        <w:rPr>
          <w:rStyle w:val="ssleftalign"/>
        </w:rPr>
      </w:pPr>
      <w:r w:rsidRPr="00692036">
        <w:rPr>
          <w:rStyle w:val="ssleftalign"/>
        </w:rPr>
        <w:tab/>
        <w:t xml:space="preserve">For these reasons, there is good cause to </w:t>
      </w:r>
      <w:r w:rsidRPr="00692036" w:rsidR="00E372F2">
        <w:rPr>
          <w:rStyle w:val="ssleftalign"/>
        </w:rPr>
        <w:t xml:space="preserve">for the PUCO to </w:t>
      </w:r>
      <w:r w:rsidRPr="00692036" w:rsidR="009F553E">
        <w:rPr>
          <w:rStyle w:val="ssleftalign"/>
        </w:rPr>
        <w:t xml:space="preserve">grant </w:t>
      </w:r>
      <w:r w:rsidRPr="00692036">
        <w:rPr>
          <w:rStyle w:val="ssleftalign"/>
        </w:rPr>
        <w:t>OCC’s motion to intervene out of time.</w:t>
      </w:r>
    </w:p>
    <w:p w:rsidR="004D14D4" w:rsidRPr="00692036" w:rsidP="00933D87" w14:paraId="175A3861" w14:textId="7D58C3E5">
      <w:pPr>
        <w:pStyle w:val="Heading2"/>
      </w:pPr>
      <w:r>
        <w:t>B.</w:t>
      </w:r>
      <w:r>
        <w:tab/>
      </w:r>
      <w:r w:rsidRPr="00692036" w:rsidR="00FC1A7D">
        <w:t xml:space="preserve">OCC satisfies </w:t>
      </w:r>
      <w:r w:rsidRPr="00692036" w:rsidR="008D33C8">
        <w:t>the standards for intervention set forth in Ohio law.</w:t>
      </w:r>
      <w:r w:rsidR="00692036">
        <w:t xml:space="preserve"> </w:t>
      </w:r>
    </w:p>
    <w:p w:rsidR="004D14D4" w:rsidRPr="00692036" w:rsidP="004D14D4" w14:paraId="7B31A4D2" w14:textId="77777777">
      <w:pPr>
        <w:pStyle w:val="BodyTextIndent3"/>
        <w:widowControl w:val="0"/>
        <w:spacing w:line="480" w:lineRule="auto"/>
        <w:ind w:right="-24"/>
        <w:rPr>
          <w:szCs w:val="24"/>
        </w:rPr>
      </w:pPr>
      <w:r w:rsidRPr="00692036">
        <w:rPr>
          <w:szCs w:val="24"/>
        </w:rPr>
        <w:t xml:space="preserve">R.C. 4903.221 provides, in part, that any person “who may be adversely affected” by a PUCO proceeding is entitled to seek intervention in that proceeding. The interests of Ohio’s residential customers may be “adversely affected” by this case, especially if the customers were unrepresented in a proceeding that proposes an unreasonable and unsupported increase in charges through AEP’s BTCR. Thus, this element of the intervention standard in R.C. 4903.221 is satisfied. </w:t>
      </w:r>
    </w:p>
    <w:p w:rsidR="004D14D4" w:rsidRPr="00692036" w:rsidP="004D14D4" w14:paraId="3A8D0659" w14:textId="77777777">
      <w:pPr>
        <w:spacing w:line="480" w:lineRule="auto"/>
        <w:ind w:firstLine="720"/>
      </w:pPr>
      <w:r w:rsidRPr="00692036">
        <w:t>R.C. 4903.221(B) requires the PUCO to consider the following criteria in ruling on motions to intervene:</w:t>
      </w:r>
    </w:p>
    <w:p w:rsidR="004D14D4" w:rsidRPr="00692036" w:rsidP="004D14D4" w14:paraId="4F395A20" w14:textId="77777777">
      <w:pPr>
        <w:ind w:left="1440" w:hanging="720"/>
      </w:pPr>
      <w:r w:rsidRPr="00692036">
        <w:t>(1)</w:t>
      </w:r>
      <w:r w:rsidRPr="00692036">
        <w:tab/>
        <w:t>The nature and extent of the prospective intervenor’s interest;</w:t>
      </w:r>
    </w:p>
    <w:p w:rsidR="004D14D4" w:rsidRPr="00692036" w:rsidP="004D14D4" w14:paraId="664356A3" w14:textId="77777777">
      <w:pPr>
        <w:spacing w:before="240"/>
        <w:ind w:left="1440" w:hanging="720"/>
      </w:pPr>
      <w:r w:rsidRPr="00692036">
        <w:t>(2)</w:t>
      </w:r>
      <w:r w:rsidRPr="00692036">
        <w:tab/>
        <w:t>The legal position advanced by the prospective intervenor and its probable relation to the merits of the case;</w:t>
      </w:r>
    </w:p>
    <w:p w:rsidR="00F620D7" w:rsidRPr="00692036" w:rsidP="00F620D7" w14:paraId="2A4407A3" w14:textId="0DDF4573">
      <w:pPr>
        <w:spacing w:before="240"/>
        <w:ind w:left="1440" w:hanging="720"/>
      </w:pPr>
      <w:r w:rsidRPr="00692036">
        <w:t>(3)</w:t>
      </w:r>
      <w:r w:rsidRPr="00692036">
        <w:tab/>
        <w:t>Whether the intervention by the prospective intervenor will unduly prolong or delay the proceeding; and</w:t>
      </w:r>
    </w:p>
    <w:p w:rsidR="004D14D4" w:rsidRPr="00692036" w:rsidP="00F620D7" w14:paraId="30098783" w14:textId="77777777">
      <w:pPr>
        <w:pStyle w:val="BodyTextIndent2"/>
        <w:spacing w:before="240"/>
        <w:ind w:left="1440"/>
        <w:rPr>
          <w:b w:val="0"/>
          <w:bCs w:val="0"/>
        </w:rPr>
      </w:pPr>
      <w:r w:rsidRPr="00692036">
        <w:rPr>
          <w:b w:val="0"/>
          <w:bCs w:val="0"/>
        </w:rPr>
        <w:t>(4)</w:t>
      </w:r>
      <w:r w:rsidRPr="00692036">
        <w:rPr>
          <w:b w:val="0"/>
          <w:bCs w:val="0"/>
        </w:rPr>
        <w:tab/>
        <w:t>Whether the prospective intervenor will significantly contribute to the full development and equitable resolution of the factual issues.</w:t>
      </w:r>
    </w:p>
    <w:p w:rsidR="004D14D4" w:rsidRPr="00692036" w:rsidP="004D14D4" w14:paraId="78A076B1" w14:textId="77777777">
      <w:pPr>
        <w:pStyle w:val="BodyTextIndent3"/>
        <w:spacing w:line="480" w:lineRule="auto"/>
        <w:rPr>
          <w:szCs w:val="24"/>
        </w:rPr>
      </w:pPr>
      <w:r w:rsidRPr="00692036">
        <w:rPr>
          <w:szCs w:val="24"/>
        </w:rPr>
        <w:t>First, the nature and extent of OCC’s interest is representing the residential customers of AEP in this case involving its proposed increase in charges to consumers under the BTCR. This interest is different than that of any other party and especially different than that of the utility whose advocacy includes the financial interest of stockholders.</w:t>
      </w:r>
    </w:p>
    <w:p w:rsidR="004D14D4" w:rsidRPr="00692036" w:rsidP="004D14D4" w14:paraId="3EF656CB" w14:textId="46D4F9A2">
      <w:pPr>
        <w:pStyle w:val="Footer"/>
        <w:tabs>
          <w:tab w:val="clear" w:pos="4320"/>
          <w:tab w:val="clear" w:pos="8640"/>
        </w:tabs>
        <w:ind w:firstLine="720"/>
      </w:pPr>
      <w:r w:rsidRPr="00692036">
        <w:t xml:space="preserve">Second, OCC’s advocacy for residential customers will include advancing the position that rates should be no more than what is reasonable and lawful under Ohio law, for service that is adequate under Ohio law. OCC’s position is therefore directly related to the merits of this case that is pending before the PUCO, the authority with regulatory control of public utilities’ rates and service quality in Ohio. </w:t>
      </w:r>
    </w:p>
    <w:p w:rsidR="004D14D4" w:rsidRPr="00692036" w:rsidP="004D14D4" w14:paraId="0B6C7235" w14:textId="64CB2725">
      <w:pPr>
        <w:pStyle w:val="BodyTextIndent3"/>
        <w:spacing w:line="480" w:lineRule="auto"/>
        <w:rPr>
          <w:szCs w:val="24"/>
        </w:rPr>
      </w:pPr>
      <w:r w:rsidRPr="00692036">
        <w:rPr>
          <w:szCs w:val="24"/>
        </w:rPr>
        <w:t>Third, OCC’s intervention will not unduly prolong or delay the proceedings.</w:t>
      </w:r>
      <w:r w:rsidR="00692036">
        <w:rPr>
          <w:szCs w:val="24"/>
        </w:rPr>
        <w:t xml:space="preserve"> </w:t>
      </w:r>
      <w:r w:rsidRPr="00692036">
        <w:rPr>
          <w:szCs w:val="24"/>
        </w:rPr>
        <w:t>OCC, with its longstanding expertise and experience in PUCO proceedings, will duly allow for the efficient processing of the case with consideration of the public interest.</w:t>
      </w:r>
    </w:p>
    <w:p w:rsidR="004D14D4" w:rsidRPr="00692036" w:rsidP="00F620D7" w14:paraId="1647A504" w14:textId="1856F129">
      <w:pPr>
        <w:pStyle w:val="Footer"/>
        <w:tabs>
          <w:tab w:val="clear" w:pos="4320"/>
          <w:tab w:val="clear" w:pos="8640"/>
        </w:tabs>
        <w:ind w:firstLine="720"/>
        <w:rPr>
          <w:lang w:eastAsia="ar-SA"/>
        </w:rPr>
      </w:pPr>
      <w:r w:rsidRPr="00692036">
        <w:t xml:space="preserve">Fourth, OCC’s intervention will significantly contribute to the full development and equitable resolution of the factual issues. OCC will obtain and develop information that the PUCO should consider for equitably and lawfully deciding the case in the public interest. </w:t>
      </w:r>
    </w:p>
    <w:p w:rsidR="004D14D4" w:rsidRPr="00692036" w:rsidP="004D14D4" w14:paraId="55924E7D" w14:textId="65361EA3">
      <w:pPr>
        <w:pStyle w:val="WW-BodyTextIndent3"/>
        <w:widowControl w:val="0"/>
        <w:spacing w:line="480" w:lineRule="auto"/>
        <w:ind w:right="-24"/>
        <w:rPr>
          <w:szCs w:val="24"/>
        </w:rPr>
      </w:pPr>
      <w:r w:rsidRPr="00692036">
        <w:rPr>
          <w:szCs w:val="24"/>
        </w:rPr>
        <w:t xml:space="preserve">OCC also satisfies the intervention criteria in the Ohio Administrative Code (which are subordinate to the criteria that OCC satisfies in the Ohio Revised Code). To intervene, a party should have a “real and substantial interest” according to </w:t>
      </w:r>
      <w:r w:rsidRPr="00692036" w:rsidR="00CE38C7">
        <w:rPr>
          <w:szCs w:val="24"/>
        </w:rPr>
        <w:t>O.A.C.</w:t>
      </w:r>
      <w:r w:rsidRPr="00692036">
        <w:rPr>
          <w:szCs w:val="24"/>
        </w:rPr>
        <w:t xml:space="preserve"> 4901-1-11(A)(2). As the advocate for residential utility customers, OCC has a very real and substantial interest in this case where AEP has proposed to increase charges to consumers through the BTCR but has failed to support those charges in the application.</w:t>
      </w:r>
      <w:r w:rsidR="00692036">
        <w:rPr>
          <w:szCs w:val="24"/>
        </w:rPr>
        <w:t xml:space="preserve"> </w:t>
      </w:r>
    </w:p>
    <w:p w:rsidR="004D14D4" w:rsidRPr="00692036" w:rsidP="004D14D4" w14:paraId="68D9E88D" w14:textId="4DF541B0">
      <w:pPr>
        <w:pStyle w:val="BodyTextIndent3"/>
        <w:widowControl w:val="0"/>
        <w:spacing w:line="480" w:lineRule="auto"/>
        <w:ind w:right="-24"/>
        <w:rPr>
          <w:szCs w:val="24"/>
        </w:rPr>
      </w:pPr>
      <w:r w:rsidRPr="00692036">
        <w:rPr>
          <w:szCs w:val="24"/>
        </w:rPr>
        <w:t xml:space="preserve">In addition, OCC meets the criteria of </w:t>
      </w:r>
      <w:r w:rsidRPr="00692036" w:rsidR="00CE38C7">
        <w:rPr>
          <w:szCs w:val="24"/>
        </w:rPr>
        <w:t>O.A.C.</w:t>
      </w:r>
      <w:r w:rsidRPr="00692036">
        <w:rPr>
          <w:szCs w:val="24"/>
        </w:rPr>
        <w:t xml:space="preserve"> 4901-1-11(B)(1)-(4).</w:t>
      </w:r>
      <w:r w:rsidR="00692036">
        <w:rPr>
          <w:szCs w:val="24"/>
        </w:rPr>
        <w:t xml:space="preserve"> </w:t>
      </w:r>
      <w:r w:rsidRPr="00692036">
        <w:rPr>
          <w:szCs w:val="24"/>
        </w:rPr>
        <w:t>These criteria mirror the statutory criteria in R.C. 4903.221(B) that OCC already has addressed and that OCC satisfies.</w:t>
      </w:r>
    </w:p>
    <w:p w:rsidR="004D14D4" w:rsidRPr="00692036" w:rsidP="004D14D4" w14:paraId="0ABB4C95" w14:textId="3D3C7CF5">
      <w:pPr>
        <w:pStyle w:val="BodyTextIndent3"/>
        <w:widowControl w:val="0"/>
        <w:spacing w:line="480" w:lineRule="auto"/>
        <w:ind w:right="-24"/>
        <w:rPr>
          <w:szCs w:val="24"/>
        </w:rPr>
      </w:pPr>
      <w:r w:rsidRPr="00692036">
        <w:rPr>
          <w:szCs w:val="24"/>
        </w:rPr>
        <w:t>O.A.C. 4901-1-11(B)(5) states that the PUCO shall consider “The extent to which the person’s interest is represented by existing parties.” While OCC does not concede the lawfulness of this criterion, OCC satisfies this criterion in that it uniquely has been designated as the state representative of the interests of Ohio’s residential utility customers. That interest is different from, and not represented by, any other entity in Ohio.</w:t>
      </w:r>
    </w:p>
    <w:p w:rsidR="005B209C" w14:paraId="27031569" w14:textId="77777777">
      <w:pPr>
        <w:rPr>
          <w:lang w:eastAsia="ar-SA"/>
        </w:rPr>
      </w:pPr>
      <w:r>
        <w:br w:type="page"/>
      </w:r>
    </w:p>
    <w:p w:rsidR="004D14D4" w:rsidP="004D14D4" w14:paraId="4E759E0F" w14:textId="3C59205B">
      <w:pPr>
        <w:pStyle w:val="WW-BodyTextIndent3"/>
        <w:widowControl w:val="0"/>
        <w:spacing w:line="480" w:lineRule="auto"/>
        <w:ind w:right="-24"/>
        <w:rPr>
          <w:szCs w:val="24"/>
        </w:rPr>
      </w:pPr>
      <w:r w:rsidRPr="00692036">
        <w:rPr>
          <w:szCs w:val="24"/>
        </w:rPr>
        <w:t>Moreover, the Supreme Court of Ohio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11"/>
      </w:r>
      <w:r w:rsidR="00692036">
        <w:rPr>
          <w:szCs w:val="24"/>
        </w:rPr>
        <w:t xml:space="preserve"> </w:t>
      </w:r>
    </w:p>
    <w:p w:rsidR="005B209C" w:rsidRPr="00692036" w:rsidP="005B209C" w14:paraId="423B1A46" w14:textId="77777777">
      <w:pPr>
        <w:pStyle w:val="WW-BodyTextIndent3"/>
        <w:widowControl w:val="0"/>
        <w:spacing w:line="240" w:lineRule="auto"/>
        <w:ind w:right="-24"/>
        <w:rPr>
          <w:szCs w:val="24"/>
        </w:rPr>
      </w:pPr>
    </w:p>
    <w:p w:rsidR="008D33C8" w:rsidRPr="00692036" w:rsidP="005B209C" w14:paraId="1963FDEE" w14:textId="2C623444">
      <w:pPr>
        <w:pStyle w:val="Heading1"/>
      </w:pPr>
      <w:r>
        <w:t>III.</w:t>
      </w:r>
      <w:r>
        <w:tab/>
      </w:r>
      <w:r w:rsidRPr="00692036">
        <w:t>CONCLUSION</w:t>
      </w:r>
    </w:p>
    <w:p w:rsidR="00580E1B" w:rsidRPr="00692036" w:rsidP="004D14D4" w14:paraId="5240D49A" w14:textId="2F9E2178">
      <w:pPr>
        <w:pStyle w:val="Footer"/>
        <w:tabs>
          <w:tab w:val="left" w:pos="4320"/>
          <w:tab w:val="clear" w:pos="8640"/>
        </w:tabs>
        <w:rPr>
          <w:rStyle w:val="ssleftalign"/>
        </w:rPr>
      </w:pPr>
      <w:r w:rsidRPr="00692036">
        <w:tab/>
        <w:t xml:space="preserve">For the reasons explained above, there is good cause for </w:t>
      </w:r>
      <w:r w:rsidRPr="00692036" w:rsidR="00E372F2">
        <w:t xml:space="preserve">the PUCO to grant </w:t>
      </w:r>
      <w:r w:rsidRPr="00692036">
        <w:t xml:space="preserve">OCC’s motion to intervene out of time. In addition, </w:t>
      </w:r>
      <w:r w:rsidRPr="00692036" w:rsidR="004D14D4">
        <w:t xml:space="preserve">OCC meets the criteria set forth in R.C. 4903.221, </w:t>
      </w:r>
      <w:r w:rsidRPr="00692036" w:rsidR="00CE38C7">
        <w:t xml:space="preserve">O.A.C. </w:t>
      </w:r>
      <w:r w:rsidRPr="00692036" w:rsidR="004D14D4">
        <w:t>4901-1-11, and the precedent established by the Supreme Court of Ohio for intervention.</w:t>
      </w:r>
      <w:r w:rsidR="00692036">
        <w:t xml:space="preserve"> </w:t>
      </w:r>
      <w:r w:rsidRPr="00692036" w:rsidR="004D14D4">
        <w:t xml:space="preserve">On behalf of Ohio residential customers, the PUCO should grant OCC’s </w:t>
      </w:r>
      <w:r w:rsidRPr="00692036">
        <w:t>motion to intervene out of time</w:t>
      </w:r>
      <w:r w:rsidRPr="00692036" w:rsidR="004D14D4">
        <w:t>.</w:t>
      </w:r>
      <w:r w:rsidRPr="00692036">
        <w:rPr>
          <w:rStyle w:val="ssleftalign"/>
        </w:rPr>
        <w:tab/>
      </w:r>
      <w:r w:rsidRPr="00692036">
        <w:rPr>
          <w:rStyle w:val="ssleftalign"/>
        </w:rPr>
        <w:tab/>
      </w:r>
    </w:p>
    <w:p w:rsidR="00BB4C86" w:rsidRPr="00692036" w:rsidP="00BB4C86" w14:paraId="2B68D393" w14:textId="3D25598C">
      <w:pPr>
        <w:pStyle w:val="BodyTextIndent3"/>
        <w:widowControl w:val="0"/>
        <w:ind w:left="3600" w:right="-672"/>
        <w:rPr>
          <w:szCs w:val="24"/>
        </w:rPr>
      </w:pPr>
      <w:r w:rsidRPr="00692036">
        <w:rPr>
          <w:szCs w:val="24"/>
        </w:rPr>
        <w:t>Respectfully submitted,</w:t>
      </w:r>
    </w:p>
    <w:p w:rsidR="00BB4C86" w:rsidRPr="00692036" w:rsidP="00BB4C86" w14:paraId="6F896699" w14:textId="77777777">
      <w:r w:rsidRPr="00692036">
        <w:tab/>
      </w:r>
    </w:p>
    <w:p w:rsidR="00BB4C86" w:rsidRPr="00692036" w:rsidP="00BB4C86" w14:paraId="0531DE44" w14:textId="77777777">
      <w:pPr>
        <w:ind w:left="4320"/>
      </w:pPr>
      <w:r w:rsidRPr="00692036">
        <w:t>Bruce Weston (0016973)</w:t>
      </w:r>
    </w:p>
    <w:p w:rsidR="00BB4C86" w:rsidRPr="00692036" w:rsidP="00BB4C86" w14:paraId="652892B8" w14:textId="77777777">
      <w:pPr>
        <w:tabs>
          <w:tab w:val="left" w:pos="4320"/>
        </w:tabs>
        <w:ind w:left="4320" w:hanging="450"/>
      </w:pPr>
      <w:r w:rsidRPr="00692036">
        <w:tab/>
        <w:t>Ohio Consumers’ Counsel</w:t>
      </w:r>
    </w:p>
    <w:p w:rsidR="00BB4C86" w:rsidRPr="00692036" w:rsidP="00BB4C86" w14:paraId="609189A3" w14:textId="77777777">
      <w:pPr>
        <w:tabs>
          <w:tab w:val="left" w:pos="4320"/>
        </w:tabs>
        <w:ind w:left="4320"/>
      </w:pPr>
    </w:p>
    <w:p w:rsidR="00BB4C86" w:rsidRPr="00692036" w:rsidP="00BB4C86" w14:paraId="4A5A2887" w14:textId="77777777">
      <w:pPr>
        <w:tabs>
          <w:tab w:val="left" w:pos="4320"/>
        </w:tabs>
        <w:ind w:left="4320"/>
        <w:rPr>
          <w:i/>
          <w:iCs/>
          <w:u w:val="single"/>
        </w:rPr>
      </w:pPr>
      <w:r w:rsidRPr="00692036">
        <w:rPr>
          <w:i/>
          <w:iCs/>
          <w:u w:val="single"/>
        </w:rPr>
        <w:t>/s/ Angela D. O’Brien</w:t>
      </w:r>
      <w:r w:rsidRPr="00692036">
        <w:rPr>
          <w:i/>
          <w:iCs/>
          <w:u w:val="single"/>
        </w:rPr>
        <w:tab/>
      </w:r>
      <w:r w:rsidRPr="00692036">
        <w:rPr>
          <w:i/>
          <w:iCs/>
          <w:u w:val="single"/>
        </w:rPr>
        <w:tab/>
      </w:r>
    </w:p>
    <w:p w:rsidR="00BB4C86" w:rsidRPr="00692036" w:rsidP="00BB4C86" w14:paraId="7FD1959C" w14:textId="77777777">
      <w:pPr>
        <w:tabs>
          <w:tab w:val="left" w:pos="4320"/>
        </w:tabs>
        <w:ind w:left="4320"/>
      </w:pPr>
      <w:r w:rsidRPr="00692036">
        <w:t>Angela D. O’Brien (0097579)</w:t>
      </w:r>
    </w:p>
    <w:p w:rsidR="00BB4C86" w:rsidRPr="00692036" w:rsidP="00BB4C86" w14:paraId="26658852" w14:textId="77777777">
      <w:pPr>
        <w:tabs>
          <w:tab w:val="left" w:pos="4320"/>
        </w:tabs>
        <w:ind w:left="4320"/>
      </w:pPr>
      <w:r w:rsidRPr="00692036">
        <w:t>Counsel of Record</w:t>
      </w:r>
    </w:p>
    <w:p w:rsidR="00BB4C86" w:rsidRPr="00692036" w:rsidP="00BB4C86" w14:paraId="202B7501" w14:textId="77777777">
      <w:pPr>
        <w:tabs>
          <w:tab w:val="left" w:pos="3870"/>
          <w:tab w:val="left" w:pos="4320"/>
        </w:tabs>
        <w:ind w:left="4320"/>
      </w:pPr>
      <w:r w:rsidRPr="00692036">
        <w:t>John Finnigan (0018689)</w:t>
      </w:r>
    </w:p>
    <w:p w:rsidR="00BB4C86" w:rsidRPr="00692036" w:rsidP="00BB4C86" w14:paraId="3E345838" w14:textId="77777777">
      <w:pPr>
        <w:tabs>
          <w:tab w:val="left" w:pos="3870"/>
          <w:tab w:val="left" w:pos="4320"/>
        </w:tabs>
        <w:ind w:left="4320"/>
      </w:pPr>
      <w:r w:rsidRPr="00692036">
        <w:t>Assistant Consumers’ Counsel</w:t>
      </w:r>
    </w:p>
    <w:p w:rsidR="00BB4C86" w:rsidRPr="00692036" w:rsidP="00BB4C86" w14:paraId="7929204D" w14:textId="77777777">
      <w:pPr>
        <w:tabs>
          <w:tab w:val="left" w:pos="3870"/>
          <w:tab w:val="left" w:pos="4320"/>
        </w:tabs>
        <w:ind w:left="4320"/>
      </w:pPr>
    </w:p>
    <w:p w:rsidR="00BB4C86" w:rsidRPr="00692036" w:rsidP="00BB4C86" w14:paraId="39C92083" w14:textId="77777777">
      <w:pPr>
        <w:ind w:left="4320"/>
        <w:rPr>
          <w:b/>
          <w:bCs/>
        </w:rPr>
      </w:pPr>
      <w:r w:rsidRPr="00692036">
        <w:rPr>
          <w:b/>
          <w:bCs/>
        </w:rPr>
        <w:t>Office of the Ohio Consumers' Counsel</w:t>
      </w:r>
    </w:p>
    <w:p w:rsidR="00BB4C86" w:rsidRPr="00692036" w:rsidP="00BB4C86" w14:paraId="73F102D9" w14:textId="77777777">
      <w:pPr>
        <w:ind w:left="4320"/>
      </w:pPr>
      <w:r w:rsidRPr="00692036">
        <w:t>65 East State Street, Suite 700</w:t>
      </w:r>
    </w:p>
    <w:p w:rsidR="00BB4C86" w:rsidRPr="00692036" w:rsidP="00BB4C86" w14:paraId="0007470E" w14:textId="77777777">
      <w:pPr>
        <w:ind w:left="4320"/>
      </w:pPr>
      <w:r w:rsidRPr="00692036">
        <w:t>Columbus, Ohio 43215</w:t>
      </w:r>
    </w:p>
    <w:p w:rsidR="00BB4C86" w:rsidRPr="00692036" w:rsidP="00BB4C86" w14:paraId="323DA041" w14:textId="77777777">
      <w:pPr>
        <w:autoSpaceDE w:val="0"/>
        <w:autoSpaceDN w:val="0"/>
        <w:adjustRightInd w:val="0"/>
        <w:ind w:left="4320"/>
      </w:pPr>
      <w:r w:rsidRPr="00692036">
        <w:t>Telephone: [O’Brien]: (614) 466-9531</w:t>
      </w:r>
    </w:p>
    <w:p w:rsidR="00BB4C86" w:rsidRPr="00692036" w:rsidP="00BB4C86" w14:paraId="0139B1FD" w14:textId="77777777">
      <w:pPr>
        <w:pStyle w:val="ListParagraph"/>
        <w:autoSpaceDE w:val="0"/>
        <w:autoSpaceDN w:val="0"/>
        <w:adjustRightInd w:val="0"/>
        <w:ind w:left="3600" w:firstLine="720"/>
        <w:rPr>
          <w:szCs w:val="24"/>
        </w:rPr>
      </w:pPr>
      <w:r w:rsidRPr="00692036">
        <w:rPr>
          <w:szCs w:val="24"/>
        </w:rPr>
        <w:t>Telephone [Finnigan]: (614) 466-9585</w:t>
      </w:r>
    </w:p>
    <w:p w:rsidR="00BB4C86" w:rsidRPr="00692036" w:rsidP="00BB4C86" w14:paraId="1D6DE5E5" w14:textId="77777777">
      <w:pPr>
        <w:ind w:left="4320"/>
      </w:pPr>
      <w:hyperlink r:id="rId6" w:history="1">
        <w:r w:rsidRPr="00692036" w:rsidR="00A0729B">
          <w:rPr>
            <w:rStyle w:val="Hyperlink"/>
          </w:rPr>
          <w:t>angela.obrien@occ.ohio.gov</w:t>
        </w:r>
      </w:hyperlink>
    </w:p>
    <w:p w:rsidR="00BB4C86" w:rsidRPr="00692036" w:rsidP="00BB4C86" w14:paraId="1C193166" w14:textId="77777777">
      <w:pPr>
        <w:pStyle w:val="ListParagraph"/>
        <w:autoSpaceDE w:val="0"/>
        <w:autoSpaceDN w:val="0"/>
        <w:adjustRightInd w:val="0"/>
        <w:ind w:left="3600" w:firstLine="720"/>
        <w:rPr>
          <w:rStyle w:val="Hyperlink"/>
          <w:szCs w:val="24"/>
        </w:rPr>
      </w:pPr>
      <w:hyperlink r:id="rId7" w:history="1">
        <w:r w:rsidRPr="00692036" w:rsidR="00A0729B">
          <w:rPr>
            <w:rStyle w:val="Hyperlink"/>
            <w:szCs w:val="24"/>
          </w:rPr>
          <w:t>john.finnigan@occ.ohio.gov</w:t>
        </w:r>
      </w:hyperlink>
    </w:p>
    <w:p w:rsidR="00BB4C86" w:rsidRPr="00692036" w:rsidP="00BB4C86" w14:paraId="0D88E5AB" w14:textId="77777777">
      <w:pPr>
        <w:ind w:left="4320" w:hanging="4320"/>
      </w:pPr>
      <w:r w:rsidRPr="00692036">
        <w:tab/>
        <w:t>(willing to accept service by e-mail)</w:t>
      </w:r>
    </w:p>
    <w:p w:rsidR="00983F12" w:rsidRPr="00692036" w14:paraId="45BFE1A7" w14:textId="77777777">
      <w:pPr>
        <w:rPr>
          <w:b/>
          <w:u w:val="single"/>
        </w:rPr>
      </w:pPr>
      <w:r w:rsidRPr="00692036">
        <w:rPr>
          <w:b/>
          <w:u w:val="single"/>
        </w:rPr>
        <w:br w:type="page"/>
      </w:r>
    </w:p>
    <w:p w:rsidR="00A5637F" w:rsidRPr="00692036" w14:paraId="610DF17B" w14:textId="7C6B91A8">
      <w:pPr>
        <w:pStyle w:val="ANSWER"/>
        <w:ind w:left="720"/>
        <w:jc w:val="center"/>
        <w:rPr>
          <w:b/>
          <w:szCs w:val="24"/>
          <w:u w:val="single"/>
        </w:rPr>
      </w:pPr>
      <w:r w:rsidRPr="00692036">
        <w:rPr>
          <w:b/>
          <w:szCs w:val="24"/>
          <w:u w:val="single"/>
        </w:rPr>
        <w:t>CERTIFICATE OF SERVICE</w:t>
      </w:r>
    </w:p>
    <w:p w:rsidR="00A5637F" w:rsidRPr="00692036" w14:paraId="6EF5F2E4" w14:textId="37421B7F">
      <w:pPr>
        <w:spacing w:line="480" w:lineRule="auto"/>
      </w:pPr>
      <w:r w:rsidRPr="00692036">
        <w:tab/>
        <w:t xml:space="preserve">I hereby certify that a copy of the foregoing </w:t>
      </w:r>
      <w:r w:rsidRPr="00A0729B">
        <w:t xml:space="preserve">Motion to Intervene out of Time </w:t>
      </w:r>
      <w:r w:rsidRPr="00692036">
        <w:t xml:space="preserve">has been served electronically upon those persons listed below this </w:t>
      </w:r>
      <w:r w:rsidRPr="00692036" w:rsidR="0047251D">
        <w:t>22</w:t>
      </w:r>
      <w:r w:rsidRPr="00692036" w:rsidR="0047251D">
        <w:rPr>
          <w:vertAlign w:val="superscript"/>
        </w:rPr>
        <w:t>nd</w:t>
      </w:r>
      <w:r w:rsidRPr="00692036">
        <w:t xml:space="preserve"> day of March 20</w:t>
      </w:r>
      <w:r w:rsidRPr="00692036" w:rsidR="002C7D60">
        <w:t>22</w:t>
      </w:r>
      <w:r w:rsidRPr="00692036">
        <w:t>.</w:t>
      </w:r>
    </w:p>
    <w:p w:rsidR="002C7D60" w:rsidRPr="00692036" w:rsidP="002C7D60" w14:paraId="6C7414A7" w14:textId="05C09869">
      <w:pPr>
        <w:tabs>
          <w:tab w:val="left" w:pos="4320"/>
        </w:tabs>
        <w:rPr>
          <w:i/>
          <w:iCs/>
          <w:u w:val="single"/>
        </w:rPr>
      </w:pPr>
      <w:r w:rsidRPr="00692036">
        <w:tab/>
      </w:r>
      <w:r w:rsidRPr="00692036">
        <w:rPr>
          <w:i/>
          <w:iCs/>
          <w:u w:val="single"/>
        </w:rPr>
        <w:t>/s/ A</w:t>
      </w:r>
      <w:r w:rsidRPr="00692036" w:rsidR="003D23A5">
        <w:rPr>
          <w:i/>
          <w:iCs/>
          <w:u w:val="single"/>
        </w:rPr>
        <w:t xml:space="preserve">ngela </w:t>
      </w:r>
      <w:r w:rsidRPr="00692036" w:rsidR="00983F12">
        <w:rPr>
          <w:i/>
          <w:iCs/>
          <w:u w:val="single"/>
        </w:rPr>
        <w:t xml:space="preserve">D. </w:t>
      </w:r>
      <w:r w:rsidRPr="00692036" w:rsidR="003D23A5">
        <w:rPr>
          <w:i/>
          <w:iCs/>
          <w:u w:val="single"/>
        </w:rPr>
        <w:t>O’Brien</w:t>
      </w:r>
      <w:r w:rsidRPr="00692036" w:rsidR="00BB4C86">
        <w:rPr>
          <w:i/>
          <w:iCs/>
          <w:u w:val="single"/>
        </w:rPr>
        <w:tab/>
      </w:r>
      <w:r w:rsidRPr="00692036" w:rsidR="00BB4C86">
        <w:rPr>
          <w:i/>
          <w:iCs/>
          <w:u w:val="single"/>
        </w:rPr>
        <w:tab/>
      </w:r>
    </w:p>
    <w:p w:rsidR="002C7D60" w:rsidRPr="00692036" w:rsidP="002C7D60" w14:paraId="3C494660" w14:textId="363B5E53">
      <w:pPr>
        <w:tabs>
          <w:tab w:val="left" w:pos="4320"/>
        </w:tabs>
      </w:pPr>
      <w:r w:rsidRPr="00692036">
        <w:tab/>
        <w:t>A</w:t>
      </w:r>
      <w:r w:rsidRPr="00692036" w:rsidR="003D23A5">
        <w:t>ngela</w:t>
      </w:r>
      <w:r w:rsidRPr="00692036">
        <w:t xml:space="preserve"> </w:t>
      </w:r>
      <w:r w:rsidRPr="00692036" w:rsidR="00983F12">
        <w:t xml:space="preserve">D. </w:t>
      </w:r>
      <w:r w:rsidRPr="00692036">
        <w:t>O’Brien</w:t>
      </w:r>
    </w:p>
    <w:p w:rsidR="002C7D60" w:rsidRPr="00692036" w:rsidP="002C7D60" w14:paraId="621DA684" w14:textId="77777777">
      <w:pPr>
        <w:tabs>
          <w:tab w:val="left" w:pos="4320"/>
        </w:tabs>
      </w:pPr>
      <w:r w:rsidRPr="00692036">
        <w:tab/>
        <w:t>Assistant Consumers’ Counsel</w:t>
      </w:r>
    </w:p>
    <w:p w:rsidR="002C7D60" w:rsidRPr="00692036" w:rsidP="002C7D60" w14:paraId="268A0765" w14:textId="77777777">
      <w:pPr>
        <w:tabs>
          <w:tab w:val="left" w:pos="4320"/>
        </w:tabs>
      </w:pPr>
    </w:p>
    <w:p w:rsidR="002C7D60" w:rsidRPr="00692036" w:rsidP="002C7D60" w14:paraId="184A87AF" w14:textId="77777777">
      <w:pPr>
        <w:pStyle w:val="CommentText"/>
      </w:pPr>
      <w:r w:rsidRPr="00692036">
        <w:t>The PUCO’s e-filing system will electronically serve notice of the filing of this document on the following parties:</w:t>
      </w:r>
    </w:p>
    <w:p w:rsidR="002C7D60" w:rsidRPr="00692036" w:rsidP="002C7D60" w14:paraId="7E43FDD1" w14:textId="77777777">
      <w:pPr>
        <w:tabs>
          <w:tab w:val="left" w:pos="4320"/>
        </w:tabs>
      </w:pPr>
    </w:p>
    <w:p w:rsidR="002C7D60" w:rsidRPr="00692036" w:rsidP="002C7D60" w14:paraId="116D3271" w14:textId="77777777">
      <w:pPr>
        <w:pStyle w:val="CommentText"/>
        <w:jc w:val="center"/>
        <w:rPr>
          <w:b/>
          <w:u w:val="single"/>
        </w:rPr>
      </w:pPr>
      <w:r w:rsidRPr="00692036">
        <w:rPr>
          <w:b/>
          <w:u w:val="single"/>
        </w:rPr>
        <w:t>SERVICE LIST</w:t>
      </w:r>
    </w:p>
    <w:tbl>
      <w:tblPr>
        <w:tblW w:w="0" w:type="auto"/>
        <w:tblLook w:val="04A0"/>
      </w:tblPr>
      <w:tblGrid>
        <w:gridCol w:w="4320"/>
        <w:gridCol w:w="4320"/>
      </w:tblGrid>
      <w:tr w14:paraId="5C56951D" w14:textId="77777777" w:rsidTr="00136CD8">
        <w:tblPrEx>
          <w:tblW w:w="0" w:type="auto"/>
          <w:tblLook w:val="04A0"/>
        </w:tblPrEx>
        <w:tc>
          <w:tcPr>
            <w:tcW w:w="4320" w:type="dxa"/>
            <w:shd w:val="clear" w:color="auto" w:fill="auto"/>
          </w:tcPr>
          <w:p w:rsidR="002C7D60" w:rsidRPr="00692036" w:rsidP="003F6E1A" w14:paraId="73F93B56" w14:textId="77777777">
            <w:pPr>
              <w:rPr>
                <w:bCs/>
              </w:rPr>
            </w:pPr>
          </w:p>
        </w:tc>
        <w:tc>
          <w:tcPr>
            <w:tcW w:w="4320" w:type="dxa"/>
            <w:shd w:val="clear" w:color="auto" w:fill="auto"/>
          </w:tcPr>
          <w:p w:rsidR="002C7D60" w:rsidRPr="00692036" w:rsidP="003F6E1A" w14:paraId="3B663D9D" w14:textId="77777777">
            <w:pPr>
              <w:rPr>
                <w:bCs/>
              </w:rPr>
            </w:pPr>
          </w:p>
        </w:tc>
      </w:tr>
      <w:tr w14:paraId="41F1D255" w14:textId="77777777" w:rsidTr="00136CD8">
        <w:tblPrEx>
          <w:tblW w:w="0" w:type="auto"/>
          <w:tblLook w:val="04A0"/>
        </w:tblPrEx>
        <w:tc>
          <w:tcPr>
            <w:tcW w:w="4320" w:type="dxa"/>
            <w:shd w:val="clear" w:color="auto" w:fill="auto"/>
          </w:tcPr>
          <w:p w:rsidR="00136CD8" w:rsidRPr="00692036" w:rsidP="00136CD8" w14:paraId="3737CA8F" w14:textId="77777777">
            <w:pPr>
              <w:rPr>
                <w:bCs/>
              </w:rPr>
            </w:pPr>
            <w:hyperlink r:id="rId10" w:history="1">
              <w:r w:rsidRPr="00692036" w:rsidR="00A0729B">
                <w:rPr>
                  <w:rStyle w:val="Hyperlink"/>
                  <w:bCs/>
                </w:rPr>
                <w:t>john.jones@ohioAGO.gov</w:t>
              </w:r>
            </w:hyperlink>
          </w:p>
          <w:p w:rsidR="00136CD8" w:rsidRPr="00692036" w:rsidP="00136CD8" w14:paraId="7262A2BE" w14:textId="77777777">
            <w:pPr>
              <w:rPr>
                <w:bCs/>
              </w:rPr>
            </w:pPr>
            <w:hyperlink r:id="rId11" w:history="1">
              <w:r w:rsidRPr="00692036" w:rsidR="00A0729B">
                <w:rPr>
                  <w:rStyle w:val="Hyperlink"/>
                  <w:bCs/>
                </w:rPr>
                <w:t>mkurtz@BKLlawfirm.com</w:t>
              </w:r>
            </w:hyperlink>
          </w:p>
          <w:p w:rsidR="00136CD8" w:rsidRPr="00692036" w:rsidP="00136CD8" w14:paraId="4D0A4836" w14:textId="77777777">
            <w:pPr>
              <w:rPr>
                <w:bCs/>
              </w:rPr>
            </w:pPr>
            <w:hyperlink r:id="rId12" w:history="1">
              <w:r w:rsidRPr="00692036" w:rsidR="00A0729B">
                <w:rPr>
                  <w:rStyle w:val="Hyperlink"/>
                  <w:bCs/>
                </w:rPr>
                <w:t>kboehm@BKLlawfirm.com</w:t>
              </w:r>
            </w:hyperlink>
          </w:p>
          <w:p w:rsidR="00136CD8" w:rsidRPr="00692036" w:rsidP="00136CD8" w14:paraId="1E811CC1" w14:textId="77777777">
            <w:pPr>
              <w:rPr>
                <w:bCs/>
              </w:rPr>
            </w:pPr>
            <w:hyperlink r:id="rId13" w:history="1">
              <w:r w:rsidRPr="00692036" w:rsidR="00A0729B">
                <w:rPr>
                  <w:rStyle w:val="Hyperlink"/>
                  <w:bCs/>
                </w:rPr>
                <w:t>jkylercohn@BKLlawfirm.com</w:t>
              </w:r>
            </w:hyperlink>
          </w:p>
          <w:p w:rsidR="00136CD8" w:rsidRPr="00692036" w:rsidP="00136CD8" w14:paraId="5A38E97C" w14:textId="77777777">
            <w:pPr>
              <w:rPr>
                <w:bCs/>
              </w:rPr>
            </w:pPr>
            <w:hyperlink r:id="rId14" w:history="1">
              <w:r w:rsidRPr="00692036" w:rsidR="00A0729B">
                <w:rPr>
                  <w:rStyle w:val="Hyperlink"/>
                  <w:bCs/>
                </w:rPr>
                <w:t>mpritchard@mcneeslaw.com</w:t>
              </w:r>
            </w:hyperlink>
          </w:p>
          <w:p w:rsidR="00136CD8" w:rsidRPr="00692036" w:rsidP="00136CD8" w14:paraId="54621DED" w14:textId="77777777">
            <w:pPr>
              <w:rPr>
                <w:bCs/>
              </w:rPr>
            </w:pPr>
            <w:hyperlink r:id="rId15" w:history="1">
              <w:r w:rsidRPr="00692036" w:rsidR="00A0729B">
                <w:rPr>
                  <w:rStyle w:val="Hyperlink"/>
                  <w:bCs/>
                </w:rPr>
                <w:t>bmckenney@mcneeslaw.com</w:t>
              </w:r>
            </w:hyperlink>
          </w:p>
          <w:p w:rsidR="00136CD8" w:rsidRPr="00692036" w:rsidP="00136CD8" w14:paraId="5322EBCE" w14:textId="77777777">
            <w:pPr>
              <w:rPr>
                <w:bCs/>
              </w:rPr>
            </w:pPr>
          </w:p>
          <w:p w:rsidR="00136CD8" w:rsidRPr="00692036" w:rsidP="00136CD8" w14:paraId="7DBD2E73" w14:textId="77777777">
            <w:pPr>
              <w:rPr>
                <w:bCs/>
              </w:rPr>
            </w:pPr>
            <w:r w:rsidRPr="00692036">
              <w:rPr>
                <w:bCs/>
              </w:rPr>
              <w:t>Attorney Examiners:</w:t>
            </w:r>
          </w:p>
          <w:p w:rsidR="00136CD8" w:rsidRPr="00692036" w:rsidP="00136CD8" w14:paraId="5DABF234" w14:textId="77777777">
            <w:pPr>
              <w:rPr>
                <w:bCs/>
              </w:rPr>
            </w:pPr>
            <w:hyperlink r:id="rId16" w:history="1">
              <w:r w:rsidRPr="00692036" w:rsidR="00A0729B">
                <w:rPr>
                  <w:rStyle w:val="Hyperlink"/>
                  <w:bCs/>
                </w:rPr>
                <w:t>sarah.parrot@puco.ohio.gov</w:t>
              </w:r>
            </w:hyperlink>
          </w:p>
          <w:p w:rsidR="00136CD8" w:rsidRPr="00692036" w:rsidP="00136CD8" w14:paraId="28779B9E" w14:textId="77777777">
            <w:pPr>
              <w:rPr>
                <w:bCs/>
              </w:rPr>
            </w:pPr>
            <w:hyperlink r:id="rId17" w:history="1">
              <w:r w:rsidRPr="00692036" w:rsidR="00A0729B">
                <w:rPr>
                  <w:rStyle w:val="Hyperlink"/>
                  <w:bCs/>
                </w:rPr>
                <w:t>greta.see@puco.ohio.gov</w:t>
              </w:r>
            </w:hyperlink>
          </w:p>
          <w:p w:rsidR="00136CD8" w:rsidRPr="00692036" w:rsidP="00136CD8" w14:paraId="0F99D75D" w14:textId="77777777">
            <w:pPr>
              <w:rPr>
                <w:bCs/>
              </w:rPr>
            </w:pPr>
          </w:p>
          <w:p w:rsidR="00136CD8" w:rsidRPr="00692036" w:rsidP="00136CD8" w14:paraId="1BE7D1E5" w14:textId="77777777">
            <w:pPr>
              <w:rPr>
                <w:bCs/>
              </w:rPr>
            </w:pPr>
          </w:p>
          <w:p w:rsidR="00136CD8" w:rsidRPr="00692036" w:rsidP="00136CD8" w14:paraId="276C0021" w14:textId="77777777">
            <w:pPr>
              <w:rPr>
                <w:bCs/>
              </w:rPr>
            </w:pPr>
          </w:p>
        </w:tc>
        <w:tc>
          <w:tcPr>
            <w:tcW w:w="4320" w:type="dxa"/>
            <w:shd w:val="clear" w:color="auto" w:fill="auto"/>
          </w:tcPr>
          <w:p w:rsidR="00136CD8" w:rsidRPr="00692036" w:rsidP="00136CD8" w14:paraId="754DC5D5" w14:textId="77777777">
            <w:pPr>
              <w:rPr>
                <w:bCs/>
              </w:rPr>
            </w:pPr>
            <w:hyperlink r:id="rId18" w:history="1">
              <w:r w:rsidRPr="00692036" w:rsidR="00A0729B">
                <w:rPr>
                  <w:rStyle w:val="Hyperlink"/>
                  <w:bCs/>
                </w:rPr>
                <w:t>stnourse@aep.com</w:t>
              </w:r>
            </w:hyperlink>
          </w:p>
          <w:p w:rsidR="00136CD8" w:rsidRPr="00692036" w:rsidP="00136CD8" w14:paraId="43AB6009" w14:textId="77777777">
            <w:pPr>
              <w:rPr>
                <w:bCs/>
              </w:rPr>
            </w:pPr>
            <w:hyperlink r:id="rId19" w:history="1">
              <w:r w:rsidRPr="00692036" w:rsidR="00A0729B">
                <w:rPr>
                  <w:rStyle w:val="Hyperlink"/>
                  <w:bCs/>
                </w:rPr>
                <w:t>bojko@carpenterlipps.com</w:t>
              </w:r>
            </w:hyperlink>
          </w:p>
          <w:p w:rsidR="00136CD8" w:rsidRPr="00692036" w:rsidP="00136CD8" w14:paraId="2090033A" w14:textId="77777777">
            <w:pPr>
              <w:rPr>
                <w:bCs/>
              </w:rPr>
            </w:pPr>
            <w:hyperlink r:id="rId20" w:history="1">
              <w:r w:rsidRPr="00692036" w:rsidR="00A0729B">
                <w:rPr>
                  <w:rStyle w:val="Hyperlink"/>
                  <w:bCs/>
                </w:rPr>
                <w:t>donadio@carpenterlipps.com</w:t>
              </w:r>
            </w:hyperlink>
          </w:p>
          <w:p w:rsidR="00136CD8" w:rsidRPr="00692036" w:rsidP="00136CD8" w14:paraId="4FD88643" w14:textId="77777777">
            <w:pPr>
              <w:rPr>
                <w:bCs/>
              </w:rPr>
            </w:pPr>
          </w:p>
          <w:p w:rsidR="00136CD8" w:rsidRPr="00692036" w:rsidP="00136CD8" w14:paraId="40A3890A" w14:textId="77777777">
            <w:pPr>
              <w:rPr>
                <w:bCs/>
              </w:rPr>
            </w:pPr>
          </w:p>
          <w:p w:rsidR="00136CD8" w:rsidRPr="00692036" w:rsidP="00136CD8" w14:paraId="5CCD1029" w14:textId="77777777">
            <w:pPr>
              <w:rPr>
                <w:bCs/>
              </w:rPr>
            </w:pPr>
          </w:p>
        </w:tc>
      </w:tr>
      <w:tr w14:paraId="5CAC2F14" w14:textId="77777777" w:rsidTr="00136CD8">
        <w:tblPrEx>
          <w:tblW w:w="0" w:type="auto"/>
          <w:tblLook w:val="04A0"/>
        </w:tblPrEx>
        <w:tc>
          <w:tcPr>
            <w:tcW w:w="4320" w:type="dxa"/>
            <w:shd w:val="clear" w:color="auto" w:fill="auto"/>
          </w:tcPr>
          <w:p w:rsidR="00136CD8" w:rsidRPr="00692036" w:rsidP="00F56D26" w14:paraId="751ECDC2" w14:textId="77777777">
            <w:pPr>
              <w:rPr>
                <w:bCs/>
              </w:rPr>
            </w:pPr>
          </w:p>
        </w:tc>
        <w:tc>
          <w:tcPr>
            <w:tcW w:w="4320" w:type="dxa"/>
            <w:shd w:val="clear" w:color="auto" w:fill="auto"/>
          </w:tcPr>
          <w:p w:rsidR="00136CD8" w:rsidRPr="00692036" w:rsidP="00F56D26" w14:paraId="39C8853C" w14:textId="77777777">
            <w:pPr>
              <w:rPr>
                <w:bCs/>
              </w:rPr>
            </w:pPr>
          </w:p>
        </w:tc>
      </w:tr>
    </w:tbl>
    <w:p w:rsidR="00A5637F" w:rsidRPr="00692036" w:rsidP="002C7D60" w14:paraId="00A354A7" w14:textId="77777777">
      <w:pPr>
        <w:tabs>
          <w:tab w:val="left" w:pos="4320"/>
        </w:tabs>
      </w:pPr>
    </w:p>
    <w:sectPr>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68253491"/>
      <w:docPartObj>
        <w:docPartGallery w:val="Page Numbers (Bottom of Page)"/>
        <w:docPartUnique/>
      </w:docPartObj>
    </w:sdtPr>
    <w:sdtEndPr>
      <w:rPr>
        <w:noProof/>
      </w:rPr>
    </w:sdtEndPr>
    <w:sdtContent>
      <w:p w:rsidR="00983F12" w14:paraId="6276E720" w14:textId="019B23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7DDC93F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69023565"/>
      <w:docPartObj>
        <w:docPartGallery w:val="Page Numbers (Bottom of Page)"/>
        <w:docPartUnique/>
      </w:docPartObj>
    </w:sdtPr>
    <w:sdtEndPr>
      <w:rPr>
        <w:noProof/>
      </w:rPr>
    </w:sdtEndPr>
    <w:sdtContent>
      <w:p w:rsidR="00983F12" w14:paraId="6D62D1F4" w14:textId="19E262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10248183"/>
      <w:docPartObj>
        <w:docPartGallery w:val="Page Numbers (Bottom of Page)"/>
        <w:docPartUnique/>
      </w:docPartObj>
    </w:sdtPr>
    <w:sdtEndPr>
      <w:rPr>
        <w:noProof/>
      </w:rPr>
    </w:sdtEndPr>
    <w:sdtContent>
      <w:p w:rsidR="00983F12" w14:paraId="12F85826" w14:textId="106634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384C" w14:paraId="00B52835" w14:textId="77777777">
      <w:r>
        <w:separator/>
      </w:r>
    </w:p>
  </w:footnote>
  <w:footnote w:type="continuationSeparator" w:id="1">
    <w:p w:rsidR="0028384C" w14:paraId="28D2DBF1" w14:textId="77777777">
      <w:r>
        <w:continuationSeparator/>
      </w:r>
    </w:p>
  </w:footnote>
  <w:footnote w:id="2">
    <w:p w:rsidR="009F553E" w:rsidP="00692036" w14:paraId="5570A7D5" w14:textId="77777777">
      <w:pPr>
        <w:pStyle w:val="FootnoteText"/>
        <w:spacing w:before="0" w:after="120"/>
      </w:pPr>
      <w:r>
        <w:rPr>
          <w:rStyle w:val="FootnoteReference"/>
        </w:rPr>
        <w:footnoteRef/>
      </w:r>
      <w:r>
        <w:t xml:space="preserve"> Staff Report (March 11, 2022), at 2.</w:t>
      </w:r>
    </w:p>
  </w:footnote>
  <w:footnote w:id="3">
    <w:p w:rsidR="000457B7" w:rsidRPr="003558EF" w:rsidP="00692036" w14:paraId="56D51650" w14:textId="77777777">
      <w:pPr>
        <w:pStyle w:val="FootnoteText"/>
        <w:spacing w:before="0" w:after="120"/>
        <w:rPr>
          <w:i/>
          <w:iCs/>
        </w:rPr>
      </w:pPr>
      <w:r>
        <w:rPr>
          <w:rStyle w:val="FootnoteReference"/>
        </w:rPr>
        <w:footnoteRef/>
      </w:r>
      <w:r>
        <w:t xml:space="preserve"> </w:t>
      </w:r>
      <w:r>
        <w:rPr>
          <w:i/>
          <w:iCs/>
        </w:rPr>
        <w:t>Id.</w:t>
      </w:r>
    </w:p>
  </w:footnote>
  <w:footnote w:id="4">
    <w:p w:rsidR="00852654" w:rsidP="00692036" w14:paraId="725EAF05" w14:textId="7CA664A0">
      <w:pPr>
        <w:pStyle w:val="FootnoteText"/>
        <w:spacing w:before="0" w:after="120"/>
      </w:pPr>
      <w:r>
        <w:rPr>
          <w:rStyle w:val="FootnoteReference"/>
        </w:rPr>
        <w:footnoteRef/>
      </w:r>
      <w:r>
        <w:t xml:space="preserve"> </w:t>
      </w:r>
      <w:r>
        <w:rPr>
          <w:i/>
        </w:rPr>
        <w:t>See</w:t>
      </w:r>
      <w:r>
        <w:t xml:space="preserve"> R.C. Chapter 4911, R.C. 4903.221 and </w:t>
      </w:r>
      <w:r w:rsidR="0019554F">
        <w:t>O.A.C.</w:t>
      </w:r>
      <w:r>
        <w:t xml:space="preserve"> 4901-1-11.</w:t>
      </w:r>
    </w:p>
  </w:footnote>
  <w:footnote w:id="5">
    <w:p w:rsidR="00852654" w:rsidP="00692036" w14:paraId="3B05FBF2" w14:textId="582A34A4">
      <w:pPr>
        <w:pStyle w:val="FootnoteText"/>
        <w:spacing w:before="0" w:after="120"/>
      </w:pPr>
      <w:r>
        <w:rPr>
          <w:rStyle w:val="FootnoteReference"/>
        </w:rPr>
        <w:footnoteRef/>
      </w:r>
      <w:r>
        <w:t xml:space="preserve"> Staff Report, at 2.</w:t>
      </w:r>
    </w:p>
  </w:footnote>
  <w:footnote w:id="6">
    <w:p w:rsidR="00784859" w:rsidRPr="002E61B7" w:rsidP="00692036" w14:paraId="423704B1" w14:textId="1F998E51">
      <w:pPr>
        <w:pStyle w:val="FootnoteText"/>
        <w:spacing w:before="0" w:after="120"/>
        <w:rPr>
          <w:i/>
          <w:iCs/>
        </w:rPr>
      </w:pPr>
      <w:r>
        <w:rPr>
          <w:rStyle w:val="FootnoteReference"/>
        </w:rPr>
        <w:footnoteRef/>
      </w:r>
      <w:r>
        <w:t xml:space="preserve"> </w:t>
      </w:r>
      <w:r>
        <w:rPr>
          <w:i/>
          <w:iCs/>
        </w:rPr>
        <w:t>Id.</w:t>
      </w:r>
    </w:p>
  </w:footnote>
  <w:footnote w:id="7">
    <w:p w:rsidR="000457B7" w:rsidRPr="003558EF" w:rsidP="00692036" w14:paraId="16C74B34" w14:textId="77777777">
      <w:pPr>
        <w:pStyle w:val="FootnoteText"/>
        <w:spacing w:before="0" w:after="120"/>
        <w:rPr>
          <w:i/>
          <w:iCs/>
        </w:rPr>
      </w:pPr>
      <w:r>
        <w:rPr>
          <w:rStyle w:val="FootnoteReference"/>
        </w:rPr>
        <w:footnoteRef/>
      </w:r>
      <w:r>
        <w:t xml:space="preserve"> </w:t>
      </w:r>
      <w:r>
        <w:rPr>
          <w:i/>
          <w:iCs/>
        </w:rPr>
        <w:t>Id.</w:t>
      </w:r>
    </w:p>
  </w:footnote>
  <w:footnote w:id="8">
    <w:p w:rsidR="008B1FAA" w:rsidP="00692036" w14:paraId="4F8B29F5" w14:textId="77777777">
      <w:pPr>
        <w:pStyle w:val="FootnoteText"/>
        <w:spacing w:before="0" w:after="120"/>
      </w:pPr>
      <w:r>
        <w:rPr>
          <w:rStyle w:val="FootnoteReference"/>
        </w:rPr>
        <w:footnoteRef/>
      </w:r>
      <w:r>
        <w:t xml:space="preserve"> O.A.C. 4901:1-36-03(D).</w:t>
      </w:r>
    </w:p>
  </w:footnote>
  <w:footnote w:id="9">
    <w:p w:rsidR="00BC7A39" w:rsidP="00692036" w14:paraId="6F823202" w14:textId="4B23FFB5">
      <w:pPr>
        <w:pStyle w:val="FootnoteText"/>
        <w:spacing w:before="0" w:after="120"/>
      </w:pPr>
      <w:r>
        <w:rPr>
          <w:rStyle w:val="FootnoteReference"/>
        </w:rPr>
        <w:footnoteRef/>
      </w:r>
      <w:r>
        <w:t xml:space="preserve"> Staff Report, at 2.</w:t>
      </w:r>
    </w:p>
  </w:footnote>
  <w:footnote w:id="10">
    <w:p w:rsidR="00BF0449" w:rsidP="00692036" w14:paraId="23D6C5F3" w14:textId="77777777">
      <w:pPr>
        <w:pStyle w:val="FootnoteText"/>
        <w:spacing w:before="0" w:after="120"/>
      </w:pPr>
      <w:r>
        <w:rPr>
          <w:rStyle w:val="FootnoteReference"/>
        </w:rPr>
        <w:footnoteRef/>
      </w:r>
      <w:r>
        <w:t xml:space="preserve"> Staff Report, at 2. </w:t>
      </w:r>
    </w:p>
  </w:footnote>
  <w:footnote w:id="11">
    <w:p w:rsidR="004D14D4" w:rsidP="00692036" w14:paraId="6EFC569F" w14:textId="77777777">
      <w:pPr>
        <w:pStyle w:val="FootnoteText"/>
        <w:spacing w:before="0" w:after="120"/>
      </w:pPr>
      <w:r>
        <w:rPr>
          <w:rStyle w:val="FootnoteReference"/>
        </w:rPr>
        <w:footnoteRef/>
      </w:r>
      <w:r>
        <w:rPr>
          <w:i/>
        </w:rPr>
        <w:t xml:space="preserve"> See Ohio Consumers’ Counsel v. Pub. Util. Comm</w:t>
      </w:r>
      <w:r>
        <w:t>., 111 Ohio St.3d 384, 2006-Ohio-5853, ¶¶13-20.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12BEB48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3832EFE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637F" w14:paraId="6504398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853B8"/>
    <w:multiLevelType w:val="hybridMultilevel"/>
    <w:tmpl w:val="CE24F0FC"/>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DA5265E"/>
    <w:multiLevelType w:val="hybridMultilevel"/>
    <w:tmpl w:val="F9D04498"/>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F5304C4"/>
    <w:multiLevelType w:val="multilevel"/>
    <w:tmpl w:val="1D906BB4"/>
    <w:lvl w:ilvl="0">
      <w:start w:val="3"/>
      <w:numFmt w:val="upperLetter"/>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1B2178CF"/>
    <w:multiLevelType w:val="hybridMultilevel"/>
    <w:tmpl w:val="FF04E49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5B4443"/>
    <w:multiLevelType w:val="hybridMultilevel"/>
    <w:tmpl w:val="EBA26562"/>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22F00834"/>
    <w:multiLevelType w:val="hybridMultilevel"/>
    <w:tmpl w:val="48CC0796"/>
    <w:lvl w:ilvl="0">
      <w:start w:val="4"/>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47C5BE3"/>
    <w:multiLevelType w:val="hybridMultilevel"/>
    <w:tmpl w:val="C3D2DADA"/>
    <w:lvl w:ilvl="0">
      <w:start w:val="1"/>
      <w:numFmt w:val="decimal"/>
      <w:lvlText w:val="%1."/>
      <w:lvlJc w:val="left"/>
      <w:pPr>
        <w:tabs>
          <w:tab w:val="num" w:pos="1800"/>
        </w:tabs>
        <w:ind w:left="1800" w:hanging="360"/>
      </w:p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BDD7EEB"/>
    <w:multiLevelType w:val="hybridMultilevel"/>
    <w:tmpl w:val="8E5490F6"/>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8">
    <w:nsid w:val="2C8055A1"/>
    <w:multiLevelType w:val="hybridMultilevel"/>
    <w:tmpl w:val="FB72E85E"/>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37B72D01"/>
    <w:multiLevelType w:val="hybridMultilevel"/>
    <w:tmpl w:val="69DA3EF2"/>
    <w:lvl w:ilvl="0">
      <w:start w:val="4"/>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88F51B5"/>
    <w:multiLevelType w:val="hybridMultilevel"/>
    <w:tmpl w:val="9892C3C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B32278"/>
    <w:multiLevelType w:val="hybridMultilevel"/>
    <w:tmpl w:val="53CE7B0C"/>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4B8616F9"/>
    <w:multiLevelType w:val="hybridMultilevel"/>
    <w:tmpl w:val="C598D7F6"/>
    <w:lvl w:ilvl="0">
      <w:start w:val="7"/>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4EEA2B4A"/>
    <w:multiLevelType w:val="hybridMultilevel"/>
    <w:tmpl w:val="0868E874"/>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1636F23"/>
    <w:multiLevelType w:val="hybridMultilevel"/>
    <w:tmpl w:val="C2F00220"/>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5077CD2"/>
    <w:multiLevelType w:val="hybridMultilevel"/>
    <w:tmpl w:val="1DFA6CC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66547110"/>
    <w:multiLevelType w:val="hybridMultilevel"/>
    <w:tmpl w:val="872E893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7035615A"/>
    <w:multiLevelType w:val="hybridMultilevel"/>
    <w:tmpl w:val="2B84AE2E"/>
    <w:lvl w:ilvl="0">
      <w:start w:val="1"/>
      <w:numFmt w:val="bullet"/>
      <w:lvlText w:val=""/>
      <w:lvlJc w:val="left"/>
      <w:pPr>
        <w:tabs>
          <w:tab w:val="num" w:pos="1560"/>
        </w:tabs>
        <w:ind w:left="1560" w:hanging="360"/>
      </w:pPr>
      <w:rPr>
        <w:rFonts w:ascii="Symbol" w:hAnsi="Symbol" w:hint="default"/>
      </w:rPr>
    </w:lvl>
    <w:lvl w:ilvl="1" w:tentative="1">
      <w:start w:val="1"/>
      <w:numFmt w:val="bullet"/>
      <w:lvlText w:val="o"/>
      <w:lvlJc w:val="left"/>
      <w:pPr>
        <w:tabs>
          <w:tab w:val="num" w:pos="2280"/>
        </w:tabs>
        <w:ind w:left="2280" w:hanging="360"/>
      </w:pPr>
      <w:rPr>
        <w:rFonts w:ascii="Courier New" w:hAnsi="Courier New" w:cs="Microsoft Sans Serif" w:hint="default"/>
      </w:rPr>
    </w:lvl>
    <w:lvl w:ilvl="2" w:tentative="1">
      <w:start w:val="1"/>
      <w:numFmt w:val="bullet"/>
      <w:lvlText w:val=""/>
      <w:lvlJc w:val="left"/>
      <w:pPr>
        <w:tabs>
          <w:tab w:val="num" w:pos="3000"/>
        </w:tabs>
        <w:ind w:left="3000" w:hanging="360"/>
      </w:pPr>
      <w:rPr>
        <w:rFonts w:ascii="Wingdings" w:hAnsi="Wingdings" w:hint="default"/>
      </w:rPr>
    </w:lvl>
    <w:lvl w:ilvl="3" w:tentative="1">
      <w:start w:val="1"/>
      <w:numFmt w:val="bullet"/>
      <w:lvlText w:val=""/>
      <w:lvlJc w:val="left"/>
      <w:pPr>
        <w:tabs>
          <w:tab w:val="num" w:pos="3720"/>
        </w:tabs>
        <w:ind w:left="3720" w:hanging="360"/>
      </w:pPr>
      <w:rPr>
        <w:rFonts w:ascii="Symbol" w:hAnsi="Symbol" w:hint="default"/>
      </w:rPr>
    </w:lvl>
    <w:lvl w:ilvl="4" w:tentative="1">
      <w:start w:val="1"/>
      <w:numFmt w:val="bullet"/>
      <w:lvlText w:val="o"/>
      <w:lvlJc w:val="left"/>
      <w:pPr>
        <w:tabs>
          <w:tab w:val="num" w:pos="4440"/>
        </w:tabs>
        <w:ind w:left="4440" w:hanging="360"/>
      </w:pPr>
      <w:rPr>
        <w:rFonts w:ascii="Courier New" w:hAnsi="Courier New" w:cs="Microsoft Sans Serif" w:hint="default"/>
      </w:rPr>
    </w:lvl>
    <w:lvl w:ilvl="5" w:tentative="1">
      <w:start w:val="1"/>
      <w:numFmt w:val="bullet"/>
      <w:lvlText w:val=""/>
      <w:lvlJc w:val="left"/>
      <w:pPr>
        <w:tabs>
          <w:tab w:val="num" w:pos="5160"/>
        </w:tabs>
        <w:ind w:left="5160" w:hanging="360"/>
      </w:pPr>
      <w:rPr>
        <w:rFonts w:ascii="Wingdings" w:hAnsi="Wingdings" w:hint="default"/>
      </w:rPr>
    </w:lvl>
    <w:lvl w:ilvl="6" w:tentative="1">
      <w:start w:val="1"/>
      <w:numFmt w:val="bullet"/>
      <w:lvlText w:val=""/>
      <w:lvlJc w:val="left"/>
      <w:pPr>
        <w:tabs>
          <w:tab w:val="num" w:pos="5880"/>
        </w:tabs>
        <w:ind w:left="5880" w:hanging="360"/>
      </w:pPr>
      <w:rPr>
        <w:rFonts w:ascii="Symbol" w:hAnsi="Symbol" w:hint="default"/>
      </w:rPr>
    </w:lvl>
    <w:lvl w:ilvl="7" w:tentative="1">
      <w:start w:val="1"/>
      <w:numFmt w:val="bullet"/>
      <w:lvlText w:val="o"/>
      <w:lvlJc w:val="left"/>
      <w:pPr>
        <w:tabs>
          <w:tab w:val="num" w:pos="6600"/>
        </w:tabs>
        <w:ind w:left="6600" w:hanging="360"/>
      </w:pPr>
      <w:rPr>
        <w:rFonts w:ascii="Courier New" w:hAnsi="Courier New" w:cs="Microsoft Sans Serif" w:hint="default"/>
      </w:rPr>
    </w:lvl>
    <w:lvl w:ilvl="8" w:tentative="1">
      <w:start w:val="1"/>
      <w:numFmt w:val="bullet"/>
      <w:lvlText w:val=""/>
      <w:lvlJc w:val="left"/>
      <w:pPr>
        <w:tabs>
          <w:tab w:val="num" w:pos="7320"/>
        </w:tabs>
        <w:ind w:left="7320" w:hanging="360"/>
      </w:pPr>
      <w:rPr>
        <w:rFonts w:ascii="Wingdings" w:hAnsi="Wingdings" w:hint="default"/>
      </w:rPr>
    </w:lvl>
  </w:abstractNum>
  <w:abstractNum w:abstractNumId="18">
    <w:nsid w:val="7A1307C2"/>
    <w:multiLevelType w:val="hybridMultilevel"/>
    <w:tmpl w:val="C0D2ADD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Microsoft Sans Serif"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Microsoft Sans Serif"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Microsoft Sans Serif"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9">
    <w:nsid w:val="7D394F2C"/>
    <w:multiLevelType w:val="hybridMultilevel"/>
    <w:tmpl w:val="7B82BC94"/>
    <w:lvl w:ilvl="0">
      <w:start w:val="3"/>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5"/>
  </w:num>
  <w:num w:numId="4">
    <w:abstractNumId w:val="1"/>
  </w:num>
  <w:num w:numId="5">
    <w:abstractNumId w:val="12"/>
  </w:num>
  <w:num w:numId="6">
    <w:abstractNumId w:val="11"/>
  </w:num>
  <w:num w:numId="7">
    <w:abstractNumId w:val="2"/>
  </w:num>
  <w:num w:numId="8">
    <w:abstractNumId w:val="6"/>
  </w:num>
  <w:num w:numId="9">
    <w:abstractNumId w:val="4"/>
  </w:num>
  <w:num w:numId="10">
    <w:abstractNumId w:val="16"/>
  </w:num>
  <w:num w:numId="11">
    <w:abstractNumId w:val="0"/>
  </w:num>
  <w:num w:numId="12">
    <w:abstractNumId w:val="14"/>
  </w:num>
  <w:num w:numId="13">
    <w:abstractNumId w:val="19"/>
  </w:num>
  <w:num w:numId="14">
    <w:abstractNumId w:val="9"/>
  </w:num>
  <w:num w:numId="15">
    <w:abstractNumId w:val="17"/>
  </w:num>
  <w:num w:numId="16">
    <w:abstractNumId w:val="18"/>
  </w:num>
  <w:num w:numId="17">
    <w:abstractNumId w:val="7"/>
  </w:num>
  <w:num w:numId="18">
    <w:abstractNumId w:val="10"/>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isplayBackgroundShap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doNotEmbedSmartTag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0DE"/>
    <w:rsid w:val="000457B7"/>
    <w:rsid w:val="00090C9A"/>
    <w:rsid w:val="00094959"/>
    <w:rsid w:val="000A35C6"/>
    <w:rsid w:val="000C4282"/>
    <w:rsid w:val="0011134C"/>
    <w:rsid w:val="00136CD8"/>
    <w:rsid w:val="00151D3D"/>
    <w:rsid w:val="0019554F"/>
    <w:rsid w:val="001B4F98"/>
    <w:rsid w:val="001F5C86"/>
    <w:rsid w:val="00240F08"/>
    <w:rsid w:val="0024284C"/>
    <w:rsid w:val="00255A79"/>
    <w:rsid w:val="0027171F"/>
    <w:rsid w:val="00282DD0"/>
    <w:rsid w:val="0028384C"/>
    <w:rsid w:val="002C20F3"/>
    <w:rsid w:val="002C7D60"/>
    <w:rsid w:val="002E61B7"/>
    <w:rsid w:val="003026A8"/>
    <w:rsid w:val="00315C60"/>
    <w:rsid w:val="003418A8"/>
    <w:rsid w:val="00343FD2"/>
    <w:rsid w:val="003558EF"/>
    <w:rsid w:val="00372776"/>
    <w:rsid w:val="0037614B"/>
    <w:rsid w:val="003A2BCE"/>
    <w:rsid w:val="003D23A5"/>
    <w:rsid w:val="003E41D6"/>
    <w:rsid w:val="003F6E1A"/>
    <w:rsid w:val="00415A83"/>
    <w:rsid w:val="00437A5C"/>
    <w:rsid w:val="0047251D"/>
    <w:rsid w:val="004D14D4"/>
    <w:rsid w:val="004E40A2"/>
    <w:rsid w:val="004E78F9"/>
    <w:rsid w:val="00502946"/>
    <w:rsid w:val="00504C2E"/>
    <w:rsid w:val="005234CD"/>
    <w:rsid w:val="00555315"/>
    <w:rsid w:val="00557F89"/>
    <w:rsid w:val="00580E1B"/>
    <w:rsid w:val="005B209C"/>
    <w:rsid w:val="00600468"/>
    <w:rsid w:val="00692036"/>
    <w:rsid w:val="0069241E"/>
    <w:rsid w:val="006B3D4D"/>
    <w:rsid w:val="006C522E"/>
    <w:rsid w:val="006E6967"/>
    <w:rsid w:val="006F6268"/>
    <w:rsid w:val="00714F95"/>
    <w:rsid w:val="0076652C"/>
    <w:rsid w:val="00784859"/>
    <w:rsid w:val="00806351"/>
    <w:rsid w:val="00830862"/>
    <w:rsid w:val="00837736"/>
    <w:rsid w:val="00843D9A"/>
    <w:rsid w:val="00852654"/>
    <w:rsid w:val="00857EE9"/>
    <w:rsid w:val="008A1894"/>
    <w:rsid w:val="008A7BF2"/>
    <w:rsid w:val="008B1FAA"/>
    <w:rsid w:val="008D33C8"/>
    <w:rsid w:val="008F2320"/>
    <w:rsid w:val="00933D87"/>
    <w:rsid w:val="00943AF2"/>
    <w:rsid w:val="00956600"/>
    <w:rsid w:val="00961D96"/>
    <w:rsid w:val="00983F12"/>
    <w:rsid w:val="009F144B"/>
    <w:rsid w:val="009F553E"/>
    <w:rsid w:val="00A0729B"/>
    <w:rsid w:val="00A13D5B"/>
    <w:rsid w:val="00A14281"/>
    <w:rsid w:val="00A410DE"/>
    <w:rsid w:val="00A501F7"/>
    <w:rsid w:val="00A5637F"/>
    <w:rsid w:val="00A62965"/>
    <w:rsid w:val="00A72885"/>
    <w:rsid w:val="00A92D24"/>
    <w:rsid w:val="00AB76EC"/>
    <w:rsid w:val="00B02598"/>
    <w:rsid w:val="00B178E3"/>
    <w:rsid w:val="00B560F2"/>
    <w:rsid w:val="00B742C1"/>
    <w:rsid w:val="00BB4C86"/>
    <w:rsid w:val="00BC7A39"/>
    <w:rsid w:val="00BF0449"/>
    <w:rsid w:val="00C371CD"/>
    <w:rsid w:val="00C864EE"/>
    <w:rsid w:val="00CB48FC"/>
    <w:rsid w:val="00CB5C31"/>
    <w:rsid w:val="00CE38C7"/>
    <w:rsid w:val="00D0222B"/>
    <w:rsid w:val="00D14189"/>
    <w:rsid w:val="00D71D52"/>
    <w:rsid w:val="00DF2D72"/>
    <w:rsid w:val="00E03228"/>
    <w:rsid w:val="00E2102F"/>
    <w:rsid w:val="00E33698"/>
    <w:rsid w:val="00E372F2"/>
    <w:rsid w:val="00E50AD8"/>
    <w:rsid w:val="00E71EB8"/>
    <w:rsid w:val="00E80601"/>
    <w:rsid w:val="00EA7F2D"/>
    <w:rsid w:val="00EC368A"/>
    <w:rsid w:val="00EC4963"/>
    <w:rsid w:val="00ED4A50"/>
    <w:rsid w:val="00F0417E"/>
    <w:rsid w:val="00F1450F"/>
    <w:rsid w:val="00F21D4C"/>
    <w:rsid w:val="00F56D26"/>
    <w:rsid w:val="00F620D7"/>
    <w:rsid w:val="00FA0B06"/>
    <w:rsid w:val="00FC1A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86"/>
    <w:rPr>
      <w:sz w:val="24"/>
      <w:szCs w:val="24"/>
    </w:rPr>
  </w:style>
  <w:style w:type="paragraph" w:styleId="Heading1">
    <w:name w:val="heading 1"/>
    <w:basedOn w:val="Normal"/>
    <w:next w:val="Normal"/>
    <w:qFormat/>
    <w:rsid w:val="00830862"/>
    <w:pPr>
      <w:keepNext/>
      <w:spacing w:after="240"/>
      <w:outlineLvl w:val="0"/>
    </w:pPr>
    <w:rPr>
      <w:b/>
      <w:bCs/>
    </w:rPr>
  </w:style>
  <w:style w:type="paragraph" w:styleId="Heading2">
    <w:name w:val="heading 2"/>
    <w:basedOn w:val="Normal"/>
    <w:next w:val="Normal"/>
    <w:qFormat/>
    <w:rsid w:val="0024284C"/>
    <w:pPr>
      <w:keepNext/>
      <w:tabs>
        <w:tab w:val="left" w:pos="0"/>
        <w:tab w:val="left" w:pos="720"/>
      </w:tabs>
      <w:spacing w:after="240"/>
      <w:ind w:left="1440" w:hanging="720"/>
      <w:outlineLvl w:val="1"/>
    </w:pPr>
    <w:rPr>
      <w:b/>
      <w:bCs/>
    </w:rPr>
  </w:style>
  <w:style w:type="paragraph" w:styleId="Heading3">
    <w:name w:val="heading 3"/>
    <w:basedOn w:val="Normal"/>
    <w:next w:val="Normal"/>
    <w:qFormat/>
    <w:pPr>
      <w:keepNext/>
      <w:tabs>
        <w:tab w:val="left" w:pos="0"/>
        <w:tab w:val="left" w:pos="720"/>
      </w:tabs>
      <w:spacing w:line="48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1"/>
    <w:basedOn w:val="Normal"/>
    <w:link w:val="FooterChar"/>
    <w:uiPriority w:val="99"/>
    <w:pPr>
      <w:tabs>
        <w:tab w:val="left" w:pos="0"/>
        <w:tab w:val="left" w:pos="720"/>
        <w:tab w:val="center" w:pos="4320"/>
        <w:tab w:val="right" w:pos="8640"/>
      </w:tabs>
      <w:spacing w:line="480" w:lineRule="auto"/>
    </w:pPr>
  </w:style>
  <w:style w:type="paragraph" w:styleId="BodyText">
    <w:name w:val="Body Text"/>
    <w:basedOn w:val="Normal"/>
    <w:pPr>
      <w:tabs>
        <w:tab w:val="left" w:pos="0"/>
        <w:tab w:val="left" w:pos="720"/>
      </w:tabs>
      <w:spacing w:line="480" w:lineRule="auto"/>
      <w:ind w:firstLine="720"/>
    </w:pPr>
    <w:rPr>
      <w:szCs w:val="20"/>
    </w:rPr>
  </w:style>
  <w:style w:type="paragraph" w:styleId="FootnoteText">
    <w:name w:val="footnote text"/>
    <w:basedOn w:val="Normal"/>
    <w:link w:val="FootnoteTextChar"/>
    <w:semiHidden/>
    <w:pPr>
      <w:spacing w:before="120"/>
    </w:pPr>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line="480" w:lineRule="auto"/>
      <w:ind w:firstLine="720"/>
    </w:pPr>
    <w:rPr>
      <w:szCs w:val="20"/>
    </w:rPr>
  </w:style>
  <w:style w:type="paragraph" w:styleId="BodyTextIndent3">
    <w:name w:val="Body Text Indent 3"/>
    <w:basedOn w:val="Normal"/>
    <w:link w:val="BodyTextIndent3Char"/>
    <w:pPr>
      <w:spacing w:line="480" w:lineRule="atLeast"/>
      <w:ind w:firstLine="720"/>
    </w:pPr>
    <w:rPr>
      <w:szCs w:val="20"/>
    </w:rPr>
  </w:style>
  <w:style w:type="paragraph" w:customStyle="1" w:styleId="Quote1">
    <w:name w:val="Quote1"/>
    <w:basedOn w:val="Normal"/>
    <w:autoRedefine/>
    <w:pPr>
      <w:spacing w:after="240"/>
      <w:ind w:left="720" w:right="720"/>
    </w:pPr>
    <w:rPr>
      <w:bCs/>
    </w:r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style>
  <w:style w:type="paragraph" w:styleId="BodyTextIndent2">
    <w:name w:val="Body Text Indent 2"/>
    <w:basedOn w:val="Normal"/>
    <w:pPr>
      <w:spacing w:after="240"/>
      <w:ind w:left="2160" w:hanging="720"/>
    </w:pPr>
    <w:rPr>
      <w:b/>
      <w:bCs/>
    </w:rPr>
  </w:style>
  <w:style w:type="character" w:styleId="Hyperlink">
    <w:name w:val="Hyperlink"/>
    <w:rPr>
      <w:color w:val="0000FF"/>
      <w:u w:val="single"/>
    </w:rPr>
  </w:style>
  <w:style w:type="paragraph" w:styleId="PlainText">
    <w:name w:val="Plain Text"/>
    <w:basedOn w:val="Normal"/>
    <w:rPr>
      <w:rFonts w:ascii="Courier New" w:hAnsi="Courier New"/>
      <w:sz w:val="20"/>
      <w:szCs w:val="20"/>
    </w:rPr>
  </w:style>
  <w:style w:type="paragraph" w:styleId="Title">
    <w:name w:val="Title"/>
    <w:basedOn w:val="Normal"/>
    <w:qFormat/>
    <w:pPr>
      <w:jc w:val="center"/>
    </w:pPr>
    <w:rPr>
      <w:b/>
      <w:szCs w:val="20"/>
    </w:rPr>
  </w:style>
  <w:style w:type="paragraph" w:styleId="EndnoteText">
    <w:name w:val="endnote text"/>
    <w:basedOn w:val="Normal"/>
    <w:semiHidden/>
    <w:pPr>
      <w:widowControl w:val="0"/>
    </w:pPr>
    <w:rPr>
      <w:rFonts w:ascii="Courier New" w:hAnsi="Courier New"/>
      <w:snapToGrid w:val="0"/>
      <w:szCs w:val="20"/>
    </w:rPr>
  </w:style>
  <w:style w:type="paragraph" w:styleId="HTMLPreformatted">
    <w:name w:val="HTML Preformatted"/>
    <w:aliases w:val=" Char"/>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 Char1 Char"/>
    <w:link w:val="Footer"/>
    <w:uiPriority w:val="99"/>
    <w:locked/>
    <w:rPr>
      <w:sz w:val="24"/>
      <w:szCs w:val="24"/>
      <w:lang w:val="en-US" w:eastAsia="en-US" w:bidi="ar-SA"/>
    </w:rPr>
  </w:style>
  <w:style w:type="paragraph" w:customStyle="1" w:styleId="ANSWER">
    <w:name w:val="ANSWER"/>
    <w:basedOn w:val="Normal"/>
    <w:pPr>
      <w:spacing w:line="480" w:lineRule="auto"/>
      <w:ind w:left="1008" w:hanging="720"/>
    </w:pPr>
    <w:rPr>
      <w:szCs w:val="20"/>
    </w:rPr>
  </w:style>
  <w:style w:type="paragraph" w:customStyle="1" w:styleId="InsideAddress">
    <w:name w:val="Inside Address"/>
    <w:basedOn w:val="Normal"/>
    <w:rPr>
      <w:rFonts w:ascii="Times" w:eastAsia="Times" w:hAnsi="Times"/>
      <w:szCs w:val="20"/>
    </w:rPr>
  </w:style>
  <w:style w:type="character" w:customStyle="1" w:styleId="HTMLPreformattedChar">
    <w:name w:val="HTML Preformatted Char"/>
    <w:aliases w:val=" Char Char"/>
    <w:link w:val="HTMLPreformatted"/>
    <w:locked/>
    <w:rPr>
      <w:rFonts w:ascii="Courier New" w:eastAsia="Courier New" w:hAnsi="Courier New" w:cs="Courier New"/>
      <w:lang w:val="en-US" w:eastAsia="en-US" w:bidi="ar-SA"/>
    </w:rPr>
  </w:style>
  <w:style w:type="character" w:customStyle="1" w:styleId="CharChar0">
    <w:name w:val="Char Char"/>
    <w:semiHidden/>
    <w:locked/>
    <w:rPr>
      <w:rFonts w:ascii="Courier New" w:eastAsia="Courier New" w:hAnsi="Courier New" w:cs="Courier New"/>
      <w:lang w:val="en-US" w:eastAsia="en-US" w:bidi="ar-SA"/>
    </w:rPr>
  </w:style>
  <w:style w:type="character" w:customStyle="1" w:styleId="ssleftalign">
    <w:name w:val="ss_leftalign"/>
    <w:rsid w:val="00424902"/>
  </w:style>
  <w:style w:type="character" w:customStyle="1" w:styleId="sssh">
    <w:name w:val="ss_sh"/>
    <w:rsid w:val="00424902"/>
  </w:style>
  <w:style w:type="character" w:customStyle="1" w:styleId="ssit">
    <w:name w:val="ss_it"/>
    <w:rsid w:val="00424902"/>
  </w:style>
  <w:style w:type="character" w:customStyle="1" w:styleId="CommentTextChar">
    <w:name w:val="Comment Text Char"/>
    <w:link w:val="CommentText"/>
    <w:uiPriority w:val="99"/>
    <w:semiHidden/>
    <w:rsid w:val="002C7D60"/>
    <w:rPr>
      <w:sz w:val="24"/>
      <w:szCs w:val="24"/>
    </w:rPr>
  </w:style>
  <w:style w:type="character" w:customStyle="1" w:styleId="UnresolvedMention1">
    <w:name w:val="Unresolved Mention1"/>
    <w:uiPriority w:val="99"/>
    <w:semiHidden/>
    <w:unhideWhenUsed/>
    <w:rsid w:val="003026A8"/>
    <w:rPr>
      <w:color w:val="605E5C"/>
      <w:shd w:val="clear" w:color="auto" w:fill="E1DFDD"/>
    </w:rPr>
  </w:style>
  <w:style w:type="character" w:customStyle="1" w:styleId="BodyTextIndent3Char">
    <w:name w:val="Body Text Indent 3 Char"/>
    <w:basedOn w:val="DefaultParagraphFont"/>
    <w:link w:val="BodyTextIndent3"/>
    <w:rsid w:val="00600468"/>
    <w:rPr>
      <w:sz w:val="24"/>
    </w:rPr>
  </w:style>
  <w:style w:type="paragraph" w:styleId="ListParagraph">
    <w:name w:val="List Paragraph"/>
    <w:basedOn w:val="Normal"/>
    <w:uiPriority w:val="34"/>
    <w:qFormat/>
    <w:rsid w:val="00600468"/>
    <w:pPr>
      <w:ind w:left="720"/>
      <w:contextualSpacing/>
    </w:pPr>
    <w:rPr>
      <w:rFonts w:eastAsiaTheme="minorHAnsi"/>
      <w:bCs/>
      <w:color w:val="000000"/>
      <w:szCs w:val="19"/>
    </w:rPr>
  </w:style>
  <w:style w:type="character" w:customStyle="1" w:styleId="FootnoteTextChar">
    <w:name w:val="Footnote Text Char"/>
    <w:basedOn w:val="DefaultParagraphFont"/>
    <w:link w:val="FootnoteText"/>
    <w:semiHidden/>
    <w:rsid w:val="00BC7A39"/>
  </w:style>
  <w:style w:type="paragraph" w:customStyle="1" w:styleId="WW-BodyTextIndent3">
    <w:name w:val="WW-Body Text Indent 3"/>
    <w:basedOn w:val="Normal"/>
    <w:rsid w:val="004D14D4"/>
    <w:pPr>
      <w:suppressAutoHyphens/>
      <w:spacing w:line="480" w:lineRule="atLeast"/>
      <w:ind w:firstLine="720"/>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GO.gov" TargetMode="External" /><Relationship Id="rId11" Type="http://schemas.openxmlformats.org/officeDocument/2006/relationships/hyperlink" Target="mailto:mkurtz@BKLlawfirm.com" TargetMode="External" /><Relationship Id="rId12" Type="http://schemas.openxmlformats.org/officeDocument/2006/relationships/hyperlink" Target="mailto:kboehm@BKLlawfirm.com" TargetMode="External" /><Relationship Id="rId13" Type="http://schemas.openxmlformats.org/officeDocument/2006/relationships/hyperlink" Target="mailto:jkylercohn@BKLlawfirm.com" TargetMode="External" /><Relationship Id="rId14" Type="http://schemas.openxmlformats.org/officeDocument/2006/relationships/hyperlink" Target="mailto:mpritchard@mcneeslaw.com" TargetMode="External" /><Relationship Id="rId15" Type="http://schemas.openxmlformats.org/officeDocument/2006/relationships/hyperlink" Target="mailto:bmckenney@mcneeslaw.com" TargetMode="External" /><Relationship Id="rId16" Type="http://schemas.openxmlformats.org/officeDocument/2006/relationships/hyperlink" Target="mailto:sarah.parrot@puco.ohio.gov" TargetMode="External" /><Relationship Id="rId17" Type="http://schemas.openxmlformats.org/officeDocument/2006/relationships/hyperlink" Target="mailto:greta.see@puco.ohio.gov" TargetMode="External" /><Relationship Id="rId18" Type="http://schemas.openxmlformats.org/officeDocument/2006/relationships/hyperlink" Target="mailto:stnourse@aep.com" TargetMode="External" /><Relationship Id="rId19" Type="http://schemas.openxmlformats.org/officeDocument/2006/relationships/hyperlink" Target="mailto:bojko@carpenterlipps.com" TargetMode="External" /><Relationship Id="rId2" Type="http://schemas.openxmlformats.org/officeDocument/2006/relationships/settings" Target="settings.xml" /><Relationship Id="rId20" Type="http://schemas.openxmlformats.org/officeDocument/2006/relationships/hyperlink" Target="mailto:donadio@carpenterlipps.com" TargetMode="External" /><Relationship Id="rId21" Type="http://schemas.openxmlformats.org/officeDocument/2006/relationships/header" Target="header1.xml" /><Relationship Id="rId22" Type="http://schemas.openxmlformats.org/officeDocument/2006/relationships/header" Target="header2.xml" /><Relationship Id="rId23" Type="http://schemas.openxmlformats.org/officeDocument/2006/relationships/footer" Target="footer2.xml" /><Relationship Id="rId24" Type="http://schemas.openxmlformats.org/officeDocument/2006/relationships/footer" Target="footer3.xml" /><Relationship Id="rId25" Type="http://schemas.openxmlformats.org/officeDocument/2006/relationships/header" Target="header3.xml" /><Relationship Id="rId26" Type="http://schemas.openxmlformats.org/officeDocument/2006/relationships/footer" Target="footer4.xm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john.finnigan@occ.ohio.gov" TargetMode="External" /><Relationship Id="rId8" Type="http://schemas.openxmlformats.org/officeDocument/2006/relationships/footer" Target="footer1.xml" /><Relationship Id="rId9" Type="http://schemas.openxmlformats.org/officeDocument/2006/relationships/hyperlink" Target="https://advance.lexis.com/document/?pdmfid=1000516&amp;crid=34b330b0-6679-45af-8d99-d91455c9b618&amp;pddocfullpath=%2Fshared%2Fdocument%2Fadministrative-materials%2Furn%3AcontentItem%3A5KWN-YRW0-00T9-8489-00000-00&amp;pddocid=urn%3AcontentItem%3A5KWN-YRW0-00T9-8489-00000-00&amp;pdcontentcomponentid=139844&amp;pdteaserkey=sr35&amp;pditab=allpods&amp;ecomp=tyffk&amp;earg=sr35&amp;prid=d83234fd-faf9-4ac9-94ec-4acad015e8d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5C40-AFBA-4F2A-A6DB-C8C7C71B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OCC's Motion for Leave to File MTI out of Time - 22-41-EL-RDR - 3.22.22__mrw.docx  -  Read-Only.docx</vt:lpstr>
    </vt:vector>
  </TitlesOfParts>
  <Company/>
  <LinksUpToDate>false</LinksUpToDate>
  <CharactersWithSpaces>13089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2022-03-22T19:58:23Z</dcterms:created>
  <dcterms:modified xsi:type="dcterms:W3CDTF">2022-03-22T19:58:23Z</dcterms:modified>
</cp:coreProperties>
</file>