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33F75" w14:textId="77777777" w:rsidR="00953523" w:rsidRPr="00C90501" w:rsidRDefault="00953523" w:rsidP="00953523">
      <w:pPr>
        <w:pStyle w:val="Title"/>
        <w:widowControl w:val="0"/>
        <w:rPr>
          <w:rFonts w:ascii="Arial" w:hAnsi="Arial" w:cs="Arial"/>
          <w:szCs w:val="24"/>
        </w:rPr>
      </w:pPr>
      <w:r w:rsidRPr="00C90501">
        <w:rPr>
          <w:rFonts w:ascii="Arial" w:hAnsi="Arial" w:cs="Arial"/>
          <w:szCs w:val="24"/>
        </w:rPr>
        <w:t>BEFORE</w:t>
      </w:r>
    </w:p>
    <w:p w14:paraId="43E62DE4" w14:textId="77777777" w:rsidR="00953523" w:rsidRPr="00C90501" w:rsidRDefault="00953523" w:rsidP="0095352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C90501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953523" w:rsidRPr="00C90501" w14:paraId="706630BF" w14:textId="77777777" w:rsidTr="00605775">
        <w:trPr>
          <w:trHeight w:val="873"/>
          <w:jc w:val="center"/>
        </w:trPr>
        <w:tc>
          <w:tcPr>
            <w:tcW w:w="4739" w:type="dxa"/>
          </w:tcPr>
          <w:p w14:paraId="707B5B1E" w14:textId="77777777" w:rsidR="00953523" w:rsidRPr="00C90501" w:rsidRDefault="00953523" w:rsidP="006057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501">
              <w:rPr>
                <w:rFonts w:ascii="Arial" w:hAnsi="Arial" w:cs="Arial"/>
                <w:sz w:val="24"/>
                <w:szCs w:val="24"/>
              </w:rPr>
              <w:t>In the Matter of Application of Duke Energy Ohio, Inc. to Adjust Rider DR-IM and Rider AU for 2013 Grid Modernization Costs.</w:t>
            </w:r>
          </w:p>
        </w:tc>
        <w:tc>
          <w:tcPr>
            <w:tcW w:w="630" w:type="dxa"/>
          </w:tcPr>
          <w:p w14:paraId="47637F31" w14:textId="77777777" w:rsidR="00953523" w:rsidRPr="00C90501" w:rsidRDefault="00953523" w:rsidP="006057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50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1346DA" w14:textId="77777777" w:rsidR="00953523" w:rsidRPr="00C90501" w:rsidRDefault="00953523" w:rsidP="006057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50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92010C" w14:textId="77777777" w:rsidR="00953523" w:rsidRPr="00C90501" w:rsidRDefault="00953523" w:rsidP="006057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50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93EF9C2" w14:textId="77777777" w:rsidR="00953523" w:rsidRPr="00C90501" w:rsidRDefault="00953523" w:rsidP="006057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5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10005D7F" w14:textId="77777777" w:rsidR="00953523" w:rsidRPr="00C90501" w:rsidRDefault="00953523" w:rsidP="0060577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0F98B1" w14:textId="77777777" w:rsidR="00953523" w:rsidRPr="00C90501" w:rsidRDefault="00953523" w:rsidP="0060577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61AA0C" w14:textId="77777777" w:rsidR="00953523" w:rsidRPr="00C90501" w:rsidRDefault="00953523" w:rsidP="0060577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0501">
              <w:rPr>
                <w:rFonts w:ascii="Arial" w:hAnsi="Arial" w:cs="Arial"/>
                <w:sz w:val="24"/>
                <w:szCs w:val="24"/>
              </w:rPr>
              <w:t>Case No. 14-1051-GE-RDR</w:t>
            </w:r>
          </w:p>
          <w:p w14:paraId="4BC56FFE" w14:textId="77777777" w:rsidR="00953523" w:rsidRPr="00C90501" w:rsidRDefault="00953523" w:rsidP="0060577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9088C" w14:textId="77777777" w:rsidR="00953523" w:rsidRPr="00C90501" w:rsidRDefault="00953523" w:rsidP="00953523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779B1C3" w14:textId="77777777" w:rsidR="00953523" w:rsidRPr="00C90501" w:rsidRDefault="00953523" w:rsidP="0095352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A54396" w14:textId="77777777" w:rsidR="00953523" w:rsidRPr="00C90501" w:rsidRDefault="00953523" w:rsidP="0095352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INITIAL BRIEF OF IGS ENERGY</w:t>
      </w:r>
    </w:p>
    <w:p w14:paraId="191E7862" w14:textId="77777777" w:rsidR="00953523" w:rsidRPr="00C90501" w:rsidRDefault="00953523" w:rsidP="00953523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FD057F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45C8A4F7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3D6D6AAD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29A24B9C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523B7491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4DF3B0CC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18D25EF3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599145C6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352EB14B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5B546775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5011CBD8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55C5FD3A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27907928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6C84BA43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3AEA882A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5276756B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2583729F" w14:textId="77777777" w:rsidR="00953523" w:rsidRDefault="00953523" w:rsidP="00953523">
      <w:pPr>
        <w:rPr>
          <w:rFonts w:ascii="Arial" w:hAnsi="Arial" w:cs="Arial"/>
          <w:sz w:val="24"/>
          <w:szCs w:val="24"/>
        </w:rPr>
      </w:pPr>
    </w:p>
    <w:p w14:paraId="3ED1150E" w14:textId="77777777" w:rsidR="00953523" w:rsidRPr="00572396" w:rsidRDefault="00953523" w:rsidP="00953523">
      <w:pPr>
        <w:rPr>
          <w:rFonts w:ascii="Arial" w:hAnsi="Arial" w:cs="Arial"/>
          <w:b/>
          <w:sz w:val="24"/>
          <w:szCs w:val="24"/>
        </w:rPr>
        <w:sectPr w:rsidR="00953523" w:rsidRPr="00572396" w:rsidSect="00DD75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March 9, 2015</w:t>
      </w:r>
    </w:p>
    <w:p w14:paraId="76218503" w14:textId="133634A3" w:rsidR="00284EA3" w:rsidRDefault="00284EA3" w:rsidP="005A109D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Interstate Gas Supply, Inc. (“IGS”) hereby files its Initial Brie</w:t>
      </w:r>
      <w:r w:rsidR="008812CC">
        <w:rPr>
          <w:rFonts w:ascii="Arial" w:hAnsi="Arial" w:cs="Arial"/>
          <w:sz w:val="24"/>
          <w:szCs w:val="24"/>
        </w:rPr>
        <w:t>f to address two limited issues</w:t>
      </w:r>
      <w:r w:rsidR="003F7B38">
        <w:rPr>
          <w:rFonts w:ascii="Arial" w:hAnsi="Arial" w:cs="Arial"/>
          <w:sz w:val="24"/>
          <w:szCs w:val="24"/>
        </w:rPr>
        <w:t xml:space="preserve"> related to Duke Energy Ohio, Inc.’s (“Duke”)</w:t>
      </w:r>
      <w:r w:rsidR="00F64EA7">
        <w:rPr>
          <w:rFonts w:ascii="Arial" w:hAnsi="Arial" w:cs="Arial"/>
          <w:sz w:val="24"/>
          <w:szCs w:val="24"/>
        </w:rPr>
        <w:t xml:space="preserve"> application to collect costs associated with its</w:t>
      </w:r>
      <w:r w:rsidR="003F7B38">
        <w:rPr>
          <w:rFonts w:ascii="Arial" w:hAnsi="Arial" w:cs="Arial"/>
          <w:sz w:val="24"/>
          <w:szCs w:val="24"/>
        </w:rPr>
        <w:t xml:space="preserve"> Smart Grid deployment.  First, it is apparent that </w:t>
      </w:r>
      <w:r w:rsidR="00BF3C8C">
        <w:rPr>
          <w:rFonts w:ascii="Arial" w:hAnsi="Arial" w:cs="Arial"/>
          <w:sz w:val="24"/>
          <w:szCs w:val="24"/>
        </w:rPr>
        <w:t xml:space="preserve">Duke </w:t>
      </w:r>
      <w:r w:rsidR="003F7B38">
        <w:rPr>
          <w:rFonts w:ascii="Arial" w:hAnsi="Arial" w:cs="Arial"/>
          <w:sz w:val="24"/>
          <w:szCs w:val="24"/>
        </w:rPr>
        <w:t xml:space="preserve">must continue to implement </w:t>
      </w:r>
      <w:r w:rsidR="008812CC">
        <w:rPr>
          <w:rFonts w:ascii="Arial" w:hAnsi="Arial" w:cs="Arial"/>
          <w:sz w:val="24"/>
          <w:szCs w:val="24"/>
        </w:rPr>
        <w:t>additional</w:t>
      </w:r>
      <w:r w:rsidR="003F7B38">
        <w:rPr>
          <w:rFonts w:ascii="Arial" w:hAnsi="Arial" w:cs="Arial"/>
          <w:sz w:val="24"/>
          <w:szCs w:val="24"/>
        </w:rPr>
        <w:t xml:space="preserve"> measures</w:t>
      </w:r>
      <w:r w:rsidR="00606B87">
        <w:rPr>
          <w:rFonts w:ascii="Arial" w:hAnsi="Arial" w:cs="Arial"/>
          <w:sz w:val="24"/>
          <w:szCs w:val="24"/>
        </w:rPr>
        <w:t xml:space="preserve"> to ensure that its Smart Grid deployment provides benefits to its</w:t>
      </w:r>
      <w:r w:rsidR="005A109D">
        <w:rPr>
          <w:rFonts w:ascii="Arial" w:hAnsi="Arial" w:cs="Arial"/>
          <w:sz w:val="24"/>
          <w:szCs w:val="24"/>
        </w:rPr>
        <w:t xml:space="preserve"> customers</w:t>
      </w:r>
      <w:r w:rsidR="00606B87">
        <w:rPr>
          <w:rFonts w:ascii="Arial" w:hAnsi="Arial" w:cs="Arial"/>
          <w:sz w:val="24"/>
          <w:szCs w:val="24"/>
        </w:rPr>
        <w:t>.</w:t>
      </w:r>
      <w:r w:rsidR="008812CC">
        <w:rPr>
          <w:rFonts w:ascii="Arial" w:hAnsi="Arial" w:cs="Arial"/>
          <w:sz w:val="24"/>
          <w:szCs w:val="24"/>
        </w:rPr>
        <w:t xml:space="preserve">  Second, IGS requests that the Commission clarify in its Opinion and Order that utility investment may be recovered </w:t>
      </w:r>
      <w:r w:rsidR="008812CC" w:rsidRPr="00606B87">
        <w:rPr>
          <w:rFonts w:ascii="Arial" w:hAnsi="Arial" w:cs="Arial"/>
          <w:i/>
          <w:sz w:val="24"/>
          <w:szCs w:val="24"/>
        </w:rPr>
        <w:t xml:space="preserve">only </w:t>
      </w:r>
      <w:r w:rsidR="008812CC">
        <w:rPr>
          <w:rFonts w:ascii="Arial" w:hAnsi="Arial" w:cs="Arial"/>
          <w:sz w:val="24"/>
          <w:szCs w:val="24"/>
        </w:rPr>
        <w:t xml:space="preserve">to the extent that it is prudent and reasonable. 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EF8B680" w14:textId="3ED7FC0A" w:rsidR="00284EA3" w:rsidRDefault="00C83D22" w:rsidP="005A109D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D6BC1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Public Utilities</w:t>
      </w:r>
      <w:r w:rsidRPr="009D6BC1">
        <w:rPr>
          <w:rFonts w:ascii="Arial" w:hAnsi="Arial" w:cs="Arial"/>
          <w:sz w:val="24"/>
          <w:szCs w:val="24"/>
        </w:rPr>
        <w:t xml:space="preserve"> Commission</w:t>
      </w:r>
      <w:r>
        <w:rPr>
          <w:rFonts w:ascii="Arial" w:hAnsi="Arial" w:cs="Arial"/>
          <w:sz w:val="24"/>
          <w:szCs w:val="24"/>
        </w:rPr>
        <w:t xml:space="preserve"> of Ohio (“Commission”)</w:t>
      </w:r>
      <w:r w:rsidR="003F7B38">
        <w:rPr>
          <w:rFonts w:ascii="Arial" w:hAnsi="Arial" w:cs="Arial"/>
          <w:sz w:val="24"/>
          <w:szCs w:val="24"/>
        </w:rPr>
        <w:t xml:space="preserve"> authorized </w:t>
      </w:r>
      <w:r w:rsidR="00284EA3">
        <w:rPr>
          <w:rFonts w:ascii="Arial" w:hAnsi="Arial" w:cs="Arial"/>
          <w:sz w:val="24"/>
          <w:szCs w:val="24"/>
        </w:rPr>
        <w:t>Duke</w:t>
      </w:r>
      <w:r w:rsidRPr="009D6BC1">
        <w:rPr>
          <w:rFonts w:ascii="Arial" w:hAnsi="Arial" w:cs="Arial"/>
          <w:sz w:val="24"/>
          <w:szCs w:val="24"/>
        </w:rPr>
        <w:t xml:space="preserve"> to implement Smart</w:t>
      </w:r>
      <w:r w:rsidR="003F7B38">
        <w:rPr>
          <w:rFonts w:ascii="Arial" w:hAnsi="Arial" w:cs="Arial"/>
          <w:sz w:val="24"/>
          <w:szCs w:val="24"/>
        </w:rPr>
        <w:t xml:space="preserve"> </w:t>
      </w:r>
      <w:r w:rsidRPr="009D6BC1">
        <w:rPr>
          <w:rFonts w:ascii="Arial" w:hAnsi="Arial" w:cs="Arial"/>
          <w:sz w:val="24"/>
          <w:szCs w:val="24"/>
        </w:rPr>
        <w:t>Grid technology in its service territory</w:t>
      </w:r>
      <w:r>
        <w:rPr>
          <w:rFonts w:ascii="Arial" w:hAnsi="Arial" w:cs="Arial"/>
          <w:sz w:val="24"/>
          <w:szCs w:val="24"/>
        </w:rPr>
        <w:t xml:space="preserve"> in Duke’s first electric security plan case</w:t>
      </w:r>
      <w:r w:rsidRPr="009D6BC1">
        <w:rPr>
          <w:rFonts w:ascii="Arial" w:hAnsi="Arial" w:cs="Arial"/>
          <w:sz w:val="24"/>
          <w:szCs w:val="24"/>
        </w:rPr>
        <w:t>.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284EA3">
        <w:rPr>
          <w:rFonts w:ascii="Arial" w:hAnsi="Arial" w:cs="Arial"/>
          <w:sz w:val="24"/>
          <w:szCs w:val="24"/>
        </w:rPr>
        <w:t xml:space="preserve">  Nearly six years later, </w:t>
      </w:r>
      <w:r>
        <w:rPr>
          <w:rFonts w:ascii="Arial" w:hAnsi="Arial" w:cs="Arial"/>
          <w:sz w:val="24"/>
          <w:szCs w:val="24"/>
        </w:rPr>
        <w:t>Duke</w:t>
      </w:r>
      <w:r w:rsidR="00284EA3">
        <w:rPr>
          <w:rFonts w:ascii="Arial" w:hAnsi="Arial" w:cs="Arial"/>
          <w:sz w:val="24"/>
          <w:szCs w:val="24"/>
        </w:rPr>
        <w:t xml:space="preserve"> now</w:t>
      </w:r>
      <w:r>
        <w:rPr>
          <w:rFonts w:ascii="Arial" w:hAnsi="Arial" w:cs="Arial"/>
          <w:sz w:val="24"/>
          <w:szCs w:val="24"/>
        </w:rPr>
        <w:t xml:space="preserve"> claims that Smart Grid deployment is almost complete.</w:t>
      </w:r>
      <w:r w:rsidR="008812CC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284EA3">
        <w:rPr>
          <w:rFonts w:ascii="Arial" w:hAnsi="Arial" w:cs="Arial"/>
          <w:sz w:val="24"/>
          <w:szCs w:val="24"/>
        </w:rPr>
        <w:t xml:space="preserve">  While Duke may have completed meter installation, that is only the first step to ensuring that </w:t>
      </w:r>
      <w:r w:rsidR="00BF3C8C">
        <w:rPr>
          <w:rFonts w:ascii="Arial" w:hAnsi="Arial" w:cs="Arial"/>
          <w:sz w:val="24"/>
          <w:szCs w:val="24"/>
        </w:rPr>
        <w:t>Smart G</w:t>
      </w:r>
      <w:r w:rsidR="00284EA3">
        <w:rPr>
          <w:rFonts w:ascii="Arial" w:hAnsi="Arial" w:cs="Arial"/>
          <w:sz w:val="24"/>
          <w:szCs w:val="24"/>
        </w:rPr>
        <w:t xml:space="preserve">rid deployment provides benefits to customers in Duke’s service territory.  </w:t>
      </w:r>
    </w:p>
    <w:p w14:paraId="267E5ACA" w14:textId="52888555" w:rsidR="00BF3C8C" w:rsidRDefault="00284EA3" w:rsidP="005A109D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step</w:t>
      </w:r>
      <w:r w:rsidR="00BF3C8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which should have been completed in tandem with</w:t>
      </w:r>
      <w:r w:rsidR="004B0595">
        <w:rPr>
          <w:rFonts w:ascii="Arial" w:hAnsi="Arial" w:cs="Arial"/>
          <w:sz w:val="24"/>
          <w:szCs w:val="24"/>
        </w:rPr>
        <w:t xml:space="preserve"> Smart Grid</w:t>
      </w:r>
      <w:r>
        <w:rPr>
          <w:rFonts w:ascii="Arial" w:hAnsi="Arial" w:cs="Arial"/>
          <w:sz w:val="24"/>
          <w:szCs w:val="24"/>
        </w:rPr>
        <w:t xml:space="preserve"> deployment</w:t>
      </w:r>
      <w:r w:rsidR="00BF3C8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is to provide </w:t>
      </w:r>
      <w:r w:rsidR="00852505">
        <w:rPr>
          <w:rFonts w:ascii="Arial" w:hAnsi="Arial" w:cs="Arial"/>
          <w:sz w:val="24"/>
          <w:szCs w:val="24"/>
        </w:rPr>
        <w:t xml:space="preserve">access to, </w:t>
      </w:r>
      <w:r w:rsidR="00606B87">
        <w:rPr>
          <w:rFonts w:ascii="Arial" w:hAnsi="Arial" w:cs="Arial"/>
          <w:sz w:val="24"/>
          <w:szCs w:val="24"/>
        </w:rPr>
        <w:t>and transmission</w:t>
      </w:r>
      <w:r w:rsidR="00852505">
        <w:rPr>
          <w:rFonts w:ascii="Arial" w:hAnsi="Arial" w:cs="Arial"/>
          <w:sz w:val="24"/>
          <w:szCs w:val="24"/>
        </w:rPr>
        <w:t xml:space="preserve"> of, </w:t>
      </w:r>
      <w:r>
        <w:rPr>
          <w:rFonts w:ascii="Arial" w:hAnsi="Arial" w:cs="Arial"/>
          <w:sz w:val="24"/>
          <w:szCs w:val="24"/>
        </w:rPr>
        <w:t>smart meter interval data to competitive retail electric service (“CRES”) providers so that they may offer customers smart meter-enabled products and services.</w:t>
      </w:r>
      <w:r w:rsidR="00BF3C8C">
        <w:rPr>
          <w:rFonts w:ascii="Arial" w:hAnsi="Arial" w:cs="Arial"/>
          <w:sz w:val="24"/>
          <w:szCs w:val="24"/>
        </w:rPr>
        <w:t xml:space="preserve"> </w:t>
      </w:r>
      <w:r w:rsidR="00F74BAD">
        <w:rPr>
          <w:rFonts w:ascii="Arial" w:hAnsi="Arial" w:cs="Arial"/>
          <w:sz w:val="24"/>
          <w:szCs w:val="24"/>
        </w:rPr>
        <w:t xml:space="preserve"> </w:t>
      </w:r>
      <w:r w:rsidR="00BF3C8C">
        <w:rPr>
          <w:rFonts w:ascii="Arial" w:hAnsi="Arial" w:cs="Arial"/>
          <w:sz w:val="24"/>
          <w:szCs w:val="24"/>
        </w:rPr>
        <w:t>Duke has committed on multiple occasions to make available smart meter data to CRES providers.</w:t>
      </w:r>
      <w:r w:rsidR="00332A96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BF3C8C">
        <w:rPr>
          <w:rFonts w:ascii="Arial" w:hAnsi="Arial" w:cs="Arial"/>
          <w:sz w:val="24"/>
          <w:szCs w:val="24"/>
        </w:rPr>
        <w:t xml:space="preserve"> Further, the </w:t>
      </w:r>
      <w:r w:rsidR="00BF3C8C">
        <w:rPr>
          <w:rFonts w:ascii="Arial" w:hAnsi="Arial" w:cs="Arial"/>
          <w:sz w:val="24"/>
          <w:szCs w:val="24"/>
        </w:rPr>
        <w:lastRenderedPageBreak/>
        <w:t xml:space="preserve">Commission has relied on Duke’s commitments as a basis to grant Duke </w:t>
      </w:r>
      <w:proofErr w:type="gramStart"/>
      <w:r w:rsidR="00BF3C8C">
        <w:rPr>
          <w:rFonts w:ascii="Arial" w:hAnsi="Arial" w:cs="Arial"/>
          <w:sz w:val="24"/>
          <w:szCs w:val="24"/>
        </w:rPr>
        <w:t>hundreds</w:t>
      </w:r>
      <w:proofErr w:type="gramEnd"/>
      <w:r w:rsidR="00BF3C8C">
        <w:rPr>
          <w:rFonts w:ascii="Arial" w:hAnsi="Arial" w:cs="Arial"/>
          <w:sz w:val="24"/>
          <w:szCs w:val="24"/>
        </w:rPr>
        <w:t xml:space="preserve"> of millions of dollars in cost recovery.</w:t>
      </w:r>
      <w:r w:rsidR="00F74BAD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="00606B87">
        <w:rPr>
          <w:rFonts w:ascii="Arial" w:hAnsi="Arial" w:cs="Arial"/>
          <w:sz w:val="24"/>
          <w:szCs w:val="24"/>
        </w:rPr>
        <w:t xml:space="preserve">  But</w:t>
      </w:r>
      <w:r w:rsidR="00BF3C8C">
        <w:rPr>
          <w:rFonts w:ascii="Arial" w:hAnsi="Arial" w:cs="Arial"/>
          <w:sz w:val="24"/>
          <w:szCs w:val="24"/>
        </w:rPr>
        <w:t xml:space="preserve">, Duke has yet to satisfy its commitments. </w:t>
      </w:r>
      <w:r w:rsidR="00F74BAD">
        <w:rPr>
          <w:rFonts w:ascii="Arial" w:hAnsi="Arial" w:cs="Arial"/>
          <w:sz w:val="24"/>
          <w:szCs w:val="24"/>
        </w:rPr>
        <w:t xml:space="preserve"> </w:t>
      </w:r>
      <w:r w:rsidR="00BF3C8C">
        <w:rPr>
          <w:rFonts w:ascii="Arial" w:hAnsi="Arial" w:cs="Arial"/>
          <w:sz w:val="24"/>
          <w:szCs w:val="24"/>
        </w:rPr>
        <w:t>And</w:t>
      </w:r>
      <w:r w:rsidR="00852505">
        <w:rPr>
          <w:rFonts w:ascii="Arial" w:hAnsi="Arial" w:cs="Arial"/>
          <w:sz w:val="24"/>
          <w:szCs w:val="24"/>
        </w:rPr>
        <w:t>,</w:t>
      </w:r>
      <w:r w:rsidR="00BF3C8C">
        <w:rPr>
          <w:rFonts w:ascii="Arial" w:hAnsi="Arial" w:cs="Arial"/>
          <w:sz w:val="24"/>
          <w:szCs w:val="24"/>
        </w:rPr>
        <w:t xml:space="preserve"> Duke has given every indication that it has no intention t</w:t>
      </w:r>
      <w:r w:rsidR="00F74BAD">
        <w:rPr>
          <w:rFonts w:ascii="Arial" w:hAnsi="Arial" w:cs="Arial"/>
          <w:sz w:val="24"/>
          <w:szCs w:val="24"/>
        </w:rPr>
        <w:t xml:space="preserve">o meet its obligations, absent another </w:t>
      </w:r>
      <w:r w:rsidR="00BF3C8C">
        <w:rPr>
          <w:rFonts w:ascii="Arial" w:hAnsi="Arial" w:cs="Arial"/>
          <w:sz w:val="24"/>
          <w:szCs w:val="24"/>
        </w:rPr>
        <w:t xml:space="preserve">direct and unambiguous order from the Commission </w:t>
      </w:r>
      <w:r w:rsidR="00C03311">
        <w:rPr>
          <w:rFonts w:ascii="Arial" w:hAnsi="Arial" w:cs="Arial"/>
          <w:sz w:val="24"/>
          <w:szCs w:val="24"/>
        </w:rPr>
        <w:t>requiring</w:t>
      </w:r>
      <w:r w:rsidR="00BF3C8C">
        <w:rPr>
          <w:rFonts w:ascii="Arial" w:hAnsi="Arial" w:cs="Arial"/>
          <w:sz w:val="24"/>
          <w:szCs w:val="24"/>
        </w:rPr>
        <w:t xml:space="preserve"> Duke to do so.  </w:t>
      </w:r>
    </w:p>
    <w:p w14:paraId="07A44D85" w14:textId="34E73E96" w:rsidR="004B0595" w:rsidRDefault="003F7B38" w:rsidP="005A109D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IGS is confident that </w:t>
      </w:r>
      <w:r w:rsidR="004B0595">
        <w:rPr>
          <w:rFonts w:ascii="Arial" w:hAnsi="Arial" w:cs="Arial"/>
          <w:sz w:val="24"/>
          <w:szCs w:val="24"/>
        </w:rPr>
        <w:t>the Commission will address this issue</w:t>
      </w:r>
      <w:r>
        <w:rPr>
          <w:rFonts w:ascii="Arial" w:hAnsi="Arial" w:cs="Arial"/>
          <w:sz w:val="24"/>
          <w:szCs w:val="24"/>
        </w:rPr>
        <w:t xml:space="preserve"> in Case No. 14-2209-EL-ATA.</w:t>
      </w:r>
      <w:r w:rsidR="00756E2F">
        <w:rPr>
          <w:rStyle w:val="FootnoteReference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  But the Commission should keep in mind that </w:t>
      </w:r>
      <w:r w:rsidR="004B0595">
        <w:rPr>
          <w:rFonts w:ascii="Arial" w:hAnsi="Arial" w:cs="Arial"/>
          <w:sz w:val="24"/>
          <w:szCs w:val="24"/>
        </w:rPr>
        <w:t>any cost recovery</w:t>
      </w:r>
      <w:r>
        <w:rPr>
          <w:rFonts w:ascii="Arial" w:hAnsi="Arial" w:cs="Arial"/>
          <w:sz w:val="24"/>
          <w:szCs w:val="24"/>
        </w:rPr>
        <w:t xml:space="preserve"> authorized in this proceeding </w:t>
      </w:r>
      <w:r w:rsidR="004B0595"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</w:t>
      </w:r>
      <w:r w:rsidR="00852505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wasteful unless the Commission also requires Duke to provide interval data to CRES providers.</w:t>
      </w:r>
    </w:p>
    <w:p w14:paraId="453EAB20" w14:textId="46D79A91" w:rsidR="00441F58" w:rsidRDefault="003F7B38" w:rsidP="005A109D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</w:t>
      </w:r>
      <w:r w:rsidR="004B0595">
        <w:rPr>
          <w:rFonts w:ascii="Arial" w:hAnsi="Arial" w:cs="Arial"/>
          <w:sz w:val="24"/>
          <w:szCs w:val="24"/>
        </w:rPr>
        <w:t>lly,</w:t>
      </w:r>
      <w:r>
        <w:rPr>
          <w:rFonts w:ascii="Arial" w:hAnsi="Arial" w:cs="Arial"/>
          <w:sz w:val="24"/>
          <w:szCs w:val="24"/>
        </w:rPr>
        <w:t xml:space="preserve"> IGS and the Office of the Ohio Consumers’ Counsel</w:t>
      </w:r>
      <w:r w:rsidR="00DE6FF7">
        <w:rPr>
          <w:rFonts w:ascii="Arial" w:hAnsi="Arial" w:cs="Arial"/>
          <w:sz w:val="24"/>
          <w:szCs w:val="24"/>
        </w:rPr>
        <w:t xml:space="preserve"> (“OCC”)</w:t>
      </w:r>
      <w:r w:rsidR="004B0595">
        <w:rPr>
          <w:rFonts w:ascii="Arial" w:hAnsi="Arial" w:cs="Arial"/>
          <w:sz w:val="24"/>
          <w:szCs w:val="24"/>
        </w:rPr>
        <w:t xml:space="preserve"> submitted testimony recommending that the </w:t>
      </w:r>
      <w:r>
        <w:rPr>
          <w:rFonts w:ascii="Arial" w:hAnsi="Arial" w:cs="Arial"/>
          <w:sz w:val="24"/>
          <w:szCs w:val="24"/>
        </w:rPr>
        <w:t>Commission</w:t>
      </w:r>
      <w:r w:rsidR="004B0595">
        <w:rPr>
          <w:rFonts w:ascii="Arial" w:hAnsi="Arial" w:cs="Arial"/>
          <w:sz w:val="24"/>
          <w:szCs w:val="24"/>
        </w:rPr>
        <w:t xml:space="preserve"> </w:t>
      </w:r>
      <w:r w:rsidR="00DD0F6D">
        <w:rPr>
          <w:rFonts w:ascii="Arial" w:hAnsi="Arial" w:cs="Arial"/>
          <w:sz w:val="24"/>
          <w:szCs w:val="24"/>
        </w:rPr>
        <w:t>disallow a portion of</w:t>
      </w:r>
      <w:r>
        <w:rPr>
          <w:rFonts w:ascii="Arial" w:hAnsi="Arial" w:cs="Arial"/>
          <w:sz w:val="24"/>
          <w:szCs w:val="24"/>
        </w:rPr>
        <w:t xml:space="preserve"> Duke</w:t>
      </w:r>
      <w:r w:rsidR="00DD0F6D">
        <w:rPr>
          <w:rFonts w:ascii="Arial" w:hAnsi="Arial" w:cs="Arial"/>
          <w:sz w:val="24"/>
          <w:szCs w:val="24"/>
        </w:rPr>
        <w:t>’s  Smart Grid</w:t>
      </w:r>
      <w:r>
        <w:rPr>
          <w:rFonts w:ascii="Arial" w:hAnsi="Arial" w:cs="Arial"/>
          <w:sz w:val="24"/>
          <w:szCs w:val="24"/>
        </w:rPr>
        <w:t xml:space="preserve"> expendi</w:t>
      </w:r>
      <w:r w:rsidR="00DD0F6D">
        <w:rPr>
          <w:rFonts w:ascii="Arial" w:hAnsi="Arial" w:cs="Arial"/>
          <w:sz w:val="24"/>
          <w:szCs w:val="24"/>
        </w:rPr>
        <w:t>tures because they were not</w:t>
      </w:r>
      <w:r w:rsidR="00DE6FF7">
        <w:rPr>
          <w:rFonts w:ascii="Arial" w:hAnsi="Arial" w:cs="Arial"/>
          <w:sz w:val="24"/>
          <w:szCs w:val="24"/>
        </w:rPr>
        <w:t xml:space="preserve"> prudent</w:t>
      </w:r>
      <w:r w:rsidR="004B0595">
        <w:rPr>
          <w:rFonts w:ascii="Arial" w:hAnsi="Arial" w:cs="Arial"/>
          <w:sz w:val="24"/>
          <w:szCs w:val="24"/>
        </w:rPr>
        <w:t>ly and reasonably incurred.  An Entry granted Duke’s reques</w:t>
      </w:r>
      <w:r w:rsidR="00606B87">
        <w:rPr>
          <w:rFonts w:ascii="Arial" w:hAnsi="Arial" w:cs="Arial"/>
          <w:sz w:val="24"/>
          <w:szCs w:val="24"/>
        </w:rPr>
        <w:t>t to strike both IGS’s and OCC’s t</w:t>
      </w:r>
      <w:r w:rsidR="00DD0F6D">
        <w:rPr>
          <w:rFonts w:ascii="Arial" w:hAnsi="Arial" w:cs="Arial"/>
          <w:sz w:val="24"/>
          <w:szCs w:val="24"/>
        </w:rPr>
        <w:t>estimony.</w:t>
      </w:r>
      <w:r w:rsidR="005A109D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4B0595">
        <w:rPr>
          <w:rFonts w:ascii="Arial" w:hAnsi="Arial" w:cs="Arial"/>
          <w:sz w:val="24"/>
          <w:szCs w:val="24"/>
        </w:rPr>
        <w:t xml:space="preserve"> </w:t>
      </w:r>
      <w:r w:rsidR="00DD0F6D">
        <w:rPr>
          <w:rFonts w:ascii="Arial" w:hAnsi="Arial" w:cs="Arial"/>
          <w:sz w:val="24"/>
          <w:szCs w:val="24"/>
        </w:rPr>
        <w:t xml:space="preserve"> OCC filed an interlocutory appeal, which was subsequently denied</w:t>
      </w:r>
      <w:r w:rsidR="004B0595">
        <w:rPr>
          <w:rFonts w:ascii="Arial" w:hAnsi="Arial" w:cs="Arial"/>
          <w:sz w:val="24"/>
          <w:szCs w:val="24"/>
        </w:rPr>
        <w:t>.</w:t>
      </w:r>
      <w:r w:rsidR="005A109D">
        <w:rPr>
          <w:rStyle w:val="FootnoteReference"/>
          <w:rFonts w:ascii="Arial" w:hAnsi="Arial" w:cs="Arial"/>
          <w:sz w:val="24"/>
          <w:szCs w:val="24"/>
        </w:rPr>
        <w:footnoteReference w:id="7"/>
      </w:r>
      <w:r w:rsidR="004B0595">
        <w:rPr>
          <w:rFonts w:ascii="Arial" w:hAnsi="Arial" w:cs="Arial"/>
          <w:sz w:val="24"/>
          <w:szCs w:val="24"/>
        </w:rPr>
        <w:t xml:space="preserve">  </w:t>
      </w:r>
    </w:p>
    <w:p w14:paraId="1037D33A" w14:textId="6DD59DDE" w:rsidR="004B0595" w:rsidRDefault="00441F58" w:rsidP="005A109D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IGS has determined to</w:t>
      </w:r>
      <w:r w:rsidR="00606B87">
        <w:rPr>
          <w:rFonts w:ascii="Arial" w:hAnsi="Arial" w:cs="Arial"/>
          <w:sz w:val="24"/>
          <w:szCs w:val="24"/>
        </w:rPr>
        <w:t xml:space="preserve"> not challenge the decision to s</w:t>
      </w:r>
      <w:r>
        <w:rPr>
          <w:rFonts w:ascii="Arial" w:hAnsi="Arial" w:cs="Arial"/>
          <w:sz w:val="24"/>
          <w:szCs w:val="24"/>
        </w:rPr>
        <w:t>trike the testimony of witness White, IGS requests that the Commission</w:t>
      </w:r>
      <w:r w:rsidR="005A109D">
        <w:rPr>
          <w:rFonts w:ascii="Arial" w:hAnsi="Arial" w:cs="Arial"/>
          <w:sz w:val="24"/>
          <w:szCs w:val="24"/>
        </w:rPr>
        <w:t xml:space="preserve"> clarify the Entry </w:t>
      </w:r>
      <w:r>
        <w:rPr>
          <w:rFonts w:ascii="Arial" w:hAnsi="Arial" w:cs="Arial"/>
          <w:sz w:val="24"/>
          <w:szCs w:val="24"/>
        </w:rPr>
        <w:t xml:space="preserve">denying OCC’s </w:t>
      </w:r>
      <w:r>
        <w:rPr>
          <w:rFonts w:ascii="Arial" w:hAnsi="Arial" w:cs="Arial"/>
          <w:sz w:val="24"/>
          <w:szCs w:val="24"/>
        </w:rPr>
        <w:lastRenderedPageBreak/>
        <w:t>interlocutory appeal.</w:t>
      </w:r>
      <w:r w:rsidR="004B0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</w:t>
      </w:r>
      <w:r w:rsidR="004B0595">
        <w:rPr>
          <w:rFonts w:ascii="Arial" w:hAnsi="Arial" w:cs="Arial"/>
          <w:sz w:val="24"/>
          <w:szCs w:val="24"/>
        </w:rPr>
        <w:t>t is unclea</w:t>
      </w:r>
      <w:r w:rsidR="005A109D">
        <w:rPr>
          <w:rFonts w:ascii="Arial" w:hAnsi="Arial" w:cs="Arial"/>
          <w:sz w:val="24"/>
          <w:szCs w:val="24"/>
        </w:rPr>
        <w:t>r whether the Entry</w:t>
      </w:r>
      <w:r w:rsidR="004B0595">
        <w:rPr>
          <w:rFonts w:ascii="Arial" w:hAnsi="Arial" w:cs="Arial"/>
          <w:sz w:val="24"/>
          <w:szCs w:val="24"/>
        </w:rPr>
        <w:t xml:space="preserve"> determined that cost recovery is conditioned upon a demonstration of p</w:t>
      </w:r>
      <w:r w:rsidR="005A109D">
        <w:rPr>
          <w:rFonts w:ascii="Arial" w:hAnsi="Arial" w:cs="Arial"/>
          <w:sz w:val="24"/>
          <w:szCs w:val="24"/>
        </w:rPr>
        <w:t>rudence.  The Entry</w:t>
      </w:r>
      <w:r w:rsidR="004B0595">
        <w:rPr>
          <w:rFonts w:ascii="Arial" w:hAnsi="Arial" w:cs="Arial"/>
          <w:sz w:val="24"/>
          <w:szCs w:val="24"/>
        </w:rPr>
        <w:t xml:space="preserve"> stated:</w:t>
      </w:r>
    </w:p>
    <w:p w14:paraId="48AF216D" w14:textId="77777777" w:rsidR="00DD0F6D" w:rsidRDefault="004B0595" w:rsidP="005A109D">
      <w:pPr>
        <w:spacing w:after="120" w:line="240" w:lineRule="auto"/>
        <w:ind w:left="720" w:right="720"/>
        <w:jc w:val="both"/>
        <w:rPr>
          <w:rFonts w:ascii="Arial" w:hAnsi="Arial" w:cs="Arial"/>
          <w:sz w:val="24"/>
          <w:szCs w:val="24"/>
        </w:rPr>
      </w:pPr>
      <w:r w:rsidRPr="004B0595">
        <w:rPr>
          <w:rFonts w:ascii="Arial" w:hAnsi="Arial" w:cs="Arial"/>
          <w:sz w:val="24"/>
          <w:szCs w:val="24"/>
        </w:rPr>
        <w:t>OCC’</w:t>
      </w:r>
      <w:r>
        <w:rPr>
          <w:rFonts w:ascii="Arial" w:hAnsi="Arial" w:cs="Arial"/>
          <w:sz w:val="24"/>
          <w:szCs w:val="24"/>
        </w:rPr>
        <w:t xml:space="preserve">s attempt to introduce evidence </w:t>
      </w:r>
      <w:r w:rsidRPr="004B0595">
        <w:rPr>
          <w:rFonts w:ascii="Arial" w:hAnsi="Arial" w:cs="Arial"/>
          <w:sz w:val="24"/>
          <w:szCs w:val="24"/>
        </w:rPr>
        <w:t>regarding Duke’s disconn</w:t>
      </w:r>
      <w:r>
        <w:rPr>
          <w:rFonts w:ascii="Arial" w:hAnsi="Arial" w:cs="Arial"/>
          <w:sz w:val="24"/>
          <w:szCs w:val="24"/>
        </w:rPr>
        <w:t xml:space="preserve">ection practices and credit and </w:t>
      </w:r>
      <w:r w:rsidRPr="004B0595">
        <w:rPr>
          <w:rFonts w:ascii="Arial" w:hAnsi="Arial" w:cs="Arial"/>
          <w:sz w:val="24"/>
          <w:szCs w:val="24"/>
        </w:rPr>
        <w:t>collections policies, which are not</w:t>
      </w:r>
      <w:r>
        <w:rPr>
          <w:rFonts w:ascii="Arial" w:hAnsi="Arial" w:cs="Arial"/>
          <w:sz w:val="24"/>
          <w:szCs w:val="24"/>
        </w:rPr>
        <w:t xml:space="preserve"> within the scope of this case, </w:t>
      </w:r>
      <w:r w:rsidRPr="004B0595">
        <w:rPr>
          <w:rFonts w:ascii="Arial" w:hAnsi="Arial" w:cs="Arial"/>
          <w:sz w:val="24"/>
          <w:szCs w:val="24"/>
        </w:rPr>
        <w:t>is clearly inappropriate. The p</w:t>
      </w:r>
      <w:r>
        <w:rPr>
          <w:rFonts w:ascii="Arial" w:hAnsi="Arial" w:cs="Arial"/>
          <w:sz w:val="24"/>
          <w:szCs w:val="24"/>
        </w:rPr>
        <w:t xml:space="preserve">urpose of this proceeding is to </w:t>
      </w:r>
      <w:r w:rsidRPr="004B0595">
        <w:rPr>
          <w:rFonts w:ascii="Arial" w:hAnsi="Arial" w:cs="Arial"/>
          <w:sz w:val="24"/>
          <w:szCs w:val="24"/>
        </w:rPr>
        <w:t xml:space="preserve">determine whether Duke’s </w:t>
      </w:r>
      <w:proofErr w:type="spellStart"/>
      <w:r w:rsidRPr="004B0595">
        <w:rPr>
          <w:rFonts w:ascii="Arial" w:hAnsi="Arial" w:cs="Arial"/>
          <w:sz w:val="24"/>
          <w:szCs w:val="24"/>
        </w:rPr>
        <w:t>SmartGrid</w:t>
      </w:r>
      <w:proofErr w:type="spellEnd"/>
      <w:r w:rsidRPr="004B0595">
        <w:rPr>
          <w:rFonts w:ascii="Arial" w:hAnsi="Arial" w:cs="Arial"/>
          <w:sz w:val="24"/>
          <w:szCs w:val="24"/>
        </w:rPr>
        <w:t xml:space="preserve"> costs were prudently</w:t>
      </w:r>
      <w:r>
        <w:rPr>
          <w:rFonts w:ascii="Arial" w:hAnsi="Arial" w:cs="Arial"/>
          <w:sz w:val="24"/>
          <w:szCs w:val="24"/>
        </w:rPr>
        <w:t xml:space="preserve"> </w:t>
      </w:r>
      <w:r w:rsidRPr="004B0595">
        <w:rPr>
          <w:rFonts w:ascii="Arial" w:hAnsi="Arial" w:cs="Arial"/>
          <w:sz w:val="24"/>
          <w:szCs w:val="24"/>
        </w:rPr>
        <w:t>incurred. It is not an in</w:t>
      </w:r>
      <w:r>
        <w:rPr>
          <w:rFonts w:ascii="Arial" w:hAnsi="Arial" w:cs="Arial"/>
          <w:sz w:val="24"/>
          <w:szCs w:val="24"/>
        </w:rPr>
        <w:t xml:space="preserve">vestigation into whether Duke’s </w:t>
      </w:r>
      <w:r w:rsidRPr="004B0595">
        <w:rPr>
          <w:rFonts w:ascii="Arial" w:hAnsi="Arial" w:cs="Arial"/>
          <w:sz w:val="24"/>
          <w:szCs w:val="24"/>
        </w:rPr>
        <w:t>disconnection practices are appropriate.</w:t>
      </w:r>
    </w:p>
    <w:p w14:paraId="0D21BA67" w14:textId="77777777" w:rsidR="005A109D" w:rsidRDefault="00606B87" w:rsidP="005A109D">
      <w:pPr>
        <w:spacing w:after="120" w:line="240" w:lineRule="auto"/>
        <w:ind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109D">
        <w:rPr>
          <w:rFonts w:ascii="Arial" w:hAnsi="Arial" w:cs="Arial"/>
          <w:sz w:val="24"/>
          <w:szCs w:val="24"/>
        </w:rPr>
        <w:t>****</w:t>
      </w:r>
    </w:p>
    <w:p w14:paraId="5D909D36" w14:textId="11FFEDD6" w:rsidR="00606B87" w:rsidRDefault="005A109D" w:rsidP="00756E2F">
      <w:pPr>
        <w:spacing w:after="120" w:line="240" w:lineRule="auto"/>
        <w:ind w:left="720" w:right="720"/>
        <w:jc w:val="both"/>
        <w:rPr>
          <w:rFonts w:ascii="Arial" w:hAnsi="Arial" w:cs="Arial"/>
          <w:sz w:val="24"/>
          <w:szCs w:val="24"/>
        </w:rPr>
      </w:pPr>
      <w:r w:rsidRPr="00606B87">
        <w:rPr>
          <w:rFonts w:ascii="Arial" w:hAnsi="Arial" w:cs="Arial"/>
          <w:sz w:val="24"/>
          <w:szCs w:val="24"/>
        </w:rPr>
        <w:t>OCC still retains its</w:t>
      </w:r>
      <w:r>
        <w:rPr>
          <w:rFonts w:ascii="Arial" w:hAnsi="Arial" w:cs="Arial"/>
          <w:sz w:val="24"/>
          <w:szCs w:val="24"/>
        </w:rPr>
        <w:t xml:space="preserve"> ability to participate in this </w:t>
      </w:r>
      <w:r w:rsidRPr="00606B87">
        <w:rPr>
          <w:rFonts w:ascii="Arial" w:hAnsi="Arial" w:cs="Arial"/>
          <w:sz w:val="24"/>
          <w:szCs w:val="24"/>
        </w:rPr>
        <w:t>proceeding, seek the ad</w:t>
      </w:r>
      <w:r>
        <w:rPr>
          <w:rFonts w:ascii="Arial" w:hAnsi="Arial" w:cs="Arial"/>
          <w:sz w:val="24"/>
          <w:szCs w:val="24"/>
        </w:rPr>
        <w:t xml:space="preserve">mission of the remainder of Mr. </w:t>
      </w:r>
      <w:r w:rsidRPr="00606B87">
        <w:rPr>
          <w:rFonts w:ascii="Arial" w:hAnsi="Arial" w:cs="Arial"/>
          <w:sz w:val="24"/>
          <w:szCs w:val="24"/>
        </w:rPr>
        <w:t>Williams testimony, and cro</w:t>
      </w:r>
      <w:r>
        <w:rPr>
          <w:rFonts w:ascii="Arial" w:hAnsi="Arial" w:cs="Arial"/>
          <w:sz w:val="24"/>
          <w:szCs w:val="24"/>
        </w:rPr>
        <w:t xml:space="preserve">ss examine witnesses within the </w:t>
      </w:r>
      <w:r w:rsidRPr="00606B87">
        <w:rPr>
          <w:rFonts w:ascii="Arial" w:hAnsi="Arial" w:cs="Arial"/>
          <w:sz w:val="24"/>
          <w:szCs w:val="24"/>
        </w:rPr>
        <w:t>limits set by the Commission for this proceeding, i.e., whether</w:t>
      </w:r>
      <w:r>
        <w:rPr>
          <w:rFonts w:ascii="Arial" w:hAnsi="Arial" w:cs="Arial"/>
          <w:sz w:val="24"/>
          <w:szCs w:val="24"/>
        </w:rPr>
        <w:t xml:space="preserve"> </w:t>
      </w:r>
      <w:r w:rsidRPr="00606B87">
        <w:rPr>
          <w:rFonts w:ascii="Arial" w:hAnsi="Arial" w:cs="Arial"/>
          <w:sz w:val="24"/>
          <w:szCs w:val="24"/>
        </w:rPr>
        <w:t>2013 deployment costs were prudently and reasonably</w:t>
      </w:r>
      <w:r>
        <w:rPr>
          <w:rFonts w:ascii="Arial" w:hAnsi="Arial" w:cs="Arial"/>
          <w:sz w:val="24"/>
          <w:szCs w:val="24"/>
        </w:rPr>
        <w:t xml:space="preserve"> </w:t>
      </w:r>
      <w:r w:rsidRPr="00606B87">
        <w:rPr>
          <w:rFonts w:ascii="Arial" w:hAnsi="Arial" w:cs="Arial"/>
          <w:sz w:val="24"/>
          <w:szCs w:val="24"/>
        </w:rPr>
        <w:t>incurred.</w:t>
      </w:r>
      <w:r>
        <w:rPr>
          <w:rStyle w:val="FootnoteReference"/>
          <w:rFonts w:ascii="Arial" w:hAnsi="Arial" w:cs="Arial"/>
          <w:sz w:val="24"/>
          <w:szCs w:val="24"/>
        </w:rPr>
        <w:footnoteReference w:id="8"/>
      </w:r>
    </w:p>
    <w:p w14:paraId="01A225C6" w14:textId="77777777" w:rsidR="00441F58" w:rsidRDefault="00DD0F6D" w:rsidP="005A109D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agrees that the purpose of this proceeding—as in all cost recovery proceedings—is to determine whether a utility’s costs were prudently incurred.</w:t>
      </w:r>
      <w:r w:rsidR="00441F58">
        <w:rPr>
          <w:rFonts w:ascii="Arial" w:hAnsi="Arial" w:cs="Arial"/>
          <w:sz w:val="24"/>
          <w:szCs w:val="24"/>
        </w:rPr>
        <w:t xml:space="preserve">  This is sound regulatory practice and consistent with precedent.</w:t>
      </w:r>
      <w:r w:rsidR="00441F58">
        <w:rPr>
          <w:rStyle w:val="FootnoteReference"/>
          <w:rFonts w:ascii="Arial" w:hAnsi="Arial" w:cs="Arial"/>
          <w:sz w:val="24"/>
          <w:szCs w:val="24"/>
        </w:rPr>
        <w:footnoteReference w:id="9"/>
      </w:r>
      <w:r>
        <w:rPr>
          <w:rFonts w:ascii="Arial" w:hAnsi="Arial" w:cs="Arial"/>
          <w:sz w:val="24"/>
          <w:szCs w:val="24"/>
        </w:rPr>
        <w:t xml:space="preserve">  IGS respectfully requ</w:t>
      </w:r>
      <w:r w:rsidR="001A46E8">
        <w:rPr>
          <w:rFonts w:ascii="Arial" w:hAnsi="Arial" w:cs="Arial"/>
          <w:sz w:val="24"/>
          <w:szCs w:val="24"/>
        </w:rPr>
        <w:t xml:space="preserve">ests that the Commission </w:t>
      </w:r>
      <w:r w:rsidR="00441F58">
        <w:rPr>
          <w:rFonts w:ascii="Arial" w:hAnsi="Arial" w:cs="Arial"/>
          <w:sz w:val="24"/>
          <w:szCs w:val="24"/>
        </w:rPr>
        <w:t xml:space="preserve">clarify its intent </w:t>
      </w:r>
      <w:r w:rsidR="001A46E8">
        <w:rPr>
          <w:rFonts w:ascii="Arial" w:hAnsi="Arial" w:cs="Arial"/>
          <w:sz w:val="24"/>
          <w:szCs w:val="24"/>
        </w:rPr>
        <w:t>in its opinion and order</w:t>
      </w:r>
      <w:r>
        <w:rPr>
          <w:rFonts w:ascii="Arial" w:hAnsi="Arial" w:cs="Arial"/>
          <w:sz w:val="24"/>
          <w:szCs w:val="24"/>
        </w:rPr>
        <w:t>.</w:t>
      </w:r>
      <w:r w:rsidR="00441F58">
        <w:rPr>
          <w:rFonts w:ascii="Arial" w:hAnsi="Arial" w:cs="Arial"/>
          <w:sz w:val="24"/>
          <w:szCs w:val="24"/>
        </w:rPr>
        <w:t xml:space="preserve"> </w:t>
      </w:r>
    </w:p>
    <w:p w14:paraId="448FC1DF" w14:textId="77777777" w:rsidR="00441F58" w:rsidRDefault="00441F58" w:rsidP="005A109D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Therefore, IGS respectfully requests that the Commission adopt the recommendations contained herein.</w:t>
      </w:r>
    </w:p>
    <w:p w14:paraId="1713EF56" w14:textId="2DA1B64A" w:rsidR="005A109D" w:rsidRPr="00D4459D" w:rsidRDefault="005A109D" w:rsidP="005A109D">
      <w:pPr>
        <w:spacing w:after="0" w:line="240" w:lineRule="auto"/>
        <w:ind w:left="5040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40CA2">
        <w:rPr>
          <w:rFonts w:ascii="Arial" w:eastAsia="Arial" w:hAnsi="Arial" w:cs="Arial"/>
          <w:b/>
          <w:i/>
          <w:sz w:val="24"/>
          <w:szCs w:val="24"/>
          <w:u w:val="single"/>
        </w:rPr>
        <w:t>/s/ Joseph Oliker</w:t>
      </w:r>
    </w:p>
    <w:p w14:paraId="72D16751" w14:textId="77777777" w:rsidR="005A109D" w:rsidRPr="007B3399" w:rsidRDefault="005A109D" w:rsidP="005A109D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Joseph Oliker </w:t>
      </w:r>
    </w:p>
    <w:p w14:paraId="66758DA7" w14:textId="77777777" w:rsidR="005A109D" w:rsidRDefault="005A109D" w:rsidP="005A109D">
      <w:pPr>
        <w:spacing w:after="0" w:line="240" w:lineRule="auto"/>
        <w:ind w:left="5040" w:firstLine="720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Counsel of Record </w:t>
      </w:r>
    </w:p>
    <w:p w14:paraId="46C829D7" w14:textId="77777777" w:rsidR="005A109D" w:rsidRDefault="005A109D" w:rsidP="005A109D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joliker@igsenergy.com</w:t>
      </w:r>
    </w:p>
    <w:p w14:paraId="07FA05B6" w14:textId="77777777" w:rsidR="005A109D" w:rsidRDefault="005A109D" w:rsidP="005A109D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1DB9BA1C" w14:textId="77777777" w:rsidR="005A109D" w:rsidRDefault="005A109D" w:rsidP="005A109D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9259757" w14:textId="77777777" w:rsidR="005A109D" w:rsidRDefault="005A109D" w:rsidP="005A109D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322BD646" w14:textId="77777777" w:rsidR="005A109D" w:rsidRDefault="005A109D" w:rsidP="005A109D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56C80409" w14:textId="77777777" w:rsidR="005A109D" w:rsidRDefault="005A109D" w:rsidP="005A109D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524FA77B" w14:textId="77777777" w:rsidR="005A109D" w:rsidRDefault="005A109D" w:rsidP="005A109D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48DAF029" w14:textId="720C9432" w:rsidR="005A109D" w:rsidRDefault="005A109D" w:rsidP="00F74BAD">
      <w:pPr>
        <w:spacing w:after="0" w:line="240" w:lineRule="auto"/>
        <w:ind w:left="504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 for IGS Energy</w:t>
      </w:r>
    </w:p>
    <w:p w14:paraId="679E2D4F" w14:textId="77777777" w:rsidR="00F74BAD" w:rsidRDefault="00F74BAD" w:rsidP="00F74BAD">
      <w:pPr>
        <w:spacing w:after="0" w:line="240" w:lineRule="auto"/>
        <w:ind w:left="5040" w:firstLine="720"/>
        <w:rPr>
          <w:rFonts w:ascii="Arial" w:hAnsi="Arial" w:cs="Arial"/>
          <w:b/>
          <w:i/>
          <w:sz w:val="24"/>
          <w:szCs w:val="24"/>
        </w:rPr>
      </w:pPr>
    </w:p>
    <w:p w14:paraId="3A3D2629" w14:textId="77777777" w:rsidR="00F74BAD" w:rsidRPr="00F74BAD" w:rsidRDefault="00F74BAD" w:rsidP="00F74BAD">
      <w:pPr>
        <w:spacing w:after="0" w:line="240" w:lineRule="auto"/>
        <w:ind w:left="5040" w:firstLine="720"/>
        <w:rPr>
          <w:rStyle w:val="apple-converted-space"/>
          <w:rFonts w:ascii="Arial" w:hAnsi="Arial" w:cs="Arial"/>
          <w:b/>
          <w:i/>
          <w:sz w:val="24"/>
          <w:szCs w:val="24"/>
        </w:rPr>
      </w:pPr>
    </w:p>
    <w:p w14:paraId="123C3568" w14:textId="77777777" w:rsidR="005A109D" w:rsidRPr="006B7DEE" w:rsidRDefault="005A109D" w:rsidP="005A109D">
      <w:pPr>
        <w:autoSpaceDE w:val="0"/>
        <w:autoSpaceDN w:val="0"/>
        <w:adjustRightInd w:val="0"/>
        <w:spacing w:after="120" w:line="48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D71F6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2AD98876" w14:textId="54732256" w:rsidR="005A109D" w:rsidRPr="009D71F6" w:rsidRDefault="005A109D" w:rsidP="005A109D">
      <w:pPr>
        <w:spacing w:after="0"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9D71F6">
        <w:rPr>
          <w:rFonts w:ascii="Arial" w:eastAsia="Arial" w:hAnsi="Arial" w:cs="Arial"/>
          <w:sz w:val="24"/>
          <w:szCs w:val="24"/>
        </w:rPr>
        <w:tab/>
      </w:r>
      <w:r w:rsidRPr="009D71F6">
        <w:rPr>
          <w:rFonts w:ascii="Arial" w:eastAsia="Calibri" w:hAnsi="Arial" w:cs="Arial"/>
          <w:sz w:val="24"/>
          <w:szCs w:val="24"/>
        </w:rPr>
        <w:t>The undersigned hereby certifies that a copy of the foregoing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Initial Brief of IGS Energy</w:t>
      </w:r>
      <w:r w:rsidRPr="009D71F6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9D71F6">
        <w:rPr>
          <w:rFonts w:ascii="Arial" w:eastAsia="Calibri" w:hAnsi="Arial" w:cs="Arial"/>
          <w:sz w:val="24"/>
          <w:szCs w:val="24"/>
        </w:rPr>
        <w:t xml:space="preserve">was served this </w:t>
      </w:r>
      <w:r>
        <w:rPr>
          <w:rFonts w:ascii="Arial" w:eastAsia="Calibri" w:hAnsi="Arial" w:cs="Arial"/>
          <w:sz w:val="24"/>
          <w:szCs w:val="24"/>
        </w:rPr>
        <w:t>9th</w:t>
      </w:r>
      <w:r w:rsidRPr="009D71F6">
        <w:rPr>
          <w:rFonts w:ascii="Arial" w:eastAsia="Calibri" w:hAnsi="Arial" w:cs="Arial"/>
          <w:sz w:val="24"/>
          <w:szCs w:val="24"/>
        </w:rPr>
        <w:t xml:space="preserve"> day of </w:t>
      </w:r>
      <w:r>
        <w:rPr>
          <w:rFonts w:ascii="Arial" w:eastAsia="Calibri" w:hAnsi="Arial" w:cs="Arial"/>
          <w:sz w:val="24"/>
          <w:szCs w:val="24"/>
        </w:rPr>
        <w:t>March 2015</w:t>
      </w:r>
      <w:r w:rsidRPr="009D71F6">
        <w:rPr>
          <w:rFonts w:ascii="Arial" w:eastAsia="Calibri" w:hAnsi="Arial" w:cs="Arial"/>
          <w:sz w:val="24"/>
          <w:szCs w:val="24"/>
        </w:rPr>
        <w:t xml:space="preserve"> via electronic mail upon the following:</w:t>
      </w:r>
    </w:p>
    <w:p w14:paraId="7654DAC0" w14:textId="77777777" w:rsidR="005A109D" w:rsidRPr="009D71F6" w:rsidRDefault="005A109D" w:rsidP="005A10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58E752" w14:textId="77777777" w:rsidR="005A109D" w:rsidRPr="009D71F6" w:rsidRDefault="005A109D" w:rsidP="005A10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AEFA19" w14:textId="77777777" w:rsidR="005A109D" w:rsidRPr="009D71F6" w:rsidRDefault="005A109D" w:rsidP="005A109D">
      <w:pPr>
        <w:spacing w:after="0" w:line="240" w:lineRule="auto"/>
        <w:ind w:left="5040" w:firstLine="720"/>
        <w:rPr>
          <w:rFonts w:ascii="Arial" w:eastAsia="Calibri" w:hAnsi="Arial" w:cs="Arial"/>
          <w:sz w:val="24"/>
          <w:szCs w:val="24"/>
          <w:u w:val="single"/>
        </w:rPr>
      </w:pPr>
      <w:r w:rsidRPr="009D71F6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>
        <w:rPr>
          <w:rFonts w:ascii="Arial" w:eastAsia="Arial" w:hAnsi="Arial" w:cs="Arial"/>
          <w:i/>
          <w:sz w:val="24"/>
          <w:szCs w:val="24"/>
          <w:u w:val="single"/>
        </w:rPr>
        <w:t>Joseph Oliker_______</w:t>
      </w:r>
    </w:p>
    <w:p w14:paraId="1CBD6B99" w14:textId="77777777" w:rsidR="005A109D" w:rsidRPr="009D71F6" w:rsidRDefault="005A109D" w:rsidP="005A109D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p w14:paraId="29D5903E" w14:textId="77777777" w:rsidR="005A109D" w:rsidRPr="00BB03FA" w:rsidRDefault="005A109D" w:rsidP="005A10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A109D" w:rsidRPr="00BB03FA" w14:paraId="437EDA62" w14:textId="77777777" w:rsidTr="002358F9">
        <w:tc>
          <w:tcPr>
            <w:tcW w:w="4788" w:type="dxa"/>
          </w:tcPr>
          <w:p w14:paraId="010B7531" w14:textId="77777777" w:rsidR="005A109D" w:rsidRPr="00BB03FA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BB03FA">
              <w:rPr>
                <w:rFonts w:ascii="Arial" w:hAnsi="Arial" w:cs="Arial"/>
                <w:sz w:val="24"/>
                <w:szCs w:val="24"/>
              </w:rPr>
              <w:t xml:space="preserve">Amy B. Spiller </w:t>
            </w:r>
          </w:p>
          <w:p w14:paraId="2F9B8409" w14:textId="77777777" w:rsidR="005A109D" w:rsidRPr="00BB03FA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BB03FA">
              <w:rPr>
                <w:rFonts w:ascii="Arial" w:hAnsi="Arial" w:cs="Arial"/>
                <w:sz w:val="24"/>
                <w:szCs w:val="24"/>
              </w:rPr>
              <w:t>Deputy General Counsel</w:t>
            </w:r>
          </w:p>
          <w:p w14:paraId="7C251FB0" w14:textId="77777777" w:rsidR="005A109D" w:rsidRPr="00BB03FA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BB03FA">
              <w:rPr>
                <w:rFonts w:ascii="Arial" w:hAnsi="Arial" w:cs="Arial"/>
                <w:sz w:val="24"/>
                <w:szCs w:val="24"/>
              </w:rPr>
              <w:t>Elizabeth H. Watts</w:t>
            </w:r>
          </w:p>
          <w:p w14:paraId="373DA726" w14:textId="77777777" w:rsidR="005A109D" w:rsidRPr="00BB03FA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BB03FA">
              <w:rPr>
                <w:rFonts w:ascii="Arial" w:hAnsi="Arial" w:cs="Arial"/>
                <w:sz w:val="24"/>
                <w:szCs w:val="24"/>
              </w:rPr>
              <w:t>Associate General Counsel</w:t>
            </w:r>
          </w:p>
          <w:p w14:paraId="534236CB" w14:textId="77777777" w:rsidR="005A109D" w:rsidRPr="00BB03FA" w:rsidRDefault="005A109D" w:rsidP="002358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03FA">
              <w:rPr>
                <w:rFonts w:ascii="Arial" w:hAnsi="Arial" w:cs="Arial"/>
                <w:sz w:val="24"/>
                <w:szCs w:val="24"/>
              </w:rPr>
              <w:t>Duke Energy Ohio, Inc.</w:t>
            </w:r>
          </w:p>
          <w:p w14:paraId="2E3CE95B" w14:textId="77777777" w:rsidR="005A109D" w:rsidRDefault="005A109D" w:rsidP="002358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03FA">
              <w:rPr>
                <w:rFonts w:ascii="Arial" w:hAnsi="Arial" w:cs="Arial"/>
                <w:sz w:val="24"/>
                <w:szCs w:val="24"/>
              </w:rPr>
              <w:t xml:space="preserve">139 </w:t>
            </w:r>
            <w:r>
              <w:rPr>
                <w:rFonts w:ascii="Arial" w:hAnsi="Arial" w:cs="Arial"/>
                <w:sz w:val="24"/>
                <w:szCs w:val="24"/>
              </w:rPr>
              <w:t>East Fourth Street, 1303-</w:t>
            </w:r>
            <w:r w:rsidRPr="00BB03FA">
              <w:rPr>
                <w:rFonts w:ascii="Arial" w:hAnsi="Arial" w:cs="Arial"/>
                <w:sz w:val="24"/>
                <w:szCs w:val="24"/>
              </w:rPr>
              <w:t>Main</w:t>
            </w:r>
          </w:p>
          <w:p w14:paraId="71D11934" w14:textId="77777777" w:rsidR="005A109D" w:rsidRPr="00BB03FA" w:rsidRDefault="005A109D" w:rsidP="002358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 Box 960</w:t>
            </w:r>
          </w:p>
          <w:p w14:paraId="7DC0D53A" w14:textId="77777777" w:rsidR="005A109D" w:rsidRPr="00BB03FA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BB03FA">
              <w:rPr>
                <w:rFonts w:ascii="Arial" w:hAnsi="Arial" w:cs="Arial"/>
                <w:sz w:val="24"/>
                <w:szCs w:val="24"/>
              </w:rPr>
              <w:t>Cincinnati, Ohio 452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69C0FD24" w14:textId="77777777" w:rsidR="005A109D" w:rsidRPr="00BB03FA" w:rsidRDefault="00F3735F" w:rsidP="002358F9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5A109D" w:rsidRPr="00BB03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Amy.Spiller@duke-energy.com</w:t>
              </w:r>
            </w:hyperlink>
          </w:p>
          <w:p w14:paraId="2BBC3DA6" w14:textId="77777777" w:rsidR="005A109D" w:rsidRPr="00BB03FA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BB03FA">
              <w:rPr>
                <w:rFonts w:ascii="Arial" w:hAnsi="Arial" w:cs="Arial"/>
                <w:sz w:val="24"/>
                <w:szCs w:val="24"/>
              </w:rPr>
              <w:t>elizabeth.watts@duke-energy.com</w:t>
            </w:r>
          </w:p>
          <w:p w14:paraId="6F95CE89" w14:textId="77777777" w:rsidR="005A109D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157AD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M. Howard Petricoff</w:t>
            </w:r>
          </w:p>
          <w:p w14:paraId="572D7611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Gretchen L. Petrucci</w:t>
            </w:r>
          </w:p>
          <w:p w14:paraId="06174B70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06FF">
              <w:rPr>
                <w:rFonts w:ascii="Arial" w:hAnsi="Arial" w:cs="Arial"/>
                <w:sz w:val="24"/>
                <w:szCs w:val="24"/>
              </w:rPr>
              <w:t>Vorys</w:t>
            </w:r>
            <w:proofErr w:type="spellEnd"/>
            <w:r w:rsidRPr="00340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06FF">
              <w:rPr>
                <w:rFonts w:ascii="Arial" w:hAnsi="Arial" w:cs="Arial"/>
                <w:sz w:val="24"/>
                <w:szCs w:val="24"/>
              </w:rPr>
              <w:t>Sater</w:t>
            </w:r>
            <w:proofErr w:type="spellEnd"/>
            <w:r w:rsidRPr="003406FF">
              <w:rPr>
                <w:rFonts w:ascii="Arial" w:hAnsi="Arial" w:cs="Arial"/>
                <w:sz w:val="24"/>
                <w:szCs w:val="24"/>
              </w:rPr>
              <w:t xml:space="preserve"> Seymour &amp; Pease</w:t>
            </w:r>
          </w:p>
          <w:p w14:paraId="46B5B252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52 East Gay Street</w:t>
            </w:r>
          </w:p>
          <w:p w14:paraId="4386DB31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P.O. Box 1008</w:t>
            </w:r>
          </w:p>
          <w:p w14:paraId="2793B3C1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Columbus, OH 43216</w:t>
            </w:r>
          </w:p>
          <w:p w14:paraId="6863BB7E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mhpetricoff@vorys.com</w:t>
            </w:r>
          </w:p>
          <w:p w14:paraId="551CBC72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glpetrucci@vorys.com</w:t>
            </w:r>
          </w:p>
          <w:p w14:paraId="4A763BED" w14:textId="77777777" w:rsidR="005A109D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5DD1F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Jennifer L. Spinosi</w:t>
            </w:r>
          </w:p>
          <w:p w14:paraId="7160C8EC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Joseph M. Clark</w:t>
            </w:r>
          </w:p>
          <w:p w14:paraId="2908FDB2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Direct Energy</w:t>
            </w:r>
          </w:p>
          <w:p w14:paraId="58F96829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jennifer.spinosi.@directenergy.com</w:t>
            </w:r>
          </w:p>
          <w:p w14:paraId="731DC635" w14:textId="77777777" w:rsidR="005A109D" w:rsidRPr="00BB03FA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joseph.clark@directenergy.com</w:t>
            </w:r>
          </w:p>
        </w:tc>
        <w:tc>
          <w:tcPr>
            <w:tcW w:w="4788" w:type="dxa"/>
          </w:tcPr>
          <w:p w14:paraId="5849CCDF" w14:textId="77777777" w:rsidR="005A109D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Katie Johnson</w:t>
            </w:r>
          </w:p>
          <w:p w14:paraId="22457D53" w14:textId="77777777" w:rsidR="005A109D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Attorney General</w:t>
            </w:r>
          </w:p>
          <w:p w14:paraId="5EE5ABB9" w14:textId="77777777" w:rsidR="005A109D" w:rsidRPr="007816CB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6B7DEE">
              <w:rPr>
                <w:rFonts w:ascii="Arial" w:hAnsi="Arial" w:cs="Arial"/>
                <w:sz w:val="24"/>
                <w:szCs w:val="24"/>
              </w:rPr>
              <w:t>Public Utilities Section</w:t>
            </w:r>
          </w:p>
          <w:p w14:paraId="2BF9B87E" w14:textId="77777777" w:rsidR="005A109D" w:rsidRPr="007816CB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7816CB">
              <w:rPr>
                <w:rFonts w:ascii="Arial" w:hAnsi="Arial" w:cs="Arial"/>
                <w:sz w:val="24"/>
                <w:szCs w:val="24"/>
              </w:rPr>
              <w:t>180 East Broad Street, 6th Floor</w:t>
            </w:r>
          </w:p>
          <w:p w14:paraId="26277CE9" w14:textId="77777777" w:rsidR="005A109D" w:rsidRPr="00BB03FA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Columbus, Ohio</w:t>
            </w:r>
            <w:r w:rsidRPr="007816CB">
              <w:rPr>
                <w:rFonts w:ascii="Arial" w:hAnsi="Arial" w:cs="Arial"/>
                <w:sz w:val="24"/>
                <w:szCs w:val="24"/>
              </w:rPr>
              <w:t xml:space="preserve"> 43215</w:t>
            </w:r>
          </w:p>
          <w:p w14:paraId="53EFC6E4" w14:textId="77777777" w:rsidR="005A109D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Katie.Johnson@puc.state.oh.us</w:t>
            </w:r>
          </w:p>
          <w:p w14:paraId="30AE0746" w14:textId="77777777" w:rsidR="005A109D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9D83B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Terry L. Etter</w:t>
            </w:r>
          </w:p>
          <w:p w14:paraId="54C91411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Assistant Consumers’ Counsel</w:t>
            </w:r>
          </w:p>
          <w:p w14:paraId="4113B8B3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Office of the Ohio Consumers’ Counsel</w:t>
            </w:r>
          </w:p>
          <w:p w14:paraId="2CA193C7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10 West Broad Street, Suite 1800</w:t>
            </w:r>
          </w:p>
          <w:p w14:paraId="4DAF1095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Columbus, OH 43215</w:t>
            </w:r>
          </w:p>
          <w:p w14:paraId="501C156B" w14:textId="77777777" w:rsidR="005A109D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etter@occ.state.oh.us</w:t>
            </w:r>
          </w:p>
          <w:p w14:paraId="606E9C49" w14:textId="77777777" w:rsidR="005A109D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E8460" w14:textId="77777777" w:rsidR="005A109D" w:rsidRPr="006B7DEE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6B7DEE">
              <w:rPr>
                <w:rFonts w:ascii="Arial" w:hAnsi="Arial" w:cs="Arial"/>
                <w:sz w:val="24"/>
                <w:szCs w:val="24"/>
              </w:rPr>
              <w:t>Kimberly W. Bojko</w:t>
            </w:r>
          </w:p>
          <w:p w14:paraId="40D900E9" w14:textId="77777777" w:rsidR="005A109D" w:rsidRPr="006B7DEE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Carpenter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Lipps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Leland </w:t>
            </w:r>
            <w:r w:rsidRPr="006B7DEE">
              <w:rPr>
                <w:rFonts w:ascii="Arial" w:hAnsi="Arial" w:cs="Arial"/>
                <w:sz w:val="24"/>
                <w:szCs w:val="24"/>
              </w:rPr>
              <w:t>LLP</w:t>
            </w:r>
          </w:p>
          <w:p w14:paraId="6004C0A9" w14:textId="77777777" w:rsidR="005A109D" w:rsidRPr="006B7DEE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6B7DEE">
              <w:rPr>
                <w:rFonts w:ascii="Arial" w:hAnsi="Arial" w:cs="Arial"/>
                <w:sz w:val="24"/>
                <w:szCs w:val="24"/>
              </w:rPr>
              <w:t>280 Plaza, Suite 1300</w:t>
            </w:r>
          </w:p>
          <w:p w14:paraId="31600151" w14:textId="77777777" w:rsidR="005A109D" w:rsidRPr="006B7DEE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6B7DEE">
              <w:rPr>
                <w:rFonts w:ascii="Arial" w:hAnsi="Arial" w:cs="Arial"/>
                <w:sz w:val="24"/>
                <w:szCs w:val="24"/>
              </w:rPr>
              <w:t>280 N. High Street</w:t>
            </w:r>
          </w:p>
          <w:p w14:paraId="4B1F45CF" w14:textId="77777777" w:rsidR="005A109D" w:rsidRPr="006B7DEE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Columbus, OH  43215</w:t>
            </w:r>
          </w:p>
          <w:p w14:paraId="09C5F7AF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6B7DEE">
              <w:rPr>
                <w:rFonts w:ascii="Arial" w:hAnsi="Arial" w:cs="Arial"/>
                <w:sz w:val="24"/>
                <w:szCs w:val="24"/>
              </w:rPr>
              <w:t>bojko@carpenterlipps.com</w:t>
            </w:r>
          </w:p>
          <w:p w14:paraId="0ABBB41E" w14:textId="77777777" w:rsidR="005A109D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99792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Colleen L. Mooney</w:t>
            </w:r>
          </w:p>
          <w:p w14:paraId="4B38B07A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Ohio Partners for Affordable Energy</w:t>
            </w:r>
          </w:p>
          <w:p w14:paraId="58D71C80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231 West Lima Street</w:t>
            </w:r>
          </w:p>
          <w:p w14:paraId="4F6D2EB8" w14:textId="77777777" w:rsidR="005A109D" w:rsidRPr="003406FF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Findlay, OH 45839</w:t>
            </w:r>
          </w:p>
          <w:p w14:paraId="2AA628FA" w14:textId="77777777" w:rsidR="005A109D" w:rsidRPr="00BB03FA" w:rsidRDefault="005A109D" w:rsidP="002358F9">
            <w:pPr>
              <w:rPr>
                <w:rFonts w:ascii="Arial" w:hAnsi="Arial" w:cs="Arial"/>
                <w:sz w:val="24"/>
                <w:szCs w:val="24"/>
              </w:rPr>
            </w:pPr>
            <w:r w:rsidRPr="003406FF">
              <w:rPr>
                <w:rFonts w:ascii="Arial" w:hAnsi="Arial" w:cs="Arial"/>
                <w:sz w:val="24"/>
                <w:szCs w:val="24"/>
              </w:rPr>
              <w:t>cmooney@ohiopartners.org</w:t>
            </w:r>
          </w:p>
        </w:tc>
      </w:tr>
    </w:tbl>
    <w:p w14:paraId="5A0D508B" w14:textId="77777777" w:rsidR="00DD0F6D" w:rsidRDefault="00DD0F6D" w:rsidP="00DD0F6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BD7C334" w14:textId="77777777" w:rsidR="004B0595" w:rsidRPr="003F7B38" w:rsidRDefault="004B0595" w:rsidP="003F7B38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F689282" w14:textId="77777777" w:rsidR="00C83D22" w:rsidRPr="00C83D22" w:rsidRDefault="00C83D22">
      <w:pPr>
        <w:rPr>
          <w:rFonts w:ascii="Arial" w:hAnsi="Arial" w:cs="Arial"/>
        </w:rPr>
      </w:pPr>
    </w:p>
    <w:sectPr w:rsidR="00C83D22" w:rsidRPr="00C8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598076" w15:done="0"/>
  <w15:commentEx w15:paraId="0DA1FB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C793F" w14:textId="77777777" w:rsidR="00F3735F" w:rsidRDefault="00F3735F" w:rsidP="00C83D22">
      <w:pPr>
        <w:spacing w:after="0" w:line="240" w:lineRule="auto"/>
      </w:pPr>
      <w:r>
        <w:separator/>
      </w:r>
    </w:p>
  </w:endnote>
  <w:endnote w:type="continuationSeparator" w:id="0">
    <w:p w14:paraId="4375AD13" w14:textId="77777777" w:rsidR="00F3735F" w:rsidRDefault="00F3735F" w:rsidP="00C8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153C" w14:textId="77777777" w:rsidR="00C12898" w:rsidRDefault="00C128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5860"/>
      <w:docPartObj>
        <w:docPartGallery w:val="Page Numbers (Bottom of Page)"/>
        <w:docPartUnique/>
      </w:docPartObj>
    </w:sdtPr>
    <w:sdtEndPr/>
    <w:sdtContent>
      <w:p w14:paraId="2B755F99" w14:textId="77777777" w:rsidR="001B4FB0" w:rsidRDefault="000564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5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E13D88" w14:textId="77777777" w:rsidR="001B4FB0" w:rsidRDefault="00F37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0A720" w14:textId="77777777" w:rsidR="00C12898" w:rsidRDefault="00C12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6E52F" w14:textId="77777777" w:rsidR="00F3735F" w:rsidRDefault="00F3735F" w:rsidP="00C83D22">
      <w:pPr>
        <w:spacing w:after="0" w:line="240" w:lineRule="auto"/>
      </w:pPr>
      <w:r>
        <w:separator/>
      </w:r>
    </w:p>
  </w:footnote>
  <w:footnote w:type="continuationSeparator" w:id="0">
    <w:p w14:paraId="40D8DAD0" w14:textId="77777777" w:rsidR="00F3735F" w:rsidRDefault="00F3735F" w:rsidP="00C83D22">
      <w:pPr>
        <w:spacing w:after="0" w:line="240" w:lineRule="auto"/>
      </w:pPr>
      <w:r>
        <w:continuationSeparator/>
      </w:r>
    </w:p>
  </w:footnote>
  <w:footnote w:id="1">
    <w:p w14:paraId="7B8EA0F8" w14:textId="0837BAA2" w:rsidR="00C83D22" w:rsidRPr="005A109D" w:rsidRDefault="00C83D22" w:rsidP="00C83D22">
      <w:pPr>
        <w:pStyle w:val="FootnoteText"/>
        <w:jc w:val="both"/>
        <w:rPr>
          <w:rFonts w:ascii="Arial" w:hAnsi="Arial" w:cs="Arial"/>
          <w:i/>
        </w:rPr>
      </w:pPr>
      <w:r w:rsidRPr="005A109D">
        <w:rPr>
          <w:rStyle w:val="FootnoteReference"/>
          <w:rFonts w:ascii="Arial" w:hAnsi="Arial" w:cs="Arial"/>
        </w:rPr>
        <w:footnoteRef/>
      </w:r>
      <w:r w:rsidR="00756E2F">
        <w:rPr>
          <w:rFonts w:ascii="Arial" w:hAnsi="Arial" w:cs="Arial"/>
        </w:rPr>
        <w:t xml:space="preserve"> </w:t>
      </w:r>
      <w:r w:rsidR="00756E2F">
        <w:rPr>
          <w:rFonts w:ascii="Arial" w:hAnsi="Arial" w:cs="Arial"/>
          <w:i/>
        </w:rPr>
        <w:t xml:space="preserve">See generally </w:t>
      </w:r>
      <w:r w:rsidRPr="005A109D">
        <w:rPr>
          <w:rFonts w:ascii="Arial" w:hAnsi="Arial" w:cs="Arial"/>
          <w:i/>
        </w:rPr>
        <w:t>In the Matter of the Application of Duke Energy Ohio for Approval of an Electric Security Plan</w:t>
      </w:r>
      <w:r w:rsidRPr="005A109D">
        <w:rPr>
          <w:rFonts w:ascii="Arial" w:hAnsi="Arial" w:cs="Arial"/>
        </w:rPr>
        <w:t xml:space="preserve">, Case Nos. 08-920-EL-SSO, </w:t>
      </w:r>
      <w:r w:rsidRPr="005A109D">
        <w:rPr>
          <w:rFonts w:ascii="Arial" w:hAnsi="Arial" w:cs="Arial"/>
          <w:i/>
        </w:rPr>
        <w:t>et al.</w:t>
      </w:r>
      <w:r w:rsidRPr="005A109D">
        <w:rPr>
          <w:rFonts w:ascii="Arial" w:hAnsi="Arial" w:cs="Arial"/>
        </w:rPr>
        <w:t xml:space="preserve">, Opinion and Order </w:t>
      </w:r>
      <w:r w:rsidR="00332A96">
        <w:rPr>
          <w:rFonts w:ascii="Arial" w:hAnsi="Arial" w:cs="Arial"/>
        </w:rPr>
        <w:t xml:space="preserve">at 17-18 </w:t>
      </w:r>
      <w:r w:rsidRPr="005A109D">
        <w:rPr>
          <w:rFonts w:ascii="Arial" w:hAnsi="Arial" w:cs="Arial"/>
        </w:rPr>
        <w:t>(Dec. 17, 2008).</w:t>
      </w:r>
    </w:p>
    <w:p w14:paraId="29C24281" w14:textId="77777777" w:rsidR="00C83D22" w:rsidRPr="005A109D" w:rsidRDefault="00C83D22" w:rsidP="00C83D22">
      <w:pPr>
        <w:pStyle w:val="FootnoteText"/>
        <w:rPr>
          <w:rFonts w:ascii="Arial" w:hAnsi="Arial" w:cs="Arial"/>
        </w:rPr>
      </w:pPr>
    </w:p>
  </w:footnote>
  <w:footnote w:id="2">
    <w:p w14:paraId="1C7E24CF" w14:textId="524A9FE5" w:rsidR="008812CC" w:rsidRDefault="008812CC">
      <w:pPr>
        <w:pStyle w:val="FootnoteText"/>
        <w:rPr>
          <w:rFonts w:ascii="Arial" w:hAnsi="Arial" w:cs="Arial"/>
        </w:rPr>
      </w:pPr>
      <w:r w:rsidRPr="00332A96">
        <w:rPr>
          <w:rStyle w:val="FootnoteReference"/>
          <w:rFonts w:ascii="Arial" w:hAnsi="Arial" w:cs="Arial"/>
        </w:rPr>
        <w:footnoteRef/>
      </w:r>
      <w:r w:rsidRPr="00332A96">
        <w:rPr>
          <w:rFonts w:ascii="Arial" w:hAnsi="Arial" w:cs="Arial"/>
        </w:rPr>
        <w:t xml:space="preserve"> Direct Testimony of Donald </w:t>
      </w:r>
      <w:r w:rsidR="005A109D" w:rsidRPr="00332A96">
        <w:rPr>
          <w:rFonts w:ascii="Arial" w:hAnsi="Arial" w:cs="Arial"/>
        </w:rPr>
        <w:t>Schneider, Jr. at 3 (Jun. 13, 2014).</w:t>
      </w:r>
    </w:p>
    <w:p w14:paraId="544708A1" w14:textId="77777777" w:rsidR="00332A96" w:rsidRPr="00332A96" w:rsidRDefault="00332A96">
      <w:pPr>
        <w:pStyle w:val="FootnoteText"/>
        <w:rPr>
          <w:rFonts w:ascii="Arial" w:hAnsi="Arial" w:cs="Arial"/>
        </w:rPr>
      </w:pPr>
    </w:p>
  </w:footnote>
  <w:footnote w:id="3">
    <w:p w14:paraId="6AB361FC" w14:textId="7A85685D" w:rsidR="00332A96" w:rsidRPr="00F74BAD" w:rsidRDefault="00332A96" w:rsidP="00332A96">
      <w:pPr>
        <w:pStyle w:val="FootnoteText"/>
        <w:jc w:val="both"/>
        <w:rPr>
          <w:rFonts w:ascii="Arial" w:hAnsi="Arial" w:cs="Arial"/>
          <w:i/>
        </w:rPr>
      </w:pPr>
      <w:r w:rsidRPr="00332A96">
        <w:rPr>
          <w:rStyle w:val="FootnoteReference"/>
          <w:rFonts w:ascii="Arial" w:hAnsi="Arial" w:cs="Arial"/>
        </w:rPr>
        <w:footnoteRef/>
      </w:r>
      <w:r w:rsidRPr="00332A96">
        <w:rPr>
          <w:rFonts w:ascii="Arial" w:hAnsi="Arial" w:cs="Arial"/>
        </w:rPr>
        <w:t xml:space="preserve"> </w:t>
      </w:r>
      <w:r w:rsidRPr="00332A96">
        <w:rPr>
          <w:rFonts w:ascii="Arial" w:hAnsi="Arial" w:cs="Arial"/>
          <w:i/>
        </w:rPr>
        <w:t>In the Matter of the Application of Duke Energy Ohio Inc. for Authority to Establish a Standard Service Offer Pursuant to Section 4928.143, Revised Code, in the Form of an Electric Security Plan, Accounting Modifications and Tariffs for Generation Service</w:t>
      </w:r>
      <w:r w:rsidRPr="00332A96">
        <w:rPr>
          <w:rFonts w:ascii="Arial" w:hAnsi="Arial" w:cs="Arial"/>
        </w:rPr>
        <w:t xml:space="preserve">, Case Nos. 11-3549-EL-SSO, Stipulation at 33-35 (Oct. 24, 2011); </w:t>
      </w:r>
      <w:r w:rsidRPr="00332A96">
        <w:rPr>
          <w:rFonts w:ascii="Arial" w:hAnsi="Arial" w:cs="Arial"/>
          <w:i/>
        </w:rPr>
        <w:t xml:space="preserve">In the Matter of the Application of Duke Energy Ohio, Inc. to Adjust and Set Its Gas and Electric Recovery Rate for 2010 </w:t>
      </w:r>
      <w:proofErr w:type="spellStart"/>
      <w:r w:rsidRPr="00332A96">
        <w:rPr>
          <w:rFonts w:ascii="Arial" w:hAnsi="Arial" w:cs="Arial"/>
          <w:i/>
        </w:rPr>
        <w:t>SmartGrid</w:t>
      </w:r>
      <w:proofErr w:type="spellEnd"/>
      <w:r w:rsidRPr="00332A96">
        <w:rPr>
          <w:rFonts w:ascii="Arial" w:hAnsi="Arial" w:cs="Arial"/>
          <w:i/>
        </w:rPr>
        <w:t xml:space="preserve"> Costs Under Riders AU and Rider DR-IM and Mid-deployment Review of AMI/</w:t>
      </w:r>
      <w:proofErr w:type="spellStart"/>
      <w:r w:rsidRPr="00332A96">
        <w:rPr>
          <w:rFonts w:ascii="Arial" w:hAnsi="Arial" w:cs="Arial"/>
          <w:i/>
        </w:rPr>
        <w:t>SmartGrid</w:t>
      </w:r>
      <w:proofErr w:type="spellEnd"/>
      <w:r w:rsidRPr="00332A96">
        <w:rPr>
          <w:rFonts w:ascii="Arial" w:hAnsi="Arial" w:cs="Arial"/>
          <w:i/>
        </w:rPr>
        <w:t xml:space="preserve"> Program</w:t>
      </w:r>
      <w:r w:rsidRPr="00332A96">
        <w:rPr>
          <w:rFonts w:ascii="Arial" w:hAnsi="Arial" w:cs="Arial"/>
        </w:rPr>
        <w:t>, Case No. 10-2326-GE-RDR, Stipulation at 11</w:t>
      </w:r>
      <w:r w:rsidRPr="00332A96">
        <w:rPr>
          <w:rFonts w:ascii="Arial" w:hAnsi="Arial" w:cs="Arial"/>
        </w:rPr>
        <w:t xml:space="preserve"> (Feb. 24, 2012);  </w:t>
      </w:r>
      <w:r w:rsidRPr="00332A96">
        <w:rPr>
          <w:rFonts w:ascii="Arial" w:hAnsi="Arial" w:cs="Arial"/>
          <w:i/>
        </w:rPr>
        <w:t>I</w:t>
      </w:r>
      <w:r w:rsidRPr="00332A96">
        <w:rPr>
          <w:rFonts w:ascii="Arial" w:hAnsi="Arial" w:cs="Arial"/>
          <w:i/>
        </w:rPr>
        <w:t xml:space="preserve">n the Matter of the Application of Duke Energy Ohio, Inc., to Adjust Rider DR-IM and Rider AU for 2012 Grid </w:t>
      </w:r>
      <w:r w:rsidRPr="00F74BAD">
        <w:rPr>
          <w:rFonts w:ascii="Arial" w:hAnsi="Arial" w:cs="Arial"/>
          <w:i/>
        </w:rPr>
        <w:t>Modernization Costs</w:t>
      </w:r>
      <w:r w:rsidR="00756E2F" w:rsidRPr="00F74BAD">
        <w:rPr>
          <w:rFonts w:ascii="Arial" w:hAnsi="Arial" w:cs="Arial"/>
        </w:rPr>
        <w:t>,</w:t>
      </w:r>
      <w:r w:rsidR="00756E2F" w:rsidRPr="00F74BAD">
        <w:rPr>
          <w:rFonts w:ascii="Arial" w:hAnsi="Arial" w:cs="Arial"/>
          <w:i/>
        </w:rPr>
        <w:t xml:space="preserve"> </w:t>
      </w:r>
      <w:r w:rsidR="00756E2F" w:rsidRPr="00F74BAD">
        <w:rPr>
          <w:rFonts w:ascii="Arial" w:hAnsi="Arial" w:cs="Arial"/>
        </w:rPr>
        <w:t>Case No. 13-1141-GE-RDR,</w:t>
      </w:r>
      <w:r w:rsidRPr="00F74BAD">
        <w:rPr>
          <w:rFonts w:ascii="Arial" w:hAnsi="Arial" w:cs="Arial"/>
        </w:rPr>
        <w:t xml:space="preserve"> </w:t>
      </w:r>
      <w:r w:rsidRPr="00F74BAD">
        <w:rPr>
          <w:rFonts w:ascii="Arial" w:hAnsi="Arial" w:cs="Arial"/>
        </w:rPr>
        <w:t>Opinion and Order at 15</w:t>
      </w:r>
      <w:r w:rsidRPr="00F74BAD">
        <w:rPr>
          <w:rFonts w:ascii="Arial" w:hAnsi="Arial" w:cs="Arial"/>
        </w:rPr>
        <w:t xml:space="preserve"> (Apr. 9, 2014) (hereinafter “</w:t>
      </w:r>
      <w:r w:rsidRPr="00F74BAD">
        <w:rPr>
          <w:rFonts w:ascii="Arial" w:hAnsi="Arial" w:cs="Arial"/>
          <w:i/>
        </w:rPr>
        <w:t>2012 Grid Modernization Case</w:t>
      </w:r>
      <w:r w:rsidRPr="00F74BAD">
        <w:rPr>
          <w:rFonts w:ascii="Arial" w:hAnsi="Arial" w:cs="Arial"/>
        </w:rPr>
        <w:t>”)</w:t>
      </w:r>
      <w:r w:rsidRPr="00F74BAD">
        <w:rPr>
          <w:rFonts w:ascii="Arial" w:hAnsi="Arial" w:cs="Arial"/>
        </w:rPr>
        <w:t xml:space="preserve">; </w:t>
      </w:r>
      <w:r w:rsidRPr="00F74BAD">
        <w:rPr>
          <w:rFonts w:ascii="Arial" w:hAnsi="Arial" w:cs="Arial"/>
          <w:i/>
        </w:rPr>
        <w:t>see also 2012 Grid Modernization Case</w:t>
      </w:r>
      <w:r w:rsidRPr="00F74BAD">
        <w:rPr>
          <w:rFonts w:ascii="Arial" w:hAnsi="Arial" w:cs="Arial"/>
        </w:rPr>
        <w:t>, Supplemental Direct Testimony of Donald Schneider</w:t>
      </w:r>
      <w:r w:rsidR="00756E2F" w:rsidRPr="00F74BAD">
        <w:rPr>
          <w:rFonts w:ascii="Arial" w:hAnsi="Arial" w:cs="Arial"/>
        </w:rPr>
        <w:t>, Jr.</w:t>
      </w:r>
      <w:r w:rsidRPr="00F74BAD">
        <w:rPr>
          <w:rFonts w:ascii="Arial" w:hAnsi="Arial" w:cs="Arial"/>
        </w:rPr>
        <w:t xml:space="preserve"> at 5-6 (Jan. 29, 2014).</w:t>
      </w:r>
    </w:p>
    <w:p w14:paraId="1C3B374A" w14:textId="64529C88" w:rsidR="00332A96" w:rsidRPr="00F74BAD" w:rsidRDefault="00332A96" w:rsidP="00332A96">
      <w:pPr>
        <w:pStyle w:val="FootnoteText"/>
        <w:jc w:val="both"/>
        <w:rPr>
          <w:rFonts w:ascii="Arial" w:hAnsi="Arial" w:cs="Arial"/>
        </w:rPr>
      </w:pPr>
    </w:p>
  </w:footnote>
  <w:footnote w:id="4">
    <w:p w14:paraId="13AF458F" w14:textId="53DC7E83" w:rsidR="00F74BAD" w:rsidRPr="00F74BAD" w:rsidRDefault="00F74BAD">
      <w:pPr>
        <w:pStyle w:val="FootnoteText"/>
        <w:rPr>
          <w:rFonts w:ascii="Arial" w:hAnsi="Arial" w:cs="Arial"/>
          <w:i/>
        </w:rPr>
      </w:pPr>
      <w:r w:rsidRPr="00F74BAD">
        <w:rPr>
          <w:rStyle w:val="FootnoteReference"/>
          <w:rFonts w:ascii="Arial" w:hAnsi="Arial" w:cs="Arial"/>
        </w:rPr>
        <w:footnoteRef/>
      </w:r>
      <w:r w:rsidRPr="00F74BAD">
        <w:rPr>
          <w:rFonts w:ascii="Arial" w:hAnsi="Arial" w:cs="Arial"/>
        </w:rPr>
        <w:t xml:space="preserve"> </w:t>
      </w:r>
      <w:r w:rsidRPr="00F74BAD">
        <w:rPr>
          <w:rFonts w:ascii="Arial" w:hAnsi="Arial" w:cs="Arial"/>
          <w:i/>
        </w:rPr>
        <w:t>Id.</w:t>
      </w:r>
    </w:p>
    <w:p w14:paraId="014F221E" w14:textId="77777777" w:rsidR="00F74BAD" w:rsidRPr="00F74BAD" w:rsidRDefault="00F74BAD">
      <w:pPr>
        <w:pStyle w:val="FootnoteText"/>
        <w:rPr>
          <w:rFonts w:ascii="Arial" w:hAnsi="Arial" w:cs="Arial"/>
          <w:i/>
        </w:rPr>
      </w:pPr>
    </w:p>
  </w:footnote>
  <w:footnote w:id="5">
    <w:p w14:paraId="2658C55A" w14:textId="1B978811" w:rsidR="00756E2F" w:rsidRPr="00F74BAD" w:rsidRDefault="00756E2F">
      <w:pPr>
        <w:pStyle w:val="FootnoteText"/>
        <w:rPr>
          <w:rFonts w:ascii="Arial" w:hAnsi="Arial" w:cs="Arial"/>
        </w:rPr>
      </w:pPr>
      <w:r w:rsidRPr="00F74BAD">
        <w:rPr>
          <w:rStyle w:val="FootnoteReference"/>
          <w:rFonts w:ascii="Arial" w:hAnsi="Arial" w:cs="Arial"/>
        </w:rPr>
        <w:footnoteRef/>
      </w:r>
      <w:r w:rsidRPr="00F74BAD">
        <w:rPr>
          <w:rFonts w:ascii="Arial" w:hAnsi="Arial" w:cs="Arial"/>
        </w:rPr>
        <w:t xml:space="preserve"> </w:t>
      </w:r>
      <w:r w:rsidR="003415F5">
        <w:rPr>
          <w:rFonts w:ascii="Arial" w:hAnsi="Arial" w:cs="Arial"/>
          <w:i/>
        </w:rPr>
        <w:t xml:space="preserve">See </w:t>
      </w:r>
      <w:r w:rsidRPr="00F74BAD">
        <w:rPr>
          <w:rFonts w:ascii="Arial" w:hAnsi="Arial" w:cs="Arial"/>
          <w:i/>
        </w:rPr>
        <w:t>In the Matter of Application of Duke Energy Ohio, Inc. to File for Tariff Approval</w:t>
      </w:r>
      <w:r w:rsidRPr="00F74BAD">
        <w:rPr>
          <w:rFonts w:ascii="Arial" w:hAnsi="Arial" w:cs="Arial"/>
        </w:rPr>
        <w:t>, Case No. 14-2209-EL-ATA.</w:t>
      </w:r>
    </w:p>
    <w:p w14:paraId="26219EEB" w14:textId="77777777" w:rsidR="00756E2F" w:rsidRPr="00F74BAD" w:rsidRDefault="00756E2F">
      <w:pPr>
        <w:pStyle w:val="FootnoteText"/>
        <w:rPr>
          <w:rFonts w:ascii="Arial" w:hAnsi="Arial" w:cs="Arial"/>
        </w:rPr>
      </w:pPr>
    </w:p>
  </w:footnote>
  <w:footnote w:id="6">
    <w:p w14:paraId="249707B3" w14:textId="4DC3C753" w:rsidR="005A109D" w:rsidRPr="00F74BAD" w:rsidRDefault="005A109D">
      <w:pPr>
        <w:pStyle w:val="FootnoteText"/>
        <w:rPr>
          <w:rFonts w:ascii="Arial" w:hAnsi="Arial" w:cs="Arial"/>
        </w:rPr>
      </w:pPr>
      <w:r w:rsidRPr="00F74BAD">
        <w:rPr>
          <w:rStyle w:val="FootnoteReference"/>
          <w:rFonts w:ascii="Arial" w:hAnsi="Arial" w:cs="Arial"/>
        </w:rPr>
        <w:footnoteRef/>
      </w:r>
      <w:r w:rsidRPr="00F74BAD">
        <w:rPr>
          <w:rFonts w:ascii="Arial" w:hAnsi="Arial" w:cs="Arial"/>
        </w:rPr>
        <w:t xml:space="preserve"> Entry at 2-4 (Jan. 22, 2015).</w:t>
      </w:r>
    </w:p>
    <w:p w14:paraId="4BBD43BA" w14:textId="77777777" w:rsidR="005A109D" w:rsidRPr="00F74BAD" w:rsidRDefault="005A109D">
      <w:pPr>
        <w:pStyle w:val="FootnoteText"/>
        <w:rPr>
          <w:rFonts w:ascii="Arial" w:hAnsi="Arial" w:cs="Arial"/>
        </w:rPr>
      </w:pPr>
    </w:p>
  </w:footnote>
  <w:footnote w:id="7">
    <w:p w14:paraId="585174AE" w14:textId="3327D967" w:rsidR="005A109D" w:rsidRPr="00F74BAD" w:rsidRDefault="005A109D">
      <w:pPr>
        <w:pStyle w:val="FootnoteText"/>
        <w:rPr>
          <w:rFonts w:ascii="Arial" w:hAnsi="Arial" w:cs="Arial"/>
        </w:rPr>
      </w:pPr>
      <w:r w:rsidRPr="00F74BAD">
        <w:rPr>
          <w:rStyle w:val="FootnoteReference"/>
          <w:rFonts w:ascii="Arial" w:hAnsi="Arial" w:cs="Arial"/>
        </w:rPr>
        <w:footnoteRef/>
      </w:r>
      <w:r w:rsidRPr="00F74BAD">
        <w:rPr>
          <w:rFonts w:ascii="Arial" w:hAnsi="Arial" w:cs="Arial"/>
        </w:rPr>
        <w:t xml:space="preserve"> </w:t>
      </w:r>
      <w:r w:rsidRPr="00F74BAD">
        <w:rPr>
          <w:rFonts w:ascii="Arial" w:hAnsi="Arial" w:cs="Arial"/>
        </w:rPr>
        <w:t>Entry</w:t>
      </w:r>
      <w:r w:rsidR="00756E2F" w:rsidRPr="00F74BAD">
        <w:rPr>
          <w:rFonts w:ascii="Arial" w:hAnsi="Arial" w:cs="Arial"/>
        </w:rPr>
        <w:t xml:space="preserve"> at</w:t>
      </w:r>
      <w:r w:rsidR="003415F5">
        <w:rPr>
          <w:rFonts w:ascii="Arial" w:hAnsi="Arial" w:cs="Arial"/>
        </w:rPr>
        <w:t xml:space="preserve"> </w:t>
      </w:r>
      <w:r w:rsidR="003415F5">
        <w:rPr>
          <w:rFonts w:ascii="Arial" w:hAnsi="Arial" w:cs="Arial"/>
        </w:rPr>
        <w:t>4</w:t>
      </w:r>
      <w:bookmarkStart w:id="0" w:name="_GoBack"/>
      <w:bookmarkEnd w:id="0"/>
      <w:r w:rsidR="00756E2F" w:rsidRPr="00F74BAD">
        <w:rPr>
          <w:rFonts w:ascii="Arial" w:hAnsi="Arial" w:cs="Arial"/>
        </w:rPr>
        <w:t>-7</w:t>
      </w:r>
      <w:r w:rsidRPr="00F74BAD">
        <w:rPr>
          <w:rFonts w:ascii="Arial" w:hAnsi="Arial" w:cs="Arial"/>
        </w:rPr>
        <w:t xml:space="preserve"> (Feb. 5, 2015).</w:t>
      </w:r>
    </w:p>
    <w:p w14:paraId="53CE3619" w14:textId="77777777" w:rsidR="005A109D" w:rsidRPr="00F74BAD" w:rsidRDefault="005A109D">
      <w:pPr>
        <w:pStyle w:val="FootnoteText"/>
        <w:rPr>
          <w:rFonts w:ascii="Arial" w:hAnsi="Arial" w:cs="Arial"/>
        </w:rPr>
      </w:pPr>
    </w:p>
  </w:footnote>
  <w:footnote w:id="8">
    <w:p w14:paraId="1F7F6D00" w14:textId="05742579" w:rsidR="005A109D" w:rsidRPr="00606B87" w:rsidRDefault="005A109D" w:rsidP="005A109D">
      <w:pPr>
        <w:pStyle w:val="FootnoteText"/>
        <w:rPr>
          <w:rFonts w:ascii="Arial" w:hAnsi="Arial" w:cs="Arial"/>
        </w:rPr>
      </w:pPr>
      <w:r w:rsidRPr="00606B87">
        <w:rPr>
          <w:rStyle w:val="FootnoteReference"/>
          <w:rFonts w:ascii="Arial" w:hAnsi="Arial" w:cs="Arial"/>
        </w:rPr>
        <w:footnoteRef/>
      </w:r>
      <w:r w:rsidRPr="00606B87">
        <w:rPr>
          <w:rFonts w:ascii="Arial" w:hAnsi="Arial" w:cs="Arial"/>
        </w:rPr>
        <w:t xml:space="preserve"> Entry</w:t>
      </w:r>
      <w:r>
        <w:rPr>
          <w:rFonts w:ascii="Arial" w:hAnsi="Arial" w:cs="Arial"/>
        </w:rPr>
        <w:t xml:space="preserve"> </w:t>
      </w:r>
      <w:r w:rsidRPr="00606B87">
        <w:rPr>
          <w:rFonts w:ascii="Arial" w:hAnsi="Arial" w:cs="Arial"/>
        </w:rPr>
        <w:t>at 6-7 (Feb. 5, 2015).</w:t>
      </w:r>
    </w:p>
    <w:p w14:paraId="76855FCE" w14:textId="77777777" w:rsidR="005A109D" w:rsidRDefault="005A109D" w:rsidP="005A109D">
      <w:pPr>
        <w:pStyle w:val="FootnoteText"/>
      </w:pPr>
    </w:p>
  </w:footnote>
  <w:footnote w:id="9">
    <w:p w14:paraId="2E56D9CA" w14:textId="77777777" w:rsidR="00441F58" w:rsidRDefault="00441F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6773DD">
        <w:rPr>
          <w:rStyle w:val="apple-converted-space"/>
          <w:rFonts w:ascii="Arial" w:hAnsi="Arial" w:cs="Arial"/>
          <w:i/>
          <w:shd w:val="clear" w:color="auto" w:fill="FFFFFF"/>
        </w:rPr>
        <w:t>In re Application of Duke Energy, Ohio, Inc.</w:t>
      </w:r>
      <w:r w:rsidRPr="009F27C3">
        <w:rPr>
          <w:rStyle w:val="apple-converted-space"/>
          <w:rFonts w:ascii="Arial" w:hAnsi="Arial" w:cs="Arial"/>
          <w:shd w:val="clear" w:color="auto" w:fill="FFFFFF"/>
        </w:rPr>
        <w:t>, 131 Ohio St.3d 487,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 ¶ 8,</w:t>
      </w:r>
      <w:r w:rsidRPr="009F27C3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shd w:val="clear" w:color="auto" w:fill="FFFFFF"/>
        </w:rPr>
        <w:t>2012-Ohio-1509, 967 N.E.2d 201.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2169" w14:textId="77777777" w:rsidR="00C12898" w:rsidRDefault="00C128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ACCCC" w14:textId="77777777" w:rsidR="00C12898" w:rsidRDefault="00C128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E927A" w14:textId="77777777" w:rsidR="001B4FB0" w:rsidRDefault="00F3735F">
    <w:pPr>
      <w:pStyle w:val="Header"/>
      <w:jc w:val="right"/>
      <w:rPr>
        <w:sz w:val="24"/>
        <w:szCs w:val="24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wrence Friedeman">
    <w15:presenceInfo w15:providerId="AD" w15:userId="S-1-5-21-1316090093-710254092-3585433132-10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3"/>
    <w:rsid w:val="00056423"/>
    <w:rsid w:val="001A46E8"/>
    <w:rsid w:val="00284EA3"/>
    <w:rsid w:val="00332A96"/>
    <w:rsid w:val="003415F5"/>
    <w:rsid w:val="003F7B38"/>
    <w:rsid w:val="00441F58"/>
    <w:rsid w:val="004B0595"/>
    <w:rsid w:val="004D4C4A"/>
    <w:rsid w:val="005A109D"/>
    <w:rsid w:val="00606B87"/>
    <w:rsid w:val="00756E2F"/>
    <w:rsid w:val="007A2D53"/>
    <w:rsid w:val="00852505"/>
    <w:rsid w:val="008812CC"/>
    <w:rsid w:val="00953523"/>
    <w:rsid w:val="009F5B55"/>
    <w:rsid w:val="00B44722"/>
    <w:rsid w:val="00BF3C8C"/>
    <w:rsid w:val="00C03311"/>
    <w:rsid w:val="00C12898"/>
    <w:rsid w:val="00C83D22"/>
    <w:rsid w:val="00DD0F6D"/>
    <w:rsid w:val="00DE6FF7"/>
    <w:rsid w:val="00F3735F"/>
    <w:rsid w:val="00F64EA7"/>
    <w:rsid w:val="00F74BAD"/>
    <w:rsid w:val="00F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83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23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23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23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9535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53523"/>
    <w:rPr>
      <w:rFonts w:ascii="Times New Roman" w:eastAsia="Times New Roman" w:hAnsi="Times New Roman" w:cs="Times New Roman"/>
      <w:b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D2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83D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D22"/>
    <w:rPr>
      <w:rFonts w:asciiTheme="minorHAnsi" w:eastAsiaTheme="minorEastAsia" w:hAnsiTheme="minorHAnsi" w:cstheme="minorBidi"/>
      <w:szCs w:val="20"/>
    </w:rPr>
  </w:style>
  <w:style w:type="character" w:customStyle="1" w:styleId="apple-converted-space">
    <w:name w:val="apple-converted-space"/>
    <w:basedOn w:val="DefaultParagraphFont"/>
    <w:rsid w:val="00441F58"/>
  </w:style>
  <w:style w:type="paragraph" w:styleId="BalloonText">
    <w:name w:val="Balloon Text"/>
    <w:basedOn w:val="Normal"/>
    <w:link w:val="BalloonTextChar"/>
    <w:uiPriority w:val="99"/>
    <w:semiHidden/>
    <w:unhideWhenUsed/>
    <w:rsid w:val="00BF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8C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C8C"/>
    <w:rPr>
      <w:rFonts w:asciiTheme="minorHAnsi" w:eastAsiaTheme="minorEastAsia" w:hAnsiTheme="minorHAnsi" w:cstheme="minorBid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C8C"/>
    <w:rPr>
      <w:rFonts w:asciiTheme="minorHAnsi" w:eastAsiaTheme="minorEastAsia" w:hAnsiTheme="minorHAnsi" w:cstheme="minorBidi"/>
      <w:b/>
      <w:bCs/>
      <w:szCs w:val="20"/>
    </w:rPr>
  </w:style>
  <w:style w:type="paragraph" w:styleId="Revision">
    <w:name w:val="Revision"/>
    <w:hidden/>
    <w:uiPriority w:val="99"/>
    <w:semiHidden/>
    <w:rsid w:val="0085250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rsid w:val="005A109D"/>
    <w:rPr>
      <w:color w:val="0000FF"/>
      <w:u w:val="single"/>
    </w:rPr>
  </w:style>
  <w:style w:type="table" w:styleId="TableGrid">
    <w:name w:val="Table Grid"/>
    <w:basedOn w:val="TableNormal"/>
    <w:uiPriority w:val="59"/>
    <w:rsid w:val="005A109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23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23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23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9535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53523"/>
    <w:rPr>
      <w:rFonts w:ascii="Times New Roman" w:eastAsia="Times New Roman" w:hAnsi="Times New Roman" w:cs="Times New Roman"/>
      <w:b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D2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83D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D22"/>
    <w:rPr>
      <w:rFonts w:asciiTheme="minorHAnsi" w:eastAsiaTheme="minorEastAsia" w:hAnsiTheme="minorHAnsi" w:cstheme="minorBidi"/>
      <w:szCs w:val="20"/>
    </w:rPr>
  </w:style>
  <w:style w:type="character" w:customStyle="1" w:styleId="apple-converted-space">
    <w:name w:val="apple-converted-space"/>
    <w:basedOn w:val="DefaultParagraphFont"/>
    <w:rsid w:val="00441F58"/>
  </w:style>
  <w:style w:type="paragraph" w:styleId="BalloonText">
    <w:name w:val="Balloon Text"/>
    <w:basedOn w:val="Normal"/>
    <w:link w:val="BalloonTextChar"/>
    <w:uiPriority w:val="99"/>
    <w:semiHidden/>
    <w:unhideWhenUsed/>
    <w:rsid w:val="00BF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8C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C8C"/>
    <w:rPr>
      <w:rFonts w:asciiTheme="minorHAnsi" w:eastAsiaTheme="minorEastAsia" w:hAnsiTheme="minorHAnsi" w:cstheme="minorBid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C8C"/>
    <w:rPr>
      <w:rFonts w:asciiTheme="minorHAnsi" w:eastAsiaTheme="minorEastAsia" w:hAnsiTheme="minorHAnsi" w:cstheme="minorBidi"/>
      <w:b/>
      <w:bCs/>
      <w:szCs w:val="20"/>
    </w:rPr>
  </w:style>
  <w:style w:type="paragraph" w:styleId="Revision">
    <w:name w:val="Revision"/>
    <w:hidden/>
    <w:uiPriority w:val="99"/>
    <w:semiHidden/>
    <w:rsid w:val="0085250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rsid w:val="005A109D"/>
    <w:rPr>
      <w:color w:val="0000FF"/>
      <w:u w:val="single"/>
    </w:rPr>
  </w:style>
  <w:style w:type="table" w:styleId="TableGrid">
    <w:name w:val="Table Grid"/>
    <w:basedOn w:val="TableNormal"/>
    <w:uiPriority w:val="59"/>
    <w:rsid w:val="005A109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my.Spiller@duke-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84D2-19E4-4FB8-BA61-2C5D4926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4796</Characters>
  <Application>Microsoft Office Word</Application>
  <DocSecurity>0</DocSecurity>
  <Lines>129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2015-03-09T20:31:00Z</dcterms:created>
  <dcterms:modified xsi:type="dcterms:W3CDTF">2015-03-09T20:32:00Z</dcterms:modified>
</cp:coreProperties>
</file>