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91"/>
        <w:gridCol w:w="289"/>
        <w:gridCol w:w="4480"/>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A97705">
              <w:rPr>
                <w:rFonts w:ascii="Times New Roman" w:hAnsi="Times New Roman"/>
                <w:sz w:val="26"/>
                <w:szCs w:val="26"/>
              </w:rPr>
              <w:t xml:space="preserve"> the 2014 Review of the Distribution Investment Rider Contained in the Tariff of Ohio Power Company.</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A97705">
              <w:rPr>
                <w:rFonts w:ascii="Times New Roman" w:hAnsi="Times New Roman"/>
                <w:sz w:val="26"/>
                <w:szCs w:val="26"/>
              </w:rPr>
              <w:t>15-66-EL-RDR</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A97705" w:rsidP="00E10679">
      <w:pPr>
        <w:pStyle w:val="Title"/>
        <w:tabs>
          <w:tab w:val="left" w:pos="9360"/>
        </w:tabs>
        <w:rPr>
          <w:rFonts w:ascii="Times New Roman" w:hAnsi="Times New Roman"/>
          <w:b/>
          <w:sz w:val="32"/>
          <w:szCs w:val="32"/>
        </w:rPr>
      </w:pPr>
      <w:r>
        <w:rPr>
          <w:rFonts w:ascii="Times New Roman" w:hAnsi="Times New Roman"/>
          <w:b/>
          <w:sz w:val="32"/>
          <w:szCs w:val="32"/>
        </w:rPr>
        <w:t>COMMENTS</w:t>
      </w:r>
    </w:p>
    <w:p w:rsidR="00663D6A" w:rsidRPr="00A97705" w:rsidRDefault="00663D6A" w:rsidP="00A97705">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A97705">
        <w:rPr>
          <w:sz w:val="28"/>
          <w:szCs w:val="28"/>
        </w:rPr>
        <w:t>SUBMITTED ON BEHALF OF THE STAFF OF</w:t>
      </w:r>
      <w:bookmarkEnd w:id="0"/>
      <w:bookmarkEnd w:id="1"/>
      <w:bookmarkEnd w:id="2"/>
      <w:bookmarkEnd w:id="3"/>
      <w:bookmarkEnd w:id="4"/>
      <w:bookmarkEnd w:id="5"/>
      <w:bookmarkEnd w:id="6"/>
    </w:p>
    <w:p w:rsidR="00663D6A" w:rsidRPr="00A97705" w:rsidRDefault="00663D6A" w:rsidP="00A97705">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A97705">
        <w:rPr>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A97705">
      <w:pPr>
        <w:pStyle w:val="Title"/>
        <w:tabs>
          <w:tab w:val="left" w:pos="4320"/>
        </w:tabs>
        <w:jc w:val="left"/>
        <w:rPr>
          <w:rFonts w:ascii="Times New Roman" w:hAnsi="Times New Roman"/>
          <w:b/>
          <w:sz w:val="26"/>
          <w:szCs w:val="26"/>
        </w:rPr>
      </w:pPr>
      <w:r>
        <w:rPr>
          <w:rFonts w:ascii="Times New Roman" w:hAnsi="Times New Roman"/>
          <w:sz w:val="26"/>
          <w:szCs w:val="26"/>
        </w:rPr>
        <w:tab/>
      </w:r>
      <w:r w:rsidR="00A97705">
        <w:rPr>
          <w:rFonts w:ascii="Times New Roman" w:hAnsi="Times New Roman"/>
          <w:b/>
          <w:sz w:val="26"/>
          <w:szCs w:val="26"/>
        </w:rPr>
        <w:t>Steven L. Beeler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Style w:val="Hyperlink"/>
          <w:rFonts w:ascii="Times New Roman" w:hAnsi="Times New Roman"/>
          <w:sz w:val="26"/>
          <w:szCs w:val="26"/>
        </w:rPr>
      </w:pPr>
      <w:r>
        <w:rPr>
          <w:rFonts w:ascii="Times New Roman" w:hAnsi="Times New Roman"/>
          <w:sz w:val="26"/>
          <w:szCs w:val="26"/>
        </w:rPr>
        <w:tab/>
      </w:r>
      <w:hyperlink r:id="rId8" w:history="1">
        <w:r w:rsidR="00A97705" w:rsidRPr="00802A80">
          <w:rPr>
            <w:rStyle w:val="Hyperlink"/>
            <w:rFonts w:ascii="Times New Roman" w:hAnsi="Times New Roman"/>
            <w:sz w:val="26"/>
            <w:szCs w:val="26"/>
          </w:rPr>
          <w:t>steven.beeler@puc.state.oh.us</w:t>
        </w:r>
      </w:hyperlink>
    </w:p>
    <w:p w:rsidR="00A97705" w:rsidRDefault="00A97705" w:rsidP="00E10679">
      <w:pPr>
        <w:pStyle w:val="Title"/>
        <w:tabs>
          <w:tab w:val="left" w:pos="4320"/>
        </w:tabs>
        <w:jc w:val="left"/>
        <w:rPr>
          <w:rStyle w:val="Hyperlink"/>
          <w:rFonts w:ascii="Times New Roman" w:hAnsi="Times New Roman"/>
          <w:sz w:val="26"/>
          <w:szCs w:val="26"/>
        </w:rPr>
      </w:pPr>
    </w:p>
    <w:p w:rsidR="00A97705" w:rsidRPr="00A97705" w:rsidRDefault="00A97705" w:rsidP="00E10679">
      <w:pPr>
        <w:pStyle w:val="Title"/>
        <w:tabs>
          <w:tab w:val="left" w:pos="4320"/>
        </w:tabs>
        <w:jc w:val="left"/>
        <w:rPr>
          <w:rFonts w:ascii="Times New Roman" w:hAnsi="Times New Roman"/>
          <w:b/>
          <w:sz w:val="26"/>
          <w:szCs w:val="26"/>
        </w:rPr>
      </w:pPr>
      <w:r w:rsidRPr="00A97705">
        <w:tab/>
      </w:r>
      <w:r w:rsidRPr="00A97705">
        <w:rPr>
          <w:rFonts w:ascii="Times New Roman" w:hAnsi="Times New Roman"/>
          <w:b/>
          <w:sz w:val="26"/>
          <w:szCs w:val="26"/>
        </w:rPr>
        <w:t>On behalf of the Staff of</w:t>
      </w:r>
    </w:p>
    <w:p w:rsidR="00A97705" w:rsidRPr="00A97705" w:rsidRDefault="00A97705" w:rsidP="00E10679">
      <w:pPr>
        <w:pStyle w:val="Title"/>
        <w:tabs>
          <w:tab w:val="left" w:pos="4320"/>
        </w:tabs>
        <w:jc w:val="left"/>
        <w:rPr>
          <w:rFonts w:ascii="Times New Roman" w:hAnsi="Times New Roman"/>
          <w:b/>
          <w:sz w:val="26"/>
          <w:szCs w:val="26"/>
        </w:rPr>
      </w:pPr>
      <w:r w:rsidRPr="00A97705">
        <w:rPr>
          <w:rFonts w:ascii="Times New Roman" w:hAnsi="Times New Roman"/>
          <w:b/>
          <w:sz w:val="26"/>
          <w:szCs w:val="26"/>
        </w:rPr>
        <w:tab/>
        <w:t>The Public Utilities Commission of Ohio</w:t>
      </w:r>
    </w:p>
    <w:p w:rsidR="00E10679" w:rsidRPr="00A97705"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3B12DD" w:rsidRPr="00A97705" w:rsidRDefault="00B66210" w:rsidP="00A97705">
      <w:pPr>
        <w:rPr>
          <w:sz w:val="26"/>
          <w:szCs w:val="26"/>
        </w:rPr>
        <w:sectPr w:rsidR="003B12DD" w:rsidRPr="00A97705" w:rsidSect="003B12DD">
          <w:headerReference w:type="default" r:id="rId9"/>
          <w:footerReference w:type="default" r:id="rId10"/>
          <w:pgSz w:w="12240" w:h="15840" w:code="1"/>
          <w:pgMar w:top="1440" w:right="1440" w:bottom="1440" w:left="1440" w:header="720" w:footer="720" w:gutter="0"/>
          <w:pgNumType w:fmt="lowerRoman" w:start="1"/>
          <w:cols w:space="720"/>
          <w:titlePg/>
          <w:docGrid w:linePitch="360"/>
        </w:sectPr>
      </w:pPr>
      <w:r>
        <w:rPr>
          <w:sz w:val="26"/>
          <w:szCs w:val="26"/>
        </w:rPr>
        <w:t>August 6</w:t>
      </w:r>
      <w:r w:rsidR="00A97705" w:rsidRPr="00A97705">
        <w:rPr>
          <w:sz w:val="26"/>
          <w:szCs w:val="26"/>
        </w:rPr>
        <w:t>, 2015</w:t>
      </w:r>
    </w:p>
    <w:p w:rsidR="00EC1D97" w:rsidRDefault="009C7D50">
      <w:pPr>
        <w:pStyle w:val="TOC1"/>
        <w:rPr>
          <w:rFonts w:asciiTheme="minorHAnsi" w:eastAsiaTheme="minorEastAsia" w:hAnsiTheme="minorHAnsi" w:cstheme="minorBidi"/>
          <w:noProof/>
          <w:sz w:val="22"/>
          <w:szCs w:val="22"/>
        </w:rPr>
      </w:pPr>
      <w:r>
        <w:rPr>
          <w:b/>
          <w:szCs w:val="26"/>
        </w:rPr>
        <w:lastRenderedPageBreak/>
        <w:fldChar w:fldCharType="begin"/>
      </w:r>
      <w:r>
        <w:rPr>
          <w:b/>
          <w:szCs w:val="26"/>
        </w:rPr>
        <w:instrText xml:space="preserve"> TOC \o "1-4" \u </w:instrText>
      </w:r>
      <w:r>
        <w:rPr>
          <w:b/>
          <w:szCs w:val="26"/>
        </w:rPr>
        <w:fldChar w:fldCharType="separate"/>
      </w:r>
      <w:r w:rsidR="00EC1D97">
        <w:rPr>
          <w:noProof/>
        </w:rPr>
        <w:t>BACKGROUND</w:t>
      </w:r>
      <w:r w:rsidR="00EC1D97">
        <w:rPr>
          <w:noProof/>
        </w:rPr>
        <w:tab/>
      </w:r>
      <w:r w:rsidR="00EC1D97">
        <w:rPr>
          <w:noProof/>
        </w:rPr>
        <w:fldChar w:fldCharType="begin"/>
      </w:r>
      <w:r w:rsidR="00EC1D97">
        <w:rPr>
          <w:noProof/>
        </w:rPr>
        <w:instrText xml:space="preserve"> PAGEREF _Toc426629878 \h </w:instrText>
      </w:r>
      <w:r w:rsidR="00EC1D97">
        <w:rPr>
          <w:noProof/>
        </w:rPr>
      </w:r>
      <w:r w:rsidR="00EC1D97">
        <w:rPr>
          <w:noProof/>
        </w:rPr>
        <w:fldChar w:fldCharType="separate"/>
      </w:r>
      <w:r w:rsidR="006A0007">
        <w:rPr>
          <w:noProof/>
        </w:rPr>
        <w:t>1</w:t>
      </w:r>
      <w:r w:rsidR="00EC1D97">
        <w:rPr>
          <w:noProof/>
        </w:rPr>
        <w:fldChar w:fldCharType="end"/>
      </w:r>
    </w:p>
    <w:p w:rsidR="00EC1D97" w:rsidRDefault="00EC1D97">
      <w:pPr>
        <w:pStyle w:val="TOC1"/>
        <w:rPr>
          <w:rFonts w:asciiTheme="minorHAnsi" w:eastAsiaTheme="minorEastAsia" w:hAnsiTheme="minorHAnsi" w:cstheme="minorBidi"/>
          <w:noProof/>
          <w:sz w:val="22"/>
          <w:szCs w:val="22"/>
        </w:rPr>
      </w:pPr>
      <w:r>
        <w:rPr>
          <w:noProof/>
        </w:rPr>
        <w:t>SCOPE AND OBJECTIVES</w:t>
      </w:r>
      <w:r>
        <w:rPr>
          <w:noProof/>
        </w:rPr>
        <w:tab/>
      </w:r>
      <w:r>
        <w:rPr>
          <w:noProof/>
        </w:rPr>
        <w:fldChar w:fldCharType="begin"/>
      </w:r>
      <w:r>
        <w:rPr>
          <w:noProof/>
        </w:rPr>
        <w:instrText xml:space="preserve"> PAGEREF _Toc426629879 \h </w:instrText>
      </w:r>
      <w:r>
        <w:rPr>
          <w:noProof/>
        </w:rPr>
      </w:r>
      <w:r>
        <w:rPr>
          <w:noProof/>
        </w:rPr>
        <w:fldChar w:fldCharType="separate"/>
      </w:r>
      <w:r w:rsidR="006A0007">
        <w:rPr>
          <w:noProof/>
        </w:rPr>
        <w:t>2</w:t>
      </w:r>
      <w:r>
        <w:rPr>
          <w:noProof/>
        </w:rPr>
        <w:fldChar w:fldCharType="end"/>
      </w:r>
    </w:p>
    <w:p w:rsidR="00EC1D97" w:rsidRDefault="00EC1D97">
      <w:pPr>
        <w:pStyle w:val="TOC1"/>
        <w:rPr>
          <w:rFonts w:asciiTheme="minorHAnsi" w:eastAsiaTheme="minorEastAsia" w:hAnsiTheme="minorHAnsi" w:cstheme="minorBidi"/>
          <w:noProof/>
          <w:sz w:val="22"/>
          <w:szCs w:val="22"/>
        </w:rPr>
      </w:pPr>
      <w:r>
        <w:rPr>
          <w:noProof/>
        </w:rPr>
        <w:t>2014 COMPARED TO BASELINE YEARS</w:t>
      </w:r>
      <w:r>
        <w:rPr>
          <w:noProof/>
        </w:rPr>
        <w:tab/>
      </w:r>
      <w:r>
        <w:rPr>
          <w:noProof/>
        </w:rPr>
        <w:fldChar w:fldCharType="begin"/>
      </w:r>
      <w:r>
        <w:rPr>
          <w:noProof/>
        </w:rPr>
        <w:instrText xml:space="preserve"> PAGEREF _Toc426629880 \h </w:instrText>
      </w:r>
      <w:r>
        <w:rPr>
          <w:noProof/>
        </w:rPr>
      </w:r>
      <w:r>
        <w:rPr>
          <w:noProof/>
        </w:rPr>
        <w:fldChar w:fldCharType="separate"/>
      </w:r>
      <w:r w:rsidR="006A0007">
        <w:rPr>
          <w:noProof/>
        </w:rPr>
        <w:t>3</w:t>
      </w:r>
      <w:r>
        <w:rPr>
          <w:noProof/>
        </w:rPr>
        <w:fldChar w:fldCharType="end"/>
      </w:r>
    </w:p>
    <w:p w:rsidR="00EC1D97" w:rsidRDefault="00EC1D97">
      <w:pPr>
        <w:pStyle w:val="TOC1"/>
        <w:rPr>
          <w:rFonts w:asciiTheme="minorHAnsi" w:eastAsiaTheme="minorEastAsia" w:hAnsiTheme="minorHAnsi" w:cstheme="minorBidi"/>
          <w:noProof/>
          <w:sz w:val="22"/>
          <w:szCs w:val="22"/>
        </w:rPr>
      </w:pPr>
      <w:r>
        <w:rPr>
          <w:noProof/>
        </w:rPr>
        <w:t>PROJECTION COMPARED TO ACTUAL</w:t>
      </w:r>
      <w:r>
        <w:rPr>
          <w:noProof/>
        </w:rPr>
        <w:tab/>
      </w:r>
      <w:r>
        <w:rPr>
          <w:noProof/>
        </w:rPr>
        <w:fldChar w:fldCharType="begin"/>
      </w:r>
      <w:r>
        <w:rPr>
          <w:noProof/>
        </w:rPr>
        <w:instrText xml:space="preserve"> PAGEREF _Toc426629881 \h </w:instrText>
      </w:r>
      <w:r>
        <w:rPr>
          <w:noProof/>
        </w:rPr>
      </w:r>
      <w:r>
        <w:rPr>
          <w:noProof/>
        </w:rPr>
        <w:fldChar w:fldCharType="separate"/>
      </w:r>
      <w:r w:rsidR="006A0007">
        <w:rPr>
          <w:noProof/>
        </w:rPr>
        <w:t>4</w:t>
      </w:r>
      <w:r>
        <w:rPr>
          <w:noProof/>
        </w:rPr>
        <w:fldChar w:fldCharType="end"/>
      </w:r>
    </w:p>
    <w:p w:rsidR="00EC1D97" w:rsidRDefault="00EC1D97">
      <w:pPr>
        <w:pStyle w:val="TOC1"/>
        <w:rPr>
          <w:rFonts w:asciiTheme="minorHAnsi" w:eastAsiaTheme="minorEastAsia" w:hAnsiTheme="minorHAnsi" w:cstheme="minorBidi"/>
          <w:noProof/>
          <w:sz w:val="22"/>
          <w:szCs w:val="22"/>
        </w:rPr>
      </w:pPr>
      <w:r>
        <w:rPr>
          <w:noProof/>
        </w:rPr>
        <w:t>DIR EXPENDITURE TREND</w:t>
      </w:r>
      <w:r>
        <w:rPr>
          <w:noProof/>
        </w:rPr>
        <w:tab/>
      </w:r>
      <w:r>
        <w:rPr>
          <w:noProof/>
        </w:rPr>
        <w:fldChar w:fldCharType="begin"/>
      </w:r>
      <w:r>
        <w:rPr>
          <w:noProof/>
        </w:rPr>
        <w:instrText xml:space="preserve"> PAGEREF _Toc426629882 \h </w:instrText>
      </w:r>
      <w:r>
        <w:rPr>
          <w:noProof/>
        </w:rPr>
      </w:r>
      <w:r>
        <w:rPr>
          <w:noProof/>
        </w:rPr>
        <w:fldChar w:fldCharType="separate"/>
      </w:r>
      <w:r w:rsidR="006A0007">
        <w:rPr>
          <w:noProof/>
        </w:rPr>
        <w:t>5</w:t>
      </w:r>
      <w:r>
        <w:rPr>
          <w:noProof/>
        </w:rPr>
        <w:fldChar w:fldCharType="end"/>
      </w:r>
    </w:p>
    <w:p w:rsidR="00EC1D97" w:rsidRDefault="00EC1D97">
      <w:pPr>
        <w:pStyle w:val="TOC1"/>
        <w:rPr>
          <w:rFonts w:asciiTheme="minorHAnsi" w:eastAsiaTheme="minorEastAsia" w:hAnsiTheme="minorHAnsi" w:cstheme="minorBidi"/>
          <w:noProof/>
          <w:sz w:val="22"/>
          <w:szCs w:val="22"/>
        </w:rPr>
      </w:pPr>
      <w:r>
        <w:rPr>
          <w:noProof/>
        </w:rPr>
        <w:t>RELIABILITY IMPROVEMENT ACHIEVED</w:t>
      </w:r>
      <w:r>
        <w:rPr>
          <w:noProof/>
        </w:rPr>
        <w:tab/>
      </w:r>
      <w:r>
        <w:rPr>
          <w:noProof/>
        </w:rPr>
        <w:fldChar w:fldCharType="begin"/>
      </w:r>
      <w:r>
        <w:rPr>
          <w:noProof/>
        </w:rPr>
        <w:instrText xml:space="preserve"> PAGEREF _Toc426629883 \h </w:instrText>
      </w:r>
      <w:r>
        <w:rPr>
          <w:noProof/>
        </w:rPr>
      </w:r>
      <w:r>
        <w:rPr>
          <w:noProof/>
        </w:rPr>
        <w:fldChar w:fldCharType="separate"/>
      </w:r>
      <w:r w:rsidR="006A0007">
        <w:rPr>
          <w:noProof/>
        </w:rPr>
        <w:t>7</w:t>
      </w:r>
      <w:r>
        <w:rPr>
          <w:noProof/>
        </w:rPr>
        <w:fldChar w:fldCharType="end"/>
      </w:r>
    </w:p>
    <w:p w:rsidR="00EC1D97" w:rsidRDefault="00EC1D97">
      <w:pPr>
        <w:pStyle w:val="TOC1"/>
        <w:rPr>
          <w:rFonts w:asciiTheme="minorHAnsi" w:eastAsiaTheme="minorEastAsia" w:hAnsiTheme="minorHAnsi" w:cstheme="minorBidi"/>
          <w:noProof/>
          <w:sz w:val="22"/>
          <w:szCs w:val="22"/>
        </w:rPr>
      </w:pPr>
      <w:r>
        <w:rPr>
          <w:noProof/>
        </w:rPr>
        <w:t>SUMMARY OF RESULTS</w:t>
      </w:r>
      <w:r>
        <w:rPr>
          <w:noProof/>
        </w:rPr>
        <w:tab/>
      </w:r>
      <w:r>
        <w:rPr>
          <w:noProof/>
        </w:rPr>
        <w:fldChar w:fldCharType="begin"/>
      </w:r>
      <w:r>
        <w:rPr>
          <w:noProof/>
        </w:rPr>
        <w:instrText xml:space="preserve"> PAGEREF _Toc426629884 \h </w:instrText>
      </w:r>
      <w:r>
        <w:rPr>
          <w:noProof/>
        </w:rPr>
      </w:r>
      <w:r>
        <w:rPr>
          <w:noProof/>
        </w:rPr>
        <w:fldChar w:fldCharType="separate"/>
      </w:r>
      <w:r w:rsidR="006A0007">
        <w:rPr>
          <w:noProof/>
        </w:rPr>
        <w:t>9</w:t>
      </w:r>
      <w:r>
        <w:rPr>
          <w:noProof/>
        </w:rPr>
        <w:fldChar w:fldCharType="end"/>
      </w:r>
    </w:p>
    <w:p w:rsidR="00EC1D97" w:rsidRDefault="00EC1D97">
      <w:pPr>
        <w:pStyle w:val="TOC1"/>
        <w:rPr>
          <w:rFonts w:asciiTheme="minorHAnsi" w:eastAsiaTheme="minorEastAsia" w:hAnsiTheme="minorHAnsi" w:cstheme="minorBidi"/>
          <w:noProof/>
          <w:sz w:val="22"/>
          <w:szCs w:val="22"/>
        </w:rPr>
      </w:pPr>
      <w:r w:rsidRPr="00A64B7E">
        <w:rPr>
          <w:noProof/>
        </w:rPr>
        <w:t>PROOF OF SERVICE</w:t>
      </w:r>
      <w:r>
        <w:rPr>
          <w:noProof/>
        </w:rPr>
        <w:tab/>
      </w:r>
      <w:r>
        <w:rPr>
          <w:noProof/>
        </w:rPr>
        <w:fldChar w:fldCharType="begin"/>
      </w:r>
      <w:r>
        <w:rPr>
          <w:noProof/>
        </w:rPr>
        <w:instrText xml:space="preserve"> PAGEREF _Toc426629885 \h </w:instrText>
      </w:r>
      <w:r>
        <w:rPr>
          <w:noProof/>
        </w:rPr>
      </w:r>
      <w:r>
        <w:rPr>
          <w:noProof/>
        </w:rPr>
        <w:fldChar w:fldCharType="separate"/>
      </w:r>
      <w:r w:rsidR="006A0007">
        <w:rPr>
          <w:noProof/>
        </w:rPr>
        <w:t>11</w:t>
      </w:r>
      <w:r>
        <w:rPr>
          <w:noProof/>
        </w:rPr>
        <w:fldChar w:fldCharType="end"/>
      </w:r>
    </w:p>
    <w:p w:rsidR="0064436A" w:rsidRDefault="009C7D50" w:rsidP="00CB5644">
      <w:pPr>
        <w:jc w:val="center"/>
        <w:rPr>
          <w:b/>
          <w:sz w:val="26"/>
          <w:szCs w:val="26"/>
        </w:rPr>
        <w:sectPr w:rsidR="0064436A" w:rsidSect="00C95499">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10679" w:rsidRDefault="00E10679" w:rsidP="00CB5644">
      <w:pPr>
        <w:jc w:val="center"/>
        <w:rPr>
          <w:b/>
          <w:sz w:val="26"/>
          <w:szCs w:val="26"/>
        </w:rPr>
      </w:pPr>
    </w:p>
    <w:p w:rsidR="00E10679" w:rsidRDefault="00E10679" w:rsidP="00CB5644">
      <w:pPr>
        <w:jc w:val="center"/>
        <w:rPr>
          <w:b/>
          <w:sz w:val="26"/>
          <w:szCs w:val="26"/>
        </w:rPr>
      </w:pPr>
    </w:p>
    <w:tbl>
      <w:tblPr>
        <w:tblW w:w="0" w:type="auto"/>
        <w:tblLook w:val="01E0" w:firstRow="1" w:lastRow="1" w:firstColumn="1" w:lastColumn="1" w:noHBand="0" w:noVBand="0"/>
      </w:tblPr>
      <w:tblGrid>
        <w:gridCol w:w="4591"/>
        <w:gridCol w:w="289"/>
        <w:gridCol w:w="4480"/>
      </w:tblGrid>
      <w:tr w:rsidR="00A97705" w:rsidTr="001B0BBB">
        <w:tc>
          <w:tcPr>
            <w:tcW w:w="4698" w:type="dxa"/>
          </w:tcPr>
          <w:p w:rsidR="00A97705" w:rsidRPr="00221496" w:rsidRDefault="00A97705" w:rsidP="001B0BBB">
            <w:pPr>
              <w:pStyle w:val="Title"/>
              <w:tabs>
                <w:tab w:val="left" w:pos="5130"/>
                <w:tab w:val="left" w:pos="5670"/>
              </w:tabs>
              <w:jc w:val="left"/>
              <w:rPr>
                <w:rFonts w:ascii="Times New Roman" w:hAnsi="Times New Roman"/>
                <w:sz w:val="26"/>
                <w:szCs w:val="26"/>
              </w:rPr>
            </w:pPr>
            <w:bookmarkStart w:id="14" w:name="_Toc260212957"/>
            <w:r w:rsidRPr="00221496">
              <w:rPr>
                <w:rFonts w:ascii="Times New Roman" w:hAnsi="Times New Roman"/>
                <w:sz w:val="26"/>
                <w:szCs w:val="26"/>
              </w:rPr>
              <w:t>In the Matter of</w:t>
            </w:r>
            <w:r>
              <w:rPr>
                <w:rFonts w:ascii="Times New Roman" w:hAnsi="Times New Roman"/>
                <w:sz w:val="26"/>
                <w:szCs w:val="26"/>
              </w:rPr>
              <w:t xml:space="preserve"> the 2014 Review of the Distribution Investment Rider Contained in the Tariff of Ohio Power Company.</w:t>
            </w:r>
          </w:p>
        </w:tc>
        <w:tc>
          <w:tcPr>
            <w:tcW w:w="270" w:type="dxa"/>
          </w:tcPr>
          <w:p w:rsidR="00A97705" w:rsidRPr="00221496" w:rsidRDefault="00A97705" w:rsidP="001B0BBB">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A97705" w:rsidRPr="00221496" w:rsidRDefault="00A97705" w:rsidP="001B0BBB">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A97705" w:rsidRPr="00221496" w:rsidRDefault="00A97705" w:rsidP="001B0BBB">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A97705" w:rsidRPr="00221496" w:rsidRDefault="00A97705" w:rsidP="001B0BBB">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15-66-EL-RDR</w:t>
            </w:r>
          </w:p>
        </w:tc>
      </w:tr>
    </w:tbl>
    <w:p w:rsidR="00A97705" w:rsidRPr="002D54AC" w:rsidRDefault="00A97705" w:rsidP="00A97705">
      <w:pPr>
        <w:pStyle w:val="Title"/>
        <w:tabs>
          <w:tab w:val="left" w:pos="5130"/>
          <w:tab w:val="left" w:pos="5670"/>
        </w:tabs>
        <w:rPr>
          <w:rFonts w:ascii="Times New Roman" w:hAnsi="Times New Roman"/>
          <w:sz w:val="26"/>
          <w:szCs w:val="26"/>
        </w:rPr>
      </w:pPr>
    </w:p>
    <w:p w:rsidR="00A97705" w:rsidRDefault="00A97705" w:rsidP="00A97705">
      <w:pPr>
        <w:pStyle w:val="Title"/>
        <w:tabs>
          <w:tab w:val="left" w:pos="5130"/>
          <w:tab w:val="left" w:pos="5670"/>
        </w:tabs>
        <w:jc w:val="left"/>
        <w:rPr>
          <w:rFonts w:ascii="Times New Roman" w:hAnsi="Times New Roman"/>
          <w:sz w:val="26"/>
          <w:szCs w:val="26"/>
        </w:rPr>
      </w:pPr>
    </w:p>
    <w:p w:rsidR="00A97705" w:rsidRDefault="00A97705" w:rsidP="00A97705">
      <w:pPr>
        <w:pStyle w:val="Title"/>
        <w:tabs>
          <w:tab w:val="left" w:pos="5130"/>
          <w:tab w:val="left" w:pos="5670"/>
        </w:tabs>
        <w:jc w:val="left"/>
        <w:rPr>
          <w:rFonts w:ascii="Times New Roman" w:hAnsi="Times New Roman"/>
          <w:sz w:val="26"/>
          <w:szCs w:val="26"/>
        </w:rPr>
      </w:pPr>
    </w:p>
    <w:p w:rsidR="00A97705" w:rsidRDefault="00A97705" w:rsidP="00A97705">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A97705" w:rsidRPr="00E10679" w:rsidRDefault="00A97705" w:rsidP="00A97705">
      <w:pPr>
        <w:pStyle w:val="Title"/>
        <w:tabs>
          <w:tab w:val="left" w:pos="9360"/>
        </w:tabs>
        <w:rPr>
          <w:rFonts w:ascii="Times New Roman" w:hAnsi="Times New Roman"/>
          <w:b/>
          <w:sz w:val="32"/>
          <w:szCs w:val="32"/>
        </w:rPr>
      </w:pPr>
      <w:r>
        <w:rPr>
          <w:rFonts w:ascii="Times New Roman" w:hAnsi="Times New Roman"/>
          <w:b/>
          <w:sz w:val="32"/>
          <w:szCs w:val="32"/>
        </w:rPr>
        <w:t>COMMENTS</w:t>
      </w:r>
    </w:p>
    <w:p w:rsidR="00A97705" w:rsidRPr="00A97705" w:rsidRDefault="00A97705" w:rsidP="00A97705">
      <w:pPr>
        <w:jc w:val="center"/>
        <w:rPr>
          <w:sz w:val="28"/>
          <w:szCs w:val="28"/>
        </w:rPr>
      </w:pPr>
      <w:r w:rsidRPr="00A97705">
        <w:rPr>
          <w:sz w:val="28"/>
          <w:szCs w:val="28"/>
        </w:rPr>
        <w:t>SUBMITTED ON BEHALF OF THE STAFF OF</w:t>
      </w:r>
    </w:p>
    <w:p w:rsidR="00A97705" w:rsidRPr="00A97705" w:rsidRDefault="00A97705" w:rsidP="00A97705">
      <w:pPr>
        <w:jc w:val="center"/>
        <w:rPr>
          <w:sz w:val="28"/>
          <w:szCs w:val="28"/>
        </w:rPr>
      </w:pPr>
      <w:r w:rsidRPr="00A97705">
        <w:rPr>
          <w:sz w:val="28"/>
          <w:szCs w:val="28"/>
        </w:rPr>
        <w:t>THE PUBLIC UTILITIES COMMISSION OF OHIO</w:t>
      </w:r>
    </w:p>
    <w:p w:rsidR="00A97705" w:rsidRDefault="00A97705" w:rsidP="00A97705">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A97705" w:rsidP="0064436A">
      <w:pPr>
        <w:pStyle w:val="Heading1"/>
      </w:pPr>
      <w:bookmarkStart w:id="15" w:name="_Toc426629878"/>
      <w:bookmarkEnd w:id="14"/>
      <w:r>
        <w:t>BACKGROUND</w:t>
      </w:r>
      <w:bookmarkEnd w:id="15"/>
    </w:p>
    <w:p w:rsidR="00A97705" w:rsidRDefault="0064436A" w:rsidP="00A97705">
      <w:pPr>
        <w:pStyle w:val="textstyle0"/>
      </w:pPr>
      <w:r>
        <w:tab/>
      </w:r>
      <w:r w:rsidR="00A97705">
        <w:t>In its August 12, 2012 Opinion and Order in Case No. 11-346-EL-SSO (ESP 1 Order), the Commission approved a Distribution Investment Rider for Ohio Power Company (AEP Ohio or the Company), and ordered the Company to “work with Staff to develop a plan to emphasize proactive distribution maintenance that focuses spending on where it will have the greatest impact on maintaining and improving reliability for customers.”  Accordingly, AEP Ohio has worked with Staff to develop the 2014 DIR plan, which it filed on December 16, 2013 in Case No. 1</w:t>
      </w:r>
      <w:r w:rsidR="000978DF">
        <w:t>3</w:t>
      </w:r>
      <w:r w:rsidR="00A97705">
        <w:t xml:space="preserve">-2394-EL-UNC.  During 2014, Staff monitored AEP Ohio’s implementation of that plan and will summarize the results in these Staff Comments.  The purpose of this review is to determine the extent to which </w:t>
      </w:r>
      <w:r w:rsidR="00A97705">
        <w:lastRenderedPageBreak/>
        <w:t>AEP Ohio is spending on proactive infrastructure programs and those that are expected to have a positive impact on reliability</w:t>
      </w:r>
      <w:r w:rsidR="00A97705">
        <w:rPr>
          <w:rStyle w:val="FootnoteReference"/>
          <w:sz w:val="24"/>
        </w:rPr>
        <w:footnoteReference w:id="1"/>
      </w:r>
      <w:r w:rsidR="00A97705">
        <w:t xml:space="preserve"> and also to quantify that impact. </w:t>
      </w:r>
    </w:p>
    <w:p w:rsidR="00E10679" w:rsidRDefault="00A97705" w:rsidP="00E10679">
      <w:pPr>
        <w:pStyle w:val="Heading1"/>
      </w:pPr>
      <w:bookmarkStart w:id="16" w:name="_Toc426629879"/>
      <w:r>
        <w:t>SCOPE AND OBJECTIVES</w:t>
      </w:r>
      <w:bookmarkEnd w:id="16"/>
    </w:p>
    <w:p w:rsidR="00A97705" w:rsidRDefault="00E10679" w:rsidP="00A97705">
      <w:pPr>
        <w:pStyle w:val="textstyle0"/>
      </w:pPr>
      <w:r>
        <w:tab/>
      </w:r>
      <w:r w:rsidR="00A97705">
        <w:t>The scope of Staff’s analysis is limited to AEP Ohio’s DIR performance as meas</w:t>
      </w:r>
      <w:r w:rsidR="00FC2F62">
        <w:softHyphen/>
      </w:r>
      <w:r w:rsidR="00A97705">
        <w:t xml:space="preserve">ured by capital expenditures and reliability impact.  The analysis </w:t>
      </w:r>
      <w:r w:rsidR="00A97705" w:rsidRPr="00A97705">
        <w:rPr>
          <w:i/>
        </w:rPr>
        <w:t>excludes</w:t>
      </w:r>
      <w:r w:rsidR="00A97705">
        <w:t xml:space="preserve"> smart grid expenditures recovered through the Company’s gridSMART Rider as well as vegetation management expenditures recovered through base rates and the Enhanced Service Relia</w:t>
      </w:r>
      <w:r w:rsidR="00FC2F62">
        <w:softHyphen/>
      </w:r>
      <w:r w:rsidR="00A97705">
        <w:t xml:space="preserve">bility Rider.  Finally, these comments are </w:t>
      </w:r>
      <w:r w:rsidR="00A97705" w:rsidRPr="00A97705">
        <w:rPr>
          <w:i/>
        </w:rPr>
        <w:t>not</w:t>
      </w:r>
      <w:r w:rsidR="00A97705">
        <w:t xml:space="preserve"> directed toward the results of the 2014 DIR Compliance Audit conducted by Baker Tilly, the consultant auditor.</w:t>
      </w:r>
    </w:p>
    <w:p w:rsidR="00A97705" w:rsidRDefault="00A97705" w:rsidP="00A97705">
      <w:pPr>
        <w:pStyle w:val="textstyle0"/>
      </w:pPr>
      <w:r>
        <w:tab/>
        <w:t>The objectives of Staff’s analysis are as follows:</w:t>
      </w:r>
    </w:p>
    <w:p w:rsidR="00A97705" w:rsidRPr="00A97705" w:rsidRDefault="00A97705" w:rsidP="00A97705">
      <w:pPr>
        <w:pStyle w:val="ListParagraph"/>
        <w:numPr>
          <w:ilvl w:val="0"/>
          <w:numId w:val="7"/>
        </w:numPr>
        <w:spacing w:after="240" w:line="240" w:lineRule="auto"/>
        <w:ind w:left="1080" w:right="720"/>
        <w:contextualSpacing w:val="0"/>
        <w:rPr>
          <w:rFonts w:ascii="Times New Roman" w:hAnsi="Times New Roman"/>
          <w:sz w:val="26"/>
          <w:szCs w:val="26"/>
        </w:rPr>
      </w:pPr>
      <w:r w:rsidRPr="00A97705">
        <w:rPr>
          <w:rFonts w:ascii="Times New Roman" w:hAnsi="Times New Roman"/>
          <w:sz w:val="26"/>
          <w:szCs w:val="26"/>
        </w:rPr>
        <w:t>To compare total 2014 DIR expenditures to baseline expenditures dur</w:t>
      </w:r>
      <w:r w:rsidR="00FC2F62">
        <w:rPr>
          <w:rFonts w:ascii="Times New Roman" w:hAnsi="Times New Roman"/>
          <w:sz w:val="26"/>
          <w:szCs w:val="26"/>
        </w:rPr>
        <w:softHyphen/>
      </w:r>
      <w:r w:rsidRPr="00A97705">
        <w:rPr>
          <w:rFonts w:ascii="Times New Roman" w:hAnsi="Times New Roman"/>
          <w:sz w:val="26"/>
          <w:szCs w:val="26"/>
        </w:rPr>
        <w:t>ing the three years prior to Commission approval of the DIR Rider;</w:t>
      </w:r>
    </w:p>
    <w:p w:rsidR="00A97705" w:rsidRPr="00A97705" w:rsidRDefault="00A97705" w:rsidP="00A97705">
      <w:pPr>
        <w:pStyle w:val="ListParagraph"/>
        <w:numPr>
          <w:ilvl w:val="0"/>
          <w:numId w:val="7"/>
        </w:numPr>
        <w:spacing w:after="240" w:line="240" w:lineRule="auto"/>
        <w:ind w:left="1080" w:right="720"/>
        <w:contextualSpacing w:val="0"/>
        <w:rPr>
          <w:rFonts w:ascii="Times New Roman" w:hAnsi="Times New Roman"/>
          <w:sz w:val="26"/>
          <w:szCs w:val="26"/>
        </w:rPr>
      </w:pPr>
      <w:r w:rsidRPr="00A97705">
        <w:rPr>
          <w:rFonts w:ascii="Times New Roman" w:hAnsi="Times New Roman"/>
          <w:sz w:val="26"/>
          <w:szCs w:val="26"/>
        </w:rPr>
        <w:t>To compare actual 2014 DIR expenditures against the Company’s 2014 projection;</w:t>
      </w:r>
    </w:p>
    <w:p w:rsidR="00A97705" w:rsidRPr="00A97705" w:rsidRDefault="00A97705" w:rsidP="00A97705">
      <w:pPr>
        <w:pStyle w:val="ListParagraph"/>
        <w:numPr>
          <w:ilvl w:val="0"/>
          <w:numId w:val="7"/>
        </w:numPr>
        <w:spacing w:after="240" w:line="240" w:lineRule="auto"/>
        <w:ind w:left="1080" w:right="720"/>
        <w:contextualSpacing w:val="0"/>
        <w:rPr>
          <w:rFonts w:ascii="Times New Roman" w:hAnsi="Times New Roman"/>
          <w:sz w:val="26"/>
          <w:szCs w:val="26"/>
        </w:rPr>
      </w:pPr>
      <w:r w:rsidRPr="00A97705">
        <w:rPr>
          <w:rFonts w:ascii="Times New Roman" w:hAnsi="Times New Roman"/>
          <w:sz w:val="26"/>
          <w:szCs w:val="26"/>
        </w:rPr>
        <w:t>To compare historical and 2014 DIR expenditures against the 2015 DIR plan; and</w:t>
      </w:r>
    </w:p>
    <w:p w:rsidR="00A97705" w:rsidRPr="00A97705" w:rsidRDefault="00A97705" w:rsidP="00A97705">
      <w:pPr>
        <w:pStyle w:val="ListParagraph"/>
        <w:numPr>
          <w:ilvl w:val="0"/>
          <w:numId w:val="7"/>
        </w:numPr>
        <w:spacing w:after="240" w:line="240" w:lineRule="auto"/>
        <w:ind w:left="1080" w:right="720"/>
        <w:contextualSpacing w:val="0"/>
        <w:rPr>
          <w:rFonts w:ascii="Times New Roman" w:hAnsi="Times New Roman"/>
          <w:sz w:val="26"/>
          <w:szCs w:val="26"/>
        </w:rPr>
      </w:pPr>
      <w:r w:rsidRPr="00A97705">
        <w:rPr>
          <w:rFonts w:ascii="Times New Roman" w:hAnsi="Times New Roman"/>
          <w:sz w:val="26"/>
          <w:szCs w:val="26"/>
        </w:rPr>
        <w:t>To quantify the reliability improvement achieved by implementing applicable DIR programs.</w:t>
      </w:r>
    </w:p>
    <w:p w:rsidR="00E10679" w:rsidRDefault="00A97705" w:rsidP="00A97705">
      <w:pPr>
        <w:pStyle w:val="textstyle0"/>
      </w:pPr>
      <w:r>
        <w:t>Staff has implemented each of the above analyses, and discusses the results in the sec</w:t>
      </w:r>
      <w:r w:rsidR="00FC2F62">
        <w:softHyphen/>
      </w:r>
      <w:r>
        <w:t>tions below</w:t>
      </w:r>
      <w:r w:rsidR="006A3730">
        <w:t>.</w:t>
      </w:r>
    </w:p>
    <w:p w:rsidR="00A97705" w:rsidRDefault="00A97705" w:rsidP="001A5C2F">
      <w:pPr>
        <w:pStyle w:val="Heading1"/>
      </w:pPr>
      <w:bookmarkStart w:id="17" w:name="_Toc426629880"/>
      <w:bookmarkStart w:id="18" w:name="_Toc260212963"/>
      <w:r w:rsidRPr="00A97705">
        <w:lastRenderedPageBreak/>
        <w:t xml:space="preserve">2014 </w:t>
      </w:r>
      <w:r w:rsidR="009C7D50">
        <w:t>COMPARED TO BASELINE YEARS</w:t>
      </w:r>
      <w:bookmarkEnd w:id="17"/>
    </w:p>
    <w:p w:rsidR="00A97705" w:rsidRDefault="00A97705" w:rsidP="00A97705">
      <w:pPr>
        <w:pStyle w:val="textstyle0"/>
      </w:pPr>
      <w:r>
        <w:tab/>
        <w:t>In its ESP</w:t>
      </w:r>
      <w:r w:rsidR="000978DF">
        <w:t xml:space="preserve"> </w:t>
      </w:r>
      <w:r>
        <w:t>1 Order, the Commission emphasized that DIR expenditures should exceed “recent spending levels</w:t>
      </w:r>
      <w:r w:rsidR="000978DF">
        <w:t>.”</w:t>
      </w:r>
      <w:r>
        <w:t xml:space="preserve">  Subsequently in its May 29, 2013 Finding and Order in Case No. 12-3129-EL-UNC, the Commission directed Staff to verify, as part of its review of AEP Ohio’s compliance with the DIR plan, that the Company’s actual DIR spending exceeded the levels achieved in recent years.  Staff understands these Commission expectations to mean not that DIR spending should be ever increasing, but rather that DIR spending levels should exceed what the Company spent on comparable projects pri</w:t>
      </w:r>
      <w:r w:rsidR="00FC2F62">
        <w:softHyphen/>
      </w:r>
      <w:r>
        <w:t>or to the Commission’s approval of the DIR cost recovery mechanism.  Staff selected the years 2009 through 2011 to use as the baseline for such a comparison, the results of which appear in Table 1 below.</w:t>
      </w:r>
    </w:p>
    <w:p w:rsidR="00A97705" w:rsidRDefault="00A97705" w:rsidP="00A97705">
      <w:pPr>
        <w:rPr>
          <w:sz w:val="24"/>
          <w:szCs w:val="24"/>
        </w:rPr>
      </w:pPr>
    </w:p>
    <w:tbl>
      <w:tblPr>
        <w:tblW w:w="8270" w:type="dxa"/>
        <w:tblInd w:w="468" w:type="dxa"/>
        <w:tblLook w:val="04A0" w:firstRow="1" w:lastRow="0" w:firstColumn="1" w:lastColumn="0" w:noHBand="0" w:noVBand="1"/>
      </w:tblPr>
      <w:tblGrid>
        <w:gridCol w:w="2060"/>
        <w:gridCol w:w="1800"/>
        <w:gridCol w:w="1620"/>
        <w:gridCol w:w="1620"/>
        <w:gridCol w:w="1170"/>
      </w:tblGrid>
      <w:tr w:rsidR="00A97705" w:rsidRPr="00A97705" w:rsidTr="00A97705">
        <w:trPr>
          <w:trHeight w:val="315"/>
        </w:trPr>
        <w:tc>
          <w:tcPr>
            <w:tcW w:w="8270" w:type="dxa"/>
            <w:gridSpan w:val="5"/>
            <w:tcBorders>
              <w:top w:val="single" w:sz="8" w:space="0" w:color="auto"/>
              <w:left w:val="single" w:sz="8" w:space="0" w:color="auto"/>
              <w:bottom w:val="nil"/>
              <w:right w:val="single" w:sz="8" w:space="0" w:color="000000"/>
            </w:tcBorders>
            <w:vAlign w:val="center"/>
            <w:hideMark/>
          </w:tcPr>
          <w:p w:rsidR="00A97705" w:rsidRPr="00A97705" w:rsidRDefault="00A97705">
            <w:pPr>
              <w:jc w:val="center"/>
              <w:rPr>
                <w:b/>
                <w:bCs/>
                <w:color w:val="000000"/>
                <w:sz w:val="24"/>
                <w:szCs w:val="24"/>
              </w:rPr>
            </w:pPr>
            <w:r w:rsidRPr="00A97705">
              <w:rPr>
                <w:b/>
                <w:bCs/>
                <w:color w:val="000000"/>
                <w:sz w:val="24"/>
                <w:szCs w:val="24"/>
              </w:rPr>
              <w:t>Table 1</w:t>
            </w:r>
          </w:p>
        </w:tc>
      </w:tr>
      <w:tr w:rsidR="00A97705" w:rsidRPr="00A97705" w:rsidTr="00A97705">
        <w:trPr>
          <w:trHeight w:val="315"/>
        </w:trPr>
        <w:tc>
          <w:tcPr>
            <w:tcW w:w="8270" w:type="dxa"/>
            <w:gridSpan w:val="5"/>
            <w:tcBorders>
              <w:top w:val="nil"/>
              <w:left w:val="single" w:sz="4" w:space="0" w:color="auto"/>
              <w:bottom w:val="nil"/>
              <w:right w:val="single" w:sz="8" w:space="0" w:color="000000"/>
            </w:tcBorders>
            <w:noWrap/>
            <w:vAlign w:val="bottom"/>
            <w:hideMark/>
          </w:tcPr>
          <w:p w:rsidR="00A97705" w:rsidRPr="00A97705" w:rsidRDefault="00A97705">
            <w:pPr>
              <w:jc w:val="center"/>
              <w:rPr>
                <w:b/>
                <w:bCs/>
                <w:color w:val="000000"/>
                <w:sz w:val="24"/>
                <w:szCs w:val="24"/>
              </w:rPr>
            </w:pPr>
            <w:r w:rsidRPr="00A97705">
              <w:rPr>
                <w:b/>
                <w:bCs/>
                <w:color w:val="000000"/>
                <w:sz w:val="24"/>
                <w:szCs w:val="24"/>
              </w:rPr>
              <w:t>Actual DIR Expenditures</w:t>
            </w:r>
          </w:p>
        </w:tc>
      </w:tr>
      <w:tr w:rsidR="00A97705" w:rsidRPr="00A97705" w:rsidTr="00A97705">
        <w:trPr>
          <w:trHeight w:val="390"/>
        </w:trPr>
        <w:tc>
          <w:tcPr>
            <w:tcW w:w="8270" w:type="dxa"/>
            <w:gridSpan w:val="5"/>
            <w:tcBorders>
              <w:top w:val="nil"/>
              <w:left w:val="single" w:sz="8" w:space="0" w:color="auto"/>
              <w:bottom w:val="single" w:sz="8" w:space="0" w:color="auto"/>
              <w:right w:val="single" w:sz="8" w:space="0" w:color="000000"/>
            </w:tcBorders>
            <w:vAlign w:val="center"/>
            <w:hideMark/>
          </w:tcPr>
          <w:p w:rsidR="00A97705" w:rsidRPr="00A97705" w:rsidRDefault="00A97705">
            <w:pPr>
              <w:jc w:val="center"/>
              <w:rPr>
                <w:b/>
                <w:bCs/>
                <w:color w:val="000000"/>
                <w:sz w:val="24"/>
                <w:szCs w:val="24"/>
              </w:rPr>
            </w:pPr>
            <w:r w:rsidRPr="00A97705">
              <w:rPr>
                <w:b/>
                <w:bCs/>
                <w:color w:val="000000"/>
                <w:sz w:val="24"/>
                <w:szCs w:val="24"/>
              </w:rPr>
              <w:t>2014 Compared to Three-year Average Prior to DIR Approval</w:t>
            </w:r>
          </w:p>
        </w:tc>
      </w:tr>
      <w:tr w:rsidR="00A97705" w:rsidRPr="00A97705" w:rsidTr="00A97705">
        <w:trPr>
          <w:trHeight w:val="615"/>
        </w:trPr>
        <w:tc>
          <w:tcPr>
            <w:tcW w:w="2060" w:type="dxa"/>
            <w:tcBorders>
              <w:top w:val="nil"/>
              <w:left w:val="single" w:sz="8" w:space="0" w:color="auto"/>
              <w:bottom w:val="single" w:sz="8" w:space="0" w:color="auto"/>
              <w:right w:val="single" w:sz="8" w:space="0" w:color="auto"/>
            </w:tcBorders>
            <w:vAlign w:val="center"/>
            <w:hideMark/>
          </w:tcPr>
          <w:p w:rsidR="00A97705" w:rsidRPr="00A97705" w:rsidRDefault="00A97705">
            <w:pPr>
              <w:jc w:val="center"/>
              <w:rPr>
                <w:b/>
                <w:color w:val="000000"/>
                <w:sz w:val="22"/>
                <w:szCs w:val="22"/>
              </w:rPr>
            </w:pPr>
            <w:r w:rsidRPr="00A97705">
              <w:rPr>
                <w:b/>
                <w:color w:val="000000"/>
              </w:rPr>
              <w:t>Expenditures </w:t>
            </w:r>
          </w:p>
        </w:tc>
        <w:tc>
          <w:tcPr>
            <w:tcW w:w="180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492"/>
              </w:tabs>
              <w:jc w:val="center"/>
              <w:rPr>
                <w:b/>
                <w:bCs/>
                <w:color w:val="000000"/>
              </w:rPr>
            </w:pPr>
            <w:r w:rsidRPr="00A97705">
              <w:rPr>
                <w:b/>
                <w:bCs/>
                <w:color w:val="000000"/>
              </w:rPr>
              <w:t>Baseline Average        2009-2011</w:t>
            </w:r>
          </w:p>
        </w:tc>
        <w:tc>
          <w:tcPr>
            <w:tcW w:w="162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252"/>
              </w:tabs>
              <w:jc w:val="center"/>
              <w:rPr>
                <w:b/>
                <w:bCs/>
                <w:color w:val="000000"/>
              </w:rPr>
            </w:pPr>
            <w:r w:rsidRPr="00A97705">
              <w:rPr>
                <w:b/>
                <w:bCs/>
                <w:color w:val="000000"/>
              </w:rPr>
              <w:t>2014</w:t>
            </w:r>
          </w:p>
        </w:tc>
        <w:tc>
          <w:tcPr>
            <w:tcW w:w="162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252"/>
              </w:tabs>
              <w:jc w:val="center"/>
              <w:rPr>
                <w:b/>
                <w:bCs/>
                <w:color w:val="000000"/>
              </w:rPr>
            </w:pPr>
            <w:r w:rsidRPr="00A97705">
              <w:rPr>
                <w:b/>
                <w:bCs/>
                <w:color w:val="000000"/>
              </w:rPr>
              <w:t>Above Baseline</w:t>
            </w:r>
          </w:p>
        </w:tc>
        <w:tc>
          <w:tcPr>
            <w:tcW w:w="1170" w:type="dxa"/>
            <w:tcBorders>
              <w:top w:val="nil"/>
              <w:left w:val="nil"/>
              <w:bottom w:val="single" w:sz="8" w:space="0" w:color="auto"/>
              <w:right w:val="single" w:sz="8" w:space="0" w:color="auto"/>
            </w:tcBorders>
            <w:vAlign w:val="center"/>
            <w:hideMark/>
          </w:tcPr>
          <w:p w:rsidR="00A97705" w:rsidRPr="00A97705" w:rsidRDefault="00A97705">
            <w:pPr>
              <w:jc w:val="center"/>
              <w:rPr>
                <w:b/>
                <w:bCs/>
                <w:color w:val="000000"/>
              </w:rPr>
            </w:pPr>
            <w:r w:rsidRPr="00A97705">
              <w:rPr>
                <w:b/>
                <w:bCs/>
                <w:color w:val="000000"/>
              </w:rPr>
              <w:t>% Above Baseline</w:t>
            </w:r>
          </w:p>
        </w:tc>
      </w:tr>
      <w:tr w:rsidR="00A97705" w:rsidRPr="00A97705" w:rsidTr="00A97705">
        <w:trPr>
          <w:trHeight w:val="315"/>
        </w:trPr>
        <w:tc>
          <w:tcPr>
            <w:tcW w:w="2060" w:type="dxa"/>
            <w:tcBorders>
              <w:top w:val="nil"/>
              <w:left w:val="single" w:sz="8" w:space="0" w:color="auto"/>
              <w:bottom w:val="single" w:sz="8" w:space="0" w:color="auto"/>
              <w:right w:val="single" w:sz="8" w:space="0" w:color="auto"/>
            </w:tcBorders>
            <w:vAlign w:val="center"/>
            <w:hideMark/>
          </w:tcPr>
          <w:p w:rsidR="00A97705" w:rsidRPr="00A97705" w:rsidRDefault="00A97705">
            <w:pPr>
              <w:rPr>
                <w:color w:val="000000"/>
              </w:rPr>
            </w:pPr>
            <w:r w:rsidRPr="00A97705">
              <w:rPr>
                <w:color w:val="000000"/>
              </w:rPr>
              <w:t>Total</w:t>
            </w:r>
          </w:p>
        </w:tc>
        <w:tc>
          <w:tcPr>
            <w:tcW w:w="180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492"/>
                <w:tab w:val="right" w:pos="1522"/>
              </w:tabs>
              <w:jc w:val="right"/>
              <w:rPr>
                <w:color w:val="000000"/>
              </w:rPr>
            </w:pPr>
            <w:r w:rsidRPr="00A97705">
              <w:rPr>
                <w:color w:val="000000"/>
              </w:rPr>
              <w:t xml:space="preserve"> $ </w:t>
            </w:r>
            <w:r>
              <w:rPr>
                <w:color w:val="000000"/>
              </w:rPr>
              <w:tab/>
            </w:r>
            <w:r w:rsidRPr="00A97705">
              <w:rPr>
                <w:color w:val="000000"/>
              </w:rPr>
              <w:t>122,848,667</w:t>
            </w:r>
          </w:p>
        </w:tc>
        <w:tc>
          <w:tcPr>
            <w:tcW w:w="162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252"/>
              </w:tabs>
              <w:jc w:val="right"/>
              <w:rPr>
                <w:color w:val="000000"/>
              </w:rPr>
            </w:pPr>
            <w:r w:rsidRPr="00A97705">
              <w:rPr>
                <w:color w:val="000000"/>
              </w:rPr>
              <w:t xml:space="preserve"> $</w:t>
            </w:r>
            <w:r>
              <w:rPr>
                <w:color w:val="000000"/>
              </w:rPr>
              <w:tab/>
            </w:r>
            <w:r w:rsidRPr="00A97705">
              <w:rPr>
                <w:color w:val="000000"/>
              </w:rPr>
              <w:t xml:space="preserve">223,868,654 </w:t>
            </w:r>
          </w:p>
        </w:tc>
        <w:tc>
          <w:tcPr>
            <w:tcW w:w="162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252"/>
              </w:tabs>
              <w:jc w:val="right"/>
              <w:rPr>
                <w:color w:val="000000"/>
              </w:rPr>
            </w:pPr>
            <w:r w:rsidRPr="00A97705">
              <w:rPr>
                <w:color w:val="000000"/>
              </w:rPr>
              <w:t xml:space="preserve"> $</w:t>
            </w:r>
            <w:r>
              <w:rPr>
                <w:color w:val="000000"/>
              </w:rPr>
              <w:tab/>
            </w:r>
            <w:r w:rsidRPr="00A97705">
              <w:rPr>
                <w:color w:val="000000"/>
              </w:rPr>
              <w:t xml:space="preserve">101,019,987 </w:t>
            </w:r>
          </w:p>
        </w:tc>
        <w:tc>
          <w:tcPr>
            <w:tcW w:w="1170" w:type="dxa"/>
            <w:tcBorders>
              <w:top w:val="nil"/>
              <w:left w:val="nil"/>
              <w:bottom w:val="single" w:sz="8" w:space="0" w:color="auto"/>
              <w:right w:val="single" w:sz="8" w:space="0" w:color="auto"/>
            </w:tcBorders>
            <w:vAlign w:val="center"/>
            <w:hideMark/>
          </w:tcPr>
          <w:p w:rsidR="00A97705" w:rsidRPr="00A97705" w:rsidRDefault="00A97705">
            <w:pPr>
              <w:jc w:val="center"/>
              <w:rPr>
                <w:color w:val="000000"/>
              </w:rPr>
            </w:pPr>
            <w:r w:rsidRPr="00A97705">
              <w:rPr>
                <w:color w:val="000000"/>
              </w:rPr>
              <w:t>82%</w:t>
            </w:r>
          </w:p>
        </w:tc>
      </w:tr>
      <w:tr w:rsidR="00A97705" w:rsidRPr="00A97705" w:rsidTr="00A97705">
        <w:trPr>
          <w:trHeight w:val="420"/>
        </w:trPr>
        <w:tc>
          <w:tcPr>
            <w:tcW w:w="2060" w:type="dxa"/>
            <w:tcBorders>
              <w:top w:val="nil"/>
              <w:left w:val="single" w:sz="8" w:space="0" w:color="auto"/>
              <w:bottom w:val="single" w:sz="8" w:space="0" w:color="auto"/>
              <w:right w:val="single" w:sz="8" w:space="0" w:color="auto"/>
            </w:tcBorders>
            <w:vAlign w:val="center"/>
            <w:hideMark/>
          </w:tcPr>
          <w:p w:rsidR="00A97705" w:rsidRPr="00A97705" w:rsidRDefault="00A97705">
            <w:pPr>
              <w:rPr>
                <w:color w:val="000000"/>
              </w:rPr>
            </w:pPr>
            <w:r w:rsidRPr="00A97705">
              <w:rPr>
                <w:color w:val="000000"/>
              </w:rPr>
              <w:t>Proactive/Reliability</w:t>
            </w:r>
          </w:p>
        </w:tc>
        <w:tc>
          <w:tcPr>
            <w:tcW w:w="180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492"/>
              </w:tabs>
              <w:jc w:val="right"/>
              <w:rPr>
                <w:color w:val="000000"/>
              </w:rPr>
            </w:pPr>
            <w:r w:rsidRPr="00A97705">
              <w:rPr>
                <w:color w:val="000000"/>
              </w:rPr>
              <w:t xml:space="preserve"> $ </w:t>
            </w:r>
            <w:r>
              <w:rPr>
                <w:color w:val="000000"/>
              </w:rPr>
              <w:tab/>
            </w:r>
            <w:r w:rsidRPr="00A97705">
              <w:rPr>
                <w:color w:val="000000"/>
              </w:rPr>
              <w:t xml:space="preserve">27,406,000 </w:t>
            </w:r>
          </w:p>
        </w:tc>
        <w:tc>
          <w:tcPr>
            <w:tcW w:w="162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252"/>
              </w:tabs>
              <w:jc w:val="right"/>
              <w:rPr>
                <w:color w:val="000000"/>
              </w:rPr>
            </w:pPr>
            <w:r w:rsidRPr="00A97705">
              <w:rPr>
                <w:color w:val="000000"/>
              </w:rPr>
              <w:t xml:space="preserve"> $</w:t>
            </w:r>
            <w:r>
              <w:rPr>
                <w:color w:val="000000"/>
              </w:rPr>
              <w:tab/>
            </w:r>
            <w:r w:rsidRPr="00A97705">
              <w:rPr>
                <w:color w:val="000000"/>
              </w:rPr>
              <w:t xml:space="preserve">109,107,018 </w:t>
            </w:r>
          </w:p>
        </w:tc>
        <w:tc>
          <w:tcPr>
            <w:tcW w:w="1620" w:type="dxa"/>
            <w:tcBorders>
              <w:top w:val="nil"/>
              <w:left w:val="nil"/>
              <w:bottom w:val="single" w:sz="8" w:space="0" w:color="auto"/>
              <w:right w:val="single" w:sz="8" w:space="0" w:color="auto"/>
            </w:tcBorders>
            <w:vAlign w:val="center"/>
            <w:hideMark/>
          </w:tcPr>
          <w:p w:rsidR="00A97705" w:rsidRPr="00A97705" w:rsidRDefault="00A97705" w:rsidP="00A97705">
            <w:pPr>
              <w:tabs>
                <w:tab w:val="right" w:pos="1252"/>
              </w:tabs>
              <w:jc w:val="right"/>
              <w:rPr>
                <w:color w:val="000000"/>
              </w:rPr>
            </w:pPr>
            <w:r w:rsidRPr="00A97705">
              <w:rPr>
                <w:color w:val="000000"/>
              </w:rPr>
              <w:t xml:space="preserve"> $</w:t>
            </w:r>
            <w:r>
              <w:rPr>
                <w:color w:val="000000"/>
              </w:rPr>
              <w:tab/>
            </w:r>
            <w:r w:rsidRPr="00A97705">
              <w:rPr>
                <w:color w:val="000000"/>
              </w:rPr>
              <w:t xml:space="preserve">81,701,018 </w:t>
            </w:r>
          </w:p>
        </w:tc>
        <w:tc>
          <w:tcPr>
            <w:tcW w:w="1170" w:type="dxa"/>
            <w:tcBorders>
              <w:top w:val="nil"/>
              <w:left w:val="nil"/>
              <w:bottom w:val="single" w:sz="8" w:space="0" w:color="auto"/>
              <w:right w:val="single" w:sz="8" w:space="0" w:color="auto"/>
            </w:tcBorders>
            <w:vAlign w:val="center"/>
            <w:hideMark/>
          </w:tcPr>
          <w:p w:rsidR="00A97705" w:rsidRPr="00A97705" w:rsidRDefault="00A97705">
            <w:pPr>
              <w:jc w:val="center"/>
              <w:rPr>
                <w:color w:val="000000"/>
              </w:rPr>
            </w:pPr>
            <w:r w:rsidRPr="00A97705">
              <w:rPr>
                <w:color w:val="000000"/>
              </w:rPr>
              <w:t>298%</w:t>
            </w:r>
          </w:p>
        </w:tc>
      </w:tr>
    </w:tbl>
    <w:p w:rsidR="00A97705" w:rsidRDefault="00A97705" w:rsidP="00A97705">
      <w:pPr>
        <w:rPr>
          <w:rFonts w:ascii="Calibri" w:eastAsia="Calibri" w:hAnsi="Calibri"/>
          <w:sz w:val="24"/>
          <w:szCs w:val="24"/>
        </w:rPr>
      </w:pPr>
    </w:p>
    <w:p w:rsidR="00A97705" w:rsidRPr="00A97705" w:rsidRDefault="00A97705" w:rsidP="00A97705">
      <w:pPr>
        <w:rPr>
          <w:rFonts w:ascii="Calibri" w:eastAsia="Calibri" w:hAnsi="Calibri"/>
          <w:sz w:val="24"/>
          <w:szCs w:val="24"/>
        </w:rPr>
      </w:pPr>
    </w:p>
    <w:p w:rsidR="00A97705" w:rsidRPr="00A97705" w:rsidRDefault="00A97705" w:rsidP="00A97705">
      <w:pPr>
        <w:pStyle w:val="textstyle0"/>
      </w:pPr>
      <w:r>
        <w:t>Table 1 shows that total 2014 DIR expenditures were 82 percent higher than comparable expenditures during the baseline years, and that 2014 DIR expenditures on pro</w:t>
      </w:r>
      <w:r w:rsidR="00EF1F9C">
        <w:softHyphen/>
      </w:r>
      <w:r>
        <w:t xml:space="preserve">active/reliability programs were 298 percent higher than the baseline.  Staff believes the higher spending on proactive/reliability programs is consistent with the Commission’s </w:t>
      </w:r>
      <w:r>
        <w:lastRenderedPageBreak/>
        <w:t>expectations that DIR spending exceed that of recent years and that the DIR plan should focus on proactive programs that maintain and improve reliability.</w:t>
      </w:r>
    </w:p>
    <w:p w:rsidR="00A97705" w:rsidRDefault="009C7D50" w:rsidP="00A97705">
      <w:pPr>
        <w:pStyle w:val="Heading1"/>
      </w:pPr>
      <w:bookmarkStart w:id="19" w:name="_Toc426629881"/>
      <w:r>
        <w:t>PROJECTION COMPARED TO ACTUAL</w:t>
      </w:r>
      <w:bookmarkEnd w:id="19"/>
    </w:p>
    <w:p w:rsidR="00A97705" w:rsidRDefault="00A97705" w:rsidP="00A97705">
      <w:pPr>
        <w:pStyle w:val="textstyle0"/>
      </w:pPr>
      <w:r>
        <w:tab/>
        <w:t>Staff also compared AEP Ohio’s actual 2014 DIR expenditures against the Company’s projection for that year, and the results of that comparison appear in Table 2 below.</w:t>
      </w:r>
    </w:p>
    <w:p w:rsidR="00A97705" w:rsidRDefault="00A97705" w:rsidP="00A97705">
      <w:pPr>
        <w:rPr>
          <w:sz w:val="24"/>
          <w:szCs w:val="24"/>
        </w:rPr>
      </w:pPr>
    </w:p>
    <w:p w:rsidR="00A97705" w:rsidRDefault="00A97705" w:rsidP="00A97705">
      <w:pPr>
        <w:rPr>
          <w:sz w:val="24"/>
          <w:szCs w:val="24"/>
        </w:rPr>
      </w:pPr>
    </w:p>
    <w:tbl>
      <w:tblPr>
        <w:tblW w:w="8995" w:type="dxa"/>
        <w:tblInd w:w="378" w:type="dxa"/>
        <w:tblLook w:val="04A0" w:firstRow="1" w:lastRow="0" w:firstColumn="1" w:lastColumn="0" w:noHBand="0" w:noVBand="1"/>
      </w:tblPr>
      <w:tblGrid>
        <w:gridCol w:w="2015"/>
        <w:gridCol w:w="1760"/>
        <w:gridCol w:w="1710"/>
        <w:gridCol w:w="1620"/>
        <w:gridCol w:w="1890"/>
      </w:tblGrid>
      <w:tr w:rsidR="00A97705" w:rsidRPr="00A97705" w:rsidTr="00A97705">
        <w:trPr>
          <w:trHeight w:val="557"/>
        </w:trPr>
        <w:tc>
          <w:tcPr>
            <w:tcW w:w="8995" w:type="dxa"/>
            <w:gridSpan w:val="5"/>
            <w:tcBorders>
              <w:top w:val="single" w:sz="4" w:space="0" w:color="auto"/>
              <w:left w:val="single" w:sz="4" w:space="0" w:color="auto"/>
              <w:bottom w:val="single" w:sz="4" w:space="0" w:color="auto"/>
              <w:right w:val="single" w:sz="4" w:space="0" w:color="auto"/>
            </w:tcBorders>
            <w:vAlign w:val="center"/>
            <w:hideMark/>
          </w:tcPr>
          <w:p w:rsidR="00A97705" w:rsidRPr="00A97705" w:rsidRDefault="00A97705">
            <w:pPr>
              <w:jc w:val="center"/>
              <w:rPr>
                <w:b/>
                <w:bCs/>
                <w:color w:val="000000"/>
                <w:sz w:val="24"/>
                <w:szCs w:val="24"/>
              </w:rPr>
            </w:pPr>
            <w:r w:rsidRPr="00A97705">
              <w:rPr>
                <w:b/>
                <w:bCs/>
                <w:color w:val="000000"/>
                <w:sz w:val="24"/>
                <w:szCs w:val="24"/>
              </w:rPr>
              <w:t>Table 2</w:t>
            </w:r>
          </w:p>
          <w:p w:rsidR="00A97705" w:rsidRPr="00A97705" w:rsidRDefault="00A97705">
            <w:pPr>
              <w:jc w:val="center"/>
              <w:rPr>
                <w:b/>
                <w:bCs/>
                <w:color w:val="000000"/>
                <w:sz w:val="24"/>
                <w:szCs w:val="24"/>
              </w:rPr>
            </w:pPr>
            <w:r w:rsidRPr="00A97705">
              <w:rPr>
                <w:b/>
                <w:bCs/>
                <w:color w:val="000000"/>
                <w:sz w:val="24"/>
                <w:szCs w:val="24"/>
              </w:rPr>
              <w:t>2014 DIR Expenditures -- Projection Compared to Actual</w:t>
            </w:r>
          </w:p>
        </w:tc>
      </w:tr>
      <w:tr w:rsidR="00A97705" w:rsidRPr="00A97705" w:rsidTr="00A97705">
        <w:trPr>
          <w:trHeight w:val="809"/>
        </w:trPr>
        <w:tc>
          <w:tcPr>
            <w:tcW w:w="2015" w:type="dxa"/>
            <w:tcBorders>
              <w:top w:val="nil"/>
              <w:left w:val="single" w:sz="4" w:space="0" w:color="auto"/>
              <w:bottom w:val="single" w:sz="4" w:space="0" w:color="auto"/>
              <w:right w:val="single" w:sz="4" w:space="0" w:color="auto"/>
            </w:tcBorders>
            <w:vAlign w:val="center"/>
            <w:hideMark/>
          </w:tcPr>
          <w:p w:rsidR="00A97705" w:rsidRPr="00A97705" w:rsidRDefault="00A97705">
            <w:pPr>
              <w:jc w:val="center"/>
              <w:rPr>
                <w:b/>
                <w:bCs/>
                <w:color w:val="000000"/>
                <w:sz w:val="22"/>
                <w:szCs w:val="22"/>
              </w:rPr>
            </w:pPr>
            <w:r w:rsidRPr="00A97705">
              <w:rPr>
                <w:b/>
                <w:bCs/>
                <w:color w:val="000000"/>
              </w:rPr>
              <w:t>Expenditures</w:t>
            </w:r>
          </w:p>
        </w:tc>
        <w:tc>
          <w:tcPr>
            <w:tcW w:w="176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423"/>
              </w:tabs>
              <w:jc w:val="center"/>
              <w:rPr>
                <w:b/>
                <w:bCs/>
                <w:color w:val="000000"/>
              </w:rPr>
            </w:pPr>
            <w:r w:rsidRPr="00A97705">
              <w:rPr>
                <w:b/>
                <w:bCs/>
                <w:color w:val="000000"/>
              </w:rPr>
              <w:t>2014 Projection</w:t>
            </w:r>
          </w:p>
        </w:tc>
        <w:tc>
          <w:tcPr>
            <w:tcW w:w="171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337"/>
              </w:tabs>
              <w:jc w:val="center"/>
              <w:rPr>
                <w:b/>
                <w:bCs/>
                <w:color w:val="000000"/>
              </w:rPr>
            </w:pPr>
            <w:r w:rsidRPr="00A97705">
              <w:rPr>
                <w:b/>
                <w:bCs/>
                <w:color w:val="000000"/>
              </w:rPr>
              <w:t>2014 Actual</w:t>
            </w:r>
          </w:p>
        </w:tc>
        <w:tc>
          <w:tcPr>
            <w:tcW w:w="162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277"/>
              </w:tabs>
              <w:jc w:val="center"/>
              <w:rPr>
                <w:b/>
                <w:bCs/>
                <w:color w:val="000000"/>
              </w:rPr>
            </w:pPr>
            <w:r w:rsidRPr="00A97705">
              <w:rPr>
                <w:b/>
                <w:bCs/>
                <w:color w:val="000000"/>
              </w:rPr>
              <w:t xml:space="preserve">Above/(Below) Projection </w:t>
            </w:r>
          </w:p>
        </w:tc>
        <w:tc>
          <w:tcPr>
            <w:tcW w:w="1890" w:type="dxa"/>
            <w:tcBorders>
              <w:top w:val="nil"/>
              <w:left w:val="nil"/>
              <w:bottom w:val="single" w:sz="4" w:space="0" w:color="auto"/>
              <w:right w:val="single" w:sz="4" w:space="0" w:color="auto"/>
            </w:tcBorders>
            <w:vAlign w:val="center"/>
            <w:hideMark/>
          </w:tcPr>
          <w:p w:rsidR="00A97705" w:rsidRPr="00A97705" w:rsidRDefault="00A97705">
            <w:pPr>
              <w:jc w:val="center"/>
              <w:rPr>
                <w:b/>
                <w:bCs/>
                <w:color w:val="000000"/>
              </w:rPr>
            </w:pPr>
            <w:r w:rsidRPr="00A97705">
              <w:rPr>
                <w:b/>
                <w:bCs/>
                <w:color w:val="000000"/>
              </w:rPr>
              <w:t>% Above/(Below) Projection</w:t>
            </w:r>
          </w:p>
        </w:tc>
      </w:tr>
      <w:tr w:rsidR="00A97705" w:rsidRPr="00A97705" w:rsidTr="00A97705">
        <w:trPr>
          <w:trHeight w:val="422"/>
        </w:trPr>
        <w:tc>
          <w:tcPr>
            <w:tcW w:w="2015" w:type="dxa"/>
            <w:tcBorders>
              <w:top w:val="nil"/>
              <w:left w:val="single" w:sz="4" w:space="0" w:color="auto"/>
              <w:bottom w:val="single" w:sz="4" w:space="0" w:color="auto"/>
              <w:right w:val="single" w:sz="4" w:space="0" w:color="auto"/>
            </w:tcBorders>
            <w:vAlign w:val="center"/>
            <w:hideMark/>
          </w:tcPr>
          <w:p w:rsidR="00A97705" w:rsidRPr="00A97705" w:rsidRDefault="00A97705">
            <w:pPr>
              <w:rPr>
                <w:color w:val="000000"/>
              </w:rPr>
            </w:pPr>
            <w:r w:rsidRPr="00A97705">
              <w:rPr>
                <w:color w:val="000000"/>
              </w:rPr>
              <w:t>Total</w:t>
            </w:r>
          </w:p>
        </w:tc>
        <w:tc>
          <w:tcPr>
            <w:tcW w:w="176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423"/>
              </w:tabs>
              <w:jc w:val="right"/>
              <w:rPr>
                <w:color w:val="000000"/>
              </w:rPr>
            </w:pPr>
            <w:r w:rsidRPr="00A97705">
              <w:rPr>
                <w:color w:val="000000"/>
              </w:rPr>
              <w:t xml:space="preserve"> $</w:t>
            </w:r>
            <w:r>
              <w:rPr>
                <w:color w:val="000000"/>
              </w:rPr>
              <w:tab/>
            </w:r>
            <w:r w:rsidRPr="00A97705">
              <w:rPr>
                <w:color w:val="000000"/>
              </w:rPr>
              <w:t xml:space="preserve">214,872,000 </w:t>
            </w:r>
          </w:p>
        </w:tc>
        <w:tc>
          <w:tcPr>
            <w:tcW w:w="171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337"/>
              </w:tabs>
              <w:jc w:val="right"/>
              <w:rPr>
                <w:color w:val="000000"/>
              </w:rPr>
            </w:pPr>
            <w:r w:rsidRPr="00A97705">
              <w:rPr>
                <w:color w:val="000000"/>
              </w:rPr>
              <w:t xml:space="preserve"> $</w:t>
            </w:r>
            <w:r>
              <w:rPr>
                <w:color w:val="000000"/>
              </w:rPr>
              <w:tab/>
            </w:r>
            <w:r w:rsidRPr="00A97705">
              <w:rPr>
                <w:color w:val="000000"/>
              </w:rPr>
              <w:t xml:space="preserve">223,868,654 </w:t>
            </w:r>
          </w:p>
        </w:tc>
        <w:tc>
          <w:tcPr>
            <w:tcW w:w="162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277"/>
              </w:tabs>
              <w:jc w:val="right"/>
              <w:rPr>
                <w:color w:val="000000"/>
              </w:rPr>
            </w:pPr>
            <w:r w:rsidRPr="00A97705">
              <w:rPr>
                <w:color w:val="000000"/>
              </w:rPr>
              <w:t xml:space="preserve"> $ </w:t>
            </w:r>
            <w:r>
              <w:rPr>
                <w:color w:val="000000"/>
              </w:rPr>
              <w:tab/>
            </w:r>
            <w:r w:rsidRPr="00A97705">
              <w:rPr>
                <w:color w:val="000000"/>
              </w:rPr>
              <w:t xml:space="preserve">8,996,654 </w:t>
            </w:r>
          </w:p>
        </w:tc>
        <w:tc>
          <w:tcPr>
            <w:tcW w:w="1890" w:type="dxa"/>
            <w:tcBorders>
              <w:top w:val="nil"/>
              <w:left w:val="nil"/>
              <w:bottom w:val="single" w:sz="4" w:space="0" w:color="auto"/>
              <w:right w:val="single" w:sz="4" w:space="0" w:color="auto"/>
            </w:tcBorders>
            <w:vAlign w:val="center"/>
            <w:hideMark/>
          </w:tcPr>
          <w:p w:rsidR="00A97705" w:rsidRPr="00A97705" w:rsidRDefault="00A97705">
            <w:pPr>
              <w:jc w:val="center"/>
              <w:rPr>
                <w:color w:val="000000"/>
              </w:rPr>
            </w:pPr>
            <w:r w:rsidRPr="00A97705">
              <w:rPr>
                <w:color w:val="000000"/>
              </w:rPr>
              <w:t>4.2%</w:t>
            </w:r>
          </w:p>
        </w:tc>
      </w:tr>
      <w:tr w:rsidR="00A97705" w:rsidRPr="00A97705" w:rsidTr="00A97705">
        <w:trPr>
          <w:trHeight w:val="440"/>
        </w:trPr>
        <w:tc>
          <w:tcPr>
            <w:tcW w:w="2015" w:type="dxa"/>
            <w:tcBorders>
              <w:top w:val="nil"/>
              <w:left w:val="single" w:sz="4" w:space="0" w:color="auto"/>
              <w:bottom w:val="single" w:sz="4" w:space="0" w:color="auto"/>
              <w:right w:val="single" w:sz="4" w:space="0" w:color="auto"/>
            </w:tcBorders>
            <w:vAlign w:val="center"/>
            <w:hideMark/>
          </w:tcPr>
          <w:p w:rsidR="00A97705" w:rsidRPr="00A97705" w:rsidRDefault="00A97705">
            <w:pPr>
              <w:rPr>
                <w:color w:val="000000"/>
              </w:rPr>
            </w:pPr>
            <w:r w:rsidRPr="00A97705">
              <w:rPr>
                <w:color w:val="000000"/>
              </w:rPr>
              <w:t>Proactive/Reliability</w:t>
            </w:r>
          </w:p>
        </w:tc>
        <w:tc>
          <w:tcPr>
            <w:tcW w:w="176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423"/>
              </w:tabs>
              <w:jc w:val="right"/>
              <w:rPr>
                <w:color w:val="000000"/>
              </w:rPr>
            </w:pPr>
            <w:r w:rsidRPr="00A97705">
              <w:rPr>
                <w:color w:val="000000"/>
              </w:rPr>
              <w:t xml:space="preserve"> $</w:t>
            </w:r>
            <w:r>
              <w:rPr>
                <w:color w:val="000000"/>
              </w:rPr>
              <w:tab/>
            </w:r>
            <w:r w:rsidRPr="00A97705">
              <w:rPr>
                <w:color w:val="000000"/>
              </w:rPr>
              <w:t xml:space="preserve">108,872,000 </w:t>
            </w:r>
          </w:p>
        </w:tc>
        <w:tc>
          <w:tcPr>
            <w:tcW w:w="171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337"/>
              </w:tabs>
              <w:jc w:val="right"/>
              <w:rPr>
                <w:color w:val="000000"/>
              </w:rPr>
            </w:pPr>
            <w:r w:rsidRPr="00A97705">
              <w:rPr>
                <w:color w:val="000000"/>
              </w:rPr>
              <w:t xml:space="preserve"> $</w:t>
            </w:r>
            <w:r>
              <w:rPr>
                <w:color w:val="000000"/>
              </w:rPr>
              <w:tab/>
            </w:r>
            <w:r w:rsidRPr="00A97705">
              <w:rPr>
                <w:color w:val="000000"/>
              </w:rPr>
              <w:t xml:space="preserve">109,107,018 </w:t>
            </w:r>
          </w:p>
        </w:tc>
        <w:tc>
          <w:tcPr>
            <w:tcW w:w="1620" w:type="dxa"/>
            <w:tcBorders>
              <w:top w:val="nil"/>
              <w:left w:val="nil"/>
              <w:bottom w:val="single" w:sz="4" w:space="0" w:color="auto"/>
              <w:right w:val="single" w:sz="4" w:space="0" w:color="auto"/>
            </w:tcBorders>
            <w:vAlign w:val="center"/>
            <w:hideMark/>
          </w:tcPr>
          <w:p w:rsidR="00A97705" w:rsidRPr="00A97705" w:rsidRDefault="00A97705" w:rsidP="00A97705">
            <w:pPr>
              <w:tabs>
                <w:tab w:val="right" w:pos="1277"/>
              </w:tabs>
              <w:jc w:val="right"/>
              <w:rPr>
                <w:color w:val="000000"/>
              </w:rPr>
            </w:pPr>
            <w:r w:rsidRPr="00A97705">
              <w:rPr>
                <w:color w:val="000000"/>
              </w:rPr>
              <w:t xml:space="preserve"> $</w:t>
            </w:r>
            <w:r>
              <w:rPr>
                <w:color w:val="000000"/>
              </w:rPr>
              <w:tab/>
            </w:r>
            <w:r w:rsidRPr="00A97705">
              <w:rPr>
                <w:color w:val="000000"/>
              </w:rPr>
              <w:t xml:space="preserve">235,018 </w:t>
            </w:r>
          </w:p>
        </w:tc>
        <w:tc>
          <w:tcPr>
            <w:tcW w:w="1890" w:type="dxa"/>
            <w:tcBorders>
              <w:top w:val="nil"/>
              <w:left w:val="nil"/>
              <w:bottom w:val="single" w:sz="4" w:space="0" w:color="auto"/>
              <w:right w:val="single" w:sz="4" w:space="0" w:color="auto"/>
            </w:tcBorders>
            <w:vAlign w:val="center"/>
            <w:hideMark/>
          </w:tcPr>
          <w:p w:rsidR="00A97705" w:rsidRPr="00A97705" w:rsidRDefault="00A97705">
            <w:pPr>
              <w:jc w:val="center"/>
              <w:rPr>
                <w:color w:val="000000"/>
              </w:rPr>
            </w:pPr>
            <w:r w:rsidRPr="00A97705">
              <w:rPr>
                <w:color w:val="000000"/>
              </w:rPr>
              <w:t>0.2%</w:t>
            </w:r>
          </w:p>
        </w:tc>
      </w:tr>
    </w:tbl>
    <w:p w:rsidR="00A97705" w:rsidRDefault="00A97705" w:rsidP="00A97705">
      <w:pPr>
        <w:rPr>
          <w:rFonts w:ascii="Calibri" w:eastAsia="Calibri" w:hAnsi="Calibri"/>
          <w:sz w:val="24"/>
          <w:szCs w:val="24"/>
        </w:rPr>
      </w:pPr>
    </w:p>
    <w:p w:rsidR="00A97705" w:rsidRPr="00A97705" w:rsidRDefault="00A97705" w:rsidP="00A97705">
      <w:pPr>
        <w:rPr>
          <w:rFonts w:ascii="Calibri" w:eastAsia="Calibri" w:hAnsi="Calibri"/>
          <w:sz w:val="24"/>
          <w:szCs w:val="24"/>
        </w:rPr>
      </w:pPr>
    </w:p>
    <w:p w:rsidR="00A97705" w:rsidRDefault="00A97705" w:rsidP="00A97705">
      <w:pPr>
        <w:pStyle w:val="textstyle0"/>
      </w:pPr>
      <w:r>
        <w:t>Table 2 indicates that total DIR expenditures were 4.2 percent above projection and that proactive/reliability expenditures exceeded projection by 0.2 percent.  These results show that the Company is doing a good job of keeping overall DIR spending in line with planned amounts.  There were, however, some significant program variances, including two spending shortfalls in certain proactive/reliability programs that merit discussion.  The first involved a 67 percent under-spend on distribution asset improvements associat</w:t>
      </w:r>
      <w:r w:rsidR="00FC2F62">
        <w:softHyphen/>
      </w:r>
      <w:r>
        <w:t>ed with transmission work.  The Company attributed this shortfall to the DIR Plan’s de</w:t>
      </w:r>
      <w:r w:rsidR="00FC2F62">
        <w:softHyphen/>
      </w:r>
      <w:r>
        <w:t>pendence on “the Transmission organization’s construction schedule</w:t>
      </w:r>
      <w:r w:rsidR="000978DF">
        <w:t>.”</w:t>
      </w:r>
      <w:r>
        <w:t xml:space="preserve">  The second short</w:t>
      </w:r>
      <w:r w:rsidR="00FC2F62">
        <w:softHyphen/>
      </w:r>
      <w:r>
        <w:t xml:space="preserve">fall involved a 64 percent under-spend on station regulator replacements, which the </w:t>
      </w:r>
      <w:r>
        <w:lastRenderedPageBreak/>
        <w:t>Company similarly attributed to the DIR Plan’s dependence on “the Station organiza</w:t>
      </w:r>
      <w:r w:rsidR="00FC2F62">
        <w:softHyphen/>
      </w:r>
      <w:r>
        <w:t>tion’s engineering and construction schedules</w:t>
      </w:r>
      <w:r w:rsidR="000978DF">
        <w:t>.”</w:t>
      </w:r>
      <w:r>
        <w:t xml:space="preserve">  Staff believes the Company should use this situation as an opportunity to improve planning coordination between its Distribu</w:t>
      </w:r>
      <w:r w:rsidR="00FC2F62">
        <w:softHyphen/>
      </w:r>
      <w:r>
        <w:t>tion, Transmission, and Station organizations.  Staff therefore recommends that AEP Ohio work to improve such coordination and describe, within its 2016 DIR plan, the actions it took in 2015 to implement such process improvements</w:t>
      </w:r>
    </w:p>
    <w:p w:rsidR="00A97705" w:rsidRDefault="00A97705" w:rsidP="001A5C2F">
      <w:pPr>
        <w:pStyle w:val="Heading1"/>
      </w:pPr>
      <w:bookmarkStart w:id="20" w:name="_Toc426629882"/>
      <w:r w:rsidRPr="00A97705">
        <w:t xml:space="preserve">DIR </w:t>
      </w:r>
      <w:r w:rsidR="009C7D50">
        <w:t>EXPENDITURE TREND</w:t>
      </w:r>
      <w:bookmarkEnd w:id="20"/>
    </w:p>
    <w:p w:rsidR="00A97705" w:rsidRDefault="00FC2F62" w:rsidP="00FC2F62">
      <w:pPr>
        <w:pStyle w:val="textstyle0"/>
      </w:pPr>
      <w:r>
        <w:tab/>
      </w:r>
      <w:r w:rsidR="00A97705">
        <w:t>Table 3 compares:  (1) average DIR-related expenditures during the three-year baseline period 2009 through 2011; (2) actual DIR expenditures during each of the years 2012 through 2014; and (3) DIR expenditures projected for 2015.  These expenditures are further categorized for proactive/reliability programs, non-proactive/non-reliability pro</w:t>
      </w:r>
      <w:r>
        <w:softHyphen/>
      </w:r>
      <w:r w:rsidR="00A97705">
        <w:t xml:space="preserve">grams, and the total amount for all DIR expenditures.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260"/>
        <w:gridCol w:w="1260"/>
        <w:gridCol w:w="1170"/>
        <w:gridCol w:w="1260"/>
        <w:gridCol w:w="1260"/>
      </w:tblGrid>
      <w:tr w:rsidR="00A97705" w:rsidRPr="00FC2F62" w:rsidTr="00A97705">
        <w:trPr>
          <w:trHeight w:val="647"/>
          <w:jc w:val="center"/>
        </w:trPr>
        <w:tc>
          <w:tcPr>
            <w:tcW w:w="9175" w:type="dxa"/>
            <w:gridSpan w:val="6"/>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pPr>
              <w:pStyle w:val="NoSpacing"/>
              <w:spacing w:line="256" w:lineRule="auto"/>
              <w:jc w:val="center"/>
              <w:rPr>
                <w:rFonts w:ascii="Times New Roman" w:hAnsi="Times New Roman"/>
                <w:b/>
              </w:rPr>
            </w:pPr>
            <w:r w:rsidRPr="00FC2F62">
              <w:rPr>
                <w:rFonts w:ascii="Times New Roman" w:hAnsi="Times New Roman"/>
                <w:b/>
              </w:rPr>
              <w:t>Table 3</w:t>
            </w:r>
          </w:p>
          <w:p w:rsidR="00A97705" w:rsidRPr="00FC2F62" w:rsidRDefault="00A97705">
            <w:pPr>
              <w:pStyle w:val="NoSpacing"/>
              <w:spacing w:line="256" w:lineRule="auto"/>
              <w:jc w:val="center"/>
              <w:rPr>
                <w:rFonts w:ascii="Times New Roman" w:hAnsi="Times New Roman"/>
                <w:b/>
              </w:rPr>
            </w:pPr>
            <w:r w:rsidRPr="00FC2F62">
              <w:rPr>
                <w:rFonts w:ascii="Times New Roman" w:hAnsi="Times New Roman"/>
                <w:b/>
              </w:rPr>
              <w:t>DIR Expenditures  -  Historical Comparison ($Millions)</w:t>
            </w:r>
          </w:p>
        </w:tc>
      </w:tr>
      <w:tr w:rsidR="00A97705" w:rsidRPr="00FC2F62" w:rsidTr="00412ED1">
        <w:trPr>
          <w:trHeight w:val="557"/>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pPr>
              <w:pStyle w:val="NoSpacing"/>
              <w:spacing w:line="256" w:lineRule="auto"/>
              <w:jc w:val="center"/>
              <w:rPr>
                <w:rFonts w:ascii="Times New Roman" w:hAnsi="Times New Roman"/>
                <w:b/>
              </w:rPr>
            </w:pPr>
            <w:r w:rsidRPr="00FC2F62">
              <w:rPr>
                <w:rFonts w:ascii="Times New Roman" w:hAnsi="Times New Roman"/>
                <w:b/>
              </w:rPr>
              <w:t>Expenditures</w:t>
            </w:r>
          </w:p>
        </w:tc>
        <w:tc>
          <w:tcPr>
            <w:tcW w:w="1260" w:type="dxa"/>
            <w:tcBorders>
              <w:top w:val="single" w:sz="4" w:space="0" w:color="auto"/>
              <w:left w:val="single" w:sz="4" w:space="0" w:color="auto"/>
              <w:bottom w:val="single" w:sz="4" w:space="0" w:color="auto"/>
              <w:right w:val="single" w:sz="4" w:space="0" w:color="auto"/>
            </w:tcBorders>
            <w:hideMark/>
          </w:tcPr>
          <w:p w:rsidR="00A97705" w:rsidRPr="00FC2F62" w:rsidRDefault="00A97705" w:rsidP="00FC2F62">
            <w:pPr>
              <w:pStyle w:val="NoSpacing"/>
              <w:tabs>
                <w:tab w:val="right" w:pos="885"/>
              </w:tabs>
              <w:spacing w:line="256" w:lineRule="auto"/>
              <w:jc w:val="center"/>
              <w:rPr>
                <w:rFonts w:ascii="Times New Roman" w:hAnsi="Times New Roman"/>
                <w:b/>
              </w:rPr>
            </w:pPr>
            <w:r w:rsidRPr="00FC2F62">
              <w:rPr>
                <w:rFonts w:ascii="Times New Roman" w:hAnsi="Times New Roman"/>
                <w:b/>
              </w:rPr>
              <w:t>Averages 2009-2011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center"/>
              <w:rPr>
                <w:rFonts w:ascii="Times New Roman" w:hAnsi="Times New Roman"/>
                <w:b/>
              </w:rPr>
            </w:pPr>
            <w:r w:rsidRPr="00FC2F62">
              <w:rPr>
                <w:rFonts w:ascii="Times New Roman" w:hAnsi="Times New Roman"/>
                <w:b/>
              </w:rPr>
              <w:t>2012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03"/>
              </w:tabs>
              <w:spacing w:line="256" w:lineRule="auto"/>
              <w:jc w:val="center"/>
              <w:rPr>
                <w:rFonts w:ascii="Times New Roman" w:hAnsi="Times New Roman"/>
                <w:b/>
              </w:rPr>
            </w:pPr>
            <w:r w:rsidRPr="00FC2F62">
              <w:rPr>
                <w:rFonts w:ascii="Times New Roman" w:hAnsi="Times New Roman"/>
                <w:b/>
              </w:rPr>
              <w:t>2013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center"/>
              <w:rPr>
                <w:rFonts w:ascii="Times New Roman" w:hAnsi="Times New Roman"/>
                <w:b/>
              </w:rPr>
            </w:pPr>
            <w:r w:rsidRPr="00FC2F62">
              <w:rPr>
                <w:rFonts w:ascii="Times New Roman" w:hAnsi="Times New Roman"/>
                <w:b/>
              </w:rPr>
              <w:t>2014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pPr>
              <w:pStyle w:val="NoSpacing"/>
              <w:spacing w:line="256" w:lineRule="auto"/>
              <w:jc w:val="center"/>
              <w:rPr>
                <w:rFonts w:ascii="Times New Roman" w:hAnsi="Times New Roman"/>
                <w:b/>
              </w:rPr>
            </w:pPr>
            <w:r w:rsidRPr="00FC2F62">
              <w:rPr>
                <w:rFonts w:ascii="Times New Roman" w:hAnsi="Times New Roman"/>
                <w:b/>
              </w:rPr>
              <w:t>2015</w:t>
            </w:r>
          </w:p>
          <w:p w:rsidR="00A97705" w:rsidRPr="00FC2F62" w:rsidRDefault="00A97705">
            <w:pPr>
              <w:pStyle w:val="NoSpacing"/>
              <w:spacing w:line="256" w:lineRule="auto"/>
              <w:jc w:val="center"/>
              <w:rPr>
                <w:rFonts w:ascii="Times New Roman" w:hAnsi="Times New Roman"/>
                <w:b/>
              </w:rPr>
            </w:pPr>
            <w:r w:rsidRPr="00FC2F62">
              <w:rPr>
                <w:rFonts w:ascii="Times New Roman" w:hAnsi="Times New Roman"/>
                <w:b/>
              </w:rPr>
              <w:t>Projection</w:t>
            </w:r>
          </w:p>
        </w:tc>
      </w:tr>
      <w:tr w:rsidR="00A97705" w:rsidRPr="00FC2F62" w:rsidTr="00412ED1">
        <w:trPr>
          <w:trHeight w:val="467"/>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pPr>
              <w:pStyle w:val="NoSpacing"/>
              <w:spacing w:line="256" w:lineRule="auto"/>
              <w:rPr>
                <w:rFonts w:ascii="Times New Roman" w:hAnsi="Times New Roman"/>
              </w:rPr>
            </w:pPr>
            <w:r w:rsidRPr="00FC2F62">
              <w:rPr>
                <w:rFonts w:ascii="Times New Roman" w:hAnsi="Times New Roman"/>
              </w:rPr>
              <w:t>Proactive/Reliability</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27.406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34.055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03"/>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79.726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color w:val="000000"/>
              </w:rPr>
            </w:pPr>
            <w:r w:rsidRPr="00FC2F62">
              <w:rPr>
                <w:rFonts w:ascii="Times New Roman" w:hAnsi="Times New Roman"/>
                <w:color w:val="000000"/>
              </w:rPr>
              <w:t>$</w:t>
            </w:r>
            <w:r w:rsidR="00FC2F62">
              <w:rPr>
                <w:rFonts w:ascii="Times New Roman" w:hAnsi="Times New Roman"/>
                <w:color w:val="000000"/>
              </w:rPr>
              <w:tab/>
            </w:r>
            <w:r w:rsidRPr="00FC2F62">
              <w:rPr>
                <w:rFonts w:ascii="Times New Roman" w:hAnsi="Times New Roman"/>
                <w:color w:val="000000"/>
              </w:rPr>
              <w:t>109.107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54"/>
              </w:tabs>
              <w:spacing w:line="256" w:lineRule="auto"/>
              <w:jc w:val="right"/>
              <w:rPr>
                <w:rFonts w:ascii="Times New Roman" w:hAnsi="Times New Roman"/>
                <w:color w:val="000000"/>
              </w:rPr>
            </w:pPr>
            <w:r w:rsidRPr="00FC2F62">
              <w:rPr>
                <w:rFonts w:ascii="Times New Roman" w:hAnsi="Times New Roman"/>
                <w:color w:val="000000"/>
              </w:rPr>
              <w:t>$</w:t>
            </w:r>
            <w:r w:rsidR="00FC2F62">
              <w:rPr>
                <w:rFonts w:ascii="Times New Roman" w:hAnsi="Times New Roman"/>
                <w:color w:val="000000"/>
              </w:rPr>
              <w:tab/>
            </w:r>
            <w:r w:rsidRPr="00FC2F62">
              <w:rPr>
                <w:rFonts w:ascii="Times New Roman" w:hAnsi="Times New Roman"/>
                <w:color w:val="000000"/>
              </w:rPr>
              <w:t>89.020</w:t>
            </w:r>
          </w:p>
        </w:tc>
      </w:tr>
      <w:tr w:rsidR="00A97705" w:rsidRPr="00FC2F62" w:rsidTr="00412ED1">
        <w:trPr>
          <w:trHeight w:val="35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pPr>
              <w:pStyle w:val="NoSpacing"/>
              <w:spacing w:line="256" w:lineRule="auto"/>
              <w:rPr>
                <w:rFonts w:ascii="Times New Roman" w:hAnsi="Times New Roman"/>
              </w:rPr>
            </w:pPr>
            <w:r w:rsidRPr="00FC2F62">
              <w:rPr>
                <w:rFonts w:ascii="Times New Roman" w:hAnsi="Times New Roman"/>
              </w:rPr>
              <w:t>Non-proactive/Non-Reliability</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95.443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106.978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03"/>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108.829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color w:val="000000"/>
              </w:rPr>
            </w:pPr>
            <w:r w:rsidRPr="00FC2F62">
              <w:rPr>
                <w:rFonts w:ascii="Times New Roman" w:hAnsi="Times New Roman"/>
                <w:color w:val="000000"/>
              </w:rPr>
              <w:t>$</w:t>
            </w:r>
            <w:r w:rsidR="00FC2F62">
              <w:rPr>
                <w:rFonts w:ascii="Times New Roman" w:hAnsi="Times New Roman"/>
                <w:color w:val="000000"/>
              </w:rPr>
              <w:tab/>
            </w:r>
            <w:r w:rsidRPr="00FC2F62">
              <w:rPr>
                <w:rFonts w:ascii="Times New Roman" w:hAnsi="Times New Roman"/>
                <w:color w:val="000000"/>
              </w:rPr>
              <w:t>114.762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54"/>
              </w:tabs>
              <w:spacing w:line="256" w:lineRule="auto"/>
              <w:jc w:val="right"/>
              <w:rPr>
                <w:rFonts w:ascii="Times New Roman" w:hAnsi="Times New Roman"/>
                <w:color w:val="000000"/>
              </w:rPr>
            </w:pPr>
            <w:r w:rsidRPr="00FC2F62">
              <w:rPr>
                <w:rFonts w:ascii="Times New Roman" w:hAnsi="Times New Roman"/>
                <w:color w:val="000000"/>
              </w:rPr>
              <w:t>$</w:t>
            </w:r>
            <w:r w:rsidR="00FC2F62">
              <w:rPr>
                <w:rFonts w:ascii="Times New Roman" w:hAnsi="Times New Roman"/>
                <w:color w:val="000000"/>
              </w:rPr>
              <w:tab/>
            </w:r>
            <w:r w:rsidRPr="00FC2F62">
              <w:rPr>
                <w:rFonts w:ascii="Times New Roman" w:hAnsi="Times New Roman"/>
                <w:color w:val="000000"/>
              </w:rPr>
              <w:t>103.050</w:t>
            </w:r>
          </w:p>
        </w:tc>
      </w:tr>
      <w:tr w:rsidR="00A97705" w:rsidRPr="00FC2F62" w:rsidTr="00412ED1">
        <w:trPr>
          <w:trHeight w:val="323"/>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pPr>
              <w:pStyle w:val="NoSpacing"/>
              <w:spacing w:line="256" w:lineRule="auto"/>
              <w:jc w:val="center"/>
              <w:rPr>
                <w:rFonts w:ascii="Times New Roman" w:hAnsi="Times New Roman"/>
              </w:rPr>
            </w:pPr>
            <w:r w:rsidRPr="00FC2F62">
              <w:rPr>
                <w:rFonts w:ascii="Times New Roman" w:hAnsi="Times New Roman"/>
              </w:rPr>
              <w:t>Total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122.849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141,033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03"/>
              </w:tabs>
              <w:spacing w:line="256" w:lineRule="auto"/>
              <w:jc w:val="right"/>
              <w:rPr>
                <w:rFonts w:ascii="Times New Roman" w:hAnsi="Times New Roman"/>
              </w:rPr>
            </w:pPr>
            <w:r w:rsidRPr="00FC2F62">
              <w:rPr>
                <w:rFonts w:ascii="Times New Roman" w:hAnsi="Times New Roman"/>
              </w:rPr>
              <w:t>$</w:t>
            </w:r>
            <w:r w:rsidR="00FC2F62">
              <w:rPr>
                <w:rFonts w:ascii="Times New Roman" w:hAnsi="Times New Roman"/>
              </w:rPr>
              <w:tab/>
            </w:r>
            <w:r w:rsidRPr="00FC2F62">
              <w:rPr>
                <w:rFonts w:ascii="Times New Roman" w:hAnsi="Times New Roman"/>
              </w:rPr>
              <w:t>188.555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885"/>
              </w:tabs>
              <w:spacing w:line="256" w:lineRule="auto"/>
              <w:jc w:val="right"/>
              <w:rPr>
                <w:rFonts w:ascii="Times New Roman" w:hAnsi="Times New Roman"/>
                <w:color w:val="000000"/>
              </w:rPr>
            </w:pPr>
            <w:r w:rsidRPr="00FC2F62">
              <w:rPr>
                <w:rFonts w:ascii="Times New Roman" w:hAnsi="Times New Roman"/>
                <w:color w:val="000000"/>
              </w:rPr>
              <w:t>$</w:t>
            </w:r>
            <w:r w:rsidR="00FC2F62">
              <w:rPr>
                <w:rFonts w:ascii="Times New Roman" w:hAnsi="Times New Roman"/>
                <w:color w:val="000000"/>
              </w:rPr>
              <w:tab/>
            </w:r>
            <w:r w:rsidRPr="00FC2F62">
              <w:rPr>
                <w:rFonts w:ascii="Times New Roman" w:hAnsi="Times New Roman"/>
                <w:color w:val="000000"/>
              </w:rPr>
              <w:t>223.869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7705" w:rsidRPr="00FC2F62" w:rsidRDefault="00A97705" w:rsidP="00FC2F62">
            <w:pPr>
              <w:pStyle w:val="NoSpacing"/>
              <w:tabs>
                <w:tab w:val="right" w:pos="954"/>
              </w:tabs>
              <w:spacing w:line="256" w:lineRule="auto"/>
              <w:jc w:val="right"/>
              <w:rPr>
                <w:rFonts w:ascii="Times New Roman" w:hAnsi="Times New Roman"/>
                <w:color w:val="000000"/>
              </w:rPr>
            </w:pPr>
            <w:r w:rsidRPr="00FC2F62">
              <w:rPr>
                <w:rFonts w:ascii="Times New Roman" w:hAnsi="Times New Roman"/>
                <w:color w:val="000000"/>
              </w:rPr>
              <w:t>$</w:t>
            </w:r>
            <w:r w:rsidR="00FC2F62">
              <w:rPr>
                <w:rFonts w:ascii="Times New Roman" w:hAnsi="Times New Roman"/>
                <w:color w:val="000000"/>
              </w:rPr>
              <w:tab/>
            </w:r>
            <w:r w:rsidRPr="00FC2F62">
              <w:rPr>
                <w:rFonts w:ascii="Times New Roman" w:hAnsi="Times New Roman"/>
                <w:color w:val="000000"/>
              </w:rPr>
              <w:t>192.070</w:t>
            </w:r>
          </w:p>
        </w:tc>
      </w:tr>
    </w:tbl>
    <w:p w:rsidR="00A97705" w:rsidRDefault="00A97705" w:rsidP="00A97705">
      <w:pPr>
        <w:rPr>
          <w:rFonts w:ascii="Calibri" w:hAnsi="Calibri"/>
          <w:sz w:val="24"/>
          <w:szCs w:val="24"/>
        </w:rPr>
      </w:pPr>
    </w:p>
    <w:p w:rsidR="00FC2F62" w:rsidRPr="00A97705" w:rsidRDefault="00FC2F62" w:rsidP="00A97705">
      <w:pPr>
        <w:rPr>
          <w:rFonts w:ascii="Calibri" w:hAnsi="Calibri"/>
          <w:sz w:val="24"/>
          <w:szCs w:val="24"/>
        </w:rPr>
      </w:pPr>
    </w:p>
    <w:p w:rsidR="00A97705" w:rsidRDefault="00A97705" w:rsidP="00FC2F62">
      <w:pPr>
        <w:pStyle w:val="textstyle0"/>
      </w:pPr>
      <w:r>
        <w:t xml:space="preserve">The dollar amounts in Table 3 are graphically displayed in Chart 1, which depicts a slight upward trend for non-proactive/non-reliability expenditures through 2014 and a slight </w:t>
      </w:r>
      <w:r>
        <w:lastRenderedPageBreak/>
        <w:t>decline projected for 2015.  By contrast, the chart shows a stronger upward trend for pro</w:t>
      </w:r>
      <w:r w:rsidR="00FC2F62">
        <w:softHyphen/>
      </w:r>
      <w:r>
        <w:t xml:space="preserve">active/reliability expenditures through 2014 with a pronounced decline projected for 2015.  </w:t>
      </w:r>
    </w:p>
    <w:p w:rsidR="00A97705" w:rsidRDefault="00A97705" w:rsidP="00A97705">
      <w:pPr>
        <w:rPr>
          <w:sz w:val="24"/>
          <w:szCs w:val="24"/>
        </w:rPr>
      </w:pPr>
    </w:p>
    <w:p w:rsidR="00A97705" w:rsidRDefault="00FC2F62" w:rsidP="00A97705">
      <w:pPr>
        <w:rPr>
          <w:sz w:val="24"/>
          <w:szCs w:val="24"/>
        </w:rPr>
      </w:pPr>
      <w:r>
        <w:rPr>
          <w:noProof/>
        </w:rPr>
        <w:drawing>
          <wp:inline distT="0" distB="0" distL="0" distR="0">
            <wp:extent cx="5943600" cy="446532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65320"/>
                    </a:xfrm>
                    <a:prstGeom prst="rect">
                      <a:avLst/>
                    </a:prstGeom>
                    <a:noFill/>
                    <a:ln>
                      <a:noFill/>
                    </a:ln>
                  </pic:spPr>
                </pic:pic>
              </a:graphicData>
            </a:graphic>
          </wp:inline>
        </w:drawing>
      </w:r>
    </w:p>
    <w:p w:rsidR="00A97705" w:rsidRDefault="00A97705" w:rsidP="00A97705">
      <w:pPr>
        <w:rPr>
          <w:sz w:val="24"/>
          <w:szCs w:val="24"/>
        </w:rPr>
      </w:pPr>
    </w:p>
    <w:p w:rsidR="00FC2F62" w:rsidRDefault="00FC2F62" w:rsidP="00A97705">
      <w:pPr>
        <w:rPr>
          <w:sz w:val="24"/>
          <w:szCs w:val="24"/>
        </w:rPr>
      </w:pPr>
    </w:p>
    <w:p w:rsidR="00A97705" w:rsidRDefault="00A97705" w:rsidP="00FC2F62">
      <w:pPr>
        <w:pStyle w:val="textstyle0"/>
      </w:pPr>
      <w:r>
        <w:t xml:space="preserve">Staff is not concerned about such declines as long as total DIR spending, and especially that on proactive/reliability programs, remains significantly higher than spending levels during the (2009-2011) baseline years prior to the onset of the DIR.  Staff is concerned, however, by the potential for non-proactive/non-reliability expenditures to increase while proactive/reliability expenditures continue decreasing in future years.  Accordingly, </w:t>
      </w:r>
      <w:r w:rsidR="000978DF">
        <w:t>S</w:t>
      </w:r>
      <w:r>
        <w:t xml:space="preserve">taff </w:t>
      </w:r>
      <w:r>
        <w:lastRenderedPageBreak/>
        <w:t>plans to closely monitor the Company’s DIR expenditure trends for these two broad spending categories.</w:t>
      </w:r>
    </w:p>
    <w:p w:rsidR="00FC2F62" w:rsidRDefault="009C7D50" w:rsidP="001A5C2F">
      <w:pPr>
        <w:pStyle w:val="Heading1"/>
      </w:pPr>
      <w:bookmarkStart w:id="21" w:name="_Toc426629883"/>
      <w:r>
        <w:t>RELIABILITY IMPROVEMENT ACHIEVED</w:t>
      </w:r>
      <w:bookmarkEnd w:id="21"/>
    </w:p>
    <w:p w:rsidR="00FC2F62" w:rsidRDefault="00FC2F62" w:rsidP="00FC2F62">
      <w:pPr>
        <w:pStyle w:val="textstyle0"/>
      </w:pPr>
      <w:r>
        <w:tab/>
        <w:t>In its May 29, 2013 Finding and Order (F&amp;O) in Case No. 12-3129-EL-UNC, the Commission directed the Company to quantify actual reliability improvements achieved for any program that is expected to reduce the frequency and/or duration of outages (reli</w:t>
      </w:r>
      <w:r>
        <w:softHyphen/>
        <w:t xml:space="preserve">ability programs); and to quantify the outages avoided for any program that is expected to maintain reliability (proactive programs).  The Commission also required the Company to provide such quantification to Staff.  The reported reliability impact quantifications are summarized in Tables 4 and 5 below.  </w:t>
      </w:r>
    </w:p>
    <w:p w:rsidR="00FC2F62" w:rsidRDefault="00FC2F62" w:rsidP="00FC2F62">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260"/>
      </w:tblGrid>
      <w:tr w:rsidR="00FC2F62" w:rsidRPr="00FC2F62" w:rsidTr="00FC2F62">
        <w:trPr>
          <w:trHeight w:val="863"/>
          <w:jc w:val="center"/>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Table 4</w:t>
            </w:r>
          </w:p>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bCs/>
                <w:color w:val="000000"/>
                <w:sz w:val="24"/>
                <w:szCs w:val="24"/>
              </w:rPr>
              <w:t xml:space="preserve">Quantification of 2014 Reliability Impact for </w:t>
            </w:r>
            <w:r w:rsidRPr="00FC2F62">
              <w:rPr>
                <w:rFonts w:ascii="Times New Roman" w:hAnsi="Times New Roman"/>
                <w:b/>
                <w:sz w:val="24"/>
                <w:szCs w:val="24"/>
              </w:rPr>
              <w:t>Proactive Programs</w:t>
            </w:r>
          </w:p>
        </w:tc>
      </w:tr>
      <w:tr w:rsidR="00FC2F62" w:rsidRPr="00FC2F62" w:rsidTr="00FC2F62">
        <w:trPr>
          <w:trHeight w:val="710"/>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bCs/>
                <w:color w:val="000000"/>
                <w:sz w:val="24"/>
                <w:szCs w:val="24"/>
              </w:rPr>
              <w:t>Program Name</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bCs/>
                <w:color w:val="000000"/>
                <w:sz w:val="24"/>
                <w:szCs w:val="24"/>
              </w:rPr>
              <w:t>Avoided Outages *</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Distribution Circuit Asset Improvement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8,600</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Cutout and Arrester Program</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7,166</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Distribution Asset Improvement Associated with Transmission Work</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45</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Station Breaker Replacement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30</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Pole Replacement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4,320</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Line Recloser Maintenance</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634</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 xml:space="preserve">Underground Residential Distribution Inspection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69</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Network Rehabilitation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74</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Station Regulator Replacements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15</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 xml:space="preserve">Forestry – Emerald Ash Borer Mitigation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20,815</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Pole Reinforcement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165</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Underground Duct and Manhole Program</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10</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color w:val="000000"/>
                <w:sz w:val="24"/>
                <w:szCs w:val="24"/>
              </w:rPr>
            </w:pPr>
            <w:r w:rsidRPr="00FC2F62">
              <w:rPr>
                <w:rFonts w:ascii="Times New Roman" w:hAnsi="Times New Roman"/>
                <w:color w:val="000000"/>
                <w:sz w:val="24"/>
                <w:szCs w:val="24"/>
              </w:rPr>
              <w:t xml:space="preserve">Station Rebuild/Rehabilitation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color w:val="000000"/>
                <w:sz w:val="24"/>
                <w:szCs w:val="24"/>
              </w:rPr>
            </w:pPr>
            <w:r w:rsidRPr="00FC2F62">
              <w:rPr>
                <w:rFonts w:ascii="Times New Roman" w:hAnsi="Times New Roman"/>
                <w:color w:val="000000"/>
                <w:sz w:val="24"/>
                <w:szCs w:val="24"/>
              </w:rPr>
              <w:t>7</w:t>
            </w:r>
          </w:p>
        </w:tc>
      </w:tr>
      <w:tr w:rsidR="00FC2F62" w:rsidRPr="00FC2F62" w:rsidTr="00FC2F62">
        <w:trPr>
          <w:jc w:val="center"/>
        </w:trPr>
        <w:tc>
          <w:tcPr>
            <w:tcW w:w="702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color w:val="000000"/>
                <w:sz w:val="24"/>
                <w:szCs w:val="24"/>
              </w:rPr>
            </w:pPr>
            <w:r w:rsidRPr="00FC2F62">
              <w:rPr>
                <w:rFonts w:ascii="Times New Roman" w:hAnsi="Times New Roman"/>
                <w:b/>
                <w:color w:val="000000"/>
                <w:sz w:val="24"/>
                <w:szCs w:val="24"/>
              </w:rPr>
              <w:t>Total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b/>
                <w:color w:val="000000"/>
                <w:sz w:val="24"/>
                <w:szCs w:val="24"/>
              </w:rPr>
            </w:pPr>
            <w:r w:rsidRPr="00FC2F62">
              <w:rPr>
                <w:rFonts w:ascii="Times New Roman" w:hAnsi="Times New Roman"/>
                <w:b/>
                <w:color w:val="000000"/>
                <w:sz w:val="24"/>
                <w:szCs w:val="24"/>
              </w:rPr>
              <w:t>41,950</w:t>
            </w:r>
          </w:p>
        </w:tc>
      </w:tr>
      <w:tr w:rsidR="00FC2F62" w:rsidRPr="00FC2F62" w:rsidTr="00FC2F62">
        <w:trPr>
          <w:trHeight w:val="332"/>
          <w:jc w:val="center"/>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ind w:left="157" w:hanging="157"/>
              <w:jc w:val="center"/>
              <w:rPr>
                <w:rFonts w:ascii="Times New Roman" w:hAnsi="Times New Roman"/>
                <w:b/>
                <w:color w:val="000000"/>
              </w:rPr>
            </w:pPr>
            <w:r w:rsidRPr="00FC2F62">
              <w:rPr>
                <w:rFonts w:ascii="Times New Roman" w:hAnsi="Times New Roman"/>
              </w:rPr>
              <w:t>*</w:t>
            </w:r>
            <w:r w:rsidRPr="00FC2F62">
              <w:rPr>
                <w:rFonts w:ascii="Times New Roman" w:hAnsi="Times New Roman"/>
              </w:rPr>
              <w:tab/>
              <w:t>Note that one outage represents up to 2,100 customer interruptions</w:t>
            </w:r>
          </w:p>
        </w:tc>
      </w:tr>
    </w:tbl>
    <w:p w:rsidR="00FC2F62" w:rsidRDefault="00FC2F62" w:rsidP="00FC2F62">
      <w:pPr>
        <w:pStyle w:val="NoSpacing"/>
      </w:pPr>
    </w:p>
    <w:p w:rsidR="00FC2F62" w:rsidRDefault="00FC2F62" w:rsidP="00FC2F62">
      <w:pPr>
        <w:pStyle w:val="NoSpacing"/>
      </w:pPr>
    </w:p>
    <w:p w:rsidR="00FC2F62" w:rsidRDefault="00FC2F62" w:rsidP="00FC2F62">
      <w:pPr>
        <w:pStyle w:val="textstyle0"/>
      </w:pPr>
      <w:r>
        <w:t>Table 4 above indicates that the Company’s proactive DIR programs avoided a total of 41,950 outages, which represents a 35 percent improvement compared to outages avoided in 2013.</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530"/>
        <w:gridCol w:w="2520"/>
      </w:tblGrid>
      <w:tr w:rsidR="00FC2F62" w:rsidRPr="00FC2F62" w:rsidTr="00FC2F62">
        <w:trPr>
          <w:trHeight w:val="845"/>
          <w:jc w:val="center"/>
        </w:trPr>
        <w:tc>
          <w:tcPr>
            <w:tcW w:w="8100" w:type="dxa"/>
            <w:gridSpan w:val="3"/>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Table 5</w:t>
            </w:r>
          </w:p>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Quantification of 2014 Reliability Impact for Reliability Programs</w:t>
            </w:r>
          </w:p>
        </w:tc>
      </w:tr>
      <w:tr w:rsidR="00FC2F62" w:rsidRPr="00FC2F62" w:rsidTr="00FC2F62">
        <w:trPr>
          <w:trHeight w:val="440"/>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Program Name</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Reduction in Outages *</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Reduction in Customer Outage Minutes</w:t>
            </w:r>
          </w:p>
        </w:tc>
      </w:tr>
      <w:tr w:rsidR="00FC2F62" w:rsidRPr="00FC2F62" w:rsidTr="00FC2F62">
        <w:trPr>
          <w:trHeight w:val="20"/>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sz w:val="24"/>
                <w:szCs w:val="24"/>
              </w:rPr>
            </w:pPr>
            <w:r w:rsidRPr="00FC2F62">
              <w:rPr>
                <w:rFonts w:ascii="Times New Roman" w:hAnsi="Times New Roman"/>
                <w:sz w:val="24"/>
                <w:szCs w:val="24"/>
              </w:rPr>
              <w:t>Animal Mitigation Station</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5</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N/A</w:t>
            </w:r>
          </w:p>
        </w:tc>
      </w:tr>
      <w:tr w:rsidR="00FC2F62" w:rsidRPr="00FC2F62" w:rsidTr="00FC2F62">
        <w:trPr>
          <w:trHeight w:val="20"/>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sz w:val="24"/>
                <w:szCs w:val="24"/>
              </w:rPr>
            </w:pPr>
            <w:r w:rsidRPr="00FC2F62">
              <w:rPr>
                <w:rFonts w:ascii="Times New Roman" w:hAnsi="Times New Roman"/>
                <w:sz w:val="24"/>
                <w:szCs w:val="24"/>
              </w:rPr>
              <w:t>Lightning Mitigation</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62</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N/A</w:t>
            </w:r>
          </w:p>
        </w:tc>
      </w:tr>
      <w:tr w:rsidR="00FC2F62" w:rsidRPr="00FC2F62" w:rsidTr="00FC2F62">
        <w:trPr>
          <w:trHeight w:val="20"/>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sz w:val="24"/>
                <w:szCs w:val="24"/>
              </w:rPr>
            </w:pPr>
            <w:r w:rsidRPr="00FC2F62">
              <w:rPr>
                <w:rFonts w:ascii="Times New Roman" w:hAnsi="Times New Roman"/>
                <w:sz w:val="24"/>
                <w:szCs w:val="24"/>
              </w:rPr>
              <w:t>Underground Cable Replacement</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23</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N/A</w:t>
            </w:r>
          </w:p>
        </w:tc>
      </w:tr>
      <w:tr w:rsidR="00FC2F62" w:rsidRPr="00FC2F62" w:rsidTr="00FC2F62">
        <w:trPr>
          <w:trHeight w:val="20"/>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sz w:val="24"/>
                <w:szCs w:val="24"/>
              </w:rPr>
            </w:pPr>
            <w:r w:rsidRPr="00FC2F62">
              <w:rPr>
                <w:rFonts w:ascii="Times New Roman" w:hAnsi="Times New Roman"/>
                <w:sz w:val="24"/>
                <w:szCs w:val="24"/>
              </w:rPr>
              <w:t>Overhead Circuit Inspection and Repair</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726</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N/A</w:t>
            </w:r>
          </w:p>
        </w:tc>
      </w:tr>
      <w:tr w:rsidR="00FC2F62" w:rsidRPr="00FC2F62" w:rsidTr="00FC2F62">
        <w:trPr>
          <w:trHeight w:val="20"/>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rPr>
                <w:rFonts w:ascii="Times New Roman" w:hAnsi="Times New Roman"/>
                <w:sz w:val="24"/>
                <w:szCs w:val="24"/>
              </w:rPr>
            </w:pPr>
            <w:r w:rsidRPr="00FC2F62">
              <w:rPr>
                <w:rFonts w:ascii="Times New Roman" w:hAnsi="Times New Roman"/>
                <w:sz w:val="24"/>
                <w:szCs w:val="24"/>
              </w:rPr>
              <w:t>Sectionalizing Program</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N/A</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right"/>
              <w:rPr>
                <w:rFonts w:ascii="Times New Roman" w:hAnsi="Times New Roman"/>
                <w:sz w:val="24"/>
                <w:szCs w:val="24"/>
              </w:rPr>
            </w:pPr>
            <w:r w:rsidRPr="00FC2F62">
              <w:rPr>
                <w:rFonts w:ascii="Times New Roman" w:hAnsi="Times New Roman"/>
                <w:sz w:val="24"/>
                <w:szCs w:val="24"/>
              </w:rPr>
              <w:t>31,200</w:t>
            </w:r>
          </w:p>
        </w:tc>
      </w:tr>
      <w:tr w:rsidR="00FC2F62" w:rsidRPr="00FC2F62" w:rsidTr="00FC2F62">
        <w:trPr>
          <w:trHeight w:val="242"/>
          <w:jc w:val="center"/>
        </w:trPr>
        <w:tc>
          <w:tcPr>
            <w:tcW w:w="405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center"/>
              <w:rPr>
                <w:rFonts w:ascii="Times New Roman" w:hAnsi="Times New Roman"/>
                <w:b/>
                <w:sz w:val="24"/>
                <w:szCs w:val="24"/>
              </w:rPr>
            </w:pPr>
            <w:r w:rsidRPr="00FC2F62">
              <w:rPr>
                <w:rFonts w:ascii="Times New Roman" w:hAnsi="Times New Roman"/>
                <w:b/>
                <w:sz w:val="24"/>
                <w:szCs w:val="24"/>
              </w:rPr>
              <w:t>Total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jc w:val="right"/>
              <w:rPr>
                <w:rFonts w:ascii="Times New Roman" w:hAnsi="Times New Roman"/>
                <w:b/>
                <w:sz w:val="24"/>
                <w:szCs w:val="24"/>
              </w:rPr>
            </w:pPr>
            <w:r w:rsidRPr="00FC2F62">
              <w:rPr>
                <w:rFonts w:ascii="Times New Roman" w:hAnsi="Times New Roman"/>
                <w:b/>
                <w:sz w:val="24"/>
                <w:szCs w:val="24"/>
              </w:rPr>
              <w:t>816</w:t>
            </w:r>
          </w:p>
        </w:tc>
        <w:tc>
          <w:tcPr>
            <w:tcW w:w="2520" w:type="dxa"/>
            <w:tcBorders>
              <w:top w:val="single" w:sz="4" w:space="0" w:color="auto"/>
              <w:left w:val="single" w:sz="4" w:space="0" w:color="auto"/>
              <w:bottom w:val="single" w:sz="4" w:space="0" w:color="auto"/>
              <w:right w:val="single" w:sz="4" w:space="0" w:color="auto"/>
            </w:tcBorders>
            <w:hideMark/>
          </w:tcPr>
          <w:p w:rsidR="00FC2F62" w:rsidRPr="00FC2F62" w:rsidRDefault="00FC2F62">
            <w:pPr>
              <w:pStyle w:val="NoSpacing"/>
              <w:spacing w:line="256" w:lineRule="auto"/>
              <w:jc w:val="right"/>
              <w:rPr>
                <w:rFonts w:ascii="Times New Roman" w:hAnsi="Times New Roman"/>
                <w:b/>
                <w:sz w:val="24"/>
                <w:szCs w:val="24"/>
              </w:rPr>
            </w:pPr>
            <w:r w:rsidRPr="00FC2F62">
              <w:rPr>
                <w:rFonts w:ascii="Times New Roman" w:hAnsi="Times New Roman"/>
                <w:b/>
                <w:sz w:val="24"/>
                <w:szCs w:val="24"/>
              </w:rPr>
              <w:t>31,200</w:t>
            </w:r>
          </w:p>
        </w:tc>
      </w:tr>
      <w:tr w:rsidR="00FC2F62" w:rsidRPr="00FC2F62" w:rsidTr="00FC2F62">
        <w:trPr>
          <w:trHeight w:val="305"/>
          <w:jc w:val="center"/>
        </w:trPr>
        <w:tc>
          <w:tcPr>
            <w:tcW w:w="8100" w:type="dxa"/>
            <w:gridSpan w:val="3"/>
            <w:tcBorders>
              <w:top w:val="single" w:sz="4" w:space="0" w:color="auto"/>
              <w:left w:val="single" w:sz="4" w:space="0" w:color="auto"/>
              <w:bottom w:val="single" w:sz="4" w:space="0" w:color="auto"/>
              <w:right w:val="single" w:sz="4" w:space="0" w:color="auto"/>
            </w:tcBorders>
            <w:vAlign w:val="center"/>
            <w:hideMark/>
          </w:tcPr>
          <w:p w:rsidR="00FC2F62" w:rsidRPr="00FC2F62" w:rsidRDefault="00FC2F62">
            <w:pPr>
              <w:pStyle w:val="NoSpacing"/>
              <w:spacing w:line="256" w:lineRule="auto"/>
              <w:ind w:left="157" w:hanging="157"/>
              <w:jc w:val="center"/>
              <w:rPr>
                <w:rFonts w:ascii="Times New Roman" w:hAnsi="Times New Roman"/>
                <w:b/>
                <w:sz w:val="24"/>
                <w:szCs w:val="24"/>
              </w:rPr>
            </w:pPr>
            <w:r w:rsidRPr="00FC2F62">
              <w:rPr>
                <w:rFonts w:ascii="Times New Roman" w:hAnsi="Times New Roman"/>
              </w:rPr>
              <w:t>*</w:t>
            </w:r>
            <w:r w:rsidRPr="00FC2F62">
              <w:rPr>
                <w:rFonts w:ascii="Times New Roman" w:hAnsi="Times New Roman"/>
              </w:rPr>
              <w:tab/>
              <w:t>Note that one outage represents up to 2,100 customer interruptions</w:t>
            </w:r>
          </w:p>
        </w:tc>
      </w:tr>
    </w:tbl>
    <w:p w:rsidR="00FC2F62" w:rsidRDefault="00FC2F62" w:rsidP="00FC2F62">
      <w:pPr>
        <w:rPr>
          <w:rFonts w:ascii="Calibri" w:hAnsi="Calibri"/>
          <w:sz w:val="24"/>
          <w:szCs w:val="24"/>
        </w:rPr>
      </w:pPr>
    </w:p>
    <w:p w:rsidR="00FC2F62" w:rsidRPr="00FC2F62" w:rsidRDefault="00FC2F62" w:rsidP="00FC2F62">
      <w:pPr>
        <w:rPr>
          <w:rFonts w:ascii="Calibri" w:hAnsi="Calibri"/>
          <w:sz w:val="24"/>
          <w:szCs w:val="24"/>
        </w:rPr>
      </w:pPr>
    </w:p>
    <w:p w:rsidR="00FC2F62" w:rsidRDefault="00FC2F62" w:rsidP="00FC2F62">
      <w:pPr>
        <w:pStyle w:val="textstyle0"/>
      </w:pPr>
      <w:r>
        <w:t>Table 5 above indicates that the Company’s DIR-related reliability programs caused a total reduction of 816 outages, which represents a 167 percent improvement compared to such outage reduction in 2013.  Similarly, the Company’s Sectionalizing program caused a reduction of 31,200 customer outage minutes, which represents a 53 percent improve</w:t>
      </w:r>
      <w:r>
        <w:softHyphen/>
        <w:t xml:space="preserve">ment compared to 2013 performance.  </w:t>
      </w:r>
    </w:p>
    <w:p w:rsidR="00FC2F62" w:rsidRPr="00FC2F62" w:rsidRDefault="00FC2F62" w:rsidP="00FC2F62">
      <w:pPr>
        <w:pStyle w:val="textstyle0"/>
      </w:pPr>
      <w:r>
        <w:tab/>
        <w:t xml:space="preserve">Staff asked AEP Ohio to explain what caused the improved performance discussed above with respect to Tables 4 and 5.  In response, the Company attributed the improved performance to a higher level of spending on reliability-related construction projects. </w:t>
      </w:r>
    </w:p>
    <w:bookmarkEnd w:id="18"/>
    <w:p w:rsidR="00337C55" w:rsidRDefault="00337C55" w:rsidP="001A5C2F">
      <w:pPr>
        <w:pStyle w:val="Heading1"/>
      </w:pPr>
      <w:r>
        <w:br w:type="page"/>
      </w:r>
    </w:p>
    <w:p w:rsidR="001A5C2F" w:rsidRDefault="00FC2F62" w:rsidP="001A5C2F">
      <w:pPr>
        <w:pStyle w:val="Heading1"/>
      </w:pPr>
      <w:bookmarkStart w:id="22" w:name="_Toc426629884"/>
      <w:r>
        <w:lastRenderedPageBreak/>
        <w:t>SUMMARY OF RESULTS</w:t>
      </w:r>
      <w:bookmarkEnd w:id="22"/>
    </w:p>
    <w:p w:rsidR="00FC2F62" w:rsidRDefault="001A5C2F" w:rsidP="00FC2F62">
      <w:pPr>
        <w:pStyle w:val="textstyle0"/>
      </w:pPr>
      <w:r>
        <w:tab/>
      </w:r>
      <w:r w:rsidR="00FC2F62">
        <w:t>The results of Staff’s review is summarized as follows.</w:t>
      </w:r>
    </w:p>
    <w:p w:rsidR="00FC2F62" w:rsidRPr="00FC2F62" w:rsidRDefault="00FC2F62" w:rsidP="00FC2F62">
      <w:pPr>
        <w:pStyle w:val="ListParagraph"/>
        <w:numPr>
          <w:ilvl w:val="0"/>
          <w:numId w:val="8"/>
        </w:numPr>
        <w:spacing w:after="240" w:line="240" w:lineRule="auto"/>
        <w:ind w:left="1080" w:right="720"/>
        <w:contextualSpacing w:val="0"/>
        <w:rPr>
          <w:rFonts w:ascii="Times New Roman" w:hAnsi="Times New Roman"/>
          <w:sz w:val="26"/>
          <w:szCs w:val="26"/>
        </w:rPr>
      </w:pPr>
      <w:r w:rsidRPr="00FC2F62">
        <w:rPr>
          <w:rFonts w:ascii="Times New Roman" w:hAnsi="Times New Roman"/>
          <w:sz w:val="26"/>
          <w:szCs w:val="26"/>
        </w:rPr>
        <w:t xml:space="preserve">Consistent with Commission expectations, DIR spending for 2014 is significantly higher than during the (2009–2011) baseline of comparable expenditures prior to the Commission’s approval of the DIR.  </w:t>
      </w:r>
    </w:p>
    <w:p w:rsidR="00FC2F62" w:rsidRPr="00FC2F62" w:rsidRDefault="00FC2F62" w:rsidP="00FC2F62">
      <w:pPr>
        <w:pStyle w:val="ListParagraph"/>
        <w:numPr>
          <w:ilvl w:val="0"/>
          <w:numId w:val="8"/>
        </w:numPr>
        <w:spacing w:after="240" w:line="240" w:lineRule="auto"/>
        <w:ind w:left="1080" w:right="720"/>
        <w:contextualSpacing w:val="0"/>
        <w:rPr>
          <w:rFonts w:ascii="Times New Roman" w:hAnsi="Times New Roman"/>
          <w:sz w:val="26"/>
          <w:szCs w:val="26"/>
        </w:rPr>
      </w:pPr>
      <w:r w:rsidRPr="00FC2F62">
        <w:rPr>
          <w:rFonts w:ascii="Times New Roman" w:hAnsi="Times New Roman"/>
          <w:sz w:val="26"/>
          <w:szCs w:val="26"/>
        </w:rPr>
        <w:t>Although the Company kept total DIR spending close to planned amounts, particular programs showed significant spending shortfalls due to constraints imposed by other parts of the larger AEP Ohio organiza</w:t>
      </w:r>
      <w:r>
        <w:rPr>
          <w:rFonts w:ascii="Times New Roman" w:hAnsi="Times New Roman"/>
          <w:sz w:val="26"/>
          <w:szCs w:val="26"/>
        </w:rPr>
        <w:softHyphen/>
      </w:r>
      <w:r w:rsidRPr="00FC2F62">
        <w:rPr>
          <w:rFonts w:ascii="Times New Roman" w:hAnsi="Times New Roman"/>
          <w:sz w:val="26"/>
          <w:szCs w:val="26"/>
        </w:rPr>
        <w:t>tion.  Staff sees an opportunity to improve planning coordination between AEP Ohio’s Distribution, Transmission, and Station organiza</w:t>
      </w:r>
      <w:r>
        <w:rPr>
          <w:rFonts w:ascii="Times New Roman" w:hAnsi="Times New Roman"/>
          <w:sz w:val="26"/>
          <w:szCs w:val="26"/>
        </w:rPr>
        <w:softHyphen/>
      </w:r>
      <w:r w:rsidRPr="00FC2F62">
        <w:rPr>
          <w:rFonts w:ascii="Times New Roman" w:hAnsi="Times New Roman"/>
          <w:sz w:val="26"/>
          <w:szCs w:val="26"/>
        </w:rPr>
        <w:t>tions, and recommends that the Company describe, as part of the 2016 DIR Plan, its efforts to improve such planning coordination.</w:t>
      </w:r>
    </w:p>
    <w:p w:rsidR="000978DF" w:rsidRDefault="00FC2F62" w:rsidP="00FC2F62">
      <w:pPr>
        <w:pStyle w:val="ListParagraph"/>
        <w:numPr>
          <w:ilvl w:val="0"/>
          <w:numId w:val="8"/>
        </w:numPr>
        <w:spacing w:after="240" w:line="240" w:lineRule="auto"/>
        <w:ind w:left="1080" w:right="720"/>
        <w:contextualSpacing w:val="0"/>
        <w:rPr>
          <w:rFonts w:ascii="Times New Roman" w:hAnsi="Times New Roman"/>
          <w:sz w:val="26"/>
          <w:szCs w:val="26"/>
        </w:rPr>
      </w:pPr>
      <w:r w:rsidRPr="00FC2F62">
        <w:rPr>
          <w:rFonts w:ascii="Times New Roman" w:hAnsi="Times New Roman"/>
          <w:sz w:val="26"/>
          <w:szCs w:val="26"/>
        </w:rPr>
        <w:t>Although planned 2015 DIR expenditures are less than actual 2014 expenditures, they remain substantially higher than expenditure levels during the (2009-2011) baseline years, and therefore meet the staff’s expectations in this respect.</w:t>
      </w:r>
    </w:p>
    <w:p w:rsidR="00E10679" w:rsidRPr="000978DF" w:rsidRDefault="00FC2F62" w:rsidP="00FC2F62">
      <w:pPr>
        <w:pStyle w:val="ListParagraph"/>
        <w:numPr>
          <w:ilvl w:val="0"/>
          <w:numId w:val="8"/>
        </w:numPr>
        <w:spacing w:after="240" w:line="240" w:lineRule="auto"/>
        <w:ind w:left="1080" w:right="720"/>
        <w:contextualSpacing w:val="0"/>
        <w:rPr>
          <w:rFonts w:ascii="Times New Roman" w:hAnsi="Times New Roman"/>
          <w:sz w:val="26"/>
          <w:szCs w:val="26"/>
        </w:rPr>
      </w:pPr>
      <w:r w:rsidRPr="000978DF">
        <w:rPr>
          <w:rFonts w:ascii="Times New Roman" w:hAnsi="Times New Roman"/>
          <w:sz w:val="26"/>
          <w:szCs w:val="26"/>
        </w:rPr>
        <w:t>During 2014, the Company substantially increased the quantitative impact of the DIR’s proactive/reliability programs as compared with that achieved in 2013.  Staff believes this improved performance shows that the Company is focusing DIR spending on maintaining and improv</w:t>
      </w:r>
      <w:r w:rsidR="00EF1F9C">
        <w:rPr>
          <w:rFonts w:ascii="Times New Roman" w:hAnsi="Times New Roman"/>
          <w:sz w:val="26"/>
          <w:szCs w:val="26"/>
        </w:rPr>
        <w:softHyphen/>
      </w:r>
      <w:r w:rsidRPr="000978DF">
        <w:rPr>
          <w:rFonts w:ascii="Times New Roman" w:hAnsi="Times New Roman"/>
          <w:sz w:val="26"/>
          <w:szCs w:val="26"/>
        </w:rPr>
        <w:t>ing reliability for its customers</w:t>
      </w:r>
    </w:p>
    <w:p w:rsidR="00337C55" w:rsidRDefault="00337C55" w:rsidP="00FC2F62">
      <w:pPr>
        <w:tabs>
          <w:tab w:val="left" w:pos="9348"/>
        </w:tabs>
        <w:spacing w:line="480" w:lineRule="auto"/>
        <w:ind w:left="4320"/>
        <w:rPr>
          <w:sz w:val="26"/>
          <w:szCs w:val="26"/>
        </w:rPr>
      </w:pPr>
      <w:r>
        <w:rPr>
          <w:sz w:val="26"/>
          <w:szCs w:val="26"/>
        </w:rPr>
        <w:br w:type="page"/>
      </w:r>
    </w:p>
    <w:p w:rsidR="00200A0A" w:rsidRPr="0064436A" w:rsidRDefault="00200A0A" w:rsidP="00FC2F62">
      <w:pPr>
        <w:tabs>
          <w:tab w:val="left" w:pos="9348"/>
        </w:tabs>
        <w:spacing w:line="480" w:lineRule="auto"/>
        <w:ind w:left="4320"/>
        <w:rPr>
          <w:sz w:val="26"/>
          <w:szCs w:val="26"/>
        </w:rPr>
      </w:pPr>
      <w:r w:rsidRPr="0064436A">
        <w:rPr>
          <w:sz w:val="26"/>
          <w:szCs w:val="26"/>
        </w:rPr>
        <w:lastRenderedPageBreak/>
        <w:t>Respectfully submitted,</w:t>
      </w:r>
    </w:p>
    <w:p w:rsidR="00200A0A" w:rsidRPr="0064436A" w:rsidRDefault="00C90964" w:rsidP="00FC2F62">
      <w:pPr>
        <w:tabs>
          <w:tab w:val="left" w:pos="9348"/>
        </w:tabs>
        <w:ind w:left="4320"/>
        <w:rPr>
          <w:sz w:val="26"/>
          <w:szCs w:val="26"/>
        </w:rPr>
      </w:pPr>
      <w:r>
        <w:rPr>
          <w:b/>
          <w:sz w:val="26"/>
          <w:szCs w:val="26"/>
        </w:rPr>
        <w:t>Michael DeWine</w:t>
      </w:r>
    </w:p>
    <w:p w:rsidR="00200A0A" w:rsidRPr="0064436A" w:rsidRDefault="00200A0A" w:rsidP="00FC2F62">
      <w:pPr>
        <w:tabs>
          <w:tab w:val="left" w:pos="9348"/>
        </w:tabs>
        <w:ind w:left="4320"/>
        <w:rPr>
          <w:sz w:val="26"/>
          <w:szCs w:val="26"/>
        </w:rPr>
      </w:pPr>
      <w:r w:rsidRPr="0064436A">
        <w:rPr>
          <w:sz w:val="26"/>
          <w:szCs w:val="26"/>
        </w:rPr>
        <w:t>Ohio Attorney General</w:t>
      </w:r>
    </w:p>
    <w:p w:rsidR="00200A0A" w:rsidRPr="0064436A" w:rsidRDefault="00200A0A" w:rsidP="00FC2F62">
      <w:pPr>
        <w:tabs>
          <w:tab w:val="left" w:pos="9348"/>
        </w:tabs>
        <w:ind w:left="4320"/>
        <w:rPr>
          <w:sz w:val="26"/>
          <w:szCs w:val="26"/>
        </w:rPr>
      </w:pPr>
    </w:p>
    <w:p w:rsidR="000753F8" w:rsidRDefault="00BC5B75" w:rsidP="00FC2F62">
      <w:pPr>
        <w:tabs>
          <w:tab w:val="left" w:pos="9348"/>
        </w:tabs>
        <w:ind w:left="4320"/>
        <w:rPr>
          <w:b/>
          <w:sz w:val="26"/>
          <w:szCs w:val="26"/>
        </w:rPr>
      </w:pPr>
      <w:r>
        <w:rPr>
          <w:b/>
          <w:sz w:val="26"/>
          <w:szCs w:val="26"/>
        </w:rPr>
        <w:t>William L. Wright</w:t>
      </w:r>
    </w:p>
    <w:p w:rsidR="00200A0A" w:rsidRPr="0064436A" w:rsidRDefault="00200A0A" w:rsidP="00FC2F62">
      <w:pPr>
        <w:tabs>
          <w:tab w:val="left" w:pos="9348"/>
        </w:tabs>
        <w:ind w:left="4320"/>
        <w:rPr>
          <w:sz w:val="26"/>
          <w:szCs w:val="26"/>
        </w:rPr>
      </w:pPr>
      <w:r w:rsidRPr="0064436A">
        <w:rPr>
          <w:sz w:val="26"/>
          <w:szCs w:val="26"/>
        </w:rPr>
        <w:t>Section Chief</w:t>
      </w:r>
    </w:p>
    <w:p w:rsidR="00200A0A" w:rsidRPr="0064436A" w:rsidRDefault="00200A0A" w:rsidP="00FC2F62">
      <w:pPr>
        <w:tabs>
          <w:tab w:val="left" w:pos="9348"/>
        </w:tabs>
        <w:ind w:left="4320"/>
        <w:rPr>
          <w:sz w:val="26"/>
          <w:szCs w:val="26"/>
        </w:rPr>
      </w:pPr>
    </w:p>
    <w:p w:rsidR="00200A0A" w:rsidRPr="00C106AC" w:rsidRDefault="00C106AC" w:rsidP="00FC2F62">
      <w:pPr>
        <w:tabs>
          <w:tab w:val="left" w:pos="9348"/>
        </w:tabs>
        <w:ind w:left="4320"/>
        <w:rPr>
          <w:rFonts w:ascii="AR BERKLEY" w:hAnsi="AR BERKLEY"/>
          <w:sz w:val="32"/>
          <w:szCs w:val="32"/>
          <w:u w:val="single"/>
        </w:rPr>
      </w:pPr>
      <w:r w:rsidRPr="00C106AC">
        <w:rPr>
          <w:rFonts w:ascii="AR BERKLEY" w:hAnsi="AR BERKLEY"/>
          <w:sz w:val="32"/>
          <w:szCs w:val="32"/>
          <w:u w:val="single"/>
        </w:rPr>
        <w:t>/s/ Steven L. Beeler</w:t>
      </w:r>
      <w:r w:rsidR="00200A0A" w:rsidRPr="00C106AC">
        <w:rPr>
          <w:rFonts w:ascii="AR BERKLEY" w:hAnsi="AR BERKLEY"/>
          <w:sz w:val="32"/>
          <w:szCs w:val="32"/>
          <w:u w:val="single"/>
        </w:rPr>
        <w:tab/>
      </w:r>
    </w:p>
    <w:p w:rsidR="00E45A7D" w:rsidRPr="0064436A" w:rsidRDefault="00FC2F62" w:rsidP="00FC2F62">
      <w:pPr>
        <w:tabs>
          <w:tab w:val="left" w:pos="9348"/>
        </w:tabs>
        <w:ind w:left="4320"/>
        <w:rPr>
          <w:b/>
          <w:sz w:val="26"/>
          <w:szCs w:val="26"/>
        </w:rPr>
      </w:pPr>
      <w:r>
        <w:rPr>
          <w:b/>
          <w:sz w:val="26"/>
          <w:szCs w:val="26"/>
        </w:rPr>
        <w:t>Steven L. Beeler</w:t>
      </w:r>
    </w:p>
    <w:p w:rsidR="00200A0A" w:rsidRPr="0064436A" w:rsidRDefault="00200A0A" w:rsidP="00FC2F62">
      <w:pPr>
        <w:tabs>
          <w:tab w:val="left" w:pos="9348"/>
        </w:tabs>
        <w:ind w:left="4320"/>
        <w:rPr>
          <w:sz w:val="26"/>
          <w:szCs w:val="26"/>
        </w:rPr>
      </w:pPr>
      <w:r w:rsidRPr="0064436A">
        <w:rPr>
          <w:sz w:val="26"/>
          <w:szCs w:val="26"/>
        </w:rPr>
        <w:t>Assistant Attorney General</w:t>
      </w:r>
    </w:p>
    <w:p w:rsidR="00200A0A" w:rsidRPr="0064436A" w:rsidRDefault="00200A0A" w:rsidP="00FC2F62">
      <w:pPr>
        <w:tabs>
          <w:tab w:val="left" w:pos="9348"/>
        </w:tabs>
        <w:ind w:left="4320"/>
        <w:rPr>
          <w:sz w:val="26"/>
          <w:szCs w:val="26"/>
        </w:rPr>
      </w:pPr>
      <w:r w:rsidRPr="0064436A">
        <w:rPr>
          <w:sz w:val="26"/>
          <w:szCs w:val="26"/>
        </w:rPr>
        <w:t>Public Utilities Section</w:t>
      </w:r>
    </w:p>
    <w:p w:rsidR="00200A0A" w:rsidRPr="0064436A" w:rsidRDefault="00200A0A" w:rsidP="00FC2F62">
      <w:pPr>
        <w:tabs>
          <w:tab w:val="left" w:pos="9348"/>
        </w:tabs>
        <w:ind w:left="432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FC2F62">
      <w:pPr>
        <w:tabs>
          <w:tab w:val="left" w:pos="9348"/>
        </w:tabs>
        <w:ind w:left="4320"/>
        <w:rPr>
          <w:sz w:val="26"/>
          <w:szCs w:val="26"/>
        </w:rPr>
      </w:pPr>
      <w:r w:rsidRPr="0064436A">
        <w:rPr>
          <w:sz w:val="26"/>
          <w:szCs w:val="26"/>
        </w:rPr>
        <w:t>Columbus, OH  43215-3793</w:t>
      </w:r>
    </w:p>
    <w:p w:rsidR="00200A0A" w:rsidRPr="0064436A" w:rsidRDefault="00200A0A" w:rsidP="00FC2F62">
      <w:pPr>
        <w:tabs>
          <w:tab w:val="left" w:pos="9348"/>
        </w:tabs>
        <w:ind w:left="4320"/>
        <w:rPr>
          <w:sz w:val="26"/>
          <w:szCs w:val="26"/>
        </w:rPr>
      </w:pPr>
      <w:r w:rsidRPr="0064436A">
        <w:rPr>
          <w:sz w:val="26"/>
          <w:szCs w:val="26"/>
        </w:rPr>
        <w:t>614.466.4397</w:t>
      </w:r>
      <w:r w:rsidR="000753F8">
        <w:rPr>
          <w:sz w:val="26"/>
          <w:szCs w:val="26"/>
        </w:rPr>
        <w:t xml:space="preserve"> (telephone)</w:t>
      </w:r>
    </w:p>
    <w:p w:rsidR="008B058D" w:rsidRDefault="00200A0A" w:rsidP="00FC2F62">
      <w:pPr>
        <w:tabs>
          <w:tab w:val="left" w:pos="9348"/>
        </w:tabs>
        <w:ind w:left="4320"/>
        <w:rPr>
          <w:sz w:val="26"/>
          <w:szCs w:val="26"/>
        </w:rPr>
      </w:pPr>
      <w:r w:rsidRPr="0064436A">
        <w:rPr>
          <w:sz w:val="26"/>
          <w:szCs w:val="26"/>
        </w:rPr>
        <w:t>614.644.8764 (fax)</w:t>
      </w:r>
    </w:p>
    <w:p w:rsidR="00E45A7D" w:rsidRPr="0064436A" w:rsidRDefault="00C106AC" w:rsidP="00FC2F62">
      <w:pPr>
        <w:tabs>
          <w:tab w:val="left" w:pos="9348"/>
        </w:tabs>
        <w:ind w:left="4320"/>
        <w:rPr>
          <w:sz w:val="26"/>
          <w:szCs w:val="26"/>
        </w:rPr>
      </w:pPr>
      <w:hyperlink r:id="rId16" w:history="1">
        <w:r w:rsidR="00FC2F62" w:rsidRPr="00802A80">
          <w:rPr>
            <w:rStyle w:val="Hyperlink"/>
            <w:sz w:val="26"/>
            <w:szCs w:val="26"/>
          </w:rPr>
          <w:t>steven.beeler@puc.state.oh.us</w:t>
        </w:r>
      </w:hyperlink>
    </w:p>
    <w:p w:rsidR="00200A0A" w:rsidRDefault="00200A0A" w:rsidP="00FC2F62">
      <w:pPr>
        <w:tabs>
          <w:tab w:val="left" w:pos="9348"/>
        </w:tabs>
        <w:ind w:left="4320"/>
        <w:rPr>
          <w:b/>
          <w:sz w:val="26"/>
          <w:szCs w:val="26"/>
        </w:rPr>
      </w:pPr>
    </w:p>
    <w:p w:rsidR="00FC2F62" w:rsidRDefault="00FC2F62" w:rsidP="00FC2F62">
      <w:pPr>
        <w:tabs>
          <w:tab w:val="left" w:pos="9348"/>
        </w:tabs>
        <w:ind w:left="4320"/>
        <w:rPr>
          <w:b/>
          <w:sz w:val="26"/>
          <w:szCs w:val="26"/>
        </w:rPr>
      </w:pPr>
      <w:r>
        <w:rPr>
          <w:b/>
          <w:sz w:val="26"/>
          <w:szCs w:val="26"/>
        </w:rPr>
        <w:t>On behalf of the Staff of</w:t>
      </w:r>
    </w:p>
    <w:p w:rsidR="00FC2F62" w:rsidRPr="0064436A" w:rsidRDefault="00FC2F62" w:rsidP="00FC2F62">
      <w:pPr>
        <w:tabs>
          <w:tab w:val="left" w:pos="9348"/>
        </w:tabs>
        <w:ind w:left="4320"/>
        <w:rPr>
          <w:b/>
          <w:sz w:val="26"/>
          <w:szCs w:val="26"/>
        </w:rPr>
      </w:pPr>
      <w:r>
        <w:rPr>
          <w:b/>
          <w:sz w:val="26"/>
          <w:szCs w:val="26"/>
        </w:rPr>
        <w:t>The Public Utilities Commission of Ohio</w:t>
      </w:r>
    </w:p>
    <w:p w:rsidR="00200A0A" w:rsidRPr="00934B92" w:rsidRDefault="00200A0A" w:rsidP="0064436A">
      <w:pPr>
        <w:pStyle w:val="Heading1"/>
      </w:pPr>
      <w:r w:rsidRPr="00955E20">
        <w:br w:type="page"/>
      </w:r>
      <w:bookmarkStart w:id="23" w:name="_Toc205862526"/>
      <w:bookmarkStart w:id="24" w:name="_Toc260212964"/>
      <w:bookmarkStart w:id="25" w:name="_Toc426629885"/>
      <w:r w:rsidR="00C95499" w:rsidRPr="00934B92">
        <w:rPr>
          <w:caps w:val="0"/>
        </w:rPr>
        <w:lastRenderedPageBreak/>
        <w:t>PROOF OF SERVICE</w:t>
      </w:r>
      <w:bookmarkEnd w:id="23"/>
      <w:bookmarkEnd w:id="24"/>
      <w:bookmarkEnd w:id="25"/>
    </w:p>
    <w:p w:rsidR="00200A0A" w:rsidRPr="00934B92" w:rsidRDefault="0064436A" w:rsidP="006A3730">
      <w:pPr>
        <w:pStyle w:val="textstyle0"/>
      </w:pPr>
      <w:r>
        <w:tab/>
      </w:r>
      <w:r w:rsidR="00200A0A" w:rsidRPr="00934B92">
        <w:t xml:space="preserve">I hereby certify that a true copy of the foregoing </w:t>
      </w:r>
      <w:r w:rsidR="00FC2F62">
        <w:rPr>
          <w:b/>
        </w:rPr>
        <w:t>Comments</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8D59C6">
        <w:t>6</w:t>
      </w:r>
      <w:r w:rsidR="00B66210" w:rsidRPr="00B66210">
        <w:rPr>
          <w:vertAlign w:val="superscript"/>
        </w:rPr>
        <w:t>th</w:t>
      </w:r>
      <w:r w:rsidR="001A5C2F">
        <w:t xml:space="preserve"> </w:t>
      </w:r>
      <w:r w:rsidR="004B6358">
        <w:t>d</w:t>
      </w:r>
      <w:r w:rsidR="00200A0A" w:rsidRPr="00934B92">
        <w:t xml:space="preserve">ay of </w:t>
      </w:r>
      <w:r w:rsidR="008D59C6">
        <w:t>August</w:t>
      </w:r>
      <w:r w:rsidR="00FC2F62">
        <w:t>, 2015</w:t>
      </w:r>
      <w:r w:rsidR="00200A0A" w:rsidRPr="00934B92">
        <w:t>.</w:t>
      </w:r>
    </w:p>
    <w:p w:rsidR="00200A0A" w:rsidRPr="00DF3D54" w:rsidRDefault="00200A0A" w:rsidP="00200A0A">
      <w:pPr>
        <w:spacing w:line="480" w:lineRule="auto"/>
        <w:jc w:val="both"/>
      </w:pPr>
    </w:p>
    <w:p w:rsidR="00C106AC" w:rsidRDefault="00C106AC" w:rsidP="00C106AC">
      <w:pPr>
        <w:tabs>
          <w:tab w:val="left" w:pos="9360"/>
        </w:tabs>
        <w:ind w:left="4332"/>
        <w:jc w:val="both"/>
        <w:rPr>
          <w:b/>
          <w:sz w:val="26"/>
          <w:szCs w:val="26"/>
        </w:rPr>
      </w:pPr>
      <w:r w:rsidRPr="00C106AC">
        <w:rPr>
          <w:rFonts w:ascii="AR BERKLEY" w:hAnsi="AR BERKLEY"/>
          <w:sz w:val="32"/>
          <w:szCs w:val="32"/>
          <w:u w:val="single"/>
        </w:rPr>
        <w:t>/s/ Steven L. Beeler</w:t>
      </w:r>
      <w:r>
        <w:rPr>
          <w:rFonts w:ascii="AR BERKLEY" w:hAnsi="AR BERKLEY"/>
          <w:sz w:val="32"/>
          <w:szCs w:val="32"/>
          <w:u w:val="single"/>
        </w:rPr>
        <w:tab/>
      </w:r>
      <w:r>
        <w:rPr>
          <w:b/>
          <w:sz w:val="26"/>
          <w:szCs w:val="26"/>
        </w:rPr>
        <w:t xml:space="preserve"> </w:t>
      </w:r>
    </w:p>
    <w:p w:rsidR="00200A0A" w:rsidRPr="00DF3D54" w:rsidRDefault="00FC2F62" w:rsidP="00200A0A">
      <w:pPr>
        <w:ind w:left="4332"/>
        <w:jc w:val="both"/>
        <w:rPr>
          <w:b/>
          <w:sz w:val="26"/>
          <w:szCs w:val="26"/>
        </w:rPr>
      </w:pPr>
      <w:r>
        <w:rPr>
          <w:b/>
          <w:sz w:val="26"/>
          <w:szCs w:val="26"/>
        </w:rPr>
        <w:t>Steven L. Beeler</w:t>
      </w:r>
    </w:p>
    <w:p w:rsidR="00200A0A" w:rsidRDefault="00200A0A" w:rsidP="00200A0A">
      <w:pPr>
        <w:ind w:left="4332"/>
        <w:jc w:val="both"/>
        <w:rPr>
          <w:sz w:val="26"/>
          <w:szCs w:val="26"/>
        </w:rPr>
      </w:pPr>
      <w:r w:rsidRPr="00DF3D54">
        <w:rPr>
          <w:sz w:val="26"/>
          <w:szCs w:val="26"/>
        </w:rPr>
        <w:t>Assistant Attorney General</w:t>
      </w:r>
      <w:bookmarkStart w:id="26" w:name="_GoBack"/>
      <w:bookmarkEnd w:id="26"/>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693"/>
        <w:gridCol w:w="4667"/>
      </w:tblGrid>
      <w:tr w:rsidR="00977F01" w:rsidRPr="00FC2F62" w:rsidTr="002273AC">
        <w:tc>
          <w:tcPr>
            <w:tcW w:w="4788" w:type="dxa"/>
          </w:tcPr>
          <w:p w:rsidR="00977F01" w:rsidRPr="00FC2F62" w:rsidRDefault="00977F01" w:rsidP="002273AC">
            <w:pPr>
              <w:rPr>
                <w:sz w:val="26"/>
                <w:szCs w:val="26"/>
              </w:rPr>
            </w:pPr>
            <w:r w:rsidRPr="00FC2F62">
              <w:rPr>
                <w:sz w:val="26"/>
                <w:szCs w:val="26"/>
              </w:rPr>
              <w:t>Steve T. Nourse</w:t>
            </w:r>
          </w:p>
          <w:p w:rsidR="00977F01" w:rsidRPr="00FC2F62" w:rsidRDefault="00977F01" w:rsidP="002273AC">
            <w:pPr>
              <w:rPr>
                <w:sz w:val="26"/>
                <w:szCs w:val="26"/>
              </w:rPr>
            </w:pPr>
            <w:r w:rsidRPr="00FC2F62">
              <w:rPr>
                <w:sz w:val="26"/>
                <w:szCs w:val="26"/>
              </w:rPr>
              <w:t>American Electric Power Service Corp.</w:t>
            </w:r>
          </w:p>
          <w:p w:rsidR="00977F01" w:rsidRPr="00FC2F62" w:rsidRDefault="00977F01" w:rsidP="002273AC">
            <w:pPr>
              <w:rPr>
                <w:sz w:val="26"/>
                <w:szCs w:val="26"/>
              </w:rPr>
            </w:pPr>
            <w:r w:rsidRPr="00FC2F62">
              <w:rPr>
                <w:sz w:val="26"/>
                <w:szCs w:val="26"/>
              </w:rPr>
              <w:t>1 Riverside Plaza, 29</w:t>
            </w:r>
            <w:r w:rsidRPr="00FC2F62">
              <w:rPr>
                <w:sz w:val="26"/>
                <w:szCs w:val="26"/>
                <w:vertAlign w:val="superscript"/>
              </w:rPr>
              <w:t>th</w:t>
            </w:r>
            <w:r w:rsidRPr="00FC2F62">
              <w:rPr>
                <w:sz w:val="26"/>
                <w:szCs w:val="26"/>
              </w:rPr>
              <w:t xml:space="preserve"> Floor</w:t>
            </w:r>
          </w:p>
          <w:p w:rsidR="00977F01" w:rsidRPr="00FC2F62" w:rsidRDefault="00977F01" w:rsidP="002273AC">
            <w:pPr>
              <w:rPr>
                <w:sz w:val="26"/>
                <w:szCs w:val="26"/>
              </w:rPr>
            </w:pPr>
            <w:r w:rsidRPr="00FC2F62">
              <w:rPr>
                <w:sz w:val="26"/>
                <w:szCs w:val="26"/>
              </w:rPr>
              <w:t>Columbus, OH  43215</w:t>
            </w:r>
          </w:p>
          <w:p w:rsidR="00977F01" w:rsidRPr="00FC2F62" w:rsidRDefault="00C106AC" w:rsidP="002273AC">
            <w:pPr>
              <w:rPr>
                <w:sz w:val="26"/>
                <w:szCs w:val="26"/>
              </w:rPr>
            </w:pPr>
            <w:hyperlink r:id="rId17" w:history="1">
              <w:r w:rsidR="00977F01" w:rsidRPr="00FC2F62">
                <w:rPr>
                  <w:rStyle w:val="Hyperlink"/>
                  <w:sz w:val="26"/>
                  <w:szCs w:val="26"/>
                </w:rPr>
                <w:t>stnourse@aep.com</w:t>
              </w:r>
            </w:hyperlink>
          </w:p>
          <w:p w:rsidR="00977F01" w:rsidRPr="00FC2F62" w:rsidRDefault="00977F01" w:rsidP="002273AC">
            <w:pPr>
              <w:rPr>
                <w:sz w:val="26"/>
                <w:szCs w:val="26"/>
              </w:rPr>
            </w:pPr>
          </w:p>
          <w:p w:rsidR="00977F01" w:rsidRPr="00FC2F62" w:rsidRDefault="00FC2F62" w:rsidP="002273AC">
            <w:pPr>
              <w:rPr>
                <w:sz w:val="26"/>
                <w:szCs w:val="26"/>
              </w:rPr>
            </w:pPr>
            <w:r w:rsidRPr="00FC2F62">
              <w:rPr>
                <w:sz w:val="26"/>
                <w:szCs w:val="26"/>
              </w:rPr>
              <w:t>Jodi J. Bair</w:t>
            </w:r>
          </w:p>
          <w:p w:rsidR="00FC2F62" w:rsidRPr="00FC2F62" w:rsidRDefault="00FC2F62" w:rsidP="002273AC">
            <w:pPr>
              <w:rPr>
                <w:sz w:val="26"/>
                <w:szCs w:val="26"/>
              </w:rPr>
            </w:pPr>
            <w:r w:rsidRPr="00FC2F62">
              <w:rPr>
                <w:sz w:val="26"/>
                <w:szCs w:val="26"/>
              </w:rPr>
              <w:t>Joseph P. Serio</w:t>
            </w:r>
          </w:p>
          <w:p w:rsidR="00977F01" w:rsidRPr="00FC2F62" w:rsidRDefault="00977F01" w:rsidP="002273AC">
            <w:pPr>
              <w:rPr>
                <w:sz w:val="26"/>
                <w:szCs w:val="26"/>
              </w:rPr>
            </w:pPr>
            <w:r w:rsidRPr="00FC2F62">
              <w:rPr>
                <w:sz w:val="26"/>
                <w:szCs w:val="26"/>
              </w:rPr>
              <w:t>Assistant Consumers’ Counsel</w:t>
            </w:r>
          </w:p>
          <w:p w:rsidR="00977F01" w:rsidRPr="00FC2F62" w:rsidRDefault="00977F01" w:rsidP="002273AC">
            <w:pPr>
              <w:rPr>
                <w:sz w:val="26"/>
                <w:szCs w:val="26"/>
              </w:rPr>
            </w:pPr>
            <w:r w:rsidRPr="00FC2F62">
              <w:rPr>
                <w:sz w:val="26"/>
                <w:szCs w:val="26"/>
              </w:rPr>
              <w:t>Office of the Ohio Consumers’ Counsel</w:t>
            </w:r>
          </w:p>
          <w:p w:rsidR="00977F01" w:rsidRPr="00FC2F62" w:rsidRDefault="00977F01" w:rsidP="002273AC">
            <w:pPr>
              <w:rPr>
                <w:sz w:val="26"/>
                <w:szCs w:val="26"/>
              </w:rPr>
            </w:pPr>
            <w:r w:rsidRPr="00FC2F62">
              <w:rPr>
                <w:sz w:val="26"/>
                <w:szCs w:val="26"/>
              </w:rPr>
              <w:t>10 West Broad Street</w:t>
            </w:r>
          </w:p>
          <w:p w:rsidR="00977F01" w:rsidRPr="00FC2F62" w:rsidRDefault="00977F01" w:rsidP="002273AC">
            <w:pPr>
              <w:rPr>
                <w:sz w:val="26"/>
                <w:szCs w:val="26"/>
              </w:rPr>
            </w:pPr>
            <w:r w:rsidRPr="00FC2F62">
              <w:rPr>
                <w:sz w:val="26"/>
                <w:szCs w:val="26"/>
              </w:rPr>
              <w:t>Suite 1800</w:t>
            </w:r>
          </w:p>
          <w:p w:rsidR="00977F01" w:rsidRPr="00FC2F62" w:rsidRDefault="00977F01" w:rsidP="002273AC">
            <w:pPr>
              <w:rPr>
                <w:sz w:val="26"/>
                <w:szCs w:val="26"/>
              </w:rPr>
            </w:pPr>
            <w:r w:rsidRPr="00FC2F62">
              <w:rPr>
                <w:sz w:val="26"/>
                <w:szCs w:val="26"/>
              </w:rPr>
              <w:t>Columbus, OH  43215</w:t>
            </w:r>
          </w:p>
          <w:p w:rsidR="00977F01" w:rsidRPr="00FC2F62" w:rsidRDefault="00C106AC" w:rsidP="002273AC">
            <w:pPr>
              <w:rPr>
                <w:sz w:val="26"/>
                <w:szCs w:val="26"/>
              </w:rPr>
            </w:pPr>
            <w:hyperlink r:id="rId18" w:history="1">
              <w:r w:rsidR="00FC2F62" w:rsidRPr="00802A80">
                <w:rPr>
                  <w:rStyle w:val="Hyperlink"/>
                  <w:sz w:val="26"/>
                  <w:szCs w:val="26"/>
                </w:rPr>
                <w:t>jodi.bair@occ.ohio.gov</w:t>
              </w:r>
            </w:hyperlink>
          </w:p>
          <w:p w:rsidR="00FC2F62" w:rsidRPr="00FC2F62" w:rsidRDefault="00C106AC" w:rsidP="002273AC">
            <w:pPr>
              <w:rPr>
                <w:sz w:val="26"/>
                <w:szCs w:val="26"/>
              </w:rPr>
            </w:pPr>
            <w:hyperlink r:id="rId19" w:history="1">
              <w:r w:rsidR="00FC2F62" w:rsidRPr="00802A80">
                <w:rPr>
                  <w:rStyle w:val="Hyperlink"/>
                  <w:sz w:val="26"/>
                  <w:szCs w:val="26"/>
                </w:rPr>
                <w:t>joseph.serio@occ.ohio.gov</w:t>
              </w:r>
            </w:hyperlink>
          </w:p>
          <w:p w:rsidR="00FC2F62" w:rsidRPr="00FC2F62" w:rsidRDefault="00FC2F62" w:rsidP="002273AC">
            <w:pPr>
              <w:rPr>
                <w:sz w:val="26"/>
                <w:szCs w:val="26"/>
              </w:rPr>
            </w:pPr>
          </w:p>
        </w:tc>
        <w:tc>
          <w:tcPr>
            <w:tcW w:w="4788" w:type="dxa"/>
          </w:tcPr>
          <w:p w:rsidR="00FC2F62" w:rsidRPr="00FC2F62" w:rsidRDefault="00FC2F62" w:rsidP="002273AC">
            <w:pPr>
              <w:rPr>
                <w:sz w:val="26"/>
                <w:szCs w:val="26"/>
              </w:rPr>
            </w:pPr>
            <w:r w:rsidRPr="00FC2F62">
              <w:rPr>
                <w:sz w:val="26"/>
                <w:szCs w:val="26"/>
              </w:rPr>
              <w:t>Mark S. Yurick</w:t>
            </w:r>
          </w:p>
          <w:p w:rsidR="00977F01" w:rsidRPr="00FC2F62" w:rsidRDefault="00FC2F62" w:rsidP="002273AC">
            <w:pPr>
              <w:rPr>
                <w:sz w:val="26"/>
                <w:szCs w:val="26"/>
              </w:rPr>
            </w:pPr>
            <w:r w:rsidRPr="00FC2F62">
              <w:rPr>
                <w:sz w:val="26"/>
                <w:szCs w:val="26"/>
              </w:rPr>
              <w:t>Devin D. Parram</w:t>
            </w:r>
          </w:p>
          <w:p w:rsidR="00FC2F62" w:rsidRPr="00FC2F62" w:rsidRDefault="00FC2F62" w:rsidP="002273AC">
            <w:pPr>
              <w:rPr>
                <w:sz w:val="26"/>
                <w:szCs w:val="26"/>
              </w:rPr>
            </w:pPr>
            <w:r>
              <w:rPr>
                <w:sz w:val="26"/>
                <w:szCs w:val="26"/>
              </w:rPr>
              <w:t>Taft</w:t>
            </w:r>
            <w:r w:rsidRPr="00FC2F62">
              <w:rPr>
                <w:sz w:val="26"/>
                <w:szCs w:val="26"/>
              </w:rPr>
              <w:t xml:space="preserve"> Stettinius &amp; Hollister</w:t>
            </w:r>
          </w:p>
          <w:p w:rsidR="00FC2F62" w:rsidRPr="00FC2F62" w:rsidRDefault="00FC2F62" w:rsidP="002273AC">
            <w:pPr>
              <w:rPr>
                <w:sz w:val="26"/>
                <w:szCs w:val="26"/>
              </w:rPr>
            </w:pPr>
            <w:r w:rsidRPr="00FC2F62">
              <w:rPr>
                <w:sz w:val="26"/>
                <w:szCs w:val="26"/>
              </w:rPr>
              <w:t>65 East State Street, Suite 1000</w:t>
            </w:r>
          </w:p>
          <w:p w:rsidR="00FC2F62" w:rsidRPr="00FC2F62" w:rsidRDefault="00FC2F62" w:rsidP="002273AC">
            <w:pPr>
              <w:rPr>
                <w:sz w:val="26"/>
                <w:szCs w:val="26"/>
              </w:rPr>
            </w:pPr>
            <w:r w:rsidRPr="00FC2F62">
              <w:rPr>
                <w:sz w:val="26"/>
                <w:szCs w:val="26"/>
              </w:rPr>
              <w:t>Columbus, OH  43215</w:t>
            </w:r>
          </w:p>
          <w:p w:rsidR="00FC2F62" w:rsidRPr="00FC2F62" w:rsidRDefault="00C106AC" w:rsidP="002273AC">
            <w:pPr>
              <w:rPr>
                <w:sz w:val="26"/>
                <w:szCs w:val="26"/>
              </w:rPr>
            </w:pPr>
            <w:hyperlink r:id="rId20" w:history="1">
              <w:r w:rsidR="00FC2F62" w:rsidRPr="00FC2F62">
                <w:rPr>
                  <w:rStyle w:val="Hyperlink"/>
                  <w:sz w:val="26"/>
                  <w:szCs w:val="26"/>
                </w:rPr>
                <w:t>myurick@taftlaw.com</w:t>
              </w:r>
            </w:hyperlink>
          </w:p>
          <w:p w:rsidR="00FC2F62" w:rsidRPr="00FC2F62" w:rsidRDefault="00C106AC" w:rsidP="002273AC">
            <w:pPr>
              <w:rPr>
                <w:sz w:val="26"/>
                <w:szCs w:val="26"/>
              </w:rPr>
            </w:pPr>
            <w:hyperlink r:id="rId21" w:history="1">
              <w:r w:rsidR="00FC2F62" w:rsidRPr="00FC2F62">
                <w:rPr>
                  <w:rStyle w:val="Hyperlink"/>
                  <w:sz w:val="26"/>
                  <w:szCs w:val="26"/>
                </w:rPr>
                <w:t>dparram@taftlaw.com</w:t>
              </w:r>
            </w:hyperlink>
          </w:p>
          <w:p w:rsidR="00FC2F62" w:rsidRPr="00FC2F62" w:rsidRDefault="00FC2F62" w:rsidP="002273AC">
            <w:pPr>
              <w:rPr>
                <w:sz w:val="26"/>
                <w:szCs w:val="26"/>
              </w:rPr>
            </w:pPr>
          </w:p>
          <w:p w:rsidR="00977F01" w:rsidRPr="00FC2F62" w:rsidRDefault="00977F01" w:rsidP="00FC2F62">
            <w:pPr>
              <w:ind w:left="720" w:hanging="720"/>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E01" w:rsidRDefault="00A70E01" w:rsidP="008866FC">
      <w:pPr>
        <w:pStyle w:val="Title"/>
      </w:pPr>
      <w:r>
        <w:separator/>
      </w:r>
    </w:p>
  </w:endnote>
  <w:endnote w:type="continuationSeparator" w:id="0">
    <w:p w:rsidR="00A70E01" w:rsidRDefault="00A70E01"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Default="00BF0931" w:rsidP="003B12DD">
    <w:pPr>
      <w:pStyle w:val="Footer"/>
      <w:jc w:val="center"/>
    </w:pPr>
    <w:r>
      <w:rPr>
        <w:rStyle w:val="PageNumber"/>
      </w:rPr>
      <w:fldChar w:fldCharType="begin"/>
    </w:r>
    <w:r w:rsidR="00FB4C8A">
      <w:rPr>
        <w:rStyle w:val="PageNumber"/>
      </w:rPr>
      <w:instrText xml:space="preserve"> PAGE </w:instrText>
    </w:r>
    <w:r>
      <w:rPr>
        <w:rStyle w:val="PageNumber"/>
      </w:rPr>
      <w:fldChar w:fldCharType="separate"/>
    </w:r>
    <w:r w:rsidR="00FB4C8A">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FB4C8A">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C95499" w:rsidRDefault="00BF0931" w:rsidP="00C95499">
    <w:pPr>
      <w:pStyle w:val="Footer"/>
      <w:jc w:val="center"/>
      <w:rPr>
        <w:sz w:val="26"/>
        <w:szCs w:val="26"/>
      </w:rPr>
    </w:pPr>
    <w:r w:rsidRPr="00C95499">
      <w:rPr>
        <w:sz w:val="26"/>
        <w:szCs w:val="26"/>
      </w:rPr>
      <w:fldChar w:fldCharType="begin"/>
    </w:r>
    <w:r w:rsidR="00FB4C8A" w:rsidRPr="00C95499">
      <w:rPr>
        <w:sz w:val="26"/>
        <w:szCs w:val="26"/>
      </w:rPr>
      <w:instrText xml:space="preserve"> PAGE   \* MERGEFORMAT </w:instrText>
    </w:r>
    <w:r w:rsidRPr="00C95499">
      <w:rPr>
        <w:sz w:val="26"/>
        <w:szCs w:val="26"/>
      </w:rPr>
      <w:fldChar w:fldCharType="separate"/>
    </w:r>
    <w:r w:rsidR="00C106AC">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C106AC">
      <w:rPr>
        <w:rStyle w:val="PageNumber"/>
        <w:noProof/>
        <w:sz w:val="24"/>
        <w:szCs w:val="24"/>
      </w:rPr>
      <w:t>10</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C95499" w:rsidRDefault="00FB4C8A"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E01" w:rsidRDefault="00A70E01" w:rsidP="00663D6A">
      <w:pPr>
        <w:pStyle w:val="Title"/>
        <w:jc w:val="left"/>
      </w:pPr>
      <w:r>
        <w:separator/>
      </w:r>
    </w:p>
  </w:footnote>
  <w:footnote w:type="continuationSeparator" w:id="0">
    <w:p w:rsidR="00A70E01" w:rsidRDefault="00A70E01" w:rsidP="008866FC">
      <w:pPr>
        <w:pStyle w:val="Title"/>
      </w:pPr>
      <w:r>
        <w:continuationSeparator/>
      </w:r>
    </w:p>
  </w:footnote>
  <w:footnote w:id="1">
    <w:p w:rsidR="00A97705" w:rsidRPr="00A97705" w:rsidRDefault="00A97705" w:rsidP="00A97705">
      <w:pPr>
        <w:pStyle w:val="FootnoteText"/>
        <w:rPr>
          <w:rFonts w:ascii="Calibri" w:hAnsi="Calibri"/>
          <w:sz w:val="22"/>
          <w:szCs w:val="22"/>
        </w:rPr>
      </w:pPr>
      <w:r>
        <w:rPr>
          <w:rStyle w:val="FootnoteReference"/>
          <w:sz w:val="22"/>
          <w:szCs w:val="22"/>
        </w:rPr>
        <w:footnoteRef/>
      </w:r>
      <w:r>
        <w:rPr>
          <w:sz w:val="22"/>
          <w:szCs w:val="22"/>
        </w:rPr>
        <w:t xml:space="preserve">   </w:t>
      </w:r>
      <w:r>
        <w:rPr>
          <w:sz w:val="22"/>
          <w:szCs w:val="22"/>
        </w:rPr>
        <w:tab/>
      </w:r>
      <w:r>
        <w:rPr>
          <w:sz w:val="22"/>
          <w:szCs w:val="22"/>
        </w:rPr>
        <w:tab/>
        <w:t>In these comments, DIR programs that are proactive in nature or are expected to have a positive impact on reliability will be referred to collectively as “proactive/reliability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C106AC">
      <w:rPr>
        <w:b/>
        <w:noProof/>
        <w:color w:val="FF0000"/>
      </w:rPr>
      <w:t>8/6/2015</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C106AC">
      <w:rPr>
        <w:b/>
        <w:noProof/>
        <w:color w:val="FF0000"/>
      </w:rPr>
      <w:t>1:10:34 PM</w:t>
    </w:r>
    <w:r w:rsidR="00BF0931">
      <w:rPr>
        <w:b/>
        <w:color w:val="FF0000"/>
      </w:rPr>
      <w:fldChar w:fldCharType="end"/>
    </w:r>
  </w:p>
  <w:p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6A0007">
      <w:rPr>
        <w:b/>
        <w:noProof/>
        <w:color w:val="FF0000"/>
      </w:rPr>
      <w:t>\\puc\shares\Departments\Attorney General\Attorneys\Beeler\Commission Cases\Electric\Staff Comments 080615 Final.docx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C106AC">
      <w:rPr>
        <w:b/>
        <w:noProof/>
        <w:color w:val="FF0000"/>
      </w:rPr>
      <w:t>8/6/2015</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C106AC">
      <w:rPr>
        <w:b/>
        <w:noProof/>
        <w:color w:val="FF0000"/>
      </w:rPr>
      <w:t>1:10:34 PM</w:t>
    </w:r>
    <w:r w:rsidR="00BF0931">
      <w:rPr>
        <w:b/>
        <w:color w:val="FF0000"/>
      </w:rPr>
      <w:fldChar w:fldCharType="end"/>
    </w:r>
  </w:p>
  <w:p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6A0007">
      <w:rPr>
        <w:b/>
        <w:noProof/>
        <w:color w:val="FF0000"/>
      </w:rPr>
      <w:t>\\puc\shares\Departments\Attorney General\Attorneys\Beeler\Commission Cases\Electric\Staff Comments 080615 Final.docx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Default="00FB4C8A" w:rsidP="003B12DD">
    <w:pPr>
      <w:pStyle w:val="Header"/>
      <w:jc w:val="center"/>
      <w:rPr>
        <w:b/>
        <w:sz w:val="28"/>
        <w:szCs w:val="28"/>
      </w:rPr>
    </w:pPr>
    <w:r>
      <w:rPr>
        <w:b/>
        <w:sz w:val="28"/>
        <w:szCs w:val="28"/>
      </w:rPr>
      <w:t>TABLE OF CONTENTS</w:t>
    </w:r>
  </w:p>
  <w:p w:rsidR="00FB4C8A" w:rsidRDefault="00FB4C8A" w:rsidP="00C95499">
    <w:pPr>
      <w:pStyle w:val="Header"/>
      <w:jc w:val="right"/>
      <w:rPr>
        <w:b/>
        <w:sz w:val="28"/>
        <w:szCs w:val="28"/>
      </w:rPr>
    </w:pPr>
    <w:r>
      <w:rPr>
        <w:b/>
        <w:sz w:val="28"/>
        <w:szCs w:val="28"/>
      </w:rPr>
      <w:t>Page</w:t>
    </w:r>
  </w:p>
  <w:p w:rsidR="00FB4C8A" w:rsidRPr="00C95499" w:rsidRDefault="00FB4C8A"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8D59C6" w:rsidRDefault="00FB4C8A" w:rsidP="008D59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8D59C6" w:rsidRDefault="00FB4C8A" w:rsidP="008D5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A93E12"/>
    <w:multiLevelType w:val="hybridMultilevel"/>
    <w:tmpl w:val="F2E25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A24516"/>
    <w:multiLevelType w:val="hybridMultilevel"/>
    <w:tmpl w:val="3974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5"/>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8DF"/>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C55"/>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2ED1"/>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007"/>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1B4E"/>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9C6"/>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36"/>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D50"/>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1"/>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97705"/>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7A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10"/>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6A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6C6"/>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6F78"/>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1D9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1F9C"/>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62"/>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584F437-17AF-4F0C-B0E7-B1827635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A97705"/>
    <w:pPr>
      <w:spacing w:line="480" w:lineRule="auto"/>
    </w:pPr>
    <w:rPr>
      <w:sz w:val="26"/>
      <w:szCs w:val="24"/>
    </w:rPr>
  </w:style>
  <w:style w:type="character" w:customStyle="1" w:styleId="textstyleChar">
    <w:name w:val="text style Char"/>
    <w:link w:val="textstyle0"/>
    <w:rsid w:val="00A97705"/>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ListParagraph">
    <w:name w:val="List Paragraph"/>
    <w:basedOn w:val="Normal"/>
    <w:uiPriority w:val="34"/>
    <w:qFormat/>
    <w:rsid w:val="00A97705"/>
    <w:pPr>
      <w:spacing w:after="160" w:line="256" w:lineRule="auto"/>
      <w:ind w:left="720"/>
      <w:contextualSpacing/>
    </w:pPr>
    <w:rPr>
      <w:rFonts w:ascii="Calibri" w:eastAsia="Calibri" w:hAnsi="Calibri"/>
      <w:sz w:val="22"/>
      <w:szCs w:val="22"/>
    </w:rPr>
  </w:style>
  <w:style w:type="paragraph" w:styleId="NoSpacing">
    <w:name w:val="No Spacing"/>
    <w:uiPriority w:val="1"/>
    <w:qFormat/>
    <w:rsid w:val="00A9770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2489">
      <w:bodyDiv w:val="1"/>
      <w:marLeft w:val="0"/>
      <w:marRight w:val="0"/>
      <w:marTop w:val="0"/>
      <w:marBottom w:val="0"/>
      <w:divBdr>
        <w:top w:val="none" w:sz="0" w:space="0" w:color="auto"/>
        <w:left w:val="none" w:sz="0" w:space="0" w:color="auto"/>
        <w:bottom w:val="none" w:sz="0" w:space="0" w:color="auto"/>
        <w:right w:val="none" w:sz="0" w:space="0" w:color="auto"/>
      </w:divBdr>
    </w:div>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5603">
      <w:bodyDiv w:val="1"/>
      <w:marLeft w:val="0"/>
      <w:marRight w:val="0"/>
      <w:marTop w:val="0"/>
      <w:marBottom w:val="0"/>
      <w:divBdr>
        <w:top w:val="none" w:sz="0" w:space="0" w:color="auto"/>
        <w:left w:val="none" w:sz="0" w:space="0" w:color="auto"/>
        <w:bottom w:val="none" w:sz="0" w:space="0" w:color="auto"/>
        <w:right w:val="none" w:sz="0" w:space="0" w:color="auto"/>
      </w:divBdr>
    </w:div>
    <w:div w:id="602810665">
      <w:bodyDiv w:val="1"/>
      <w:marLeft w:val="0"/>
      <w:marRight w:val="0"/>
      <w:marTop w:val="0"/>
      <w:marBottom w:val="0"/>
      <w:divBdr>
        <w:top w:val="none" w:sz="0" w:space="0" w:color="auto"/>
        <w:left w:val="none" w:sz="0" w:space="0" w:color="auto"/>
        <w:bottom w:val="none" w:sz="0" w:space="0" w:color="auto"/>
        <w:right w:val="none" w:sz="0" w:space="0" w:color="auto"/>
      </w:divBdr>
    </w:div>
    <w:div w:id="639579053">
      <w:bodyDiv w:val="1"/>
      <w:marLeft w:val="0"/>
      <w:marRight w:val="0"/>
      <w:marTop w:val="0"/>
      <w:marBottom w:val="0"/>
      <w:divBdr>
        <w:top w:val="none" w:sz="0" w:space="0" w:color="auto"/>
        <w:left w:val="none" w:sz="0" w:space="0" w:color="auto"/>
        <w:bottom w:val="none" w:sz="0" w:space="0" w:color="auto"/>
        <w:right w:val="none" w:sz="0" w:space="0" w:color="auto"/>
      </w:divBdr>
    </w:div>
    <w:div w:id="738021117">
      <w:bodyDiv w:val="1"/>
      <w:marLeft w:val="0"/>
      <w:marRight w:val="0"/>
      <w:marTop w:val="0"/>
      <w:marBottom w:val="0"/>
      <w:divBdr>
        <w:top w:val="none" w:sz="0" w:space="0" w:color="auto"/>
        <w:left w:val="none" w:sz="0" w:space="0" w:color="auto"/>
        <w:bottom w:val="none" w:sz="0" w:space="0" w:color="auto"/>
        <w:right w:val="none" w:sz="0" w:space="0" w:color="auto"/>
      </w:divBdr>
    </w:div>
    <w:div w:id="1605190998">
      <w:bodyDiv w:val="1"/>
      <w:marLeft w:val="0"/>
      <w:marRight w:val="0"/>
      <w:marTop w:val="0"/>
      <w:marBottom w:val="0"/>
      <w:divBdr>
        <w:top w:val="none" w:sz="0" w:space="0" w:color="auto"/>
        <w:left w:val="none" w:sz="0" w:space="0" w:color="auto"/>
        <w:bottom w:val="none" w:sz="0" w:space="0" w:color="auto"/>
        <w:right w:val="none" w:sz="0" w:space="0" w:color="auto"/>
      </w:divBdr>
    </w:div>
    <w:div w:id="1630549559">
      <w:bodyDiv w:val="1"/>
      <w:marLeft w:val="0"/>
      <w:marRight w:val="0"/>
      <w:marTop w:val="0"/>
      <w:marBottom w:val="0"/>
      <w:divBdr>
        <w:top w:val="none" w:sz="0" w:space="0" w:color="auto"/>
        <w:left w:val="none" w:sz="0" w:space="0" w:color="auto"/>
        <w:bottom w:val="none" w:sz="0" w:space="0" w:color="auto"/>
        <w:right w:val="none" w:sz="0" w:space="0" w:color="auto"/>
      </w:divBdr>
    </w:div>
    <w:div w:id="1675843714">
      <w:bodyDiv w:val="1"/>
      <w:marLeft w:val="0"/>
      <w:marRight w:val="0"/>
      <w:marTop w:val="0"/>
      <w:marBottom w:val="0"/>
      <w:divBdr>
        <w:top w:val="none" w:sz="0" w:space="0" w:color="auto"/>
        <w:left w:val="none" w:sz="0" w:space="0" w:color="auto"/>
        <w:bottom w:val="none" w:sz="0" w:space="0" w:color="auto"/>
        <w:right w:val="none" w:sz="0" w:space="0" w:color="auto"/>
      </w:divBdr>
    </w:div>
    <w:div w:id="18510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n.beeler@puc.state.oh.us" TargetMode="External"/><Relationship Id="rId13" Type="http://schemas.openxmlformats.org/officeDocument/2006/relationships/header" Target="header3.xml"/><Relationship Id="rId18" Type="http://schemas.openxmlformats.org/officeDocument/2006/relationships/hyperlink" Target="mailto:jodi.bair@occ.ohio.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parram@taftlaw.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tnourse@aep.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steven.beeler@puc.state.oh.us" TargetMode="External"/><Relationship Id="rId20" Type="http://schemas.openxmlformats.org/officeDocument/2006/relationships/hyperlink" Target="mailto:myurick@taftla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joseph.serio@occ.ohio.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BF8A-9953-4CC1-8E67-7A556236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10</TotalTime>
  <Pages>13</Pages>
  <Words>1895</Words>
  <Characters>11960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13828</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7</cp:revision>
  <cp:lastPrinted>2015-08-06T17:09:00Z</cp:lastPrinted>
  <dcterms:created xsi:type="dcterms:W3CDTF">2015-08-06T17:06:00Z</dcterms:created>
  <dcterms:modified xsi:type="dcterms:W3CDTF">2015-08-06T17:16:00Z</dcterms:modified>
</cp:coreProperties>
</file>