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D2B6" w14:textId="77777777" w:rsidR="00545F29" w:rsidRPr="009D71F6" w:rsidRDefault="0056270F">
      <w:pPr>
        <w:pStyle w:val="Title"/>
        <w:widowControl w:val="0"/>
        <w:rPr>
          <w:rFonts w:ascii="Arial" w:hAnsi="Arial" w:cs="Arial"/>
          <w:szCs w:val="24"/>
        </w:rPr>
      </w:pPr>
      <w:bookmarkStart w:id="0" w:name="_GoBack"/>
      <w:bookmarkEnd w:id="0"/>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9D6BC1" w:rsidRPr="009D71F6" w14:paraId="7176D2C6" w14:textId="77777777">
        <w:trPr>
          <w:trHeight w:val="873"/>
          <w:jc w:val="center"/>
        </w:trPr>
        <w:tc>
          <w:tcPr>
            <w:tcW w:w="4739" w:type="dxa"/>
          </w:tcPr>
          <w:p w14:paraId="7176D2BB" w14:textId="111CB4CA" w:rsidR="009D6BC1" w:rsidRPr="009D71F6" w:rsidRDefault="009D6BC1" w:rsidP="00EB67DF">
            <w:pPr>
              <w:widowControl w:val="0"/>
              <w:spacing w:after="0" w:line="240" w:lineRule="auto"/>
              <w:jc w:val="both"/>
              <w:rPr>
                <w:rFonts w:ascii="Arial" w:hAnsi="Arial" w:cs="Arial"/>
                <w:sz w:val="24"/>
                <w:szCs w:val="24"/>
              </w:rPr>
            </w:pPr>
            <w:r w:rsidRPr="003D01DA">
              <w:rPr>
                <w:rFonts w:ascii="Arial" w:hAnsi="Arial" w:cs="Arial"/>
                <w:sz w:val="24"/>
                <w:szCs w:val="24"/>
              </w:rPr>
              <w:t>In th</w:t>
            </w:r>
            <w:r>
              <w:rPr>
                <w:rFonts w:ascii="Arial" w:hAnsi="Arial" w:cs="Arial"/>
                <w:sz w:val="24"/>
                <w:szCs w:val="24"/>
              </w:rPr>
              <w:t xml:space="preserve">e Matter of Application of Duke </w:t>
            </w:r>
            <w:r w:rsidRPr="003D01DA">
              <w:rPr>
                <w:rFonts w:ascii="Arial" w:hAnsi="Arial" w:cs="Arial"/>
                <w:sz w:val="24"/>
                <w:szCs w:val="24"/>
              </w:rPr>
              <w:t>Ene</w:t>
            </w:r>
            <w:r>
              <w:rPr>
                <w:rFonts w:ascii="Arial" w:hAnsi="Arial" w:cs="Arial"/>
                <w:sz w:val="24"/>
                <w:szCs w:val="24"/>
              </w:rPr>
              <w:t>rgy Ohio, Inc. to File for Tariff Approval</w:t>
            </w:r>
          </w:p>
        </w:tc>
        <w:tc>
          <w:tcPr>
            <w:tcW w:w="630" w:type="dxa"/>
          </w:tcPr>
          <w:p w14:paraId="49D5D543" w14:textId="77777777" w:rsidR="009D6BC1" w:rsidRPr="009D71F6" w:rsidRDefault="009D6BC1" w:rsidP="00680E38">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B634A47" w14:textId="77777777" w:rsidR="009D6BC1" w:rsidRPr="009D71F6" w:rsidRDefault="009D6BC1" w:rsidP="00680E38">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B253E97" w14:textId="77777777" w:rsidR="009D6BC1" w:rsidRPr="009D71F6" w:rsidRDefault="009D6BC1" w:rsidP="00680E38">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C0" w14:textId="138E682C" w:rsidR="009D6BC1" w:rsidRPr="009D71F6" w:rsidRDefault="009D6BC1" w:rsidP="00357C8B">
            <w:pPr>
              <w:widowControl w:val="0"/>
              <w:spacing w:after="0" w:line="240" w:lineRule="auto"/>
              <w:jc w:val="center"/>
              <w:rPr>
                <w:rFonts w:ascii="Arial" w:hAnsi="Arial" w:cs="Arial"/>
                <w:sz w:val="24"/>
                <w:szCs w:val="24"/>
              </w:rPr>
            </w:pPr>
          </w:p>
        </w:tc>
        <w:tc>
          <w:tcPr>
            <w:tcW w:w="3928" w:type="dxa"/>
          </w:tcPr>
          <w:p w14:paraId="4A58D349" w14:textId="77777777" w:rsidR="009D6BC1" w:rsidRPr="009D71F6" w:rsidRDefault="009D6BC1" w:rsidP="00680E38">
            <w:pPr>
              <w:widowControl w:val="0"/>
              <w:spacing w:after="0" w:line="240" w:lineRule="auto"/>
              <w:rPr>
                <w:rFonts w:ascii="Arial" w:hAnsi="Arial" w:cs="Arial"/>
                <w:sz w:val="24"/>
                <w:szCs w:val="24"/>
              </w:rPr>
            </w:pPr>
          </w:p>
          <w:p w14:paraId="4CAE8058" w14:textId="0384177D" w:rsidR="009D6BC1" w:rsidRPr="009D71F6" w:rsidRDefault="0063518D" w:rsidP="00680E38">
            <w:pPr>
              <w:widowControl w:val="0"/>
              <w:spacing w:after="0" w:line="240" w:lineRule="auto"/>
              <w:rPr>
                <w:rFonts w:ascii="Arial" w:hAnsi="Arial" w:cs="Arial"/>
                <w:sz w:val="24"/>
                <w:szCs w:val="24"/>
              </w:rPr>
            </w:pPr>
            <w:r>
              <w:rPr>
                <w:rFonts w:ascii="Arial" w:hAnsi="Arial" w:cs="Arial"/>
                <w:sz w:val="24"/>
                <w:szCs w:val="24"/>
              </w:rPr>
              <w:t>Case No. 14-2209-EL-ATA</w:t>
            </w:r>
          </w:p>
          <w:p w14:paraId="5D7E8E3A" w14:textId="63C2F340" w:rsidR="009D6BC1" w:rsidRPr="009D71F6" w:rsidRDefault="009D6BC1" w:rsidP="00680E38">
            <w:pPr>
              <w:widowControl w:val="0"/>
              <w:spacing w:after="0" w:line="240" w:lineRule="auto"/>
              <w:rPr>
                <w:rFonts w:ascii="Arial" w:hAnsi="Arial" w:cs="Arial"/>
                <w:sz w:val="24"/>
                <w:szCs w:val="24"/>
              </w:rPr>
            </w:pPr>
          </w:p>
          <w:p w14:paraId="7176D2C5" w14:textId="350A9796" w:rsidR="009D6BC1" w:rsidRPr="009D71F6" w:rsidRDefault="009D6BC1">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0BD018D9" w14:textId="77777777" w:rsidR="009D6BC1" w:rsidRDefault="009D6BC1">
      <w:pPr>
        <w:widowControl w:val="0"/>
        <w:spacing w:after="0" w:line="240" w:lineRule="auto"/>
        <w:jc w:val="center"/>
        <w:rPr>
          <w:rFonts w:ascii="Arial" w:hAnsi="Arial" w:cs="Arial"/>
          <w:b/>
          <w:bCs/>
          <w:sz w:val="24"/>
          <w:szCs w:val="24"/>
        </w:rPr>
      </w:pPr>
    </w:p>
    <w:p w14:paraId="7176D2CA" w14:textId="5A24AF7B" w:rsidR="00545F29" w:rsidRPr="009D71F6" w:rsidRDefault="007032CD">
      <w:pPr>
        <w:widowControl w:val="0"/>
        <w:spacing w:after="0" w:line="240" w:lineRule="auto"/>
        <w:jc w:val="center"/>
        <w:rPr>
          <w:rFonts w:ascii="Arial" w:hAnsi="Arial" w:cs="Arial"/>
          <w:b/>
          <w:bCs/>
          <w:sz w:val="24"/>
          <w:szCs w:val="24"/>
        </w:rPr>
      </w:pPr>
      <w:r>
        <w:rPr>
          <w:rFonts w:ascii="Arial" w:hAnsi="Arial" w:cs="Arial"/>
          <w:b/>
          <w:bCs/>
          <w:sz w:val="24"/>
          <w:szCs w:val="24"/>
        </w:rPr>
        <w:t>COMMENTS</w:t>
      </w:r>
      <w:r w:rsidR="00AA75B4">
        <w:rPr>
          <w:rFonts w:ascii="Arial" w:hAnsi="Arial" w:cs="Arial"/>
          <w:b/>
          <w:bCs/>
          <w:sz w:val="24"/>
          <w:szCs w:val="24"/>
        </w:rPr>
        <w:t xml:space="preserve"> OF IGS ENERGY</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7B7509FE"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w:t>
      </w:r>
    </w:p>
    <w:p w14:paraId="47F2F7F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Counsel of Record</w:t>
      </w:r>
    </w:p>
    <w:p w14:paraId="1E783C5D" w14:textId="3A73F714" w:rsidR="0058767D" w:rsidRDefault="0058767D" w:rsidP="00237730">
      <w:pPr>
        <w:spacing w:after="0" w:line="240" w:lineRule="auto"/>
        <w:ind w:left="5040"/>
        <w:rPr>
          <w:rFonts w:ascii="Arial" w:hAnsi="Arial" w:cs="Arial"/>
          <w:sz w:val="24"/>
          <w:szCs w:val="24"/>
        </w:rPr>
      </w:pPr>
      <w:r w:rsidRPr="0058767D">
        <w:rPr>
          <w:rFonts w:ascii="Arial" w:hAnsi="Arial" w:cs="Arial"/>
          <w:sz w:val="24"/>
          <w:szCs w:val="24"/>
        </w:rPr>
        <w:t>joliker@igsenergy.com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4C5B22C0" w:rsidR="00237730" w:rsidRDefault="00553D21"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34A4F2A5" w14:textId="77777777" w:rsidR="00EB67DF" w:rsidRDefault="00EB67DF" w:rsidP="00D13280">
      <w:pPr>
        <w:spacing w:after="0" w:line="240" w:lineRule="auto"/>
        <w:rPr>
          <w:rFonts w:ascii="Arial" w:hAnsi="Arial" w:cs="Arial"/>
          <w:b/>
          <w:sz w:val="24"/>
          <w:szCs w:val="24"/>
        </w:rPr>
      </w:pPr>
    </w:p>
    <w:p w14:paraId="36FD7C48" w14:textId="77777777" w:rsidR="00EB67DF" w:rsidRDefault="00EB67DF" w:rsidP="00D13280">
      <w:pPr>
        <w:spacing w:after="0" w:line="240" w:lineRule="auto"/>
        <w:rPr>
          <w:rFonts w:ascii="Arial" w:hAnsi="Arial" w:cs="Arial"/>
          <w:b/>
          <w:sz w:val="24"/>
          <w:szCs w:val="24"/>
        </w:rPr>
      </w:pPr>
    </w:p>
    <w:p w14:paraId="3595B5EA" w14:textId="77777777" w:rsidR="00EB67DF" w:rsidRDefault="00EB67DF" w:rsidP="00D13280">
      <w:pPr>
        <w:spacing w:after="0" w:line="240" w:lineRule="auto"/>
        <w:rPr>
          <w:rFonts w:ascii="Arial" w:hAnsi="Arial" w:cs="Arial"/>
          <w:b/>
          <w:sz w:val="24"/>
          <w:szCs w:val="24"/>
        </w:rPr>
      </w:pPr>
    </w:p>
    <w:p w14:paraId="4B70B117" w14:textId="77777777" w:rsidR="00EB67DF" w:rsidRDefault="00EB67DF" w:rsidP="00D13280">
      <w:pPr>
        <w:spacing w:after="0" w:line="240" w:lineRule="auto"/>
        <w:rPr>
          <w:rFonts w:ascii="Arial" w:hAnsi="Arial" w:cs="Arial"/>
          <w:b/>
          <w:sz w:val="24"/>
          <w:szCs w:val="24"/>
        </w:rPr>
      </w:pPr>
    </w:p>
    <w:p w14:paraId="3D46AC74" w14:textId="77777777" w:rsidR="00EB67DF" w:rsidRDefault="00EB67DF" w:rsidP="00D13280">
      <w:pPr>
        <w:spacing w:after="0" w:line="240" w:lineRule="auto"/>
        <w:rPr>
          <w:rFonts w:ascii="Arial" w:hAnsi="Arial" w:cs="Arial"/>
          <w:b/>
          <w:sz w:val="24"/>
          <w:szCs w:val="24"/>
        </w:rPr>
      </w:pPr>
    </w:p>
    <w:p w14:paraId="5B52A399" w14:textId="77777777" w:rsidR="00EB67DF" w:rsidRDefault="00EB67DF" w:rsidP="00D13280">
      <w:pPr>
        <w:spacing w:after="0" w:line="240" w:lineRule="auto"/>
        <w:rPr>
          <w:rFonts w:ascii="Arial" w:hAnsi="Arial" w:cs="Arial"/>
          <w:b/>
          <w:sz w:val="24"/>
          <w:szCs w:val="24"/>
        </w:rPr>
      </w:pPr>
    </w:p>
    <w:p w14:paraId="0C5B0D09" w14:textId="77777777" w:rsidR="00EB67DF" w:rsidRDefault="00EB67DF" w:rsidP="00D13280">
      <w:pPr>
        <w:spacing w:after="0" w:line="240" w:lineRule="auto"/>
        <w:rPr>
          <w:rFonts w:ascii="Arial" w:hAnsi="Arial" w:cs="Arial"/>
          <w:b/>
          <w:sz w:val="24"/>
          <w:szCs w:val="24"/>
        </w:rPr>
      </w:pPr>
    </w:p>
    <w:p w14:paraId="1C0FCDB1" w14:textId="77777777" w:rsidR="00EB67DF" w:rsidRDefault="00EB67DF" w:rsidP="00D13280">
      <w:pPr>
        <w:spacing w:after="0" w:line="240" w:lineRule="auto"/>
        <w:rPr>
          <w:rFonts w:ascii="Arial" w:hAnsi="Arial" w:cs="Arial"/>
          <w:b/>
          <w:sz w:val="24"/>
          <w:szCs w:val="24"/>
        </w:rPr>
      </w:pPr>
    </w:p>
    <w:p w14:paraId="2552B45A" w14:textId="77777777" w:rsidR="00EB67DF" w:rsidRDefault="00EB67DF" w:rsidP="00D13280">
      <w:pPr>
        <w:spacing w:after="0" w:line="240" w:lineRule="auto"/>
        <w:rPr>
          <w:rFonts w:ascii="Arial" w:hAnsi="Arial" w:cs="Arial"/>
          <w:b/>
          <w:sz w:val="24"/>
          <w:szCs w:val="24"/>
        </w:rPr>
      </w:pPr>
    </w:p>
    <w:p w14:paraId="70DDAB3F" w14:textId="77777777" w:rsidR="00EB67DF" w:rsidRDefault="00EB67DF" w:rsidP="00D13280">
      <w:pPr>
        <w:spacing w:after="0" w:line="240" w:lineRule="auto"/>
        <w:rPr>
          <w:rFonts w:ascii="Arial" w:hAnsi="Arial" w:cs="Arial"/>
          <w:b/>
          <w:sz w:val="24"/>
          <w:szCs w:val="24"/>
        </w:rPr>
      </w:pPr>
    </w:p>
    <w:p w14:paraId="02FF85D4" w14:textId="77777777" w:rsidR="00EB67DF" w:rsidRDefault="00EB67DF" w:rsidP="00D13280">
      <w:pPr>
        <w:spacing w:after="0" w:line="240" w:lineRule="auto"/>
        <w:rPr>
          <w:rFonts w:ascii="Arial" w:hAnsi="Arial" w:cs="Arial"/>
          <w:b/>
          <w:sz w:val="24"/>
          <w:szCs w:val="24"/>
        </w:rPr>
      </w:pPr>
    </w:p>
    <w:p w14:paraId="65447692" w14:textId="541D2511" w:rsidR="00357C8B" w:rsidRPr="00EB67DF" w:rsidRDefault="00281021" w:rsidP="00EB67DF">
      <w:pPr>
        <w:spacing w:after="0" w:line="240" w:lineRule="auto"/>
        <w:rPr>
          <w:rFonts w:ascii="Arial" w:hAnsi="Arial" w:cs="Arial"/>
          <w:b/>
          <w:sz w:val="24"/>
          <w:szCs w:val="24"/>
        </w:rPr>
      </w:pPr>
      <w:r>
        <w:rPr>
          <w:rFonts w:ascii="Arial" w:hAnsi="Arial" w:cs="Arial"/>
          <w:b/>
          <w:sz w:val="24"/>
          <w:szCs w:val="24"/>
        </w:rPr>
        <w:t>March 6</w:t>
      </w:r>
      <w:r w:rsidR="000A0F85">
        <w:rPr>
          <w:rFonts w:ascii="Arial" w:hAnsi="Arial" w:cs="Arial"/>
          <w:b/>
          <w:sz w:val="24"/>
          <w:szCs w:val="24"/>
        </w:rPr>
        <w:t>, 2015</w:t>
      </w:r>
    </w:p>
    <w:p w14:paraId="5B23343D" w14:textId="77777777" w:rsidR="009D6BC1" w:rsidRDefault="009D6BC1" w:rsidP="0082224E">
      <w:pPr>
        <w:autoSpaceDE w:val="0"/>
        <w:autoSpaceDN w:val="0"/>
        <w:adjustRightInd w:val="0"/>
        <w:spacing w:after="120" w:line="480" w:lineRule="auto"/>
        <w:ind w:firstLine="720"/>
        <w:jc w:val="both"/>
        <w:rPr>
          <w:rFonts w:ascii="Arial" w:hAnsi="Arial" w:cs="Arial"/>
          <w:sz w:val="24"/>
          <w:szCs w:val="24"/>
        </w:rPr>
      </w:pPr>
    </w:p>
    <w:p w14:paraId="3DBD1982" w14:textId="44FD47F6" w:rsidR="009D6BC1" w:rsidRDefault="009D6BC1" w:rsidP="009D6BC1">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INTRODUCTION</w:t>
      </w:r>
    </w:p>
    <w:p w14:paraId="03FB9DEE" w14:textId="77777777" w:rsidR="003D7D23" w:rsidRDefault="00D17D42" w:rsidP="00D17D4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March 26, 2014, the Public Utilities Commission of Ohio (“Commission”) issued a Finding and Order and policy statement in </w:t>
      </w:r>
      <w:r w:rsidR="004821D0">
        <w:rPr>
          <w:rFonts w:ascii="Arial" w:hAnsi="Arial" w:cs="Arial"/>
          <w:sz w:val="24"/>
          <w:szCs w:val="24"/>
        </w:rPr>
        <w:t>support of reforming utility practices to enable</w:t>
      </w:r>
      <w:r>
        <w:rPr>
          <w:rFonts w:ascii="Arial" w:hAnsi="Arial" w:cs="Arial"/>
          <w:sz w:val="24"/>
          <w:szCs w:val="24"/>
        </w:rPr>
        <w:t xml:space="preserve"> the competitive market to provide customers time-of-use products and services</w:t>
      </w:r>
      <w:r w:rsidR="004821D0">
        <w:rPr>
          <w:rFonts w:ascii="Arial" w:hAnsi="Arial" w:cs="Arial"/>
          <w:sz w:val="24"/>
          <w:szCs w:val="24"/>
        </w:rPr>
        <w:t xml:space="preserve"> that promote efficient energy usage</w:t>
      </w:r>
      <w:r>
        <w:rPr>
          <w:rFonts w:ascii="Arial" w:hAnsi="Arial" w:cs="Arial"/>
          <w:sz w:val="24"/>
          <w:szCs w:val="24"/>
        </w:rPr>
        <w:t>.</w:t>
      </w:r>
      <w:r w:rsidR="003D7D23">
        <w:rPr>
          <w:rStyle w:val="FootnoteReference"/>
          <w:rFonts w:ascii="Arial" w:hAnsi="Arial" w:cs="Arial"/>
          <w:sz w:val="24"/>
          <w:szCs w:val="24"/>
        </w:rPr>
        <w:footnoteReference w:id="1"/>
      </w:r>
      <w:r>
        <w:rPr>
          <w:rFonts w:ascii="Arial" w:hAnsi="Arial" w:cs="Arial"/>
          <w:sz w:val="24"/>
          <w:szCs w:val="24"/>
        </w:rPr>
        <w:t xml:space="preserve">  To that end, the Commission directed all electric distribution utilities to file a tariff specifying terms and conditions for the transfer of interval data, as well as proposed formulas for calculating customers’ individual network service </w:t>
      </w:r>
      <w:r w:rsidRPr="00D17D42">
        <w:rPr>
          <w:rFonts w:ascii="Arial" w:hAnsi="Arial" w:cs="Arial"/>
          <w:sz w:val="24"/>
          <w:szCs w:val="24"/>
        </w:rPr>
        <w:t>peak load</w:t>
      </w:r>
      <w:r>
        <w:rPr>
          <w:rFonts w:ascii="Arial" w:hAnsi="Arial" w:cs="Arial"/>
          <w:sz w:val="24"/>
          <w:szCs w:val="24"/>
        </w:rPr>
        <w:t xml:space="preserve"> (“NSPL”)</w:t>
      </w:r>
      <w:r w:rsidRPr="00D17D42">
        <w:rPr>
          <w:rFonts w:ascii="Arial" w:hAnsi="Arial" w:cs="Arial"/>
          <w:sz w:val="24"/>
          <w:szCs w:val="24"/>
        </w:rPr>
        <w:t xml:space="preserve"> and peak load c</w:t>
      </w:r>
      <w:r>
        <w:rPr>
          <w:rFonts w:ascii="Arial" w:hAnsi="Arial" w:cs="Arial"/>
          <w:sz w:val="24"/>
          <w:szCs w:val="24"/>
        </w:rPr>
        <w:t>ontribution (“PLCs”).</w:t>
      </w:r>
      <w:r w:rsidR="003D7D23">
        <w:rPr>
          <w:rStyle w:val="FootnoteReference"/>
          <w:rFonts w:ascii="Arial" w:hAnsi="Arial" w:cs="Arial"/>
          <w:sz w:val="24"/>
          <w:szCs w:val="24"/>
        </w:rPr>
        <w:footnoteReference w:id="2"/>
      </w:r>
      <w:r w:rsidR="004821D0">
        <w:rPr>
          <w:rFonts w:ascii="Arial" w:hAnsi="Arial" w:cs="Arial"/>
          <w:sz w:val="24"/>
          <w:szCs w:val="24"/>
        </w:rPr>
        <w:t xml:space="preserve">  This proceeding relates to Duke Energy Ohio’</w:t>
      </w:r>
      <w:r w:rsidR="003D7D23">
        <w:rPr>
          <w:rFonts w:ascii="Arial" w:hAnsi="Arial" w:cs="Arial"/>
          <w:sz w:val="24"/>
          <w:szCs w:val="24"/>
        </w:rPr>
        <w:t>s recent filing, which does not comport</w:t>
      </w:r>
      <w:r w:rsidR="004821D0">
        <w:rPr>
          <w:rFonts w:ascii="Arial" w:hAnsi="Arial" w:cs="Arial"/>
          <w:sz w:val="24"/>
          <w:szCs w:val="24"/>
        </w:rPr>
        <w:t xml:space="preserve"> with the Commission’s directive.</w:t>
      </w:r>
    </w:p>
    <w:p w14:paraId="073157F2" w14:textId="5F4F6E37" w:rsidR="009D6BC1" w:rsidRDefault="003D7D23" w:rsidP="00CD710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its required tariff filing, Duke has attempted to kick the can further down the road, stating, “[</w:t>
      </w:r>
      <w:r w:rsidRPr="003D7D23">
        <w:rPr>
          <w:rFonts w:ascii="Arial" w:hAnsi="Arial" w:cs="Arial"/>
          <w:sz w:val="24"/>
          <w:szCs w:val="24"/>
        </w:rPr>
        <w:t>m]</w:t>
      </w:r>
      <w:proofErr w:type="spellStart"/>
      <w:r w:rsidRPr="003D7D23">
        <w:rPr>
          <w:rFonts w:ascii="Arial" w:hAnsi="Arial" w:cs="Arial"/>
          <w:sz w:val="24"/>
          <w:szCs w:val="24"/>
        </w:rPr>
        <w:t>atters</w:t>
      </w:r>
      <w:proofErr w:type="spellEnd"/>
      <w:r w:rsidRPr="003D7D23">
        <w:rPr>
          <w:rFonts w:ascii="Arial" w:hAnsi="Arial" w:cs="Arial"/>
          <w:sz w:val="24"/>
          <w:szCs w:val="24"/>
        </w:rPr>
        <w:t xml:space="preserve"> related to providing granular residential interval CEUD to CRES providers will require significant investment and will require addi</w:t>
      </w:r>
      <w:r>
        <w:rPr>
          <w:rFonts w:ascii="Arial" w:hAnsi="Arial" w:cs="Arial"/>
          <w:sz w:val="24"/>
          <w:szCs w:val="24"/>
        </w:rPr>
        <w:t>tional stakeholder development . . . .”</w:t>
      </w:r>
      <w:r w:rsidR="00850567">
        <w:rPr>
          <w:rStyle w:val="FootnoteReference"/>
          <w:rFonts w:ascii="Arial" w:hAnsi="Arial" w:cs="Arial"/>
          <w:sz w:val="24"/>
          <w:szCs w:val="24"/>
        </w:rPr>
        <w:footnoteReference w:id="3"/>
      </w:r>
      <w:r>
        <w:rPr>
          <w:rFonts w:ascii="Arial" w:hAnsi="Arial" w:cs="Arial"/>
          <w:sz w:val="24"/>
          <w:szCs w:val="24"/>
        </w:rPr>
        <w:t xml:space="preserve">  </w:t>
      </w:r>
      <w:r w:rsidR="0059264C">
        <w:rPr>
          <w:rFonts w:ascii="Arial" w:hAnsi="Arial" w:cs="Arial"/>
          <w:sz w:val="24"/>
          <w:szCs w:val="24"/>
        </w:rPr>
        <w:t>The Commission should decline Duke’s request.</w:t>
      </w:r>
      <w:r w:rsidR="00CD710C">
        <w:rPr>
          <w:rFonts w:ascii="Arial" w:hAnsi="Arial" w:cs="Arial"/>
          <w:sz w:val="24"/>
          <w:szCs w:val="24"/>
        </w:rPr>
        <w:t xml:space="preserve">  </w:t>
      </w:r>
      <w:r w:rsidR="004821D0">
        <w:rPr>
          <w:rFonts w:ascii="Arial" w:hAnsi="Arial" w:cs="Arial"/>
          <w:sz w:val="24"/>
          <w:szCs w:val="24"/>
        </w:rPr>
        <w:t>E</w:t>
      </w:r>
      <w:r w:rsidR="009D6BC1">
        <w:rPr>
          <w:rFonts w:ascii="Arial" w:hAnsi="Arial" w:cs="Arial"/>
          <w:sz w:val="24"/>
          <w:szCs w:val="24"/>
        </w:rPr>
        <w:t>very customer in D</w:t>
      </w:r>
      <w:r w:rsidR="004821D0">
        <w:rPr>
          <w:rFonts w:ascii="Arial" w:hAnsi="Arial" w:cs="Arial"/>
          <w:sz w:val="24"/>
          <w:szCs w:val="24"/>
        </w:rPr>
        <w:t>uke’s</w:t>
      </w:r>
      <w:r w:rsidR="009D6BC1">
        <w:rPr>
          <w:rFonts w:ascii="Arial" w:hAnsi="Arial" w:cs="Arial"/>
          <w:sz w:val="24"/>
          <w:szCs w:val="24"/>
        </w:rPr>
        <w:t xml:space="preserve"> service territory has a smart meter</w:t>
      </w:r>
      <w:r w:rsidR="004821D0">
        <w:rPr>
          <w:rFonts w:ascii="Arial" w:hAnsi="Arial" w:cs="Arial"/>
          <w:sz w:val="24"/>
          <w:szCs w:val="24"/>
        </w:rPr>
        <w:t>.</w:t>
      </w:r>
      <w:r w:rsidR="009D6BC1">
        <w:rPr>
          <w:rFonts w:ascii="Arial" w:hAnsi="Arial" w:cs="Arial"/>
          <w:sz w:val="24"/>
          <w:szCs w:val="24"/>
        </w:rPr>
        <w:t xml:space="preserve">  But no customer in Duke’s service territory can receive smart-meter enabled products from a competitive retail electric service (“CRES”)</w:t>
      </w:r>
      <w:r w:rsidR="00281021">
        <w:rPr>
          <w:rFonts w:ascii="Arial" w:hAnsi="Arial" w:cs="Arial"/>
          <w:sz w:val="24"/>
          <w:szCs w:val="24"/>
        </w:rPr>
        <w:t xml:space="preserve"> provider</w:t>
      </w:r>
      <w:r w:rsidR="009D6BC1">
        <w:rPr>
          <w:rFonts w:ascii="Arial" w:hAnsi="Arial" w:cs="Arial"/>
          <w:sz w:val="24"/>
          <w:szCs w:val="24"/>
        </w:rPr>
        <w:t xml:space="preserve">.  This inequity is a direct consequence of Duke’s failure to invest in necessary meter data management systems—as it was required to pursuant to a stipulation and recommendation in its second electric security plan.  While Duke was </w:t>
      </w:r>
      <w:r w:rsidR="009D6BC1">
        <w:rPr>
          <w:rFonts w:ascii="Arial" w:hAnsi="Arial" w:cs="Arial"/>
          <w:sz w:val="24"/>
          <w:szCs w:val="24"/>
        </w:rPr>
        <w:lastRenderedPageBreak/>
        <w:t>more than willing to</w:t>
      </w:r>
      <w:r w:rsidR="00CE3F16">
        <w:rPr>
          <w:rFonts w:ascii="Arial" w:hAnsi="Arial" w:cs="Arial"/>
          <w:sz w:val="24"/>
          <w:szCs w:val="24"/>
        </w:rPr>
        <w:t xml:space="preserve"> stipulate to receive</w:t>
      </w:r>
      <w:r w:rsidR="009D6BC1">
        <w:rPr>
          <w:rFonts w:ascii="Arial" w:hAnsi="Arial" w:cs="Arial"/>
          <w:sz w:val="24"/>
          <w:szCs w:val="24"/>
        </w:rPr>
        <w:t xml:space="preserve"> $330 million in a</w:t>
      </w:r>
      <w:r w:rsidR="00CD710C">
        <w:rPr>
          <w:rFonts w:ascii="Arial" w:hAnsi="Arial" w:cs="Arial"/>
          <w:sz w:val="24"/>
          <w:szCs w:val="24"/>
        </w:rPr>
        <w:t>bove-market</w:t>
      </w:r>
      <w:r w:rsidR="009D6BC1">
        <w:rPr>
          <w:rFonts w:ascii="Arial" w:hAnsi="Arial" w:cs="Arial"/>
          <w:sz w:val="24"/>
          <w:szCs w:val="24"/>
        </w:rPr>
        <w:t xml:space="preserve"> revenues </w:t>
      </w:r>
      <w:r w:rsidR="00CE3F16">
        <w:rPr>
          <w:rFonts w:ascii="Arial" w:hAnsi="Arial" w:cs="Arial"/>
          <w:sz w:val="24"/>
          <w:szCs w:val="24"/>
        </w:rPr>
        <w:t xml:space="preserve">in that case, it has refused to satisfy its end of the bargain. </w:t>
      </w:r>
    </w:p>
    <w:p w14:paraId="160FB144" w14:textId="1BB4DE29" w:rsidR="00ED25F0" w:rsidRDefault="00CE3F16" w:rsidP="00CE3F1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Duke’</w:t>
      </w:r>
      <w:r w:rsidR="009E716D">
        <w:rPr>
          <w:rFonts w:ascii="Arial" w:hAnsi="Arial" w:cs="Arial"/>
          <w:sz w:val="24"/>
          <w:szCs w:val="24"/>
        </w:rPr>
        <w:t>s refusal to satisfy its stipulation obligations</w:t>
      </w:r>
      <w:r>
        <w:rPr>
          <w:rFonts w:ascii="Arial" w:hAnsi="Arial" w:cs="Arial"/>
          <w:sz w:val="24"/>
          <w:szCs w:val="24"/>
        </w:rPr>
        <w:t xml:space="preserve"> is a symptom of a larger problem:  Duke has </w:t>
      </w:r>
      <w:r w:rsidR="009E716D">
        <w:rPr>
          <w:rFonts w:ascii="Arial" w:hAnsi="Arial" w:cs="Arial"/>
          <w:sz w:val="24"/>
          <w:szCs w:val="24"/>
        </w:rPr>
        <w:t>fai</w:t>
      </w:r>
      <w:r>
        <w:rPr>
          <w:rFonts w:ascii="Arial" w:hAnsi="Arial" w:cs="Arial"/>
          <w:sz w:val="24"/>
          <w:szCs w:val="24"/>
        </w:rPr>
        <w:t xml:space="preserve">led to take the necessary steps to allow CRES providers to offer </w:t>
      </w:r>
      <w:proofErr w:type="gramStart"/>
      <w:r>
        <w:rPr>
          <w:rFonts w:ascii="Arial" w:hAnsi="Arial" w:cs="Arial"/>
          <w:sz w:val="24"/>
          <w:szCs w:val="24"/>
        </w:rPr>
        <w:t>customers</w:t>
      </w:r>
      <w:proofErr w:type="gramEnd"/>
      <w:r>
        <w:rPr>
          <w:rFonts w:ascii="Arial" w:hAnsi="Arial" w:cs="Arial"/>
          <w:sz w:val="24"/>
          <w:szCs w:val="24"/>
        </w:rPr>
        <w:t xml:space="preserve"> smart</w:t>
      </w:r>
      <w:r w:rsidR="00C90FB8">
        <w:rPr>
          <w:rFonts w:ascii="Arial" w:hAnsi="Arial" w:cs="Arial"/>
          <w:sz w:val="24"/>
          <w:szCs w:val="24"/>
        </w:rPr>
        <w:t>-meter enable</w:t>
      </w:r>
      <w:r>
        <w:rPr>
          <w:rFonts w:ascii="Arial" w:hAnsi="Arial" w:cs="Arial"/>
          <w:sz w:val="24"/>
          <w:szCs w:val="24"/>
        </w:rPr>
        <w:t>d products and services that will allow for the more efficient use of energy.</w:t>
      </w:r>
      <w:r w:rsidR="009E716D">
        <w:rPr>
          <w:rFonts w:ascii="Arial" w:hAnsi="Arial" w:cs="Arial"/>
          <w:sz w:val="24"/>
          <w:szCs w:val="24"/>
        </w:rPr>
        <w:t xml:space="preserve">  For example, while Duke has access to hourly interval data for e</w:t>
      </w:r>
      <w:r w:rsidR="00C90FB8">
        <w:rPr>
          <w:rFonts w:ascii="Arial" w:hAnsi="Arial" w:cs="Arial"/>
          <w:sz w:val="24"/>
          <w:szCs w:val="24"/>
        </w:rPr>
        <w:t>ach of its customers, Duke continues to calculate</w:t>
      </w:r>
      <w:r w:rsidR="009E716D">
        <w:rPr>
          <w:rFonts w:ascii="Arial" w:hAnsi="Arial" w:cs="Arial"/>
          <w:sz w:val="24"/>
          <w:szCs w:val="24"/>
        </w:rPr>
        <w:t xml:space="preserve"> e</w:t>
      </w:r>
      <w:r w:rsidR="00CD710C">
        <w:rPr>
          <w:rFonts w:ascii="Arial" w:hAnsi="Arial" w:cs="Arial"/>
          <w:sz w:val="24"/>
          <w:szCs w:val="24"/>
        </w:rPr>
        <w:t>ach customer’s PLC</w:t>
      </w:r>
      <w:r w:rsidR="009E716D">
        <w:rPr>
          <w:rFonts w:ascii="Arial" w:hAnsi="Arial" w:cs="Arial"/>
          <w:sz w:val="24"/>
          <w:szCs w:val="24"/>
        </w:rPr>
        <w:t xml:space="preserve"> </w:t>
      </w:r>
      <w:r w:rsidR="00CD710C">
        <w:rPr>
          <w:rFonts w:ascii="Arial" w:hAnsi="Arial" w:cs="Arial"/>
          <w:sz w:val="24"/>
          <w:szCs w:val="24"/>
        </w:rPr>
        <w:t xml:space="preserve">and NSPL </w:t>
      </w:r>
      <w:r w:rsidR="009E716D">
        <w:rPr>
          <w:rFonts w:ascii="Arial" w:hAnsi="Arial" w:cs="Arial"/>
          <w:sz w:val="24"/>
          <w:szCs w:val="24"/>
        </w:rPr>
        <w:t>based upon profiled usage.  Likewise, Duke calculates the hourly amount of energy that each CRES provider must deliver (and performs bill settlements) for each of its customers based upon customer load profiles rather than actual energy usage in each hour.  As</w:t>
      </w:r>
      <w:r w:rsidR="00491E5D">
        <w:rPr>
          <w:rFonts w:ascii="Arial" w:hAnsi="Arial" w:cs="Arial"/>
          <w:sz w:val="24"/>
          <w:szCs w:val="24"/>
        </w:rPr>
        <w:t xml:space="preserve"> discussed further below in these comments, these practices prevent customers from</w:t>
      </w:r>
      <w:r w:rsidR="009E716D">
        <w:rPr>
          <w:rFonts w:ascii="Arial" w:hAnsi="Arial" w:cs="Arial"/>
          <w:sz w:val="24"/>
          <w:szCs w:val="24"/>
        </w:rPr>
        <w:t xml:space="preserve"> unlock</w:t>
      </w:r>
      <w:r w:rsidR="00491E5D">
        <w:rPr>
          <w:rFonts w:ascii="Arial" w:hAnsi="Arial" w:cs="Arial"/>
          <w:sz w:val="24"/>
          <w:szCs w:val="24"/>
        </w:rPr>
        <w:t>ing</w:t>
      </w:r>
      <w:r w:rsidR="009E716D">
        <w:rPr>
          <w:rFonts w:ascii="Arial" w:hAnsi="Arial" w:cs="Arial"/>
          <w:sz w:val="24"/>
          <w:szCs w:val="24"/>
        </w:rPr>
        <w:t xml:space="preserve"> the potential of their smart meters</w:t>
      </w:r>
      <w:r w:rsidR="00D17D42">
        <w:rPr>
          <w:rFonts w:ascii="Arial" w:hAnsi="Arial" w:cs="Arial"/>
          <w:sz w:val="24"/>
          <w:szCs w:val="24"/>
        </w:rPr>
        <w:t xml:space="preserve"> through innovative products and services</w:t>
      </w:r>
      <w:r w:rsidR="009E716D">
        <w:rPr>
          <w:rFonts w:ascii="Arial" w:hAnsi="Arial" w:cs="Arial"/>
          <w:sz w:val="24"/>
          <w:szCs w:val="24"/>
        </w:rPr>
        <w:t xml:space="preserve">.  </w:t>
      </w:r>
    </w:p>
    <w:p w14:paraId="3D9E6B20" w14:textId="30530DD1" w:rsidR="00ED25F0" w:rsidRDefault="00CE3F16" w:rsidP="00CE3F1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Therefore, Interstate Gas Supply, Inc. (“IGS”) recommends that the Commission </w:t>
      </w:r>
      <w:r w:rsidR="00491E5D">
        <w:rPr>
          <w:rFonts w:ascii="Arial" w:hAnsi="Arial" w:cs="Arial"/>
          <w:sz w:val="24"/>
          <w:szCs w:val="24"/>
        </w:rPr>
        <w:t xml:space="preserve">direct Duke </w:t>
      </w:r>
      <w:r>
        <w:rPr>
          <w:rFonts w:ascii="Arial" w:hAnsi="Arial" w:cs="Arial"/>
          <w:sz w:val="24"/>
          <w:szCs w:val="24"/>
        </w:rPr>
        <w:t>to implement the foll</w:t>
      </w:r>
      <w:r w:rsidR="00ED25F0">
        <w:rPr>
          <w:rFonts w:ascii="Arial" w:hAnsi="Arial" w:cs="Arial"/>
          <w:sz w:val="24"/>
          <w:szCs w:val="24"/>
        </w:rPr>
        <w:t>owing:</w:t>
      </w:r>
    </w:p>
    <w:p w14:paraId="03C43A82" w14:textId="3AA81C3A" w:rsidR="00CE3F16" w:rsidRDefault="004726B2" w:rsidP="00ED25F0">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I</w:t>
      </w:r>
      <w:r w:rsidR="00ED25F0">
        <w:rPr>
          <w:rFonts w:ascii="Arial" w:hAnsi="Arial" w:cs="Arial"/>
          <w:sz w:val="24"/>
          <w:szCs w:val="24"/>
        </w:rPr>
        <w:t>mmediately invest in the necessary meter data management systems necessary to allow CRES providers to receive customer i</w:t>
      </w:r>
      <w:r w:rsidR="00C90FB8">
        <w:rPr>
          <w:rFonts w:ascii="Arial" w:hAnsi="Arial" w:cs="Arial"/>
          <w:sz w:val="24"/>
          <w:szCs w:val="24"/>
        </w:rPr>
        <w:t>nterval data through an electronic</w:t>
      </w:r>
      <w:r w:rsidR="00ED25F0">
        <w:rPr>
          <w:rFonts w:ascii="Arial" w:hAnsi="Arial" w:cs="Arial"/>
          <w:sz w:val="24"/>
          <w:szCs w:val="24"/>
        </w:rPr>
        <w:t xml:space="preserve"> data </w:t>
      </w:r>
      <w:r w:rsidR="00C90FB8">
        <w:rPr>
          <w:rFonts w:ascii="Arial" w:hAnsi="Arial" w:cs="Arial"/>
          <w:sz w:val="24"/>
          <w:szCs w:val="24"/>
        </w:rPr>
        <w:t>interchange (“EDI”)</w:t>
      </w:r>
      <w:r w:rsidR="00ED25F0">
        <w:rPr>
          <w:rFonts w:ascii="Arial" w:hAnsi="Arial" w:cs="Arial"/>
          <w:sz w:val="24"/>
          <w:szCs w:val="24"/>
        </w:rPr>
        <w:t>;</w:t>
      </w:r>
    </w:p>
    <w:p w14:paraId="2C9653B0" w14:textId="77777777" w:rsidR="00ED25F0" w:rsidRDefault="00ED25F0" w:rsidP="00ED25F0">
      <w:pPr>
        <w:pStyle w:val="ListParagraph"/>
        <w:autoSpaceDE w:val="0"/>
        <w:autoSpaceDN w:val="0"/>
        <w:adjustRightInd w:val="0"/>
        <w:spacing w:after="120" w:line="240" w:lineRule="auto"/>
        <w:ind w:left="1080" w:right="720"/>
        <w:jc w:val="both"/>
        <w:rPr>
          <w:rFonts w:ascii="Arial" w:hAnsi="Arial" w:cs="Arial"/>
          <w:sz w:val="24"/>
          <w:szCs w:val="24"/>
        </w:rPr>
      </w:pPr>
    </w:p>
    <w:p w14:paraId="16773315" w14:textId="58B26BE6" w:rsidR="00ED25F0" w:rsidRDefault="004726B2" w:rsidP="00ED25F0">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T</w:t>
      </w:r>
      <w:r w:rsidR="00ED25F0">
        <w:rPr>
          <w:rFonts w:ascii="Arial" w:hAnsi="Arial" w:cs="Arial"/>
          <w:sz w:val="24"/>
          <w:szCs w:val="24"/>
        </w:rPr>
        <w:t>ransition to calculating customers’ peak load contribution (“PLC”) based upon their actual usage;</w:t>
      </w:r>
    </w:p>
    <w:p w14:paraId="24B06E7F" w14:textId="77777777" w:rsidR="009F141F" w:rsidRPr="009F141F" w:rsidRDefault="009F141F" w:rsidP="009F141F">
      <w:pPr>
        <w:pStyle w:val="ListParagraph"/>
        <w:rPr>
          <w:rFonts w:ascii="Arial" w:hAnsi="Arial" w:cs="Arial"/>
          <w:sz w:val="24"/>
          <w:szCs w:val="24"/>
        </w:rPr>
      </w:pPr>
    </w:p>
    <w:p w14:paraId="1D496B91" w14:textId="03493A59" w:rsidR="009F141F" w:rsidRPr="00ED25F0" w:rsidRDefault="009F141F" w:rsidP="00ED25F0">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Transition to calculating NSPLs based upon actual peak usage on the Duke system during the coincident peak;</w:t>
      </w:r>
    </w:p>
    <w:p w14:paraId="59791DC0" w14:textId="77777777" w:rsidR="00ED25F0" w:rsidRPr="00ED25F0" w:rsidRDefault="00ED25F0" w:rsidP="00ED25F0">
      <w:pPr>
        <w:pStyle w:val="ListParagraph"/>
        <w:autoSpaceDE w:val="0"/>
        <w:autoSpaceDN w:val="0"/>
        <w:adjustRightInd w:val="0"/>
        <w:spacing w:after="120" w:line="240" w:lineRule="auto"/>
        <w:ind w:left="1080" w:right="720"/>
        <w:jc w:val="both"/>
        <w:rPr>
          <w:rFonts w:ascii="Arial" w:hAnsi="Arial" w:cs="Arial"/>
          <w:sz w:val="24"/>
          <w:szCs w:val="24"/>
        </w:rPr>
      </w:pPr>
    </w:p>
    <w:p w14:paraId="0A074FE3" w14:textId="0664A982" w:rsidR="003622C7" w:rsidRPr="003622C7" w:rsidRDefault="004726B2" w:rsidP="003622C7">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 xml:space="preserve">Perform </w:t>
      </w:r>
      <w:r w:rsidR="00ED25F0">
        <w:rPr>
          <w:rFonts w:ascii="Arial" w:hAnsi="Arial" w:cs="Arial"/>
          <w:sz w:val="24"/>
          <w:szCs w:val="24"/>
        </w:rPr>
        <w:t xml:space="preserve">CRES provider settlements based upon actual meter data. </w:t>
      </w:r>
    </w:p>
    <w:p w14:paraId="71BDF3F6" w14:textId="5EC7A190" w:rsidR="004726B2" w:rsidRPr="003622C7" w:rsidRDefault="003622C7" w:rsidP="00D17D42">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As discussed below, these measures are necessary to continue development of the market in Duke’s service territory.</w:t>
      </w:r>
    </w:p>
    <w:p w14:paraId="3B25C3A1" w14:textId="77306853" w:rsidR="002F7C71" w:rsidRDefault="004726B2" w:rsidP="002F7C71">
      <w:pPr>
        <w:pStyle w:val="ListParagraph"/>
        <w:numPr>
          <w:ilvl w:val="0"/>
          <w:numId w:val="8"/>
        </w:numPr>
        <w:autoSpaceDE w:val="0"/>
        <w:autoSpaceDN w:val="0"/>
        <w:adjustRightInd w:val="0"/>
        <w:spacing w:after="120" w:line="240" w:lineRule="auto"/>
        <w:ind w:right="720"/>
        <w:jc w:val="both"/>
        <w:rPr>
          <w:rFonts w:ascii="Arial" w:hAnsi="Arial" w:cs="Arial"/>
          <w:b/>
          <w:sz w:val="24"/>
          <w:szCs w:val="24"/>
        </w:rPr>
      </w:pPr>
      <w:r>
        <w:rPr>
          <w:rFonts w:ascii="Arial" w:hAnsi="Arial" w:cs="Arial"/>
          <w:b/>
          <w:sz w:val="24"/>
          <w:szCs w:val="24"/>
        </w:rPr>
        <w:lastRenderedPageBreak/>
        <w:t>BACKGROUND</w:t>
      </w:r>
      <w:r w:rsidR="002F7C71">
        <w:rPr>
          <w:rFonts w:ascii="Arial" w:hAnsi="Arial" w:cs="Arial"/>
          <w:b/>
          <w:sz w:val="24"/>
          <w:szCs w:val="24"/>
        </w:rPr>
        <w:t xml:space="preserve"> AND COMMENTS</w:t>
      </w:r>
      <w:r>
        <w:rPr>
          <w:rFonts w:ascii="Arial" w:hAnsi="Arial" w:cs="Arial"/>
          <w:b/>
          <w:sz w:val="24"/>
          <w:szCs w:val="24"/>
        </w:rPr>
        <w:t xml:space="preserve"> </w:t>
      </w:r>
    </w:p>
    <w:p w14:paraId="65B4B644" w14:textId="77777777" w:rsidR="002F7C71" w:rsidRDefault="002F7C71" w:rsidP="002F7C71">
      <w:pPr>
        <w:pStyle w:val="ListParagraph"/>
        <w:autoSpaceDE w:val="0"/>
        <w:autoSpaceDN w:val="0"/>
        <w:adjustRightInd w:val="0"/>
        <w:spacing w:after="120" w:line="240" w:lineRule="auto"/>
        <w:ind w:left="1440" w:right="720"/>
        <w:jc w:val="both"/>
        <w:rPr>
          <w:rFonts w:ascii="Arial" w:hAnsi="Arial" w:cs="Arial"/>
          <w:b/>
          <w:sz w:val="24"/>
          <w:szCs w:val="24"/>
        </w:rPr>
      </w:pPr>
    </w:p>
    <w:p w14:paraId="171F2E78" w14:textId="5C05CDCA" w:rsidR="002F7C71" w:rsidRPr="002F7C71" w:rsidRDefault="002F7C71" w:rsidP="002F7C71">
      <w:pPr>
        <w:pStyle w:val="ListParagraph"/>
        <w:numPr>
          <w:ilvl w:val="0"/>
          <w:numId w:val="12"/>
        </w:numPr>
        <w:autoSpaceDE w:val="0"/>
        <w:autoSpaceDN w:val="0"/>
        <w:adjustRightInd w:val="0"/>
        <w:spacing w:after="120" w:line="240" w:lineRule="auto"/>
        <w:ind w:right="720"/>
        <w:jc w:val="both"/>
        <w:rPr>
          <w:rFonts w:ascii="Arial" w:hAnsi="Arial" w:cs="Arial"/>
          <w:b/>
          <w:sz w:val="24"/>
          <w:szCs w:val="24"/>
        </w:rPr>
      </w:pPr>
      <w:r>
        <w:rPr>
          <w:rFonts w:ascii="Arial" w:hAnsi="Arial" w:cs="Arial"/>
          <w:b/>
          <w:sz w:val="24"/>
          <w:szCs w:val="24"/>
        </w:rPr>
        <w:t>Duke must provide CRES providers interval data</w:t>
      </w:r>
    </w:p>
    <w:p w14:paraId="3A2F8A81" w14:textId="711F723C" w:rsidR="004726B2" w:rsidRDefault="009D6BC1" w:rsidP="004726B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w:t>
      </w:r>
      <w:r w:rsidRPr="009D6BC1">
        <w:rPr>
          <w:rFonts w:ascii="Arial" w:hAnsi="Arial" w:cs="Arial"/>
          <w:sz w:val="24"/>
          <w:szCs w:val="24"/>
        </w:rPr>
        <w:t>he</w:t>
      </w:r>
      <w:r w:rsidR="00C90FB8">
        <w:rPr>
          <w:rFonts w:ascii="Arial" w:hAnsi="Arial" w:cs="Arial"/>
          <w:sz w:val="24"/>
          <w:szCs w:val="24"/>
        </w:rPr>
        <w:t xml:space="preserve"> Commission</w:t>
      </w:r>
      <w:r w:rsidRPr="009D6BC1">
        <w:rPr>
          <w:rFonts w:ascii="Arial" w:hAnsi="Arial" w:cs="Arial"/>
          <w:sz w:val="24"/>
          <w:szCs w:val="24"/>
        </w:rPr>
        <w:t xml:space="preserve"> authorized Duke to implement </w:t>
      </w:r>
      <w:proofErr w:type="spellStart"/>
      <w:r w:rsidRPr="009D6BC1">
        <w:rPr>
          <w:rFonts w:ascii="Arial" w:hAnsi="Arial" w:cs="Arial"/>
          <w:sz w:val="24"/>
          <w:szCs w:val="24"/>
        </w:rPr>
        <w:t>SmartGrid</w:t>
      </w:r>
      <w:proofErr w:type="spellEnd"/>
      <w:r w:rsidRPr="009D6BC1">
        <w:rPr>
          <w:rFonts w:ascii="Arial" w:hAnsi="Arial" w:cs="Arial"/>
          <w:sz w:val="24"/>
          <w:szCs w:val="24"/>
        </w:rPr>
        <w:t xml:space="preserve"> technology in its service territory</w:t>
      </w:r>
      <w:r>
        <w:rPr>
          <w:rFonts w:ascii="Arial" w:hAnsi="Arial" w:cs="Arial"/>
          <w:sz w:val="24"/>
          <w:szCs w:val="24"/>
        </w:rPr>
        <w:t xml:space="preserve"> in Duke’s first electric security plan case</w:t>
      </w:r>
      <w:r w:rsidRPr="009D6BC1">
        <w:rPr>
          <w:rFonts w:ascii="Arial" w:hAnsi="Arial" w:cs="Arial"/>
          <w:sz w:val="24"/>
          <w:szCs w:val="24"/>
        </w:rPr>
        <w:t>.</w:t>
      </w:r>
      <w:r>
        <w:rPr>
          <w:rStyle w:val="FootnoteReference"/>
          <w:rFonts w:ascii="Arial" w:hAnsi="Arial" w:cs="Arial"/>
          <w:sz w:val="24"/>
          <w:szCs w:val="24"/>
        </w:rPr>
        <w:footnoteReference w:id="4"/>
      </w:r>
      <w:r w:rsidRPr="009D6BC1">
        <w:rPr>
          <w:rFonts w:ascii="Arial" w:hAnsi="Arial" w:cs="Arial"/>
          <w:sz w:val="24"/>
          <w:szCs w:val="24"/>
        </w:rPr>
        <w:t xml:space="preserve">  </w:t>
      </w:r>
      <w:r w:rsidR="004726B2">
        <w:rPr>
          <w:rFonts w:ascii="Arial" w:hAnsi="Arial" w:cs="Arial"/>
          <w:sz w:val="24"/>
          <w:szCs w:val="24"/>
        </w:rPr>
        <w:t xml:space="preserve">In each successive year, Duke has expanded its </w:t>
      </w:r>
      <w:proofErr w:type="spellStart"/>
      <w:r w:rsidR="004726B2">
        <w:rPr>
          <w:rFonts w:ascii="Arial" w:hAnsi="Arial" w:cs="Arial"/>
          <w:sz w:val="24"/>
          <w:szCs w:val="24"/>
        </w:rPr>
        <w:t>SmartGrid</w:t>
      </w:r>
      <w:proofErr w:type="spellEnd"/>
      <w:r w:rsidR="004726B2">
        <w:rPr>
          <w:rFonts w:ascii="Arial" w:hAnsi="Arial" w:cs="Arial"/>
          <w:sz w:val="24"/>
          <w:szCs w:val="24"/>
        </w:rPr>
        <w:t xml:space="preserve"> program:  Duke has installed thousands of AMI smart meters and developed time-of-use tariffs and programs for its standard service offer (“SSO”) customers.  In fact, Duke is the first</w:t>
      </w:r>
      <w:r w:rsidR="00C90FB8">
        <w:rPr>
          <w:rFonts w:ascii="Arial" w:hAnsi="Arial" w:cs="Arial"/>
          <w:sz w:val="24"/>
          <w:szCs w:val="24"/>
        </w:rPr>
        <w:t xml:space="preserve"> Ohio</w:t>
      </w:r>
      <w:r w:rsidR="004726B2">
        <w:rPr>
          <w:rFonts w:ascii="Arial" w:hAnsi="Arial" w:cs="Arial"/>
          <w:sz w:val="24"/>
          <w:szCs w:val="24"/>
        </w:rPr>
        <w:t xml:space="preserve"> utility to provide all of its customers with a smart meter.  In the process, Duke has collected hundreds of millions of dollars</w:t>
      </w:r>
      <w:r w:rsidR="002F7C71">
        <w:rPr>
          <w:rFonts w:ascii="Arial" w:hAnsi="Arial" w:cs="Arial"/>
          <w:sz w:val="24"/>
          <w:szCs w:val="24"/>
        </w:rPr>
        <w:t xml:space="preserve"> from its distribution customers</w:t>
      </w:r>
      <w:r w:rsidR="004726B2">
        <w:rPr>
          <w:rFonts w:ascii="Arial" w:hAnsi="Arial" w:cs="Arial"/>
          <w:sz w:val="24"/>
          <w:szCs w:val="24"/>
        </w:rPr>
        <w:t xml:space="preserve">.  </w:t>
      </w:r>
    </w:p>
    <w:p w14:paraId="2549BC78" w14:textId="58E566FE" w:rsidR="004726B2" w:rsidRDefault="004726B2" w:rsidP="004726B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At the same time, Duke has developed several time-of-use products that are available to only customers that remain on Duke’s SSO.</w:t>
      </w:r>
      <w:r>
        <w:rPr>
          <w:rStyle w:val="FootnoteReference"/>
          <w:rFonts w:ascii="Arial" w:hAnsi="Arial" w:cs="Arial"/>
          <w:sz w:val="24"/>
          <w:szCs w:val="24"/>
        </w:rPr>
        <w:footnoteReference w:id="5"/>
      </w:r>
      <w:r>
        <w:rPr>
          <w:rFonts w:ascii="Arial" w:hAnsi="Arial" w:cs="Arial"/>
          <w:sz w:val="24"/>
          <w:szCs w:val="24"/>
        </w:rPr>
        <w:t xml:space="preserve">  While Duke has rapidly expanded its rate base and </w:t>
      </w:r>
      <w:r w:rsidR="004641EA">
        <w:rPr>
          <w:rFonts w:ascii="Arial" w:hAnsi="Arial" w:cs="Arial"/>
          <w:sz w:val="24"/>
          <w:szCs w:val="24"/>
        </w:rPr>
        <w:t xml:space="preserve">its own </w:t>
      </w:r>
      <w:r>
        <w:rPr>
          <w:rFonts w:ascii="Arial" w:hAnsi="Arial" w:cs="Arial"/>
          <w:sz w:val="24"/>
          <w:szCs w:val="24"/>
        </w:rPr>
        <w:t xml:space="preserve">time-of-use offerings, Duke has not invested in a meter </w:t>
      </w:r>
      <w:r w:rsidR="00C90FB8">
        <w:rPr>
          <w:rFonts w:ascii="Arial" w:hAnsi="Arial" w:cs="Arial"/>
          <w:sz w:val="24"/>
          <w:szCs w:val="24"/>
        </w:rPr>
        <w:t>data management system that would</w:t>
      </w:r>
      <w:r>
        <w:rPr>
          <w:rFonts w:ascii="Arial" w:hAnsi="Arial" w:cs="Arial"/>
          <w:sz w:val="24"/>
          <w:szCs w:val="24"/>
        </w:rPr>
        <w:t xml:space="preserve"> allow CRES providers to access customers’ interval data—information that is critically necessary to enable CRES providers to offer time-of-use products and services to customers.  </w:t>
      </w:r>
    </w:p>
    <w:p w14:paraId="2841DF68" w14:textId="5E6E64DA" w:rsidR="004726B2" w:rsidRDefault="002F7C71" w:rsidP="004726B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Initially</w:t>
      </w:r>
      <w:r w:rsidR="004726B2">
        <w:rPr>
          <w:rFonts w:ascii="Arial" w:hAnsi="Arial" w:cs="Arial"/>
          <w:sz w:val="24"/>
          <w:szCs w:val="24"/>
        </w:rPr>
        <w:t>, Duke has failed to make interval data available, despite its commitments to do so.  In a stipulation and recommendation that Duke entered into in its second ESP case 11-3</w:t>
      </w:r>
      <w:r w:rsidR="00C90FB8">
        <w:rPr>
          <w:rFonts w:ascii="Arial" w:hAnsi="Arial" w:cs="Arial"/>
          <w:sz w:val="24"/>
          <w:szCs w:val="24"/>
        </w:rPr>
        <w:t>5</w:t>
      </w:r>
      <w:r w:rsidR="004726B2">
        <w:rPr>
          <w:rFonts w:ascii="Arial" w:hAnsi="Arial" w:cs="Arial"/>
          <w:sz w:val="24"/>
          <w:szCs w:val="24"/>
        </w:rPr>
        <w:t xml:space="preserve">49-EL-SSO (“Stipulation”), Duke agreed to develop a web portal to electronically submit interval data to CRES providers: </w:t>
      </w:r>
    </w:p>
    <w:p w14:paraId="02246EA8" w14:textId="77777777" w:rsidR="004726B2" w:rsidRPr="008F76EE" w:rsidRDefault="004726B2" w:rsidP="004726B2">
      <w:pPr>
        <w:autoSpaceDE w:val="0"/>
        <w:autoSpaceDN w:val="0"/>
        <w:adjustRightInd w:val="0"/>
        <w:spacing w:after="120" w:line="240" w:lineRule="auto"/>
        <w:ind w:left="720" w:right="720"/>
        <w:jc w:val="both"/>
        <w:rPr>
          <w:rFonts w:ascii="Arial" w:hAnsi="Arial" w:cs="Arial"/>
          <w:sz w:val="24"/>
          <w:szCs w:val="24"/>
        </w:rPr>
      </w:pPr>
      <w:r>
        <w:rPr>
          <w:rFonts w:ascii="Arial" w:hAnsi="Arial" w:cs="Arial"/>
          <w:sz w:val="24"/>
          <w:szCs w:val="24"/>
        </w:rPr>
        <w:t>Duke Energy Ohio agrees</w:t>
      </w:r>
      <w:r w:rsidRPr="005C68FC">
        <w:rPr>
          <w:rFonts w:ascii="Arial" w:hAnsi="Arial" w:cs="Arial"/>
          <w:sz w:val="24"/>
          <w:szCs w:val="24"/>
        </w:rPr>
        <w:t xml:space="preserve"> to work wit</w:t>
      </w:r>
      <w:r>
        <w:rPr>
          <w:rFonts w:ascii="Arial" w:hAnsi="Arial" w:cs="Arial"/>
          <w:sz w:val="24"/>
          <w:szCs w:val="24"/>
        </w:rPr>
        <w:t xml:space="preserve">h interested CRES providers and </w:t>
      </w:r>
      <w:r w:rsidRPr="005C68FC">
        <w:rPr>
          <w:rFonts w:ascii="Arial" w:hAnsi="Arial" w:cs="Arial"/>
          <w:sz w:val="24"/>
          <w:szCs w:val="24"/>
        </w:rPr>
        <w:t xml:space="preserve">Commission Staff to jointly develop a secure, </w:t>
      </w:r>
      <w:r w:rsidRPr="00ED7653">
        <w:rPr>
          <w:rFonts w:ascii="Arial" w:hAnsi="Arial" w:cs="Arial"/>
          <w:b/>
          <w:i/>
          <w:sz w:val="24"/>
          <w:szCs w:val="24"/>
        </w:rPr>
        <w:t xml:space="preserve">web-based system that will provide electronic access to key customer usage and account </w:t>
      </w:r>
      <w:r w:rsidRPr="00ED7653">
        <w:rPr>
          <w:rFonts w:ascii="Arial" w:hAnsi="Arial" w:cs="Arial"/>
          <w:b/>
          <w:i/>
          <w:sz w:val="24"/>
          <w:szCs w:val="24"/>
        </w:rPr>
        <w:lastRenderedPageBreak/>
        <w:t>data that can be accessed via a secure, supplier website that presents the following data and information in a format that can be automatically retrieved</w:t>
      </w:r>
      <w:r>
        <w:rPr>
          <w:rFonts w:ascii="Arial" w:hAnsi="Arial" w:cs="Arial"/>
          <w:sz w:val="24"/>
          <w:szCs w:val="24"/>
        </w:rPr>
        <w:t xml:space="preserve"> . . . .</w:t>
      </w:r>
      <w:r w:rsidRPr="008F76EE">
        <w:t xml:space="preserve"> </w:t>
      </w:r>
      <w:r>
        <w:rPr>
          <w:rFonts w:ascii="Arial" w:hAnsi="Arial" w:cs="Arial"/>
          <w:sz w:val="24"/>
          <w:szCs w:val="24"/>
        </w:rPr>
        <w:t xml:space="preserve">The </w:t>
      </w:r>
      <w:r w:rsidRPr="008F76EE">
        <w:rPr>
          <w:rFonts w:ascii="Arial" w:hAnsi="Arial" w:cs="Arial"/>
          <w:sz w:val="24"/>
          <w:szCs w:val="24"/>
        </w:rPr>
        <w:t>following data and information, in a format that can be automatically retrieved,</w:t>
      </w:r>
      <w:r>
        <w:rPr>
          <w:rFonts w:ascii="Arial" w:hAnsi="Arial" w:cs="Arial"/>
          <w:sz w:val="24"/>
          <w:szCs w:val="24"/>
        </w:rPr>
        <w:t xml:space="preserve"> </w:t>
      </w:r>
      <w:r w:rsidRPr="008F76EE">
        <w:rPr>
          <w:rFonts w:ascii="Arial" w:hAnsi="Arial" w:cs="Arial"/>
          <w:sz w:val="24"/>
          <w:szCs w:val="24"/>
        </w:rPr>
        <w:t>will be the subject of the web-based system:</w:t>
      </w:r>
    </w:p>
    <w:p w14:paraId="4AB5CD4A" w14:textId="77777777" w:rsidR="004726B2" w:rsidRPr="008F76EE" w:rsidRDefault="004726B2" w:rsidP="004726B2">
      <w:pPr>
        <w:pStyle w:val="ListParagraph"/>
        <w:numPr>
          <w:ilvl w:val="0"/>
          <w:numId w:val="10"/>
        </w:numPr>
        <w:tabs>
          <w:tab w:val="left" w:pos="1080"/>
        </w:tabs>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Account Numbers</w:t>
      </w:r>
    </w:p>
    <w:p w14:paraId="3B917ACF"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Meter numbers</w:t>
      </w:r>
    </w:p>
    <w:p w14:paraId="57212965"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Names</w:t>
      </w:r>
    </w:p>
    <w:p w14:paraId="2E3DEB7F"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Service Address, including zip codes</w:t>
      </w:r>
    </w:p>
    <w:p w14:paraId="18803EE1"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Billing Address, including zip code</w:t>
      </w:r>
    </w:p>
    <w:p w14:paraId="0AF90C1E"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Email address (if available)</w:t>
      </w:r>
    </w:p>
    <w:p w14:paraId="0F528E3A"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Meter Reading Cycle Dates</w:t>
      </w:r>
    </w:p>
    <w:p w14:paraId="6D270ACE"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Meter Types</w:t>
      </w:r>
    </w:p>
    <w:p w14:paraId="0DD66279"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Indicator if Customer has an Interval Meter</w:t>
      </w:r>
    </w:p>
    <w:p w14:paraId="748C6324"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Rate Code Indicator</w:t>
      </w:r>
    </w:p>
    <w:p w14:paraId="48C45C35"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Load Profile Group Indicators</w:t>
      </w:r>
    </w:p>
    <w:p w14:paraId="301227F5"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PLC and NSPL values (capacity and transmission ob</w:t>
      </w:r>
      <w:r>
        <w:rPr>
          <w:rFonts w:ascii="Arial" w:hAnsi="Arial" w:cs="Arial"/>
          <w:sz w:val="24"/>
          <w:szCs w:val="24"/>
        </w:rPr>
        <w:t>li</w:t>
      </w:r>
      <w:r w:rsidRPr="008F76EE">
        <w:rPr>
          <w:rFonts w:ascii="Arial" w:hAnsi="Arial" w:cs="Arial"/>
          <w:sz w:val="24"/>
          <w:szCs w:val="24"/>
        </w:rPr>
        <w:t>gations)</w:t>
      </w:r>
    </w:p>
    <w:p w14:paraId="4393BF84"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24 months of consumption data (in kWh) by billing period including</w:t>
      </w:r>
    </w:p>
    <w:p w14:paraId="1626F8CE"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24 months of demand data (in kW)</w:t>
      </w:r>
    </w:p>
    <w:p w14:paraId="7023C61C" w14:textId="77777777" w:rsidR="004726B2" w:rsidRPr="00ED7653"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b/>
          <w:i/>
          <w:sz w:val="24"/>
          <w:szCs w:val="24"/>
        </w:rPr>
      </w:pPr>
      <w:r w:rsidRPr="00ED7653">
        <w:rPr>
          <w:rFonts w:ascii="Arial" w:hAnsi="Arial" w:cs="Arial"/>
          <w:b/>
          <w:i/>
          <w:sz w:val="24"/>
          <w:szCs w:val="24"/>
        </w:rPr>
        <w:t>24 months of interval data</w:t>
      </w:r>
    </w:p>
    <w:p w14:paraId="277400C2" w14:textId="77777777" w:rsidR="004726B2" w:rsidRDefault="004726B2" w:rsidP="004726B2">
      <w:pPr>
        <w:pStyle w:val="ListParagraph"/>
        <w:numPr>
          <w:ilvl w:val="0"/>
          <w:numId w:val="10"/>
        </w:numPr>
        <w:autoSpaceDE w:val="0"/>
        <w:autoSpaceDN w:val="0"/>
        <w:adjustRightInd w:val="0"/>
        <w:spacing w:after="120" w:line="240" w:lineRule="auto"/>
        <w:ind w:left="720" w:right="720" w:firstLine="360"/>
        <w:jc w:val="both"/>
        <w:rPr>
          <w:rFonts w:ascii="Arial" w:hAnsi="Arial" w:cs="Arial"/>
          <w:sz w:val="24"/>
          <w:szCs w:val="24"/>
        </w:rPr>
      </w:pPr>
      <w:r w:rsidRPr="008F76EE">
        <w:rPr>
          <w:rFonts w:ascii="Arial" w:hAnsi="Arial" w:cs="Arial"/>
          <w:sz w:val="24"/>
          <w:szCs w:val="24"/>
        </w:rPr>
        <w:t>Indicator if SSO customer</w:t>
      </w:r>
    </w:p>
    <w:p w14:paraId="284DCB33" w14:textId="77777777" w:rsidR="004726B2" w:rsidRDefault="004726B2" w:rsidP="004726B2">
      <w:pPr>
        <w:pStyle w:val="ListParagraph"/>
        <w:numPr>
          <w:ilvl w:val="0"/>
          <w:numId w:val="10"/>
        </w:numPr>
        <w:autoSpaceDE w:val="0"/>
        <w:autoSpaceDN w:val="0"/>
        <w:adjustRightInd w:val="0"/>
        <w:spacing w:after="120" w:line="240" w:lineRule="auto"/>
        <w:ind w:left="1440" w:right="720"/>
        <w:jc w:val="both"/>
        <w:rPr>
          <w:rFonts w:ascii="Arial" w:hAnsi="Arial" w:cs="Arial"/>
          <w:sz w:val="24"/>
          <w:szCs w:val="24"/>
        </w:rPr>
      </w:pPr>
      <w:r w:rsidRPr="008F76EE">
        <w:rPr>
          <w:rFonts w:ascii="Arial" w:hAnsi="Arial" w:cs="Arial"/>
          <w:sz w:val="24"/>
          <w:szCs w:val="24"/>
        </w:rPr>
        <w:t>Identifier as to whether customer is par</w:t>
      </w:r>
      <w:r>
        <w:rPr>
          <w:rFonts w:ascii="Arial" w:hAnsi="Arial" w:cs="Arial"/>
          <w:sz w:val="24"/>
          <w:szCs w:val="24"/>
        </w:rPr>
        <w:t>ticipating in the Budget Billing Plan.</w:t>
      </w:r>
      <w:r>
        <w:rPr>
          <w:rStyle w:val="FootnoteReference"/>
          <w:rFonts w:ascii="Arial" w:hAnsi="Arial" w:cs="Arial"/>
          <w:sz w:val="24"/>
          <w:szCs w:val="24"/>
        </w:rPr>
        <w:footnoteReference w:id="6"/>
      </w:r>
    </w:p>
    <w:p w14:paraId="4B792A42" w14:textId="77777777" w:rsidR="004726B2" w:rsidRDefault="004726B2" w:rsidP="004726B2">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Moreover, Duke committed to provide this data through a web portal by June 1, 2014:</w:t>
      </w:r>
    </w:p>
    <w:p w14:paraId="4784B008" w14:textId="0019B8F4" w:rsidR="00021336" w:rsidRDefault="004726B2" w:rsidP="00D17D42">
      <w:pPr>
        <w:autoSpaceDE w:val="0"/>
        <w:autoSpaceDN w:val="0"/>
        <w:adjustRightInd w:val="0"/>
        <w:spacing w:after="120" w:line="240" w:lineRule="auto"/>
        <w:ind w:left="720" w:right="720" w:firstLine="720"/>
        <w:jc w:val="both"/>
        <w:rPr>
          <w:rFonts w:ascii="Arial" w:hAnsi="Arial" w:cs="Arial"/>
          <w:sz w:val="24"/>
          <w:szCs w:val="24"/>
        </w:rPr>
      </w:pPr>
      <w:r w:rsidRPr="008F76EE">
        <w:rPr>
          <w:rFonts w:ascii="Arial" w:hAnsi="Arial" w:cs="Arial"/>
          <w:sz w:val="24"/>
          <w:szCs w:val="24"/>
        </w:rPr>
        <w:t xml:space="preserve">Duke Energy Ohio shall use commercially reasonable efforts to add to the existing web system the Load Profile Group Indicators and the customer service addresses by March 1, 2012, but shall complete such additions no later than June 1, 2012. </w:t>
      </w:r>
      <w:r w:rsidRPr="00ED7653">
        <w:rPr>
          <w:rFonts w:ascii="Arial" w:hAnsi="Arial" w:cs="Arial"/>
          <w:b/>
          <w:i/>
          <w:sz w:val="24"/>
          <w:szCs w:val="24"/>
        </w:rPr>
        <w:t>Duke Energy Ohio shall make a commercially reasonable effort to add the other items by June 1, 2013, but agrees to complete the additional data items no later than June 1, 2014</w:t>
      </w:r>
      <w:r w:rsidRPr="008F76EE">
        <w:rPr>
          <w:rFonts w:ascii="Arial" w:hAnsi="Arial" w:cs="Arial"/>
          <w:sz w:val="24"/>
          <w:szCs w:val="24"/>
        </w:rPr>
        <w:t>, and will work with Commission Staff and interested</w:t>
      </w:r>
      <w:r w:rsidR="00021336">
        <w:rPr>
          <w:rFonts w:ascii="Arial" w:hAnsi="Arial" w:cs="Arial"/>
          <w:sz w:val="24"/>
          <w:szCs w:val="24"/>
        </w:rPr>
        <w:t xml:space="preserve"> CRES providers to stage the implementation of various portions of this website, as possible . . . . </w:t>
      </w:r>
    </w:p>
    <w:p w14:paraId="613A4740" w14:textId="13CC4ADA" w:rsidR="000627DC" w:rsidRDefault="00021336" w:rsidP="000627DC">
      <w:pPr>
        <w:autoSpaceDE w:val="0"/>
        <w:autoSpaceDN w:val="0"/>
        <w:adjustRightInd w:val="0"/>
        <w:spacing w:after="120" w:line="240" w:lineRule="auto"/>
        <w:ind w:left="720" w:right="720" w:firstLine="720"/>
        <w:jc w:val="both"/>
        <w:rPr>
          <w:rFonts w:ascii="Arial" w:hAnsi="Arial" w:cs="Arial"/>
          <w:sz w:val="24"/>
          <w:szCs w:val="24"/>
        </w:rPr>
      </w:pPr>
      <w:r w:rsidRPr="00021336">
        <w:rPr>
          <w:rFonts w:ascii="Arial" w:hAnsi="Arial" w:cs="Arial"/>
          <w:sz w:val="24"/>
          <w:szCs w:val="24"/>
        </w:rPr>
        <w:t>Duke Energy Ohio shall recover the actual costs to develop said web</w:t>
      </w:r>
      <w:r>
        <w:rPr>
          <w:rFonts w:ascii="Arial" w:hAnsi="Arial" w:cs="Arial"/>
          <w:sz w:val="24"/>
          <w:szCs w:val="24"/>
        </w:rPr>
        <w:t>-</w:t>
      </w:r>
      <w:r w:rsidRPr="00021336">
        <w:rPr>
          <w:rFonts w:ascii="Arial" w:hAnsi="Arial" w:cs="Arial"/>
          <w:sz w:val="24"/>
          <w:szCs w:val="24"/>
        </w:rPr>
        <w:t>based</w:t>
      </w:r>
      <w:r>
        <w:rPr>
          <w:rFonts w:ascii="Arial" w:hAnsi="Arial" w:cs="Arial"/>
          <w:sz w:val="24"/>
          <w:szCs w:val="24"/>
        </w:rPr>
        <w:t xml:space="preserve"> </w:t>
      </w:r>
      <w:r w:rsidRPr="00021336">
        <w:rPr>
          <w:rFonts w:ascii="Arial" w:hAnsi="Arial" w:cs="Arial"/>
          <w:sz w:val="24"/>
          <w:szCs w:val="24"/>
        </w:rPr>
        <w:t xml:space="preserve">system, </w:t>
      </w:r>
      <w:r w:rsidRPr="00021336">
        <w:rPr>
          <w:rFonts w:ascii="Arial" w:hAnsi="Arial" w:cs="Arial"/>
          <w:b/>
          <w:i/>
          <w:sz w:val="24"/>
          <w:szCs w:val="24"/>
        </w:rPr>
        <w:t>recovery not to exceed $500,000</w:t>
      </w:r>
      <w:r w:rsidRPr="00021336">
        <w:rPr>
          <w:rFonts w:ascii="Arial" w:hAnsi="Arial" w:cs="Arial"/>
          <w:sz w:val="24"/>
          <w:szCs w:val="24"/>
        </w:rPr>
        <w:t>, on a non-</w:t>
      </w:r>
      <w:proofErr w:type="spellStart"/>
      <w:r w:rsidRPr="00021336">
        <w:rPr>
          <w:rFonts w:ascii="Arial" w:hAnsi="Arial" w:cs="Arial"/>
          <w:sz w:val="24"/>
          <w:szCs w:val="24"/>
        </w:rPr>
        <w:t>bypassable</w:t>
      </w:r>
      <w:proofErr w:type="spellEnd"/>
      <w:r w:rsidRPr="00021336">
        <w:rPr>
          <w:rFonts w:ascii="Arial" w:hAnsi="Arial" w:cs="Arial"/>
          <w:sz w:val="24"/>
          <w:szCs w:val="24"/>
        </w:rPr>
        <w:t xml:space="preserve"> basis.</w:t>
      </w:r>
      <w:r>
        <w:rPr>
          <w:rFonts w:ascii="Arial" w:hAnsi="Arial" w:cs="Arial"/>
          <w:sz w:val="24"/>
          <w:szCs w:val="24"/>
        </w:rPr>
        <w:t xml:space="preserve">  Duke </w:t>
      </w:r>
      <w:r w:rsidRPr="00021336">
        <w:rPr>
          <w:rFonts w:ascii="Arial" w:hAnsi="Arial" w:cs="Arial"/>
          <w:sz w:val="24"/>
          <w:szCs w:val="24"/>
        </w:rPr>
        <w:t>Energy Ohio shall be permitted to create a r</w:t>
      </w:r>
      <w:r>
        <w:rPr>
          <w:rFonts w:ascii="Arial" w:hAnsi="Arial" w:cs="Arial"/>
          <w:sz w:val="24"/>
          <w:szCs w:val="24"/>
        </w:rPr>
        <w:t xml:space="preserve">egulatory asset for purposes of </w:t>
      </w:r>
      <w:r w:rsidRPr="00021336">
        <w:rPr>
          <w:rFonts w:ascii="Arial" w:hAnsi="Arial" w:cs="Arial"/>
          <w:sz w:val="24"/>
          <w:szCs w:val="24"/>
        </w:rPr>
        <w:t>recording said costs for future recovery through electric distribution rates.</w:t>
      </w:r>
      <w:r w:rsidRPr="00021336">
        <w:rPr>
          <w:rStyle w:val="FootnoteReference"/>
          <w:rFonts w:ascii="Arial" w:hAnsi="Arial" w:cs="Arial"/>
          <w:sz w:val="24"/>
          <w:szCs w:val="24"/>
        </w:rPr>
        <w:t xml:space="preserve"> </w:t>
      </w:r>
      <w:r>
        <w:rPr>
          <w:rStyle w:val="FootnoteReference"/>
          <w:rFonts w:ascii="Arial" w:hAnsi="Arial" w:cs="Arial"/>
          <w:sz w:val="24"/>
          <w:szCs w:val="24"/>
        </w:rPr>
        <w:footnoteReference w:id="7"/>
      </w:r>
    </w:p>
    <w:p w14:paraId="45BC812D" w14:textId="7870262C" w:rsidR="003254F4" w:rsidRDefault="00980E29" w:rsidP="00386129">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lastRenderedPageBreak/>
        <w:tab/>
        <w:t>It should be noted that t</w:t>
      </w:r>
      <w:r w:rsidR="003254F4" w:rsidRPr="0064107A">
        <w:rPr>
          <w:rFonts w:ascii="Arial" w:hAnsi="Arial" w:cs="Arial"/>
          <w:sz w:val="24"/>
          <w:szCs w:val="24"/>
        </w:rPr>
        <w:t xml:space="preserve">he Stipulation indicates that the provision of customer data to CRES providers is subject to customer </w:t>
      </w:r>
      <w:r w:rsidR="00C90FB8">
        <w:rPr>
          <w:rFonts w:ascii="Arial" w:hAnsi="Arial" w:cs="Arial"/>
          <w:sz w:val="24"/>
          <w:szCs w:val="24"/>
        </w:rPr>
        <w:t>privacy rules.  But that does not</w:t>
      </w:r>
      <w:r w:rsidR="003254F4" w:rsidRPr="0064107A">
        <w:rPr>
          <w:rFonts w:ascii="Arial" w:hAnsi="Arial" w:cs="Arial"/>
          <w:sz w:val="24"/>
          <w:szCs w:val="24"/>
        </w:rPr>
        <w:t xml:space="preserve"> mean that Duke can unilaterally ignore its obligation to make residential interval data available to CRES providers that are able to get the required customer authorizations required under the Commission</w:t>
      </w:r>
      <w:r w:rsidR="00454C0E">
        <w:rPr>
          <w:rFonts w:ascii="Arial" w:hAnsi="Arial" w:cs="Arial"/>
          <w:sz w:val="24"/>
          <w:szCs w:val="24"/>
        </w:rPr>
        <w:t>’s</w:t>
      </w:r>
      <w:r w:rsidR="003254F4" w:rsidRPr="0064107A">
        <w:rPr>
          <w:rFonts w:ascii="Arial" w:hAnsi="Arial" w:cs="Arial"/>
          <w:sz w:val="24"/>
          <w:szCs w:val="24"/>
        </w:rPr>
        <w:t xml:space="preserve"> rules.</w:t>
      </w:r>
      <w:r w:rsidR="003254F4" w:rsidRPr="0064107A">
        <w:rPr>
          <w:rStyle w:val="FootnoteReference"/>
          <w:rFonts w:ascii="Arial" w:hAnsi="Arial" w:cs="Arial"/>
          <w:sz w:val="24"/>
          <w:szCs w:val="24"/>
        </w:rPr>
        <w:footnoteReference w:id="8"/>
      </w:r>
      <w:r>
        <w:rPr>
          <w:rFonts w:ascii="Arial" w:hAnsi="Arial" w:cs="Arial"/>
          <w:sz w:val="24"/>
          <w:szCs w:val="24"/>
        </w:rPr>
        <w:t xml:space="preserve">  </w:t>
      </w:r>
      <w:r w:rsidRPr="00C90501">
        <w:rPr>
          <w:rFonts w:ascii="Arial" w:hAnsi="Arial" w:cs="Arial"/>
          <w:sz w:val="24"/>
          <w:szCs w:val="24"/>
        </w:rPr>
        <w:t>At the time the Stipulation was enter</w:t>
      </w:r>
      <w:r w:rsidR="00C90FB8">
        <w:rPr>
          <w:rFonts w:ascii="Arial" w:hAnsi="Arial" w:cs="Arial"/>
          <w:sz w:val="24"/>
          <w:szCs w:val="24"/>
        </w:rPr>
        <w:t>ed</w:t>
      </w:r>
      <w:r w:rsidRPr="00C90501">
        <w:rPr>
          <w:rFonts w:ascii="Arial" w:hAnsi="Arial" w:cs="Arial"/>
          <w:sz w:val="24"/>
          <w:szCs w:val="24"/>
        </w:rPr>
        <w:t xml:space="preserve"> into there were Commi</w:t>
      </w:r>
      <w:r w:rsidR="00C90FB8">
        <w:rPr>
          <w:rFonts w:ascii="Arial" w:hAnsi="Arial" w:cs="Arial"/>
          <w:sz w:val="24"/>
          <w:szCs w:val="24"/>
        </w:rPr>
        <w:t>ssion rules relating to the</w:t>
      </w:r>
      <w:r w:rsidRPr="00C90501">
        <w:rPr>
          <w:rFonts w:ascii="Arial" w:hAnsi="Arial" w:cs="Arial"/>
          <w:sz w:val="24"/>
          <w:szCs w:val="24"/>
        </w:rPr>
        <w:t xml:space="preserve"> privacy of customer energy usage data.  Those rules have since been modified. Effective December 1, 2014 new rules set forth in revised OAC 4901:1-10-24 govern disclosure of cus</w:t>
      </w:r>
      <w:r w:rsidR="00454C0E">
        <w:rPr>
          <w:rFonts w:ascii="Arial" w:hAnsi="Arial" w:cs="Arial"/>
          <w:sz w:val="24"/>
          <w:szCs w:val="24"/>
        </w:rPr>
        <w:t>tomer energy usage data.  But</w:t>
      </w:r>
      <w:r w:rsidRPr="00C90501">
        <w:rPr>
          <w:rFonts w:ascii="Arial" w:hAnsi="Arial" w:cs="Arial"/>
          <w:sz w:val="24"/>
          <w:szCs w:val="24"/>
        </w:rPr>
        <w:t>, Duke h</w:t>
      </w:r>
      <w:r w:rsidR="00454C0E">
        <w:rPr>
          <w:rFonts w:ascii="Arial" w:hAnsi="Arial" w:cs="Arial"/>
          <w:sz w:val="24"/>
          <w:szCs w:val="24"/>
        </w:rPr>
        <w:t xml:space="preserve">as simply failed to develop </w:t>
      </w:r>
      <w:r w:rsidRPr="00C90501">
        <w:rPr>
          <w:rFonts w:ascii="Arial" w:hAnsi="Arial" w:cs="Arial"/>
          <w:sz w:val="24"/>
          <w:szCs w:val="24"/>
        </w:rPr>
        <w:t xml:space="preserve">systems that are capable of providing the residential customer usage data required in the Stipulation.  Thus, a CRES provider cannot receive the AMI customer data required in the Stipulation </w:t>
      </w:r>
      <w:r w:rsidRPr="00C90501">
        <w:rPr>
          <w:rFonts w:ascii="Arial" w:hAnsi="Arial" w:cs="Arial"/>
          <w:i/>
          <w:sz w:val="24"/>
          <w:szCs w:val="24"/>
        </w:rPr>
        <w:t>even if the CRES fully complies with the requirements set forth in  revised 4901:1-10-24</w:t>
      </w:r>
      <w:r w:rsidRPr="00C90501">
        <w:rPr>
          <w:rFonts w:ascii="Arial" w:hAnsi="Arial" w:cs="Arial"/>
          <w:sz w:val="24"/>
          <w:szCs w:val="24"/>
        </w:rPr>
        <w:t>.</w:t>
      </w:r>
    </w:p>
    <w:p w14:paraId="1F60568D" w14:textId="0B2A717E" w:rsidR="000627DC" w:rsidRDefault="000627DC" w:rsidP="0038612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Finally, Duke agreed</w:t>
      </w:r>
      <w:r w:rsidR="003254F4">
        <w:rPr>
          <w:rFonts w:ascii="Arial" w:hAnsi="Arial" w:cs="Arial"/>
          <w:sz w:val="24"/>
          <w:szCs w:val="24"/>
        </w:rPr>
        <w:t xml:space="preserve"> in the stipulation</w:t>
      </w:r>
      <w:r>
        <w:rPr>
          <w:rFonts w:ascii="Arial" w:hAnsi="Arial" w:cs="Arial"/>
          <w:sz w:val="24"/>
          <w:szCs w:val="24"/>
        </w:rPr>
        <w:t xml:space="preserve"> to make interval data available to all customers on a competi</w:t>
      </w:r>
      <w:r w:rsidR="00D17D42">
        <w:rPr>
          <w:rFonts w:ascii="Arial" w:hAnsi="Arial" w:cs="Arial"/>
          <w:sz w:val="24"/>
          <w:szCs w:val="24"/>
        </w:rPr>
        <w:t>ti</w:t>
      </w:r>
      <w:r>
        <w:rPr>
          <w:rFonts w:ascii="Arial" w:hAnsi="Arial" w:cs="Arial"/>
          <w:sz w:val="24"/>
          <w:szCs w:val="24"/>
        </w:rPr>
        <w:t>vely neutral basis:</w:t>
      </w:r>
    </w:p>
    <w:p w14:paraId="4DE53264" w14:textId="1B6FD207" w:rsidR="000627DC" w:rsidRDefault="000627DC" w:rsidP="000627DC">
      <w:pPr>
        <w:autoSpaceDE w:val="0"/>
        <w:autoSpaceDN w:val="0"/>
        <w:adjustRightInd w:val="0"/>
        <w:spacing w:after="120" w:line="240" w:lineRule="auto"/>
        <w:ind w:left="720" w:right="720"/>
        <w:jc w:val="both"/>
        <w:rPr>
          <w:rFonts w:ascii="Arial" w:hAnsi="Arial" w:cs="Arial"/>
          <w:sz w:val="24"/>
          <w:szCs w:val="24"/>
        </w:rPr>
      </w:pPr>
      <w:r w:rsidRPr="000627DC">
        <w:rPr>
          <w:rFonts w:ascii="Arial" w:hAnsi="Arial" w:cs="Arial"/>
          <w:sz w:val="24"/>
          <w:szCs w:val="24"/>
        </w:rPr>
        <w:t>All energy efficiency programs and rebates shall be made available at the same</w:t>
      </w:r>
      <w:r>
        <w:rPr>
          <w:rFonts w:ascii="Arial" w:hAnsi="Arial" w:cs="Arial"/>
          <w:sz w:val="24"/>
          <w:szCs w:val="24"/>
        </w:rPr>
        <w:t xml:space="preserve"> </w:t>
      </w:r>
      <w:r w:rsidRPr="000627DC">
        <w:rPr>
          <w:rFonts w:ascii="Arial" w:hAnsi="Arial" w:cs="Arial"/>
          <w:sz w:val="24"/>
          <w:szCs w:val="24"/>
        </w:rPr>
        <w:t>terms and conditions to customers, rega</w:t>
      </w:r>
      <w:r>
        <w:rPr>
          <w:rFonts w:ascii="Arial" w:hAnsi="Arial" w:cs="Arial"/>
          <w:sz w:val="24"/>
          <w:szCs w:val="24"/>
        </w:rPr>
        <w:t xml:space="preserve">rdless of whether they purchase </w:t>
      </w:r>
      <w:r w:rsidRPr="000627DC">
        <w:rPr>
          <w:rFonts w:ascii="Arial" w:hAnsi="Arial" w:cs="Arial"/>
          <w:sz w:val="24"/>
          <w:szCs w:val="24"/>
        </w:rPr>
        <w:t>generation service from a CRES provider o</w:t>
      </w:r>
      <w:r>
        <w:rPr>
          <w:rFonts w:ascii="Arial" w:hAnsi="Arial" w:cs="Arial"/>
          <w:sz w:val="24"/>
          <w:szCs w:val="24"/>
        </w:rPr>
        <w:t xml:space="preserve">r Duke Energy Ohio. </w:t>
      </w:r>
      <w:r w:rsidRPr="000627DC">
        <w:rPr>
          <w:rFonts w:ascii="Arial" w:hAnsi="Arial" w:cs="Arial"/>
          <w:b/>
          <w:i/>
          <w:sz w:val="24"/>
          <w:szCs w:val="24"/>
        </w:rPr>
        <w:t xml:space="preserve">Duke Energy Ohio shall maintain its policy to make </w:t>
      </w:r>
      <w:proofErr w:type="spellStart"/>
      <w:r w:rsidRPr="000627DC">
        <w:rPr>
          <w:rFonts w:ascii="Arial" w:hAnsi="Arial" w:cs="Arial"/>
          <w:b/>
          <w:i/>
          <w:sz w:val="24"/>
          <w:szCs w:val="24"/>
        </w:rPr>
        <w:t>SmartGrid</w:t>
      </w:r>
      <w:proofErr w:type="spellEnd"/>
      <w:r w:rsidRPr="000627DC">
        <w:rPr>
          <w:rFonts w:ascii="Arial" w:hAnsi="Arial" w:cs="Arial"/>
          <w:b/>
          <w:i/>
          <w:sz w:val="24"/>
          <w:szCs w:val="24"/>
        </w:rPr>
        <w:t xml:space="preserve"> meters and data available to all customers on a competitively neutral basis and without regard to their status as a shopping or non-shopping customer</w:t>
      </w:r>
      <w:r w:rsidRPr="000627DC">
        <w:rPr>
          <w:rFonts w:ascii="Arial" w:hAnsi="Arial" w:cs="Arial"/>
          <w:sz w:val="24"/>
          <w:szCs w:val="24"/>
        </w:rPr>
        <w:t>.</w:t>
      </w:r>
      <w:r>
        <w:rPr>
          <w:rStyle w:val="FootnoteReference"/>
          <w:rFonts w:ascii="Arial" w:hAnsi="Arial" w:cs="Arial"/>
          <w:sz w:val="24"/>
          <w:szCs w:val="24"/>
        </w:rPr>
        <w:footnoteReference w:id="9"/>
      </w:r>
    </w:p>
    <w:p w14:paraId="6983E05C" w14:textId="00EDB641" w:rsidR="00217AE0" w:rsidRPr="00217AE0" w:rsidRDefault="00217AE0" w:rsidP="00217AE0">
      <w:pPr>
        <w:autoSpaceDE w:val="0"/>
        <w:autoSpaceDN w:val="0"/>
        <w:adjustRightInd w:val="0"/>
        <w:spacing w:after="120" w:line="480" w:lineRule="auto"/>
        <w:jc w:val="both"/>
        <w:rPr>
          <w:rFonts w:ascii="Arial" w:hAnsi="Arial" w:cs="Arial"/>
          <w:sz w:val="24"/>
          <w:szCs w:val="24"/>
        </w:rPr>
      </w:pPr>
      <w:r>
        <w:rPr>
          <w:rFonts w:ascii="Arial" w:eastAsiaTheme="minorHAnsi" w:hAnsi="Arial" w:cs="Arial"/>
          <w:sz w:val="24"/>
          <w:szCs w:val="24"/>
        </w:rPr>
        <w:t xml:space="preserve">Further reinforcing its commitment, </w:t>
      </w:r>
      <w:r w:rsidRPr="00217AE0">
        <w:rPr>
          <w:rFonts w:ascii="Arial" w:eastAsiaTheme="minorHAnsi" w:hAnsi="Arial" w:cs="Arial"/>
          <w:sz w:val="24"/>
          <w:szCs w:val="24"/>
        </w:rPr>
        <w:t xml:space="preserve">Duke entered into a stipulation in 2012, agreeing to “provide CRES providers the necessary billing system functionality to offer CRES </w:t>
      </w:r>
      <w:proofErr w:type="gramStart"/>
      <w:r w:rsidRPr="00217AE0">
        <w:rPr>
          <w:rFonts w:ascii="Arial" w:eastAsiaTheme="minorHAnsi" w:hAnsi="Arial" w:cs="Arial"/>
          <w:sz w:val="24"/>
          <w:szCs w:val="24"/>
        </w:rPr>
        <w:lastRenderedPageBreak/>
        <w:t>customers</w:t>
      </w:r>
      <w:proofErr w:type="gramEnd"/>
      <w:r w:rsidRPr="00217AE0">
        <w:rPr>
          <w:rFonts w:ascii="Arial" w:eastAsiaTheme="minorHAnsi" w:hAnsi="Arial" w:cs="Arial"/>
          <w:sz w:val="24"/>
          <w:szCs w:val="24"/>
        </w:rPr>
        <w:t xml:space="preserve"> time differentiated rates consistent with its existing supplier tariff beginning January 1, 2013.”</w:t>
      </w:r>
      <w:r w:rsidRPr="00217AE0">
        <w:rPr>
          <w:rFonts w:ascii="Arial" w:eastAsiaTheme="minorHAnsi" w:hAnsi="Arial" w:cs="Arial"/>
          <w:sz w:val="24"/>
          <w:szCs w:val="24"/>
          <w:vertAlign w:val="superscript"/>
        </w:rPr>
        <w:footnoteReference w:id="10"/>
      </w:r>
      <w:r w:rsidRPr="00217AE0">
        <w:rPr>
          <w:rFonts w:ascii="Arial" w:eastAsiaTheme="minorHAnsi" w:hAnsi="Arial" w:cs="Arial"/>
          <w:sz w:val="24"/>
          <w:szCs w:val="24"/>
        </w:rPr>
        <w:t xml:space="preserve">  </w:t>
      </w:r>
    </w:p>
    <w:p w14:paraId="43B2E5F1" w14:textId="292D3484" w:rsidR="004726B2" w:rsidRPr="00217AE0" w:rsidRDefault="004726B2" w:rsidP="004726B2">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In Duke’s 2012 Application to adjust Rider DR-IM, Duke lead CRES providers and the Commission to believe that its web portal would be available and capable of transferring residential customers’ interval data to CRES providers</w:t>
      </w:r>
      <w:r w:rsidR="00021336" w:rsidRPr="00021336">
        <w:rPr>
          <w:rFonts w:ascii="Arial" w:hAnsi="Arial" w:cs="Arial"/>
          <w:sz w:val="24"/>
          <w:szCs w:val="24"/>
        </w:rPr>
        <w:t xml:space="preserve"> </w:t>
      </w:r>
      <w:r w:rsidR="00021336">
        <w:rPr>
          <w:rFonts w:ascii="Arial" w:hAnsi="Arial" w:cs="Arial"/>
          <w:sz w:val="24"/>
          <w:szCs w:val="24"/>
        </w:rPr>
        <w:t>by June 1, 2014</w:t>
      </w:r>
      <w:r>
        <w:rPr>
          <w:rFonts w:ascii="Arial" w:hAnsi="Arial" w:cs="Arial"/>
          <w:sz w:val="24"/>
          <w:szCs w:val="24"/>
        </w:rPr>
        <w:t>.</w:t>
      </w:r>
      <w:r w:rsidRPr="002C3A0C">
        <w:rPr>
          <w:rFonts w:ascii="Arial" w:hAnsi="Arial" w:cs="Arial"/>
          <w:sz w:val="24"/>
          <w:szCs w:val="24"/>
        </w:rPr>
        <w:t xml:space="preserve"> </w:t>
      </w:r>
      <w:r>
        <w:rPr>
          <w:rFonts w:ascii="Arial" w:hAnsi="Arial" w:cs="Arial"/>
          <w:sz w:val="24"/>
          <w:szCs w:val="24"/>
        </w:rPr>
        <w:t xml:space="preserve">In </w:t>
      </w:r>
      <w:r w:rsidRPr="00217AE0">
        <w:rPr>
          <w:rFonts w:ascii="Arial" w:hAnsi="Arial" w:cs="Arial"/>
          <w:sz w:val="24"/>
          <w:szCs w:val="24"/>
        </w:rPr>
        <w:t>that case, the Commission’s Opinion and Order noted that Duke submitted sworn testimony indicating that its systems cannot currently provide interval data to CRES providers, but that functionality will be available by June 1, 2014:</w:t>
      </w:r>
    </w:p>
    <w:p w14:paraId="36D23AD8" w14:textId="3D20A12B" w:rsidR="004726B2" w:rsidRPr="00217AE0" w:rsidRDefault="004726B2" w:rsidP="004726B2">
      <w:pPr>
        <w:autoSpaceDE w:val="0"/>
        <w:autoSpaceDN w:val="0"/>
        <w:adjustRightInd w:val="0"/>
        <w:spacing w:after="0" w:line="240" w:lineRule="auto"/>
        <w:ind w:left="720" w:right="720"/>
        <w:jc w:val="both"/>
        <w:rPr>
          <w:rFonts w:ascii="Arial" w:hAnsi="Arial" w:cs="Arial"/>
          <w:sz w:val="24"/>
          <w:szCs w:val="24"/>
        </w:rPr>
      </w:pPr>
      <w:r w:rsidRPr="00217AE0">
        <w:rPr>
          <w:rFonts w:ascii="Arial" w:hAnsi="Arial" w:cs="Arial"/>
          <w:sz w:val="24"/>
          <w:szCs w:val="24"/>
        </w:rPr>
        <w:t xml:space="preserve">Mr. Schneider states that, pursuant to the stipulation In re Application Duke Energy Ohio's, Case No. 11-3549-EL-SSO, et al., </w:t>
      </w:r>
      <w:r w:rsidRPr="00217AE0">
        <w:rPr>
          <w:rFonts w:ascii="Arial" w:hAnsi="Arial" w:cs="Arial"/>
          <w:b/>
          <w:i/>
          <w:sz w:val="24"/>
          <w:szCs w:val="24"/>
        </w:rPr>
        <w:t>Duke is enhancing the existing web portal (CRES Portal) that will improve interaction with CRES providers and allow online access to customer data with proper authorization.</w:t>
      </w:r>
      <w:r w:rsidRPr="00217AE0">
        <w:rPr>
          <w:rFonts w:ascii="Arial" w:hAnsi="Arial" w:cs="Arial"/>
          <w:sz w:val="24"/>
          <w:szCs w:val="24"/>
        </w:rPr>
        <w:t xml:space="preserve">  Mr. Schneider states that Duke is currently finalizing the internet technology required to allow this enhancement to the CRES Portal to be available and that some of the details of interacting with CRES providers, including appropriate authorization, are still being developed by the Commission in a rulemaking proceeding. </w:t>
      </w:r>
      <w:r w:rsidRPr="00217AE0">
        <w:rPr>
          <w:rFonts w:ascii="Arial" w:hAnsi="Arial" w:cs="Arial"/>
          <w:b/>
          <w:i/>
          <w:sz w:val="24"/>
          <w:szCs w:val="24"/>
        </w:rPr>
        <w:t>He points out that interval customer usage data will be available with the CRES Portal enhancements on June 1, 2014.</w:t>
      </w:r>
      <w:r w:rsidRPr="00217AE0">
        <w:rPr>
          <w:rFonts w:ascii="Arial" w:hAnsi="Arial" w:cs="Arial"/>
          <w:sz w:val="24"/>
          <w:szCs w:val="24"/>
        </w:rPr>
        <w:t xml:space="preserve"> </w:t>
      </w:r>
      <w:r w:rsidRPr="00217AE0">
        <w:rPr>
          <w:rFonts w:ascii="Arial" w:hAnsi="Arial" w:cs="Arial"/>
          <w:b/>
          <w:i/>
          <w:sz w:val="24"/>
          <w:szCs w:val="24"/>
        </w:rPr>
        <w:t>These data will enable Duke to provide interval, customer-usage AMI data from both MDM systems to CRES providers via the CRES Portal</w:t>
      </w:r>
      <w:r w:rsidRPr="00217AE0">
        <w:rPr>
          <w:rFonts w:ascii="Arial" w:hAnsi="Arial" w:cs="Arial"/>
          <w:sz w:val="24"/>
          <w:szCs w:val="24"/>
        </w:rPr>
        <w:t>, with an indicator if the AMI data are not billing-quality, interval, customer usage AMI data that have been processed through VEE.</w:t>
      </w:r>
      <w:r w:rsidRPr="00217AE0">
        <w:rPr>
          <w:rStyle w:val="FootnoteReference"/>
          <w:rFonts w:ascii="Arial" w:hAnsi="Arial" w:cs="Arial"/>
          <w:sz w:val="24"/>
          <w:szCs w:val="24"/>
        </w:rPr>
        <w:footnoteReference w:id="11"/>
      </w:r>
      <w:r w:rsidRPr="00217AE0">
        <w:rPr>
          <w:rFonts w:ascii="Arial" w:hAnsi="Arial" w:cs="Arial"/>
          <w:sz w:val="24"/>
          <w:szCs w:val="24"/>
        </w:rPr>
        <w:t xml:space="preserve">  </w:t>
      </w:r>
    </w:p>
    <w:p w14:paraId="27D3C624" w14:textId="77777777" w:rsidR="004726B2" w:rsidRPr="00217AE0" w:rsidRDefault="004726B2" w:rsidP="004726B2">
      <w:pPr>
        <w:autoSpaceDE w:val="0"/>
        <w:autoSpaceDN w:val="0"/>
        <w:adjustRightInd w:val="0"/>
        <w:spacing w:after="0" w:line="240" w:lineRule="auto"/>
        <w:ind w:left="720" w:right="720"/>
        <w:jc w:val="both"/>
        <w:rPr>
          <w:rFonts w:ascii="Arial" w:hAnsi="Arial" w:cs="Arial"/>
          <w:sz w:val="24"/>
          <w:szCs w:val="24"/>
        </w:rPr>
      </w:pPr>
    </w:p>
    <w:p w14:paraId="1B01659C" w14:textId="2481C964" w:rsidR="008A26F1" w:rsidRPr="008A26F1" w:rsidRDefault="00882F6E" w:rsidP="00882F6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If the laundry list of Duke’s commitments identified above are not convincing, i</w:t>
      </w:r>
      <w:r w:rsidR="00A2205F" w:rsidRPr="00217AE0">
        <w:rPr>
          <w:rFonts w:ascii="Arial" w:hAnsi="Arial" w:cs="Arial"/>
          <w:sz w:val="24"/>
          <w:szCs w:val="24"/>
        </w:rPr>
        <w:t>n its Finding</w:t>
      </w:r>
      <w:r w:rsidR="008A26F1" w:rsidRPr="00217AE0">
        <w:rPr>
          <w:rFonts w:ascii="Arial" w:hAnsi="Arial" w:cs="Arial"/>
          <w:sz w:val="24"/>
          <w:szCs w:val="24"/>
        </w:rPr>
        <w:t xml:space="preserve"> and Order in Case No. 12-3151-EL-COI, the Commission further </w:t>
      </w:r>
      <w:r w:rsidR="008A26F1">
        <w:rPr>
          <w:rFonts w:ascii="Arial" w:hAnsi="Arial" w:cs="Arial"/>
          <w:sz w:val="24"/>
          <w:szCs w:val="24"/>
        </w:rPr>
        <w:t xml:space="preserve">reinforced </w:t>
      </w:r>
      <w:r w:rsidR="008A26F1">
        <w:rPr>
          <w:rFonts w:ascii="Arial" w:hAnsi="Arial" w:cs="Arial"/>
          <w:sz w:val="24"/>
          <w:szCs w:val="24"/>
        </w:rPr>
        <w:lastRenderedPageBreak/>
        <w:t>the importance of Duke (and other utilities) providing interval data to CRES providers.</w:t>
      </w:r>
      <w:r w:rsidR="008A26F1">
        <w:rPr>
          <w:rStyle w:val="FootnoteReference"/>
          <w:rFonts w:ascii="Arial" w:hAnsi="Arial" w:cs="Arial"/>
          <w:sz w:val="24"/>
          <w:szCs w:val="24"/>
        </w:rPr>
        <w:footnoteReference w:id="12"/>
      </w:r>
      <w:r w:rsidR="008A26F1">
        <w:rPr>
          <w:rFonts w:ascii="Arial" w:hAnsi="Arial" w:cs="Arial"/>
          <w:sz w:val="24"/>
          <w:szCs w:val="24"/>
        </w:rPr>
        <w:t xml:space="preserve">  Indeed, Duke and each other utility was required to propose a tariff setting forth terms and </w:t>
      </w:r>
      <w:r w:rsidR="008A26F1" w:rsidRPr="008A26F1">
        <w:rPr>
          <w:rFonts w:ascii="Arial" w:hAnsi="Arial" w:cs="Arial"/>
          <w:sz w:val="24"/>
          <w:szCs w:val="24"/>
        </w:rPr>
        <w:t>conditions for transferring such information by November 21, 2014.</w:t>
      </w:r>
      <w:r w:rsidR="00A2205F">
        <w:rPr>
          <w:rStyle w:val="FootnoteReference"/>
          <w:rFonts w:ascii="Arial" w:hAnsi="Arial" w:cs="Arial"/>
          <w:sz w:val="24"/>
          <w:szCs w:val="24"/>
        </w:rPr>
        <w:footnoteReference w:id="13"/>
      </w:r>
    </w:p>
    <w:p w14:paraId="0C95D822" w14:textId="7C6E7569" w:rsidR="003254F4" w:rsidRDefault="008A26F1" w:rsidP="00A2205F">
      <w:pPr>
        <w:autoSpaceDE w:val="0"/>
        <w:autoSpaceDN w:val="0"/>
        <w:adjustRightInd w:val="0"/>
        <w:spacing w:after="120" w:line="480" w:lineRule="auto"/>
        <w:ind w:firstLine="720"/>
        <w:jc w:val="both"/>
        <w:rPr>
          <w:rFonts w:ascii="Arial" w:hAnsi="Arial" w:cs="Arial"/>
          <w:sz w:val="24"/>
          <w:szCs w:val="24"/>
        </w:rPr>
      </w:pPr>
      <w:r w:rsidRPr="008A26F1">
        <w:rPr>
          <w:rFonts w:ascii="Arial" w:hAnsi="Arial" w:cs="Arial"/>
          <w:sz w:val="24"/>
          <w:szCs w:val="24"/>
        </w:rPr>
        <w:t>On December 14, 2014, Duke filed an application in this proceeding</w:t>
      </w:r>
      <w:r w:rsidR="00882F6E">
        <w:rPr>
          <w:rFonts w:ascii="Arial" w:hAnsi="Arial" w:cs="Arial"/>
          <w:sz w:val="24"/>
          <w:szCs w:val="24"/>
        </w:rPr>
        <w:t xml:space="preserve"> allegedly to comply with the RMI Order</w:t>
      </w:r>
      <w:r w:rsidRPr="008A26F1">
        <w:rPr>
          <w:rFonts w:ascii="Arial" w:hAnsi="Arial" w:cs="Arial"/>
          <w:sz w:val="24"/>
          <w:szCs w:val="24"/>
        </w:rPr>
        <w:t xml:space="preserve">.  Despite the Commission’s RMI Order, stipulation obligations, and public representations, Duke has not made smart meter interval data available.  Instead, Duke claims that it “has website and Electronic Data Interchange (EDI) system capabilities to share interval data with CRES providers for approximately 4,000 traditional </w:t>
      </w:r>
      <w:r w:rsidRPr="008A26F1">
        <w:rPr>
          <w:rFonts w:ascii="Arial" w:hAnsi="Arial" w:cs="Arial"/>
          <w:i/>
          <w:iCs/>
          <w:sz w:val="24"/>
          <w:szCs w:val="24"/>
        </w:rPr>
        <w:t>nonresidential</w:t>
      </w:r>
      <w:r w:rsidRPr="008A26F1">
        <w:rPr>
          <w:rFonts w:ascii="Arial" w:hAnsi="Arial" w:cs="Arial"/>
          <w:sz w:val="24"/>
          <w:szCs w:val="24"/>
        </w:rPr>
        <w:t xml:space="preserve"> Interval Data Recorders (IDRs).</w:t>
      </w:r>
      <w:r w:rsidR="00A2205F" w:rsidRPr="00A2205F">
        <w:t xml:space="preserve"> </w:t>
      </w:r>
      <w:r w:rsidR="00A2205F" w:rsidRPr="00A2205F">
        <w:rPr>
          <w:rFonts w:ascii="Arial" w:hAnsi="Arial" w:cs="Arial"/>
          <w:sz w:val="24"/>
          <w:szCs w:val="24"/>
        </w:rPr>
        <w:t xml:space="preserve">These meters have </w:t>
      </w:r>
      <w:r w:rsidR="00A2205F">
        <w:rPr>
          <w:rFonts w:ascii="Arial" w:hAnsi="Arial" w:cs="Arial"/>
          <w:sz w:val="24"/>
          <w:szCs w:val="24"/>
        </w:rPr>
        <w:t xml:space="preserve">traditionally been installed at </w:t>
      </w:r>
      <w:r w:rsidR="00A2205F" w:rsidRPr="00A2205F">
        <w:rPr>
          <w:rFonts w:ascii="Arial" w:hAnsi="Arial" w:cs="Arial"/>
          <w:sz w:val="24"/>
          <w:szCs w:val="24"/>
        </w:rPr>
        <w:t>large commercial and industrial facilities.</w:t>
      </w:r>
      <w:r w:rsidRPr="008A26F1">
        <w:rPr>
          <w:rFonts w:ascii="Arial" w:hAnsi="Arial" w:cs="Arial"/>
          <w:sz w:val="24"/>
          <w:szCs w:val="24"/>
        </w:rPr>
        <w:t>”</w:t>
      </w:r>
      <w:r w:rsidR="00850567">
        <w:rPr>
          <w:rStyle w:val="FootnoteReference"/>
          <w:rFonts w:ascii="Arial" w:hAnsi="Arial" w:cs="Arial"/>
          <w:sz w:val="24"/>
          <w:szCs w:val="24"/>
        </w:rPr>
        <w:footnoteReference w:id="14"/>
      </w:r>
    </w:p>
    <w:p w14:paraId="03F19F07" w14:textId="2C252A2A" w:rsidR="009D6BC1" w:rsidRDefault="00A2205F" w:rsidP="003254F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w:t>
      </w:r>
      <w:r w:rsidR="003254F4" w:rsidRPr="009641C8">
        <w:rPr>
          <w:rFonts w:ascii="Arial" w:hAnsi="Arial" w:cs="Arial"/>
          <w:sz w:val="24"/>
          <w:szCs w:val="24"/>
        </w:rPr>
        <w:t>IDR interval data</w:t>
      </w:r>
      <w:r w:rsidR="003254F4">
        <w:rPr>
          <w:rFonts w:ascii="Arial" w:hAnsi="Arial" w:cs="Arial"/>
          <w:sz w:val="24"/>
          <w:szCs w:val="24"/>
        </w:rPr>
        <w:t>, however,</w:t>
      </w:r>
      <w:r w:rsidR="003254F4" w:rsidRPr="009641C8">
        <w:rPr>
          <w:rFonts w:ascii="Arial" w:hAnsi="Arial" w:cs="Arial"/>
          <w:sz w:val="24"/>
          <w:szCs w:val="24"/>
        </w:rPr>
        <w:t xml:space="preserve"> has </w:t>
      </w:r>
      <w:r w:rsidR="003254F4">
        <w:rPr>
          <w:rFonts w:ascii="Arial" w:hAnsi="Arial" w:cs="Arial"/>
          <w:sz w:val="24"/>
          <w:szCs w:val="24"/>
        </w:rPr>
        <w:t xml:space="preserve">absolutely </w:t>
      </w:r>
      <w:r w:rsidR="003254F4" w:rsidRPr="009641C8">
        <w:rPr>
          <w:rFonts w:ascii="Arial" w:hAnsi="Arial" w:cs="Arial"/>
          <w:sz w:val="24"/>
          <w:szCs w:val="24"/>
        </w:rPr>
        <w:t>nothing to do with Duke’s AMI deployment.</w:t>
      </w:r>
      <w:r w:rsidR="003254F4" w:rsidRPr="009641C8">
        <w:t xml:space="preserve"> </w:t>
      </w:r>
      <w:r w:rsidR="003254F4" w:rsidRPr="009641C8">
        <w:rPr>
          <w:rFonts w:ascii="Arial" w:hAnsi="Arial" w:cs="Arial"/>
          <w:sz w:val="24"/>
          <w:szCs w:val="24"/>
        </w:rPr>
        <w:t xml:space="preserve">IDR meters were around before Duke’s </w:t>
      </w:r>
      <w:r w:rsidR="003254F4">
        <w:rPr>
          <w:rFonts w:ascii="Arial" w:hAnsi="Arial" w:cs="Arial"/>
          <w:sz w:val="24"/>
          <w:szCs w:val="24"/>
        </w:rPr>
        <w:t xml:space="preserve">Smart Grid initiative, and CRES </w:t>
      </w:r>
      <w:r w:rsidR="003254F4" w:rsidRPr="009641C8">
        <w:rPr>
          <w:rFonts w:ascii="Arial" w:hAnsi="Arial" w:cs="Arial"/>
          <w:sz w:val="24"/>
          <w:szCs w:val="24"/>
        </w:rPr>
        <w:t>providers had the capability of getting access to the largest customers IDR interval meter data before Duke spent hundred</w:t>
      </w:r>
      <w:r w:rsidR="003254F4">
        <w:rPr>
          <w:rFonts w:ascii="Arial" w:hAnsi="Arial" w:cs="Arial"/>
          <w:sz w:val="24"/>
          <w:szCs w:val="24"/>
        </w:rPr>
        <w:t>s of millions of dollars on AMI</w:t>
      </w:r>
      <w:r w:rsidR="003254F4" w:rsidRPr="009641C8">
        <w:rPr>
          <w:rFonts w:ascii="Arial" w:hAnsi="Arial" w:cs="Arial"/>
          <w:sz w:val="24"/>
          <w:szCs w:val="24"/>
        </w:rPr>
        <w:t xml:space="preserve"> meter deployment. Therefore, it cannot be reasonably claimed that Duke has</w:t>
      </w:r>
      <w:r w:rsidR="003254F4">
        <w:rPr>
          <w:rFonts w:ascii="Arial" w:hAnsi="Arial" w:cs="Arial"/>
          <w:sz w:val="24"/>
          <w:szCs w:val="24"/>
        </w:rPr>
        <w:t xml:space="preserve"> </w:t>
      </w:r>
      <w:r w:rsidR="003254F4" w:rsidRPr="009641C8">
        <w:rPr>
          <w:rFonts w:ascii="Arial" w:hAnsi="Arial" w:cs="Arial"/>
          <w:sz w:val="24"/>
          <w:szCs w:val="24"/>
        </w:rPr>
        <w:t>somehow met it</w:t>
      </w:r>
      <w:r w:rsidR="003254F4">
        <w:rPr>
          <w:rFonts w:ascii="Arial" w:hAnsi="Arial" w:cs="Arial"/>
          <w:sz w:val="24"/>
          <w:szCs w:val="24"/>
        </w:rPr>
        <w:t xml:space="preserve">s obligations and commitments </w:t>
      </w:r>
      <w:r w:rsidR="003254F4" w:rsidRPr="009641C8">
        <w:rPr>
          <w:rFonts w:ascii="Arial" w:hAnsi="Arial" w:cs="Arial"/>
          <w:sz w:val="24"/>
          <w:szCs w:val="24"/>
        </w:rPr>
        <w:t>to pr</w:t>
      </w:r>
      <w:r w:rsidR="003254F4">
        <w:rPr>
          <w:rFonts w:ascii="Arial" w:hAnsi="Arial" w:cs="Arial"/>
          <w:sz w:val="24"/>
          <w:szCs w:val="24"/>
        </w:rPr>
        <w:t>ovide CRES providers with interval data, when all Duke has really proposed</w:t>
      </w:r>
      <w:r w:rsidR="003254F4" w:rsidRPr="009641C8">
        <w:rPr>
          <w:rFonts w:ascii="Arial" w:hAnsi="Arial" w:cs="Arial"/>
          <w:sz w:val="24"/>
          <w:szCs w:val="24"/>
        </w:rPr>
        <w:t xml:space="preserve"> is allowed CRES providers to have access</w:t>
      </w:r>
      <w:r w:rsidR="003254F4">
        <w:rPr>
          <w:rFonts w:ascii="Arial" w:hAnsi="Arial" w:cs="Arial"/>
          <w:sz w:val="24"/>
          <w:szCs w:val="24"/>
        </w:rPr>
        <w:t xml:space="preserve"> </w:t>
      </w:r>
      <w:r w:rsidR="003254F4" w:rsidRPr="009641C8">
        <w:rPr>
          <w:rFonts w:ascii="Arial" w:hAnsi="Arial" w:cs="Arial"/>
          <w:sz w:val="24"/>
          <w:szCs w:val="24"/>
        </w:rPr>
        <w:t xml:space="preserve">to a very small amount of </w:t>
      </w:r>
      <w:proofErr w:type="gramStart"/>
      <w:r w:rsidR="003254F4" w:rsidRPr="009641C8">
        <w:rPr>
          <w:rFonts w:ascii="Arial" w:hAnsi="Arial" w:cs="Arial"/>
          <w:sz w:val="24"/>
          <w:szCs w:val="24"/>
        </w:rPr>
        <w:t>customers</w:t>
      </w:r>
      <w:proofErr w:type="gramEnd"/>
      <w:r w:rsidR="003254F4" w:rsidRPr="009641C8">
        <w:rPr>
          <w:rFonts w:ascii="Arial" w:hAnsi="Arial" w:cs="Arial"/>
          <w:sz w:val="24"/>
          <w:szCs w:val="24"/>
        </w:rPr>
        <w:t xml:space="preserve"> interval </w:t>
      </w:r>
      <w:r w:rsidR="003254F4">
        <w:rPr>
          <w:rFonts w:ascii="Arial" w:hAnsi="Arial" w:cs="Arial"/>
          <w:sz w:val="24"/>
          <w:szCs w:val="24"/>
        </w:rPr>
        <w:t xml:space="preserve">data that was already available </w:t>
      </w:r>
      <w:r w:rsidR="003254F4" w:rsidRPr="009641C8">
        <w:rPr>
          <w:rFonts w:ascii="Arial" w:hAnsi="Arial" w:cs="Arial"/>
          <w:sz w:val="24"/>
          <w:szCs w:val="24"/>
        </w:rPr>
        <w:t>before AMI meters were deployed</w:t>
      </w:r>
      <w:r w:rsidR="003254F4">
        <w:rPr>
          <w:rFonts w:ascii="Arial" w:hAnsi="Arial" w:cs="Arial"/>
          <w:sz w:val="24"/>
          <w:szCs w:val="24"/>
        </w:rPr>
        <w:t>.</w:t>
      </w:r>
      <w:r>
        <w:rPr>
          <w:rFonts w:ascii="Arial" w:hAnsi="Arial" w:cs="Arial"/>
          <w:sz w:val="24"/>
          <w:szCs w:val="24"/>
        </w:rPr>
        <w:t xml:space="preserve"> </w:t>
      </w:r>
    </w:p>
    <w:p w14:paraId="57ABB07F" w14:textId="61E5ABFE" w:rsidR="00021336" w:rsidRDefault="00A2205F" w:rsidP="00BB29DA">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Although Duke</w:t>
      </w:r>
      <w:r w:rsidR="00021336">
        <w:rPr>
          <w:rFonts w:ascii="Arial" w:hAnsi="Arial" w:cs="Arial"/>
          <w:sz w:val="24"/>
          <w:szCs w:val="24"/>
        </w:rPr>
        <w:t xml:space="preserve"> previously committed to making interval data available by June 1, 2014—costs not to exceed $500,000—</w:t>
      </w:r>
      <w:r w:rsidRPr="00A2205F">
        <w:rPr>
          <w:rFonts w:ascii="Arial" w:hAnsi="Arial" w:cs="Arial"/>
          <w:sz w:val="24"/>
          <w:szCs w:val="24"/>
        </w:rPr>
        <w:t>Duke</w:t>
      </w:r>
      <w:r w:rsidR="00021336">
        <w:rPr>
          <w:rFonts w:ascii="Arial" w:hAnsi="Arial" w:cs="Arial"/>
          <w:sz w:val="24"/>
          <w:szCs w:val="24"/>
        </w:rPr>
        <w:t xml:space="preserve"> now</w:t>
      </w:r>
      <w:r w:rsidRPr="00A2205F">
        <w:rPr>
          <w:rFonts w:ascii="Arial" w:hAnsi="Arial" w:cs="Arial"/>
          <w:sz w:val="24"/>
          <w:szCs w:val="24"/>
        </w:rPr>
        <w:t xml:space="preserve"> claims that “</w:t>
      </w:r>
      <w:r w:rsidR="00021336">
        <w:rPr>
          <w:rFonts w:ascii="Arial" w:hAnsi="Arial" w:cs="Arial"/>
          <w:sz w:val="24"/>
          <w:szCs w:val="24"/>
        </w:rPr>
        <w:t>[m]</w:t>
      </w:r>
      <w:proofErr w:type="spellStart"/>
      <w:r w:rsidRPr="00A2205F">
        <w:rPr>
          <w:rFonts w:ascii="Arial" w:hAnsi="Arial" w:cs="Arial"/>
          <w:sz w:val="24"/>
          <w:szCs w:val="24"/>
        </w:rPr>
        <w:t>atters</w:t>
      </w:r>
      <w:proofErr w:type="spellEnd"/>
      <w:r w:rsidRPr="00A2205F">
        <w:rPr>
          <w:rFonts w:ascii="Arial" w:hAnsi="Arial" w:cs="Arial"/>
          <w:sz w:val="24"/>
          <w:szCs w:val="24"/>
        </w:rPr>
        <w:t xml:space="preserve"> related to </w:t>
      </w:r>
      <w:r w:rsidRPr="00A2205F">
        <w:rPr>
          <w:rFonts w:ascii="Arial" w:hAnsi="Arial" w:cs="Arial"/>
          <w:sz w:val="24"/>
          <w:szCs w:val="24"/>
        </w:rPr>
        <w:lastRenderedPageBreak/>
        <w:t xml:space="preserve">providing </w:t>
      </w:r>
      <w:r w:rsidRPr="00A2205F">
        <w:rPr>
          <w:rFonts w:ascii="Arial" w:hAnsi="Arial" w:cs="Arial"/>
          <w:i/>
          <w:iCs/>
          <w:sz w:val="24"/>
          <w:szCs w:val="24"/>
        </w:rPr>
        <w:t xml:space="preserve">granular residential interval </w:t>
      </w:r>
      <w:r w:rsidRPr="00A2205F">
        <w:rPr>
          <w:rFonts w:ascii="Arial" w:hAnsi="Arial" w:cs="Arial"/>
          <w:sz w:val="24"/>
          <w:szCs w:val="24"/>
        </w:rPr>
        <w:t>CEUD to CRES providers will require significant investment and will require additional stakeholder development in a designated working group with Commission Staff participation.</w:t>
      </w:r>
      <w:r>
        <w:rPr>
          <w:rFonts w:ascii="Arial" w:hAnsi="Arial" w:cs="Arial"/>
          <w:sz w:val="24"/>
          <w:szCs w:val="24"/>
        </w:rPr>
        <w:t>”</w:t>
      </w:r>
      <w:r w:rsidR="00850567">
        <w:rPr>
          <w:rStyle w:val="FootnoteReference"/>
          <w:rFonts w:ascii="Arial" w:hAnsi="Arial" w:cs="Arial"/>
          <w:sz w:val="24"/>
          <w:szCs w:val="24"/>
        </w:rPr>
        <w:footnoteReference w:id="15"/>
      </w:r>
      <w:r w:rsidR="00021336">
        <w:rPr>
          <w:rFonts w:ascii="Arial" w:hAnsi="Arial" w:cs="Arial"/>
          <w:sz w:val="24"/>
          <w:szCs w:val="24"/>
        </w:rPr>
        <w:t xml:space="preserve">  </w:t>
      </w:r>
    </w:p>
    <w:p w14:paraId="397785E8" w14:textId="07101606" w:rsidR="009B4C7C" w:rsidRDefault="002F7C71" w:rsidP="009B4C7C">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The Commission should hold Duke to its stipulation obligations and end </w:t>
      </w:r>
      <w:r w:rsidRPr="002F7C71">
        <w:rPr>
          <w:rFonts w:ascii="Arial" w:hAnsi="Arial" w:cs="Arial"/>
          <w:sz w:val="24"/>
          <w:szCs w:val="24"/>
        </w:rPr>
        <w:t>Duke</w:t>
      </w:r>
      <w:r>
        <w:rPr>
          <w:rFonts w:ascii="Arial" w:hAnsi="Arial" w:cs="Arial"/>
          <w:sz w:val="24"/>
          <w:szCs w:val="24"/>
        </w:rPr>
        <w:t>’s perpetual foot dragging.</w:t>
      </w:r>
      <w:r w:rsidR="009B4C7C">
        <w:rPr>
          <w:rFonts w:ascii="Arial" w:hAnsi="Arial" w:cs="Arial"/>
          <w:sz w:val="24"/>
          <w:szCs w:val="24"/>
        </w:rPr>
        <w:t xml:space="preserve">  The Commission has already rejected a similar Duke attempt to avoid its ESP stipulation obligation in Case No. 12-2400.  In that case, the Commission forcefully stated, “[t]</w:t>
      </w:r>
      <w:r w:rsidR="009B4C7C" w:rsidRPr="009B4C7C">
        <w:rPr>
          <w:rFonts w:ascii="Arial" w:hAnsi="Arial" w:cs="Arial"/>
          <w:sz w:val="24"/>
          <w:szCs w:val="24"/>
        </w:rPr>
        <w:t xml:space="preserve">he bottom line is: </w:t>
      </w:r>
      <w:r w:rsidR="009B4C7C" w:rsidRPr="009B4C7C">
        <w:rPr>
          <w:rFonts w:ascii="Arial" w:hAnsi="Arial" w:cs="Arial"/>
          <w:b/>
          <w:i/>
          <w:sz w:val="24"/>
          <w:szCs w:val="24"/>
        </w:rPr>
        <w:t>Duke agreed to the pricing and compensation for capacity service in the ESP Stipulation</w:t>
      </w:r>
      <w:r w:rsidR="009B4C7C" w:rsidRPr="009B4C7C">
        <w:rPr>
          <w:rFonts w:ascii="Arial" w:hAnsi="Arial" w:cs="Arial"/>
          <w:sz w:val="24"/>
          <w:szCs w:val="24"/>
        </w:rPr>
        <w:t xml:space="preserve"> </w:t>
      </w:r>
      <w:r w:rsidR="009B4C7C" w:rsidRPr="009B4C7C">
        <w:rPr>
          <w:rFonts w:ascii="Arial" w:hAnsi="Arial" w:cs="Arial"/>
          <w:b/>
          <w:i/>
          <w:sz w:val="24"/>
          <w:szCs w:val="24"/>
        </w:rPr>
        <w:t>and Duke should not, at this late date, be permitted to renege on the package deal approved by the Commission</w:t>
      </w:r>
      <w:r w:rsidR="009B4C7C" w:rsidRPr="009B4C7C">
        <w:rPr>
          <w:rFonts w:ascii="Arial" w:hAnsi="Arial" w:cs="Arial"/>
          <w:sz w:val="24"/>
          <w:szCs w:val="24"/>
        </w:rPr>
        <w:t>.</w:t>
      </w:r>
      <w:r w:rsidR="009B4C7C">
        <w:rPr>
          <w:rFonts w:ascii="Arial" w:hAnsi="Arial" w:cs="Arial"/>
          <w:sz w:val="24"/>
          <w:szCs w:val="24"/>
        </w:rPr>
        <w:t>”</w:t>
      </w:r>
      <w:r w:rsidR="00C90FB8">
        <w:rPr>
          <w:rStyle w:val="FootnoteReference"/>
          <w:rFonts w:ascii="Arial" w:hAnsi="Arial" w:cs="Arial"/>
          <w:sz w:val="24"/>
          <w:szCs w:val="24"/>
        </w:rPr>
        <w:footnoteReference w:id="16"/>
      </w:r>
      <w:r w:rsidR="00C90FB8">
        <w:rPr>
          <w:rFonts w:ascii="Arial" w:hAnsi="Arial" w:cs="Arial"/>
          <w:sz w:val="24"/>
          <w:szCs w:val="24"/>
        </w:rPr>
        <w:t xml:space="preserve">  </w:t>
      </w:r>
      <w:r w:rsidR="009B4C7C">
        <w:rPr>
          <w:rFonts w:ascii="Arial" w:hAnsi="Arial" w:cs="Arial"/>
          <w:sz w:val="24"/>
          <w:szCs w:val="24"/>
        </w:rPr>
        <w:t>The Commission further noted that “t</w:t>
      </w:r>
      <w:r w:rsidRPr="002F7C71">
        <w:rPr>
          <w:rFonts w:ascii="Arial" w:hAnsi="Arial" w:cs="Arial"/>
          <w:sz w:val="24"/>
          <w:szCs w:val="24"/>
        </w:rPr>
        <w:t>he</w:t>
      </w:r>
      <w:r w:rsidR="009B4C7C">
        <w:rPr>
          <w:rFonts w:ascii="Arial" w:hAnsi="Arial" w:cs="Arial"/>
          <w:sz w:val="24"/>
          <w:szCs w:val="24"/>
        </w:rPr>
        <w:t>re is no dispute that the doctri</w:t>
      </w:r>
      <w:r w:rsidRPr="002F7C71">
        <w:rPr>
          <w:rFonts w:ascii="Arial" w:hAnsi="Arial" w:cs="Arial"/>
          <w:sz w:val="24"/>
          <w:szCs w:val="24"/>
        </w:rPr>
        <w:t>ne of re</w:t>
      </w:r>
      <w:r w:rsidR="009B4C7C">
        <w:rPr>
          <w:rFonts w:ascii="Arial" w:hAnsi="Arial" w:cs="Arial"/>
          <w:sz w:val="24"/>
          <w:szCs w:val="24"/>
        </w:rPr>
        <w:t xml:space="preserve">s judicata, through the form of </w:t>
      </w:r>
      <w:r w:rsidRPr="002F7C71">
        <w:rPr>
          <w:rFonts w:ascii="Arial" w:hAnsi="Arial" w:cs="Arial"/>
          <w:sz w:val="24"/>
          <w:szCs w:val="24"/>
        </w:rPr>
        <w:t xml:space="preserve">collateral estoppel, precludes the </w:t>
      </w:r>
      <w:proofErr w:type="spellStart"/>
      <w:r w:rsidRPr="002F7C71">
        <w:rPr>
          <w:rFonts w:ascii="Arial" w:hAnsi="Arial" w:cs="Arial"/>
          <w:sz w:val="24"/>
          <w:szCs w:val="24"/>
        </w:rPr>
        <w:t>relitigation</w:t>
      </w:r>
      <w:proofErr w:type="spellEnd"/>
      <w:r w:rsidRPr="002F7C71">
        <w:rPr>
          <w:rFonts w:ascii="Arial" w:hAnsi="Arial" w:cs="Arial"/>
          <w:sz w:val="24"/>
          <w:szCs w:val="24"/>
        </w:rPr>
        <w:t xml:space="preserve"> in a second action of an issue that has been</w:t>
      </w:r>
      <w:r w:rsidR="009B4C7C">
        <w:rPr>
          <w:rFonts w:ascii="Arial" w:hAnsi="Arial" w:cs="Arial"/>
          <w:sz w:val="24"/>
          <w:szCs w:val="24"/>
        </w:rPr>
        <w:t xml:space="preserve"> </w:t>
      </w:r>
      <w:r w:rsidRPr="002F7C71">
        <w:rPr>
          <w:rFonts w:ascii="Arial" w:hAnsi="Arial" w:cs="Arial"/>
          <w:sz w:val="24"/>
          <w:szCs w:val="24"/>
        </w:rPr>
        <w:t>actually and necessarily determined in a prior action.</w:t>
      </w:r>
      <w:r w:rsidR="00C90FB8">
        <w:rPr>
          <w:rFonts w:ascii="Arial" w:hAnsi="Arial" w:cs="Arial"/>
          <w:sz w:val="24"/>
          <w:szCs w:val="24"/>
        </w:rPr>
        <w:t>”</w:t>
      </w:r>
      <w:r w:rsidR="00C90FB8">
        <w:rPr>
          <w:rStyle w:val="FootnoteReference"/>
          <w:rFonts w:ascii="Arial" w:hAnsi="Arial" w:cs="Arial"/>
          <w:sz w:val="24"/>
          <w:szCs w:val="24"/>
        </w:rPr>
        <w:footnoteReference w:id="17"/>
      </w:r>
      <w:r w:rsidR="009B4C7C">
        <w:rPr>
          <w:rFonts w:ascii="Arial" w:hAnsi="Arial" w:cs="Arial"/>
          <w:sz w:val="24"/>
          <w:szCs w:val="24"/>
        </w:rPr>
        <w:t xml:space="preserve">  The Commission’s holding</w:t>
      </w:r>
      <w:r w:rsidR="003622C7">
        <w:rPr>
          <w:rFonts w:ascii="Arial" w:hAnsi="Arial" w:cs="Arial"/>
          <w:sz w:val="24"/>
          <w:szCs w:val="24"/>
        </w:rPr>
        <w:t>s related to capacity-related commitments in the ESP Stipulation are</w:t>
      </w:r>
      <w:r w:rsidR="009B4C7C">
        <w:rPr>
          <w:rFonts w:ascii="Arial" w:hAnsi="Arial" w:cs="Arial"/>
          <w:sz w:val="24"/>
          <w:szCs w:val="24"/>
        </w:rPr>
        <w:t xml:space="preserve"> equally applicable here. </w:t>
      </w:r>
    </w:p>
    <w:p w14:paraId="2B624109" w14:textId="593F1E2C" w:rsidR="007D5BFF" w:rsidRDefault="009B4C7C" w:rsidP="009B4C7C">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Duke committed to provide interval data to CRES providers through its web portal by June 1, 2014.  And it agreed to do so at a cost of no greater than $500,000.</w:t>
      </w:r>
      <w:r w:rsidR="003504EC">
        <w:rPr>
          <w:rFonts w:ascii="Arial" w:hAnsi="Arial" w:cs="Arial"/>
          <w:sz w:val="24"/>
          <w:szCs w:val="24"/>
        </w:rPr>
        <w:t xml:space="preserve">  T</w:t>
      </w:r>
      <w:r w:rsidR="000627DC">
        <w:rPr>
          <w:rFonts w:ascii="Arial" w:hAnsi="Arial" w:cs="Arial"/>
          <w:sz w:val="24"/>
          <w:szCs w:val="24"/>
        </w:rPr>
        <w:t>hus, Duke’s</w:t>
      </w:r>
      <w:r w:rsidR="003504EC">
        <w:rPr>
          <w:rFonts w:ascii="Arial" w:hAnsi="Arial" w:cs="Arial"/>
          <w:sz w:val="24"/>
          <w:szCs w:val="24"/>
        </w:rPr>
        <w:t xml:space="preserve"> claim that it will cost more money is completely irrelevant</w:t>
      </w:r>
      <w:r w:rsidR="000627DC">
        <w:rPr>
          <w:rFonts w:ascii="Arial" w:hAnsi="Arial" w:cs="Arial"/>
          <w:sz w:val="24"/>
          <w:szCs w:val="24"/>
        </w:rPr>
        <w:t xml:space="preserve"> to this case—that issue has already been decided in a prior case</w:t>
      </w:r>
      <w:r w:rsidR="003254F4">
        <w:rPr>
          <w:rFonts w:ascii="Arial" w:hAnsi="Arial" w:cs="Arial"/>
          <w:sz w:val="24"/>
          <w:szCs w:val="24"/>
        </w:rPr>
        <w:t>.  A deal is a deal</w:t>
      </w:r>
      <w:r w:rsidR="004821D0">
        <w:rPr>
          <w:rFonts w:ascii="Arial" w:hAnsi="Arial" w:cs="Arial"/>
          <w:sz w:val="24"/>
          <w:szCs w:val="24"/>
        </w:rPr>
        <w:t xml:space="preserve">. </w:t>
      </w:r>
      <w:r w:rsidR="003504EC">
        <w:rPr>
          <w:rFonts w:ascii="Arial" w:hAnsi="Arial" w:cs="Arial"/>
          <w:sz w:val="24"/>
          <w:szCs w:val="24"/>
        </w:rPr>
        <w:t xml:space="preserve">Duke received over $300 million dollars; it </w:t>
      </w:r>
      <w:r w:rsidR="004641EA">
        <w:rPr>
          <w:rFonts w:ascii="Arial" w:hAnsi="Arial" w:cs="Arial"/>
          <w:sz w:val="24"/>
          <w:szCs w:val="24"/>
        </w:rPr>
        <w:t>should not be allowed to</w:t>
      </w:r>
      <w:r w:rsidR="003504EC">
        <w:rPr>
          <w:rFonts w:ascii="Arial" w:hAnsi="Arial" w:cs="Arial"/>
          <w:sz w:val="24"/>
          <w:szCs w:val="24"/>
        </w:rPr>
        <w:t xml:space="preserve"> take</w:t>
      </w:r>
      <w:r w:rsidR="000627DC">
        <w:rPr>
          <w:rFonts w:ascii="Arial" w:hAnsi="Arial" w:cs="Arial"/>
          <w:sz w:val="24"/>
          <w:szCs w:val="24"/>
        </w:rPr>
        <w:t xml:space="preserve"> the benefits of the deal</w:t>
      </w:r>
      <w:r w:rsidR="003504EC">
        <w:rPr>
          <w:rFonts w:ascii="Arial" w:hAnsi="Arial" w:cs="Arial"/>
          <w:sz w:val="24"/>
          <w:szCs w:val="24"/>
        </w:rPr>
        <w:t xml:space="preserve"> and ignore its obligations.</w:t>
      </w:r>
      <w:r w:rsidR="007D5BFF">
        <w:rPr>
          <w:rFonts w:ascii="Arial" w:hAnsi="Arial" w:cs="Arial"/>
          <w:sz w:val="24"/>
          <w:szCs w:val="24"/>
        </w:rPr>
        <w:t xml:space="preserve">  Therefore, IGS urges the Commission to direct Duke to </w:t>
      </w:r>
      <w:r w:rsidR="007D5BFF">
        <w:rPr>
          <w:rFonts w:ascii="Arial" w:hAnsi="Arial" w:cs="Arial"/>
          <w:sz w:val="24"/>
          <w:szCs w:val="24"/>
        </w:rPr>
        <w:lastRenderedPageBreak/>
        <w:t>immediately pursue measures to make bill quality interval data available to CRES providers.  IGS recommends that the Commission adopt the</w:t>
      </w:r>
      <w:r w:rsidR="00281021">
        <w:rPr>
          <w:rFonts w:ascii="Arial" w:hAnsi="Arial" w:cs="Arial"/>
          <w:sz w:val="24"/>
          <w:szCs w:val="24"/>
        </w:rPr>
        <w:t xml:space="preserve"> recommendations and</w:t>
      </w:r>
      <w:r w:rsidR="007D5BFF">
        <w:rPr>
          <w:rFonts w:ascii="Arial" w:hAnsi="Arial" w:cs="Arial"/>
          <w:sz w:val="24"/>
          <w:szCs w:val="24"/>
        </w:rPr>
        <w:t xml:space="preserve"> deliverable deadlines set forth in the Comments of the Retail Energy Supply Association</w:t>
      </w:r>
      <w:r w:rsidR="00281021">
        <w:rPr>
          <w:rFonts w:ascii="Arial" w:hAnsi="Arial" w:cs="Arial"/>
          <w:sz w:val="24"/>
          <w:szCs w:val="24"/>
        </w:rPr>
        <w:t>:</w:t>
      </w:r>
    </w:p>
    <w:p w14:paraId="270398A4" w14:textId="77777777" w:rsidR="00386129" w:rsidRPr="00386129" w:rsidRDefault="00386129" w:rsidP="00386129">
      <w:pPr>
        <w:numPr>
          <w:ilvl w:val="0"/>
          <w:numId w:val="13"/>
        </w:numPr>
        <w:autoSpaceDE w:val="0"/>
        <w:autoSpaceDN w:val="0"/>
        <w:adjustRightInd w:val="0"/>
        <w:spacing w:after="0" w:line="240" w:lineRule="auto"/>
        <w:ind w:right="720"/>
        <w:jc w:val="both"/>
        <w:rPr>
          <w:rFonts w:ascii="Arial" w:hAnsi="Arial" w:cs="Arial"/>
          <w:sz w:val="24"/>
          <w:szCs w:val="24"/>
        </w:rPr>
      </w:pPr>
      <w:r w:rsidRPr="00386129">
        <w:rPr>
          <w:rFonts w:ascii="Arial" w:hAnsi="Arial" w:cs="Arial"/>
          <w:sz w:val="24"/>
          <w:szCs w:val="24"/>
          <w:u w:val="single"/>
        </w:rPr>
        <w:t>Within 30 days of Order in this case</w:t>
      </w:r>
      <w:r w:rsidRPr="00386129">
        <w:rPr>
          <w:rFonts w:ascii="Arial" w:hAnsi="Arial" w:cs="Arial"/>
          <w:sz w:val="24"/>
          <w:szCs w:val="24"/>
        </w:rPr>
        <w:t>:  Provide to CRES providers 12 and 24 months of historical, billing quality, hourly interval data via its web portal for any customer who authorizes the CRES provider such access.</w:t>
      </w:r>
      <w:r w:rsidRPr="00386129">
        <w:rPr>
          <w:rFonts w:ascii="Arial" w:hAnsi="Arial" w:cs="Arial"/>
          <w:sz w:val="24"/>
          <w:szCs w:val="24"/>
          <w:vertAlign w:val="superscript"/>
        </w:rPr>
        <w:footnoteReference w:id="18"/>
      </w:r>
    </w:p>
    <w:p w14:paraId="50039E99" w14:textId="77777777" w:rsidR="00386129" w:rsidRPr="00386129" w:rsidRDefault="00386129" w:rsidP="00386129">
      <w:pPr>
        <w:autoSpaceDE w:val="0"/>
        <w:autoSpaceDN w:val="0"/>
        <w:adjustRightInd w:val="0"/>
        <w:spacing w:after="0" w:line="240" w:lineRule="auto"/>
        <w:ind w:left="1440" w:right="720" w:firstLine="720"/>
        <w:jc w:val="both"/>
        <w:rPr>
          <w:rFonts w:ascii="Arial" w:hAnsi="Arial" w:cs="Arial"/>
          <w:sz w:val="24"/>
          <w:szCs w:val="24"/>
        </w:rPr>
      </w:pPr>
    </w:p>
    <w:p w14:paraId="35E83750" w14:textId="5F3E4FBB" w:rsidR="00386129" w:rsidRPr="00386129" w:rsidRDefault="00386129" w:rsidP="00386129">
      <w:pPr>
        <w:numPr>
          <w:ilvl w:val="0"/>
          <w:numId w:val="13"/>
        </w:numPr>
        <w:autoSpaceDE w:val="0"/>
        <w:autoSpaceDN w:val="0"/>
        <w:adjustRightInd w:val="0"/>
        <w:spacing w:after="0" w:line="240" w:lineRule="auto"/>
        <w:ind w:right="720"/>
        <w:jc w:val="both"/>
        <w:rPr>
          <w:rFonts w:ascii="Arial" w:hAnsi="Arial" w:cs="Arial"/>
          <w:sz w:val="24"/>
          <w:szCs w:val="24"/>
        </w:rPr>
      </w:pPr>
      <w:r w:rsidRPr="00386129">
        <w:rPr>
          <w:rFonts w:ascii="Arial" w:hAnsi="Arial" w:cs="Arial"/>
          <w:sz w:val="24"/>
          <w:szCs w:val="24"/>
          <w:u w:val="single"/>
        </w:rPr>
        <w:t>Within 3 months of Order in this case</w:t>
      </w:r>
      <w:r w:rsidRPr="00386129">
        <w:rPr>
          <w:rFonts w:ascii="Arial" w:hAnsi="Arial" w:cs="Arial"/>
          <w:sz w:val="24"/>
          <w:szCs w:val="24"/>
        </w:rPr>
        <w:t>:  Provide to CRES providers (with proper customer Letters of Authorization, as per Commission rules) billable quality interval data in one-hour increments (hourly intervals) on a monthly basis via EDI at least three business days before the customer bills or a time perio</w:t>
      </w:r>
      <w:r>
        <w:rPr>
          <w:rFonts w:ascii="Arial" w:hAnsi="Arial" w:cs="Arial"/>
          <w:sz w:val="24"/>
          <w:szCs w:val="24"/>
        </w:rPr>
        <w:t>d</w:t>
      </w:r>
      <w:r w:rsidRPr="00386129">
        <w:rPr>
          <w:rFonts w:ascii="Arial" w:hAnsi="Arial" w:cs="Arial"/>
          <w:sz w:val="24"/>
          <w:szCs w:val="24"/>
        </w:rPr>
        <w:t xml:space="preserve"> no shorter than already provided to CRES providers using bill-ready utility-consolidated billing.</w:t>
      </w:r>
    </w:p>
    <w:p w14:paraId="289EC8D6" w14:textId="77777777" w:rsidR="00386129" w:rsidRPr="00386129" w:rsidRDefault="00386129" w:rsidP="00386129">
      <w:pPr>
        <w:autoSpaceDE w:val="0"/>
        <w:autoSpaceDN w:val="0"/>
        <w:adjustRightInd w:val="0"/>
        <w:spacing w:after="0" w:line="240" w:lineRule="auto"/>
        <w:ind w:left="1440" w:right="720" w:firstLine="720"/>
        <w:jc w:val="both"/>
        <w:rPr>
          <w:rFonts w:ascii="Arial" w:hAnsi="Arial" w:cs="Arial"/>
          <w:sz w:val="24"/>
          <w:szCs w:val="24"/>
        </w:rPr>
      </w:pPr>
    </w:p>
    <w:p w14:paraId="47325E9E" w14:textId="4909825B" w:rsidR="003504EC" w:rsidRDefault="00386129" w:rsidP="00386129">
      <w:pPr>
        <w:numPr>
          <w:ilvl w:val="0"/>
          <w:numId w:val="13"/>
        </w:numPr>
        <w:autoSpaceDE w:val="0"/>
        <w:autoSpaceDN w:val="0"/>
        <w:adjustRightInd w:val="0"/>
        <w:spacing w:after="0" w:line="240" w:lineRule="auto"/>
        <w:ind w:right="720"/>
        <w:jc w:val="both"/>
        <w:rPr>
          <w:rFonts w:ascii="Arial" w:hAnsi="Arial" w:cs="Arial"/>
          <w:sz w:val="24"/>
          <w:szCs w:val="24"/>
        </w:rPr>
      </w:pPr>
      <w:r w:rsidRPr="00386129">
        <w:rPr>
          <w:rFonts w:ascii="Arial" w:hAnsi="Arial" w:cs="Arial"/>
          <w:sz w:val="24"/>
          <w:szCs w:val="24"/>
          <w:u w:val="single"/>
        </w:rPr>
        <w:t>Within 6 months of Order in this case</w:t>
      </w:r>
      <w:r w:rsidRPr="00386129">
        <w:rPr>
          <w:rFonts w:ascii="Arial" w:hAnsi="Arial" w:cs="Arial"/>
          <w:sz w:val="24"/>
          <w:szCs w:val="24"/>
        </w:rPr>
        <w:t>:  (A) Non-billing quality (AMI meter data) in hourly intervals via an FTP file on a next-day, daily basis for any customer of a CRES provider with a verified AMI meter who authorizes the CRES provider such access; and (B) Proposed budget as well as listing of benchmarks/tasks with deadlines for the capabilities listed in the chart contained in these comments and designated for Phase 2 and Phase 3 capabilities.</w:t>
      </w:r>
    </w:p>
    <w:p w14:paraId="0CDABCAC" w14:textId="77777777" w:rsidR="00386129" w:rsidRPr="00386129" w:rsidRDefault="00386129" w:rsidP="00386129">
      <w:pPr>
        <w:autoSpaceDE w:val="0"/>
        <w:autoSpaceDN w:val="0"/>
        <w:adjustRightInd w:val="0"/>
        <w:spacing w:after="0" w:line="240" w:lineRule="auto"/>
        <w:ind w:right="720"/>
        <w:jc w:val="both"/>
        <w:rPr>
          <w:rFonts w:ascii="Arial" w:hAnsi="Arial" w:cs="Arial"/>
          <w:sz w:val="24"/>
          <w:szCs w:val="24"/>
        </w:rPr>
      </w:pPr>
    </w:p>
    <w:p w14:paraId="348D71F9" w14:textId="6E03EEFF" w:rsidR="007D5BFF" w:rsidRDefault="00386129" w:rsidP="00386129">
      <w:pPr>
        <w:autoSpaceDE w:val="0"/>
        <w:autoSpaceDN w:val="0"/>
        <w:adjustRightInd w:val="0"/>
        <w:spacing w:after="0" w:line="480" w:lineRule="auto"/>
        <w:jc w:val="both"/>
        <w:rPr>
          <w:rFonts w:ascii="Arial" w:hAnsi="Arial" w:cs="Arial"/>
          <w:sz w:val="24"/>
          <w:szCs w:val="24"/>
        </w:rPr>
      </w:pPr>
      <w:r>
        <w:rPr>
          <w:rFonts w:ascii="Arial" w:hAnsi="Arial" w:cs="Arial"/>
          <w:sz w:val="24"/>
          <w:szCs w:val="24"/>
        </w:rPr>
        <w:t>Explicit deadlines are necessary to ensure that Duke complies with the Commission’s directive.</w:t>
      </w:r>
    </w:p>
    <w:p w14:paraId="72325A88" w14:textId="1202FE82" w:rsidR="009B4C7C" w:rsidRDefault="00AC58C0" w:rsidP="00AC58C0">
      <w:pPr>
        <w:pStyle w:val="ListParagraph"/>
        <w:numPr>
          <w:ilvl w:val="0"/>
          <w:numId w:val="12"/>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Duke should calculate PLCs</w:t>
      </w:r>
      <w:r w:rsidR="009F141F">
        <w:rPr>
          <w:rFonts w:ascii="Arial" w:hAnsi="Arial" w:cs="Arial"/>
          <w:b/>
          <w:sz w:val="24"/>
          <w:szCs w:val="24"/>
        </w:rPr>
        <w:t xml:space="preserve"> and NSPLs</w:t>
      </w:r>
      <w:r>
        <w:rPr>
          <w:rFonts w:ascii="Arial" w:hAnsi="Arial" w:cs="Arial"/>
          <w:b/>
          <w:sz w:val="24"/>
          <w:szCs w:val="24"/>
        </w:rPr>
        <w:t xml:space="preserve"> based upon actual usage</w:t>
      </w:r>
    </w:p>
    <w:p w14:paraId="7B294C43" w14:textId="288B7F93" w:rsidR="00E10B32" w:rsidRDefault="005C23F7" w:rsidP="00E10B32">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PJM Interconnection (“PJM”</w:t>
      </w:r>
      <w:r w:rsidR="00E10B32">
        <w:rPr>
          <w:rFonts w:ascii="Arial" w:hAnsi="Arial" w:cs="Arial"/>
          <w:sz w:val="24"/>
          <w:szCs w:val="24"/>
        </w:rPr>
        <w:t xml:space="preserve">) calculates capacity obligations based upon contributions to the system-wide peak demand during the five highest hours of usage.  This is commonly referred to as a customer’s PLC, which determines </w:t>
      </w:r>
      <w:r w:rsidR="00AC58C0">
        <w:rPr>
          <w:rFonts w:ascii="Arial" w:hAnsi="Arial" w:cs="Arial"/>
          <w:sz w:val="24"/>
          <w:szCs w:val="24"/>
        </w:rPr>
        <w:t>the amount of capacity a CRES provider must procure for that customer.</w:t>
      </w:r>
      <w:r w:rsidR="009F141F">
        <w:rPr>
          <w:rFonts w:ascii="Arial" w:hAnsi="Arial" w:cs="Arial"/>
          <w:sz w:val="24"/>
          <w:szCs w:val="24"/>
        </w:rPr>
        <w:t xml:space="preserve"> </w:t>
      </w:r>
      <w:r w:rsidR="00903512">
        <w:rPr>
          <w:rFonts w:ascii="Arial" w:hAnsi="Arial" w:cs="Arial"/>
          <w:sz w:val="24"/>
          <w:szCs w:val="24"/>
        </w:rPr>
        <w:t xml:space="preserve">Moreover, </w:t>
      </w:r>
      <w:r w:rsidR="009F141F">
        <w:rPr>
          <w:rFonts w:ascii="Arial" w:hAnsi="Arial" w:cs="Arial"/>
          <w:sz w:val="24"/>
          <w:szCs w:val="24"/>
        </w:rPr>
        <w:t xml:space="preserve">PJM calculates </w:t>
      </w:r>
      <w:r w:rsidR="009F141F">
        <w:rPr>
          <w:rFonts w:ascii="Arial" w:hAnsi="Arial" w:cs="Arial"/>
          <w:sz w:val="24"/>
          <w:szCs w:val="24"/>
        </w:rPr>
        <w:lastRenderedPageBreak/>
        <w:t>NSPLs based upon a customer</w:t>
      </w:r>
      <w:r w:rsidR="004641EA">
        <w:rPr>
          <w:rFonts w:ascii="Arial" w:hAnsi="Arial" w:cs="Arial"/>
          <w:sz w:val="24"/>
          <w:szCs w:val="24"/>
        </w:rPr>
        <w:t>’</w:t>
      </w:r>
      <w:r w:rsidR="009F141F">
        <w:rPr>
          <w:rFonts w:ascii="Arial" w:hAnsi="Arial" w:cs="Arial"/>
          <w:sz w:val="24"/>
          <w:szCs w:val="24"/>
        </w:rPr>
        <w:t>s usage during the peak</w:t>
      </w:r>
      <w:r w:rsidR="00903512">
        <w:rPr>
          <w:rFonts w:ascii="Arial" w:hAnsi="Arial" w:cs="Arial"/>
          <w:sz w:val="24"/>
          <w:szCs w:val="24"/>
        </w:rPr>
        <w:t xml:space="preserve"> demand hour on Duke’s transmission system.</w:t>
      </w:r>
      <w:r w:rsidR="00AC58C0">
        <w:rPr>
          <w:rFonts w:ascii="Arial" w:hAnsi="Arial" w:cs="Arial"/>
          <w:sz w:val="24"/>
          <w:szCs w:val="24"/>
        </w:rPr>
        <w:t xml:space="preserve">  Based upon information and bel</w:t>
      </w:r>
      <w:r w:rsidR="00E10B32">
        <w:rPr>
          <w:rFonts w:ascii="Arial" w:hAnsi="Arial" w:cs="Arial"/>
          <w:sz w:val="24"/>
          <w:szCs w:val="24"/>
        </w:rPr>
        <w:t>ief, Duke calculates each</w:t>
      </w:r>
      <w:r w:rsidR="00AC58C0">
        <w:rPr>
          <w:rFonts w:ascii="Arial" w:hAnsi="Arial" w:cs="Arial"/>
          <w:sz w:val="24"/>
          <w:szCs w:val="24"/>
        </w:rPr>
        <w:t xml:space="preserve"> customer PLC</w:t>
      </w:r>
      <w:r w:rsidR="00903512">
        <w:rPr>
          <w:rFonts w:ascii="Arial" w:hAnsi="Arial" w:cs="Arial"/>
          <w:sz w:val="24"/>
          <w:szCs w:val="24"/>
        </w:rPr>
        <w:t xml:space="preserve"> and NSPL</w:t>
      </w:r>
      <w:r w:rsidR="00AC58C0">
        <w:rPr>
          <w:rFonts w:ascii="Arial" w:hAnsi="Arial" w:cs="Arial"/>
          <w:sz w:val="24"/>
          <w:szCs w:val="24"/>
        </w:rPr>
        <w:t xml:space="preserve"> based upon a profil</w:t>
      </w:r>
      <w:r w:rsidR="00454C0E">
        <w:rPr>
          <w:rFonts w:ascii="Arial" w:hAnsi="Arial" w:cs="Arial"/>
          <w:sz w:val="24"/>
          <w:szCs w:val="24"/>
        </w:rPr>
        <w:t>e rather than the customer’s act</w:t>
      </w:r>
      <w:r w:rsidR="00AC58C0">
        <w:rPr>
          <w:rFonts w:ascii="Arial" w:hAnsi="Arial" w:cs="Arial"/>
          <w:sz w:val="24"/>
          <w:szCs w:val="24"/>
        </w:rPr>
        <w:t>ual energy</w:t>
      </w:r>
      <w:r w:rsidR="00454C0E">
        <w:rPr>
          <w:rFonts w:ascii="Arial" w:hAnsi="Arial" w:cs="Arial"/>
          <w:sz w:val="24"/>
          <w:szCs w:val="24"/>
        </w:rPr>
        <w:t xml:space="preserve"> usage</w:t>
      </w:r>
      <w:r w:rsidR="00E10B32">
        <w:rPr>
          <w:rFonts w:ascii="Arial" w:hAnsi="Arial" w:cs="Arial"/>
          <w:sz w:val="24"/>
          <w:szCs w:val="24"/>
        </w:rPr>
        <w:t>.</w:t>
      </w:r>
      <w:r w:rsidR="004821D0">
        <w:rPr>
          <w:rStyle w:val="FootnoteReference"/>
          <w:rFonts w:ascii="Arial" w:hAnsi="Arial" w:cs="Arial"/>
          <w:sz w:val="24"/>
          <w:szCs w:val="24"/>
        </w:rPr>
        <w:footnoteReference w:id="19"/>
      </w:r>
      <w:r w:rsidR="009F141F">
        <w:rPr>
          <w:rFonts w:ascii="Arial" w:hAnsi="Arial" w:cs="Arial"/>
          <w:sz w:val="24"/>
          <w:szCs w:val="24"/>
        </w:rPr>
        <w:t xml:space="preserve">  To the extent that Duke disagrees, it should explain how it calculates residential customers’ PLCs</w:t>
      </w:r>
      <w:r w:rsidR="00903512">
        <w:rPr>
          <w:rFonts w:ascii="Arial" w:hAnsi="Arial" w:cs="Arial"/>
          <w:sz w:val="24"/>
          <w:szCs w:val="24"/>
        </w:rPr>
        <w:t xml:space="preserve"> and NSPLs</w:t>
      </w:r>
      <w:r w:rsidR="009F141F">
        <w:rPr>
          <w:rFonts w:ascii="Arial" w:hAnsi="Arial" w:cs="Arial"/>
          <w:sz w:val="24"/>
          <w:szCs w:val="24"/>
        </w:rPr>
        <w:t>.</w:t>
      </w:r>
      <w:r w:rsidR="00E10B32">
        <w:rPr>
          <w:rFonts w:ascii="Arial" w:hAnsi="Arial" w:cs="Arial"/>
          <w:sz w:val="24"/>
          <w:szCs w:val="24"/>
        </w:rPr>
        <w:t xml:space="preserve"> Duke should transition toward calculating its customers’ PLCs</w:t>
      </w:r>
      <w:r w:rsidR="00903512">
        <w:rPr>
          <w:rFonts w:ascii="Arial" w:hAnsi="Arial" w:cs="Arial"/>
          <w:sz w:val="24"/>
          <w:szCs w:val="24"/>
        </w:rPr>
        <w:t xml:space="preserve"> and NSPLs</w:t>
      </w:r>
      <w:r w:rsidR="00E10B32">
        <w:rPr>
          <w:rFonts w:ascii="Arial" w:hAnsi="Arial" w:cs="Arial"/>
          <w:sz w:val="24"/>
          <w:szCs w:val="24"/>
        </w:rPr>
        <w:t xml:space="preserve"> based upon their actual usage.</w:t>
      </w:r>
    </w:p>
    <w:p w14:paraId="04DE1615" w14:textId="76E7E369" w:rsidR="00960CFA" w:rsidRDefault="00E10B32" w:rsidP="00960CFA">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CRES providers have the ability to offer customers products and services that will reduce their usage during peak demand hours</w:t>
      </w:r>
      <w:r w:rsidR="00960CFA">
        <w:rPr>
          <w:rFonts w:ascii="Arial" w:hAnsi="Arial" w:cs="Arial"/>
          <w:sz w:val="24"/>
          <w:szCs w:val="24"/>
        </w:rPr>
        <w:t xml:space="preserve"> (usually between the hours of 4:00 pm and 6:00 pm)</w:t>
      </w:r>
      <w:r>
        <w:rPr>
          <w:rFonts w:ascii="Arial" w:hAnsi="Arial" w:cs="Arial"/>
          <w:sz w:val="24"/>
          <w:szCs w:val="24"/>
        </w:rPr>
        <w:t xml:space="preserve">.  But customers will not get “credit” for their efforts under </w:t>
      </w:r>
      <w:r w:rsidR="00903512">
        <w:rPr>
          <w:rFonts w:ascii="Arial" w:hAnsi="Arial" w:cs="Arial"/>
          <w:sz w:val="24"/>
          <w:szCs w:val="24"/>
        </w:rPr>
        <w:t>Duke’s current methodologies</w:t>
      </w:r>
      <w:r>
        <w:rPr>
          <w:rFonts w:ascii="Arial" w:hAnsi="Arial" w:cs="Arial"/>
          <w:sz w:val="24"/>
          <w:szCs w:val="24"/>
        </w:rPr>
        <w:t xml:space="preserve">.  Thus, customers have little incentive to use energy efficiently </w:t>
      </w:r>
      <w:r>
        <w:rPr>
          <w:rFonts w:ascii="Arial" w:hAnsi="Arial" w:cs="Arial"/>
          <w:sz w:val="24"/>
          <w:szCs w:val="24"/>
        </w:rPr>
        <w:lastRenderedPageBreak/>
        <w:t>under the current paradigm.  For example,</w:t>
      </w:r>
      <w:r w:rsidR="00960CFA">
        <w:rPr>
          <w:rFonts w:ascii="Arial" w:hAnsi="Arial" w:cs="Arial"/>
          <w:sz w:val="24"/>
          <w:szCs w:val="24"/>
        </w:rPr>
        <w:t xml:space="preserve"> a customer that shifts their energy usage to off-peak times will have the same PLC</w:t>
      </w:r>
      <w:r w:rsidR="00903512">
        <w:rPr>
          <w:rFonts w:ascii="Arial" w:hAnsi="Arial" w:cs="Arial"/>
          <w:sz w:val="24"/>
          <w:szCs w:val="24"/>
        </w:rPr>
        <w:t xml:space="preserve"> or NSPL</w:t>
      </w:r>
      <w:r w:rsidR="00960CFA">
        <w:rPr>
          <w:rFonts w:ascii="Arial" w:hAnsi="Arial" w:cs="Arial"/>
          <w:sz w:val="24"/>
          <w:szCs w:val="24"/>
        </w:rPr>
        <w:t xml:space="preserve"> as a customer that runs their air conditioner at full blast.  In effect, the customer that uses their energy in an efficient manner will subsidize less efficient customers.  </w:t>
      </w:r>
    </w:p>
    <w:p w14:paraId="6451C79D" w14:textId="18B57F82" w:rsidR="00903512" w:rsidRDefault="00960CFA" w:rsidP="000A6A2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Given that Duke now has access to its customer</w:t>
      </w:r>
      <w:r w:rsidR="004641EA">
        <w:rPr>
          <w:rFonts w:ascii="Arial" w:hAnsi="Arial" w:cs="Arial"/>
          <w:sz w:val="24"/>
          <w:szCs w:val="24"/>
        </w:rPr>
        <w:t>’</w:t>
      </w:r>
      <w:r>
        <w:rPr>
          <w:rFonts w:ascii="Arial" w:hAnsi="Arial" w:cs="Arial"/>
          <w:sz w:val="24"/>
          <w:szCs w:val="24"/>
        </w:rPr>
        <w:t>s usage levels dur</w:t>
      </w:r>
      <w:r w:rsidR="00903512">
        <w:rPr>
          <w:rFonts w:ascii="Arial" w:hAnsi="Arial" w:cs="Arial"/>
          <w:sz w:val="24"/>
          <w:szCs w:val="24"/>
        </w:rPr>
        <w:t xml:space="preserve">ing peak hours of </w:t>
      </w:r>
      <w:proofErr w:type="gramStart"/>
      <w:r w:rsidR="00903512">
        <w:rPr>
          <w:rFonts w:ascii="Arial" w:hAnsi="Arial" w:cs="Arial"/>
          <w:sz w:val="24"/>
          <w:szCs w:val="24"/>
        </w:rPr>
        <w:t>usage</w:t>
      </w:r>
      <w:r>
        <w:rPr>
          <w:rFonts w:ascii="Arial" w:hAnsi="Arial" w:cs="Arial"/>
          <w:sz w:val="24"/>
          <w:szCs w:val="24"/>
        </w:rPr>
        <w:t>,</w:t>
      </w:r>
      <w:proofErr w:type="gramEnd"/>
      <w:r>
        <w:rPr>
          <w:rFonts w:ascii="Arial" w:hAnsi="Arial" w:cs="Arial"/>
          <w:sz w:val="24"/>
          <w:szCs w:val="24"/>
        </w:rPr>
        <w:t xml:space="preserve"> the Commission should direct Duke to en</w:t>
      </w:r>
      <w:r w:rsidR="00903512">
        <w:rPr>
          <w:rFonts w:ascii="Arial" w:hAnsi="Arial" w:cs="Arial"/>
          <w:sz w:val="24"/>
          <w:szCs w:val="24"/>
        </w:rPr>
        <w:t>d its practice of profiling</w:t>
      </w:r>
      <w:r>
        <w:rPr>
          <w:rFonts w:ascii="Arial" w:hAnsi="Arial" w:cs="Arial"/>
          <w:sz w:val="24"/>
          <w:szCs w:val="24"/>
        </w:rPr>
        <w:t>.  Accordingly, IGS recommends that the Commission direct Duke to convene a collaborative to modify its methodology for calculating PLCs</w:t>
      </w:r>
      <w:r w:rsidR="00903512">
        <w:rPr>
          <w:rFonts w:ascii="Arial" w:hAnsi="Arial" w:cs="Arial"/>
          <w:sz w:val="24"/>
          <w:szCs w:val="24"/>
        </w:rPr>
        <w:t xml:space="preserve"> and NSPLs</w:t>
      </w:r>
      <w:r>
        <w:rPr>
          <w:rFonts w:ascii="Arial" w:hAnsi="Arial" w:cs="Arial"/>
          <w:sz w:val="24"/>
          <w:szCs w:val="24"/>
        </w:rPr>
        <w:t>.</w:t>
      </w:r>
      <w:r w:rsidR="00903512">
        <w:rPr>
          <w:rFonts w:ascii="Arial" w:hAnsi="Arial" w:cs="Arial"/>
          <w:sz w:val="24"/>
          <w:szCs w:val="24"/>
        </w:rPr>
        <w:t xml:space="preserve">  </w:t>
      </w:r>
    </w:p>
    <w:p w14:paraId="4D9AC6B3" w14:textId="0AA9F58F" w:rsidR="00386129" w:rsidRDefault="00386129" w:rsidP="00454C0E">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Moreover, the Commission should establish deadlines for adopting methodologies for both PLCs and NSPLs.  The Commission should require Duke to implement new methodologies based upon actual customer usage no later than November 30, 2015</w:t>
      </w:r>
      <w:r w:rsidRPr="009F141F">
        <w:rPr>
          <w:rFonts w:ascii="Arial" w:hAnsi="Arial" w:cs="Arial"/>
          <w:sz w:val="24"/>
          <w:szCs w:val="24"/>
        </w:rPr>
        <w:t xml:space="preserve"> to</w:t>
      </w:r>
      <w:r>
        <w:rPr>
          <w:rFonts w:ascii="Arial" w:hAnsi="Arial" w:cs="Arial"/>
          <w:sz w:val="24"/>
          <w:szCs w:val="24"/>
        </w:rPr>
        <w:t xml:space="preserve"> ensure that CRES providers can calculate customers’ NSPLs and capacity obligations</w:t>
      </w:r>
      <w:r w:rsidRPr="009F141F">
        <w:rPr>
          <w:rFonts w:ascii="Arial" w:hAnsi="Arial" w:cs="Arial"/>
          <w:sz w:val="24"/>
          <w:szCs w:val="24"/>
        </w:rPr>
        <w:t xml:space="preserve"> c sufficiently in advance of </w:t>
      </w:r>
      <w:r>
        <w:rPr>
          <w:rFonts w:ascii="Arial" w:hAnsi="Arial" w:cs="Arial"/>
          <w:sz w:val="24"/>
          <w:szCs w:val="24"/>
        </w:rPr>
        <w:t>new network service and capacity rates going into effect.</w:t>
      </w:r>
    </w:p>
    <w:p w14:paraId="2AD9E428" w14:textId="6ED079CF" w:rsidR="00A17DD2" w:rsidRDefault="00A17DD2" w:rsidP="00A17DD2">
      <w:pPr>
        <w:pStyle w:val="ListParagraph"/>
        <w:numPr>
          <w:ilvl w:val="0"/>
          <w:numId w:val="1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Duke should perform energy-related settlements based upon actual interval data hourly usage</w:t>
      </w:r>
    </w:p>
    <w:p w14:paraId="6EA23F70" w14:textId="77777777" w:rsidR="00A17DD2" w:rsidRDefault="00A17DD2" w:rsidP="00A17DD2">
      <w:pPr>
        <w:pStyle w:val="ListParagraph"/>
        <w:autoSpaceDE w:val="0"/>
        <w:autoSpaceDN w:val="0"/>
        <w:adjustRightInd w:val="0"/>
        <w:spacing w:after="0" w:line="240" w:lineRule="auto"/>
        <w:ind w:left="1800"/>
        <w:jc w:val="both"/>
        <w:rPr>
          <w:rFonts w:ascii="Arial" w:hAnsi="Arial" w:cs="Arial"/>
          <w:b/>
          <w:sz w:val="24"/>
          <w:szCs w:val="24"/>
        </w:rPr>
      </w:pPr>
    </w:p>
    <w:p w14:paraId="468A9A90" w14:textId="6B6370CB" w:rsidR="000A6A25" w:rsidRDefault="00A17DD2" w:rsidP="000A6A2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CRES providers deliver energy to serve customers in Duke’s service territory twenty-four hours a day and seven days a week. </w:t>
      </w:r>
      <w:r w:rsidR="000A6A25">
        <w:rPr>
          <w:rFonts w:ascii="Arial" w:hAnsi="Arial" w:cs="Arial"/>
          <w:sz w:val="24"/>
          <w:szCs w:val="24"/>
        </w:rPr>
        <w:t xml:space="preserve"> </w:t>
      </w:r>
      <w:r>
        <w:rPr>
          <w:rFonts w:ascii="Arial" w:hAnsi="Arial" w:cs="Arial"/>
          <w:sz w:val="24"/>
          <w:szCs w:val="24"/>
        </w:rPr>
        <w:t>Based upon information and belief, Duke does not use non-commercial customers’ actual energy usage in each hour for purposes of determining the quantity of energy a CRES provider must deliver in each hour.  Like PLCs</w:t>
      </w:r>
      <w:r w:rsidR="00903512">
        <w:rPr>
          <w:rFonts w:ascii="Arial" w:hAnsi="Arial" w:cs="Arial"/>
          <w:sz w:val="24"/>
          <w:szCs w:val="24"/>
        </w:rPr>
        <w:t xml:space="preserve"> and NSPLs</w:t>
      </w:r>
      <w:r>
        <w:rPr>
          <w:rFonts w:ascii="Arial" w:hAnsi="Arial" w:cs="Arial"/>
          <w:sz w:val="24"/>
          <w:szCs w:val="24"/>
        </w:rPr>
        <w:t>,</w:t>
      </w:r>
      <w:r w:rsidR="000A6A25">
        <w:rPr>
          <w:rFonts w:ascii="Arial" w:hAnsi="Arial" w:cs="Arial"/>
          <w:sz w:val="24"/>
          <w:szCs w:val="24"/>
        </w:rPr>
        <w:t xml:space="preserve"> Duke profiles customers’ energy usage during each hour of the day. This process undermines the value of smart meter-enabled products and services.</w:t>
      </w:r>
    </w:p>
    <w:p w14:paraId="2355792A" w14:textId="4EE8A746" w:rsidR="000A6A25" w:rsidRDefault="000A6A25" w:rsidP="000A6A2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lastRenderedPageBreak/>
        <w:t>If a CRES provider provides a customer a time-of-use rate or direct load control product, a customer’s usage may decrease during times of peak usage.  Under Duke’s current settlement process, the CRES provider will be required to deliver the same amount of energy to the grid during peak hours.  In other words, the CRES provider and customer will not receive credit for reducing usage at times when the wholesale market places a higher price on energy.  Duke has access to customer usage levels during each hour.  Thus, the Commission should direct Duke to modify its settlement system so that it is consistent with the actual energy usage at the meter level in all hours of the day.</w:t>
      </w:r>
    </w:p>
    <w:p w14:paraId="2202087B" w14:textId="29F5BA25" w:rsidR="00960CFA" w:rsidRDefault="00903512" w:rsidP="00903512">
      <w:pPr>
        <w:pStyle w:val="ListParagraph"/>
        <w:numPr>
          <w:ilvl w:val="0"/>
          <w:numId w:val="8"/>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CONCLUSION</w:t>
      </w:r>
    </w:p>
    <w:p w14:paraId="5E4B4705" w14:textId="77777777" w:rsidR="00903512" w:rsidRDefault="00903512" w:rsidP="0090351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the reasons stated herein, IGS recommends that the Commission direct Duke to implement the following:</w:t>
      </w:r>
    </w:p>
    <w:p w14:paraId="08F0713F" w14:textId="4ACEE941" w:rsidR="00903512" w:rsidRDefault="00903512" w:rsidP="00903512">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Immediately invest in the necessary meter data management systems necessary to allow CRES providers to receive customer interval data through</w:t>
      </w:r>
      <w:r w:rsidR="00454C0E">
        <w:rPr>
          <w:rFonts w:ascii="Arial" w:hAnsi="Arial" w:cs="Arial"/>
          <w:sz w:val="24"/>
          <w:szCs w:val="24"/>
        </w:rPr>
        <w:t xml:space="preserve"> EDI</w:t>
      </w:r>
      <w:r>
        <w:rPr>
          <w:rFonts w:ascii="Arial" w:hAnsi="Arial" w:cs="Arial"/>
          <w:sz w:val="24"/>
          <w:szCs w:val="24"/>
        </w:rPr>
        <w:t>;</w:t>
      </w:r>
    </w:p>
    <w:p w14:paraId="0B353CFB" w14:textId="77777777" w:rsidR="00903512" w:rsidRDefault="00903512" w:rsidP="00903512">
      <w:pPr>
        <w:pStyle w:val="ListParagraph"/>
        <w:autoSpaceDE w:val="0"/>
        <w:autoSpaceDN w:val="0"/>
        <w:adjustRightInd w:val="0"/>
        <w:spacing w:after="120" w:line="240" w:lineRule="auto"/>
        <w:ind w:left="1080" w:right="720"/>
        <w:jc w:val="both"/>
        <w:rPr>
          <w:rFonts w:ascii="Arial" w:hAnsi="Arial" w:cs="Arial"/>
          <w:sz w:val="24"/>
          <w:szCs w:val="24"/>
        </w:rPr>
      </w:pPr>
    </w:p>
    <w:p w14:paraId="14711A6A" w14:textId="3D8B4792" w:rsidR="00903512" w:rsidRDefault="00903512" w:rsidP="00903512">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Transi</w:t>
      </w:r>
      <w:r w:rsidR="00454C0E">
        <w:rPr>
          <w:rFonts w:ascii="Arial" w:hAnsi="Arial" w:cs="Arial"/>
          <w:sz w:val="24"/>
          <w:szCs w:val="24"/>
        </w:rPr>
        <w:t>tion to calculating each customer’s PLC</w:t>
      </w:r>
      <w:r>
        <w:rPr>
          <w:rFonts w:ascii="Arial" w:hAnsi="Arial" w:cs="Arial"/>
          <w:sz w:val="24"/>
          <w:szCs w:val="24"/>
        </w:rPr>
        <w:t xml:space="preserve"> based upon their actual usage;</w:t>
      </w:r>
    </w:p>
    <w:p w14:paraId="520F14F2" w14:textId="77777777" w:rsidR="00903512" w:rsidRPr="009F141F" w:rsidRDefault="00903512" w:rsidP="00903512">
      <w:pPr>
        <w:pStyle w:val="ListParagraph"/>
        <w:rPr>
          <w:rFonts w:ascii="Arial" w:hAnsi="Arial" w:cs="Arial"/>
          <w:sz w:val="24"/>
          <w:szCs w:val="24"/>
        </w:rPr>
      </w:pPr>
    </w:p>
    <w:p w14:paraId="27A369D9" w14:textId="609DA85A" w:rsidR="00903512" w:rsidRPr="00ED25F0" w:rsidRDefault="00903512" w:rsidP="00903512">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Transition to calculating</w:t>
      </w:r>
      <w:r w:rsidR="00454C0E">
        <w:rPr>
          <w:rFonts w:ascii="Arial" w:hAnsi="Arial" w:cs="Arial"/>
          <w:sz w:val="24"/>
          <w:szCs w:val="24"/>
        </w:rPr>
        <w:t xml:space="preserve"> each customer’s NSPL</w:t>
      </w:r>
      <w:r>
        <w:rPr>
          <w:rFonts w:ascii="Arial" w:hAnsi="Arial" w:cs="Arial"/>
          <w:sz w:val="24"/>
          <w:szCs w:val="24"/>
        </w:rPr>
        <w:t xml:space="preserve"> based upon actual peak usage on the Duke system during the coincident peak;</w:t>
      </w:r>
    </w:p>
    <w:p w14:paraId="43206CD1" w14:textId="77777777" w:rsidR="00903512" w:rsidRPr="00ED25F0" w:rsidRDefault="00903512" w:rsidP="00903512">
      <w:pPr>
        <w:pStyle w:val="ListParagraph"/>
        <w:autoSpaceDE w:val="0"/>
        <w:autoSpaceDN w:val="0"/>
        <w:adjustRightInd w:val="0"/>
        <w:spacing w:after="120" w:line="240" w:lineRule="auto"/>
        <w:ind w:left="1080" w:right="720"/>
        <w:jc w:val="both"/>
        <w:rPr>
          <w:rFonts w:ascii="Arial" w:hAnsi="Arial" w:cs="Arial"/>
          <w:sz w:val="24"/>
          <w:szCs w:val="24"/>
        </w:rPr>
      </w:pPr>
    </w:p>
    <w:p w14:paraId="4DFB769A" w14:textId="77777777" w:rsidR="00903512" w:rsidRPr="003622C7" w:rsidRDefault="00903512" w:rsidP="00903512">
      <w:pPr>
        <w:pStyle w:val="ListParagraph"/>
        <w:numPr>
          <w:ilvl w:val="0"/>
          <w:numId w:val="9"/>
        </w:numPr>
        <w:autoSpaceDE w:val="0"/>
        <w:autoSpaceDN w:val="0"/>
        <w:adjustRightInd w:val="0"/>
        <w:spacing w:after="120" w:line="240" w:lineRule="auto"/>
        <w:ind w:left="1080" w:right="720"/>
        <w:jc w:val="both"/>
        <w:rPr>
          <w:rFonts w:ascii="Arial" w:hAnsi="Arial" w:cs="Arial"/>
          <w:sz w:val="24"/>
          <w:szCs w:val="24"/>
        </w:rPr>
      </w:pPr>
      <w:r>
        <w:rPr>
          <w:rFonts w:ascii="Arial" w:hAnsi="Arial" w:cs="Arial"/>
          <w:sz w:val="24"/>
          <w:szCs w:val="24"/>
        </w:rPr>
        <w:t xml:space="preserve">Perform CRES provider settlements based upon actual meter data. </w:t>
      </w:r>
    </w:p>
    <w:p w14:paraId="037B3D92" w14:textId="6BF30DC8" w:rsidR="00903512" w:rsidRPr="00903512" w:rsidRDefault="00903512" w:rsidP="00850567">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As discussed below, these measures are necessary to continue development of the market in Duke’s service territory.</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7176D2D3" w14:textId="77777777" w:rsidR="00545F29" w:rsidRDefault="00545F29" w:rsidP="00850567">
      <w:pPr>
        <w:spacing w:after="0" w:line="240" w:lineRule="auto"/>
        <w:rPr>
          <w:rFonts w:ascii="Arial" w:eastAsia="Calibri" w:hAnsi="Arial" w:cs="Arial"/>
          <w:sz w:val="24"/>
          <w:szCs w:val="24"/>
          <w:u w:val="single"/>
        </w:rPr>
      </w:pPr>
    </w:p>
    <w:p w14:paraId="7176D2D4" w14:textId="71202B1E" w:rsidR="00F10F9B" w:rsidRPr="00D223D6" w:rsidRDefault="00F5720A">
      <w:pPr>
        <w:spacing w:after="0" w:line="240" w:lineRule="auto"/>
        <w:ind w:left="5040"/>
        <w:rPr>
          <w:rFonts w:ascii="Arial" w:eastAsia="Arial" w:hAnsi="Arial" w:cs="Arial"/>
          <w:b/>
          <w:i/>
          <w:sz w:val="24"/>
          <w:szCs w:val="24"/>
          <w:u w:val="single"/>
        </w:rPr>
      </w:pPr>
      <w:r w:rsidRPr="00D223D6">
        <w:rPr>
          <w:rFonts w:ascii="Arial" w:eastAsia="Arial" w:hAnsi="Arial" w:cs="Arial"/>
          <w:b/>
          <w:i/>
          <w:sz w:val="24"/>
          <w:szCs w:val="24"/>
          <w:u w:val="single"/>
        </w:rPr>
        <w:t>/s/ Joseph Oliker</w:t>
      </w:r>
    </w:p>
    <w:p w14:paraId="0181F1A6" w14:textId="10887A4B" w:rsidR="00F5720A" w:rsidRPr="007B3399" w:rsidRDefault="00F5720A" w:rsidP="007B3399">
      <w:pPr>
        <w:spacing w:after="0" w:line="240" w:lineRule="auto"/>
        <w:ind w:left="5040"/>
        <w:rPr>
          <w:rFonts w:ascii="Arial" w:hAnsi="Arial" w:cs="Arial"/>
          <w:sz w:val="24"/>
          <w:szCs w:val="24"/>
        </w:rPr>
      </w:pPr>
      <w:r>
        <w:rPr>
          <w:rFonts w:ascii="Arial" w:eastAsia="Arial" w:hAnsi="Arial" w:cs="Arial"/>
          <w:sz w:val="24"/>
          <w:szCs w:val="24"/>
        </w:rPr>
        <w:t>Joseph Oliker</w:t>
      </w:r>
      <w:r w:rsidR="007B3399">
        <w:rPr>
          <w:rFonts w:ascii="Arial" w:eastAsia="Arial" w:hAnsi="Arial" w:cs="Arial"/>
          <w:sz w:val="24"/>
          <w:szCs w:val="24"/>
        </w:rPr>
        <w:t xml:space="preserve"> </w:t>
      </w:r>
    </w:p>
    <w:p w14:paraId="4878AB42" w14:textId="5D55136F" w:rsidR="00F5720A" w:rsidRDefault="00F5720A">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7176D2D6" w14:textId="1BBE8363" w:rsidR="00545F29" w:rsidRDefault="00F5720A" w:rsidP="00F5720A">
      <w:pPr>
        <w:spacing w:after="0" w:line="240" w:lineRule="auto"/>
        <w:ind w:left="5040"/>
        <w:rPr>
          <w:rFonts w:ascii="Arial" w:hAnsi="Arial" w:cs="Arial"/>
          <w:sz w:val="24"/>
          <w:szCs w:val="24"/>
        </w:rPr>
      </w:pPr>
      <w:r>
        <w:rPr>
          <w:rFonts w:ascii="Arial" w:hAnsi="Arial" w:cs="Arial"/>
          <w:sz w:val="24"/>
          <w:szCs w:val="24"/>
        </w:rPr>
        <w:lastRenderedPageBreak/>
        <w:t>joliker</w:t>
      </w:r>
      <w:r w:rsidR="0056270F">
        <w:rPr>
          <w:rFonts w:ascii="Arial" w:hAnsi="Arial" w:cs="Arial"/>
          <w:sz w:val="24"/>
          <w:szCs w:val="24"/>
        </w:rPr>
        <w:t>@igsenergy.com</w:t>
      </w:r>
    </w:p>
    <w:p w14:paraId="7176D2DA" w14:textId="71124126"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48CD5939" w:rsidR="00545F29" w:rsidRPr="00237730" w:rsidRDefault="00553D21"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5B995E50" w14:textId="6CDDC3AA" w:rsidR="003D01DA" w:rsidRDefault="003D01DA">
      <w:pPr>
        <w:rPr>
          <w:rFonts w:ascii="Arial" w:hAnsi="Arial" w:cs="Arial"/>
          <w:b/>
          <w:szCs w:val="24"/>
          <w:u w:val="single"/>
        </w:rPr>
      </w:pPr>
    </w:p>
    <w:p w14:paraId="5013AA4A" w14:textId="77777777" w:rsidR="00454C0E" w:rsidRDefault="00454C0E">
      <w:pPr>
        <w:rPr>
          <w:rFonts w:ascii="Arial" w:hAnsi="Arial" w:cs="Arial"/>
          <w:b/>
          <w:szCs w:val="24"/>
          <w:u w:val="single"/>
        </w:rPr>
      </w:pPr>
    </w:p>
    <w:p w14:paraId="1D78A8D5" w14:textId="77777777" w:rsidR="00454C0E" w:rsidRDefault="00454C0E">
      <w:pPr>
        <w:rPr>
          <w:rFonts w:ascii="Arial" w:hAnsi="Arial" w:cs="Arial"/>
          <w:b/>
          <w:szCs w:val="24"/>
          <w:u w:val="single"/>
        </w:rPr>
      </w:pPr>
    </w:p>
    <w:p w14:paraId="38F1C5F3" w14:textId="77777777" w:rsidR="00454C0E" w:rsidRDefault="00454C0E">
      <w:pPr>
        <w:rPr>
          <w:rFonts w:ascii="Arial" w:hAnsi="Arial" w:cs="Arial"/>
          <w:b/>
          <w:szCs w:val="24"/>
          <w:u w:val="single"/>
        </w:rPr>
      </w:pPr>
    </w:p>
    <w:p w14:paraId="2E43DB90" w14:textId="77777777" w:rsidR="00454C0E" w:rsidRDefault="00454C0E">
      <w:pPr>
        <w:rPr>
          <w:rFonts w:ascii="Arial" w:hAnsi="Arial" w:cs="Arial"/>
          <w:b/>
          <w:szCs w:val="24"/>
          <w:u w:val="single"/>
        </w:rPr>
      </w:pPr>
    </w:p>
    <w:p w14:paraId="7C4AE672" w14:textId="77777777" w:rsidR="00454C0E" w:rsidRDefault="00454C0E">
      <w:pPr>
        <w:rPr>
          <w:rFonts w:ascii="Arial" w:hAnsi="Arial" w:cs="Arial"/>
          <w:b/>
          <w:szCs w:val="24"/>
          <w:u w:val="single"/>
        </w:rPr>
      </w:pPr>
    </w:p>
    <w:p w14:paraId="60779A06" w14:textId="77777777" w:rsidR="00454C0E" w:rsidRDefault="00454C0E">
      <w:pPr>
        <w:rPr>
          <w:rFonts w:ascii="Arial" w:hAnsi="Arial" w:cs="Arial"/>
          <w:b/>
          <w:szCs w:val="24"/>
          <w:u w:val="single"/>
        </w:rPr>
      </w:pPr>
    </w:p>
    <w:p w14:paraId="675CC6B2" w14:textId="77777777" w:rsidR="00454C0E" w:rsidRDefault="00454C0E">
      <w:pPr>
        <w:rPr>
          <w:rFonts w:ascii="Arial" w:hAnsi="Arial" w:cs="Arial"/>
          <w:b/>
          <w:szCs w:val="24"/>
          <w:u w:val="single"/>
        </w:rPr>
      </w:pPr>
    </w:p>
    <w:p w14:paraId="12A82F05" w14:textId="77777777" w:rsidR="003D01DA" w:rsidRDefault="003D01DA">
      <w:pPr>
        <w:rPr>
          <w:rFonts w:ascii="Arial" w:hAnsi="Arial" w:cs="Arial"/>
          <w:b/>
          <w:szCs w:val="24"/>
          <w:u w:val="single"/>
        </w:rPr>
      </w:pPr>
    </w:p>
    <w:p w14:paraId="5920999F" w14:textId="77777777" w:rsidR="003D01DA" w:rsidRDefault="003D01DA">
      <w:pPr>
        <w:rPr>
          <w:rFonts w:ascii="Arial" w:hAnsi="Arial" w:cs="Arial"/>
          <w:b/>
          <w:szCs w:val="24"/>
          <w:u w:val="single"/>
        </w:rPr>
      </w:pPr>
    </w:p>
    <w:p w14:paraId="52B25B8D" w14:textId="77777777" w:rsidR="003D01DA" w:rsidRDefault="003D01DA">
      <w:pPr>
        <w:rPr>
          <w:rFonts w:ascii="Arial" w:hAnsi="Arial" w:cs="Arial"/>
          <w:b/>
          <w:szCs w:val="24"/>
          <w:u w:val="single"/>
        </w:rPr>
      </w:pPr>
    </w:p>
    <w:p w14:paraId="1F6F148E" w14:textId="77777777" w:rsidR="003D01DA" w:rsidRDefault="003D01DA">
      <w:pPr>
        <w:rPr>
          <w:rFonts w:ascii="Arial" w:hAnsi="Arial" w:cs="Arial"/>
          <w:b/>
          <w:szCs w:val="24"/>
          <w:u w:val="single"/>
        </w:rPr>
      </w:pPr>
    </w:p>
    <w:p w14:paraId="6D3F97CB" w14:textId="77777777" w:rsidR="00454C0E" w:rsidRDefault="00454C0E">
      <w:pPr>
        <w:rPr>
          <w:rFonts w:ascii="Arial" w:hAnsi="Arial" w:cs="Arial"/>
          <w:b/>
          <w:szCs w:val="24"/>
          <w:u w:val="single"/>
        </w:rPr>
      </w:pPr>
    </w:p>
    <w:p w14:paraId="3BAF2DA0" w14:textId="77777777" w:rsidR="00454C0E" w:rsidRDefault="00454C0E">
      <w:pPr>
        <w:rPr>
          <w:rFonts w:ascii="Arial" w:hAnsi="Arial" w:cs="Arial"/>
          <w:b/>
          <w:szCs w:val="24"/>
          <w:u w:val="single"/>
        </w:rPr>
      </w:pPr>
    </w:p>
    <w:p w14:paraId="4A7615BC" w14:textId="77777777" w:rsidR="00454C0E" w:rsidRDefault="00454C0E">
      <w:pPr>
        <w:rPr>
          <w:rFonts w:ascii="Arial" w:hAnsi="Arial" w:cs="Arial"/>
          <w:b/>
          <w:szCs w:val="24"/>
          <w:u w:val="single"/>
        </w:rPr>
      </w:pPr>
    </w:p>
    <w:p w14:paraId="1B186C7D" w14:textId="77777777" w:rsidR="00454C0E" w:rsidRDefault="00454C0E">
      <w:pPr>
        <w:rPr>
          <w:rFonts w:ascii="Arial" w:hAnsi="Arial" w:cs="Arial"/>
          <w:b/>
          <w:szCs w:val="24"/>
          <w:u w:val="single"/>
        </w:rPr>
      </w:pPr>
    </w:p>
    <w:p w14:paraId="6F3F56D5" w14:textId="77777777" w:rsidR="00850567" w:rsidRDefault="00850567">
      <w:pPr>
        <w:rPr>
          <w:rFonts w:ascii="Arial" w:hAnsi="Arial" w:cs="Arial"/>
          <w:b/>
          <w:szCs w:val="24"/>
          <w:u w:val="single"/>
        </w:rPr>
      </w:pPr>
    </w:p>
    <w:p w14:paraId="1306B082" w14:textId="77777777" w:rsidR="00454C0E" w:rsidRDefault="00454C0E">
      <w:pPr>
        <w:rPr>
          <w:rFonts w:ascii="Arial" w:hAnsi="Arial" w:cs="Arial"/>
          <w:b/>
          <w:szCs w:val="24"/>
          <w:u w:val="single"/>
        </w:rPr>
      </w:pPr>
    </w:p>
    <w:p w14:paraId="63149F59" w14:textId="0AA854BA" w:rsidR="00903512" w:rsidRDefault="00903512" w:rsidP="00454C0E">
      <w:pPr>
        <w:rPr>
          <w:rFonts w:ascii="Arial" w:hAnsi="Arial" w:cs="Arial"/>
          <w:b/>
          <w:szCs w:val="24"/>
          <w:u w:val="single"/>
        </w:rPr>
      </w:pPr>
    </w:p>
    <w:p w14:paraId="76C71F96" w14:textId="77777777" w:rsidR="00454C0E" w:rsidRDefault="00454C0E" w:rsidP="00454C0E">
      <w:pPr>
        <w:rPr>
          <w:rFonts w:ascii="Arial" w:hAnsi="Arial" w:cs="Arial"/>
          <w:b/>
          <w:szCs w:val="24"/>
          <w:u w:val="single"/>
        </w:rPr>
      </w:pPr>
    </w:p>
    <w:p w14:paraId="66649AC7" w14:textId="77777777" w:rsidR="00850567" w:rsidRDefault="00850567" w:rsidP="00454C0E">
      <w:pPr>
        <w:rPr>
          <w:rFonts w:ascii="Arial" w:hAnsi="Arial" w:cs="Arial"/>
          <w:b/>
          <w:szCs w:val="24"/>
          <w:u w:val="single"/>
        </w:rPr>
      </w:pPr>
    </w:p>
    <w:p w14:paraId="3C92BE80" w14:textId="77777777" w:rsidR="00850567" w:rsidRPr="00454C0E" w:rsidRDefault="00850567" w:rsidP="00454C0E">
      <w:pPr>
        <w:rPr>
          <w:rFonts w:ascii="Arial" w:hAnsi="Arial" w:cs="Arial"/>
          <w:b/>
          <w:szCs w:val="24"/>
          <w:u w:val="single"/>
        </w:rPr>
      </w:pP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0BA0BB72" w:rsidR="00545F29" w:rsidRPr="009D71F6" w:rsidRDefault="0056270F" w:rsidP="00D223D6">
      <w:pPr>
        <w:spacing w:after="0" w:line="48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00903512">
        <w:rPr>
          <w:rFonts w:ascii="Arial" w:eastAsia="Calibri" w:hAnsi="Arial" w:cs="Arial"/>
          <w:i/>
          <w:sz w:val="24"/>
          <w:szCs w:val="24"/>
        </w:rPr>
        <w:t xml:space="preserve">Comments </w:t>
      </w:r>
      <w:r w:rsidR="00AA75B4">
        <w:rPr>
          <w:rFonts w:ascii="Arial" w:eastAsia="Calibri" w:hAnsi="Arial" w:cs="Arial"/>
          <w:i/>
          <w:sz w:val="24"/>
          <w:szCs w:val="24"/>
        </w:rPr>
        <w:t>of IGS Energy</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903512">
        <w:rPr>
          <w:rFonts w:ascii="Arial" w:eastAsia="Calibri" w:hAnsi="Arial" w:cs="Arial"/>
          <w:sz w:val="24"/>
          <w:szCs w:val="24"/>
        </w:rPr>
        <w:t>6</w:t>
      </w:r>
      <w:r w:rsidR="00903512" w:rsidRPr="00903512">
        <w:rPr>
          <w:rFonts w:ascii="Arial" w:eastAsia="Calibri" w:hAnsi="Arial" w:cs="Arial"/>
          <w:sz w:val="24"/>
          <w:szCs w:val="24"/>
          <w:vertAlign w:val="superscript"/>
        </w:rPr>
        <w:t>th</w:t>
      </w:r>
      <w:r w:rsidR="00903512">
        <w:rPr>
          <w:rFonts w:ascii="Arial" w:eastAsia="Calibri" w:hAnsi="Arial" w:cs="Arial"/>
          <w:sz w:val="24"/>
          <w:szCs w:val="24"/>
        </w:rPr>
        <w:t xml:space="preserve"> day of March 2015</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0E" w14:textId="77777777" w:rsidR="00545F29" w:rsidRPr="009D71F6" w:rsidRDefault="00545F29">
      <w:pPr>
        <w:spacing w:after="0" w:line="240" w:lineRule="auto"/>
        <w:jc w:val="both"/>
        <w:rPr>
          <w:rFonts w:ascii="Arial" w:eastAsia="Arial" w:hAnsi="Arial" w:cs="Arial"/>
          <w:sz w:val="24"/>
          <w:szCs w:val="24"/>
        </w:rPr>
      </w:pPr>
    </w:p>
    <w:p w14:paraId="7176D30F" w14:textId="77777777" w:rsidR="00545F29" w:rsidRPr="009D71F6" w:rsidRDefault="00545F29">
      <w:pPr>
        <w:spacing w:after="0" w:line="240" w:lineRule="auto"/>
        <w:jc w:val="both"/>
        <w:rPr>
          <w:rFonts w:ascii="Arial" w:eastAsia="Arial" w:hAnsi="Arial" w:cs="Arial"/>
          <w:sz w:val="24"/>
          <w:szCs w:val="24"/>
        </w:rPr>
      </w:pPr>
    </w:p>
    <w:p w14:paraId="7176D310" w14:textId="46FCE781" w:rsidR="009D71F6" w:rsidRPr="009D71F6" w:rsidRDefault="009D71F6" w:rsidP="00237730">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sidR="00237730">
        <w:rPr>
          <w:rFonts w:ascii="Arial" w:eastAsia="Arial" w:hAnsi="Arial" w:cs="Arial"/>
          <w:i/>
          <w:sz w:val="24"/>
          <w:szCs w:val="24"/>
          <w:u w:val="single"/>
        </w:rPr>
        <w:t>Joseph Oliker_______</w:t>
      </w:r>
    </w:p>
    <w:p w14:paraId="7176D311" w14:textId="5306D116" w:rsidR="00FE2DE0" w:rsidRPr="009D71F6" w:rsidRDefault="00237730" w:rsidP="00237730">
      <w:pPr>
        <w:spacing w:after="0" w:line="240" w:lineRule="auto"/>
        <w:ind w:left="5040" w:firstLine="720"/>
        <w:rPr>
          <w:rFonts w:ascii="Arial" w:hAnsi="Arial" w:cs="Arial"/>
          <w:sz w:val="24"/>
          <w:szCs w:val="24"/>
        </w:rPr>
      </w:pPr>
      <w:r>
        <w:rPr>
          <w:rFonts w:ascii="Arial" w:hAnsi="Arial" w:cs="Arial"/>
          <w:sz w:val="24"/>
          <w:szCs w:val="24"/>
        </w:rPr>
        <w:t>Joseph Oliker</w:t>
      </w:r>
    </w:p>
    <w:p w14:paraId="6FCF01CA" w14:textId="77777777" w:rsidR="00B270B3" w:rsidRPr="00BB03FA" w:rsidRDefault="00B270B3" w:rsidP="00B270B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B270B3" w:rsidRPr="00BB03FA" w14:paraId="498F860B" w14:textId="77777777" w:rsidTr="00B270B3">
        <w:tc>
          <w:tcPr>
            <w:tcW w:w="4788" w:type="dxa"/>
          </w:tcPr>
          <w:p w14:paraId="5160DB03" w14:textId="777C5F44" w:rsidR="00BB03FA" w:rsidRPr="00BB03FA" w:rsidRDefault="00BB03FA" w:rsidP="00B270B3">
            <w:pPr>
              <w:rPr>
                <w:rFonts w:ascii="Arial" w:hAnsi="Arial" w:cs="Arial"/>
                <w:sz w:val="24"/>
                <w:szCs w:val="24"/>
              </w:rPr>
            </w:pPr>
            <w:r w:rsidRPr="00BB03FA">
              <w:rPr>
                <w:rFonts w:ascii="Arial" w:hAnsi="Arial" w:cs="Arial"/>
                <w:sz w:val="24"/>
                <w:szCs w:val="24"/>
              </w:rPr>
              <w:t xml:space="preserve">Amy B. Spiller </w:t>
            </w:r>
          </w:p>
          <w:p w14:paraId="226C414B" w14:textId="77777777" w:rsidR="00BB03FA" w:rsidRPr="00BB03FA" w:rsidRDefault="00BB03FA" w:rsidP="00B270B3">
            <w:pPr>
              <w:rPr>
                <w:rFonts w:ascii="Arial" w:hAnsi="Arial" w:cs="Arial"/>
                <w:sz w:val="24"/>
                <w:szCs w:val="24"/>
              </w:rPr>
            </w:pPr>
            <w:r w:rsidRPr="00BB03FA">
              <w:rPr>
                <w:rFonts w:ascii="Arial" w:hAnsi="Arial" w:cs="Arial"/>
                <w:sz w:val="24"/>
                <w:szCs w:val="24"/>
              </w:rPr>
              <w:t>Deputy General Counsel</w:t>
            </w:r>
          </w:p>
          <w:p w14:paraId="2E11B12A" w14:textId="06B8B820" w:rsidR="00BB03FA" w:rsidRPr="00BB03FA" w:rsidRDefault="00BB03FA" w:rsidP="00B270B3">
            <w:pPr>
              <w:rPr>
                <w:rFonts w:ascii="Arial" w:hAnsi="Arial" w:cs="Arial"/>
                <w:sz w:val="24"/>
                <w:szCs w:val="24"/>
              </w:rPr>
            </w:pPr>
            <w:r w:rsidRPr="00BB03FA">
              <w:rPr>
                <w:rFonts w:ascii="Arial" w:hAnsi="Arial" w:cs="Arial"/>
                <w:sz w:val="24"/>
                <w:szCs w:val="24"/>
              </w:rPr>
              <w:t>Elizabeth H. Watts</w:t>
            </w:r>
          </w:p>
          <w:p w14:paraId="795FA404" w14:textId="65243871" w:rsidR="00BB03FA" w:rsidRPr="00BB03FA" w:rsidRDefault="00BB03FA" w:rsidP="00B270B3">
            <w:pPr>
              <w:rPr>
                <w:rFonts w:ascii="Arial" w:hAnsi="Arial" w:cs="Arial"/>
                <w:sz w:val="24"/>
                <w:szCs w:val="24"/>
              </w:rPr>
            </w:pPr>
            <w:r w:rsidRPr="00BB03FA">
              <w:rPr>
                <w:rFonts w:ascii="Arial" w:hAnsi="Arial" w:cs="Arial"/>
                <w:sz w:val="24"/>
                <w:szCs w:val="24"/>
              </w:rPr>
              <w:t>Associate General Counsel</w:t>
            </w:r>
          </w:p>
          <w:p w14:paraId="0FF9A90D" w14:textId="77777777" w:rsidR="00BB03FA" w:rsidRPr="00BB03FA" w:rsidRDefault="00BB03FA" w:rsidP="00BB03FA">
            <w:pPr>
              <w:autoSpaceDE w:val="0"/>
              <w:autoSpaceDN w:val="0"/>
              <w:adjustRightInd w:val="0"/>
              <w:rPr>
                <w:rFonts w:ascii="Arial" w:hAnsi="Arial" w:cs="Arial"/>
                <w:sz w:val="24"/>
                <w:szCs w:val="24"/>
              </w:rPr>
            </w:pPr>
            <w:r w:rsidRPr="00BB03FA">
              <w:rPr>
                <w:rFonts w:ascii="Arial" w:hAnsi="Arial" w:cs="Arial"/>
                <w:sz w:val="24"/>
                <w:szCs w:val="24"/>
              </w:rPr>
              <w:t>Duke Energy Ohio, Inc.</w:t>
            </w:r>
          </w:p>
          <w:p w14:paraId="77D71336" w14:textId="1F93D3F3" w:rsidR="00BB03FA" w:rsidRDefault="00BB03FA" w:rsidP="00BB03FA">
            <w:pPr>
              <w:autoSpaceDE w:val="0"/>
              <w:autoSpaceDN w:val="0"/>
              <w:adjustRightInd w:val="0"/>
              <w:rPr>
                <w:rFonts w:ascii="Arial" w:hAnsi="Arial" w:cs="Arial"/>
                <w:sz w:val="24"/>
                <w:szCs w:val="24"/>
              </w:rPr>
            </w:pPr>
            <w:r w:rsidRPr="00BB03FA">
              <w:rPr>
                <w:rFonts w:ascii="Arial" w:hAnsi="Arial" w:cs="Arial"/>
                <w:sz w:val="24"/>
                <w:szCs w:val="24"/>
              </w:rPr>
              <w:t xml:space="preserve">139 </w:t>
            </w:r>
            <w:r w:rsidR="00A74926">
              <w:rPr>
                <w:rFonts w:ascii="Arial" w:hAnsi="Arial" w:cs="Arial"/>
                <w:sz w:val="24"/>
                <w:szCs w:val="24"/>
              </w:rPr>
              <w:t>East Fourth Street, 1303-</w:t>
            </w:r>
            <w:r w:rsidRPr="00BB03FA">
              <w:rPr>
                <w:rFonts w:ascii="Arial" w:hAnsi="Arial" w:cs="Arial"/>
                <w:sz w:val="24"/>
                <w:szCs w:val="24"/>
              </w:rPr>
              <w:t>Main</w:t>
            </w:r>
          </w:p>
          <w:p w14:paraId="4A552CD2" w14:textId="40A54D61" w:rsidR="00A74926" w:rsidRPr="00BB03FA" w:rsidRDefault="00A74926" w:rsidP="00BB03FA">
            <w:pPr>
              <w:autoSpaceDE w:val="0"/>
              <w:autoSpaceDN w:val="0"/>
              <w:adjustRightInd w:val="0"/>
              <w:rPr>
                <w:rFonts w:ascii="Arial" w:hAnsi="Arial" w:cs="Arial"/>
                <w:sz w:val="24"/>
                <w:szCs w:val="24"/>
              </w:rPr>
            </w:pPr>
            <w:r>
              <w:rPr>
                <w:rFonts w:ascii="Arial" w:hAnsi="Arial" w:cs="Arial"/>
                <w:sz w:val="24"/>
                <w:szCs w:val="24"/>
              </w:rPr>
              <w:t>P.O Box 960</w:t>
            </w:r>
          </w:p>
          <w:p w14:paraId="5ADB5856" w14:textId="758354B2" w:rsidR="00BB03FA" w:rsidRPr="00BB03FA" w:rsidRDefault="00BB03FA" w:rsidP="00B270B3">
            <w:pPr>
              <w:rPr>
                <w:rFonts w:ascii="Arial" w:hAnsi="Arial" w:cs="Arial"/>
                <w:sz w:val="24"/>
                <w:szCs w:val="24"/>
              </w:rPr>
            </w:pPr>
            <w:r w:rsidRPr="00BB03FA">
              <w:rPr>
                <w:rFonts w:ascii="Arial" w:hAnsi="Arial" w:cs="Arial"/>
                <w:sz w:val="24"/>
                <w:szCs w:val="24"/>
              </w:rPr>
              <w:t>Cincinnati, Ohio 452</w:t>
            </w:r>
            <w:r w:rsidR="00A74926">
              <w:rPr>
                <w:rFonts w:ascii="Arial" w:hAnsi="Arial" w:cs="Arial"/>
                <w:sz w:val="24"/>
                <w:szCs w:val="24"/>
              </w:rPr>
              <w:t>01</w:t>
            </w:r>
          </w:p>
          <w:p w14:paraId="62FC2F4F" w14:textId="5B5AFB24" w:rsidR="00B270B3" w:rsidRPr="00BB03FA" w:rsidRDefault="00E5294E" w:rsidP="00B270B3">
            <w:pPr>
              <w:rPr>
                <w:rFonts w:ascii="Arial" w:hAnsi="Arial" w:cs="Arial"/>
                <w:sz w:val="24"/>
                <w:szCs w:val="24"/>
              </w:rPr>
            </w:pPr>
            <w:hyperlink r:id="rId9" w:history="1">
              <w:r w:rsidR="00B270B3" w:rsidRPr="00BB03FA">
                <w:rPr>
                  <w:rStyle w:val="Hyperlink"/>
                  <w:rFonts w:ascii="Arial" w:hAnsi="Arial" w:cs="Arial"/>
                  <w:color w:val="auto"/>
                  <w:sz w:val="24"/>
                  <w:szCs w:val="24"/>
                  <w:u w:val="none"/>
                </w:rPr>
                <w:t>Amy.Spiller@duke-energy.com</w:t>
              </w:r>
            </w:hyperlink>
          </w:p>
          <w:p w14:paraId="7FAFE182" w14:textId="77777777" w:rsidR="00B270B3" w:rsidRPr="00BB03FA" w:rsidRDefault="00B270B3" w:rsidP="00B270B3">
            <w:pPr>
              <w:rPr>
                <w:rFonts w:ascii="Arial" w:hAnsi="Arial" w:cs="Arial"/>
                <w:sz w:val="24"/>
                <w:szCs w:val="24"/>
              </w:rPr>
            </w:pPr>
            <w:r w:rsidRPr="00BB03FA">
              <w:rPr>
                <w:rFonts w:ascii="Arial" w:hAnsi="Arial" w:cs="Arial"/>
                <w:sz w:val="24"/>
                <w:szCs w:val="24"/>
              </w:rPr>
              <w:t>elizabeth.watts@duke-energy.com</w:t>
            </w:r>
          </w:p>
          <w:p w14:paraId="1B7A1EA5" w14:textId="77777777" w:rsidR="00B270B3" w:rsidRDefault="00B270B3" w:rsidP="000258F0">
            <w:pPr>
              <w:rPr>
                <w:rFonts w:ascii="Arial" w:hAnsi="Arial" w:cs="Arial"/>
                <w:sz w:val="24"/>
                <w:szCs w:val="24"/>
              </w:rPr>
            </w:pPr>
          </w:p>
          <w:p w14:paraId="5EB74029" w14:textId="77777777" w:rsidR="00454C0E" w:rsidRPr="00454C0E" w:rsidRDefault="00454C0E" w:rsidP="00454C0E">
            <w:pPr>
              <w:rPr>
                <w:rFonts w:ascii="Arial" w:hAnsi="Arial" w:cs="Arial"/>
                <w:sz w:val="24"/>
                <w:szCs w:val="24"/>
              </w:rPr>
            </w:pPr>
            <w:r w:rsidRPr="00454C0E">
              <w:rPr>
                <w:rFonts w:ascii="Arial" w:hAnsi="Arial" w:cs="Arial"/>
                <w:sz w:val="24"/>
                <w:szCs w:val="24"/>
              </w:rPr>
              <w:t>Joseph Clark</w:t>
            </w:r>
          </w:p>
          <w:p w14:paraId="372555BD" w14:textId="77777777" w:rsidR="00454C0E" w:rsidRPr="00454C0E" w:rsidRDefault="00454C0E" w:rsidP="00454C0E">
            <w:pPr>
              <w:rPr>
                <w:rFonts w:ascii="Arial" w:hAnsi="Arial" w:cs="Arial"/>
                <w:sz w:val="24"/>
                <w:szCs w:val="24"/>
              </w:rPr>
            </w:pPr>
            <w:r w:rsidRPr="00454C0E">
              <w:rPr>
                <w:rFonts w:ascii="Arial" w:hAnsi="Arial" w:cs="Arial"/>
                <w:sz w:val="24"/>
                <w:szCs w:val="24"/>
              </w:rPr>
              <w:t>Jennifer Spinosi</w:t>
            </w:r>
          </w:p>
          <w:p w14:paraId="2E56FC44" w14:textId="77777777" w:rsidR="00454C0E" w:rsidRPr="00454C0E" w:rsidRDefault="00454C0E" w:rsidP="00454C0E">
            <w:pPr>
              <w:rPr>
                <w:rFonts w:ascii="Arial" w:hAnsi="Arial" w:cs="Arial"/>
                <w:sz w:val="24"/>
                <w:szCs w:val="24"/>
              </w:rPr>
            </w:pPr>
            <w:r w:rsidRPr="00454C0E">
              <w:rPr>
                <w:rFonts w:ascii="Arial" w:hAnsi="Arial" w:cs="Arial"/>
                <w:sz w:val="24"/>
                <w:szCs w:val="24"/>
              </w:rPr>
              <w:t>Direct Energy Services</w:t>
            </w:r>
          </w:p>
          <w:p w14:paraId="5A1896EA" w14:textId="77777777" w:rsidR="00454C0E" w:rsidRPr="00454C0E" w:rsidRDefault="00454C0E" w:rsidP="00454C0E">
            <w:pPr>
              <w:rPr>
                <w:rFonts w:ascii="Arial" w:hAnsi="Arial" w:cs="Arial"/>
                <w:sz w:val="24"/>
                <w:szCs w:val="24"/>
              </w:rPr>
            </w:pPr>
            <w:r w:rsidRPr="00454C0E">
              <w:rPr>
                <w:rFonts w:ascii="Arial" w:hAnsi="Arial" w:cs="Arial"/>
                <w:sz w:val="24"/>
                <w:szCs w:val="24"/>
              </w:rPr>
              <w:t>21 East State Street, Suite 1950</w:t>
            </w:r>
          </w:p>
          <w:p w14:paraId="7C628385" w14:textId="77777777" w:rsidR="00454C0E" w:rsidRPr="00454C0E" w:rsidRDefault="00454C0E" w:rsidP="00454C0E">
            <w:pPr>
              <w:rPr>
                <w:rFonts w:ascii="Arial" w:hAnsi="Arial" w:cs="Arial"/>
                <w:sz w:val="24"/>
                <w:szCs w:val="24"/>
              </w:rPr>
            </w:pPr>
            <w:r w:rsidRPr="00454C0E">
              <w:rPr>
                <w:rFonts w:ascii="Arial" w:hAnsi="Arial" w:cs="Arial"/>
                <w:sz w:val="24"/>
                <w:szCs w:val="24"/>
              </w:rPr>
              <w:t>Columbus, OH  43215</w:t>
            </w:r>
          </w:p>
          <w:p w14:paraId="6A5C7076" w14:textId="77777777" w:rsidR="00454C0E" w:rsidRPr="00454C0E" w:rsidRDefault="00454C0E" w:rsidP="00454C0E">
            <w:pPr>
              <w:rPr>
                <w:rFonts w:ascii="Arial" w:hAnsi="Arial" w:cs="Arial"/>
                <w:sz w:val="24"/>
                <w:szCs w:val="24"/>
              </w:rPr>
            </w:pPr>
            <w:r w:rsidRPr="00454C0E">
              <w:rPr>
                <w:rFonts w:ascii="Arial" w:hAnsi="Arial" w:cs="Arial"/>
                <w:sz w:val="24"/>
                <w:szCs w:val="24"/>
              </w:rPr>
              <w:t>joseph.clark@directenergy.com</w:t>
            </w:r>
          </w:p>
          <w:p w14:paraId="0BA9736B" w14:textId="77535553" w:rsidR="00454C0E" w:rsidRPr="00BB03FA" w:rsidRDefault="00454C0E" w:rsidP="00454C0E">
            <w:pPr>
              <w:rPr>
                <w:rFonts w:ascii="Arial" w:hAnsi="Arial" w:cs="Arial"/>
                <w:sz w:val="24"/>
                <w:szCs w:val="24"/>
              </w:rPr>
            </w:pPr>
            <w:r w:rsidRPr="00454C0E">
              <w:rPr>
                <w:rFonts w:ascii="Arial" w:hAnsi="Arial" w:cs="Arial"/>
                <w:sz w:val="24"/>
                <w:szCs w:val="24"/>
              </w:rPr>
              <w:t>jennifer.lause@directenergy.com</w:t>
            </w:r>
          </w:p>
        </w:tc>
        <w:tc>
          <w:tcPr>
            <w:tcW w:w="4788" w:type="dxa"/>
          </w:tcPr>
          <w:p w14:paraId="549FBD77" w14:textId="0F3465C9" w:rsidR="00454C0E" w:rsidRDefault="00454C0E" w:rsidP="007816CB">
            <w:pPr>
              <w:rPr>
                <w:rFonts w:ascii="Arial" w:hAnsi="Arial" w:cs="Arial"/>
                <w:sz w:val="24"/>
                <w:szCs w:val="24"/>
              </w:rPr>
            </w:pPr>
            <w:r>
              <w:rPr>
                <w:rFonts w:ascii="Arial" w:hAnsi="Arial" w:cs="Arial"/>
                <w:sz w:val="24"/>
                <w:szCs w:val="24"/>
              </w:rPr>
              <w:t>Katie Johnson</w:t>
            </w:r>
          </w:p>
          <w:p w14:paraId="22906E9A" w14:textId="77777777" w:rsidR="007816CB" w:rsidRPr="007816CB" w:rsidRDefault="007816CB" w:rsidP="007816CB">
            <w:pPr>
              <w:rPr>
                <w:rFonts w:ascii="Arial" w:hAnsi="Arial" w:cs="Arial"/>
                <w:sz w:val="24"/>
                <w:szCs w:val="24"/>
              </w:rPr>
            </w:pPr>
            <w:r w:rsidRPr="007816CB">
              <w:rPr>
                <w:rFonts w:ascii="Arial" w:hAnsi="Arial" w:cs="Arial"/>
                <w:sz w:val="24"/>
                <w:szCs w:val="24"/>
              </w:rPr>
              <w:t>Public Utilities Section</w:t>
            </w:r>
          </w:p>
          <w:p w14:paraId="19EFD939" w14:textId="77777777" w:rsidR="007816CB" w:rsidRPr="007816CB" w:rsidRDefault="007816CB" w:rsidP="007816CB">
            <w:pPr>
              <w:rPr>
                <w:rFonts w:ascii="Arial" w:hAnsi="Arial" w:cs="Arial"/>
                <w:sz w:val="24"/>
                <w:szCs w:val="24"/>
              </w:rPr>
            </w:pPr>
            <w:r w:rsidRPr="007816CB">
              <w:rPr>
                <w:rFonts w:ascii="Arial" w:hAnsi="Arial" w:cs="Arial"/>
                <w:sz w:val="24"/>
                <w:szCs w:val="24"/>
              </w:rPr>
              <w:t>180 East Broad Street, 6th Floor</w:t>
            </w:r>
          </w:p>
          <w:p w14:paraId="3ECB8E12" w14:textId="56A9B309" w:rsidR="007816CB" w:rsidRPr="00BB03FA" w:rsidRDefault="00F611C0" w:rsidP="007816CB">
            <w:pPr>
              <w:rPr>
                <w:rFonts w:ascii="Arial" w:hAnsi="Arial" w:cs="Arial"/>
                <w:sz w:val="24"/>
                <w:szCs w:val="24"/>
              </w:rPr>
            </w:pPr>
            <w:r>
              <w:rPr>
                <w:rFonts w:ascii="Arial" w:hAnsi="Arial" w:cs="Arial"/>
                <w:sz w:val="24"/>
                <w:szCs w:val="24"/>
              </w:rPr>
              <w:t>Columbus, Ohio</w:t>
            </w:r>
            <w:r w:rsidR="007816CB" w:rsidRPr="007816CB">
              <w:rPr>
                <w:rFonts w:ascii="Arial" w:hAnsi="Arial" w:cs="Arial"/>
                <w:sz w:val="24"/>
                <w:szCs w:val="24"/>
              </w:rPr>
              <w:t xml:space="preserve"> 43215</w:t>
            </w:r>
          </w:p>
          <w:p w14:paraId="64031109" w14:textId="295D3077" w:rsidR="00454C0E" w:rsidRDefault="00454C0E">
            <w:pPr>
              <w:rPr>
                <w:rFonts w:ascii="Arial" w:hAnsi="Arial" w:cs="Arial"/>
                <w:sz w:val="24"/>
                <w:szCs w:val="24"/>
              </w:rPr>
            </w:pPr>
            <w:r w:rsidRPr="00454C0E">
              <w:rPr>
                <w:rFonts w:ascii="Arial" w:hAnsi="Arial" w:cs="Arial"/>
                <w:sz w:val="24"/>
                <w:szCs w:val="24"/>
              </w:rPr>
              <w:t>katie.johnson@puc.state.oh.us</w:t>
            </w:r>
          </w:p>
          <w:p w14:paraId="77192057" w14:textId="77777777" w:rsidR="00454C0E" w:rsidRDefault="00454C0E">
            <w:pPr>
              <w:rPr>
                <w:rFonts w:ascii="Arial" w:hAnsi="Arial" w:cs="Arial"/>
                <w:sz w:val="24"/>
                <w:szCs w:val="24"/>
              </w:rPr>
            </w:pPr>
          </w:p>
          <w:p w14:paraId="7B7A93C8" w14:textId="77777777" w:rsidR="00454C0E" w:rsidRPr="00454C0E" w:rsidRDefault="00454C0E" w:rsidP="00454C0E">
            <w:pPr>
              <w:rPr>
                <w:rFonts w:ascii="Arial" w:hAnsi="Arial" w:cs="Arial"/>
                <w:sz w:val="24"/>
                <w:szCs w:val="24"/>
              </w:rPr>
            </w:pPr>
            <w:r w:rsidRPr="00454C0E">
              <w:rPr>
                <w:rFonts w:ascii="Arial" w:hAnsi="Arial" w:cs="Arial"/>
                <w:sz w:val="24"/>
                <w:szCs w:val="24"/>
              </w:rPr>
              <w:t>Colleen L. Mooney</w:t>
            </w:r>
          </w:p>
          <w:p w14:paraId="288469C1" w14:textId="77777777" w:rsidR="00454C0E" w:rsidRPr="00454C0E" w:rsidRDefault="00454C0E" w:rsidP="00454C0E">
            <w:pPr>
              <w:rPr>
                <w:rFonts w:ascii="Arial" w:hAnsi="Arial" w:cs="Arial"/>
                <w:sz w:val="24"/>
                <w:szCs w:val="24"/>
              </w:rPr>
            </w:pPr>
            <w:r w:rsidRPr="00454C0E">
              <w:rPr>
                <w:rFonts w:ascii="Arial" w:hAnsi="Arial" w:cs="Arial"/>
                <w:sz w:val="24"/>
                <w:szCs w:val="24"/>
              </w:rPr>
              <w:t>Ohio Partners for Affordable Energy</w:t>
            </w:r>
          </w:p>
          <w:p w14:paraId="7AD9C6FC" w14:textId="77777777" w:rsidR="00454C0E" w:rsidRPr="00454C0E" w:rsidRDefault="00454C0E" w:rsidP="00454C0E">
            <w:pPr>
              <w:rPr>
                <w:rFonts w:ascii="Arial" w:hAnsi="Arial" w:cs="Arial"/>
                <w:sz w:val="24"/>
                <w:szCs w:val="24"/>
              </w:rPr>
            </w:pPr>
            <w:r w:rsidRPr="00454C0E">
              <w:rPr>
                <w:rFonts w:ascii="Arial" w:hAnsi="Arial" w:cs="Arial"/>
                <w:sz w:val="24"/>
                <w:szCs w:val="24"/>
              </w:rPr>
              <w:t>231 West Lima Street</w:t>
            </w:r>
          </w:p>
          <w:p w14:paraId="0FB3A264" w14:textId="77777777" w:rsidR="00454C0E" w:rsidRPr="00454C0E" w:rsidRDefault="00454C0E" w:rsidP="00454C0E">
            <w:pPr>
              <w:rPr>
                <w:rFonts w:ascii="Arial" w:hAnsi="Arial" w:cs="Arial"/>
                <w:sz w:val="24"/>
                <w:szCs w:val="24"/>
              </w:rPr>
            </w:pPr>
            <w:r w:rsidRPr="00454C0E">
              <w:rPr>
                <w:rFonts w:ascii="Arial" w:hAnsi="Arial" w:cs="Arial"/>
                <w:sz w:val="24"/>
                <w:szCs w:val="24"/>
              </w:rPr>
              <w:t>Findlay, OH  45839-1793</w:t>
            </w:r>
          </w:p>
          <w:p w14:paraId="270BCF17" w14:textId="77777777" w:rsidR="007816CB" w:rsidRDefault="00454C0E" w:rsidP="00454C0E">
            <w:pPr>
              <w:rPr>
                <w:rFonts w:ascii="Arial" w:hAnsi="Arial" w:cs="Arial"/>
                <w:sz w:val="24"/>
                <w:szCs w:val="24"/>
              </w:rPr>
            </w:pPr>
            <w:r w:rsidRPr="00454C0E">
              <w:rPr>
                <w:rFonts w:ascii="Arial" w:hAnsi="Arial" w:cs="Arial"/>
                <w:sz w:val="24"/>
                <w:szCs w:val="24"/>
              </w:rPr>
              <w:t>cmooney@ohiopartners.org</w:t>
            </w:r>
            <w:r>
              <w:rPr>
                <w:rFonts w:ascii="Arial" w:hAnsi="Arial" w:cs="Arial"/>
                <w:sz w:val="24"/>
                <w:szCs w:val="24"/>
              </w:rPr>
              <w:br/>
            </w:r>
          </w:p>
          <w:p w14:paraId="68E4847D" w14:textId="77777777" w:rsidR="00454C0E" w:rsidRPr="00454C0E" w:rsidRDefault="00454C0E" w:rsidP="00454C0E">
            <w:pPr>
              <w:rPr>
                <w:rFonts w:ascii="Arial" w:hAnsi="Arial" w:cs="Arial"/>
                <w:sz w:val="24"/>
                <w:szCs w:val="24"/>
              </w:rPr>
            </w:pPr>
            <w:r w:rsidRPr="00454C0E">
              <w:rPr>
                <w:rFonts w:ascii="Arial" w:hAnsi="Arial" w:cs="Arial"/>
                <w:sz w:val="24"/>
                <w:szCs w:val="24"/>
              </w:rPr>
              <w:t>M. Howard Petricoff</w:t>
            </w:r>
          </w:p>
          <w:p w14:paraId="21BB976A" w14:textId="77777777" w:rsidR="00454C0E" w:rsidRPr="00454C0E" w:rsidRDefault="00454C0E" w:rsidP="00454C0E">
            <w:pPr>
              <w:rPr>
                <w:rFonts w:ascii="Arial" w:hAnsi="Arial" w:cs="Arial"/>
                <w:sz w:val="24"/>
                <w:szCs w:val="24"/>
              </w:rPr>
            </w:pPr>
            <w:r w:rsidRPr="00454C0E">
              <w:rPr>
                <w:rFonts w:ascii="Arial" w:hAnsi="Arial" w:cs="Arial"/>
                <w:sz w:val="24"/>
                <w:szCs w:val="24"/>
              </w:rPr>
              <w:t>Michael J. Settineri</w:t>
            </w:r>
          </w:p>
          <w:p w14:paraId="34AC757B" w14:textId="77777777" w:rsidR="00454C0E" w:rsidRPr="00454C0E" w:rsidRDefault="00454C0E" w:rsidP="00454C0E">
            <w:pPr>
              <w:rPr>
                <w:rFonts w:ascii="Arial" w:hAnsi="Arial" w:cs="Arial"/>
                <w:sz w:val="24"/>
                <w:szCs w:val="24"/>
              </w:rPr>
            </w:pPr>
            <w:r w:rsidRPr="00454C0E">
              <w:rPr>
                <w:rFonts w:ascii="Arial" w:hAnsi="Arial" w:cs="Arial"/>
                <w:sz w:val="24"/>
                <w:szCs w:val="24"/>
              </w:rPr>
              <w:t>Gretchen L. Petrucci</w:t>
            </w:r>
          </w:p>
          <w:p w14:paraId="5723BD75" w14:textId="77777777" w:rsidR="00454C0E" w:rsidRPr="00454C0E" w:rsidRDefault="00454C0E" w:rsidP="00454C0E">
            <w:pPr>
              <w:rPr>
                <w:rFonts w:ascii="Arial" w:hAnsi="Arial" w:cs="Arial"/>
                <w:sz w:val="24"/>
                <w:szCs w:val="24"/>
              </w:rPr>
            </w:pPr>
            <w:proofErr w:type="spellStart"/>
            <w:r w:rsidRPr="00454C0E">
              <w:rPr>
                <w:rFonts w:ascii="Arial" w:hAnsi="Arial" w:cs="Arial"/>
                <w:sz w:val="24"/>
                <w:szCs w:val="24"/>
              </w:rPr>
              <w:t>Vorys</w:t>
            </w:r>
            <w:proofErr w:type="spellEnd"/>
            <w:r w:rsidRPr="00454C0E">
              <w:rPr>
                <w:rFonts w:ascii="Arial" w:hAnsi="Arial" w:cs="Arial"/>
                <w:sz w:val="24"/>
                <w:szCs w:val="24"/>
              </w:rPr>
              <w:t xml:space="preserve"> </w:t>
            </w:r>
            <w:proofErr w:type="spellStart"/>
            <w:r w:rsidRPr="00454C0E">
              <w:rPr>
                <w:rFonts w:ascii="Arial" w:hAnsi="Arial" w:cs="Arial"/>
                <w:sz w:val="24"/>
                <w:szCs w:val="24"/>
              </w:rPr>
              <w:t>Sater</w:t>
            </w:r>
            <w:proofErr w:type="spellEnd"/>
            <w:r w:rsidRPr="00454C0E">
              <w:rPr>
                <w:rFonts w:ascii="Arial" w:hAnsi="Arial" w:cs="Arial"/>
                <w:sz w:val="24"/>
                <w:szCs w:val="24"/>
              </w:rPr>
              <w:t xml:space="preserve"> Seymour &amp; Pease</w:t>
            </w:r>
          </w:p>
          <w:p w14:paraId="1128202D" w14:textId="77777777" w:rsidR="00454C0E" w:rsidRPr="00454C0E" w:rsidRDefault="00454C0E" w:rsidP="00454C0E">
            <w:pPr>
              <w:rPr>
                <w:rFonts w:ascii="Arial" w:hAnsi="Arial" w:cs="Arial"/>
                <w:sz w:val="24"/>
                <w:szCs w:val="24"/>
              </w:rPr>
            </w:pPr>
            <w:r w:rsidRPr="00454C0E">
              <w:rPr>
                <w:rFonts w:ascii="Arial" w:hAnsi="Arial" w:cs="Arial"/>
                <w:sz w:val="24"/>
                <w:szCs w:val="24"/>
              </w:rPr>
              <w:t>52 East Gay Street</w:t>
            </w:r>
          </w:p>
          <w:p w14:paraId="4B671CB0" w14:textId="77777777" w:rsidR="00454C0E" w:rsidRPr="00454C0E" w:rsidRDefault="00454C0E" w:rsidP="00454C0E">
            <w:pPr>
              <w:rPr>
                <w:rFonts w:ascii="Arial" w:hAnsi="Arial" w:cs="Arial"/>
                <w:sz w:val="24"/>
                <w:szCs w:val="24"/>
              </w:rPr>
            </w:pPr>
            <w:r w:rsidRPr="00454C0E">
              <w:rPr>
                <w:rFonts w:ascii="Arial" w:hAnsi="Arial" w:cs="Arial"/>
                <w:sz w:val="24"/>
                <w:szCs w:val="24"/>
              </w:rPr>
              <w:t>Columbus, OH  43216-1008</w:t>
            </w:r>
          </w:p>
          <w:p w14:paraId="4DC46A92" w14:textId="77777777" w:rsidR="00454C0E" w:rsidRPr="00454C0E" w:rsidRDefault="00454C0E" w:rsidP="00454C0E">
            <w:pPr>
              <w:rPr>
                <w:rFonts w:ascii="Arial" w:hAnsi="Arial" w:cs="Arial"/>
                <w:sz w:val="24"/>
                <w:szCs w:val="24"/>
              </w:rPr>
            </w:pPr>
            <w:r w:rsidRPr="00454C0E">
              <w:rPr>
                <w:rFonts w:ascii="Arial" w:hAnsi="Arial" w:cs="Arial"/>
                <w:sz w:val="24"/>
                <w:szCs w:val="24"/>
              </w:rPr>
              <w:t>mhpetricoff@vorys.com</w:t>
            </w:r>
          </w:p>
          <w:p w14:paraId="03394CB1" w14:textId="77777777" w:rsidR="00454C0E" w:rsidRPr="00454C0E" w:rsidRDefault="00454C0E" w:rsidP="00454C0E">
            <w:pPr>
              <w:rPr>
                <w:rFonts w:ascii="Arial" w:hAnsi="Arial" w:cs="Arial"/>
                <w:sz w:val="24"/>
                <w:szCs w:val="24"/>
              </w:rPr>
            </w:pPr>
            <w:r w:rsidRPr="00454C0E">
              <w:rPr>
                <w:rFonts w:ascii="Arial" w:hAnsi="Arial" w:cs="Arial"/>
                <w:sz w:val="24"/>
                <w:szCs w:val="24"/>
              </w:rPr>
              <w:t>mjsettineri@vorys.com</w:t>
            </w:r>
          </w:p>
          <w:p w14:paraId="7EBD91CE" w14:textId="483FDA1F" w:rsidR="00454C0E" w:rsidRPr="00BB03FA" w:rsidRDefault="00454C0E" w:rsidP="00454C0E">
            <w:pPr>
              <w:rPr>
                <w:rFonts w:ascii="Arial" w:hAnsi="Arial" w:cs="Arial"/>
                <w:sz w:val="24"/>
                <w:szCs w:val="24"/>
              </w:rPr>
            </w:pPr>
            <w:r w:rsidRPr="00454C0E">
              <w:rPr>
                <w:rFonts w:ascii="Arial" w:hAnsi="Arial" w:cs="Arial"/>
                <w:sz w:val="24"/>
                <w:szCs w:val="24"/>
              </w:rPr>
              <w:t>glpetrucci@vorys.com</w:t>
            </w:r>
          </w:p>
        </w:tc>
      </w:tr>
    </w:tbl>
    <w:p w14:paraId="7176D312" w14:textId="38B97BB5" w:rsidR="00545F29" w:rsidRPr="003A51CC" w:rsidRDefault="00545F29">
      <w:pPr>
        <w:spacing w:after="0" w:line="240" w:lineRule="auto"/>
        <w:rPr>
          <w:rFonts w:ascii="Arial" w:hAnsi="Arial" w:cs="Arial"/>
          <w:sz w:val="24"/>
          <w:szCs w:val="24"/>
        </w:rPr>
      </w:pPr>
    </w:p>
    <w:sectPr w:rsidR="00545F29" w:rsidRPr="003A51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4D53" w14:textId="77777777" w:rsidR="00E5294E" w:rsidRDefault="00E5294E">
      <w:pPr>
        <w:spacing w:after="0" w:line="240" w:lineRule="auto"/>
      </w:pPr>
      <w:r>
        <w:separator/>
      </w:r>
    </w:p>
  </w:endnote>
  <w:endnote w:type="continuationSeparator" w:id="0">
    <w:p w14:paraId="1DC15430" w14:textId="77777777" w:rsidR="00E5294E" w:rsidRDefault="00E5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C93F" w14:textId="77777777" w:rsidR="00D223D6" w:rsidRDefault="00D2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850567">
          <w:rPr>
            <w:noProof/>
          </w:rPr>
          <w:t>2</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090F7" w14:textId="77777777" w:rsidR="00D223D6" w:rsidRDefault="00D2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772FA" w14:textId="77777777" w:rsidR="00E5294E" w:rsidRDefault="00E5294E">
      <w:pPr>
        <w:spacing w:after="0" w:line="240" w:lineRule="auto"/>
      </w:pPr>
      <w:r>
        <w:separator/>
      </w:r>
    </w:p>
  </w:footnote>
  <w:footnote w:type="continuationSeparator" w:id="0">
    <w:p w14:paraId="4978C8A8" w14:textId="77777777" w:rsidR="00E5294E" w:rsidRDefault="00E5294E">
      <w:pPr>
        <w:spacing w:after="0" w:line="240" w:lineRule="auto"/>
      </w:pPr>
      <w:r>
        <w:continuationSeparator/>
      </w:r>
    </w:p>
  </w:footnote>
  <w:footnote w:id="1">
    <w:p w14:paraId="31E2CC0F" w14:textId="45B72FFB" w:rsidR="003D7D23" w:rsidRPr="00850567" w:rsidRDefault="003D7D23" w:rsidP="003D7D23">
      <w:pPr>
        <w:pStyle w:val="FootnoteText"/>
        <w:jc w:val="both"/>
        <w:rPr>
          <w:rFonts w:ascii="Arial" w:hAnsi="Arial" w:cs="Arial"/>
        </w:rPr>
      </w:pPr>
      <w:r>
        <w:rPr>
          <w:rStyle w:val="FootnoteReference"/>
        </w:rPr>
        <w:footnoteRef/>
      </w:r>
      <w:r>
        <w:t xml:space="preserve"> </w:t>
      </w:r>
      <w:r w:rsidRPr="005B1503">
        <w:rPr>
          <w:rFonts w:ascii="Arial" w:hAnsi="Arial" w:cs="Arial"/>
        </w:rPr>
        <w:t xml:space="preserve"> </w:t>
      </w:r>
      <w:proofErr w:type="gramStart"/>
      <w:r w:rsidRPr="005B1503">
        <w:rPr>
          <w:rFonts w:ascii="Arial" w:hAnsi="Arial" w:cs="Arial"/>
          <w:i/>
        </w:rPr>
        <w:t>In the Matter of the Commission’s Investigation of Ohio’s Retail Electric Service Market</w:t>
      </w:r>
      <w:r w:rsidRPr="005B1503">
        <w:rPr>
          <w:rFonts w:ascii="Arial" w:hAnsi="Arial" w:cs="Arial"/>
        </w:rPr>
        <w:t>,</w:t>
      </w:r>
      <w:r w:rsidRPr="005B1503">
        <w:rPr>
          <w:rFonts w:ascii="Arial" w:hAnsi="Arial" w:cs="Arial"/>
          <w:i/>
        </w:rPr>
        <w:t xml:space="preserve"> </w:t>
      </w:r>
      <w:r>
        <w:rPr>
          <w:rFonts w:ascii="Arial" w:hAnsi="Arial" w:cs="Arial"/>
        </w:rPr>
        <w:t>Case.</w:t>
      </w:r>
      <w:proofErr w:type="gramEnd"/>
      <w:r>
        <w:rPr>
          <w:rFonts w:ascii="Arial" w:hAnsi="Arial" w:cs="Arial"/>
        </w:rPr>
        <w:t xml:space="preserve"> </w:t>
      </w:r>
      <w:proofErr w:type="gramStart"/>
      <w:r>
        <w:rPr>
          <w:rFonts w:ascii="Arial" w:hAnsi="Arial" w:cs="Arial"/>
        </w:rPr>
        <w:t>No. 12-</w:t>
      </w:r>
      <w:r w:rsidRPr="00850567">
        <w:rPr>
          <w:rFonts w:ascii="Arial" w:hAnsi="Arial" w:cs="Arial"/>
        </w:rPr>
        <w:t>3151-EL-COI Finding and Order at 36 (Mar. 26, 2014) (hereinafter “</w:t>
      </w:r>
      <w:r w:rsidRPr="00850567">
        <w:rPr>
          <w:rFonts w:ascii="Arial" w:hAnsi="Arial" w:cs="Arial"/>
          <w:i/>
        </w:rPr>
        <w:t>RMI Case</w:t>
      </w:r>
      <w:r w:rsidRPr="00850567">
        <w:rPr>
          <w:rFonts w:ascii="Arial" w:hAnsi="Arial" w:cs="Arial"/>
        </w:rPr>
        <w:t xml:space="preserve">” or “RMI Order”); </w:t>
      </w:r>
      <w:r w:rsidRPr="00850567">
        <w:rPr>
          <w:rFonts w:ascii="Arial" w:hAnsi="Arial" w:cs="Arial"/>
          <w:i/>
        </w:rPr>
        <w:t>RMI Case</w:t>
      </w:r>
      <w:r w:rsidRPr="00850567">
        <w:rPr>
          <w:rFonts w:ascii="Arial" w:hAnsi="Arial" w:cs="Arial"/>
        </w:rPr>
        <w:t>, Entry on Rehearing at 19 (May 21, 2014).</w:t>
      </w:r>
      <w:proofErr w:type="gramEnd"/>
      <w:r w:rsidRPr="00850567">
        <w:rPr>
          <w:rFonts w:ascii="Arial" w:hAnsi="Arial" w:cs="Arial"/>
        </w:rPr>
        <w:t xml:space="preserve"> </w:t>
      </w:r>
    </w:p>
    <w:p w14:paraId="312B0917" w14:textId="73A59219" w:rsidR="003D7D23" w:rsidRPr="00850567" w:rsidRDefault="003D7D23" w:rsidP="003D7D23">
      <w:pPr>
        <w:pStyle w:val="FootnoteText"/>
        <w:jc w:val="both"/>
        <w:rPr>
          <w:rFonts w:ascii="Arial" w:hAnsi="Arial" w:cs="Arial"/>
        </w:rPr>
      </w:pPr>
    </w:p>
  </w:footnote>
  <w:footnote w:id="2">
    <w:p w14:paraId="7A23CA24" w14:textId="678A74FE" w:rsidR="003D7D23" w:rsidRDefault="003D7D23" w:rsidP="003D7D23">
      <w:pPr>
        <w:pStyle w:val="FootnoteText"/>
        <w:jc w:val="both"/>
        <w:rPr>
          <w:rFonts w:ascii="Arial" w:hAnsi="Arial" w:cs="Arial"/>
          <w:i/>
        </w:rPr>
      </w:pPr>
      <w:r w:rsidRPr="00850567">
        <w:rPr>
          <w:rStyle w:val="FootnoteReference"/>
          <w:rFonts w:ascii="Arial" w:hAnsi="Arial" w:cs="Arial"/>
        </w:rPr>
        <w:footnoteRef/>
      </w:r>
      <w:r w:rsidRPr="00850567">
        <w:rPr>
          <w:rFonts w:ascii="Arial" w:hAnsi="Arial" w:cs="Arial"/>
        </w:rPr>
        <w:t xml:space="preserve"> </w:t>
      </w:r>
      <w:r w:rsidRPr="00850567">
        <w:rPr>
          <w:rFonts w:ascii="Arial" w:hAnsi="Arial" w:cs="Arial"/>
          <w:i/>
        </w:rPr>
        <w:t xml:space="preserve">Id. </w:t>
      </w:r>
    </w:p>
    <w:p w14:paraId="11613438" w14:textId="77777777" w:rsidR="00850567" w:rsidRPr="00850567" w:rsidRDefault="00850567" w:rsidP="003D7D23">
      <w:pPr>
        <w:pStyle w:val="FootnoteText"/>
        <w:jc w:val="both"/>
        <w:rPr>
          <w:rFonts w:ascii="Arial" w:hAnsi="Arial" w:cs="Arial"/>
          <w:i/>
        </w:rPr>
      </w:pPr>
    </w:p>
  </w:footnote>
  <w:footnote w:id="3">
    <w:p w14:paraId="054410D2" w14:textId="7CDD9F91" w:rsidR="00850567" w:rsidRDefault="00850567">
      <w:pPr>
        <w:pStyle w:val="FootnoteText"/>
      </w:pPr>
      <w:r w:rsidRPr="00850567">
        <w:rPr>
          <w:rStyle w:val="FootnoteReference"/>
          <w:rFonts w:ascii="Arial" w:hAnsi="Arial" w:cs="Arial"/>
        </w:rPr>
        <w:footnoteRef/>
      </w:r>
      <w:r w:rsidRPr="00850567">
        <w:rPr>
          <w:rFonts w:ascii="Arial" w:hAnsi="Arial" w:cs="Arial"/>
        </w:rPr>
        <w:t xml:space="preserve"> </w:t>
      </w:r>
      <w:proofErr w:type="gramStart"/>
      <w:r>
        <w:rPr>
          <w:rFonts w:ascii="Arial" w:hAnsi="Arial" w:cs="Arial"/>
        </w:rPr>
        <w:t>Application at 2</w:t>
      </w:r>
      <w:r w:rsidRPr="00850567">
        <w:rPr>
          <w:rFonts w:ascii="Arial" w:hAnsi="Arial" w:cs="Arial"/>
        </w:rPr>
        <w:t>.</w:t>
      </w:r>
      <w:proofErr w:type="gramEnd"/>
    </w:p>
  </w:footnote>
  <w:footnote w:id="4">
    <w:p w14:paraId="12CB2057" w14:textId="77777777" w:rsidR="009D6BC1" w:rsidRPr="00BD27BC" w:rsidRDefault="009D6BC1" w:rsidP="003D7D23">
      <w:pPr>
        <w:pStyle w:val="FootnoteText"/>
        <w:jc w:val="both"/>
        <w:rPr>
          <w:rFonts w:ascii="Arial" w:hAnsi="Arial" w:cs="Arial"/>
          <w:i/>
        </w:rPr>
      </w:pPr>
      <w:r w:rsidRPr="005B1503">
        <w:rPr>
          <w:rStyle w:val="FootnoteReference"/>
          <w:rFonts w:ascii="Arial" w:hAnsi="Arial" w:cs="Arial"/>
        </w:rPr>
        <w:footnoteRef/>
      </w:r>
      <w:r w:rsidRPr="005B1503">
        <w:rPr>
          <w:rFonts w:ascii="Arial" w:hAnsi="Arial" w:cs="Arial"/>
        </w:rPr>
        <w:t xml:space="preserve"> </w:t>
      </w:r>
      <w:r w:rsidRPr="00BD27BC">
        <w:rPr>
          <w:rFonts w:ascii="Arial" w:hAnsi="Arial" w:cs="Arial"/>
          <w:i/>
        </w:rPr>
        <w:t>In t</w:t>
      </w:r>
      <w:r>
        <w:rPr>
          <w:rFonts w:ascii="Arial" w:hAnsi="Arial" w:cs="Arial"/>
          <w:i/>
        </w:rPr>
        <w:t xml:space="preserve">he Matter of the Application of </w:t>
      </w:r>
      <w:r w:rsidRPr="00BD27BC">
        <w:rPr>
          <w:rFonts w:ascii="Arial" w:hAnsi="Arial" w:cs="Arial"/>
          <w:i/>
        </w:rPr>
        <w:t>Duke</w:t>
      </w:r>
      <w:r>
        <w:rPr>
          <w:rFonts w:ascii="Arial" w:hAnsi="Arial" w:cs="Arial"/>
          <w:i/>
        </w:rPr>
        <w:t xml:space="preserve"> Energy Ohio for Approval of an </w:t>
      </w:r>
      <w:r w:rsidRPr="00BD27BC">
        <w:rPr>
          <w:rFonts w:ascii="Arial" w:hAnsi="Arial" w:cs="Arial"/>
          <w:i/>
        </w:rPr>
        <w:t>Electric Security Plan</w:t>
      </w:r>
      <w:r>
        <w:rPr>
          <w:rFonts w:ascii="Arial" w:hAnsi="Arial" w:cs="Arial"/>
        </w:rPr>
        <w:t xml:space="preserve">, </w:t>
      </w:r>
      <w:r w:rsidRPr="005B1503">
        <w:rPr>
          <w:rFonts w:ascii="Arial" w:hAnsi="Arial" w:cs="Arial"/>
        </w:rPr>
        <w:t xml:space="preserve">Case Nos. 08-920-EL-SSO, </w:t>
      </w:r>
      <w:r w:rsidRPr="005B1503">
        <w:rPr>
          <w:rFonts w:ascii="Arial" w:hAnsi="Arial" w:cs="Arial"/>
          <w:i/>
        </w:rPr>
        <w:t>et al.</w:t>
      </w:r>
      <w:r w:rsidRPr="005B1503">
        <w:rPr>
          <w:rFonts w:ascii="Arial" w:hAnsi="Arial" w:cs="Arial"/>
        </w:rPr>
        <w:t>, Opinion and Order</w:t>
      </w:r>
      <w:r>
        <w:rPr>
          <w:rFonts w:ascii="Arial" w:hAnsi="Arial" w:cs="Arial"/>
        </w:rPr>
        <w:t xml:space="preserve"> (Dec. 17, 2008)</w:t>
      </w:r>
      <w:r w:rsidRPr="005B1503">
        <w:rPr>
          <w:rFonts w:ascii="Arial" w:hAnsi="Arial" w:cs="Arial"/>
        </w:rPr>
        <w:t>.</w:t>
      </w:r>
    </w:p>
    <w:p w14:paraId="15A456DD" w14:textId="77777777" w:rsidR="009D6BC1" w:rsidRPr="005B1503" w:rsidRDefault="009D6BC1" w:rsidP="009D6BC1">
      <w:pPr>
        <w:pStyle w:val="FootnoteText"/>
        <w:rPr>
          <w:rFonts w:ascii="Arial" w:hAnsi="Arial" w:cs="Arial"/>
        </w:rPr>
      </w:pPr>
    </w:p>
  </w:footnote>
  <w:footnote w:id="5">
    <w:p w14:paraId="18D01D50" w14:textId="77777777" w:rsidR="004726B2" w:rsidRPr="005B1503" w:rsidRDefault="004726B2" w:rsidP="004726B2">
      <w:pPr>
        <w:pStyle w:val="FootnoteText"/>
        <w:rPr>
          <w:rFonts w:ascii="Arial" w:hAnsi="Arial" w:cs="Arial"/>
        </w:rPr>
      </w:pPr>
      <w:r w:rsidRPr="005B1503">
        <w:rPr>
          <w:rStyle w:val="FootnoteReference"/>
          <w:rFonts w:ascii="Arial" w:hAnsi="Arial" w:cs="Arial"/>
        </w:rPr>
        <w:footnoteRef/>
      </w:r>
      <w:r w:rsidRPr="005B1503">
        <w:rPr>
          <w:rFonts w:ascii="Arial" w:hAnsi="Arial" w:cs="Arial"/>
        </w:rPr>
        <w:t xml:space="preserve"> See Duke Energy Unbundled Retail Standard Tariff:  Rate TD-2012 (Time-of-Day); Rate TD-13 (Time-of-Day); Rider PTR_3 (Peak Time Rebate)</w:t>
      </w:r>
      <w:r>
        <w:rPr>
          <w:rFonts w:ascii="Arial" w:hAnsi="Arial" w:cs="Arial"/>
        </w:rPr>
        <w:t>.</w:t>
      </w:r>
    </w:p>
  </w:footnote>
  <w:footnote w:id="6">
    <w:p w14:paraId="6152A78F" w14:textId="77777777" w:rsidR="004726B2" w:rsidRPr="005B1503" w:rsidRDefault="004726B2" w:rsidP="004726B2">
      <w:pPr>
        <w:pStyle w:val="FootnoteText"/>
        <w:rPr>
          <w:rFonts w:ascii="Arial" w:hAnsi="Arial" w:cs="Arial"/>
        </w:rPr>
      </w:pPr>
      <w:r w:rsidRPr="005B1503">
        <w:rPr>
          <w:rStyle w:val="FootnoteReference"/>
          <w:rFonts w:ascii="Arial" w:hAnsi="Arial" w:cs="Arial"/>
        </w:rPr>
        <w:footnoteRef/>
      </w:r>
      <w:r w:rsidRPr="005B1503">
        <w:rPr>
          <w:rFonts w:ascii="Arial" w:hAnsi="Arial" w:cs="Arial"/>
        </w:rPr>
        <w:t xml:space="preserve"> Stipulation at 33-34 (emphasis added).</w:t>
      </w:r>
    </w:p>
    <w:p w14:paraId="3AF2FABC" w14:textId="77777777" w:rsidR="004726B2" w:rsidRPr="005B1503" w:rsidRDefault="004726B2" w:rsidP="004726B2">
      <w:pPr>
        <w:pStyle w:val="FootnoteText"/>
        <w:rPr>
          <w:rFonts w:ascii="Arial" w:hAnsi="Arial" w:cs="Arial"/>
        </w:rPr>
      </w:pPr>
    </w:p>
  </w:footnote>
  <w:footnote w:id="7">
    <w:p w14:paraId="20FBDD7F" w14:textId="7B9F1C1C" w:rsidR="00021336" w:rsidRPr="000627DC" w:rsidRDefault="00021336" w:rsidP="00021336">
      <w:pPr>
        <w:pStyle w:val="FootnoteText"/>
        <w:rPr>
          <w:rFonts w:ascii="Arial" w:hAnsi="Arial" w:cs="Arial"/>
        </w:rPr>
      </w:pPr>
      <w:r w:rsidRPr="000627DC">
        <w:rPr>
          <w:rStyle w:val="FootnoteReference"/>
          <w:rFonts w:ascii="Arial" w:hAnsi="Arial" w:cs="Arial"/>
        </w:rPr>
        <w:footnoteRef/>
      </w:r>
      <w:r w:rsidRPr="000627DC">
        <w:rPr>
          <w:rFonts w:ascii="Arial" w:hAnsi="Arial" w:cs="Arial"/>
        </w:rPr>
        <w:t xml:space="preserve"> Stipulation at 34-35 (emphasis added).</w:t>
      </w:r>
    </w:p>
    <w:p w14:paraId="796D080E" w14:textId="77777777" w:rsidR="00021336" w:rsidRPr="000627DC" w:rsidRDefault="00021336" w:rsidP="00021336">
      <w:pPr>
        <w:pStyle w:val="FootnoteText"/>
        <w:rPr>
          <w:rFonts w:ascii="Arial" w:hAnsi="Arial" w:cs="Arial"/>
        </w:rPr>
      </w:pPr>
    </w:p>
  </w:footnote>
  <w:footnote w:id="8">
    <w:p w14:paraId="2CB1FF79" w14:textId="77777777" w:rsidR="003254F4" w:rsidRPr="0064107A" w:rsidRDefault="003254F4" w:rsidP="003254F4">
      <w:pPr>
        <w:pStyle w:val="FootnoteText"/>
        <w:rPr>
          <w:rFonts w:ascii="Arial" w:hAnsi="Arial" w:cs="Arial"/>
        </w:rPr>
      </w:pPr>
      <w:r w:rsidRPr="0064107A">
        <w:rPr>
          <w:rStyle w:val="FootnoteReference"/>
          <w:rFonts w:ascii="Arial" w:hAnsi="Arial" w:cs="Arial"/>
        </w:rPr>
        <w:footnoteRef/>
      </w:r>
      <w:r w:rsidRPr="0064107A">
        <w:rPr>
          <w:rFonts w:ascii="Arial" w:hAnsi="Arial" w:cs="Arial"/>
        </w:rPr>
        <w:t xml:space="preserve"> Effective December 1, 2014 rules were put into </w:t>
      </w:r>
      <w:proofErr w:type="gramStart"/>
      <w:r w:rsidRPr="0064107A">
        <w:rPr>
          <w:rFonts w:ascii="Arial" w:hAnsi="Arial" w:cs="Arial"/>
        </w:rPr>
        <w:t>place that govern</w:t>
      </w:r>
      <w:proofErr w:type="gramEnd"/>
      <w:r w:rsidRPr="0064107A">
        <w:rPr>
          <w:rFonts w:ascii="Arial" w:hAnsi="Arial" w:cs="Arial"/>
        </w:rPr>
        <w:t xml:space="preserve"> disclosure of customer energy usage data.</w:t>
      </w:r>
    </w:p>
    <w:p w14:paraId="43A28578" w14:textId="77777777" w:rsidR="003254F4" w:rsidRDefault="003254F4" w:rsidP="003254F4">
      <w:pPr>
        <w:pStyle w:val="FootnoteText"/>
      </w:pPr>
    </w:p>
  </w:footnote>
  <w:footnote w:id="9">
    <w:p w14:paraId="2BD927FE" w14:textId="47F0E5D1" w:rsidR="000627DC" w:rsidRPr="00217AE0" w:rsidRDefault="000627DC">
      <w:pPr>
        <w:pStyle w:val="FootnoteText"/>
        <w:rPr>
          <w:rFonts w:ascii="Arial" w:hAnsi="Arial" w:cs="Arial"/>
        </w:rPr>
      </w:pPr>
      <w:r w:rsidRPr="000627DC">
        <w:rPr>
          <w:rStyle w:val="FootnoteReference"/>
          <w:rFonts w:ascii="Arial" w:hAnsi="Arial" w:cs="Arial"/>
        </w:rPr>
        <w:footnoteRef/>
      </w:r>
      <w:r w:rsidRPr="000627DC">
        <w:rPr>
          <w:rFonts w:ascii="Arial" w:hAnsi="Arial" w:cs="Arial"/>
        </w:rPr>
        <w:t xml:space="preserve"> </w:t>
      </w:r>
      <w:r w:rsidRPr="00217AE0">
        <w:rPr>
          <w:rFonts w:ascii="Arial" w:hAnsi="Arial" w:cs="Arial"/>
          <w:i/>
        </w:rPr>
        <w:t xml:space="preserve">Id. </w:t>
      </w:r>
      <w:r w:rsidRPr="00217AE0">
        <w:rPr>
          <w:rFonts w:ascii="Arial" w:hAnsi="Arial" w:cs="Arial"/>
        </w:rPr>
        <w:t>at 37 (emphasis added).</w:t>
      </w:r>
    </w:p>
    <w:p w14:paraId="3A7590BD" w14:textId="77777777" w:rsidR="00217AE0" w:rsidRPr="00217AE0" w:rsidRDefault="00217AE0" w:rsidP="00217AE0">
      <w:pPr>
        <w:pStyle w:val="FootnoteText"/>
        <w:jc w:val="both"/>
        <w:rPr>
          <w:rFonts w:ascii="Arial" w:hAnsi="Arial" w:cs="Arial"/>
        </w:rPr>
      </w:pPr>
    </w:p>
  </w:footnote>
  <w:footnote w:id="10">
    <w:p w14:paraId="3E95DF5B" w14:textId="77777777" w:rsidR="00217AE0" w:rsidRDefault="00217AE0" w:rsidP="00217AE0">
      <w:pPr>
        <w:pStyle w:val="FootnoteText"/>
        <w:jc w:val="both"/>
        <w:rPr>
          <w:rFonts w:ascii="Times New Roman" w:hAnsi="Times New Roman" w:cs="Times New Roman"/>
        </w:rPr>
      </w:pPr>
      <w:r w:rsidRPr="00217AE0">
        <w:rPr>
          <w:rStyle w:val="FootnoteReference"/>
          <w:rFonts w:ascii="Arial" w:hAnsi="Arial" w:cs="Arial"/>
        </w:rPr>
        <w:footnoteRef/>
      </w:r>
      <w:r w:rsidRPr="00217AE0">
        <w:rPr>
          <w:rFonts w:ascii="Arial" w:hAnsi="Arial" w:cs="Arial"/>
        </w:rPr>
        <w:t xml:space="preserve"> </w:t>
      </w:r>
      <w:r w:rsidRPr="00217AE0">
        <w:rPr>
          <w:rFonts w:ascii="Arial" w:hAnsi="Arial" w:cs="Arial"/>
          <w:i/>
        </w:rPr>
        <w:t xml:space="preserve">In the Matter of the Application of Duke Energy Ohio, Inc. to Adjust and Set Its Gas and Electric Recovery Rate for 2010 </w:t>
      </w:r>
      <w:proofErr w:type="spellStart"/>
      <w:r w:rsidRPr="00217AE0">
        <w:rPr>
          <w:rFonts w:ascii="Arial" w:hAnsi="Arial" w:cs="Arial"/>
          <w:i/>
        </w:rPr>
        <w:t>SmartGrid</w:t>
      </w:r>
      <w:proofErr w:type="spellEnd"/>
      <w:r w:rsidRPr="00217AE0">
        <w:rPr>
          <w:rFonts w:ascii="Arial" w:hAnsi="Arial" w:cs="Arial"/>
          <w:i/>
        </w:rPr>
        <w:t xml:space="preserve"> Costs Under Riders AU and Rider DR-IM and Mid-deployment Review of AMI/</w:t>
      </w:r>
      <w:proofErr w:type="spellStart"/>
      <w:r w:rsidRPr="00217AE0">
        <w:rPr>
          <w:rFonts w:ascii="Arial" w:hAnsi="Arial" w:cs="Arial"/>
          <w:i/>
        </w:rPr>
        <w:t>SmartGrid</w:t>
      </w:r>
      <w:proofErr w:type="spellEnd"/>
      <w:r w:rsidRPr="00217AE0">
        <w:rPr>
          <w:rFonts w:ascii="Arial" w:hAnsi="Arial" w:cs="Arial"/>
          <w:i/>
        </w:rPr>
        <w:t xml:space="preserve"> Program</w:t>
      </w:r>
      <w:r w:rsidRPr="00217AE0">
        <w:rPr>
          <w:rFonts w:ascii="Arial" w:hAnsi="Arial" w:cs="Arial"/>
        </w:rPr>
        <w:t>, Case No. 10-2326-GE-RDR, Stipulation at 11</w:t>
      </w:r>
      <w:r w:rsidRPr="0015072F">
        <w:rPr>
          <w:rFonts w:ascii="Times New Roman" w:hAnsi="Times New Roman" w:cs="Times New Roman"/>
        </w:rPr>
        <w:t>.</w:t>
      </w:r>
    </w:p>
    <w:p w14:paraId="04C0C2A5" w14:textId="77777777" w:rsidR="003D7D23" w:rsidRPr="0015072F" w:rsidRDefault="003D7D23" w:rsidP="00217AE0">
      <w:pPr>
        <w:pStyle w:val="FootnoteText"/>
        <w:jc w:val="both"/>
        <w:rPr>
          <w:rFonts w:ascii="Times New Roman" w:hAnsi="Times New Roman" w:cs="Times New Roman"/>
        </w:rPr>
      </w:pPr>
    </w:p>
  </w:footnote>
  <w:footnote w:id="11">
    <w:p w14:paraId="56C88DFB" w14:textId="77777777" w:rsidR="004726B2" w:rsidRPr="005B1503" w:rsidRDefault="004726B2" w:rsidP="00A2205F">
      <w:pPr>
        <w:pStyle w:val="FootnoteText"/>
        <w:jc w:val="both"/>
        <w:rPr>
          <w:rFonts w:ascii="Arial" w:hAnsi="Arial" w:cs="Arial"/>
        </w:rPr>
      </w:pPr>
      <w:r w:rsidRPr="005B1503">
        <w:rPr>
          <w:rStyle w:val="FootnoteReference"/>
          <w:rFonts w:ascii="Arial" w:hAnsi="Arial" w:cs="Arial"/>
        </w:rPr>
        <w:footnoteRef/>
      </w:r>
      <w:r w:rsidRPr="005B1503">
        <w:rPr>
          <w:rFonts w:ascii="Arial" w:hAnsi="Arial" w:cs="Arial"/>
        </w:rPr>
        <w:t xml:space="preserve"> </w:t>
      </w:r>
      <w:r w:rsidRPr="005B1503">
        <w:rPr>
          <w:rFonts w:ascii="Arial" w:hAnsi="Arial" w:cs="Arial"/>
          <w:i/>
        </w:rPr>
        <w:t>2012 Grid Modernization Case</w:t>
      </w:r>
      <w:r w:rsidRPr="005B1503">
        <w:rPr>
          <w:rFonts w:ascii="Arial" w:hAnsi="Arial" w:cs="Arial"/>
        </w:rPr>
        <w:t xml:space="preserve">, Opinion and Order at 15 (Apr. 9, 2014) (emphasis added); </w:t>
      </w:r>
      <w:r w:rsidRPr="005B1503">
        <w:rPr>
          <w:rFonts w:ascii="Arial" w:hAnsi="Arial" w:cs="Arial"/>
          <w:i/>
        </w:rPr>
        <w:t>see also 2012 Grid Modernization Case</w:t>
      </w:r>
      <w:r w:rsidRPr="005B1503">
        <w:rPr>
          <w:rFonts w:ascii="Arial" w:hAnsi="Arial" w:cs="Arial"/>
        </w:rPr>
        <w:t>, Supplemental Direct Testimony of Donald Schneider at 5-6 (Jan. 29, 2014).</w:t>
      </w:r>
    </w:p>
    <w:p w14:paraId="66FBBC9C" w14:textId="77777777" w:rsidR="004726B2" w:rsidRPr="005B1503" w:rsidRDefault="004726B2" w:rsidP="00A2205F">
      <w:pPr>
        <w:pStyle w:val="FootnoteText"/>
        <w:jc w:val="both"/>
        <w:rPr>
          <w:rFonts w:ascii="Arial" w:hAnsi="Arial" w:cs="Arial"/>
        </w:rPr>
      </w:pPr>
    </w:p>
  </w:footnote>
  <w:footnote w:id="12">
    <w:p w14:paraId="0E62722D" w14:textId="7186EDEA" w:rsidR="00A2205F" w:rsidRDefault="008A26F1" w:rsidP="00A2205F">
      <w:pPr>
        <w:pStyle w:val="FootnoteText"/>
        <w:jc w:val="both"/>
        <w:rPr>
          <w:rFonts w:ascii="Arial" w:hAnsi="Arial" w:cs="Arial"/>
        </w:rPr>
      </w:pPr>
      <w:r w:rsidRPr="005B1503">
        <w:rPr>
          <w:rStyle w:val="FootnoteReference"/>
          <w:rFonts w:ascii="Arial" w:hAnsi="Arial" w:cs="Arial"/>
        </w:rPr>
        <w:footnoteRef/>
      </w:r>
      <w:r w:rsidRPr="005B1503">
        <w:rPr>
          <w:rFonts w:ascii="Arial" w:hAnsi="Arial" w:cs="Arial"/>
        </w:rPr>
        <w:t xml:space="preserve"> </w:t>
      </w:r>
      <w:r w:rsidR="003D7D23">
        <w:rPr>
          <w:rFonts w:ascii="Arial" w:hAnsi="Arial" w:cs="Arial"/>
          <w:i/>
        </w:rPr>
        <w:t>RMI Case</w:t>
      </w:r>
      <w:r w:rsidR="003D7D23">
        <w:rPr>
          <w:rFonts w:ascii="Arial" w:hAnsi="Arial" w:cs="Arial"/>
        </w:rPr>
        <w:t>,</w:t>
      </w:r>
      <w:r w:rsidR="00A2205F">
        <w:rPr>
          <w:rFonts w:ascii="Arial" w:hAnsi="Arial" w:cs="Arial"/>
        </w:rPr>
        <w:t xml:space="preserve"> </w:t>
      </w:r>
      <w:r w:rsidRPr="005B1503">
        <w:rPr>
          <w:rFonts w:ascii="Arial" w:hAnsi="Arial" w:cs="Arial"/>
        </w:rPr>
        <w:t xml:space="preserve">Finding </w:t>
      </w:r>
      <w:r w:rsidR="003D7D23">
        <w:rPr>
          <w:rFonts w:ascii="Arial" w:hAnsi="Arial" w:cs="Arial"/>
        </w:rPr>
        <w:t xml:space="preserve">and Order at 36 (Mar. 26, 2014); </w:t>
      </w:r>
      <w:r w:rsidRPr="005B1503">
        <w:rPr>
          <w:rFonts w:ascii="Arial" w:hAnsi="Arial" w:cs="Arial"/>
          <w:i/>
        </w:rPr>
        <w:t>RMI Case</w:t>
      </w:r>
      <w:r w:rsidRPr="005B1503">
        <w:rPr>
          <w:rFonts w:ascii="Arial" w:hAnsi="Arial" w:cs="Arial"/>
        </w:rPr>
        <w:t xml:space="preserve">, Entry on Rehearing at 19 (May 21, 2014). </w:t>
      </w:r>
    </w:p>
    <w:p w14:paraId="681CDC7E" w14:textId="71C2DE12" w:rsidR="008A26F1" w:rsidRPr="005B1503" w:rsidRDefault="008A26F1" w:rsidP="00A2205F">
      <w:pPr>
        <w:pStyle w:val="FootnoteText"/>
        <w:jc w:val="both"/>
        <w:rPr>
          <w:rFonts w:ascii="Arial" w:hAnsi="Arial" w:cs="Arial"/>
        </w:rPr>
      </w:pPr>
      <w:r w:rsidRPr="005B1503">
        <w:rPr>
          <w:rFonts w:ascii="Arial" w:hAnsi="Arial" w:cs="Arial"/>
        </w:rPr>
        <w:t xml:space="preserve"> </w:t>
      </w:r>
    </w:p>
  </w:footnote>
  <w:footnote w:id="13">
    <w:p w14:paraId="46711E6C" w14:textId="77777777" w:rsidR="00850567" w:rsidRDefault="00A2205F">
      <w:pPr>
        <w:pStyle w:val="FootnoteText"/>
        <w:rPr>
          <w:rFonts w:ascii="Arial" w:hAnsi="Arial" w:cs="Arial"/>
        </w:rPr>
      </w:pPr>
      <w:r w:rsidRPr="00A2205F">
        <w:rPr>
          <w:rStyle w:val="FootnoteReference"/>
          <w:rFonts w:ascii="Arial" w:hAnsi="Arial" w:cs="Arial"/>
        </w:rPr>
        <w:footnoteRef/>
      </w:r>
      <w:r w:rsidRPr="00A2205F">
        <w:rPr>
          <w:rFonts w:ascii="Arial" w:hAnsi="Arial" w:cs="Arial"/>
        </w:rPr>
        <w:t xml:space="preserve"> </w:t>
      </w:r>
      <w:r w:rsidRPr="00A2205F">
        <w:rPr>
          <w:rFonts w:ascii="Arial" w:hAnsi="Arial" w:cs="Arial"/>
          <w:i/>
        </w:rPr>
        <w:t>RMI Case</w:t>
      </w:r>
      <w:r w:rsidRPr="00A2205F">
        <w:rPr>
          <w:rFonts w:ascii="Arial" w:hAnsi="Arial" w:cs="Arial"/>
        </w:rPr>
        <w:t>, Finding and Order at 36.</w:t>
      </w:r>
    </w:p>
    <w:p w14:paraId="503E7BB5" w14:textId="7CA8FB82" w:rsidR="00A2205F" w:rsidRPr="00A2205F" w:rsidRDefault="00A2205F">
      <w:pPr>
        <w:pStyle w:val="FootnoteText"/>
        <w:rPr>
          <w:rFonts w:ascii="Arial" w:hAnsi="Arial" w:cs="Arial"/>
        </w:rPr>
      </w:pPr>
      <w:r w:rsidRPr="00A2205F">
        <w:rPr>
          <w:rFonts w:ascii="Arial" w:hAnsi="Arial" w:cs="Arial"/>
        </w:rPr>
        <w:t xml:space="preserve"> </w:t>
      </w:r>
    </w:p>
  </w:footnote>
  <w:footnote w:id="14">
    <w:p w14:paraId="349B3C86" w14:textId="722D144F" w:rsidR="00850567" w:rsidRPr="00850567" w:rsidRDefault="00850567">
      <w:pPr>
        <w:pStyle w:val="FootnoteText"/>
        <w:rPr>
          <w:rFonts w:ascii="Arial" w:hAnsi="Arial" w:cs="Arial"/>
        </w:rPr>
      </w:pPr>
      <w:r w:rsidRPr="00850567">
        <w:rPr>
          <w:rStyle w:val="FootnoteReference"/>
          <w:rFonts w:ascii="Arial" w:hAnsi="Arial" w:cs="Arial"/>
        </w:rPr>
        <w:footnoteRef/>
      </w:r>
      <w:r w:rsidRPr="00850567">
        <w:rPr>
          <w:rFonts w:ascii="Arial" w:hAnsi="Arial" w:cs="Arial"/>
        </w:rPr>
        <w:t xml:space="preserve"> </w:t>
      </w:r>
      <w:proofErr w:type="gramStart"/>
      <w:r w:rsidRPr="00850567">
        <w:rPr>
          <w:rFonts w:ascii="Arial" w:hAnsi="Arial" w:cs="Arial"/>
        </w:rPr>
        <w:t>Application at 1.</w:t>
      </w:r>
      <w:proofErr w:type="gramEnd"/>
    </w:p>
  </w:footnote>
  <w:footnote w:id="15">
    <w:p w14:paraId="43040D3C" w14:textId="60AC4C51" w:rsidR="00850567" w:rsidRDefault="00850567">
      <w:pPr>
        <w:pStyle w:val="FootnoteText"/>
        <w:rPr>
          <w:rFonts w:ascii="Arial" w:hAnsi="Arial" w:cs="Arial"/>
        </w:rPr>
      </w:pPr>
      <w:r w:rsidRPr="00850567">
        <w:rPr>
          <w:rStyle w:val="FootnoteReference"/>
          <w:rFonts w:ascii="Arial" w:hAnsi="Arial" w:cs="Arial"/>
        </w:rPr>
        <w:footnoteRef/>
      </w:r>
      <w:r w:rsidRPr="00850567">
        <w:rPr>
          <w:rFonts w:ascii="Arial" w:hAnsi="Arial" w:cs="Arial"/>
        </w:rPr>
        <w:t xml:space="preserve"> </w:t>
      </w:r>
      <w:proofErr w:type="gramStart"/>
      <w:r w:rsidRPr="00850567">
        <w:rPr>
          <w:rFonts w:ascii="Arial" w:hAnsi="Arial" w:cs="Arial"/>
        </w:rPr>
        <w:t>Application at 2.</w:t>
      </w:r>
      <w:proofErr w:type="gramEnd"/>
    </w:p>
    <w:p w14:paraId="366C2E77" w14:textId="77777777" w:rsidR="00850567" w:rsidRPr="00850567" w:rsidRDefault="00850567">
      <w:pPr>
        <w:pStyle w:val="FootnoteText"/>
        <w:rPr>
          <w:rFonts w:ascii="Arial" w:hAnsi="Arial" w:cs="Arial"/>
        </w:rPr>
      </w:pPr>
    </w:p>
  </w:footnote>
  <w:footnote w:id="16">
    <w:p w14:paraId="352F18B9" w14:textId="0E25B059" w:rsidR="00C90FB8" w:rsidRPr="00C90FB8" w:rsidRDefault="00C90FB8" w:rsidP="00C90FB8">
      <w:pPr>
        <w:pStyle w:val="FootnoteText"/>
        <w:jc w:val="both"/>
        <w:rPr>
          <w:rFonts w:ascii="Arial" w:hAnsi="Arial" w:cs="Arial"/>
        </w:rPr>
      </w:pPr>
      <w:r w:rsidRPr="00C90FB8">
        <w:rPr>
          <w:rStyle w:val="FootnoteReference"/>
          <w:rFonts w:ascii="Arial" w:hAnsi="Arial" w:cs="Arial"/>
        </w:rPr>
        <w:footnoteRef/>
      </w:r>
      <w:r w:rsidRPr="00C90FB8">
        <w:rPr>
          <w:rFonts w:ascii="Arial" w:hAnsi="Arial" w:cs="Arial"/>
        </w:rPr>
        <w:t xml:space="preserve"> In the Matter of the Application of Duke Energy Ohio, Inc., for the Establishment of a Charge Pursuant to Section 4909.18, Revised Code, Case Nos. 12-2400-EL-UNC, </w:t>
      </w:r>
      <w:r w:rsidRPr="00C90FB8">
        <w:rPr>
          <w:rFonts w:ascii="Arial" w:hAnsi="Arial" w:cs="Arial"/>
          <w:i/>
        </w:rPr>
        <w:t>et al.</w:t>
      </w:r>
      <w:r w:rsidRPr="00C90FB8">
        <w:rPr>
          <w:rFonts w:ascii="Arial" w:hAnsi="Arial" w:cs="Arial"/>
        </w:rPr>
        <w:t>, Opinion and Order at 31 (emphasis added).</w:t>
      </w:r>
    </w:p>
    <w:p w14:paraId="5D42446E" w14:textId="77777777" w:rsidR="00C90FB8" w:rsidRPr="00C90FB8" w:rsidRDefault="00C90FB8" w:rsidP="00C90FB8">
      <w:pPr>
        <w:pStyle w:val="FootnoteText"/>
        <w:jc w:val="both"/>
        <w:rPr>
          <w:rFonts w:ascii="Arial" w:hAnsi="Arial" w:cs="Arial"/>
        </w:rPr>
      </w:pPr>
    </w:p>
  </w:footnote>
  <w:footnote w:id="17">
    <w:p w14:paraId="0F2992F0" w14:textId="24B8B69C" w:rsidR="00C90FB8" w:rsidRPr="00C90FB8" w:rsidRDefault="00C90FB8">
      <w:pPr>
        <w:pStyle w:val="FootnoteText"/>
      </w:pPr>
      <w:r w:rsidRPr="00C90FB8">
        <w:rPr>
          <w:rStyle w:val="FootnoteReference"/>
          <w:rFonts w:ascii="Arial" w:hAnsi="Arial" w:cs="Arial"/>
        </w:rPr>
        <w:footnoteRef/>
      </w:r>
      <w:r w:rsidRPr="00C90FB8">
        <w:rPr>
          <w:rFonts w:ascii="Arial" w:hAnsi="Arial" w:cs="Arial"/>
        </w:rPr>
        <w:t xml:space="preserve"> </w:t>
      </w:r>
      <w:proofErr w:type="gramStart"/>
      <w:r w:rsidRPr="00C90FB8">
        <w:rPr>
          <w:rFonts w:ascii="Arial" w:hAnsi="Arial" w:cs="Arial"/>
          <w:i/>
        </w:rPr>
        <w:t xml:space="preserve">Id. </w:t>
      </w:r>
      <w:r w:rsidRPr="00C90FB8">
        <w:rPr>
          <w:rFonts w:ascii="Arial" w:hAnsi="Arial" w:cs="Arial"/>
        </w:rPr>
        <w:t>at 36.</w:t>
      </w:r>
      <w:proofErr w:type="gramEnd"/>
      <w:r>
        <w:t xml:space="preserve"> </w:t>
      </w:r>
    </w:p>
  </w:footnote>
  <w:footnote w:id="18">
    <w:p w14:paraId="7A8FD979" w14:textId="77777777" w:rsidR="00386129" w:rsidRPr="00802524" w:rsidRDefault="00386129" w:rsidP="00386129">
      <w:pPr>
        <w:pStyle w:val="FootnoteText"/>
        <w:jc w:val="both"/>
        <w:rPr>
          <w:rFonts w:ascii="Arial" w:hAnsi="Arial" w:cs="Arial"/>
        </w:rPr>
      </w:pPr>
      <w:r w:rsidRPr="00802524">
        <w:rPr>
          <w:rStyle w:val="FootnoteReference"/>
          <w:rFonts w:ascii="Arial" w:hAnsi="Arial" w:cs="Arial"/>
        </w:rPr>
        <w:footnoteRef/>
      </w:r>
      <w:r w:rsidRPr="00802524">
        <w:rPr>
          <w:rFonts w:ascii="Arial" w:hAnsi="Arial" w:cs="Arial"/>
        </w:rPr>
        <w:t xml:space="preserve"> Duke explicitly committed to giving CRES providers this information in </w:t>
      </w:r>
      <w:r w:rsidRPr="00802524">
        <w:rPr>
          <w:rFonts w:ascii="Arial" w:hAnsi="Arial" w:cs="Arial"/>
          <w:i/>
        </w:rPr>
        <w:t>In the Matter of the Application of Duke Energy Ohio Inc. for Authority to Establish a Standard Service Offer Pursuant to Section 4928.143, Revised Code, in the Form of an Electric Security Plan, Accounting Modifications and Tariffs for Generation Service</w:t>
      </w:r>
      <w:r w:rsidRPr="00802524">
        <w:rPr>
          <w:rFonts w:ascii="Arial" w:hAnsi="Arial" w:cs="Arial"/>
        </w:rPr>
        <w:t>, Case Nos. 11-3549-EL-SSO.</w:t>
      </w:r>
    </w:p>
  </w:footnote>
  <w:footnote w:id="19">
    <w:p w14:paraId="48269FE3" w14:textId="7062A7CC" w:rsidR="004821D0" w:rsidRPr="004821D0" w:rsidRDefault="004821D0">
      <w:pPr>
        <w:pStyle w:val="FootnoteText"/>
        <w:rPr>
          <w:rFonts w:ascii="Arial" w:hAnsi="Arial" w:cs="Arial"/>
        </w:rPr>
      </w:pPr>
      <w:r w:rsidRPr="004821D0">
        <w:rPr>
          <w:rStyle w:val="FootnoteReference"/>
          <w:rFonts w:ascii="Arial" w:hAnsi="Arial" w:cs="Arial"/>
        </w:rPr>
        <w:footnoteRef/>
      </w:r>
      <w:r w:rsidRPr="004821D0">
        <w:rPr>
          <w:rFonts w:ascii="Arial" w:hAnsi="Arial" w:cs="Arial"/>
        </w:rPr>
        <w:t xml:space="preserve"> In </w:t>
      </w:r>
      <w:r w:rsidR="009F141F">
        <w:rPr>
          <w:rFonts w:ascii="Arial" w:hAnsi="Arial" w:cs="Arial"/>
        </w:rPr>
        <w:t>response to discovery</w:t>
      </w:r>
      <w:r w:rsidRPr="004821D0">
        <w:rPr>
          <w:rFonts w:ascii="Arial" w:hAnsi="Arial" w:cs="Arial"/>
        </w:rPr>
        <w:t xml:space="preserve">, Duke indicated that it will calculate PLCs as follows: </w:t>
      </w:r>
    </w:p>
    <w:p w14:paraId="4673DB1A" w14:textId="77777777" w:rsidR="004821D0" w:rsidRDefault="004821D0" w:rsidP="004821D0">
      <w:pPr>
        <w:pStyle w:val="FootnoteText"/>
        <w:ind w:left="720" w:right="720"/>
        <w:jc w:val="both"/>
        <w:rPr>
          <w:rFonts w:ascii="Arial" w:hAnsi="Arial" w:cs="Arial"/>
        </w:rPr>
      </w:pPr>
    </w:p>
    <w:p w14:paraId="2450DE91" w14:textId="202F2406" w:rsidR="004821D0" w:rsidRDefault="004821D0" w:rsidP="004821D0">
      <w:pPr>
        <w:pStyle w:val="FootnoteText"/>
        <w:ind w:left="720" w:right="720"/>
        <w:jc w:val="both"/>
        <w:rPr>
          <w:rFonts w:ascii="Arial" w:hAnsi="Arial" w:cs="Arial"/>
        </w:rPr>
      </w:pPr>
      <w:r w:rsidRPr="004821D0">
        <w:rPr>
          <w:rFonts w:ascii="Arial" w:hAnsi="Arial" w:cs="Arial"/>
        </w:rPr>
        <w:t>The PLC value for any residential customer is calculated using the appropriate load profile segment assigned to the account and the five hourly coincident P JM peaks. The load profile segments assigned to the residential class are RSO (default segment - new account or account without enough history to determine winter kWh), RS5 (winter month kWh less than 1,190 kWh), and RS6 (winter month kWh greater than or equal to 1,190 kWh). Duke Energy Ohio posts the annual hourly weather response functions on its customer choice website used to convert the annual kWh of monthly metered accounts to hourly usage on an annual basis. After determining the hourly usage of each account, Duke Energy Ohio determines the average of the five P JM coincident peak hours by account, inflates the average by the appropriate distribution and transmission losses, applies the appropriate unaccounted for energy (UFE), and adjusts the resulting value with a weather normalization factor. This calculation methodology results in the assignment of unique PLC values for each residential account.</w:t>
      </w:r>
    </w:p>
    <w:p w14:paraId="136F156D" w14:textId="77777777" w:rsidR="004821D0" w:rsidRDefault="004821D0" w:rsidP="004821D0">
      <w:pPr>
        <w:pStyle w:val="FootnoteText"/>
        <w:ind w:right="720"/>
        <w:jc w:val="both"/>
        <w:rPr>
          <w:rFonts w:ascii="Arial" w:hAnsi="Arial" w:cs="Arial"/>
        </w:rPr>
      </w:pPr>
    </w:p>
    <w:p w14:paraId="11407017" w14:textId="71D5D25E" w:rsidR="004821D0" w:rsidRDefault="004821D0" w:rsidP="004821D0">
      <w:pPr>
        <w:pStyle w:val="FootnoteText"/>
        <w:jc w:val="both"/>
        <w:rPr>
          <w:rFonts w:ascii="Arial" w:hAnsi="Arial" w:cs="Arial"/>
        </w:rPr>
      </w:pPr>
      <w:r>
        <w:rPr>
          <w:rFonts w:ascii="Arial" w:hAnsi="Arial" w:cs="Arial"/>
        </w:rPr>
        <w:t>This methodology, however, differs from the calculation of a PLC for a customer with an Interval Data Recorder</w:t>
      </w:r>
      <w:r w:rsidR="009F141F">
        <w:rPr>
          <w:rFonts w:ascii="Arial" w:hAnsi="Arial" w:cs="Arial"/>
        </w:rPr>
        <w:t xml:space="preserve"> (emphasis added</w:t>
      </w:r>
      <w:r>
        <w:rPr>
          <w:rFonts w:ascii="Arial" w:hAnsi="Arial" w:cs="Arial"/>
        </w:rPr>
        <w:t>):</w:t>
      </w:r>
    </w:p>
    <w:p w14:paraId="0784B361" w14:textId="77777777" w:rsidR="004821D0" w:rsidRDefault="004821D0" w:rsidP="004821D0">
      <w:pPr>
        <w:pStyle w:val="FootnoteText"/>
        <w:ind w:right="720"/>
        <w:jc w:val="both"/>
        <w:rPr>
          <w:rFonts w:ascii="Arial" w:hAnsi="Arial" w:cs="Arial"/>
        </w:rPr>
      </w:pPr>
    </w:p>
    <w:p w14:paraId="2795C1C1" w14:textId="5BE2F27F" w:rsidR="004821D0" w:rsidRDefault="004821D0" w:rsidP="004821D0">
      <w:pPr>
        <w:pStyle w:val="FootnoteText"/>
        <w:ind w:left="720" w:right="720"/>
        <w:jc w:val="both"/>
        <w:rPr>
          <w:rFonts w:ascii="Arial" w:hAnsi="Arial" w:cs="Arial"/>
        </w:rPr>
      </w:pPr>
      <w:r w:rsidRPr="004821D0">
        <w:rPr>
          <w:rFonts w:ascii="Arial" w:hAnsi="Arial" w:cs="Arial"/>
        </w:rPr>
        <w:t xml:space="preserve">The PLC values for accounts with traditional IDRs (approximately 4,300 of the 700,000 accounts within Duke Energy Ohio) </w:t>
      </w:r>
      <w:r w:rsidRPr="004821D0">
        <w:rPr>
          <w:rFonts w:ascii="Arial" w:hAnsi="Arial" w:cs="Arial"/>
          <w:b/>
          <w:i/>
        </w:rPr>
        <w:t>are calculated based on the actual hourly data as recorded by the meter</w:t>
      </w:r>
      <w:r w:rsidRPr="004821D0">
        <w:rPr>
          <w:rFonts w:ascii="Arial" w:hAnsi="Arial" w:cs="Arial"/>
        </w:rPr>
        <w:t>. Duke Energy Ohio determines the average of the five PJM coincident peak hours for each account metered with a traditional IDR, inflates the average by the appropriate distribution and transmission losses, and adjusts the resulting value with a weather normalization factor. This calculation methodology, once again, results in the assignment of unique PLC values for each non-residential account having a traditional IDR.</w:t>
      </w:r>
      <w:r>
        <w:rPr>
          <w:rFonts w:ascii="Arial" w:hAnsi="Arial" w:cs="Arial"/>
        </w:rPr>
        <w:t xml:space="preserve">  </w:t>
      </w:r>
    </w:p>
    <w:p w14:paraId="77CBA488" w14:textId="77777777" w:rsidR="004821D0" w:rsidRDefault="004821D0" w:rsidP="004821D0">
      <w:pPr>
        <w:pStyle w:val="FootnoteText"/>
        <w:ind w:right="720"/>
        <w:jc w:val="both"/>
        <w:rPr>
          <w:rFonts w:ascii="Arial" w:hAnsi="Arial" w:cs="Arial"/>
        </w:rPr>
      </w:pPr>
    </w:p>
    <w:p w14:paraId="5A73E87F" w14:textId="15209038" w:rsidR="004821D0" w:rsidRPr="004821D0" w:rsidRDefault="004821D0" w:rsidP="004821D0">
      <w:pPr>
        <w:pStyle w:val="FootnoteText"/>
        <w:jc w:val="both"/>
        <w:rPr>
          <w:rFonts w:ascii="Arial" w:hAnsi="Arial" w:cs="Arial"/>
        </w:rPr>
      </w:pPr>
      <w:r>
        <w:rPr>
          <w:rFonts w:ascii="Arial" w:hAnsi="Arial" w:cs="Arial"/>
        </w:rPr>
        <w:t>Unless the residential PLC is based upon a profiled calculation, there is no reason to calculate the PLCs of these customers differently.</w:t>
      </w:r>
      <w:r w:rsidR="009F141F">
        <w:rPr>
          <w:rFonts w:ascii="Arial" w:hAnsi="Arial" w:cs="Arial"/>
        </w:rPr>
        <w:t xml:space="preserve">  Thus, it appears that Duke calculates residential customer PLCs based upon a combination of total usage and a load profile.</w:t>
      </w:r>
      <w:r>
        <w:rPr>
          <w:rFonts w:ascii="Arial" w:hAnsi="Arial" w:cs="Arial"/>
        </w:rPr>
        <w:t xml:space="preserve"> </w:t>
      </w:r>
      <w:r w:rsidR="009F141F">
        <w:rPr>
          <w:rFonts w:ascii="Arial" w:hAnsi="Arial" w:cs="Arial"/>
        </w:rPr>
        <w:t xml:space="preserve"> Duke’s response is attached as IGS Ex.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5455" w14:textId="77777777" w:rsidR="00D223D6" w:rsidRDefault="00D2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8FFF" w14:textId="77777777" w:rsidR="00D223D6" w:rsidRDefault="00D22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197C"/>
    <w:multiLevelType w:val="hybridMultilevel"/>
    <w:tmpl w:val="B6A44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E69BA"/>
    <w:multiLevelType w:val="hybridMultilevel"/>
    <w:tmpl w:val="9634AFF4"/>
    <w:lvl w:ilvl="0" w:tplc="113A3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4070D"/>
    <w:multiLevelType w:val="hybridMultilevel"/>
    <w:tmpl w:val="1A12AB0C"/>
    <w:lvl w:ilvl="0" w:tplc="B07C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AA67BD"/>
    <w:multiLevelType w:val="hybridMultilevel"/>
    <w:tmpl w:val="0F545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1FB75BF"/>
    <w:multiLevelType w:val="hybridMultilevel"/>
    <w:tmpl w:val="D56AFFCE"/>
    <w:lvl w:ilvl="0" w:tplc="C1DA44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833A6"/>
    <w:multiLevelType w:val="hybridMultilevel"/>
    <w:tmpl w:val="462202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8"/>
  </w:num>
  <w:num w:numId="5">
    <w:abstractNumId w:val="4"/>
  </w:num>
  <w:num w:numId="6">
    <w:abstractNumId w:val="9"/>
  </w:num>
  <w:num w:numId="7">
    <w:abstractNumId w:val="2"/>
  </w:num>
  <w:num w:numId="8">
    <w:abstractNumId w:val="7"/>
  </w:num>
  <w:num w:numId="9">
    <w:abstractNumId w:val="10"/>
  </w:num>
  <w:num w:numId="10">
    <w:abstractNumId w:val="6"/>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4E6B"/>
    <w:rsid w:val="00021336"/>
    <w:rsid w:val="000258F0"/>
    <w:rsid w:val="00054020"/>
    <w:rsid w:val="000627DC"/>
    <w:rsid w:val="00072993"/>
    <w:rsid w:val="00087F7E"/>
    <w:rsid w:val="000A0F85"/>
    <w:rsid w:val="000A6A25"/>
    <w:rsid w:val="000B223F"/>
    <w:rsid w:val="000D4B34"/>
    <w:rsid w:val="000E7DA7"/>
    <w:rsid w:val="001144C4"/>
    <w:rsid w:val="00121836"/>
    <w:rsid w:val="001502B7"/>
    <w:rsid w:val="00155B5A"/>
    <w:rsid w:val="001F3F95"/>
    <w:rsid w:val="001F7922"/>
    <w:rsid w:val="00214C99"/>
    <w:rsid w:val="00217AE0"/>
    <w:rsid w:val="00231B62"/>
    <w:rsid w:val="002336FA"/>
    <w:rsid w:val="00237730"/>
    <w:rsid w:val="002547B7"/>
    <w:rsid w:val="0026046D"/>
    <w:rsid w:val="00265154"/>
    <w:rsid w:val="00281021"/>
    <w:rsid w:val="002E7401"/>
    <w:rsid w:val="002F05DC"/>
    <w:rsid w:val="002F7C71"/>
    <w:rsid w:val="003254F4"/>
    <w:rsid w:val="00337E86"/>
    <w:rsid w:val="003504EC"/>
    <w:rsid w:val="00355B90"/>
    <w:rsid w:val="00357C8B"/>
    <w:rsid w:val="003622C7"/>
    <w:rsid w:val="00386129"/>
    <w:rsid w:val="003A51CC"/>
    <w:rsid w:val="003D01DA"/>
    <w:rsid w:val="003D7D23"/>
    <w:rsid w:val="00402194"/>
    <w:rsid w:val="00413918"/>
    <w:rsid w:val="00454C0E"/>
    <w:rsid w:val="00457C5D"/>
    <w:rsid w:val="004641EA"/>
    <w:rsid w:val="00465A9F"/>
    <w:rsid w:val="004726B2"/>
    <w:rsid w:val="00474257"/>
    <w:rsid w:val="004821D0"/>
    <w:rsid w:val="00483963"/>
    <w:rsid w:val="00491E5D"/>
    <w:rsid w:val="00492AD6"/>
    <w:rsid w:val="004A6C5B"/>
    <w:rsid w:val="004D04A6"/>
    <w:rsid w:val="00545F29"/>
    <w:rsid w:val="00553D21"/>
    <w:rsid w:val="0056270F"/>
    <w:rsid w:val="0058767D"/>
    <w:rsid w:val="0059264C"/>
    <w:rsid w:val="005B37CC"/>
    <w:rsid w:val="005B63F0"/>
    <w:rsid w:val="005C23F7"/>
    <w:rsid w:val="00613140"/>
    <w:rsid w:val="0063518D"/>
    <w:rsid w:val="00672BD2"/>
    <w:rsid w:val="006B49E9"/>
    <w:rsid w:val="006E14B5"/>
    <w:rsid w:val="006E6F71"/>
    <w:rsid w:val="007032CD"/>
    <w:rsid w:val="007816CB"/>
    <w:rsid w:val="007A3068"/>
    <w:rsid w:val="007B3399"/>
    <w:rsid w:val="007D2210"/>
    <w:rsid w:val="007D5BFF"/>
    <w:rsid w:val="007E72CD"/>
    <w:rsid w:val="00813BFB"/>
    <w:rsid w:val="0082224E"/>
    <w:rsid w:val="0082422E"/>
    <w:rsid w:val="00850567"/>
    <w:rsid w:val="00882F6E"/>
    <w:rsid w:val="008A26F1"/>
    <w:rsid w:val="00903512"/>
    <w:rsid w:val="00955F86"/>
    <w:rsid w:val="00960CFA"/>
    <w:rsid w:val="0096486B"/>
    <w:rsid w:val="00972956"/>
    <w:rsid w:val="00976CF5"/>
    <w:rsid w:val="00980E29"/>
    <w:rsid w:val="0098338B"/>
    <w:rsid w:val="0098755F"/>
    <w:rsid w:val="009B1592"/>
    <w:rsid w:val="009B4C7C"/>
    <w:rsid w:val="009D5434"/>
    <w:rsid w:val="009D6BC1"/>
    <w:rsid w:val="009D71F6"/>
    <w:rsid w:val="009E716D"/>
    <w:rsid w:val="009F141F"/>
    <w:rsid w:val="009F4632"/>
    <w:rsid w:val="009F6674"/>
    <w:rsid w:val="00A17DD2"/>
    <w:rsid w:val="00A2205F"/>
    <w:rsid w:val="00A71E20"/>
    <w:rsid w:val="00A74926"/>
    <w:rsid w:val="00A940AD"/>
    <w:rsid w:val="00AA75B4"/>
    <w:rsid w:val="00AB7596"/>
    <w:rsid w:val="00AC58C0"/>
    <w:rsid w:val="00AD5E1E"/>
    <w:rsid w:val="00B03255"/>
    <w:rsid w:val="00B069EA"/>
    <w:rsid w:val="00B270B3"/>
    <w:rsid w:val="00B92A76"/>
    <w:rsid w:val="00BB03FA"/>
    <w:rsid w:val="00BB29DA"/>
    <w:rsid w:val="00C20F96"/>
    <w:rsid w:val="00C73923"/>
    <w:rsid w:val="00C84BD1"/>
    <w:rsid w:val="00C90FB8"/>
    <w:rsid w:val="00CD710C"/>
    <w:rsid w:val="00CE3F16"/>
    <w:rsid w:val="00D13280"/>
    <w:rsid w:val="00D17D42"/>
    <w:rsid w:val="00D223D6"/>
    <w:rsid w:val="00D35EFF"/>
    <w:rsid w:val="00D45B9F"/>
    <w:rsid w:val="00D57E21"/>
    <w:rsid w:val="00D95326"/>
    <w:rsid w:val="00DE4973"/>
    <w:rsid w:val="00DF0186"/>
    <w:rsid w:val="00E10B32"/>
    <w:rsid w:val="00E45E23"/>
    <w:rsid w:val="00E5294E"/>
    <w:rsid w:val="00EA0C60"/>
    <w:rsid w:val="00EB67DF"/>
    <w:rsid w:val="00ED25F0"/>
    <w:rsid w:val="00F10F9B"/>
    <w:rsid w:val="00F111C7"/>
    <w:rsid w:val="00F5720A"/>
    <w:rsid w:val="00F611C0"/>
    <w:rsid w:val="00F67F1E"/>
    <w:rsid w:val="00FA4A29"/>
    <w:rsid w:val="00FD7783"/>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y.Spiller@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BD1E-157D-4965-8B2E-70D529BF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3164</Words>
  <Characters>17467</Characters>
  <Application>Microsoft Office Word</Application>
  <DocSecurity>0</DocSecurity>
  <Lines>426</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2015-03-06T21:50:00Z</dcterms:created>
  <dcterms:modified xsi:type="dcterms:W3CDTF">2015-03-06T21:56:00Z</dcterms:modified>
</cp:coreProperties>
</file>