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53250C" w:rsidRPr="008E780F" w:rsidP="0053250C" w14:paraId="462AA766" w14:textId="77777777">
      <w:pPr>
        <w:pStyle w:val="Title"/>
        <w:rPr>
          <w:sz w:val="24"/>
          <w:szCs w:val="24"/>
        </w:rPr>
      </w:pPr>
      <w:r w:rsidRPr="008E780F">
        <w:rPr>
          <w:sz w:val="24"/>
          <w:szCs w:val="24"/>
        </w:rPr>
        <w:t>BEFORE</w:t>
      </w:r>
    </w:p>
    <w:p w:rsidR="0053250C" w:rsidRPr="008E780F" w:rsidP="0053250C" w14:paraId="6D64DF6D" w14:textId="77777777">
      <w:pPr>
        <w:jc w:val="center"/>
        <w:rPr>
          <w:b/>
        </w:rPr>
      </w:pPr>
      <w:r w:rsidRPr="008E780F">
        <w:rPr>
          <w:b/>
        </w:rPr>
        <w:t>THE PUBLIC UTILITIES COMMISSION OF OHIO</w:t>
      </w:r>
    </w:p>
    <w:p w:rsidR="0053250C" w:rsidRPr="008E780F" w:rsidP="0053250C" w14:paraId="51DC3D9A" w14:textId="77777777">
      <w:pPr>
        <w:jc w:val="center"/>
        <w:rPr>
          <w:b/>
        </w:rPr>
      </w:pPr>
    </w:p>
    <w:tbl>
      <w:tblPr>
        <w:tblW w:w="8900" w:type="dxa"/>
        <w:tblLook w:val="01E0"/>
      </w:tblPr>
      <w:tblGrid>
        <w:gridCol w:w="4140"/>
        <w:gridCol w:w="720"/>
        <w:gridCol w:w="4040"/>
      </w:tblGrid>
      <w:tr w14:paraId="359FC867" w14:textId="77777777" w:rsidTr="008E780F">
        <w:tblPrEx>
          <w:tblW w:w="8900" w:type="dxa"/>
          <w:tblLook w:val="01E0"/>
        </w:tblPrEx>
        <w:trPr>
          <w:trHeight w:val="792"/>
        </w:trPr>
        <w:tc>
          <w:tcPr>
            <w:tcW w:w="4140" w:type="dxa"/>
            <w:shd w:val="clear" w:color="auto" w:fill="auto"/>
          </w:tcPr>
          <w:p w:rsidR="0053250C" w:rsidRPr="008E780F" w:rsidP="0053250C" w14:paraId="09341118" w14:textId="77777777">
            <w:pPr>
              <w:autoSpaceDE w:val="0"/>
              <w:autoSpaceDN w:val="0"/>
              <w:adjustRightInd w:val="0"/>
            </w:pPr>
            <w:r w:rsidRPr="008E780F">
              <w:t xml:space="preserve">In the Matter of the Review of Duke </w:t>
            </w:r>
          </w:p>
          <w:p w:rsidR="0053250C" w:rsidRPr="008E780F" w:rsidP="0053250C" w14:paraId="2D807886" w14:textId="77777777">
            <w:pPr>
              <w:autoSpaceDE w:val="0"/>
              <w:autoSpaceDN w:val="0"/>
              <w:adjustRightInd w:val="0"/>
            </w:pPr>
            <w:r w:rsidRPr="008E780F">
              <w:t xml:space="preserve">Energy Ohio, Inc.’s Distribution </w:t>
            </w:r>
          </w:p>
          <w:p w:rsidR="0053250C" w:rsidRPr="008E780F" w:rsidP="0053250C" w14:paraId="349C6600" w14:textId="77777777">
            <w:pPr>
              <w:autoSpaceDE w:val="0"/>
              <w:autoSpaceDN w:val="0"/>
              <w:adjustRightInd w:val="0"/>
            </w:pPr>
            <w:r w:rsidRPr="008E780F">
              <w:t xml:space="preserve">Capital Investment Rider. </w:t>
            </w:r>
          </w:p>
        </w:tc>
        <w:tc>
          <w:tcPr>
            <w:tcW w:w="720" w:type="dxa"/>
            <w:shd w:val="clear" w:color="auto" w:fill="auto"/>
          </w:tcPr>
          <w:p w:rsidR="0053250C" w:rsidRPr="008E780F" w:rsidP="0053250C" w14:paraId="6F01E61D" w14:textId="77777777">
            <w:pPr>
              <w:pStyle w:val="HTMLPreformatted"/>
              <w:rPr>
                <w:rFonts w:ascii="Times New Roman" w:hAnsi="Times New Roman" w:cs="Times New Roman"/>
                <w:sz w:val="24"/>
                <w:szCs w:val="24"/>
              </w:rPr>
            </w:pPr>
            <w:r w:rsidRPr="008E780F">
              <w:rPr>
                <w:rFonts w:ascii="Times New Roman" w:hAnsi="Times New Roman" w:cs="Times New Roman"/>
                <w:sz w:val="24"/>
                <w:szCs w:val="24"/>
              </w:rPr>
              <w:t>)</w:t>
            </w:r>
          </w:p>
          <w:p w:rsidR="0053250C" w:rsidRPr="008E780F" w:rsidP="0053250C" w14:paraId="36E5D7C1" w14:textId="77777777">
            <w:pPr>
              <w:pStyle w:val="HTMLPreformatted"/>
              <w:rPr>
                <w:rFonts w:ascii="Times New Roman" w:hAnsi="Times New Roman" w:cs="Times New Roman"/>
                <w:sz w:val="24"/>
                <w:szCs w:val="24"/>
              </w:rPr>
            </w:pPr>
            <w:r w:rsidRPr="008E780F">
              <w:rPr>
                <w:rFonts w:ascii="Times New Roman" w:hAnsi="Times New Roman" w:cs="Times New Roman"/>
                <w:sz w:val="24"/>
                <w:szCs w:val="24"/>
              </w:rPr>
              <w:t>)</w:t>
            </w:r>
          </w:p>
          <w:p w:rsidR="0053250C" w:rsidRPr="008E780F" w:rsidP="0053250C" w14:paraId="2A92CC46" w14:textId="77777777">
            <w:pPr>
              <w:pStyle w:val="HTMLPreformatted"/>
              <w:rPr>
                <w:rFonts w:ascii="Times New Roman" w:hAnsi="Times New Roman" w:cs="Times New Roman"/>
                <w:sz w:val="24"/>
                <w:szCs w:val="24"/>
              </w:rPr>
            </w:pPr>
            <w:r w:rsidRPr="008E780F">
              <w:rPr>
                <w:rFonts w:ascii="Times New Roman" w:hAnsi="Times New Roman" w:cs="Times New Roman"/>
                <w:sz w:val="24"/>
                <w:szCs w:val="24"/>
              </w:rPr>
              <w:t>)</w:t>
            </w:r>
          </w:p>
        </w:tc>
        <w:tc>
          <w:tcPr>
            <w:tcW w:w="4040" w:type="dxa"/>
            <w:shd w:val="clear" w:color="auto" w:fill="auto"/>
          </w:tcPr>
          <w:p w:rsidR="0053250C" w:rsidRPr="008E780F" w:rsidP="0053250C" w14:paraId="5CB36601" w14:textId="77777777">
            <w:pPr>
              <w:pStyle w:val="HTMLPreformatted"/>
              <w:rPr>
                <w:rFonts w:ascii="Times New Roman" w:hAnsi="Times New Roman" w:cs="Times New Roman"/>
                <w:sz w:val="24"/>
                <w:szCs w:val="24"/>
              </w:rPr>
            </w:pPr>
          </w:p>
          <w:p w:rsidR="0053250C" w:rsidRPr="008E780F" w:rsidP="003C5FE5" w14:paraId="695D26A0" w14:textId="4C4DD805">
            <w:pPr>
              <w:pStyle w:val="HTMLPreformatted"/>
              <w:rPr>
                <w:rFonts w:ascii="Times New Roman" w:hAnsi="Times New Roman" w:cs="Times New Roman"/>
                <w:sz w:val="24"/>
                <w:szCs w:val="24"/>
              </w:rPr>
            </w:pPr>
            <w:r w:rsidRPr="008E780F">
              <w:rPr>
                <w:rFonts w:ascii="Times New Roman" w:hAnsi="Times New Roman" w:cs="Times New Roman"/>
                <w:sz w:val="24"/>
                <w:szCs w:val="24"/>
              </w:rPr>
              <w:t xml:space="preserve">Case No. </w:t>
            </w:r>
            <w:r w:rsidRPr="008E780F" w:rsidR="007A1C34">
              <w:rPr>
                <w:rFonts w:ascii="Times New Roman" w:hAnsi="Times New Roman" w:cs="Times New Roman"/>
                <w:sz w:val="24"/>
                <w:szCs w:val="24"/>
              </w:rPr>
              <w:t>21</w:t>
            </w:r>
            <w:r w:rsidRPr="008E780F" w:rsidR="000722DA">
              <w:rPr>
                <w:rFonts w:ascii="Times New Roman" w:hAnsi="Times New Roman" w:cs="Times New Roman"/>
                <w:sz w:val="24"/>
                <w:szCs w:val="24"/>
              </w:rPr>
              <w:t>-</w:t>
            </w:r>
            <w:r w:rsidRPr="008E780F" w:rsidR="007A1C34">
              <w:rPr>
                <w:rFonts w:ascii="Times New Roman" w:hAnsi="Times New Roman" w:cs="Times New Roman"/>
                <w:sz w:val="24"/>
                <w:szCs w:val="24"/>
              </w:rPr>
              <w:t>573</w:t>
            </w:r>
            <w:r w:rsidRPr="008E780F">
              <w:rPr>
                <w:rFonts w:ascii="Times New Roman" w:hAnsi="Times New Roman" w:cs="Times New Roman"/>
                <w:sz w:val="24"/>
                <w:szCs w:val="24"/>
              </w:rPr>
              <w:t>-EL-RDR</w:t>
            </w:r>
          </w:p>
        </w:tc>
      </w:tr>
    </w:tbl>
    <w:p w:rsidR="0053250C" w:rsidRPr="008E780F" w:rsidP="00AD4195" w14:paraId="4DD7F00F" w14:textId="77777777">
      <w:pPr>
        <w:pStyle w:val="Heading1"/>
      </w:pPr>
    </w:p>
    <w:p w:rsidR="0053250C" w:rsidRPr="008E780F" w:rsidP="0053250C" w14:paraId="702144B7" w14:textId="77777777">
      <w:pPr>
        <w:pBdr>
          <w:top w:val="single" w:sz="12" w:space="1" w:color="auto"/>
        </w:pBdr>
      </w:pPr>
    </w:p>
    <w:p w:rsidR="0053250C" w:rsidRPr="008E780F" w:rsidP="0053250C" w14:paraId="47561572" w14:textId="51B333ED">
      <w:pPr>
        <w:jc w:val="center"/>
        <w:rPr>
          <w:b/>
        </w:rPr>
      </w:pPr>
      <w:r w:rsidRPr="008E780F">
        <w:rPr>
          <w:b/>
        </w:rPr>
        <w:t xml:space="preserve">CONSUMER PROTECTION </w:t>
      </w:r>
      <w:r w:rsidRPr="008E780F" w:rsidR="00CD59CF">
        <w:rPr>
          <w:b/>
        </w:rPr>
        <w:t xml:space="preserve">COMMENTS </w:t>
      </w:r>
    </w:p>
    <w:p w:rsidR="0053250C" w:rsidRPr="008E780F" w:rsidP="0053250C" w14:paraId="4C817EB8" w14:textId="77777777">
      <w:pPr>
        <w:jc w:val="center"/>
        <w:rPr>
          <w:b/>
        </w:rPr>
      </w:pPr>
      <w:r w:rsidRPr="008E780F">
        <w:rPr>
          <w:b/>
        </w:rPr>
        <w:t>BY</w:t>
      </w:r>
    </w:p>
    <w:p w:rsidR="0053250C" w:rsidRPr="008E780F" w:rsidP="0053250C" w14:paraId="1EE73D8D" w14:textId="3C5E65DD">
      <w:pPr>
        <w:jc w:val="center"/>
        <w:rPr>
          <w:b/>
        </w:rPr>
      </w:pPr>
      <w:r w:rsidRPr="008E780F">
        <w:rPr>
          <w:b/>
        </w:rPr>
        <w:t>OFFICE OF THE OHIO CONSUMERS’ COUNSEL</w:t>
      </w:r>
    </w:p>
    <w:p w:rsidR="0053250C" w:rsidRPr="008E780F" w:rsidP="0053250C" w14:paraId="2831027F" w14:textId="77777777">
      <w:pPr>
        <w:pBdr>
          <w:bottom w:val="single" w:sz="12" w:space="1" w:color="auto"/>
        </w:pBdr>
      </w:pPr>
    </w:p>
    <w:p w:rsidR="0053250C" w:rsidRPr="008E780F" w14:paraId="7B39856B" w14:textId="77777777">
      <w:pPr>
        <w:rPr>
          <w:b/>
        </w:rPr>
      </w:pPr>
    </w:p>
    <w:p w:rsidR="0053250C" w:rsidRPr="008E780F" w:rsidP="0053250C" w14:paraId="68C05E6B" w14:textId="77777777">
      <w:pPr>
        <w:pStyle w:val="Title"/>
        <w:rPr>
          <w:sz w:val="24"/>
          <w:szCs w:val="24"/>
        </w:rPr>
      </w:pPr>
    </w:p>
    <w:p w:rsidR="00CF0928" w:rsidRPr="008E780F" w:rsidP="00217C13" w14:paraId="6F682513" w14:textId="77777777">
      <w:pPr>
        <w:pStyle w:val="Footer"/>
        <w:tabs>
          <w:tab w:val="left" w:pos="4320"/>
        </w:tabs>
        <w:ind w:left="4320"/>
        <w:rPr>
          <w:rFonts w:ascii="Times New Roman" w:hAnsi="Times New Roman" w:cs="Times New Roman"/>
          <w:sz w:val="24"/>
          <w:szCs w:val="24"/>
        </w:rPr>
      </w:pPr>
    </w:p>
    <w:p w:rsidR="0053250C" w:rsidRPr="008E780F" w:rsidP="00E42CD9" w14:paraId="3F1BD6F7" w14:textId="715F4583">
      <w:pPr>
        <w:pStyle w:val="Footer"/>
        <w:ind w:left="3600"/>
        <w:rPr>
          <w:rFonts w:ascii="Times New Roman" w:hAnsi="Times New Roman" w:cs="Times New Roman"/>
          <w:sz w:val="24"/>
          <w:szCs w:val="24"/>
        </w:rPr>
      </w:pPr>
      <w:r w:rsidRPr="008E780F">
        <w:rPr>
          <w:rFonts w:ascii="Times New Roman" w:hAnsi="Times New Roman" w:cs="Times New Roman"/>
          <w:sz w:val="24"/>
          <w:szCs w:val="24"/>
        </w:rPr>
        <w:t>Bruce Weston (0016973)</w:t>
      </w:r>
    </w:p>
    <w:p w:rsidR="0053250C" w:rsidRPr="008E780F" w:rsidP="00E42CD9" w14:paraId="2A128BE9" w14:textId="77777777">
      <w:pPr>
        <w:pStyle w:val="ListParagraph"/>
        <w:spacing w:line="240" w:lineRule="auto"/>
        <w:ind w:left="3600"/>
        <w:rPr>
          <w:rFonts w:ascii="Times New Roman" w:hAnsi="Times New Roman" w:cs="Times New Roman"/>
          <w:sz w:val="24"/>
          <w:szCs w:val="24"/>
        </w:rPr>
      </w:pPr>
      <w:r w:rsidRPr="008E780F">
        <w:rPr>
          <w:rFonts w:ascii="Times New Roman" w:hAnsi="Times New Roman" w:cs="Times New Roman"/>
          <w:sz w:val="24"/>
          <w:szCs w:val="24"/>
        </w:rPr>
        <w:t>Ohio Consumers’ Counsel</w:t>
      </w:r>
    </w:p>
    <w:p w:rsidR="0053250C" w:rsidRPr="008E780F" w:rsidP="00E42CD9" w14:paraId="248E3CBE"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ab/>
      </w:r>
    </w:p>
    <w:p w:rsidR="00067752" w:rsidRPr="008E780F" w:rsidP="00067752" w14:paraId="170E7E68"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Ambrosia E. Wilson (0096598) </w:t>
      </w:r>
    </w:p>
    <w:p w:rsidR="00067752" w:rsidRPr="008E780F" w:rsidP="00067752" w14:paraId="22140ECF"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Counsel of Record </w:t>
      </w:r>
    </w:p>
    <w:p w:rsidR="00067752" w:rsidRPr="008E780F" w:rsidP="00067752" w14:paraId="7688E96C"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Amy Botschner O’Brien (0074423) </w:t>
      </w:r>
    </w:p>
    <w:p w:rsidR="00135698" w:rsidRPr="008E780F" w:rsidP="00067752" w14:paraId="2541827C"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Assistant Consumers’ Counsel </w:t>
      </w:r>
    </w:p>
    <w:p w:rsidR="00135698" w:rsidRPr="008E780F" w:rsidP="00067752" w14:paraId="388DFE36" w14:textId="77777777">
      <w:pPr>
        <w:pStyle w:val="ListParagraph"/>
        <w:ind w:left="3600"/>
        <w:rPr>
          <w:rFonts w:ascii="Times New Roman" w:hAnsi="Times New Roman" w:cs="Times New Roman"/>
          <w:sz w:val="24"/>
          <w:szCs w:val="24"/>
        </w:rPr>
      </w:pPr>
    </w:p>
    <w:p w:rsidR="00067752" w:rsidRPr="008E780F" w:rsidP="00067752" w14:paraId="7D6FC659" w14:textId="5D37964D">
      <w:pPr>
        <w:pStyle w:val="ListParagraph"/>
        <w:ind w:left="3600"/>
        <w:rPr>
          <w:rFonts w:ascii="Times New Roman" w:hAnsi="Times New Roman" w:cs="Times New Roman"/>
          <w:b/>
          <w:bCs/>
          <w:sz w:val="24"/>
          <w:szCs w:val="24"/>
        </w:rPr>
      </w:pPr>
      <w:r w:rsidRPr="008E780F">
        <w:rPr>
          <w:rFonts w:ascii="Times New Roman" w:hAnsi="Times New Roman" w:cs="Times New Roman"/>
          <w:b/>
          <w:bCs/>
          <w:sz w:val="24"/>
          <w:szCs w:val="24"/>
        </w:rPr>
        <w:t xml:space="preserve">Office of the Ohio Consumers’ Counsel </w:t>
      </w:r>
    </w:p>
    <w:p w:rsidR="00067752" w:rsidRPr="008E780F" w:rsidP="00067752" w14:paraId="441936BF"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65 East State Street, Suite 700</w:t>
      </w:r>
    </w:p>
    <w:p w:rsidR="00067752" w:rsidRPr="008E780F" w:rsidP="00067752" w14:paraId="16562551"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Columbus, Ohio 43215 </w:t>
      </w:r>
    </w:p>
    <w:p w:rsidR="00067752" w:rsidRPr="008E780F" w:rsidP="00067752" w14:paraId="01E2456F"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Telephone [Wilson]: (614)-466-1292 </w:t>
      </w:r>
    </w:p>
    <w:p w:rsidR="00DA2F4B" w:rsidRPr="008E780F" w:rsidP="00067752" w14:paraId="5DF83827" w14:textId="0276EAE3">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Telephone [Botschner]: (614) 466-9575 </w:t>
      </w:r>
      <w:hyperlink r:id="rId6" w:history="1">
        <w:r w:rsidRPr="008E780F">
          <w:rPr>
            <w:rStyle w:val="Hyperlink"/>
            <w:rFonts w:ascii="Times New Roman" w:hAnsi="Times New Roman" w:cs="Times New Roman"/>
            <w:sz w:val="24"/>
            <w:szCs w:val="24"/>
          </w:rPr>
          <w:t>ambrosia.wilson@occ.ohio.gov</w:t>
        </w:r>
      </w:hyperlink>
    </w:p>
    <w:p w:rsidR="00067752" w:rsidRPr="008E780F" w:rsidP="00067752" w14:paraId="608E5EDB" w14:textId="349B5A42">
      <w:pPr>
        <w:pStyle w:val="ListParagraph"/>
        <w:ind w:left="3600"/>
        <w:rPr>
          <w:rFonts w:ascii="Times New Roman" w:hAnsi="Times New Roman" w:cs="Times New Roman"/>
          <w:sz w:val="24"/>
          <w:szCs w:val="24"/>
        </w:rPr>
      </w:pPr>
      <w:hyperlink r:id="rId7" w:history="1">
        <w:r w:rsidRPr="008E780F" w:rsidR="00DA2F4B">
          <w:rPr>
            <w:rStyle w:val="Hyperlink"/>
            <w:rFonts w:ascii="Times New Roman" w:hAnsi="Times New Roman" w:cs="Times New Roman"/>
            <w:sz w:val="24"/>
            <w:szCs w:val="24"/>
          </w:rPr>
          <w:t>amy.botschner.obrien@occ.ohio.gov</w:t>
        </w:r>
      </w:hyperlink>
    </w:p>
    <w:p w:rsidR="00067752" w:rsidRPr="008E780F" w:rsidP="00CF0928" w14:paraId="50D9E5DB" w14:textId="09E5DCFF">
      <w:pPr>
        <w:pStyle w:val="ListParagraph"/>
        <w:ind w:left="3600" w:hanging="3600"/>
        <w:rPr>
          <w:rFonts w:ascii="Times New Roman" w:hAnsi="Times New Roman" w:cs="Times New Roman"/>
          <w:sz w:val="24"/>
          <w:szCs w:val="24"/>
        </w:rPr>
      </w:pPr>
      <w:r w:rsidRPr="008E780F">
        <w:rPr>
          <w:rFonts w:ascii="Times New Roman" w:hAnsi="Times New Roman" w:cs="Times New Roman"/>
          <w:sz w:val="24"/>
          <w:szCs w:val="24"/>
        </w:rPr>
        <w:t>January 21, 2022</w:t>
      </w:r>
      <w:r w:rsidRPr="008E780F">
        <w:rPr>
          <w:rFonts w:ascii="Times New Roman" w:hAnsi="Times New Roman" w:cs="Times New Roman"/>
          <w:sz w:val="24"/>
          <w:szCs w:val="24"/>
        </w:rPr>
        <w:tab/>
      </w:r>
      <w:r w:rsidRPr="008E780F">
        <w:rPr>
          <w:rFonts w:ascii="Times New Roman" w:hAnsi="Times New Roman" w:cs="Times New Roman"/>
          <w:sz w:val="24"/>
          <w:szCs w:val="24"/>
        </w:rPr>
        <w:t>(willing to accept service by e-mail)</w:t>
      </w:r>
    </w:p>
    <w:p w:rsidR="00217C13" w:rsidRPr="008E780F" w:rsidP="00E42CD9" w14:paraId="4605E462" w14:textId="77777777">
      <w:pPr>
        <w:pStyle w:val="ListParagraph"/>
        <w:autoSpaceDE w:val="0"/>
        <w:autoSpaceDN w:val="0"/>
        <w:adjustRightInd w:val="0"/>
        <w:spacing w:after="0" w:line="240" w:lineRule="auto"/>
        <w:ind w:left="3600"/>
        <w:rPr>
          <w:rFonts w:ascii="Times New Roman" w:hAnsi="Times New Roman" w:cs="Times New Roman"/>
          <w:sz w:val="24"/>
          <w:szCs w:val="24"/>
        </w:rPr>
      </w:pPr>
    </w:p>
    <w:p w:rsidR="00841E20" w:rsidRPr="008E780F" w:rsidP="00E42CD9" w14:paraId="2D34F4EF" w14:textId="3480F098">
      <w:pPr>
        <w:pStyle w:val="ListParagraph"/>
        <w:autoSpaceDE w:val="0"/>
        <w:autoSpaceDN w:val="0"/>
        <w:adjustRightInd w:val="0"/>
        <w:spacing w:after="0" w:line="240" w:lineRule="auto"/>
        <w:ind w:left="3600"/>
        <w:rPr>
          <w:rStyle w:val="Hyperlink"/>
          <w:rFonts w:ascii="Times New Roman" w:hAnsi="Times New Roman" w:cs="Times New Roman"/>
          <w:sz w:val="24"/>
          <w:szCs w:val="24"/>
          <w:u w:val="none"/>
        </w:rPr>
      </w:pPr>
      <w:r w:rsidRPr="008E780F">
        <w:rPr>
          <w:rStyle w:val="Hyperlink"/>
          <w:rFonts w:ascii="Times New Roman" w:hAnsi="Times New Roman" w:cs="Times New Roman"/>
          <w:sz w:val="24"/>
          <w:szCs w:val="24"/>
          <w:u w:val="none"/>
        </w:rPr>
        <w:tab/>
      </w:r>
    </w:p>
    <w:p w:rsidR="00E42CD9" w:rsidRPr="008E780F" w:rsidP="00891811" w14:paraId="519ABFC0" w14:textId="38BAFBFF">
      <w:pPr>
        <w:pStyle w:val="ListParagraph"/>
        <w:autoSpaceDE w:val="0"/>
        <w:autoSpaceDN w:val="0"/>
        <w:adjustRightInd w:val="0"/>
        <w:spacing w:after="0" w:line="240" w:lineRule="auto"/>
        <w:ind w:left="0"/>
        <w:rPr>
          <w:rStyle w:val="Hyperlink"/>
          <w:rFonts w:ascii="Times New Roman" w:hAnsi="Times New Roman" w:cs="Times New Roman"/>
          <w:sz w:val="24"/>
          <w:szCs w:val="24"/>
          <w:u w:val="none"/>
        </w:rPr>
      </w:pPr>
    </w:p>
    <w:p w:rsidR="0047363B" w:rsidRPr="008E780F" w:rsidP="00891811" w14:paraId="5B2B949C" w14:textId="77777777">
      <w:pPr>
        <w:pStyle w:val="ListParagraph"/>
        <w:autoSpaceDE w:val="0"/>
        <w:autoSpaceDN w:val="0"/>
        <w:adjustRightInd w:val="0"/>
        <w:spacing w:after="0" w:line="240" w:lineRule="auto"/>
        <w:ind w:left="0"/>
        <w:rPr>
          <w:rStyle w:val="Hyperlink"/>
          <w:rFonts w:ascii="Times New Roman" w:hAnsi="Times New Roman" w:cs="Times New Roman"/>
          <w:sz w:val="24"/>
          <w:szCs w:val="24"/>
          <w:u w:val="none"/>
        </w:rPr>
        <w:sectPr w:rsidSect="003832AA">
          <w:footerReference w:type="default" r:id="rId8"/>
          <w:pgSz w:w="12240" w:h="15840"/>
          <w:pgMar w:top="1440" w:right="1800" w:bottom="1440" w:left="1800" w:header="720" w:footer="720" w:gutter="0"/>
          <w:pgNumType w:fmt="lowerRoman" w:start="1"/>
          <w:cols w:space="720"/>
          <w:docGrid w:linePitch="360"/>
        </w:sectPr>
      </w:pPr>
    </w:p>
    <w:p w:rsidR="0053250C" w:rsidRPr="008E780F" w:rsidP="00C60ABE" w14:paraId="593C5510" w14:textId="7DD2940B">
      <w:pPr>
        <w:pStyle w:val="ListParagraph"/>
        <w:autoSpaceDE w:val="0"/>
        <w:autoSpaceDN w:val="0"/>
        <w:adjustRightInd w:val="0"/>
        <w:spacing w:after="0" w:line="240" w:lineRule="auto"/>
        <w:ind w:left="0"/>
        <w:jc w:val="center"/>
        <w:rPr>
          <w:rFonts w:ascii="Times New Roman" w:hAnsi="Times New Roman" w:cs="Times New Roman"/>
          <w:b/>
          <w:bCs/>
          <w:sz w:val="24"/>
          <w:szCs w:val="24"/>
          <w:u w:val="single"/>
        </w:rPr>
      </w:pPr>
      <w:r w:rsidRPr="008E780F">
        <w:rPr>
          <w:rFonts w:ascii="Times New Roman" w:hAnsi="Times New Roman" w:cs="Times New Roman"/>
          <w:b/>
          <w:bCs/>
          <w:sz w:val="24"/>
          <w:szCs w:val="24"/>
          <w:u w:val="single"/>
        </w:rPr>
        <w:t>TABLE OF CONTENTS</w:t>
      </w:r>
    </w:p>
    <w:p w:rsidR="0053250C" w:rsidRPr="008E780F" w:rsidP="0053250C" w14:paraId="7A982A17" w14:textId="77777777">
      <w:pPr>
        <w:pStyle w:val="Title"/>
        <w:jc w:val="left"/>
        <w:rPr>
          <w:sz w:val="24"/>
          <w:szCs w:val="24"/>
        </w:rPr>
      </w:pPr>
    </w:p>
    <w:p w:rsidR="0053250C" w:rsidRPr="008E780F" w:rsidP="00FF4ED9" w14:paraId="3A93A80C" w14:textId="73DD32A1">
      <w:pPr>
        <w:pStyle w:val="Title"/>
        <w:jc w:val="right"/>
        <w:rPr>
          <w:sz w:val="24"/>
          <w:szCs w:val="24"/>
        </w:rPr>
      </w:pPr>
      <w:r w:rsidRPr="008E780F">
        <w:rPr>
          <w:sz w:val="24"/>
          <w:szCs w:val="24"/>
        </w:rPr>
        <w:t>PAGE</w:t>
      </w:r>
    </w:p>
    <w:p w:rsidR="003832AA" w:rsidRPr="008E780F" w:rsidP="0053250C" w14:paraId="4B2DFCC0" w14:textId="77777777">
      <w:pPr>
        <w:pStyle w:val="Title"/>
        <w:rPr>
          <w:sz w:val="24"/>
          <w:szCs w:val="24"/>
        </w:rPr>
      </w:pPr>
    </w:p>
    <w:p w:rsidR="00A103B1" w14:paraId="0FF0958E" w14:textId="2A0B5A9F">
      <w:pPr>
        <w:pStyle w:val="TOC1"/>
        <w:rPr>
          <w:rFonts w:asciiTheme="minorHAnsi" w:eastAsiaTheme="minorEastAsia" w:hAnsiTheme="minorHAnsi"/>
          <w:caps w:val="0"/>
          <w:noProof/>
          <w:sz w:val="22"/>
        </w:rPr>
      </w:pPr>
      <w:r w:rsidRPr="008E780F">
        <w:rPr>
          <w:rFonts w:cs="Times New Roman"/>
          <w:szCs w:val="24"/>
        </w:rPr>
        <w:fldChar w:fldCharType="begin"/>
      </w:r>
      <w:r w:rsidRPr="008E780F">
        <w:rPr>
          <w:rFonts w:cs="Times New Roman"/>
          <w:szCs w:val="24"/>
        </w:rPr>
        <w:instrText xml:space="preserve"> TOC \o "1-3" \h \z \u </w:instrText>
      </w:r>
      <w:r w:rsidRPr="008E780F">
        <w:rPr>
          <w:rFonts w:cs="Times New Roman"/>
          <w:szCs w:val="24"/>
        </w:rPr>
        <w:fldChar w:fldCharType="separate"/>
      </w:r>
      <w:hyperlink w:anchor="_Toc93676161" w:history="1">
        <w:r w:rsidRPr="00AB4D22">
          <w:rPr>
            <w:rStyle w:val="Hyperlink"/>
            <w:noProof/>
          </w:rPr>
          <w:t>I.</w:t>
        </w:r>
        <w:r>
          <w:rPr>
            <w:rFonts w:asciiTheme="minorHAnsi" w:eastAsiaTheme="minorEastAsia" w:hAnsiTheme="minorHAnsi"/>
            <w:caps w:val="0"/>
            <w:noProof/>
            <w:sz w:val="22"/>
          </w:rPr>
          <w:tab/>
        </w:r>
        <w:r w:rsidRPr="00AB4D22">
          <w:rPr>
            <w:rStyle w:val="Hyperlink"/>
            <w:noProof/>
          </w:rPr>
          <w:t>INTRODUCTION</w:t>
        </w:r>
        <w:r>
          <w:rPr>
            <w:noProof/>
            <w:webHidden/>
          </w:rPr>
          <w:tab/>
        </w:r>
        <w:r>
          <w:rPr>
            <w:noProof/>
            <w:webHidden/>
          </w:rPr>
          <w:fldChar w:fldCharType="begin"/>
        </w:r>
        <w:r>
          <w:rPr>
            <w:noProof/>
            <w:webHidden/>
          </w:rPr>
          <w:instrText xml:space="preserve"> PAGEREF _Toc93676161 \h </w:instrText>
        </w:r>
        <w:r>
          <w:rPr>
            <w:noProof/>
            <w:webHidden/>
          </w:rPr>
          <w:fldChar w:fldCharType="separate"/>
        </w:r>
        <w:r>
          <w:rPr>
            <w:noProof/>
            <w:webHidden/>
          </w:rPr>
          <w:t>2</w:t>
        </w:r>
        <w:r>
          <w:rPr>
            <w:noProof/>
            <w:webHidden/>
          </w:rPr>
          <w:fldChar w:fldCharType="end"/>
        </w:r>
      </w:hyperlink>
    </w:p>
    <w:p w:rsidR="00A103B1" w14:paraId="1BA62C8C" w14:textId="3064A2F7">
      <w:pPr>
        <w:pStyle w:val="TOC1"/>
        <w:rPr>
          <w:rFonts w:asciiTheme="minorHAnsi" w:eastAsiaTheme="minorEastAsia" w:hAnsiTheme="minorHAnsi"/>
          <w:caps w:val="0"/>
          <w:noProof/>
          <w:sz w:val="22"/>
        </w:rPr>
      </w:pPr>
      <w:hyperlink w:anchor="_Toc93676162" w:history="1">
        <w:r w:rsidRPr="00AB4D22">
          <w:rPr>
            <w:rStyle w:val="Hyperlink"/>
            <w:noProof/>
          </w:rPr>
          <w:t>II.</w:t>
        </w:r>
        <w:r>
          <w:rPr>
            <w:rFonts w:asciiTheme="minorHAnsi" w:eastAsiaTheme="minorEastAsia" w:hAnsiTheme="minorHAnsi"/>
            <w:caps w:val="0"/>
            <w:noProof/>
            <w:sz w:val="22"/>
          </w:rPr>
          <w:tab/>
        </w:r>
        <w:r w:rsidRPr="00AB4D22">
          <w:rPr>
            <w:rStyle w:val="Hyperlink"/>
            <w:noProof/>
          </w:rPr>
          <w:t>COMMENTS</w:t>
        </w:r>
        <w:r>
          <w:rPr>
            <w:noProof/>
            <w:webHidden/>
          </w:rPr>
          <w:tab/>
        </w:r>
        <w:r>
          <w:rPr>
            <w:noProof/>
            <w:webHidden/>
          </w:rPr>
          <w:fldChar w:fldCharType="begin"/>
        </w:r>
        <w:r>
          <w:rPr>
            <w:noProof/>
            <w:webHidden/>
          </w:rPr>
          <w:instrText xml:space="preserve"> PAGEREF _Toc93676162 \h </w:instrText>
        </w:r>
        <w:r>
          <w:rPr>
            <w:noProof/>
            <w:webHidden/>
          </w:rPr>
          <w:fldChar w:fldCharType="separate"/>
        </w:r>
        <w:r>
          <w:rPr>
            <w:noProof/>
            <w:webHidden/>
          </w:rPr>
          <w:t>4</w:t>
        </w:r>
        <w:r>
          <w:rPr>
            <w:noProof/>
            <w:webHidden/>
          </w:rPr>
          <w:fldChar w:fldCharType="end"/>
        </w:r>
      </w:hyperlink>
    </w:p>
    <w:p w:rsidR="00A103B1" w14:paraId="5107C708" w14:textId="468D86BE">
      <w:pPr>
        <w:pStyle w:val="TOC2"/>
        <w:tabs>
          <w:tab w:val="left" w:pos="1440"/>
        </w:tabs>
        <w:rPr>
          <w:rFonts w:asciiTheme="minorHAnsi" w:eastAsiaTheme="minorEastAsia" w:hAnsiTheme="minorHAnsi"/>
          <w:noProof/>
          <w:sz w:val="22"/>
        </w:rPr>
      </w:pPr>
      <w:hyperlink w:anchor="_Toc93676163" w:history="1">
        <w:r w:rsidRPr="00AB4D22">
          <w:rPr>
            <w:rStyle w:val="Hyperlink"/>
            <w:rFonts w:cs="Times New Roman"/>
            <w:noProof/>
          </w:rPr>
          <w:t>A.</w:t>
        </w:r>
        <w:r>
          <w:rPr>
            <w:rFonts w:asciiTheme="minorHAnsi" w:eastAsiaTheme="minorEastAsia" w:hAnsiTheme="minorHAnsi"/>
            <w:noProof/>
            <w:sz w:val="22"/>
          </w:rPr>
          <w:tab/>
        </w:r>
        <w:r w:rsidRPr="00AB4D22">
          <w:rPr>
            <w:rStyle w:val="Hyperlink"/>
            <w:rFonts w:cs="Times New Roman"/>
            <w:noProof/>
          </w:rPr>
          <w:t xml:space="preserve">To protect consumers from being overcharged, the PUCO should </w:t>
        </w:r>
        <w:r>
          <w:rPr>
            <w:rStyle w:val="Hyperlink"/>
            <w:rFonts w:cs="Times New Roman"/>
            <w:noProof/>
          </w:rPr>
          <w:br/>
        </w:r>
        <w:r w:rsidRPr="00AB4D22">
          <w:rPr>
            <w:rStyle w:val="Hyperlink"/>
            <w:rFonts w:cs="Times New Roman"/>
            <w:noProof/>
          </w:rPr>
          <w:t>adopt the Auditor recommendation to remove improperly included distribution plant and expense items from the Distribution charge.</w:t>
        </w:r>
        <w:r>
          <w:rPr>
            <w:noProof/>
            <w:webHidden/>
          </w:rPr>
          <w:tab/>
        </w:r>
        <w:r>
          <w:rPr>
            <w:noProof/>
            <w:webHidden/>
          </w:rPr>
          <w:fldChar w:fldCharType="begin"/>
        </w:r>
        <w:r>
          <w:rPr>
            <w:noProof/>
            <w:webHidden/>
          </w:rPr>
          <w:instrText xml:space="preserve"> PAGEREF _Toc93676163 \h </w:instrText>
        </w:r>
        <w:r>
          <w:rPr>
            <w:noProof/>
            <w:webHidden/>
          </w:rPr>
          <w:fldChar w:fldCharType="separate"/>
        </w:r>
        <w:r>
          <w:rPr>
            <w:noProof/>
            <w:webHidden/>
          </w:rPr>
          <w:t>4</w:t>
        </w:r>
        <w:r>
          <w:rPr>
            <w:noProof/>
            <w:webHidden/>
          </w:rPr>
          <w:fldChar w:fldCharType="end"/>
        </w:r>
      </w:hyperlink>
    </w:p>
    <w:p w:rsidR="00A103B1" w14:paraId="326B6562" w14:textId="4FF9F1EB">
      <w:pPr>
        <w:pStyle w:val="TOC2"/>
        <w:tabs>
          <w:tab w:val="left" w:pos="1440"/>
        </w:tabs>
        <w:rPr>
          <w:rFonts w:asciiTheme="minorHAnsi" w:eastAsiaTheme="minorEastAsia" w:hAnsiTheme="minorHAnsi"/>
          <w:noProof/>
          <w:sz w:val="22"/>
        </w:rPr>
      </w:pPr>
      <w:hyperlink w:anchor="_Toc93676164" w:history="1">
        <w:r w:rsidRPr="00AB4D22">
          <w:rPr>
            <w:rStyle w:val="Hyperlink"/>
            <w:rFonts w:cs="Times New Roman"/>
            <w:noProof/>
          </w:rPr>
          <w:t>B.</w:t>
        </w:r>
        <w:r>
          <w:rPr>
            <w:rFonts w:asciiTheme="minorHAnsi" w:eastAsiaTheme="minorEastAsia" w:hAnsiTheme="minorHAnsi"/>
            <w:noProof/>
            <w:sz w:val="22"/>
          </w:rPr>
          <w:tab/>
        </w:r>
        <w:r w:rsidRPr="00AB4D22">
          <w:rPr>
            <w:rStyle w:val="Hyperlink"/>
            <w:rFonts w:cs="Times New Roman"/>
            <w:noProof/>
          </w:rPr>
          <w:t xml:space="preserve">To protect consumers, the PUCO should order Duke to demonstrate </w:t>
        </w:r>
        <w:r>
          <w:rPr>
            <w:rStyle w:val="Hyperlink"/>
            <w:rFonts w:cs="Times New Roman"/>
            <w:noProof/>
          </w:rPr>
          <w:br/>
        </w:r>
        <w:r w:rsidRPr="00AB4D22">
          <w:rPr>
            <w:rStyle w:val="Hyperlink"/>
            <w:rFonts w:cs="Times New Roman"/>
            <w:noProof/>
          </w:rPr>
          <w:t xml:space="preserve">and the Auditor to verify that Duke has not charged consumers </w:t>
        </w:r>
        <w:r>
          <w:rPr>
            <w:rStyle w:val="Hyperlink"/>
            <w:rFonts w:cs="Times New Roman"/>
            <w:noProof/>
          </w:rPr>
          <w:br/>
        </w:r>
        <w:r w:rsidRPr="00AB4D22">
          <w:rPr>
            <w:rStyle w:val="Hyperlink"/>
            <w:rFonts w:cs="Times New Roman"/>
            <w:noProof/>
          </w:rPr>
          <w:t>more</w:t>
        </w:r>
        <w:r>
          <w:rPr>
            <w:rStyle w:val="Hyperlink"/>
            <w:rFonts w:cs="Times New Roman"/>
            <w:noProof/>
          </w:rPr>
          <w:t xml:space="preserve"> </w:t>
        </w:r>
        <w:r w:rsidRPr="00AB4D22">
          <w:rPr>
            <w:rStyle w:val="Hyperlink"/>
            <w:rFonts w:cs="Times New Roman"/>
            <w:noProof/>
          </w:rPr>
          <w:t>than is permitted under caps placed on the DCI charge.</w:t>
        </w:r>
        <w:r>
          <w:rPr>
            <w:noProof/>
            <w:webHidden/>
          </w:rPr>
          <w:tab/>
        </w:r>
        <w:r>
          <w:rPr>
            <w:noProof/>
            <w:webHidden/>
          </w:rPr>
          <w:fldChar w:fldCharType="begin"/>
        </w:r>
        <w:r>
          <w:rPr>
            <w:noProof/>
            <w:webHidden/>
          </w:rPr>
          <w:instrText xml:space="preserve"> PAGEREF _Toc93676164 \h </w:instrText>
        </w:r>
        <w:r>
          <w:rPr>
            <w:noProof/>
            <w:webHidden/>
          </w:rPr>
          <w:fldChar w:fldCharType="separate"/>
        </w:r>
        <w:r>
          <w:rPr>
            <w:noProof/>
            <w:webHidden/>
          </w:rPr>
          <w:t>8</w:t>
        </w:r>
        <w:r>
          <w:rPr>
            <w:noProof/>
            <w:webHidden/>
          </w:rPr>
          <w:fldChar w:fldCharType="end"/>
        </w:r>
      </w:hyperlink>
    </w:p>
    <w:p w:rsidR="00A103B1" w14:paraId="5D1D3485" w14:textId="5D560C5B">
      <w:pPr>
        <w:pStyle w:val="TOC2"/>
        <w:tabs>
          <w:tab w:val="left" w:pos="1440"/>
        </w:tabs>
        <w:rPr>
          <w:rFonts w:asciiTheme="minorHAnsi" w:eastAsiaTheme="minorEastAsia" w:hAnsiTheme="minorHAnsi"/>
          <w:noProof/>
          <w:sz w:val="22"/>
        </w:rPr>
      </w:pPr>
      <w:hyperlink w:anchor="_Toc93676165" w:history="1">
        <w:r w:rsidRPr="00AB4D22">
          <w:rPr>
            <w:rStyle w:val="Hyperlink"/>
            <w:rFonts w:cs="Times New Roman"/>
            <w:noProof/>
          </w:rPr>
          <w:t>C.</w:t>
        </w:r>
        <w:r>
          <w:rPr>
            <w:rFonts w:asciiTheme="minorHAnsi" w:eastAsiaTheme="minorEastAsia" w:hAnsiTheme="minorHAnsi"/>
            <w:noProof/>
            <w:sz w:val="22"/>
          </w:rPr>
          <w:tab/>
        </w:r>
        <w:r w:rsidRPr="00AB4D22">
          <w:rPr>
            <w:rStyle w:val="Hyperlink"/>
            <w:rFonts w:cs="Times New Roman"/>
            <w:noProof/>
          </w:rPr>
          <w:t xml:space="preserve">For consumer protection, and for consumers to receive the reliable </w:t>
        </w:r>
        <w:r>
          <w:rPr>
            <w:rStyle w:val="Hyperlink"/>
            <w:rFonts w:cs="Times New Roman"/>
            <w:noProof/>
          </w:rPr>
          <w:br/>
        </w:r>
        <w:r w:rsidRPr="00AB4D22">
          <w:rPr>
            <w:rStyle w:val="Hyperlink"/>
            <w:rFonts w:cs="Times New Roman"/>
            <w:noProof/>
          </w:rPr>
          <w:t xml:space="preserve">service they pay for, the PUCO should require a review of the DCI programs that are supposed to improve reliability as part of the </w:t>
        </w:r>
        <w:r>
          <w:rPr>
            <w:rStyle w:val="Hyperlink"/>
            <w:rFonts w:cs="Times New Roman"/>
            <w:noProof/>
          </w:rPr>
          <w:br/>
        </w:r>
        <w:r w:rsidRPr="00AB4D22">
          <w:rPr>
            <w:rStyle w:val="Hyperlink"/>
            <w:rFonts w:cs="Times New Roman"/>
            <w:noProof/>
          </w:rPr>
          <w:t>annual DCI compliance audit and required under the Settlement.</w:t>
        </w:r>
        <w:r>
          <w:rPr>
            <w:noProof/>
            <w:webHidden/>
          </w:rPr>
          <w:tab/>
        </w:r>
        <w:r>
          <w:rPr>
            <w:noProof/>
            <w:webHidden/>
          </w:rPr>
          <w:fldChar w:fldCharType="begin"/>
        </w:r>
        <w:r>
          <w:rPr>
            <w:noProof/>
            <w:webHidden/>
          </w:rPr>
          <w:instrText xml:space="preserve"> PAGEREF _Toc93676165 \h </w:instrText>
        </w:r>
        <w:r>
          <w:rPr>
            <w:noProof/>
            <w:webHidden/>
          </w:rPr>
          <w:fldChar w:fldCharType="separate"/>
        </w:r>
        <w:r>
          <w:rPr>
            <w:noProof/>
            <w:webHidden/>
          </w:rPr>
          <w:t>9</w:t>
        </w:r>
        <w:r>
          <w:rPr>
            <w:noProof/>
            <w:webHidden/>
          </w:rPr>
          <w:fldChar w:fldCharType="end"/>
        </w:r>
      </w:hyperlink>
    </w:p>
    <w:p w:rsidR="00A103B1" w14:paraId="4474BCF0" w14:textId="433CAC9D">
      <w:pPr>
        <w:pStyle w:val="TOC1"/>
        <w:rPr>
          <w:rFonts w:asciiTheme="minorHAnsi" w:eastAsiaTheme="minorEastAsia" w:hAnsiTheme="minorHAnsi"/>
          <w:caps w:val="0"/>
          <w:noProof/>
          <w:sz w:val="22"/>
        </w:rPr>
      </w:pPr>
      <w:hyperlink w:anchor="_Toc93676166" w:history="1">
        <w:r w:rsidRPr="00AB4D22">
          <w:rPr>
            <w:rStyle w:val="Hyperlink"/>
            <w:noProof/>
          </w:rPr>
          <w:t>III.</w:t>
        </w:r>
        <w:r>
          <w:rPr>
            <w:rFonts w:asciiTheme="minorHAnsi" w:eastAsiaTheme="minorEastAsia" w:hAnsiTheme="minorHAnsi"/>
            <w:caps w:val="0"/>
            <w:noProof/>
            <w:sz w:val="22"/>
          </w:rPr>
          <w:tab/>
        </w:r>
        <w:r w:rsidRPr="00AB4D22">
          <w:rPr>
            <w:rStyle w:val="Hyperlink"/>
            <w:noProof/>
          </w:rPr>
          <w:t>CONCLUSION</w:t>
        </w:r>
        <w:r>
          <w:rPr>
            <w:noProof/>
            <w:webHidden/>
          </w:rPr>
          <w:tab/>
        </w:r>
        <w:r>
          <w:rPr>
            <w:noProof/>
            <w:webHidden/>
          </w:rPr>
          <w:fldChar w:fldCharType="begin"/>
        </w:r>
        <w:r>
          <w:rPr>
            <w:noProof/>
            <w:webHidden/>
          </w:rPr>
          <w:instrText xml:space="preserve"> PAGEREF _Toc93676166 \h </w:instrText>
        </w:r>
        <w:r>
          <w:rPr>
            <w:noProof/>
            <w:webHidden/>
          </w:rPr>
          <w:fldChar w:fldCharType="separate"/>
        </w:r>
        <w:r>
          <w:rPr>
            <w:noProof/>
            <w:webHidden/>
          </w:rPr>
          <w:t>12</w:t>
        </w:r>
        <w:r>
          <w:rPr>
            <w:noProof/>
            <w:webHidden/>
          </w:rPr>
          <w:fldChar w:fldCharType="end"/>
        </w:r>
      </w:hyperlink>
    </w:p>
    <w:p w:rsidR="006D6A1F" w:rsidP="0053250C" w14:paraId="07A1A397" w14:textId="77777777">
      <w:pPr>
        <w:pStyle w:val="Title"/>
        <w:rPr>
          <w:sz w:val="24"/>
          <w:szCs w:val="24"/>
        </w:rPr>
      </w:pPr>
      <w:r w:rsidRPr="008E780F">
        <w:rPr>
          <w:sz w:val="24"/>
          <w:szCs w:val="24"/>
        </w:rPr>
        <w:fldChar w:fldCharType="end"/>
      </w:r>
    </w:p>
    <w:p w:rsidR="000D6604" w:rsidRPr="000D6604" w:rsidP="000D6604" w14:paraId="719B6129" w14:textId="77777777"/>
    <w:p w:rsidR="000D6604" w:rsidRPr="000D6604" w:rsidP="000D6604" w14:paraId="10B7AF7D" w14:textId="77777777"/>
    <w:p w:rsidR="000D6604" w:rsidRPr="000D6604" w:rsidP="000D6604" w14:paraId="6D92B08C" w14:textId="77777777"/>
    <w:p w:rsidR="000D6604" w:rsidRPr="000D6604" w:rsidP="000D6604" w14:paraId="24DFA0E8" w14:textId="77777777"/>
    <w:p w:rsidR="000D6604" w:rsidP="000D6604" w14:paraId="782AAC94" w14:textId="77777777">
      <w:pPr>
        <w:rPr>
          <w:b/>
        </w:rPr>
      </w:pPr>
    </w:p>
    <w:p w:rsidR="000D6604" w:rsidP="000D6604" w14:paraId="0C231C07" w14:textId="6D00FB70">
      <w:pPr>
        <w:tabs>
          <w:tab w:val="left" w:pos="4931"/>
        </w:tabs>
        <w:rPr>
          <w:b/>
        </w:rPr>
      </w:pPr>
      <w:r>
        <w:rPr>
          <w:b/>
        </w:rPr>
        <w:tab/>
      </w:r>
    </w:p>
    <w:p w:rsidR="000D6604" w:rsidRPr="000D6604" w:rsidP="000D6604" w14:paraId="3F9D520A" w14:textId="6D97A0CE">
      <w:pPr>
        <w:tabs>
          <w:tab w:val="left" w:pos="4931"/>
        </w:tabs>
        <w:sectPr w:rsidSect="006D6A1F">
          <w:headerReference w:type="default" r:id="rId9"/>
          <w:footerReference w:type="default" r:id="rId10"/>
          <w:pgSz w:w="12240" w:h="15840"/>
          <w:pgMar w:top="1440" w:right="1800" w:bottom="1440" w:left="1800" w:header="720" w:footer="720" w:gutter="0"/>
          <w:pgNumType w:fmt="lowerRoman" w:start="1"/>
          <w:cols w:space="720"/>
          <w:docGrid w:linePitch="360"/>
        </w:sectPr>
      </w:pPr>
      <w:r>
        <w:tab/>
      </w:r>
    </w:p>
    <w:p w:rsidR="0053250C" w:rsidRPr="008E780F" w:rsidP="0053250C" w14:paraId="6E1CA67C" w14:textId="3F3DC437">
      <w:pPr>
        <w:pStyle w:val="Title"/>
        <w:rPr>
          <w:sz w:val="24"/>
          <w:szCs w:val="24"/>
        </w:rPr>
      </w:pPr>
      <w:r w:rsidRPr="008E780F">
        <w:rPr>
          <w:sz w:val="24"/>
          <w:szCs w:val="24"/>
        </w:rPr>
        <w:t>BEFORE</w:t>
      </w:r>
    </w:p>
    <w:p w:rsidR="0053250C" w:rsidRPr="008E780F" w:rsidP="0053250C" w14:paraId="5C2BE3D9" w14:textId="77777777">
      <w:pPr>
        <w:jc w:val="center"/>
        <w:rPr>
          <w:b/>
        </w:rPr>
      </w:pPr>
      <w:r w:rsidRPr="008E780F">
        <w:rPr>
          <w:b/>
        </w:rPr>
        <w:t>THE PUBLIC UTILITIES COMMISSION OF OHIO</w:t>
      </w:r>
    </w:p>
    <w:p w:rsidR="0053250C" w:rsidRPr="008E780F" w:rsidP="0053250C" w14:paraId="1AD0DEF7" w14:textId="77777777">
      <w:pPr>
        <w:jc w:val="center"/>
        <w:rPr>
          <w:b/>
        </w:rPr>
      </w:pPr>
    </w:p>
    <w:tbl>
      <w:tblPr>
        <w:tblW w:w="9998" w:type="dxa"/>
        <w:tblLook w:val="01E0"/>
      </w:tblPr>
      <w:tblGrid>
        <w:gridCol w:w="4140"/>
        <w:gridCol w:w="810"/>
        <w:gridCol w:w="5048"/>
      </w:tblGrid>
      <w:tr w14:paraId="65687504" w14:textId="77777777" w:rsidTr="008E780F">
        <w:tblPrEx>
          <w:tblW w:w="9998" w:type="dxa"/>
          <w:tblLook w:val="01E0"/>
        </w:tblPrEx>
        <w:trPr>
          <w:trHeight w:val="792"/>
        </w:trPr>
        <w:tc>
          <w:tcPr>
            <w:tcW w:w="4140" w:type="dxa"/>
            <w:shd w:val="clear" w:color="auto" w:fill="auto"/>
          </w:tcPr>
          <w:p w:rsidR="0053250C" w:rsidRPr="008E780F" w:rsidP="0053250C" w14:paraId="5A06691E" w14:textId="77777777">
            <w:pPr>
              <w:autoSpaceDE w:val="0"/>
              <w:autoSpaceDN w:val="0"/>
              <w:adjustRightInd w:val="0"/>
            </w:pPr>
            <w:r w:rsidRPr="008E780F">
              <w:t xml:space="preserve">In the Matter of the Review of Duke </w:t>
            </w:r>
          </w:p>
          <w:p w:rsidR="0053250C" w:rsidRPr="008E780F" w:rsidP="0053250C" w14:paraId="42FB975D" w14:textId="77777777">
            <w:pPr>
              <w:autoSpaceDE w:val="0"/>
              <w:autoSpaceDN w:val="0"/>
              <w:adjustRightInd w:val="0"/>
            </w:pPr>
            <w:r w:rsidRPr="008E780F">
              <w:t xml:space="preserve">Energy Ohio, Inc.’s Distribution </w:t>
            </w:r>
          </w:p>
          <w:p w:rsidR="0053250C" w:rsidRPr="008E780F" w:rsidP="0053250C" w14:paraId="48EAA11A" w14:textId="77777777">
            <w:pPr>
              <w:autoSpaceDE w:val="0"/>
              <w:autoSpaceDN w:val="0"/>
              <w:adjustRightInd w:val="0"/>
            </w:pPr>
            <w:r w:rsidRPr="008E780F">
              <w:t xml:space="preserve">Capital Investment Rider. </w:t>
            </w:r>
          </w:p>
        </w:tc>
        <w:tc>
          <w:tcPr>
            <w:tcW w:w="810" w:type="dxa"/>
            <w:shd w:val="clear" w:color="auto" w:fill="auto"/>
          </w:tcPr>
          <w:p w:rsidR="0053250C" w:rsidRPr="008E780F" w:rsidP="0053250C" w14:paraId="6C3345DF" w14:textId="77777777">
            <w:pPr>
              <w:pStyle w:val="HTMLPreformatted"/>
              <w:rPr>
                <w:rFonts w:ascii="Times New Roman" w:hAnsi="Times New Roman" w:cs="Times New Roman"/>
                <w:sz w:val="24"/>
                <w:szCs w:val="24"/>
              </w:rPr>
            </w:pPr>
            <w:r w:rsidRPr="008E780F">
              <w:rPr>
                <w:rFonts w:ascii="Times New Roman" w:hAnsi="Times New Roman" w:cs="Times New Roman"/>
                <w:sz w:val="24"/>
                <w:szCs w:val="24"/>
              </w:rPr>
              <w:t>)</w:t>
            </w:r>
          </w:p>
          <w:p w:rsidR="0053250C" w:rsidRPr="008E780F" w:rsidP="0053250C" w14:paraId="060C7DA4" w14:textId="77777777">
            <w:pPr>
              <w:pStyle w:val="HTMLPreformatted"/>
              <w:rPr>
                <w:rFonts w:ascii="Times New Roman" w:hAnsi="Times New Roman" w:cs="Times New Roman"/>
                <w:sz w:val="24"/>
                <w:szCs w:val="24"/>
              </w:rPr>
            </w:pPr>
            <w:r w:rsidRPr="008E780F">
              <w:rPr>
                <w:rFonts w:ascii="Times New Roman" w:hAnsi="Times New Roman" w:cs="Times New Roman"/>
                <w:sz w:val="24"/>
                <w:szCs w:val="24"/>
              </w:rPr>
              <w:t>)</w:t>
            </w:r>
          </w:p>
          <w:p w:rsidR="0053250C" w:rsidRPr="008E780F" w:rsidP="004E7A35" w14:paraId="283CB959" w14:textId="77777777">
            <w:pPr>
              <w:pStyle w:val="HTMLPreformatted"/>
              <w:spacing w:after="240"/>
              <w:rPr>
                <w:rFonts w:ascii="Times New Roman" w:hAnsi="Times New Roman" w:cs="Times New Roman"/>
                <w:sz w:val="24"/>
                <w:szCs w:val="24"/>
              </w:rPr>
            </w:pPr>
            <w:r w:rsidRPr="008E780F">
              <w:rPr>
                <w:rFonts w:ascii="Times New Roman" w:hAnsi="Times New Roman" w:cs="Times New Roman"/>
                <w:sz w:val="24"/>
                <w:szCs w:val="24"/>
              </w:rPr>
              <w:t>)</w:t>
            </w:r>
          </w:p>
        </w:tc>
        <w:tc>
          <w:tcPr>
            <w:tcW w:w="5048" w:type="dxa"/>
            <w:shd w:val="clear" w:color="auto" w:fill="auto"/>
          </w:tcPr>
          <w:p w:rsidR="0053250C" w:rsidRPr="008E780F" w:rsidP="0053250C" w14:paraId="3C9F4AB9" w14:textId="77777777">
            <w:pPr>
              <w:pStyle w:val="HTMLPreformatted"/>
              <w:rPr>
                <w:rFonts w:ascii="Times New Roman" w:hAnsi="Times New Roman" w:cs="Times New Roman"/>
                <w:sz w:val="24"/>
                <w:szCs w:val="24"/>
              </w:rPr>
            </w:pPr>
          </w:p>
          <w:p w:rsidR="0053250C" w:rsidRPr="008E780F" w:rsidP="003C5FE5" w14:paraId="4602684F" w14:textId="231484AA">
            <w:pPr>
              <w:pStyle w:val="HTMLPreformatted"/>
              <w:rPr>
                <w:rFonts w:ascii="Times New Roman" w:hAnsi="Times New Roman" w:cs="Times New Roman"/>
                <w:sz w:val="24"/>
                <w:szCs w:val="24"/>
              </w:rPr>
            </w:pPr>
            <w:r w:rsidRPr="008E780F">
              <w:rPr>
                <w:rFonts w:ascii="Times New Roman" w:hAnsi="Times New Roman" w:cs="Times New Roman"/>
                <w:sz w:val="24"/>
                <w:szCs w:val="24"/>
              </w:rPr>
              <w:t xml:space="preserve">Case No. </w:t>
            </w:r>
            <w:r w:rsidRPr="008E780F" w:rsidR="007A1C34">
              <w:rPr>
                <w:rFonts w:ascii="Times New Roman" w:hAnsi="Times New Roman" w:cs="Times New Roman"/>
                <w:sz w:val="24"/>
                <w:szCs w:val="24"/>
              </w:rPr>
              <w:t>21</w:t>
            </w:r>
            <w:r w:rsidRPr="008E780F" w:rsidR="003C5FE5">
              <w:rPr>
                <w:rFonts w:ascii="Times New Roman" w:hAnsi="Times New Roman" w:cs="Times New Roman"/>
                <w:sz w:val="24"/>
                <w:szCs w:val="24"/>
              </w:rPr>
              <w:t>-</w:t>
            </w:r>
            <w:r w:rsidRPr="008E780F" w:rsidR="007A1C34">
              <w:rPr>
                <w:rFonts w:ascii="Times New Roman" w:hAnsi="Times New Roman" w:cs="Times New Roman"/>
                <w:sz w:val="24"/>
                <w:szCs w:val="24"/>
              </w:rPr>
              <w:t>573</w:t>
            </w:r>
            <w:r w:rsidRPr="008E780F">
              <w:rPr>
                <w:rFonts w:ascii="Times New Roman" w:hAnsi="Times New Roman" w:cs="Times New Roman"/>
                <w:sz w:val="24"/>
                <w:szCs w:val="24"/>
              </w:rPr>
              <w:t>-EL-RDR</w:t>
            </w:r>
          </w:p>
        </w:tc>
      </w:tr>
    </w:tbl>
    <w:p w:rsidR="0053250C" w:rsidRPr="008E780F" w:rsidP="00217C13" w14:paraId="77E1A25C" w14:textId="77777777">
      <w:pPr>
        <w:pBdr>
          <w:top w:val="single" w:sz="12" w:space="1" w:color="auto"/>
        </w:pBdr>
      </w:pPr>
    </w:p>
    <w:p w:rsidR="0053250C" w:rsidRPr="008E780F" w:rsidP="0053250C" w14:paraId="261EACEB" w14:textId="4966A8DC">
      <w:pPr>
        <w:jc w:val="center"/>
        <w:rPr>
          <w:b/>
        </w:rPr>
      </w:pPr>
      <w:r w:rsidRPr="008E780F">
        <w:rPr>
          <w:b/>
        </w:rPr>
        <w:t xml:space="preserve">CONSUMER PROTECTION </w:t>
      </w:r>
      <w:r w:rsidRPr="008E780F" w:rsidR="00CD59CF">
        <w:rPr>
          <w:b/>
        </w:rPr>
        <w:t xml:space="preserve">COMMENTS </w:t>
      </w:r>
    </w:p>
    <w:p w:rsidR="0053250C" w:rsidRPr="008E780F" w:rsidP="0053250C" w14:paraId="01DC72D7" w14:textId="77777777">
      <w:pPr>
        <w:jc w:val="center"/>
        <w:rPr>
          <w:b/>
        </w:rPr>
      </w:pPr>
      <w:r w:rsidRPr="008E780F">
        <w:rPr>
          <w:b/>
        </w:rPr>
        <w:t>BY</w:t>
      </w:r>
    </w:p>
    <w:p w:rsidR="0053250C" w:rsidRPr="008E780F" w:rsidP="0053250C" w14:paraId="012E4FD1" w14:textId="3947D84A">
      <w:pPr>
        <w:jc w:val="center"/>
        <w:rPr>
          <w:b/>
        </w:rPr>
      </w:pPr>
      <w:r w:rsidRPr="008E780F">
        <w:rPr>
          <w:b/>
        </w:rPr>
        <w:t>OFFICE OF THE OHIO CONSUMERS’ COUNSEL</w:t>
      </w:r>
    </w:p>
    <w:p w:rsidR="0053250C" w:rsidRPr="008E780F" w:rsidP="0053250C" w14:paraId="68B8B0C2" w14:textId="77777777">
      <w:pPr>
        <w:pBdr>
          <w:bottom w:val="single" w:sz="12" w:space="1" w:color="auto"/>
        </w:pBdr>
      </w:pPr>
    </w:p>
    <w:p w:rsidR="00A82FE4" w:rsidRPr="008E780F" w:rsidP="00DA2F4B" w14:paraId="0E08AF26" w14:textId="77777777">
      <w:pPr>
        <w:pStyle w:val="Heading1"/>
        <w:spacing w:after="0"/>
      </w:pPr>
      <w:bookmarkStart w:id="0" w:name="_Toc33428779"/>
    </w:p>
    <w:p w:rsidR="0053250C" w:rsidRPr="008E780F" w:rsidP="00A82FE4" w14:paraId="1061FD48" w14:textId="769E581C">
      <w:pPr>
        <w:pStyle w:val="Heading1"/>
        <w:numPr>
          <w:ilvl w:val="0"/>
          <w:numId w:val="37"/>
        </w:numPr>
        <w:ind w:left="720"/>
      </w:pPr>
      <w:bookmarkStart w:id="1" w:name="_Toc93676161"/>
      <w:r w:rsidRPr="008E780F">
        <w:t>INTRODUCTION</w:t>
      </w:r>
      <w:bookmarkEnd w:id="0"/>
      <w:bookmarkEnd w:id="1"/>
    </w:p>
    <w:p w:rsidR="00062D0D" w:rsidRPr="008E780F" w:rsidP="002D427B" w14:paraId="689D6505" w14:textId="2351E2DC">
      <w:pPr>
        <w:spacing w:line="480" w:lineRule="auto"/>
        <w:ind w:firstLine="720"/>
      </w:pPr>
      <w:r w:rsidRPr="008E780F">
        <w:t xml:space="preserve">The </w:t>
      </w:r>
      <w:r w:rsidRPr="008E780F" w:rsidR="00170BD7">
        <w:t>D</w:t>
      </w:r>
      <w:r w:rsidRPr="008E780F">
        <w:t xml:space="preserve">istribution </w:t>
      </w:r>
      <w:r w:rsidRPr="008E780F" w:rsidR="00170BD7">
        <w:t>C</w:t>
      </w:r>
      <w:r w:rsidRPr="008E780F">
        <w:t xml:space="preserve">apital </w:t>
      </w:r>
      <w:r w:rsidRPr="008E780F" w:rsidR="00170BD7">
        <w:t>I</w:t>
      </w:r>
      <w:r w:rsidRPr="008E780F" w:rsidR="00FE0166">
        <w:t>n</w:t>
      </w:r>
      <w:r w:rsidRPr="008E780F">
        <w:t xml:space="preserve">vestment </w:t>
      </w:r>
      <w:r w:rsidRPr="008E780F">
        <w:t xml:space="preserve">charge </w:t>
      </w:r>
      <w:r w:rsidRPr="008E780F">
        <w:t>(</w:t>
      </w:r>
      <w:r w:rsidRPr="008E780F">
        <w:t>“DCI charge”)</w:t>
      </w:r>
      <w:r w:rsidRPr="008E780F">
        <w:t xml:space="preserve"> enables </w:t>
      </w:r>
      <w:r w:rsidRPr="008E780F" w:rsidR="00F6355C">
        <w:t>Duke Energy Ohio, Inc. (“Duke”) to</w:t>
      </w:r>
      <w:r w:rsidRPr="008E780F">
        <w:t xml:space="preserve"> </w:t>
      </w:r>
      <w:r w:rsidRPr="008E780F" w:rsidR="00E1375A">
        <w:t>bill</w:t>
      </w:r>
      <w:r w:rsidRPr="008E780F">
        <w:t xml:space="preserve"> </w:t>
      </w:r>
      <w:r w:rsidRPr="008E780F" w:rsidR="005E4FF4">
        <w:t>consumers</w:t>
      </w:r>
      <w:r w:rsidRPr="008E780F">
        <w:t xml:space="preserve"> </w:t>
      </w:r>
      <w:r w:rsidRPr="008E780F" w:rsidR="00F6355C">
        <w:t xml:space="preserve">for </w:t>
      </w:r>
      <w:r w:rsidRPr="008E780F" w:rsidR="00870C01">
        <w:t xml:space="preserve">a return on and of its </w:t>
      </w:r>
      <w:r w:rsidRPr="008E780F" w:rsidR="005C35F2">
        <w:t>distribution infrastructure investments</w:t>
      </w:r>
      <w:r w:rsidRPr="008E780F">
        <w:t>.</w:t>
      </w:r>
      <w:r>
        <w:rPr>
          <w:rStyle w:val="FootnoteReference"/>
        </w:rPr>
        <w:footnoteReference w:id="2"/>
      </w:r>
      <w:r w:rsidRPr="008E780F">
        <w:t xml:space="preserve"> </w:t>
      </w:r>
      <w:r w:rsidRPr="008E780F" w:rsidR="00637796">
        <w:t xml:space="preserve">This </w:t>
      </w:r>
      <w:r w:rsidRPr="008E780F">
        <w:t xml:space="preserve">charge </w:t>
      </w:r>
      <w:r w:rsidRPr="008E780F" w:rsidR="00AB1B0C">
        <w:t xml:space="preserve">also </w:t>
      </w:r>
      <w:r w:rsidRPr="008E780F">
        <w:t xml:space="preserve">permits </w:t>
      </w:r>
      <w:r w:rsidRPr="008E780F" w:rsidR="00637796">
        <w:t xml:space="preserve">Duke to </w:t>
      </w:r>
      <w:r w:rsidRPr="008E780F" w:rsidR="00E1375A">
        <w:t xml:space="preserve">bill </w:t>
      </w:r>
      <w:r w:rsidRPr="008E780F" w:rsidR="005E4FF4">
        <w:t>consumers</w:t>
      </w:r>
      <w:r w:rsidRPr="008E780F" w:rsidR="00637796">
        <w:t xml:space="preserve"> sooner than </w:t>
      </w:r>
      <w:r w:rsidRPr="008E780F">
        <w:t xml:space="preserve">they </w:t>
      </w:r>
      <w:r w:rsidRPr="008E780F" w:rsidR="00E1375A">
        <w:t xml:space="preserve">otherwise </w:t>
      </w:r>
      <w:r w:rsidRPr="008E780F">
        <w:t xml:space="preserve">would be </w:t>
      </w:r>
      <w:r w:rsidRPr="008E780F" w:rsidR="00E1375A">
        <w:t xml:space="preserve">charged </w:t>
      </w:r>
      <w:r w:rsidRPr="008E780F" w:rsidR="00637796">
        <w:t>under traditional ratemaking</w:t>
      </w:r>
      <w:r w:rsidRPr="008E780F" w:rsidR="00870C01">
        <w:t xml:space="preserve"> and without the </w:t>
      </w:r>
      <w:r w:rsidRPr="008E780F" w:rsidR="00E1375A">
        <w:t xml:space="preserve">thorough </w:t>
      </w:r>
      <w:r w:rsidRPr="008E780F" w:rsidR="00D25E88">
        <w:t xml:space="preserve">review </w:t>
      </w:r>
      <w:r w:rsidRPr="008E780F" w:rsidR="003E2A54">
        <w:t xml:space="preserve">that generally takes place under </w:t>
      </w:r>
      <w:r w:rsidRPr="008E780F" w:rsidR="00870C01">
        <w:t xml:space="preserve">a </w:t>
      </w:r>
      <w:r w:rsidRPr="008E780F" w:rsidR="00AE4C34">
        <w:t>traditional</w:t>
      </w:r>
      <w:r w:rsidRPr="008E780F" w:rsidR="00870C01">
        <w:t xml:space="preserve"> </w:t>
      </w:r>
      <w:r w:rsidRPr="008E780F" w:rsidR="00AE4C34">
        <w:t xml:space="preserve">distribution </w:t>
      </w:r>
      <w:r w:rsidRPr="008E780F" w:rsidR="00870C01">
        <w:t>rate proceeding</w:t>
      </w:r>
      <w:r w:rsidRPr="008E780F" w:rsidR="00637796">
        <w:t xml:space="preserve">. </w:t>
      </w:r>
    </w:p>
    <w:p w:rsidR="002D427B" w:rsidRPr="008E780F" w:rsidP="002D427B" w14:paraId="2B2972F9" w14:textId="12AD4720">
      <w:pPr>
        <w:spacing w:line="480" w:lineRule="auto"/>
        <w:ind w:firstLine="720"/>
      </w:pPr>
      <w:r w:rsidRPr="008E780F">
        <w:t xml:space="preserve">The </w:t>
      </w:r>
      <w:r w:rsidRPr="008E780F" w:rsidR="00F6355C">
        <w:t xml:space="preserve">Public Utilities </w:t>
      </w:r>
      <w:r w:rsidRPr="008E780F" w:rsidR="00F9228C">
        <w:t>Commission</w:t>
      </w:r>
      <w:r w:rsidRPr="008E780F" w:rsidR="00F6355C">
        <w:t xml:space="preserve"> </w:t>
      </w:r>
      <w:r w:rsidRPr="008E780F" w:rsidR="007A6963">
        <w:t xml:space="preserve">of Ohio </w:t>
      </w:r>
      <w:r w:rsidRPr="008E780F" w:rsidR="00F6355C">
        <w:t>(“</w:t>
      </w:r>
      <w:r w:rsidRPr="008E780F">
        <w:t>PUCO</w:t>
      </w:r>
      <w:r w:rsidRPr="008E780F" w:rsidR="00F6355C">
        <w:t>”)</w:t>
      </w:r>
      <w:r w:rsidRPr="008E780F">
        <w:t xml:space="preserve"> required that Duke’s </w:t>
      </w:r>
      <w:r w:rsidRPr="008E780F" w:rsidR="00D25E88">
        <w:t xml:space="preserve">DCI </w:t>
      </w:r>
      <w:r w:rsidRPr="008E780F" w:rsidR="00062D0D">
        <w:t xml:space="preserve">charge </w:t>
      </w:r>
      <w:r w:rsidRPr="008E780F">
        <w:t>be audited annually for accounting accuracy, prudence</w:t>
      </w:r>
      <w:r w:rsidRPr="008E780F" w:rsidR="00B96DD3">
        <w:t xml:space="preserve"> of distribution investments</w:t>
      </w:r>
      <w:r w:rsidRPr="008E780F">
        <w:t>, and compliance with PUCO orders</w:t>
      </w:r>
      <w:r w:rsidRPr="008E780F" w:rsidR="000A67B3">
        <w:t>.</w:t>
      </w:r>
      <w:r>
        <w:rPr>
          <w:rStyle w:val="FootnoteReference"/>
        </w:rPr>
        <w:footnoteReference w:id="3"/>
      </w:r>
      <w:r w:rsidRPr="008E780F" w:rsidR="000E3F83">
        <w:t xml:space="preserve"> </w:t>
      </w:r>
      <w:r w:rsidRPr="008E780F" w:rsidR="0077416A">
        <w:t xml:space="preserve">This is the </w:t>
      </w:r>
      <w:r w:rsidRPr="008E780F" w:rsidR="007A1C34">
        <w:t xml:space="preserve">second </w:t>
      </w:r>
      <w:r w:rsidRPr="008E780F" w:rsidR="0077416A">
        <w:t xml:space="preserve">full-year audit </w:t>
      </w:r>
      <w:r w:rsidRPr="008E780F" w:rsidR="00487D9D">
        <w:t xml:space="preserve">of the DCI </w:t>
      </w:r>
      <w:r w:rsidRPr="008E780F" w:rsidR="00062D0D">
        <w:t xml:space="preserve">charge occurring </w:t>
      </w:r>
      <w:r w:rsidRPr="008E780F" w:rsidR="0077416A">
        <w:t>after the</w:t>
      </w:r>
      <w:r w:rsidRPr="008E780F" w:rsidR="003E3A87">
        <w:t xml:space="preserve"> PUCO’s Order approving</w:t>
      </w:r>
      <w:r w:rsidRPr="008E780F" w:rsidR="0077416A">
        <w:t xml:space="preserve"> </w:t>
      </w:r>
      <w:r w:rsidRPr="008E780F" w:rsidR="00487D9D">
        <w:t>a</w:t>
      </w:r>
      <w:r w:rsidRPr="008E780F" w:rsidR="0077416A">
        <w:t xml:space="preserve"> </w:t>
      </w:r>
      <w:r w:rsidRPr="008E780F" w:rsidR="003E2A54">
        <w:t>Settlement</w:t>
      </w:r>
      <w:r w:rsidRPr="008E780F" w:rsidR="0077416A">
        <w:t>.</w:t>
      </w:r>
      <w:r>
        <w:rPr>
          <w:rStyle w:val="FootnoteReference"/>
        </w:rPr>
        <w:footnoteReference w:id="4"/>
      </w:r>
      <w:r w:rsidRPr="008E780F" w:rsidR="000E3F83">
        <w:t xml:space="preserve"> </w:t>
      </w:r>
    </w:p>
    <w:p w:rsidR="000A67B3" w:rsidRPr="008E780F" w:rsidP="0094101A" w14:paraId="1B7AA302" w14:textId="2CE6854D">
      <w:pPr>
        <w:spacing w:line="480" w:lineRule="auto"/>
        <w:ind w:firstLine="720"/>
      </w:pPr>
      <w:r w:rsidRPr="008E780F">
        <w:t>Rehmann Consulting (</w:t>
      </w:r>
      <w:r w:rsidRPr="008E780F" w:rsidR="00EE734B">
        <w:t>“</w:t>
      </w:r>
      <w:r w:rsidRPr="008E780F" w:rsidR="007A1C34">
        <w:t>Rehma</w:t>
      </w:r>
      <w:r w:rsidRPr="008E780F" w:rsidR="00062D0D">
        <w:t>n</w:t>
      </w:r>
      <w:r w:rsidRPr="008E780F" w:rsidR="007A1C34">
        <w:t>n</w:t>
      </w:r>
      <w:r w:rsidRPr="008E780F" w:rsidR="00EE734B">
        <w:t>” or</w:t>
      </w:r>
      <w:r w:rsidRPr="008E780F">
        <w:t xml:space="preserve"> “Auditor”) performed the audit </w:t>
      </w:r>
      <w:r w:rsidRPr="008E780F" w:rsidR="007A1C34">
        <w:t>in this case as well as for the audit last year.</w:t>
      </w:r>
      <w:r>
        <w:rPr>
          <w:rStyle w:val="FootnoteReference"/>
        </w:rPr>
        <w:footnoteReference w:id="5"/>
      </w:r>
      <w:r w:rsidRPr="008E780F" w:rsidR="000E3F83">
        <w:t xml:space="preserve"> </w:t>
      </w:r>
      <w:r w:rsidRPr="008E780F" w:rsidR="007A1C34">
        <w:t xml:space="preserve">Rehmann </w:t>
      </w:r>
      <w:r w:rsidRPr="008E780F">
        <w:t xml:space="preserve">detailed </w:t>
      </w:r>
      <w:r w:rsidRPr="008E780F" w:rsidR="007A1C34">
        <w:t xml:space="preserve">its </w:t>
      </w:r>
      <w:r w:rsidRPr="008E780F">
        <w:t xml:space="preserve">findings </w:t>
      </w:r>
      <w:r w:rsidRPr="008E780F" w:rsidR="007A1C34">
        <w:t xml:space="preserve">in this case </w:t>
      </w:r>
      <w:r w:rsidRPr="008E780F">
        <w:t xml:space="preserve">in an audit </w:t>
      </w:r>
      <w:r w:rsidRPr="008E780F">
        <w:t>report filed with the PUCO</w:t>
      </w:r>
      <w:r w:rsidRPr="008E780F" w:rsidR="00170BD7">
        <w:t xml:space="preserve"> on </w:t>
      </w:r>
      <w:r w:rsidRPr="008E780F" w:rsidR="007A1C34">
        <w:t>December 3</w:t>
      </w:r>
      <w:r w:rsidRPr="008E780F" w:rsidR="00170BD7">
        <w:t>, 2021</w:t>
      </w:r>
      <w:r w:rsidRPr="008E780F" w:rsidR="00FD1312">
        <w:t xml:space="preserve"> (“Audit Report”)</w:t>
      </w:r>
      <w:r w:rsidRPr="008E780F">
        <w:t>.</w:t>
      </w:r>
      <w:r>
        <w:rPr>
          <w:rStyle w:val="FootnoteReference"/>
        </w:rPr>
        <w:footnoteReference w:id="6"/>
      </w:r>
      <w:r w:rsidRPr="008E780F" w:rsidR="000E3F83">
        <w:t xml:space="preserve"> </w:t>
      </w:r>
      <w:r w:rsidRPr="008E780F">
        <w:t>The audit</w:t>
      </w:r>
      <w:r w:rsidRPr="008E780F" w:rsidR="00052D2C">
        <w:t xml:space="preserve"> involves</w:t>
      </w:r>
      <w:r w:rsidRPr="008E780F">
        <w:t xml:space="preserve"> review of the distribution capital spending and DCI Rider charges during</w:t>
      </w:r>
      <w:r w:rsidRPr="008E780F" w:rsidR="001B7516">
        <w:t xml:space="preserve"> the </w:t>
      </w:r>
      <w:r w:rsidRPr="008E780F">
        <w:t xml:space="preserve">period from July 1, </w:t>
      </w:r>
      <w:r w:rsidRPr="008E780F" w:rsidR="007A1C34">
        <w:t xml:space="preserve">2020 </w:t>
      </w:r>
      <w:r w:rsidRPr="008E780F">
        <w:t xml:space="preserve">through June 30, </w:t>
      </w:r>
      <w:r w:rsidRPr="008E780F" w:rsidR="007A1C34">
        <w:t xml:space="preserve">2021 </w:t>
      </w:r>
      <w:r w:rsidRPr="008E780F">
        <w:t>(“Audit Period</w:t>
      </w:r>
      <w:r w:rsidRPr="008E780F" w:rsidR="002450ED">
        <w:t>”</w:t>
      </w:r>
      <w:r w:rsidRPr="008E780F">
        <w:t>).</w:t>
      </w:r>
      <w:r w:rsidRPr="008E780F" w:rsidR="00CB3C30">
        <w:t xml:space="preserve"> </w:t>
      </w:r>
      <w:r w:rsidRPr="008E780F">
        <w:t>A</w:t>
      </w:r>
      <w:r w:rsidRPr="008E780F" w:rsidR="00CB3C30">
        <w:t xml:space="preserve">mong other things, </w:t>
      </w:r>
      <w:r w:rsidRPr="008E780F">
        <w:t xml:space="preserve">the audit </w:t>
      </w:r>
      <w:r w:rsidRPr="008E780F" w:rsidR="004F1CC6">
        <w:t xml:space="preserve">included </w:t>
      </w:r>
      <w:r w:rsidRPr="008E780F" w:rsidR="00C4425F">
        <w:t xml:space="preserve">the </w:t>
      </w:r>
      <w:r w:rsidRPr="008E780F" w:rsidR="00CB3C30">
        <w:t xml:space="preserve">review of </w:t>
      </w:r>
      <w:r w:rsidRPr="008E780F" w:rsidR="00C4425F">
        <w:t xml:space="preserve">four quarterly DCI </w:t>
      </w:r>
      <w:r w:rsidRPr="008E780F" w:rsidR="00062D0D">
        <w:t xml:space="preserve">charge </w:t>
      </w:r>
      <w:r w:rsidRPr="008E780F" w:rsidR="00C4425F">
        <w:t>filings</w:t>
      </w:r>
      <w:r w:rsidRPr="008E780F" w:rsidR="000E3F83">
        <w:t xml:space="preserve"> </w:t>
      </w:r>
      <w:r w:rsidRPr="008E780F" w:rsidR="00C4425F">
        <w:t xml:space="preserve">Duke </w:t>
      </w:r>
      <w:r w:rsidRPr="008E780F" w:rsidR="00062D0D">
        <w:t xml:space="preserve">made </w:t>
      </w:r>
      <w:r w:rsidRPr="008E780F" w:rsidR="00C4425F">
        <w:t xml:space="preserve">from </w:t>
      </w:r>
      <w:r w:rsidRPr="008E780F" w:rsidR="007A1C34">
        <w:t>October 30</w:t>
      </w:r>
      <w:r w:rsidRPr="008E780F" w:rsidR="004F1CC6">
        <w:t xml:space="preserve">, </w:t>
      </w:r>
      <w:r w:rsidRPr="008E780F" w:rsidR="007A1C34">
        <w:t xml:space="preserve">2020 </w:t>
      </w:r>
      <w:r w:rsidRPr="008E780F" w:rsidR="00C4425F">
        <w:t xml:space="preserve">to </w:t>
      </w:r>
      <w:r w:rsidRPr="008E780F" w:rsidR="007A1C34">
        <w:t xml:space="preserve">September </w:t>
      </w:r>
      <w:r w:rsidRPr="008E780F" w:rsidR="004F1CC6">
        <w:t>1</w:t>
      </w:r>
      <w:r w:rsidRPr="008E780F" w:rsidR="007A1C34">
        <w:t>7</w:t>
      </w:r>
      <w:r w:rsidRPr="008E780F" w:rsidR="004F1CC6">
        <w:t xml:space="preserve">, </w:t>
      </w:r>
      <w:r w:rsidRPr="008E780F" w:rsidR="007A1C34">
        <w:t>2021</w:t>
      </w:r>
      <w:r w:rsidRPr="008E780F" w:rsidR="004F1CC6">
        <w:t>.</w:t>
      </w:r>
      <w:r>
        <w:rPr>
          <w:rStyle w:val="FootnoteReference"/>
        </w:rPr>
        <w:footnoteReference w:id="7"/>
      </w:r>
      <w:r w:rsidRPr="008E780F" w:rsidR="000E3F83">
        <w:t xml:space="preserve"> </w:t>
      </w:r>
    </w:p>
    <w:p w:rsidR="00AE4C34" w:rsidRPr="008E780F" w:rsidP="00F6355C" w14:paraId="20927508" w14:textId="78C09320">
      <w:pPr>
        <w:spacing w:line="480" w:lineRule="auto"/>
        <w:ind w:firstLine="720"/>
      </w:pPr>
      <w:r w:rsidRPr="008E780F">
        <w:t xml:space="preserve">In order to protect consumers from being overcharged during this </w:t>
      </w:r>
      <w:r w:rsidRPr="008E780F" w:rsidR="002A3846">
        <w:t>A</w:t>
      </w:r>
      <w:r w:rsidRPr="008E780F">
        <w:t xml:space="preserve">udit </w:t>
      </w:r>
      <w:r w:rsidRPr="008E780F" w:rsidR="002A3846">
        <w:t>P</w:t>
      </w:r>
      <w:r w:rsidRPr="008E780F">
        <w:t xml:space="preserve">eriod and going forward, the Office of the Ohio Consumers’ Counsel (“OCC”) recommends that the PUCO adopt </w:t>
      </w:r>
      <w:r w:rsidRPr="008E780F" w:rsidR="00D229A9">
        <w:t xml:space="preserve">all </w:t>
      </w:r>
      <w:r w:rsidRPr="008E780F">
        <w:t xml:space="preserve">the </w:t>
      </w:r>
      <w:r w:rsidRPr="008E780F" w:rsidR="00EF74B2">
        <w:t xml:space="preserve">Auditor’s </w:t>
      </w:r>
      <w:r w:rsidRPr="008E780F" w:rsidR="007A1C34">
        <w:t xml:space="preserve">recommended adjustments and </w:t>
      </w:r>
      <w:r w:rsidRPr="008E780F">
        <w:t xml:space="preserve">improvements </w:t>
      </w:r>
      <w:r w:rsidRPr="008E780F" w:rsidR="007A1C34">
        <w:t>for</w:t>
      </w:r>
      <w:r w:rsidRPr="008E780F">
        <w:t xml:space="preserve"> </w:t>
      </w:r>
      <w:r w:rsidRPr="008E780F" w:rsidR="00062D0D">
        <w:t xml:space="preserve">the </w:t>
      </w:r>
      <w:r w:rsidRPr="008E780F">
        <w:t>DCI</w:t>
      </w:r>
      <w:r w:rsidRPr="008E780F" w:rsidR="00062D0D">
        <w:t xml:space="preserve"> charge</w:t>
      </w:r>
      <w:r w:rsidRPr="008E780F">
        <w:t>.</w:t>
      </w:r>
      <w:r>
        <w:rPr>
          <w:rStyle w:val="FootnoteReference"/>
        </w:rPr>
        <w:footnoteReference w:id="8"/>
      </w:r>
      <w:r w:rsidR="008E780F">
        <w:t xml:space="preserve"> </w:t>
      </w:r>
      <w:r w:rsidRPr="008E780F" w:rsidR="00D229A9">
        <w:t>Furthermore,</w:t>
      </w:r>
      <w:r w:rsidR="008E780F">
        <w:t xml:space="preserve"> </w:t>
      </w:r>
      <w:r w:rsidRPr="008E780F" w:rsidR="00B96DD3">
        <w:t xml:space="preserve">OCC </w:t>
      </w:r>
      <w:r w:rsidRPr="008E780F" w:rsidR="00D229A9">
        <w:t>proposes two additional recommendations that would further protect consumers.</w:t>
      </w:r>
      <w:r w:rsidR="008E780F">
        <w:t xml:space="preserve"> </w:t>
      </w:r>
      <w:r w:rsidRPr="008E780F" w:rsidR="00D229A9">
        <w:t>First, there should be a review or confirmation in the Audit Report whether the “2020 Cap Adjustment and 2021 Cap Adjustment” included in the quarterly filings were accurate, reasonable, and justified.</w:t>
      </w:r>
    </w:p>
    <w:p w:rsidR="00BE09F3" w:rsidRPr="008E780F" w:rsidP="0094101A" w14:paraId="577A6490" w14:textId="3D54A2A1">
      <w:pPr>
        <w:spacing w:line="480" w:lineRule="auto"/>
      </w:pPr>
      <w:r w:rsidRPr="008E780F">
        <w:t>T</w:t>
      </w:r>
      <w:r w:rsidRPr="008E780F" w:rsidR="009163F4">
        <w:t xml:space="preserve">he Audit Report did not address whether </w:t>
      </w:r>
      <w:r w:rsidRPr="008E780F" w:rsidR="00AE3848">
        <w:t>the DCI revenue that Duke collected from consumers exceeded the revenue caps approved in the Settlement</w:t>
      </w:r>
      <w:r w:rsidRPr="008E780F" w:rsidR="00B96DD3">
        <w:t xml:space="preserve"> in Case No. 17-0032-EL-AIR, et al</w:t>
      </w:r>
      <w:r w:rsidRPr="008E780F" w:rsidR="00AE4C34">
        <w:t>. Those</w:t>
      </w:r>
      <w:r w:rsidRPr="008E780F" w:rsidR="003E2A54">
        <w:t xml:space="preserve"> revenue caps were put in place to protect customers from paying too much. </w:t>
      </w:r>
      <w:r w:rsidRPr="008E780F">
        <w:t>Second,</w:t>
      </w:r>
      <w:r w:rsidR="008E780F">
        <w:t xml:space="preserve"> </w:t>
      </w:r>
      <w:r w:rsidRPr="008E780F" w:rsidR="00EF5AB8">
        <w:t>the Audit</w:t>
      </w:r>
      <w:r w:rsidRPr="008E780F" w:rsidR="00841E20">
        <w:t xml:space="preserve"> Report </w:t>
      </w:r>
      <w:r w:rsidRPr="008E780F" w:rsidR="00C670C2">
        <w:t>should have</w:t>
      </w:r>
      <w:r w:rsidRPr="008E780F" w:rsidR="0072054D">
        <w:t xml:space="preserve"> (as required in the Request for Proposal issued by the PUCO Staff)</w:t>
      </w:r>
      <w:r>
        <w:rPr>
          <w:rStyle w:val="FootnoteReference"/>
        </w:rPr>
        <w:footnoteReference w:id="9"/>
      </w:r>
      <w:r w:rsidRPr="008E780F" w:rsidR="00C670C2">
        <w:t xml:space="preserve">, but </w:t>
      </w:r>
      <w:r w:rsidRPr="008E780F" w:rsidR="00EF5AB8">
        <w:t>did not</w:t>
      </w:r>
      <w:r w:rsidRPr="008E780F" w:rsidR="00C670C2">
        <w:t>,</w:t>
      </w:r>
      <w:r w:rsidRPr="008E780F" w:rsidR="00EF5AB8">
        <w:t xml:space="preserve"> assess the </w:t>
      </w:r>
      <w:r w:rsidRPr="008E780F" w:rsidR="00FC7B35">
        <w:t xml:space="preserve">applicable </w:t>
      </w:r>
      <w:r w:rsidRPr="008E780F" w:rsidR="00EF5AB8">
        <w:t>DCI Work Plan</w:t>
      </w:r>
      <w:r w:rsidRPr="008E780F" w:rsidR="00FC7B35">
        <w:t>s</w:t>
      </w:r>
      <w:r w:rsidRPr="008E780F" w:rsidR="00EF5AB8">
        <w:t xml:space="preserve"> to determine if </w:t>
      </w:r>
      <w:r w:rsidRPr="008E780F" w:rsidR="00FC7B35">
        <w:t xml:space="preserve">the </w:t>
      </w:r>
      <w:r w:rsidRPr="008E780F" w:rsidR="00EF5AB8">
        <w:t>plan</w:t>
      </w:r>
      <w:r w:rsidRPr="008E780F" w:rsidR="00FC7B35">
        <w:t>s</w:t>
      </w:r>
      <w:r w:rsidRPr="008E780F" w:rsidR="00EF5AB8">
        <w:t xml:space="preserve"> </w:t>
      </w:r>
      <w:r w:rsidRPr="008E780F" w:rsidR="00FC7B35">
        <w:t xml:space="preserve">comply </w:t>
      </w:r>
      <w:r w:rsidRPr="008E780F" w:rsidR="00EF5AB8">
        <w:t xml:space="preserve">with </w:t>
      </w:r>
      <w:r w:rsidRPr="008E780F" w:rsidR="00CC5DA6">
        <w:t xml:space="preserve">the Settlement in </w:t>
      </w:r>
      <w:r w:rsidRPr="008E780F" w:rsidR="003E2A54">
        <w:t>C</w:t>
      </w:r>
      <w:r w:rsidRPr="008E780F" w:rsidR="00CC5DA6">
        <w:t>ase No. 17-</w:t>
      </w:r>
      <w:r w:rsidRPr="008E780F" w:rsidR="00487D9D">
        <w:t>0</w:t>
      </w:r>
      <w:r w:rsidRPr="008E780F" w:rsidR="00CC5DA6">
        <w:t xml:space="preserve">032-EL-AIR. </w:t>
      </w:r>
    </w:p>
    <w:p w:rsidR="003F5ED3" w:rsidRPr="008E780F" w:rsidP="003F5ED3" w14:paraId="6F187432" w14:textId="77777777">
      <w:pPr>
        <w:ind w:firstLine="720"/>
      </w:pPr>
    </w:p>
    <w:p w:rsidR="0053250C" w:rsidRPr="008E780F" w:rsidP="00A82FE4" w14:paraId="4639BEBF" w14:textId="065DBCE1">
      <w:pPr>
        <w:pStyle w:val="Heading1"/>
      </w:pPr>
      <w:bookmarkStart w:id="2" w:name="_Toc33428780"/>
      <w:bookmarkStart w:id="3" w:name="_Toc93676162"/>
      <w:r w:rsidRPr="008E780F">
        <w:t>II.</w:t>
      </w:r>
      <w:r w:rsidRPr="008E780F">
        <w:tab/>
        <w:t>COMMENTS</w:t>
      </w:r>
      <w:bookmarkEnd w:id="2"/>
      <w:bookmarkEnd w:id="3"/>
    </w:p>
    <w:p w:rsidR="008E54DA" w:rsidRPr="008E780F" w14:paraId="6C867CC3" w14:textId="736426B2">
      <w:pPr>
        <w:pStyle w:val="Heading2"/>
        <w:rPr>
          <w:rFonts w:ascii="Times New Roman" w:hAnsi="Times New Roman" w:cs="Times New Roman"/>
          <w:szCs w:val="24"/>
        </w:rPr>
      </w:pPr>
      <w:bookmarkStart w:id="4" w:name="_Toc93676163"/>
      <w:r w:rsidRPr="008E780F">
        <w:rPr>
          <w:rFonts w:ascii="Times New Roman" w:hAnsi="Times New Roman" w:cs="Times New Roman"/>
          <w:szCs w:val="24"/>
        </w:rPr>
        <w:t>To protect consumers from being overcharged, the PUCO should adopt the Auditor recommendation to remove improperly included distribution plant and expense items from the Distribution charge.</w:t>
      </w:r>
      <w:bookmarkEnd w:id="4"/>
      <w:r w:rsidR="008E780F">
        <w:rPr>
          <w:rFonts w:ascii="Times New Roman" w:hAnsi="Times New Roman" w:cs="Times New Roman"/>
          <w:szCs w:val="24"/>
        </w:rPr>
        <w:t xml:space="preserve"> </w:t>
      </w:r>
    </w:p>
    <w:p w:rsidR="008E54DA" w:rsidRPr="008E780F" w:rsidP="008E54DA" w14:paraId="104A9379" w14:textId="3373D248">
      <w:pPr>
        <w:spacing w:line="480" w:lineRule="auto"/>
        <w:ind w:firstLine="720"/>
        <w:rPr>
          <w:b/>
        </w:rPr>
      </w:pPr>
      <w:r w:rsidRPr="008E780F">
        <w:t xml:space="preserve">Under the DCI charge, only </w:t>
      </w:r>
      <w:r w:rsidRPr="008E780F" w:rsidR="0024091A">
        <w:t>prudently incurred</w:t>
      </w:r>
      <w:r w:rsidRPr="008E780F">
        <w:t xml:space="preserve"> expenses and used and useful distribution plant can be included and collected from consumers.</w:t>
      </w:r>
      <w:r>
        <w:rPr>
          <w:rStyle w:val="FootnoteReference"/>
        </w:rPr>
        <w:footnoteReference w:id="10"/>
      </w:r>
      <w:r w:rsidRPr="008E780F">
        <w:t xml:space="preserve"> Accordingly, Rehmann recommended several adjustments to Duke’s requested DCI revenue requirement. A summary of these and other adjustments can be found in Table 12 of the Audit Report. OCC supports the adoption of the adjustments proposed by the Auditor, as discussed below. These adjustments are reasonable and based on sound regulatory principles and they should be adopted. These adjustments would result in a reduction of approximately $2,051,041 in the revenue requirement during the Audit Period. A summary of the recommended adjustments from the Audit Report is shown in Table 1.</w:t>
      </w:r>
      <w:r w:rsidR="008E780F">
        <w:t xml:space="preserve"> </w:t>
      </w:r>
      <w:r w:rsidRPr="008E780F">
        <w:t>OCC will only highlight a few of these adjustments.</w:t>
      </w:r>
    </w:p>
    <w:p w:rsidR="0054101D" w14:paraId="641A450D" w14:textId="77777777">
      <w:pPr>
        <w:spacing w:after="200" w:line="276" w:lineRule="auto"/>
        <w:rPr>
          <w:b/>
        </w:rPr>
      </w:pPr>
      <w:r>
        <w:rPr>
          <w:b/>
        </w:rPr>
        <w:br w:type="page"/>
      </w:r>
    </w:p>
    <w:p w:rsidR="008E54DA" w:rsidRPr="008E780F" w:rsidP="008E780F" w14:paraId="0938D01F" w14:textId="67272744">
      <w:pPr>
        <w:spacing w:line="480" w:lineRule="auto"/>
        <w:ind w:firstLine="720"/>
        <w:jc w:val="center"/>
        <w:rPr>
          <w:b/>
        </w:rPr>
      </w:pPr>
      <w:r w:rsidRPr="008E780F">
        <w:rPr>
          <w:b/>
        </w:rPr>
        <w:t>Table 1: OCC Recommended Rider DCI Adjustments</w:t>
      </w:r>
    </w:p>
    <w:tbl>
      <w:tblPr>
        <w:tblStyle w:val="TableGrid"/>
        <w:tblW w:w="0" w:type="auto"/>
        <w:tblLook w:val="04A0"/>
      </w:tblPr>
      <w:tblGrid>
        <w:gridCol w:w="3600"/>
        <w:gridCol w:w="2809"/>
        <w:gridCol w:w="2221"/>
      </w:tblGrid>
      <w:tr w14:paraId="7EB42316" w14:textId="77777777" w:rsidTr="00391736">
        <w:tblPrEx>
          <w:tblW w:w="0" w:type="auto"/>
          <w:tblLook w:val="04A0"/>
        </w:tblPrEx>
        <w:tc>
          <w:tcPr>
            <w:tcW w:w="0" w:type="auto"/>
          </w:tcPr>
          <w:p w:rsidR="008E54DA" w:rsidRPr="008E780F" w:rsidP="00391736" w14:paraId="6394D867" w14:textId="77777777">
            <w:pPr>
              <w:jc w:val="center"/>
              <w:rPr>
                <w:b/>
                <w:bCs/>
              </w:rPr>
            </w:pPr>
            <w:r w:rsidRPr="008E780F">
              <w:rPr>
                <w:b/>
                <w:bCs/>
              </w:rPr>
              <w:t>Recommended Adjustment</w:t>
            </w:r>
          </w:p>
        </w:tc>
        <w:tc>
          <w:tcPr>
            <w:tcW w:w="0" w:type="auto"/>
          </w:tcPr>
          <w:p w:rsidR="008E54DA" w:rsidRPr="008E780F" w:rsidP="00391736" w14:paraId="603EC886" w14:textId="77777777">
            <w:pPr>
              <w:jc w:val="center"/>
              <w:rPr>
                <w:b/>
                <w:bCs/>
              </w:rPr>
            </w:pPr>
            <w:r w:rsidRPr="008E780F">
              <w:rPr>
                <w:b/>
                <w:bCs/>
              </w:rPr>
              <w:t>Transaction Amount (Change in Distribution Plants)</w:t>
            </w:r>
          </w:p>
        </w:tc>
        <w:tc>
          <w:tcPr>
            <w:tcW w:w="0" w:type="auto"/>
          </w:tcPr>
          <w:p w:rsidR="008E54DA" w:rsidRPr="008E780F" w:rsidP="00391736" w14:paraId="639FA61A" w14:textId="77777777">
            <w:pPr>
              <w:jc w:val="center"/>
              <w:rPr>
                <w:b/>
                <w:bCs/>
              </w:rPr>
            </w:pPr>
            <w:r w:rsidRPr="008E780F">
              <w:rPr>
                <w:b/>
                <w:bCs/>
              </w:rPr>
              <w:t>Change in Revenue Requirement</w:t>
            </w:r>
          </w:p>
        </w:tc>
      </w:tr>
      <w:tr w14:paraId="1F66C091" w14:textId="77777777" w:rsidTr="00391736">
        <w:tblPrEx>
          <w:tblW w:w="0" w:type="auto"/>
          <w:tblLook w:val="04A0"/>
        </w:tblPrEx>
        <w:tc>
          <w:tcPr>
            <w:tcW w:w="0" w:type="auto"/>
          </w:tcPr>
          <w:p w:rsidR="008E54DA" w:rsidRPr="008E780F" w:rsidP="00391736" w14:paraId="5FB2F58E" w14:textId="77777777">
            <w:r w:rsidRPr="008E780F">
              <w:t>Work Order with Labor and Related Charges That Should Have Been O&amp;M</w:t>
            </w:r>
          </w:p>
        </w:tc>
        <w:tc>
          <w:tcPr>
            <w:tcW w:w="0" w:type="auto"/>
          </w:tcPr>
          <w:p w:rsidR="008E54DA" w:rsidRPr="008E780F" w:rsidP="00391736" w14:paraId="6F833E72" w14:textId="77777777">
            <w:pPr>
              <w:jc w:val="center"/>
            </w:pPr>
            <w:r w:rsidRPr="008E780F">
              <w:t>($102,411)</w:t>
            </w:r>
          </w:p>
        </w:tc>
        <w:tc>
          <w:tcPr>
            <w:tcW w:w="0" w:type="auto"/>
          </w:tcPr>
          <w:p w:rsidR="008E54DA" w:rsidRPr="008E780F" w:rsidP="00391736" w14:paraId="18FF90E8" w14:textId="77777777">
            <w:pPr>
              <w:jc w:val="center"/>
            </w:pPr>
            <w:r w:rsidRPr="008E780F">
              <w:t>($12,391)</w:t>
            </w:r>
          </w:p>
        </w:tc>
      </w:tr>
      <w:tr w14:paraId="2A8BAEA9" w14:textId="77777777" w:rsidTr="00391736">
        <w:tblPrEx>
          <w:tblW w:w="0" w:type="auto"/>
          <w:tblLook w:val="04A0"/>
        </w:tblPrEx>
        <w:tc>
          <w:tcPr>
            <w:tcW w:w="0" w:type="auto"/>
          </w:tcPr>
          <w:p w:rsidR="008E54DA" w:rsidRPr="008E780F" w:rsidP="00391736" w14:paraId="43F63B90" w14:textId="77777777">
            <w:r w:rsidRPr="008E780F">
              <w:t>Reduce Real Property Assessed Value</w:t>
            </w:r>
          </w:p>
        </w:tc>
        <w:tc>
          <w:tcPr>
            <w:tcW w:w="0" w:type="auto"/>
          </w:tcPr>
          <w:p w:rsidR="008E54DA" w:rsidRPr="008E780F" w:rsidP="00391736" w14:paraId="5857E8B0" w14:textId="77777777">
            <w:pPr>
              <w:jc w:val="center"/>
            </w:pPr>
            <w:r w:rsidRPr="008E780F">
              <w:t>($4,579,148)</w:t>
            </w:r>
          </w:p>
        </w:tc>
        <w:tc>
          <w:tcPr>
            <w:tcW w:w="0" w:type="auto"/>
          </w:tcPr>
          <w:p w:rsidR="008E54DA" w:rsidRPr="008E780F" w:rsidP="00391736" w14:paraId="3F869EED" w14:textId="77777777">
            <w:pPr>
              <w:jc w:val="center"/>
            </w:pPr>
            <w:r w:rsidRPr="008E780F">
              <w:t>($1,435,615)</w:t>
            </w:r>
          </w:p>
        </w:tc>
      </w:tr>
      <w:tr w14:paraId="33D5E8D7" w14:textId="77777777" w:rsidTr="00391736">
        <w:tblPrEx>
          <w:tblW w:w="0" w:type="auto"/>
          <w:tblLook w:val="04A0"/>
        </w:tblPrEx>
        <w:tc>
          <w:tcPr>
            <w:tcW w:w="0" w:type="auto"/>
          </w:tcPr>
          <w:p w:rsidR="008E54DA" w:rsidRPr="008E780F" w:rsidP="00391736" w14:paraId="4BB84496" w14:textId="77777777">
            <w:r w:rsidRPr="008E780F">
              <w:t>Use Actual Real Property Tax Rate</w:t>
            </w:r>
          </w:p>
        </w:tc>
        <w:tc>
          <w:tcPr>
            <w:tcW w:w="0" w:type="auto"/>
          </w:tcPr>
          <w:p w:rsidR="008E54DA" w:rsidRPr="008E780F" w:rsidP="00391736" w14:paraId="772C1B5C" w14:textId="77777777">
            <w:pPr>
              <w:jc w:val="center"/>
            </w:pPr>
            <w:r w:rsidRPr="008E780F">
              <w:t>7.9414%</w:t>
            </w:r>
          </w:p>
        </w:tc>
        <w:tc>
          <w:tcPr>
            <w:tcW w:w="0" w:type="auto"/>
          </w:tcPr>
          <w:p w:rsidR="008E54DA" w:rsidRPr="008E780F" w:rsidP="00391736" w14:paraId="722295B3" w14:textId="77777777">
            <w:pPr>
              <w:jc w:val="center"/>
            </w:pPr>
            <w:r w:rsidRPr="008E780F">
              <w:t>$8,485</w:t>
            </w:r>
          </w:p>
        </w:tc>
      </w:tr>
      <w:tr w14:paraId="47F0DFFB" w14:textId="77777777" w:rsidTr="00391736">
        <w:tblPrEx>
          <w:tblW w:w="0" w:type="auto"/>
          <w:tblLook w:val="04A0"/>
        </w:tblPrEx>
        <w:tc>
          <w:tcPr>
            <w:tcW w:w="0" w:type="auto"/>
          </w:tcPr>
          <w:p w:rsidR="008E54DA" w:rsidRPr="008E780F" w:rsidP="00391736" w14:paraId="305260D7" w14:textId="77777777">
            <w:r w:rsidRPr="008E780F">
              <w:t>Use Actual Personal Property Tax Rate</w:t>
            </w:r>
          </w:p>
        </w:tc>
        <w:tc>
          <w:tcPr>
            <w:tcW w:w="0" w:type="auto"/>
          </w:tcPr>
          <w:p w:rsidR="008E54DA" w:rsidRPr="008E780F" w:rsidP="00391736" w14:paraId="6359DEB0" w14:textId="77777777">
            <w:pPr>
              <w:jc w:val="center"/>
            </w:pPr>
            <w:r w:rsidRPr="008E780F">
              <w:t>9.9166%</w:t>
            </w:r>
          </w:p>
        </w:tc>
        <w:tc>
          <w:tcPr>
            <w:tcW w:w="0" w:type="auto"/>
          </w:tcPr>
          <w:p w:rsidR="008E54DA" w:rsidRPr="008E780F" w:rsidP="00391736" w14:paraId="09C0E3D4" w14:textId="77777777">
            <w:pPr>
              <w:jc w:val="center"/>
            </w:pPr>
            <w:r w:rsidRPr="008E780F">
              <w:t>($687,750)</w:t>
            </w:r>
          </w:p>
        </w:tc>
      </w:tr>
      <w:tr w14:paraId="6F1B20EC" w14:textId="77777777" w:rsidTr="00391736">
        <w:tblPrEx>
          <w:tblW w:w="0" w:type="auto"/>
          <w:tblLook w:val="04A0"/>
        </w:tblPrEx>
        <w:tc>
          <w:tcPr>
            <w:tcW w:w="0" w:type="auto"/>
          </w:tcPr>
          <w:p w:rsidR="008E54DA" w:rsidRPr="008E780F" w:rsidP="00391736" w14:paraId="7ECD8136" w14:textId="77777777">
            <w:r w:rsidRPr="008E780F">
              <w:t>Unrecorded CIAC</w:t>
            </w:r>
          </w:p>
        </w:tc>
        <w:tc>
          <w:tcPr>
            <w:tcW w:w="0" w:type="auto"/>
          </w:tcPr>
          <w:p w:rsidR="008E54DA" w:rsidRPr="008E780F" w:rsidP="00391736" w14:paraId="2CE2FD70" w14:textId="77777777">
            <w:pPr>
              <w:jc w:val="center"/>
            </w:pPr>
            <w:r w:rsidRPr="008E780F">
              <w:t>$318,019</w:t>
            </w:r>
          </w:p>
        </w:tc>
        <w:tc>
          <w:tcPr>
            <w:tcW w:w="0" w:type="auto"/>
          </w:tcPr>
          <w:p w:rsidR="008E54DA" w:rsidRPr="008E780F" w:rsidP="00391736" w14:paraId="1B217F3E" w14:textId="77777777">
            <w:pPr>
              <w:jc w:val="center"/>
            </w:pPr>
            <w:r w:rsidRPr="008E780F">
              <w:t>($39,132)</w:t>
            </w:r>
          </w:p>
        </w:tc>
      </w:tr>
      <w:tr w14:paraId="4769B217" w14:textId="77777777" w:rsidTr="00391736">
        <w:tblPrEx>
          <w:tblW w:w="0" w:type="auto"/>
          <w:tblLook w:val="04A0"/>
        </w:tblPrEx>
        <w:tc>
          <w:tcPr>
            <w:tcW w:w="0" w:type="auto"/>
          </w:tcPr>
          <w:p w:rsidR="008E54DA" w:rsidRPr="008E780F" w:rsidP="00391736" w14:paraId="7ECAEECC" w14:textId="77777777">
            <w:r w:rsidRPr="008E780F">
              <w:t>Unrecorded Retirements</w:t>
            </w:r>
          </w:p>
        </w:tc>
        <w:tc>
          <w:tcPr>
            <w:tcW w:w="0" w:type="auto"/>
          </w:tcPr>
          <w:p w:rsidR="008E54DA" w:rsidRPr="008E780F" w:rsidP="00391736" w14:paraId="4A380C0F" w14:textId="77777777">
            <w:pPr>
              <w:jc w:val="center"/>
            </w:pPr>
            <w:r w:rsidRPr="008E780F">
              <w:t>($762,000)</w:t>
            </w:r>
          </w:p>
        </w:tc>
        <w:tc>
          <w:tcPr>
            <w:tcW w:w="0" w:type="auto"/>
          </w:tcPr>
          <w:p w:rsidR="008E54DA" w:rsidRPr="008E780F" w:rsidP="00391736" w14:paraId="63337057" w14:textId="77777777">
            <w:pPr>
              <w:jc w:val="center"/>
            </w:pPr>
            <w:r w:rsidRPr="008E780F">
              <w:t>($187,432)</w:t>
            </w:r>
          </w:p>
        </w:tc>
      </w:tr>
      <w:tr w14:paraId="5610A2B0" w14:textId="77777777" w:rsidTr="00391736">
        <w:tblPrEx>
          <w:tblW w:w="0" w:type="auto"/>
          <w:tblLook w:val="04A0"/>
        </w:tblPrEx>
        <w:tc>
          <w:tcPr>
            <w:tcW w:w="0" w:type="auto"/>
          </w:tcPr>
          <w:p w:rsidR="008E54DA" w:rsidRPr="008E780F" w:rsidP="00391736" w14:paraId="3CE1F931" w14:textId="77777777">
            <w:r w:rsidRPr="008E780F">
              <w:t>Unrecorded Cost of Removal</w:t>
            </w:r>
          </w:p>
        </w:tc>
        <w:tc>
          <w:tcPr>
            <w:tcW w:w="0" w:type="auto"/>
          </w:tcPr>
          <w:p w:rsidR="008E54DA" w:rsidRPr="008E780F" w:rsidP="00391736" w14:paraId="4421A8AA" w14:textId="77777777">
            <w:pPr>
              <w:jc w:val="center"/>
            </w:pPr>
            <w:r w:rsidRPr="008E780F">
              <w:t>($614,802)</w:t>
            </w:r>
          </w:p>
        </w:tc>
        <w:tc>
          <w:tcPr>
            <w:tcW w:w="0" w:type="auto"/>
          </w:tcPr>
          <w:p w:rsidR="008E54DA" w:rsidRPr="008E780F" w:rsidP="00391736" w14:paraId="5A504FC2" w14:textId="77777777">
            <w:pPr>
              <w:jc w:val="center"/>
            </w:pPr>
            <w:r w:rsidRPr="008E780F">
              <w:t>($151,224)</w:t>
            </w:r>
          </w:p>
        </w:tc>
      </w:tr>
      <w:tr w14:paraId="68E5D26F" w14:textId="77777777" w:rsidTr="00391736">
        <w:tblPrEx>
          <w:tblW w:w="0" w:type="auto"/>
          <w:tblLook w:val="04A0"/>
        </w:tblPrEx>
        <w:tc>
          <w:tcPr>
            <w:tcW w:w="0" w:type="auto"/>
          </w:tcPr>
          <w:p w:rsidR="008E54DA" w:rsidRPr="008E780F" w:rsidP="00391736" w14:paraId="573E1247" w14:textId="77777777">
            <w:r w:rsidRPr="008E780F">
              <w:t>Exclude CWIP Differences in Deferred Tax</w:t>
            </w:r>
          </w:p>
        </w:tc>
        <w:tc>
          <w:tcPr>
            <w:tcW w:w="0" w:type="auto"/>
          </w:tcPr>
          <w:p w:rsidR="008E54DA" w:rsidRPr="008E780F" w:rsidP="00391736" w14:paraId="03500D8E" w14:textId="77777777">
            <w:pPr>
              <w:jc w:val="center"/>
            </w:pPr>
            <w:r w:rsidRPr="008E780F">
              <w:t>$1,317,745</w:t>
            </w:r>
          </w:p>
        </w:tc>
        <w:tc>
          <w:tcPr>
            <w:tcW w:w="0" w:type="auto"/>
          </w:tcPr>
          <w:p w:rsidR="008E54DA" w:rsidRPr="008E780F" w:rsidP="00391736" w14:paraId="3124B94F" w14:textId="77777777">
            <w:pPr>
              <w:jc w:val="center"/>
            </w:pPr>
            <w:r w:rsidRPr="008E780F">
              <w:t>$465,179</w:t>
            </w:r>
          </w:p>
        </w:tc>
      </w:tr>
      <w:tr w14:paraId="03ECE185" w14:textId="77777777" w:rsidTr="00391736">
        <w:tblPrEx>
          <w:tblW w:w="0" w:type="auto"/>
          <w:tblLook w:val="04A0"/>
        </w:tblPrEx>
        <w:tc>
          <w:tcPr>
            <w:tcW w:w="0" w:type="auto"/>
          </w:tcPr>
          <w:p w:rsidR="008E54DA" w:rsidRPr="008E780F" w:rsidP="00391736" w14:paraId="53C6C8C9" w14:textId="77777777">
            <w:r w:rsidRPr="008E780F">
              <w:t xml:space="preserve">Duke CIAC Audit Results </w:t>
            </w:r>
          </w:p>
        </w:tc>
        <w:tc>
          <w:tcPr>
            <w:tcW w:w="0" w:type="auto"/>
          </w:tcPr>
          <w:p w:rsidR="008E54DA" w:rsidRPr="008E780F" w:rsidP="00391736" w14:paraId="0C11A668" w14:textId="77777777">
            <w:pPr>
              <w:jc w:val="center"/>
            </w:pPr>
            <w:r w:rsidRPr="008E780F">
              <w:t>($3,268)</w:t>
            </w:r>
          </w:p>
        </w:tc>
        <w:tc>
          <w:tcPr>
            <w:tcW w:w="0" w:type="auto"/>
          </w:tcPr>
          <w:p w:rsidR="008E54DA" w:rsidRPr="008E780F" w:rsidP="00391736" w14:paraId="1C29A007" w14:textId="77777777">
            <w:pPr>
              <w:jc w:val="center"/>
            </w:pPr>
            <w:r w:rsidRPr="008E780F">
              <w:t>($4,639)</w:t>
            </w:r>
          </w:p>
        </w:tc>
      </w:tr>
      <w:tr w14:paraId="228A0929" w14:textId="77777777" w:rsidTr="00391736">
        <w:tblPrEx>
          <w:tblW w:w="0" w:type="auto"/>
          <w:tblLook w:val="04A0"/>
        </w:tblPrEx>
        <w:tc>
          <w:tcPr>
            <w:tcW w:w="0" w:type="auto"/>
          </w:tcPr>
          <w:p w:rsidR="008E54DA" w:rsidRPr="008E780F" w:rsidP="00391736" w14:paraId="31946EE7" w14:textId="77777777">
            <w:r w:rsidRPr="008E780F">
              <w:t>Tree Trimming O&amp;M</w:t>
            </w:r>
          </w:p>
        </w:tc>
        <w:tc>
          <w:tcPr>
            <w:tcW w:w="0" w:type="auto"/>
          </w:tcPr>
          <w:p w:rsidR="008E54DA" w:rsidRPr="008E780F" w:rsidP="00391736" w14:paraId="266F679D" w14:textId="77777777">
            <w:pPr>
              <w:jc w:val="center"/>
            </w:pPr>
            <w:r w:rsidRPr="008E780F">
              <w:t>($41,858)</w:t>
            </w:r>
          </w:p>
        </w:tc>
        <w:tc>
          <w:tcPr>
            <w:tcW w:w="0" w:type="auto"/>
          </w:tcPr>
          <w:p w:rsidR="008E54DA" w:rsidRPr="008E780F" w:rsidP="00391736" w14:paraId="1AE6C7C1" w14:textId="77777777">
            <w:pPr>
              <w:jc w:val="center"/>
            </w:pPr>
            <w:r w:rsidRPr="008E780F">
              <w:t>($5,151)</w:t>
            </w:r>
          </w:p>
        </w:tc>
      </w:tr>
      <w:tr w14:paraId="2706D387" w14:textId="77777777" w:rsidTr="00391736">
        <w:tblPrEx>
          <w:tblW w:w="0" w:type="auto"/>
          <w:tblLook w:val="04A0"/>
        </w:tblPrEx>
        <w:tc>
          <w:tcPr>
            <w:tcW w:w="0" w:type="auto"/>
          </w:tcPr>
          <w:p w:rsidR="008E54DA" w:rsidRPr="008E780F" w:rsidP="00391736" w14:paraId="248E3FC4" w14:textId="77777777">
            <w:r w:rsidRPr="008E780F">
              <w:t>Missed Incentive Pay Adjustment</w:t>
            </w:r>
          </w:p>
        </w:tc>
        <w:tc>
          <w:tcPr>
            <w:tcW w:w="0" w:type="auto"/>
          </w:tcPr>
          <w:p w:rsidR="008E54DA" w:rsidRPr="008E780F" w:rsidP="00391736" w14:paraId="0030FBD4" w14:textId="77777777">
            <w:pPr>
              <w:jc w:val="center"/>
            </w:pPr>
            <w:r w:rsidRPr="008E780F">
              <w:t>($5,039)</w:t>
            </w:r>
          </w:p>
        </w:tc>
        <w:tc>
          <w:tcPr>
            <w:tcW w:w="0" w:type="auto"/>
          </w:tcPr>
          <w:p w:rsidR="008E54DA" w:rsidRPr="008E780F" w:rsidP="00391736" w14:paraId="72399B46" w14:textId="77777777">
            <w:pPr>
              <w:jc w:val="center"/>
            </w:pPr>
            <w:r w:rsidRPr="008E780F">
              <w:t>($1,371)</w:t>
            </w:r>
          </w:p>
        </w:tc>
      </w:tr>
      <w:tr w14:paraId="2CCC6A1D" w14:textId="77777777" w:rsidTr="00391736">
        <w:tblPrEx>
          <w:tblW w:w="0" w:type="auto"/>
          <w:tblLook w:val="04A0"/>
        </w:tblPrEx>
        <w:tc>
          <w:tcPr>
            <w:tcW w:w="0" w:type="auto"/>
          </w:tcPr>
          <w:p w:rsidR="008E54DA" w:rsidRPr="008E780F" w:rsidP="00391736" w14:paraId="4BEDB716" w14:textId="77777777"/>
        </w:tc>
        <w:tc>
          <w:tcPr>
            <w:tcW w:w="0" w:type="auto"/>
          </w:tcPr>
          <w:p w:rsidR="008E54DA" w:rsidRPr="008E780F" w:rsidP="00391736" w14:paraId="7995A70C" w14:textId="77777777">
            <w:pPr>
              <w:jc w:val="center"/>
            </w:pPr>
          </w:p>
        </w:tc>
        <w:tc>
          <w:tcPr>
            <w:tcW w:w="0" w:type="auto"/>
          </w:tcPr>
          <w:p w:rsidR="008E54DA" w:rsidRPr="008E780F" w:rsidP="00391736" w14:paraId="7D367250" w14:textId="77777777">
            <w:pPr>
              <w:jc w:val="center"/>
            </w:pPr>
          </w:p>
        </w:tc>
      </w:tr>
      <w:tr w14:paraId="5A6D4170" w14:textId="77777777" w:rsidTr="00391736">
        <w:tblPrEx>
          <w:tblW w:w="0" w:type="auto"/>
          <w:tblLook w:val="04A0"/>
        </w:tblPrEx>
        <w:tc>
          <w:tcPr>
            <w:tcW w:w="0" w:type="auto"/>
          </w:tcPr>
          <w:p w:rsidR="008E54DA" w:rsidRPr="008E780F" w:rsidP="00391736" w14:paraId="390FA889" w14:textId="77777777">
            <w:pPr>
              <w:jc w:val="center"/>
            </w:pPr>
            <w:r w:rsidRPr="008E780F">
              <w:t>Total</w:t>
            </w:r>
          </w:p>
        </w:tc>
        <w:tc>
          <w:tcPr>
            <w:tcW w:w="0" w:type="auto"/>
          </w:tcPr>
          <w:p w:rsidR="008E54DA" w:rsidRPr="008E780F" w:rsidP="00391736" w14:paraId="28C16CFB" w14:textId="77777777">
            <w:pPr>
              <w:jc w:val="center"/>
            </w:pPr>
            <w:r w:rsidRPr="008E780F">
              <w:t>($4,472,762)</w:t>
            </w:r>
          </w:p>
        </w:tc>
        <w:tc>
          <w:tcPr>
            <w:tcW w:w="0" w:type="auto"/>
          </w:tcPr>
          <w:p w:rsidR="008E54DA" w:rsidRPr="008E780F" w:rsidP="00391736" w14:paraId="1F7EB187" w14:textId="77777777">
            <w:pPr>
              <w:jc w:val="center"/>
            </w:pPr>
            <w:r w:rsidRPr="008E780F">
              <w:t>($2,051,041)</w:t>
            </w:r>
          </w:p>
        </w:tc>
      </w:tr>
    </w:tbl>
    <w:p w:rsidR="008E54DA" w:rsidRPr="008E780F" w:rsidP="008E54DA" w14:paraId="2C7444C6" w14:textId="77777777">
      <w:pPr>
        <w:ind w:firstLine="720"/>
      </w:pPr>
    </w:p>
    <w:p w:rsidR="008E54DA" w:rsidRPr="008E780F" w:rsidP="008E54DA" w14:paraId="037F26AB" w14:textId="77777777">
      <w:pPr>
        <w:spacing w:line="480" w:lineRule="auto"/>
        <w:ind w:firstLine="720"/>
      </w:pPr>
      <w:r w:rsidRPr="008E780F">
        <w:t>The Auditor sampled Duke work order charges (by resource type) and found that one work order included labor charges that were recorded as capital costs that should have been recorded as operation and maintenance (“O&amp;M”) expenses.</w:t>
      </w:r>
      <w:r>
        <w:rPr>
          <w:rStyle w:val="FootnoteReference"/>
        </w:rPr>
        <w:footnoteReference w:id="11"/>
      </w:r>
      <w:r w:rsidRPr="008E780F">
        <w:t xml:space="preserve"> The errant charges totaled to $102,411.</w:t>
      </w:r>
      <w:r>
        <w:rPr>
          <w:rStyle w:val="FootnoteReference"/>
        </w:rPr>
        <w:footnoteReference w:id="12"/>
      </w:r>
      <w:r w:rsidRPr="008E780F">
        <w:t xml:space="preserve"> And Rehman recommended a $102,411 adjustment to the September 30, 2020 Rider DCI filing that resulted in a $12,391 one-quarter revenue requirement reduction.</w:t>
      </w:r>
      <w:r>
        <w:rPr>
          <w:rStyle w:val="FootnoteReference"/>
        </w:rPr>
        <w:footnoteReference w:id="13"/>
      </w:r>
      <w:r w:rsidRPr="008E780F">
        <w:t xml:space="preserve"> </w:t>
      </w:r>
    </w:p>
    <w:p w:rsidR="008E54DA" w:rsidRPr="008E780F" w:rsidP="008E54DA" w14:paraId="3FFB0D37" w14:textId="14117B04">
      <w:pPr>
        <w:spacing w:line="480" w:lineRule="auto"/>
        <w:ind w:firstLine="720"/>
      </w:pPr>
      <w:r w:rsidRPr="008E780F">
        <w:t>The Auditor also identified that Duke’s real property assessed value on June 30, 2020 was $4,591,153 but increased to $9,684,439 for each of the four Rider DCI quarterly filings.</w:t>
      </w:r>
      <w:r>
        <w:rPr>
          <w:rStyle w:val="FootnoteReference"/>
        </w:rPr>
        <w:footnoteReference w:id="14"/>
      </w:r>
      <w:r w:rsidRPr="008E780F">
        <w:t xml:space="preserve"> The Auditor stated that the large increase occurred because the real property value</w:t>
      </w:r>
      <w:r w:rsidRPr="008E780F" w:rsidR="00F1159D">
        <w:t>,</w:t>
      </w:r>
      <w:r w:rsidRPr="008E780F" w:rsidR="00C10142">
        <w:t xml:space="preserve"> </w:t>
      </w:r>
      <w:r w:rsidRPr="008E780F">
        <w:t>which the real property assessed value is calculated on, changed from $33,347,550 to $85,490,302 in error.</w:t>
      </w:r>
      <w:r>
        <w:rPr>
          <w:rStyle w:val="FootnoteReference"/>
        </w:rPr>
        <w:footnoteReference w:id="15"/>
      </w:r>
      <w:r w:rsidRPr="008E780F">
        <w:t xml:space="preserve"> This assessment difference impacted all four quarterly DCI filings and resulted in a one quarter recommended revenue requirement reduction of $1,435,615.</w:t>
      </w:r>
      <w:r>
        <w:rPr>
          <w:rStyle w:val="FootnoteReference"/>
        </w:rPr>
        <w:footnoteReference w:id="16"/>
      </w:r>
    </w:p>
    <w:p w:rsidR="008E54DA" w:rsidRPr="008E780F" w:rsidP="008E54DA" w14:paraId="1D36DF6F" w14:textId="77777777">
      <w:pPr>
        <w:spacing w:line="480" w:lineRule="auto"/>
        <w:ind w:firstLine="720"/>
      </w:pPr>
      <w:r w:rsidRPr="008E780F">
        <w:t>Rehmann also identified that Duke used a personal property tax rate of 9.9341% for the December 31, 2020, March 31, 2021 and June-30, 2021 Rider DCI Filings when the actual personal property tax bills supported a rate of only 9.9166%.</w:t>
      </w:r>
      <w:r>
        <w:rPr>
          <w:rStyle w:val="FootnoteReference"/>
        </w:rPr>
        <w:footnoteReference w:id="17"/>
      </w:r>
      <w:r w:rsidRPr="008E780F">
        <w:t xml:space="preserve"> The Auditor maintains that the rate difference occurred because actual personal property tax bills are received after the Rider DCI Filings are made.</w:t>
      </w:r>
      <w:r>
        <w:rPr>
          <w:rStyle w:val="FootnoteReference"/>
        </w:rPr>
        <w:footnoteReference w:id="18"/>
      </w:r>
      <w:r w:rsidRPr="008E780F">
        <w:t xml:space="preserve"> Rehmann states that the rate difference impacted three quarterly DCI charge filings and resulted in a one quarter overstatement of the revenue requirement of $687,750 (which would lead to a reduction in charges to consumers).</w:t>
      </w:r>
      <w:r>
        <w:rPr>
          <w:rStyle w:val="FootnoteReference"/>
        </w:rPr>
        <w:footnoteReference w:id="19"/>
      </w:r>
      <w:r w:rsidRPr="008E780F">
        <w:t xml:space="preserve"> </w:t>
      </w:r>
    </w:p>
    <w:p w:rsidR="008E54DA" w:rsidRPr="008E780F" w:rsidP="008E54DA" w14:paraId="245A3470" w14:textId="1F36A338">
      <w:pPr>
        <w:spacing w:line="480" w:lineRule="auto"/>
        <w:ind w:firstLine="720"/>
      </w:pPr>
      <w:r w:rsidRPr="008E780F">
        <w:t xml:space="preserve">Rehmann also recommended additional adjustments based on PUCO Staff’s filed observations. PUCO Staff observed that </w:t>
      </w:r>
      <w:r w:rsidRPr="008E780F" w:rsidR="00EC1C78">
        <w:t>cost of removal (“COR”)</w:t>
      </w:r>
      <w:r w:rsidRPr="008E780F" w:rsidR="00971BDC">
        <w:t xml:space="preserve"> </w:t>
      </w:r>
      <w:r w:rsidRPr="008E780F" w:rsidR="009B6ABA">
        <w:t xml:space="preserve">unit </w:t>
      </w:r>
      <w:r w:rsidRPr="008E780F">
        <w:t xml:space="preserve">charges </w:t>
      </w:r>
      <w:r w:rsidRPr="008E780F" w:rsidR="00110167">
        <w:t>was</w:t>
      </w:r>
      <w:r w:rsidRPr="008E780F">
        <w:t xml:space="preserve"> recorded for four of the 25 work orders totaling $693,506, but only $56 retirement unit charges were recorded. The Auditor noted that if retirements are not timely recorded, then property tax, depreciation, and commercial activities tax expense are </w:t>
      </w:r>
      <w:r w:rsidRPr="008E780F" w:rsidR="00607E4F">
        <w:t>overstated</w:t>
      </w:r>
      <w:r w:rsidRPr="008E780F">
        <w:t>.</w:t>
      </w:r>
      <w:r>
        <w:rPr>
          <w:rStyle w:val="FootnoteReference"/>
        </w:rPr>
        <w:footnoteReference w:id="20"/>
      </w:r>
      <w:r w:rsidRPr="008E780F">
        <w:t xml:space="preserve"> Therefore, Rehmann recommended a revenue requirement reduction totaling $187,432 for the four quarterly Rider DCI filings.</w:t>
      </w:r>
      <w:r>
        <w:rPr>
          <w:rStyle w:val="FootnoteReference"/>
        </w:rPr>
        <w:footnoteReference w:id="21"/>
      </w:r>
      <w:r w:rsidRPr="008E780F">
        <w:t xml:space="preserve"> </w:t>
      </w:r>
    </w:p>
    <w:p w:rsidR="008E54DA" w:rsidRPr="008E780F" w:rsidP="008E54DA" w14:paraId="339A773E" w14:textId="77777777">
      <w:pPr>
        <w:spacing w:line="480" w:lineRule="auto"/>
        <w:ind w:firstLine="720"/>
      </w:pPr>
      <w:r w:rsidRPr="008E780F">
        <w:t>Additionally, Rehmann recommended that Duke implement process improvements by December 31, 2022 to provide more timely estimates for retirements as project work orders are being set up.</w:t>
      </w:r>
      <w:r>
        <w:rPr>
          <w:rStyle w:val="FootnoteReference"/>
        </w:rPr>
        <w:footnoteReference w:id="22"/>
      </w:r>
      <w:r w:rsidRPr="008E780F">
        <w:t xml:space="preserve"> Similarly, Rehmann indicated that PUCO Staff observed instances where work orders had cost of removal estimates of $608,756, but Duke only recorded a little more than $6,000 in actual cost of removal.</w:t>
      </w:r>
      <w:r>
        <w:rPr>
          <w:rStyle w:val="FootnoteReference"/>
        </w:rPr>
        <w:footnoteReference w:id="23"/>
      </w:r>
      <w:r w:rsidRPr="008E780F">
        <w:t xml:space="preserve"> The Auditor noted that without timely cost of removal true-ups, property tax, depreciation, and commercial activities tax expenses are overstated.</w:t>
      </w:r>
      <w:r>
        <w:rPr>
          <w:rStyle w:val="FootnoteReference"/>
        </w:rPr>
        <w:footnoteReference w:id="24"/>
      </w:r>
      <w:r w:rsidRPr="008E780F">
        <w:t xml:space="preserve"> Therefore, after quantifying the impacts of the untimely recording of cost of removal, Rehmann recommended a revenue requirement reduction of $151,224 for the quarterly Rider DCI filings.</w:t>
      </w:r>
      <w:r>
        <w:rPr>
          <w:rStyle w:val="FootnoteReference"/>
        </w:rPr>
        <w:footnoteReference w:id="25"/>
      </w:r>
      <w:r w:rsidRPr="008E780F">
        <w:t xml:space="preserve"> And it recommended that Duke implement process improvements by December 31, 2022 to improve the accuracy and timeliness cost of removal estimates.</w:t>
      </w:r>
      <w:r>
        <w:rPr>
          <w:rStyle w:val="FootnoteReference"/>
        </w:rPr>
        <w:footnoteReference w:id="26"/>
      </w:r>
      <w:r w:rsidRPr="008E780F">
        <w:t xml:space="preserve"> </w:t>
      </w:r>
    </w:p>
    <w:p w:rsidR="008E54DA" w:rsidRPr="008E780F" w:rsidP="008E54DA" w14:paraId="1116762E" w14:textId="77777777">
      <w:pPr>
        <w:spacing w:line="480" w:lineRule="auto"/>
        <w:ind w:firstLine="720"/>
      </w:pPr>
      <w:r w:rsidRPr="008E780F">
        <w:t>Regarding Duke’s adherence to its Vegetation Management policy and Danger/Hazard Tree Removal Capitalization Guidelines, the Auditor recommended that the requirement to send tree trimming invoices back to the tree trimming contractor when the invoice has incorrectly recorded capital versus operations and maintenance (“O&amp;M”) charges be communicated to all Duke Departments that use tree trimming contractors.</w:t>
      </w:r>
      <w:r>
        <w:rPr>
          <w:rStyle w:val="FootnoteReference"/>
        </w:rPr>
        <w:footnoteReference w:id="27"/>
      </w:r>
      <w:r w:rsidRPr="008E780F">
        <w:t xml:space="preserve"> And it recommended that Audit Period plant in-service be reduced by $41,858 and a revenue requirement reduction of $5,151.</w:t>
      </w:r>
      <w:r>
        <w:rPr>
          <w:rStyle w:val="FootnoteReference"/>
        </w:rPr>
        <w:footnoteReference w:id="28"/>
      </w:r>
      <w:r w:rsidRPr="008E780F">
        <w:t xml:space="preserve"> </w:t>
      </w:r>
    </w:p>
    <w:p w:rsidR="008E54DA" w:rsidRPr="008E780F" w:rsidP="008E54DA" w14:paraId="25C06AE0" w14:textId="77777777">
      <w:pPr>
        <w:spacing w:line="480" w:lineRule="auto"/>
        <w:ind w:firstLine="720"/>
      </w:pPr>
      <w:r w:rsidRPr="008E780F">
        <w:t>The PUCO should adopt the Auditor’s recommendations to remove improperly included distribution plants and expenses items from Duke’s Distribution Rider so that consumers are not overcharged.</w:t>
      </w:r>
    </w:p>
    <w:p w:rsidR="00F40D11" w:rsidRPr="008E780F" w14:paraId="1CD9C720" w14:textId="431C89EE">
      <w:pPr>
        <w:pStyle w:val="Heading2"/>
        <w:rPr>
          <w:rFonts w:ascii="Times New Roman" w:hAnsi="Times New Roman" w:cs="Times New Roman"/>
          <w:szCs w:val="24"/>
        </w:rPr>
      </w:pPr>
      <w:bookmarkStart w:id="5" w:name="_Toc93676164"/>
      <w:r w:rsidRPr="008E780F">
        <w:rPr>
          <w:rFonts w:ascii="Times New Roman" w:hAnsi="Times New Roman" w:cs="Times New Roman"/>
          <w:szCs w:val="24"/>
        </w:rPr>
        <w:t xml:space="preserve">To protect consumers, the PUCO should order Duke to demonstrate </w:t>
      </w:r>
      <w:r w:rsidRPr="008E780F" w:rsidR="0050617E">
        <w:rPr>
          <w:rFonts w:ascii="Times New Roman" w:hAnsi="Times New Roman" w:cs="Times New Roman"/>
          <w:szCs w:val="24"/>
        </w:rPr>
        <w:t xml:space="preserve">and the Auditor to verify </w:t>
      </w:r>
      <w:r w:rsidRPr="008E780F">
        <w:rPr>
          <w:rFonts w:ascii="Times New Roman" w:hAnsi="Times New Roman" w:cs="Times New Roman"/>
          <w:szCs w:val="24"/>
        </w:rPr>
        <w:t xml:space="preserve">that </w:t>
      </w:r>
      <w:r w:rsidRPr="008E780F" w:rsidR="0050617E">
        <w:rPr>
          <w:rFonts w:ascii="Times New Roman" w:hAnsi="Times New Roman" w:cs="Times New Roman"/>
          <w:szCs w:val="24"/>
        </w:rPr>
        <w:t xml:space="preserve">Duke </w:t>
      </w:r>
      <w:r w:rsidRPr="008E780F" w:rsidR="00492D60">
        <w:rPr>
          <w:rFonts w:ascii="Times New Roman" w:hAnsi="Times New Roman" w:cs="Times New Roman"/>
          <w:szCs w:val="24"/>
        </w:rPr>
        <w:t>has not charged c</w:t>
      </w:r>
      <w:r w:rsidRPr="008E780F">
        <w:rPr>
          <w:rFonts w:ascii="Times New Roman" w:hAnsi="Times New Roman" w:cs="Times New Roman"/>
          <w:szCs w:val="24"/>
        </w:rPr>
        <w:t>onsumers</w:t>
      </w:r>
      <w:r w:rsidRPr="008E780F" w:rsidR="00492D60">
        <w:rPr>
          <w:rFonts w:ascii="Times New Roman" w:hAnsi="Times New Roman" w:cs="Times New Roman"/>
          <w:szCs w:val="24"/>
        </w:rPr>
        <w:t xml:space="preserve"> more than </w:t>
      </w:r>
      <w:r w:rsidRPr="008E780F" w:rsidR="005701E6">
        <w:rPr>
          <w:rFonts w:ascii="Times New Roman" w:hAnsi="Times New Roman" w:cs="Times New Roman"/>
          <w:szCs w:val="24"/>
        </w:rPr>
        <w:t>is permitted</w:t>
      </w:r>
      <w:r w:rsidRPr="008E780F" w:rsidR="00492D60">
        <w:rPr>
          <w:rFonts w:ascii="Times New Roman" w:hAnsi="Times New Roman" w:cs="Times New Roman"/>
          <w:szCs w:val="24"/>
        </w:rPr>
        <w:t xml:space="preserve"> under caps placed on the DCI </w:t>
      </w:r>
      <w:r w:rsidRPr="008E780F" w:rsidR="005701E6">
        <w:rPr>
          <w:rFonts w:ascii="Times New Roman" w:hAnsi="Times New Roman" w:cs="Times New Roman"/>
          <w:szCs w:val="24"/>
        </w:rPr>
        <w:t>charge</w:t>
      </w:r>
      <w:r w:rsidRPr="008E780F">
        <w:rPr>
          <w:rFonts w:ascii="Times New Roman" w:hAnsi="Times New Roman" w:cs="Times New Roman"/>
          <w:szCs w:val="24"/>
        </w:rPr>
        <w:t>.</w:t>
      </w:r>
      <w:bookmarkEnd w:id="5"/>
      <w:r w:rsidRPr="008E780F" w:rsidR="00492D60">
        <w:rPr>
          <w:rFonts w:ascii="Times New Roman" w:hAnsi="Times New Roman" w:cs="Times New Roman"/>
          <w:szCs w:val="24"/>
        </w:rPr>
        <w:t xml:space="preserve"> </w:t>
      </w:r>
    </w:p>
    <w:p w:rsidR="00F71050" w:rsidRPr="008E780F" w:rsidP="00F71050" w14:paraId="5EC5D44D" w14:textId="02185D0C">
      <w:pPr>
        <w:spacing w:line="480" w:lineRule="auto"/>
        <w:ind w:firstLine="720"/>
      </w:pPr>
      <w:r w:rsidRPr="008E780F">
        <w:t xml:space="preserve">One </w:t>
      </w:r>
      <w:r w:rsidRPr="008E780F" w:rsidR="003E2A54">
        <w:t xml:space="preserve">way to protect customers from paying too much for </w:t>
      </w:r>
      <w:r w:rsidRPr="008E780F" w:rsidR="00A1397B">
        <w:t>distribution infrastructure investments and related property and commercial activities taxes through the</w:t>
      </w:r>
      <w:r w:rsidRPr="008E780F" w:rsidR="000E3F83">
        <w:t xml:space="preserve"> </w:t>
      </w:r>
      <w:r w:rsidRPr="008E780F" w:rsidR="003E2A54">
        <w:t xml:space="preserve">DCI </w:t>
      </w:r>
      <w:r w:rsidRPr="008E780F" w:rsidR="00A1397B">
        <w:t xml:space="preserve">charge </w:t>
      </w:r>
      <w:r w:rsidRPr="008E780F" w:rsidR="003E2A54">
        <w:t>is by capping the amount customers pay annually.</w:t>
      </w:r>
      <w:r w:rsidRPr="008E780F" w:rsidR="000E3F83">
        <w:t xml:space="preserve"> </w:t>
      </w:r>
      <w:r w:rsidRPr="008E780F">
        <w:t xml:space="preserve">In its Opinion and Order approving </w:t>
      </w:r>
      <w:r w:rsidRPr="008E780F" w:rsidR="00B86FA5">
        <w:t xml:space="preserve">Duke’s </w:t>
      </w:r>
      <w:r w:rsidRPr="008E780F">
        <w:t xml:space="preserve">current </w:t>
      </w:r>
      <w:r w:rsidRPr="008E780F" w:rsidR="00B86FA5">
        <w:t>electric security plan (“</w:t>
      </w:r>
      <w:r w:rsidRPr="008E780F">
        <w:t>ESP</w:t>
      </w:r>
      <w:r w:rsidRPr="008E780F" w:rsidR="00B86FA5">
        <w:t>”)</w:t>
      </w:r>
      <w:r w:rsidRPr="008E780F">
        <w:t>, the PUCO established annual revenue caps</w:t>
      </w:r>
      <w:r w:rsidRPr="008E780F" w:rsidR="00685C05">
        <w:t xml:space="preserve"> </w:t>
      </w:r>
      <w:r w:rsidRPr="008E780F" w:rsidR="00B86FA5">
        <w:t xml:space="preserve">on the DCI charge </w:t>
      </w:r>
      <w:r w:rsidRPr="008E780F" w:rsidR="00685C05">
        <w:t xml:space="preserve">for the period </w:t>
      </w:r>
      <w:r w:rsidRPr="008E780F" w:rsidR="006703E5">
        <w:t xml:space="preserve">beginning 2018 through </w:t>
      </w:r>
      <w:r w:rsidRPr="008E780F" w:rsidR="00685C05">
        <w:t>May 2025</w:t>
      </w:r>
      <w:r w:rsidRPr="008E780F" w:rsidR="002450ED">
        <w:t>.</w:t>
      </w:r>
      <w:r>
        <w:rPr>
          <w:rStyle w:val="FootnoteReference"/>
        </w:rPr>
        <w:footnoteReference w:id="29"/>
      </w:r>
      <w:r w:rsidR="008E780F">
        <w:t xml:space="preserve"> </w:t>
      </w:r>
    </w:p>
    <w:p w:rsidR="006E5C25" w:rsidRPr="008E780F" w:rsidP="00172E9A" w14:paraId="6811116A" w14:textId="1C94D561">
      <w:pPr>
        <w:spacing w:line="480" w:lineRule="auto"/>
        <w:ind w:firstLine="720"/>
      </w:pPr>
      <w:r w:rsidRPr="008E780F">
        <w:t xml:space="preserve">Duke continued its practice of </w:t>
      </w:r>
      <w:r w:rsidRPr="008E780F" w:rsidR="00762A45">
        <w:t>making</w:t>
      </w:r>
      <w:r w:rsidRPr="008E780F">
        <w:t xml:space="preserve"> </w:t>
      </w:r>
      <w:r w:rsidRPr="008E780F" w:rsidR="00227CA5">
        <w:t xml:space="preserve">corrections </w:t>
      </w:r>
      <w:r w:rsidRPr="008E780F" w:rsidR="00D418FE">
        <w:t xml:space="preserve">to </w:t>
      </w:r>
      <w:r w:rsidRPr="008E780F">
        <w:t>its</w:t>
      </w:r>
      <w:r w:rsidRPr="008E780F" w:rsidR="009D3255">
        <w:t xml:space="preserve"> </w:t>
      </w:r>
      <w:r w:rsidRPr="008E780F" w:rsidR="00193FF0">
        <w:t xml:space="preserve">quarterly </w:t>
      </w:r>
      <w:r w:rsidRPr="008E780F" w:rsidR="00227CA5">
        <w:t>DCI</w:t>
      </w:r>
      <w:r w:rsidRPr="008E780F" w:rsidR="003957C4">
        <w:t xml:space="preserve"> charge </w:t>
      </w:r>
      <w:r w:rsidRPr="008E780F" w:rsidR="00227CA5">
        <w:t>filings</w:t>
      </w:r>
      <w:r w:rsidRPr="008E780F" w:rsidR="009D3255">
        <w:t xml:space="preserve"> </w:t>
      </w:r>
      <w:r w:rsidRPr="008E780F" w:rsidR="00227CA5">
        <w:t>during the Audit Period</w:t>
      </w:r>
      <w:r w:rsidRPr="008E780F">
        <w:t xml:space="preserve"> filing</w:t>
      </w:r>
      <w:r w:rsidRPr="008E780F" w:rsidR="00577EE9">
        <w:t xml:space="preserve"> through</w:t>
      </w:r>
      <w:r w:rsidRPr="008E780F">
        <w:t xml:space="preserve"> an amended 2</w:t>
      </w:r>
      <w:r w:rsidRPr="008E780F">
        <w:rPr>
          <w:vertAlign w:val="superscript"/>
        </w:rPr>
        <w:t>nd</w:t>
      </w:r>
      <w:r w:rsidRPr="008E780F">
        <w:t xml:space="preserve"> Quarter Report </w:t>
      </w:r>
      <w:r w:rsidRPr="008E780F" w:rsidR="00927808">
        <w:t>in</w:t>
      </w:r>
      <w:r w:rsidRPr="008E780F">
        <w:t xml:space="preserve"> 2021</w:t>
      </w:r>
      <w:r w:rsidRPr="008E780F" w:rsidR="00674C48">
        <w:t>.</w:t>
      </w:r>
      <w:r>
        <w:rPr>
          <w:rStyle w:val="FootnoteReference"/>
        </w:rPr>
        <w:footnoteReference w:id="30"/>
      </w:r>
      <w:r w:rsidRPr="008E780F" w:rsidR="000E3F83">
        <w:t xml:space="preserve"> </w:t>
      </w:r>
      <w:r w:rsidRPr="008E780F" w:rsidR="004E4954">
        <w:t xml:space="preserve">Accordingly, </w:t>
      </w:r>
      <w:r w:rsidRPr="008E780F" w:rsidR="00FE1130">
        <w:t>a problem that OCC raised last year remains</w:t>
      </w:r>
      <w:r w:rsidRPr="008E780F" w:rsidR="00762A45">
        <w:t xml:space="preserve"> with this audit</w:t>
      </w:r>
      <w:r w:rsidRPr="008E780F" w:rsidR="004E4954">
        <w:t>.</w:t>
      </w:r>
      <w:r w:rsidR="0054101D">
        <w:t xml:space="preserve"> </w:t>
      </w:r>
      <w:r w:rsidRPr="008E780F" w:rsidR="004E4954">
        <w:t>T</w:t>
      </w:r>
      <w:r w:rsidRPr="008E780F" w:rsidR="009163F4">
        <w:t xml:space="preserve">here is </w:t>
      </w:r>
      <w:r w:rsidRPr="008E780F" w:rsidR="00FE1130">
        <w:t>insufficient</w:t>
      </w:r>
      <w:r w:rsidRPr="008E780F" w:rsidR="00A65A68">
        <w:t xml:space="preserve"> </w:t>
      </w:r>
      <w:r w:rsidRPr="008E780F" w:rsidR="009163F4">
        <w:t xml:space="preserve">information </w:t>
      </w:r>
      <w:r w:rsidRPr="008E780F" w:rsidR="004E4954">
        <w:t xml:space="preserve">from Duke’s </w:t>
      </w:r>
      <w:r w:rsidRPr="008E780F" w:rsidR="009163F4">
        <w:t xml:space="preserve">quarterly filings or the Audit Report </w:t>
      </w:r>
      <w:r w:rsidRPr="008E780F" w:rsidR="004E4954">
        <w:t xml:space="preserve">to </w:t>
      </w:r>
      <w:r w:rsidRPr="008E780F" w:rsidR="00BD6A74">
        <w:t xml:space="preserve">demonstrate </w:t>
      </w:r>
      <w:r w:rsidRPr="008E780F" w:rsidR="00836754">
        <w:t xml:space="preserve">whether </w:t>
      </w:r>
      <w:r w:rsidRPr="008E780F" w:rsidR="009163F4">
        <w:t xml:space="preserve">the actual </w:t>
      </w:r>
      <w:r w:rsidRPr="008E780F" w:rsidR="003635BE">
        <w:t xml:space="preserve">amount of </w:t>
      </w:r>
      <w:r w:rsidRPr="008E780F" w:rsidR="00C745D8">
        <w:t xml:space="preserve">the </w:t>
      </w:r>
      <w:r w:rsidRPr="008E780F" w:rsidR="00BD6A74">
        <w:t xml:space="preserve">DCI </w:t>
      </w:r>
      <w:r w:rsidRPr="008E780F" w:rsidR="00C745D8">
        <w:t xml:space="preserve">charge </w:t>
      </w:r>
      <w:r w:rsidRPr="008E780F" w:rsidR="003635BE">
        <w:t>c</w:t>
      </w:r>
      <w:r w:rsidRPr="008E780F" w:rsidR="009163F4">
        <w:t>ollect</w:t>
      </w:r>
      <w:r w:rsidRPr="008E780F" w:rsidR="00FE7389">
        <w:t>ed</w:t>
      </w:r>
      <w:r w:rsidRPr="008E780F" w:rsidR="009163F4">
        <w:t xml:space="preserve"> during the </w:t>
      </w:r>
      <w:r w:rsidRPr="008E780F" w:rsidR="00C745D8">
        <w:t>a</w:t>
      </w:r>
      <w:r w:rsidRPr="008E780F" w:rsidR="009163F4">
        <w:t xml:space="preserve">udit </w:t>
      </w:r>
      <w:r w:rsidRPr="008E780F" w:rsidR="00C745D8">
        <w:t>p</w:t>
      </w:r>
      <w:r w:rsidRPr="008E780F" w:rsidR="009163F4">
        <w:t>eriod</w:t>
      </w:r>
      <w:r w:rsidRPr="008E780F" w:rsidR="00BD6A74">
        <w:t xml:space="preserve"> was within the annual revenue cap</w:t>
      </w:r>
      <w:r w:rsidRPr="008E780F" w:rsidR="009163F4">
        <w:t xml:space="preserve">. There is also no </w:t>
      </w:r>
      <w:r w:rsidRPr="008E780F" w:rsidR="0050617E">
        <w:t xml:space="preserve">publicly filed </w:t>
      </w:r>
      <w:r w:rsidRPr="008E780F" w:rsidR="009163F4">
        <w:t>information on how to reconcile the difference</w:t>
      </w:r>
      <w:r w:rsidRPr="008E780F" w:rsidR="00A65A68">
        <w:t>, if any,</w:t>
      </w:r>
      <w:r w:rsidRPr="008E780F" w:rsidR="009163F4">
        <w:t xml:space="preserve"> between </w:t>
      </w:r>
      <w:r w:rsidRPr="008E780F" w:rsidR="007D2E04">
        <w:t xml:space="preserve">the total </w:t>
      </w:r>
      <w:r w:rsidRPr="008E780F" w:rsidR="009163F4">
        <w:t xml:space="preserve">DCI </w:t>
      </w:r>
      <w:r w:rsidRPr="008E780F" w:rsidR="00C745D8">
        <w:t xml:space="preserve">charge </w:t>
      </w:r>
      <w:r w:rsidRPr="008E780F" w:rsidR="009163F4">
        <w:t>collection</w:t>
      </w:r>
      <w:r w:rsidRPr="008E780F" w:rsidR="007D2E04">
        <w:t xml:space="preserve"> from consumers</w:t>
      </w:r>
      <w:r w:rsidRPr="008E780F" w:rsidR="009163F4">
        <w:t xml:space="preserve"> and annual revenue caps</w:t>
      </w:r>
      <w:r w:rsidRPr="008E780F" w:rsidR="00BD6A74">
        <w:t>.</w:t>
      </w:r>
      <w:r w:rsidR="008E780F">
        <w:t xml:space="preserve"> </w:t>
      </w:r>
    </w:p>
    <w:p w:rsidR="0012335B" w:rsidRPr="008E780F" w:rsidP="003F0DF4" w14:paraId="33BD05E1" w14:textId="112A8934">
      <w:pPr>
        <w:spacing w:line="480" w:lineRule="auto"/>
        <w:ind w:firstLine="720"/>
      </w:pPr>
      <w:r w:rsidRPr="008E780F">
        <w:t xml:space="preserve">Additionally, </w:t>
      </w:r>
      <w:r w:rsidRPr="008E780F" w:rsidR="00EF009A">
        <w:t>and which</w:t>
      </w:r>
      <w:r w:rsidRPr="008E780F" w:rsidR="00096DAA">
        <w:t xml:space="preserve"> OCC </w:t>
      </w:r>
      <w:r w:rsidRPr="008E780F" w:rsidR="001E1E96">
        <w:t xml:space="preserve">previously </w:t>
      </w:r>
      <w:r w:rsidRPr="008E780F" w:rsidR="00096DAA">
        <w:t>raised in comments for the previous audit period, Duke’s 3</w:t>
      </w:r>
      <w:r w:rsidRPr="008E780F" w:rsidR="00096DAA">
        <w:rPr>
          <w:vertAlign w:val="superscript"/>
        </w:rPr>
        <w:t>rd</w:t>
      </w:r>
      <w:r w:rsidRPr="008E780F" w:rsidR="00096DAA">
        <w:t xml:space="preserve"> Quarter DCI Report </w:t>
      </w:r>
      <w:r w:rsidRPr="008E780F" w:rsidR="000C1C82">
        <w:t xml:space="preserve">indicated </w:t>
      </w:r>
      <w:r w:rsidRPr="008E780F" w:rsidR="00864DBD">
        <w:t>that</w:t>
      </w:r>
      <w:r w:rsidRPr="008E780F" w:rsidR="000C1C82">
        <w:t xml:space="preserve"> </w:t>
      </w:r>
      <w:r w:rsidRPr="008E780F">
        <w:t>the “</w:t>
      </w:r>
      <w:r w:rsidRPr="008E780F" w:rsidR="00864DBD">
        <w:t>202</w:t>
      </w:r>
      <w:r w:rsidRPr="008E780F" w:rsidR="0031416E">
        <w:t>0</w:t>
      </w:r>
      <w:r w:rsidRPr="008E780F" w:rsidR="00864DBD">
        <w:t xml:space="preserve"> </w:t>
      </w:r>
      <w:r w:rsidRPr="008E780F">
        <w:t xml:space="preserve">Cap Adjustments” included in the filing were </w:t>
      </w:r>
      <w:r w:rsidRPr="008E780F" w:rsidR="00A65A68">
        <w:t xml:space="preserve">solely </w:t>
      </w:r>
      <w:r w:rsidRPr="008E780F">
        <w:t>“based on discussions with PUCO staff in recognition of the revenue caps established in Case No. 17-1263-EL-SSO.”</w:t>
      </w:r>
      <w:r>
        <w:rPr>
          <w:rStyle w:val="FootnoteReference"/>
        </w:rPr>
        <w:footnoteReference w:id="31"/>
      </w:r>
      <w:r w:rsidRPr="008E780F" w:rsidR="000E3F83">
        <w:t xml:space="preserve"> </w:t>
      </w:r>
      <w:r w:rsidRPr="008E780F" w:rsidR="006E5C25">
        <w:t xml:space="preserve">There is no description </w:t>
      </w:r>
      <w:r w:rsidRPr="008E780F" w:rsidR="00A65A68">
        <w:t xml:space="preserve">or </w:t>
      </w:r>
      <w:r w:rsidRPr="008E780F" w:rsidR="006E5C25">
        <w:t>documentation regarding the discussion</w:t>
      </w:r>
      <w:r w:rsidRPr="008E780F" w:rsidR="00FE7389">
        <w:t>s</w:t>
      </w:r>
      <w:r w:rsidRPr="008E780F" w:rsidR="006E5C25">
        <w:t xml:space="preserve"> with the PUCO Staff </w:t>
      </w:r>
      <w:r w:rsidRPr="008E780F" w:rsidR="00A65A68">
        <w:t xml:space="preserve">or </w:t>
      </w:r>
      <w:r w:rsidRPr="008E780F" w:rsidR="00FE7389">
        <w:t xml:space="preserve">whether </w:t>
      </w:r>
      <w:r w:rsidRPr="008E780F" w:rsidR="006E5C25">
        <w:t>any such cap adjustments proposed by Duke are reasonable or justified</w:t>
      </w:r>
      <w:r w:rsidRPr="008E780F" w:rsidR="000C1C82">
        <w:t xml:space="preserve"> either in the DCI quarterly filings or the Audit Report.</w:t>
      </w:r>
      <w:r w:rsidRPr="008E780F" w:rsidR="000E3F83">
        <w:t xml:space="preserve"> </w:t>
      </w:r>
    </w:p>
    <w:p w:rsidR="003F0DF4" w:rsidRPr="008E780F" w:rsidP="003F0DF4" w14:paraId="6C3646F7" w14:textId="2FB9747A">
      <w:pPr>
        <w:spacing w:line="480" w:lineRule="auto"/>
        <w:ind w:firstLine="720"/>
      </w:pPr>
      <w:r w:rsidRPr="008E780F">
        <w:t xml:space="preserve">To protect consumers from being overcharged </w:t>
      </w:r>
      <w:r w:rsidRPr="008E780F" w:rsidR="0011088F">
        <w:t xml:space="preserve">through </w:t>
      </w:r>
      <w:r w:rsidRPr="008E780F">
        <w:t xml:space="preserve">the DCI </w:t>
      </w:r>
      <w:r w:rsidRPr="008E780F" w:rsidR="0011088F">
        <w:t>charge</w:t>
      </w:r>
      <w:r w:rsidRPr="008E780F">
        <w:t xml:space="preserve">, and to improve regulatory efficiency and transparency, </w:t>
      </w:r>
      <w:r w:rsidRPr="008E780F" w:rsidR="000C1C82">
        <w:t xml:space="preserve">OCC </w:t>
      </w:r>
      <w:r w:rsidRPr="008E780F" w:rsidR="007350B1">
        <w:t xml:space="preserve">requests </w:t>
      </w:r>
      <w:r w:rsidRPr="008E780F">
        <w:t xml:space="preserve">that </w:t>
      </w:r>
      <w:r w:rsidRPr="008E780F" w:rsidR="000C1C82">
        <w:t xml:space="preserve">the </w:t>
      </w:r>
      <w:r w:rsidRPr="008E780F" w:rsidR="0068345D">
        <w:t xml:space="preserve">PUCO adopt the </w:t>
      </w:r>
      <w:r w:rsidRPr="008E780F" w:rsidR="000C1C82">
        <w:t>following</w:t>
      </w:r>
      <w:r w:rsidRPr="008E780F">
        <w:t xml:space="preserve"> recommendations</w:t>
      </w:r>
      <w:r w:rsidRPr="008E780F" w:rsidR="00EF74B2">
        <w:t>:</w:t>
      </w:r>
      <w:r w:rsidRPr="008E780F">
        <w:t xml:space="preserve"> </w:t>
      </w:r>
    </w:p>
    <w:p w:rsidR="005A1641" w:rsidRPr="008E780F" w:rsidP="00C0025C" w14:paraId="46D17ACA" w14:textId="017AFDEB">
      <w:pPr>
        <w:pStyle w:val="ListParagraph"/>
        <w:numPr>
          <w:ilvl w:val="0"/>
          <w:numId w:val="30"/>
        </w:numPr>
        <w:spacing w:line="240" w:lineRule="auto"/>
        <w:ind w:left="1440" w:hanging="720"/>
        <w:rPr>
          <w:rFonts w:ascii="Times New Roman" w:hAnsi="Times New Roman" w:cs="Times New Roman"/>
          <w:sz w:val="24"/>
          <w:szCs w:val="24"/>
        </w:rPr>
      </w:pPr>
      <w:r w:rsidRPr="008E780F">
        <w:rPr>
          <w:rFonts w:ascii="Times New Roman" w:hAnsi="Times New Roman" w:cs="Times New Roman"/>
          <w:sz w:val="24"/>
          <w:szCs w:val="24"/>
        </w:rPr>
        <w:t>Duke should document its discussion</w:t>
      </w:r>
      <w:r w:rsidRPr="008E780F" w:rsidR="00DC0487">
        <w:rPr>
          <w:rFonts w:ascii="Times New Roman" w:hAnsi="Times New Roman" w:cs="Times New Roman"/>
          <w:sz w:val="24"/>
          <w:szCs w:val="24"/>
        </w:rPr>
        <w:t>s</w:t>
      </w:r>
      <w:r w:rsidRPr="008E780F">
        <w:rPr>
          <w:rFonts w:ascii="Times New Roman" w:hAnsi="Times New Roman" w:cs="Times New Roman"/>
          <w:sz w:val="24"/>
          <w:szCs w:val="24"/>
        </w:rPr>
        <w:t xml:space="preserve"> with </w:t>
      </w:r>
      <w:r w:rsidRPr="008E780F" w:rsidR="007350B1">
        <w:rPr>
          <w:rFonts w:ascii="Times New Roman" w:hAnsi="Times New Roman" w:cs="Times New Roman"/>
          <w:sz w:val="24"/>
          <w:szCs w:val="24"/>
        </w:rPr>
        <w:t xml:space="preserve">the PUCO </w:t>
      </w:r>
      <w:r w:rsidRPr="008E780F">
        <w:rPr>
          <w:rFonts w:ascii="Times New Roman" w:hAnsi="Times New Roman" w:cs="Times New Roman"/>
          <w:sz w:val="24"/>
          <w:szCs w:val="24"/>
        </w:rPr>
        <w:t xml:space="preserve">Staff regarding any </w:t>
      </w:r>
      <w:r w:rsidRPr="008E780F" w:rsidR="007350B1">
        <w:rPr>
          <w:rFonts w:ascii="Times New Roman" w:hAnsi="Times New Roman" w:cs="Times New Roman"/>
          <w:sz w:val="24"/>
          <w:szCs w:val="24"/>
        </w:rPr>
        <w:t>c</w:t>
      </w:r>
      <w:r w:rsidRPr="008E780F" w:rsidR="003635BE">
        <w:rPr>
          <w:rFonts w:ascii="Times New Roman" w:hAnsi="Times New Roman" w:cs="Times New Roman"/>
          <w:sz w:val="24"/>
          <w:szCs w:val="24"/>
        </w:rPr>
        <w:t xml:space="preserve">ap </w:t>
      </w:r>
      <w:r w:rsidRPr="008E780F" w:rsidR="007350B1">
        <w:rPr>
          <w:rFonts w:ascii="Times New Roman" w:hAnsi="Times New Roman" w:cs="Times New Roman"/>
          <w:sz w:val="24"/>
          <w:szCs w:val="24"/>
        </w:rPr>
        <w:t>a</w:t>
      </w:r>
      <w:r w:rsidRPr="008E780F" w:rsidR="003635BE">
        <w:rPr>
          <w:rFonts w:ascii="Times New Roman" w:hAnsi="Times New Roman" w:cs="Times New Roman"/>
          <w:sz w:val="24"/>
          <w:szCs w:val="24"/>
        </w:rPr>
        <w:t xml:space="preserve">djustments </w:t>
      </w:r>
      <w:r w:rsidRPr="008E780F">
        <w:rPr>
          <w:rFonts w:ascii="Times New Roman" w:hAnsi="Times New Roman" w:cs="Times New Roman"/>
          <w:sz w:val="24"/>
          <w:szCs w:val="24"/>
        </w:rPr>
        <w:t>in its DCI quarterly</w:t>
      </w:r>
      <w:r w:rsidRPr="008E780F" w:rsidR="00DC0487">
        <w:rPr>
          <w:rFonts w:ascii="Times New Roman" w:hAnsi="Times New Roman" w:cs="Times New Roman"/>
          <w:sz w:val="24"/>
          <w:szCs w:val="24"/>
        </w:rPr>
        <w:t xml:space="preserve"> </w:t>
      </w:r>
      <w:r w:rsidRPr="008E780F" w:rsidR="00E26AE7">
        <w:rPr>
          <w:rFonts w:ascii="Times New Roman" w:hAnsi="Times New Roman" w:cs="Times New Roman"/>
          <w:sz w:val="24"/>
          <w:szCs w:val="24"/>
        </w:rPr>
        <w:t>filings;</w:t>
      </w:r>
    </w:p>
    <w:p w:rsidR="00C0025C" w:rsidRPr="008E780F" w:rsidP="00C0025C" w14:paraId="6EF91F20" w14:textId="0735C017">
      <w:pPr>
        <w:pStyle w:val="ListParagraph"/>
        <w:spacing w:line="240" w:lineRule="auto"/>
        <w:ind w:left="1440"/>
        <w:rPr>
          <w:rFonts w:ascii="Times New Roman" w:hAnsi="Times New Roman" w:cs="Times New Roman"/>
          <w:sz w:val="24"/>
          <w:szCs w:val="24"/>
        </w:rPr>
      </w:pPr>
    </w:p>
    <w:p w:rsidR="0068345D" w:rsidRPr="008E780F" w:rsidP="00C0025C" w14:paraId="1711D50D" w14:textId="63D72383">
      <w:pPr>
        <w:pStyle w:val="ListParagraph"/>
        <w:numPr>
          <w:ilvl w:val="0"/>
          <w:numId w:val="30"/>
        </w:numPr>
        <w:spacing w:line="240" w:lineRule="auto"/>
        <w:ind w:left="1440" w:hanging="720"/>
        <w:rPr>
          <w:rFonts w:ascii="Times New Roman" w:hAnsi="Times New Roman" w:cs="Times New Roman"/>
          <w:sz w:val="24"/>
          <w:szCs w:val="24"/>
        </w:rPr>
      </w:pPr>
      <w:r w:rsidRPr="008E780F">
        <w:rPr>
          <w:rFonts w:ascii="Times New Roman" w:hAnsi="Times New Roman" w:cs="Times New Roman"/>
          <w:sz w:val="24"/>
          <w:szCs w:val="24"/>
        </w:rPr>
        <w:t xml:space="preserve">In the next compliance audit, there should be a full audit of the actual DCI </w:t>
      </w:r>
      <w:r w:rsidRPr="008E780F" w:rsidR="00502C1B">
        <w:rPr>
          <w:rFonts w:ascii="Times New Roman" w:hAnsi="Times New Roman" w:cs="Times New Roman"/>
          <w:sz w:val="24"/>
          <w:szCs w:val="24"/>
        </w:rPr>
        <w:t xml:space="preserve">charge </w:t>
      </w:r>
      <w:r w:rsidRPr="008E780F">
        <w:rPr>
          <w:rFonts w:ascii="Times New Roman" w:hAnsi="Times New Roman" w:cs="Times New Roman"/>
          <w:sz w:val="24"/>
          <w:szCs w:val="24"/>
        </w:rPr>
        <w:t xml:space="preserve">collection </w:t>
      </w:r>
      <w:r w:rsidRPr="008E780F" w:rsidR="00502C1B">
        <w:rPr>
          <w:rFonts w:ascii="Times New Roman" w:hAnsi="Times New Roman" w:cs="Times New Roman"/>
          <w:sz w:val="24"/>
          <w:szCs w:val="24"/>
        </w:rPr>
        <w:t>from consumers</w:t>
      </w:r>
      <w:r w:rsidRPr="008E780F" w:rsidR="000E3F83">
        <w:rPr>
          <w:rFonts w:ascii="Times New Roman" w:hAnsi="Times New Roman" w:cs="Times New Roman"/>
          <w:sz w:val="24"/>
          <w:szCs w:val="24"/>
        </w:rPr>
        <w:t xml:space="preserve"> </w:t>
      </w:r>
      <w:r w:rsidRPr="008E780F">
        <w:rPr>
          <w:rFonts w:ascii="Times New Roman" w:hAnsi="Times New Roman" w:cs="Times New Roman"/>
          <w:sz w:val="24"/>
          <w:szCs w:val="24"/>
        </w:rPr>
        <w:t xml:space="preserve">to date and any over or under collection </w:t>
      </w:r>
      <w:r w:rsidRPr="008E780F" w:rsidR="001317E2">
        <w:rPr>
          <w:rFonts w:ascii="Times New Roman" w:hAnsi="Times New Roman" w:cs="Times New Roman"/>
          <w:sz w:val="24"/>
          <w:szCs w:val="24"/>
        </w:rPr>
        <w:t xml:space="preserve">should </w:t>
      </w:r>
      <w:r w:rsidRPr="008E780F">
        <w:rPr>
          <w:rFonts w:ascii="Times New Roman" w:hAnsi="Times New Roman" w:cs="Times New Roman"/>
          <w:sz w:val="24"/>
          <w:szCs w:val="24"/>
        </w:rPr>
        <w:t>be accounted for in future</w:t>
      </w:r>
      <w:r w:rsidRPr="008E780F" w:rsidR="000E3F83">
        <w:rPr>
          <w:rFonts w:ascii="Times New Roman" w:hAnsi="Times New Roman" w:cs="Times New Roman"/>
          <w:sz w:val="24"/>
          <w:szCs w:val="24"/>
        </w:rPr>
        <w:t xml:space="preserve"> </w:t>
      </w:r>
      <w:r w:rsidRPr="008E780F">
        <w:rPr>
          <w:rFonts w:ascii="Times New Roman" w:hAnsi="Times New Roman" w:cs="Times New Roman"/>
          <w:sz w:val="24"/>
          <w:szCs w:val="24"/>
        </w:rPr>
        <w:t xml:space="preserve">DCI </w:t>
      </w:r>
      <w:r w:rsidRPr="008E780F" w:rsidR="001317E2">
        <w:rPr>
          <w:rFonts w:ascii="Times New Roman" w:hAnsi="Times New Roman" w:cs="Times New Roman"/>
          <w:sz w:val="24"/>
          <w:szCs w:val="24"/>
        </w:rPr>
        <w:t xml:space="preserve">charge </w:t>
      </w:r>
      <w:r w:rsidRPr="008E780F">
        <w:rPr>
          <w:rFonts w:ascii="Times New Roman" w:hAnsi="Times New Roman" w:cs="Times New Roman"/>
          <w:sz w:val="24"/>
          <w:szCs w:val="24"/>
        </w:rPr>
        <w:t>revenue requirements</w:t>
      </w:r>
      <w:r w:rsidRPr="008E780F" w:rsidR="00334464">
        <w:rPr>
          <w:rFonts w:ascii="Times New Roman" w:hAnsi="Times New Roman" w:cs="Times New Roman"/>
          <w:sz w:val="24"/>
          <w:szCs w:val="24"/>
        </w:rPr>
        <w:t>.</w:t>
      </w:r>
      <w:r w:rsidRPr="008E780F" w:rsidR="000E3F83">
        <w:rPr>
          <w:rFonts w:ascii="Times New Roman" w:hAnsi="Times New Roman" w:cs="Times New Roman"/>
          <w:sz w:val="24"/>
          <w:szCs w:val="24"/>
        </w:rPr>
        <w:t xml:space="preserve"> </w:t>
      </w:r>
    </w:p>
    <w:p w:rsidR="00E84448" w:rsidRPr="008E780F" w14:paraId="6B02C5D7" w14:textId="10959CF8">
      <w:pPr>
        <w:pStyle w:val="Heading2"/>
        <w:rPr>
          <w:rFonts w:ascii="Times New Roman" w:hAnsi="Times New Roman" w:cs="Times New Roman"/>
          <w:szCs w:val="24"/>
        </w:rPr>
      </w:pPr>
      <w:bookmarkStart w:id="6" w:name="_Toc93676165"/>
      <w:r w:rsidRPr="008E780F">
        <w:rPr>
          <w:rFonts w:ascii="Times New Roman" w:hAnsi="Times New Roman" w:cs="Times New Roman"/>
          <w:szCs w:val="24"/>
        </w:rPr>
        <w:t>For consumer protection</w:t>
      </w:r>
      <w:r w:rsidRPr="008E780F" w:rsidR="00F720ED">
        <w:rPr>
          <w:rFonts w:ascii="Times New Roman" w:hAnsi="Times New Roman" w:cs="Times New Roman"/>
          <w:szCs w:val="24"/>
        </w:rPr>
        <w:t xml:space="preserve">, </w:t>
      </w:r>
      <w:r w:rsidRPr="008E780F" w:rsidR="003A02C3">
        <w:rPr>
          <w:rFonts w:ascii="Times New Roman" w:hAnsi="Times New Roman" w:cs="Times New Roman"/>
          <w:szCs w:val="24"/>
        </w:rPr>
        <w:t xml:space="preserve">and for consumers to receive the reliable service they pay for, </w:t>
      </w:r>
      <w:r w:rsidRPr="008E780F" w:rsidR="00F720ED">
        <w:rPr>
          <w:rFonts w:ascii="Times New Roman" w:hAnsi="Times New Roman" w:cs="Times New Roman"/>
          <w:szCs w:val="24"/>
        </w:rPr>
        <w:t>the PUCO should require a review of the DCI programs that are supposed to improve reliability as part of the annual DCI compliance audit and required under the Settlement</w:t>
      </w:r>
      <w:r w:rsidRPr="008E780F" w:rsidR="009163F4">
        <w:rPr>
          <w:rFonts w:ascii="Times New Roman" w:hAnsi="Times New Roman" w:cs="Times New Roman"/>
          <w:szCs w:val="24"/>
        </w:rPr>
        <w:t>.</w:t>
      </w:r>
      <w:bookmarkEnd w:id="6"/>
    </w:p>
    <w:p w:rsidR="00FF785A" w:rsidRPr="008E780F" w:rsidP="00EF5AB8" w14:paraId="5EF4ACF5" w14:textId="1329E7E1">
      <w:pPr>
        <w:spacing w:line="480" w:lineRule="auto"/>
        <w:ind w:firstLine="720"/>
      </w:pPr>
      <w:r w:rsidRPr="008E780F">
        <w:t>The Settlement in Case 17-</w:t>
      </w:r>
      <w:r w:rsidRPr="008E780F" w:rsidR="00A77674">
        <w:t>0</w:t>
      </w:r>
      <w:r w:rsidRPr="008E780F">
        <w:t>032-EL-AIR between Duke and several non-residential parties</w:t>
      </w:r>
      <w:r w:rsidRPr="008E780F" w:rsidR="003B700E">
        <w:t>, approved by the PUCO,</w:t>
      </w:r>
      <w:r>
        <w:rPr>
          <w:rStyle w:val="FootnoteReference"/>
        </w:rPr>
        <w:footnoteReference w:id="32"/>
      </w:r>
      <w:r w:rsidRPr="008E780F">
        <w:t xml:space="preserve"> requires Duke to file an Annual DCI Work Plan report detailing the specific programs that the Utility seeks to include in the DCI for ultimate collection from </w:t>
      </w:r>
      <w:r w:rsidRPr="008E780F" w:rsidR="00F429F2">
        <w:t>consumers</w:t>
      </w:r>
      <w:r w:rsidRPr="008E780F" w:rsidR="00E6743B">
        <w:t>.</w:t>
      </w:r>
      <w:r w:rsidRPr="008E780F" w:rsidR="00E840C2">
        <w:t xml:space="preserve"> </w:t>
      </w:r>
      <w:r w:rsidRPr="008E780F" w:rsidR="007612EB">
        <w:t>T</w:t>
      </w:r>
      <w:r w:rsidRPr="008E780F" w:rsidR="00E840C2">
        <w:t xml:space="preserve">he DCI Work Plan is </w:t>
      </w:r>
      <w:r w:rsidRPr="008E780F" w:rsidR="00851FC2">
        <w:t>intended</w:t>
      </w:r>
      <w:r w:rsidRPr="008E780F" w:rsidR="00E840C2">
        <w:t xml:space="preserve"> to specifically </w:t>
      </w:r>
      <w:r w:rsidRPr="008E780F">
        <w:t>i</w:t>
      </w:r>
      <w:r w:rsidRPr="008E780F" w:rsidR="00E840C2">
        <w:t xml:space="preserve">dentify those expenditures (programs) that will help reduce the number of customer minutes interrupted (“CMI”) following </w:t>
      </w:r>
      <w:r w:rsidRPr="008E780F" w:rsidR="00C11554">
        <w:t xml:space="preserve">consumer </w:t>
      </w:r>
      <w:r w:rsidRPr="008E780F" w:rsidR="00276AFB">
        <w:t>power outages.</w:t>
      </w:r>
      <w:r>
        <w:rPr>
          <w:rStyle w:val="FootnoteReference"/>
        </w:rPr>
        <w:footnoteReference w:id="33"/>
      </w:r>
    </w:p>
    <w:p w:rsidR="001C2544" w:rsidRPr="008E780F" w:rsidP="00EF5AB8" w14:paraId="6E7F61A6" w14:textId="4A805C1F">
      <w:pPr>
        <w:spacing w:line="480" w:lineRule="auto"/>
        <w:ind w:firstLine="720"/>
      </w:pPr>
      <w:r w:rsidRPr="008E780F">
        <w:t xml:space="preserve">The PUCO has two different reliability standards that are used to assess the reliability provided to </w:t>
      </w:r>
      <w:r w:rsidRPr="008E780F" w:rsidR="00C11554">
        <w:t>consumers</w:t>
      </w:r>
      <w:r w:rsidRPr="008E780F">
        <w:t xml:space="preserve">. These standards include a System Average Interruption Frequency Index (“SAIFI”) and a Customer Average Interruption Duration Index (“CAIDI”). SAIFI is a measure of the average number of outages customers experience in a year and CAIDI is a measure of the duration of such outages. </w:t>
      </w:r>
    </w:p>
    <w:p w:rsidR="00FF785A" w:rsidRPr="008E780F" w:rsidP="00EF5AB8" w14:paraId="6196533C" w14:textId="1E30D626">
      <w:pPr>
        <w:spacing w:line="480" w:lineRule="auto"/>
        <w:ind w:firstLine="720"/>
      </w:pPr>
      <w:r w:rsidRPr="008E780F">
        <w:t xml:space="preserve">The Settlement permitted Duke to relax its CAIDI standard from 122 minutes in 2017 to over 134 minutes </w:t>
      </w:r>
      <w:r w:rsidRPr="008E780F" w:rsidR="00C670C2">
        <w:t xml:space="preserve">during years </w:t>
      </w:r>
      <w:r w:rsidRPr="008E780F">
        <w:t>2018 – 2020</w:t>
      </w:r>
      <w:r w:rsidRPr="008E780F" w:rsidR="007A07F2">
        <w:t>,</w:t>
      </w:r>
      <w:r w:rsidRPr="008E780F">
        <w:t xml:space="preserve"> and </w:t>
      </w:r>
      <w:r w:rsidRPr="008E780F" w:rsidR="00390037">
        <w:t>up to 137 minutes by 2022.</w:t>
      </w:r>
      <w:r>
        <w:rPr>
          <w:rStyle w:val="FootnoteReference"/>
        </w:rPr>
        <w:footnoteReference w:id="34"/>
      </w:r>
      <w:r w:rsidRPr="008E780F" w:rsidR="001774A0">
        <w:t xml:space="preserve"> This means that unfortunately for consumers, i</w:t>
      </w:r>
      <w:r w:rsidRPr="008E780F" w:rsidR="00390037">
        <w:t xml:space="preserve">f Duke meets its new relaxed standards, the Utility can spend more </w:t>
      </w:r>
      <w:r w:rsidRPr="008E780F" w:rsidR="007A07F2">
        <w:t xml:space="preserve">consumer </w:t>
      </w:r>
      <w:r w:rsidRPr="008E780F" w:rsidR="00390037">
        <w:t xml:space="preserve">money through the DCI rider. </w:t>
      </w:r>
    </w:p>
    <w:p w:rsidR="00D21AC0" w:rsidRPr="008E780F" w:rsidP="00EF5AB8" w14:paraId="422D60A8" w14:textId="631BC0C3">
      <w:pPr>
        <w:spacing w:line="480" w:lineRule="auto"/>
        <w:ind w:firstLine="720"/>
      </w:pPr>
      <w:r w:rsidRPr="008E780F">
        <w:t xml:space="preserve">Duke filed its 2020 DCI Work Plan on December </w:t>
      </w:r>
      <w:r w:rsidRPr="008E780F" w:rsidR="007C1EEC">
        <w:t>2, 2019</w:t>
      </w:r>
      <w:r w:rsidRPr="008E780F" w:rsidR="00645AFC">
        <w:t xml:space="preserve"> and its 2021 DCI Work Plan on December </w:t>
      </w:r>
      <w:r w:rsidRPr="008E780F" w:rsidR="00112B66">
        <w:t>1, 2020</w:t>
      </w:r>
      <w:r w:rsidRPr="008E780F" w:rsidR="002C1B1B">
        <w:t>.</w:t>
      </w:r>
      <w:r>
        <w:rPr>
          <w:rStyle w:val="FootnoteReference"/>
        </w:rPr>
        <w:footnoteReference w:id="35"/>
      </w:r>
      <w:r w:rsidRPr="008E780F" w:rsidR="000E3F83">
        <w:t xml:space="preserve"> </w:t>
      </w:r>
      <w:r w:rsidRPr="008E780F" w:rsidR="00173CE8">
        <w:t xml:space="preserve">A review of the 2020 </w:t>
      </w:r>
      <w:r w:rsidRPr="008E780F" w:rsidR="00112B66">
        <w:t>and 2021</w:t>
      </w:r>
      <w:r w:rsidRPr="008E780F" w:rsidR="001774A0">
        <w:t xml:space="preserve"> </w:t>
      </w:r>
      <w:r w:rsidRPr="008E780F" w:rsidR="00173CE8">
        <w:t>Work Plan</w:t>
      </w:r>
      <w:r w:rsidRPr="008E780F" w:rsidR="00112B66">
        <w:t>s</w:t>
      </w:r>
      <w:r w:rsidRPr="008E780F" w:rsidR="00173CE8">
        <w:t xml:space="preserve"> </w:t>
      </w:r>
      <w:r w:rsidRPr="008E780F" w:rsidR="00DB7CBA">
        <w:t xml:space="preserve">by OCC </w:t>
      </w:r>
      <w:r w:rsidRPr="008E780F" w:rsidR="00173CE8">
        <w:t xml:space="preserve">reveal that there are no specific programs intended to reduce </w:t>
      </w:r>
      <w:r w:rsidRPr="008E780F" w:rsidR="005E58A7">
        <w:t xml:space="preserve">consumer </w:t>
      </w:r>
      <w:r w:rsidRPr="008E780F" w:rsidR="00173CE8">
        <w:t xml:space="preserve">minutes interrupted even though this was a requirement </w:t>
      </w:r>
      <w:r w:rsidRPr="008E780F" w:rsidR="001847C3">
        <w:t xml:space="preserve">of </w:t>
      </w:r>
      <w:r w:rsidRPr="008E780F" w:rsidR="00173CE8">
        <w:t>the Settlement.</w:t>
      </w:r>
      <w:r>
        <w:rPr>
          <w:rStyle w:val="FootnoteReference"/>
        </w:rPr>
        <w:footnoteReference w:id="36"/>
      </w:r>
      <w:r w:rsidRPr="008E780F" w:rsidR="00173CE8">
        <w:t xml:space="preserve"> </w:t>
      </w:r>
      <w:r w:rsidRPr="008E780F" w:rsidR="003E24AC">
        <w:t xml:space="preserve">The expected reliability improvements for most (if not all) of the programs are to reduce the number of </w:t>
      </w:r>
      <w:r w:rsidRPr="008E780F" w:rsidR="00AE163B">
        <w:t xml:space="preserve">consumers </w:t>
      </w:r>
      <w:r w:rsidRPr="008E780F" w:rsidR="003E24AC">
        <w:t>interrupted</w:t>
      </w:r>
      <w:r w:rsidRPr="008E780F" w:rsidR="00A70A66">
        <w:t xml:space="preserve"> which</w:t>
      </w:r>
      <w:r w:rsidRPr="008E780F">
        <w:t xml:space="preserve"> improv</w:t>
      </w:r>
      <w:r w:rsidRPr="008E780F" w:rsidR="00A70A66">
        <w:t>es the</w:t>
      </w:r>
      <w:r w:rsidRPr="008E780F">
        <w:t xml:space="preserve"> SAIFI</w:t>
      </w:r>
      <w:r w:rsidRPr="008E780F" w:rsidR="00A70A66">
        <w:t>,</w:t>
      </w:r>
      <w:r w:rsidRPr="008E780F">
        <w:t xml:space="preserve"> but at the potential expense of increasing </w:t>
      </w:r>
      <w:r w:rsidRPr="008E780F" w:rsidR="00A70A66">
        <w:t xml:space="preserve">the </w:t>
      </w:r>
      <w:r w:rsidRPr="008E780F">
        <w:t>CAIDI.</w:t>
      </w:r>
      <w:r>
        <w:rPr>
          <w:rStyle w:val="FootnoteReference"/>
        </w:rPr>
        <w:footnoteReference w:id="37"/>
      </w:r>
      <w:r w:rsidRPr="008E780F" w:rsidR="003E24AC">
        <w:t xml:space="preserve"> </w:t>
      </w:r>
    </w:p>
    <w:p w:rsidR="005277BD" w:rsidRPr="008E780F" w:rsidP="00A82FE4" w14:paraId="61339A50" w14:textId="49B15264">
      <w:pPr>
        <w:spacing w:line="480" w:lineRule="auto"/>
        <w:ind w:firstLine="720"/>
      </w:pPr>
      <w:r w:rsidRPr="008E780F">
        <w:t>T</w:t>
      </w:r>
      <w:r w:rsidRPr="008E780F" w:rsidR="00C670C2">
        <w:t xml:space="preserve">he Audit Report </w:t>
      </w:r>
      <w:r w:rsidRPr="008E780F" w:rsidR="00112B66">
        <w:t xml:space="preserve">in this case </w:t>
      </w:r>
      <w:r w:rsidRPr="008E780F" w:rsidR="00C670C2">
        <w:t xml:space="preserve">should have, but did not, assess the </w:t>
      </w:r>
      <w:r w:rsidRPr="008E780F" w:rsidR="00112B66">
        <w:t xml:space="preserve">2020 and 2021 </w:t>
      </w:r>
      <w:r w:rsidRPr="008E780F" w:rsidR="00C670C2">
        <w:t>DCI Work Plan</w:t>
      </w:r>
      <w:r w:rsidRPr="008E780F" w:rsidR="00112B66">
        <w:t>s</w:t>
      </w:r>
      <w:r w:rsidRPr="008E780F" w:rsidR="00C670C2">
        <w:t xml:space="preserve"> to determine if </w:t>
      </w:r>
      <w:r w:rsidRPr="008E780F" w:rsidR="00112B66">
        <w:t xml:space="preserve">the </w:t>
      </w:r>
      <w:r w:rsidRPr="008E780F" w:rsidR="00C670C2">
        <w:t>plan</w:t>
      </w:r>
      <w:r w:rsidRPr="008E780F" w:rsidR="00112B66">
        <w:t>s</w:t>
      </w:r>
      <w:r w:rsidRPr="008E780F" w:rsidR="00C670C2">
        <w:t xml:space="preserve"> </w:t>
      </w:r>
      <w:r w:rsidRPr="008E780F" w:rsidR="00112B66">
        <w:t xml:space="preserve">comply </w:t>
      </w:r>
      <w:r w:rsidRPr="008E780F" w:rsidR="00C670C2">
        <w:t>with the Settlement in Case No. 17-0032-EL-AIR.</w:t>
      </w:r>
      <w:r>
        <w:rPr>
          <w:rStyle w:val="FootnoteReference"/>
        </w:rPr>
        <w:footnoteReference w:id="38"/>
      </w:r>
      <w:r w:rsidRPr="008E780F" w:rsidR="00C670C2">
        <w:t xml:space="preserve"> </w:t>
      </w:r>
      <w:r w:rsidRPr="008E780F" w:rsidR="00E5506E">
        <w:t xml:space="preserve">The </w:t>
      </w:r>
      <w:r w:rsidRPr="008E780F" w:rsidR="00B21552">
        <w:t>Auditor</w:t>
      </w:r>
      <w:r w:rsidRPr="008E780F" w:rsidR="00E5506E">
        <w:t xml:space="preserve"> was directed to </w:t>
      </w:r>
      <w:r w:rsidRPr="008E780F" w:rsidR="008D6535">
        <w:t>make this determination as part of the Request for Proposal issue</w:t>
      </w:r>
      <w:r w:rsidRPr="008E780F" w:rsidR="0045745E">
        <w:t>d</w:t>
      </w:r>
      <w:r w:rsidRPr="008E780F" w:rsidR="008D6535">
        <w:t xml:space="preserve"> in this case.</w:t>
      </w:r>
      <w:r>
        <w:rPr>
          <w:rStyle w:val="FootnoteReference"/>
        </w:rPr>
        <w:footnoteReference w:id="39"/>
      </w:r>
      <w:r w:rsidRPr="008E780F" w:rsidR="003566E1">
        <w:t xml:space="preserve"> Accordingly, t</w:t>
      </w:r>
      <w:r w:rsidRPr="008E780F" w:rsidR="00D21AC0">
        <w:t xml:space="preserve">he </w:t>
      </w:r>
      <w:r w:rsidRPr="008E780F" w:rsidR="00A502B2">
        <w:t>Audit</w:t>
      </w:r>
      <w:r w:rsidRPr="008E780F">
        <w:t>or</w:t>
      </w:r>
      <w:r w:rsidRPr="008E780F" w:rsidR="00A502B2">
        <w:t xml:space="preserve"> </w:t>
      </w:r>
      <w:r w:rsidRPr="008E780F" w:rsidR="00D21AC0">
        <w:t>should have reviewed the DCI Work Plan</w:t>
      </w:r>
      <w:r w:rsidRPr="008E780F" w:rsidR="00112B66">
        <w:t>s</w:t>
      </w:r>
      <w:r w:rsidRPr="008E780F" w:rsidR="00D21AC0">
        <w:t xml:space="preserve"> and acknowledged that Duke’s DCI Work Plan</w:t>
      </w:r>
      <w:r w:rsidRPr="008E780F" w:rsidR="00112B66">
        <w:t>s</w:t>
      </w:r>
      <w:r w:rsidRPr="008E780F" w:rsidR="00D21AC0">
        <w:t xml:space="preserve"> do not have any specific programs intended to improve customer minutes interrupted. In addition, the </w:t>
      </w:r>
      <w:r w:rsidRPr="008E780F" w:rsidR="00A502B2">
        <w:t>Audit</w:t>
      </w:r>
      <w:r w:rsidRPr="008E780F">
        <w:t>or</w:t>
      </w:r>
      <w:r w:rsidRPr="008E780F" w:rsidR="00A502B2">
        <w:t xml:space="preserve"> </w:t>
      </w:r>
      <w:r w:rsidRPr="008E780F" w:rsidR="00D21AC0">
        <w:t xml:space="preserve">should have reviewed the $165 million that Duke planned to spend in 2020 </w:t>
      </w:r>
      <w:r w:rsidRPr="008E780F" w:rsidR="006C256F">
        <w:t xml:space="preserve">and the $157 million that Duke planned to spend in 2021 </w:t>
      </w:r>
      <w:r w:rsidRPr="008E780F" w:rsidR="00D21AC0">
        <w:t>for reliability types of programs</w:t>
      </w:r>
      <w:r w:rsidRPr="008E780F" w:rsidR="00DB35D8">
        <w:t xml:space="preserve">. The Auditor also should have </w:t>
      </w:r>
      <w:r w:rsidRPr="008E780F" w:rsidR="00D21AC0">
        <w:t xml:space="preserve">assessed </w:t>
      </w:r>
      <w:r w:rsidRPr="008E780F" w:rsidR="003B700E">
        <w:t>whether</w:t>
      </w:r>
      <w:r w:rsidRPr="008E780F" w:rsidR="00D21AC0">
        <w:t xml:space="preserve"> the spending for each program is achieving the expected reliability improvement</w:t>
      </w:r>
      <w:r w:rsidRPr="008E780F" w:rsidR="00EF5AB8">
        <w:t xml:space="preserve">, </w:t>
      </w:r>
      <w:r w:rsidRPr="008E780F" w:rsidR="00DB35D8">
        <w:t xml:space="preserve">and </w:t>
      </w:r>
      <w:r w:rsidRPr="008E780F" w:rsidR="003B700E">
        <w:t>whether</w:t>
      </w:r>
      <w:r w:rsidRPr="008E780F" w:rsidR="00EF5AB8">
        <w:t xml:space="preserve"> the spending is cost effective and </w:t>
      </w:r>
      <w:r w:rsidRPr="008E780F" w:rsidR="003B700E">
        <w:t>whether</w:t>
      </w:r>
      <w:r w:rsidRPr="008E780F" w:rsidR="00EF5AB8">
        <w:t xml:space="preserve"> the expenses are being prudently incurred. </w:t>
      </w:r>
    </w:p>
    <w:p w:rsidR="00173CE8" w:rsidRPr="008E780F" w:rsidP="00A82FE4" w14:paraId="495FF320" w14:textId="587B099B">
      <w:pPr>
        <w:spacing w:line="480" w:lineRule="auto"/>
        <w:ind w:firstLine="720"/>
      </w:pPr>
      <w:r w:rsidRPr="008E780F">
        <w:t xml:space="preserve">Going forward, </w:t>
      </w:r>
      <w:r w:rsidRPr="008E780F" w:rsidR="005277BD">
        <w:t xml:space="preserve">to protect consumers, </w:t>
      </w:r>
      <w:r w:rsidRPr="008E780F">
        <w:t>t</w:t>
      </w:r>
      <w:r w:rsidRPr="008E780F" w:rsidR="00CC5DA6">
        <w:t xml:space="preserve">he PUCO should </w:t>
      </w:r>
      <w:r w:rsidRPr="008E780F" w:rsidR="00C337CC">
        <w:t xml:space="preserve">require </w:t>
      </w:r>
      <w:r w:rsidRPr="008E780F" w:rsidR="00CC5DA6">
        <w:t xml:space="preserve">that the Auditor in the next DCI audit review performs a comprehensive assessment of the programs included in the </w:t>
      </w:r>
      <w:r w:rsidRPr="008E780F" w:rsidR="006C256F">
        <w:t xml:space="preserve">2022 </w:t>
      </w:r>
      <w:r w:rsidRPr="008E780F" w:rsidR="00CC5DA6">
        <w:t xml:space="preserve">DCI Work Plan </w:t>
      </w:r>
      <w:r w:rsidRPr="008E780F" w:rsidR="009163F4">
        <w:t xml:space="preserve">that was </w:t>
      </w:r>
      <w:r w:rsidRPr="008E780F" w:rsidR="00CC5DA6">
        <w:t>filed in Case No. 17-</w:t>
      </w:r>
      <w:r w:rsidRPr="008E780F" w:rsidR="00487D9D">
        <w:t>0</w:t>
      </w:r>
      <w:r w:rsidRPr="008E780F" w:rsidR="00CC5DA6">
        <w:t>032-EL-AIR on December 1, 202</w:t>
      </w:r>
      <w:r w:rsidRPr="008E780F" w:rsidR="006C256F">
        <w:t>1</w:t>
      </w:r>
      <w:r w:rsidRPr="008E780F" w:rsidR="00CC5DA6">
        <w:t>.</w:t>
      </w:r>
      <w:r w:rsidR="008E780F">
        <w:t xml:space="preserve"> </w:t>
      </w:r>
    </w:p>
    <w:p w:rsidR="0053250C" w:rsidRPr="008E780F" w:rsidP="00A82FE4" w14:paraId="08645B15" w14:textId="0B52672C">
      <w:pPr>
        <w:pStyle w:val="Heading1"/>
      </w:pPr>
      <w:bookmarkStart w:id="9" w:name="_Toc33654083"/>
      <w:bookmarkStart w:id="10" w:name="_Toc33659183"/>
      <w:bookmarkStart w:id="11" w:name="_Toc33428793"/>
      <w:bookmarkStart w:id="12" w:name="_Toc93676166"/>
      <w:bookmarkEnd w:id="9"/>
      <w:bookmarkEnd w:id="10"/>
      <w:r w:rsidRPr="008E780F">
        <w:t>I</w:t>
      </w:r>
      <w:r w:rsidRPr="008E780F" w:rsidR="00CD59CF">
        <w:t>II.</w:t>
      </w:r>
      <w:r w:rsidRPr="008E780F" w:rsidR="00CD59CF">
        <w:tab/>
        <w:t>CONCLUSION</w:t>
      </w:r>
      <w:bookmarkEnd w:id="11"/>
      <w:bookmarkEnd w:id="12"/>
    </w:p>
    <w:p w:rsidR="005A4B27" w:rsidRPr="008E780F" w:rsidP="0088247A" w14:paraId="7987D78B" w14:textId="595901F9">
      <w:pPr>
        <w:spacing w:line="480" w:lineRule="auto"/>
        <w:ind w:firstLine="720"/>
        <w:rPr>
          <w:rFonts w:eastAsiaTheme="minorHAnsi"/>
        </w:rPr>
      </w:pPr>
      <w:r w:rsidRPr="008E780F">
        <w:t>By law, c</w:t>
      </w:r>
      <w:r w:rsidRPr="008E780F" w:rsidR="004C34CF">
        <w:t xml:space="preserve">onsumers </w:t>
      </w:r>
      <w:r w:rsidRPr="008E780F" w:rsidR="00851FC2">
        <w:t>may be</w:t>
      </w:r>
      <w:r w:rsidRPr="008E780F">
        <w:t xml:space="preserve"> charged only what are </w:t>
      </w:r>
      <w:r w:rsidRPr="008E780F" w:rsidR="004C34CF">
        <w:t xml:space="preserve">just and reasonable rates for adequate and reliable </w:t>
      </w:r>
      <w:r w:rsidRPr="008E780F">
        <w:t xml:space="preserve">utility </w:t>
      </w:r>
      <w:r w:rsidRPr="008E780F" w:rsidR="004C34CF">
        <w:t>service.</w:t>
      </w:r>
      <w:r>
        <w:rPr>
          <w:rStyle w:val="FootnoteReference"/>
        </w:rPr>
        <w:footnoteReference w:id="40"/>
      </w:r>
      <w:r w:rsidRPr="008E780F" w:rsidR="004C34CF">
        <w:t xml:space="preserve"> </w:t>
      </w:r>
      <w:r w:rsidRPr="008E780F" w:rsidR="00851FC2">
        <w:t>To accomplish this, the</w:t>
      </w:r>
      <w:r w:rsidRPr="008E780F" w:rsidR="00CD59CF">
        <w:t xml:space="preserve"> PUCO should adopt </w:t>
      </w:r>
      <w:r w:rsidRPr="008E780F" w:rsidR="00EC1907">
        <w:t xml:space="preserve">OCC’s </w:t>
      </w:r>
      <w:r w:rsidRPr="008E780F" w:rsidR="00CD59CF">
        <w:t>recommendations</w:t>
      </w:r>
      <w:r w:rsidRPr="008E780F" w:rsidR="006E2617">
        <w:t>,</w:t>
      </w:r>
      <w:r w:rsidRPr="008E780F" w:rsidR="00CD59CF">
        <w:t xml:space="preserve"> along with </w:t>
      </w:r>
      <w:r w:rsidRPr="008E780F" w:rsidR="00274467">
        <w:t xml:space="preserve">the </w:t>
      </w:r>
      <w:r w:rsidRPr="008E780F" w:rsidR="00EC1907">
        <w:t xml:space="preserve">Auditor’s </w:t>
      </w:r>
      <w:r w:rsidRPr="008E780F" w:rsidR="00CD59CF">
        <w:t>recommendations</w:t>
      </w:r>
      <w:r w:rsidRPr="008E780F" w:rsidR="006E2617">
        <w:t>,</w:t>
      </w:r>
      <w:r w:rsidRPr="008E780F" w:rsidR="003916C8">
        <w:t xml:space="preserve"> that are directed at </w:t>
      </w:r>
      <w:r w:rsidRPr="008E780F" w:rsidR="003B700E">
        <w:t>enforcing the</w:t>
      </w:r>
      <w:r w:rsidRPr="008E780F" w:rsidR="006E2617">
        <w:t xml:space="preserve"> annual revenue cap, improving record</w:t>
      </w:r>
      <w:r w:rsidRPr="008E780F" w:rsidR="00324806">
        <w:t>-</w:t>
      </w:r>
      <w:r w:rsidRPr="008E780F" w:rsidR="006E2617">
        <w:t xml:space="preserve">keeping and reporting, </w:t>
      </w:r>
      <w:r w:rsidRPr="008E780F" w:rsidR="003916C8">
        <w:t xml:space="preserve">removing </w:t>
      </w:r>
      <w:r w:rsidRPr="008E780F" w:rsidR="00AF4B7C">
        <w:t>improper costs from the distribution improvement rider</w:t>
      </w:r>
      <w:r w:rsidRPr="008E780F" w:rsidR="00EF5AB8">
        <w:t>, and verifying that the DCI Work Plan</w:t>
      </w:r>
      <w:r w:rsidRPr="008E780F" w:rsidR="00274467">
        <w:t>s</w:t>
      </w:r>
      <w:r w:rsidRPr="008E780F" w:rsidR="00EF5AB8">
        <w:t xml:space="preserve"> </w:t>
      </w:r>
      <w:r w:rsidRPr="008E780F" w:rsidR="00274467">
        <w:t xml:space="preserve">comply </w:t>
      </w:r>
      <w:r w:rsidRPr="008E780F" w:rsidR="00EF5AB8">
        <w:t>with the Settlement in Case 17-</w:t>
      </w:r>
      <w:r w:rsidRPr="008E780F" w:rsidR="003B700E">
        <w:t>0</w:t>
      </w:r>
      <w:r w:rsidRPr="008E780F" w:rsidR="00EF5AB8">
        <w:t>032</w:t>
      </w:r>
      <w:r w:rsidRPr="008E780F" w:rsidR="00A502B2">
        <w:t>-EL-</w:t>
      </w:r>
      <w:r w:rsidRPr="008E780F" w:rsidR="00E75DF4">
        <w:t>AIR</w:t>
      </w:r>
      <w:r w:rsidRPr="008E780F" w:rsidR="00EF5AB8">
        <w:t>.</w:t>
      </w:r>
      <w:r w:rsidR="008E780F">
        <w:t xml:space="preserve"> </w:t>
      </w:r>
    </w:p>
    <w:p w:rsidR="0054101D" w:rsidP="00D03C27" w14:paraId="031BB453" w14:textId="77777777">
      <w:pPr>
        <w:pStyle w:val="Footer"/>
        <w:tabs>
          <w:tab w:val="clear" w:pos="4680"/>
        </w:tabs>
        <w:ind w:left="3600"/>
        <w:rPr>
          <w:rFonts w:ascii="Times New Roman" w:hAnsi="Times New Roman" w:cs="Times New Roman"/>
          <w:sz w:val="24"/>
          <w:szCs w:val="24"/>
        </w:rPr>
      </w:pPr>
    </w:p>
    <w:p w:rsidR="00A82FE4" w:rsidRPr="008E780F" w:rsidP="00D03C27" w14:paraId="06252DCD" w14:textId="40331790">
      <w:pPr>
        <w:pStyle w:val="Footer"/>
        <w:tabs>
          <w:tab w:val="clear" w:pos="4680"/>
        </w:tabs>
        <w:ind w:left="3600"/>
        <w:rPr>
          <w:rFonts w:ascii="Times New Roman" w:hAnsi="Times New Roman" w:cs="Times New Roman"/>
          <w:sz w:val="24"/>
          <w:szCs w:val="24"/>
        </w:rPr>
      </w:pPr>
      <w:r w:rsidRPr="008E780F">
        <w:rPr>
          <w:rFonts w:ascii="Times New Roman" w:hAnsi="Times New Roman" w:cs="Times New Roman"/>
          <w:sz w:val="24"/>
          <w:szCs w:val="24"/>
        </w:rPr>
        <w:t>Respectfully submitted,</w:t>
      </w:r>
    </w:p>
    <w:p w:rsidR="00A82FE4" w:rsidRPr="008E780F" w:rsidP="00217C13" w14:paraId="46B7F3A0" w14:textId="77777777">
      <w:pPr>
        <w:pStyle w:val="Footer"/>
        <w:tabs>
          <w:tab w:val="left" w:pos="4320"/>
        </w:tabs>
        <w:ind w:left="4320"/>
        <w:rPr>
          <w:rFonts w:ascii="Times New Roman" w:hAnsi="Times New Roman" w:cs="Times New Roman"/>
          <w:sz w:val="24"/>
          <w:szCs w:val="24"/>
        </w:rPr>
      </w:pPr>
    </w:p>
    <w:p w:rsidR="00A82FE4" w:rsidRPr="008E780F" w:rsidP="00A82FE4" w14:paraId="1A0A2CBA" w14:textId="77777777">
      <w:pPr>
        <w:pStyle w:val="Footer"/>
        <w:ind w:left="3600"/>
        <w:rPr>
          <w:rFonts w:ascii="Times New Roman" w:hAnsi="Times New Roman" w:cs="Times New Roman"/>
          <w:sz w:val="24"/>
          <w:szCs w:val="24"/>
        </w:rPr>
      </w:pPr>
      <w:r w:rsidRPr="008E780F">
        <w:rPr>
          <w:rFonts w:ascii="Times New Roman" w:hAnsi="Times New Roman" w:cs="Times New Roman"/>
          <w:sz w:val="24"/>
          <w:szCs w:val="24"/>
        </w:rPr>
        <w:t>Bruce Weston (0016973)</w:t>
      </w:r>
    </w:p>
    <w:p w:rsidR="00A82FE4" w:rsidRPr="008E780F" w:rsidP="00A82FE4" w14:paraId="136288C1" w14:textId="77777777">
      <w:pPr>
        <w:pStyle w:val="ListParagraph"/>
        <w:spacing w:line="240" w:lineRule="auto"/>
        <w:ind w:left="3600"/>
        <w:rPr>
          <w:rFonts w:ascii="Times New Roman" w:hAnsi="Times New Roman" w:cs="Times New Roman"/>
          <w:sz w:val="24"/>
          <w:szCs w:val="24"/>
        </w:rPr>
      </w:pPr>
      <w:r w:rsidRPr="008E780F">
        <w:rPr>
          <w:rFonts w:ascii="Times New Roman" w:hAnsi="Times New Roman" w:cs="Times New Roman"/>
          <w:sz w:val="24"/>
          <w:szCs w:val="24"/>
        </w:rPr>
        <w:t>Ohio Consumers’ Counsel</w:t>
      </w:r>
    </w:p>
    <w:p w:rsidR="00D03C27" w:rsidRPr="008E780F" w:rsidP="00A82FE4" w14:paraId="2DB74B4D" w14:textId="77777777">
      <w:pPr>
        <w:pStyle w:val="ListParagraph"/>
        <w:ind w:left="3600"/>
        <w:rPr>
          <w:rFonts w:ascii="Times New Roman" w:hAnsi="Times New Roman" w:cs="Times New Roman"/>
          <w:sz w:val="24"/>
          <w:szCs w:val="24"/>
        </w:rPr>
      </w:pPr>
    </w:p>
    <w:p w:rsidR="00067752" w:rsidRPr="008E780F" w:rsidP="00A82FE4" w14:paraId="04596055" w14:textId="2742178E">
      <w:pPr>
        <w:pStyle w:val="ListParagraph"/>
        <w:ind w:left="3600"/>
        <w:rPr>
          <w:rFonts w:ascii="Times New Roman" w:hAnsi="Times New Roman" w:cs="Times New Roman"/>
          <w:sz w:val="24"/>
          <w:szCs w:val="24"/>
          <w:u w:val="single"/>
        </w:rPr>
      </w:pPr>
      <w:r w:rsidRPr="008E780F">
        <w:rPr>
          <w:rFonts w:ascii="Times New Roman" w:hAnsi="Times New Roman" w:cs="Times New Roman"/>
          <w:sz w:val="24"/>
          <w:szCs w:val="24"/>
          <w:u w:val="single"/>
        </w:rPr>
        <w:t xml:space="preserve">/s/ </w:t>
      </w:r>
      <w:r w:rsidRPr="008E780F">
        <w:rPr>
          <w:rFonts w:ascii="Times New Roman" w:hAnsi="Times New Roman" w:cs="Times New Roman"/>
          <w:i/>
          <w:iCs/>
          <w:sz w:val="24"/>
          <w:szCs w:val="24"/>
          <w:u w:val="single"/>
        </w:rPr>
        <w:t>Ambrosia E. Wilson</w:t>
      </w:r>
      <w:r w:rsidR="005B7C07">
        <w:rPr>
          <w:rFonts w:ascii="Times New Roman" w:hAnsi="Times New Roman" w:cs="Times New Roman"/>
          <w:sz w:val="24"/>
          <w:szCs w:val="24"/>
          <w:u w:val="single"/>
        </w:rPr>
        <w:tab/>
      </w:r>
    </w:p>
    <w:p w:rsidR="00067752" w:rsidRPr="008E780F" w:rsidP="00A82FE4" w14:paraId="419412C1"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Ambrosia E. Wilson (0096598) </w:t>
      </w:r>
    </w:p>
    <w:p w:rsidR="00067752" w:rsidRPr="008E780F" w:rsidP="00A82FE4" w14:paraId="42A8E025" w14:textId="73D15AC4">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Counsel of Record </w:t>
      </w:r>
    </w:p>
    <w:p w:rsidR="00067752" w:rsidRPr="008E780F" w:rsidP="00A82FE4" w14:paraId="50E43F82"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Amy Botschner O’Brien (0074423) </w:t>
      </w:r>
    </w:p>
    <w:p w:rsidR="00651024" w:rsidRPr="008E780F" w:rsidP="00A82FE4" w14:paraId="4AD032B1"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Assistant Consumers’ Counsel </w:t>
      </w:r>
    </w:p>
    <w:p w:rsidR="00651024" w:rsidRPr="008E780F" w:rsidP="00A82FE4" w14:paraId="0F8E8970" w14:textId="77777777">
      <w:pPr>
        <w:pStyle w:val="ListParagraph"/>
        <w:ind w:left="3600"/>
        <w:rPr>
          <w:rFonts w:ascii="Times New Roman" w:hAnsi="Times New Roman" w:cs="Times New Roman"/>
          <w:sz w:val="24"/>
          <w:szCs w:val="24"/>
        </w:rPr>
      </w:pPr>
    </w:p>
    <w:p w:rsidR="00067752" w:rsidRPr="008E780F" w:rsidP="00A82FE4" w14:paraId="48B49AE4" w14:textId="3035807A">
      <w:pPr>
        <w:pStyle w:val="ListParagraph"/>
        <w:ind w:left="3600"/>
        <w:rPr>
          <w:rFonts w:ascii="Times New Roman" w:hAnsi="Times New Roman" w:cs="Times New Roman"/>
          <w:b/>
          <w:bCs/>
          <w:sz w:val="24"/>
          <w:szCs w:val="24"/>
        </w:rPr>
      </w:pPr>
      <w:r w:rsidRPr="008E780F">
        <w:rPr>
          <w:rFonts w:ascii="Times New Roman" w:hAnsi="Times New Roman" w:cs="Times New Roman"/>
          <w:b/>
          <w:bCs/>
          <w:sz w:val="24"/>
          <w:szCs w:val="24"/>
        </w:rPr>
        <w:t xml:space="preserve">Office of the Ohio Consumers’ Counsel </w:t>
      </w:r>
    </w:p>
    <w:p w:rsidR="00067752" w:rsidRPr="008E780F" w:rsidP="00A82FE4" w14:paraId="332922F0"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65 East State Street, Suite 700</w:t>
      </w:r>
    </w:p>
    <w:p w:rsidR="00067752" w:rsidRPr="008E780F" w:rsidP="00A82FE4" w14:paraId="06FD4E5B"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Columbus, Ohio 43215 </w:t>
      </w:r>
    </w:p>
    <w:p w:rsidR="00067752" w:rsidRPr="008E780F" w:rsidP="00A82FE4" w14:paraId="0DD7D67B" w14:textId="7777777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Telephone [Wilson]: (614)-466-1292 </w:t>
      </w:r>
    </w:p>
    <w:p w:rsidR="000A3854" w:rsidRPr="008E780F" w:rsidP="00067752" w14:paraId="093420FD" w14:textId="442CF717">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 xml:space="preserve">Telephone [Botschner]: (614) 466-9575 </w:t>
      </w:r>
      <w:hyperlink r:id="rId6" w:history="1">
        <w:r w:rsidRPr="008E780F">
          <w:rPr>
            <w:rStyle w:val="Hyperlink"/>
            <w:rFonts w:ascii="Times New Roman" w:hAnsi="Times New Roman" w:cs="Times New Roman"/>
            <w:sz w:val="24"/>
            <w:szCs w:val="24"/>
          </w:rPr>
          <w:t>ambrosia.wilson@occ.ohio.gov</w:t>
        </w:r>
      </w:hyperlink>
    </w:p>
    <w:p w:rsidR="00067752" w:rsidRPr="008E780F" w:rsidP="00067752" w14:paraId="40526E2E" w14:textId="2646E7B7">
      <w:pPr>
        <w:pStyle w:val="ListParagraph"/>
        <w:ind w:left="3600"/>
        <w:rPr>
          <w:rFonts w:ascii="Times New Roman" w:hAnsi="Times New Roman" w:cs="Times New Roman"/>
          <w:sz w:val="24"/>
          <w:szCs w:val="24"/>
        </w:rPr>
      </w:pPr>
      <w:hyperlink r:id="rId7" w:history="1">
        <w:r w:rsidRPr="008E780F">
          <w:rPr>
            <w:rStyle w:val="Hyperlink"/>
            <w:rFonts w:ascii="Times New Roman" w:hAnsi="Times New Roman" w:cs="Times New Roman"/>
            <w:sz w:val="24"/>
            <w:szCs w:val="24"/>
          </w:rPr>
          <w:t>amy.botschner.obrien@occ.ohio.gov</w:t>
        </w:r>
      </w:hyperlink>
    </w:p>
    <w:p w:rsidR="00A82FE4" w:rsidRPr="008E780F" w:rsidP="0094101A" w14:paraId="47A00677" w14:textId="729103F9">
      <w:pPr>
        <w:pStyle w:val="ListParagraph"/>
        <w:ind w:left="3600"/>
        <w:rPr>
          <w:rFonts w:ascii="Times New Roman" w:hAnsi="Times New Roman" w:cs="Times New Roman"/>
          <w:sz w:val="24"/>
          <w:szCs w:val="24"/>
        </w:rPr>
      </w:pPr>
      <w:r w:rsidRPr="008E780F">
        <w:rPr>
          <w:rFonts w:ascii="Times New Roman" w:hAnsi="Times New Roman" w:cs="Times New Roman"/>
          <w:sz w:val="24"/>
          <w:szCs w:val="24"/>
        </w:rPr>
        <w:t>(willing to accept service by e-mail)</w:t>
      </w:r>
    </w:p>
    <w:p w:rsidR="0053250C" w:rsidRPr="008E780F" w:rsidP="00217C13" w14:paraId="4BBB807D" w14:textId="5B5AD55B">
      <w:pPr>
        <w:pStyle w:val="Footer"/>
        <w:tabs>
          <w:tab w:val="left" w:pos="4320"/>
        </w:tabs>
        <w:ind w:left="4320"/>
        <w:rPr>
          <w:rFonts w:ascii="Times New Roman" w:hAnsi="Times New Roman" w:cs="Times New Roman"/>
          <w:sz w:val="24"/>
          <w:szCs w:val="24"/>
        </w:rPr>
      </w:pPr>
      <w:r w:rsidRPr="008E780F">
        <w:rPr>
          <w:rFonts w:ascii="Times New Roman" w:hAnsi="Times New Roman" w:cs="Times New Roman"/>
          <w:sz w:val="24"/>
          <w:szCs w:val="24"/>
        </w:rPr>
        <w:tab/>
      </w:r>
      <w:r w:rsidRPr="008E780F">
        <w:rPr>
          <w:rFonts w:ascii="Times New Roman" w:hAnsi="Times New Roman" w:cs="Times New Roman"/>
          <w:sz w:val="24"/>
          <w:szCs w:val="24"/>
        </w:rPr>
        <w:tab/>
      </w:r>
    </w:p>
    <w:p w:rsidR="0053250C" w:rsidRPr="008E780F" w:rsidP="004D2848" w14:paraId="733D0C41" w14:textId="77777777">
      <w:pPr>
        <w:pStyle w:val="ListParagraph"/>
        <w:ind w:left="0"/>
        <w:jc w:val="center"/>
        <w:rPr>
          <w:rFonts w:ascii="Times New Roman" w:hAnsi="Times New Roman" w:cs="Times New Roman"/>
          <w:b/>
          <w:sz w:val="24"/>
          <w:szCs w:val="24"/>
          <w:u w:val="single"/>
        </w:rPr>
      </w:pPr>
      <w:r w:rsidRPr="008E780F">
        <w:rPr>
          <w:rFonts w:ascii="Times New Roman" w:hAnsi="Times New Roman" w:cs="Times New Roman"/>
          <w:b/>
          <w:sz w:val="24"/>
          <w:szCs w:val="24"/>
        </w:rPr>
        <w:br w:type="page"/>
      </w:r>
      <w:r w:rsidRPr="008E780F">
        <w:rPr>
          <w:rFonts w:ascii="Times New Roman" w:hAnsi="Times New Roman" w:cs="Times New Roman"/>
          <w:b/>
          <w:sz w:val="24"/>
          <w:szCs w:val="24"/>
          <w:u w:val="single"/>
        </w:rPr>
        <w:t>CERTIFICATE OF SERVICE</w:t>
      </w:r>
    </w:p>
    <w:p w:rsidR="0053250C" w:rsidRPr="008E780F" w:rsidP="00B429F5" w14:paraId="46F8CD42" w14:textId="2CC2947C">
      <w:pPr>
        <w:spacing w:line="480" w:lineRule="auto"/>
      </w:pPr>
      <w:r w:rsidRPr="008E780F">
        <w:tab/>
        <w:t xml:space="preserve">I hereby certify that a copy of these </w:t>
      </w:r>
      <w:r w:rsidRPr="008E780F" w:rsidR="00B429F5">
        <w:t xml:space="preserve">Consumer Protection </w:t>
      </w:r>
      <w:r w:rsidRPr="008E780F">
        <w:t xml:space="preserve">Comments </w:t>
      </w:r>
      <w:r w:rsidRPr="008E780F" w:rsidR="00BF3773">
        <w:t>was</w:t>
      </w:r>
      <w:r w:rsidRPr="008E780F">
        <w:t xml:space="preserve"> served via electronic transmission upon the following parties of record this 2</w:t>
      </w:r>
      <w:r w:rsidRPr="008E780F" w:rsidR="004107CA">
        <w:t>1st</w:t>
      </w:r>
      <w:r w:rsidRPr="008E780F">
        <w:t xml:space="preserve"> day of </w:t>
      </w:r>
      <w:r w:rsidRPr="008E780F" w:rsidR="004107CA">
        <w:t xml:space="preserve">January </w:t>
      </w:r>
      <w:r w:rsidRPr="008E780F">
        <w:t>20</w:t>
      </w:r>
      <w:r w:rsidRPr="008E780F" w:rsidR="00BF3773">
        <w:t>2</w:t>
      </w:r>
      <w:r w:rsidRPr="008E780F" w:rsidR="004107CA">
        <w:t>2</w:t>
      </w:r>
      <w:r w:rsidRPr="008E780F">
        <w:t>.</w:t>
      </w:r>
    </w:p>
    <w:p w:rsidR="00E14D5C" w:rsidRPr="008E780F" w:rsidP="00E14D5C" w14:paraId="3B5B2E89" w14:textId="2088C276">
      <w:pPr>
        <w:pStyle w:val="ListParagraph"/>
        <w:spacing w:after="0"/>
        <w:ind w:left="0"/>
        <w:rPr>
          <w:rFonts w:ascii="Times New Roman" w:hAnsi="Times New Roman" w:cs="Times New Roman"/>
          <w:sz w:val="24"/>
          <w:szCs w:val="24"/>
        </w:rPr>
      </w:pPr>
      <w:r w:rsidRPr="008E780F">
        <w:rPr>
          <w:rFonts w:ascii="Times New Roman" w:hAnsi="Times New Roman" w:cs="Times New Roman"/>
          <w:sz w:val="24"/>
          <w:szCs w:val="24"/>
        </w:rPr>
        <w:tab/>
      </w:r>
      <w:r w:rsidRPr="008E780F">
        <w:rPr>
          <w:rFonts w:ascii="Times New Roman" w:hAnsi="Times New Roman" w:cs="Times New Roman"/>
          <w:sz w:val="24"/>
          <w:szCs w:val="24"/>
        </w:rPr>
        <w:tab/>
      </w:r>
      <w:r w:rsidRPr="008E780F">
        <w:rPr>
          <w:rFonts w:ascii="Times New Roman" w:hAnsi="Times New Roman" w:cs="Times New Roman"/>
          <w:sz w:val="24"/>
          <w:szCs w:val="24"/>
        </w:rPr>
        <w:tab/>
      </w:r>
      <w:r w:rsidRPr="008E780F">
        <w:rPr>
          <w:rFonts w:ascii="Times New Roman" w:hAnsi="Times New Roman" w:cs="Times New Roman"/>
          <w:sz w:val="24"/>
          <w:szCs w:val="24"/>
        </w:rPr>
        <w:tab/>
      </w:r>
      <w:r w:rsidRPr="008E780F">
        <w:rPr>
          <w:rFonts w:ascii="Times New Roman" w:hAnsi="Times New Roman" w:cs="Times New Roman"/>
          <w:sz w:val="24"/>
          <w:szCs w:val="24"/>
        </w:rPr>
        <w:tab/>
      </w:r>
      <w:r w:rsidRPr="008E780F">
        <w:rPr>
          <w:rFonts w:ascii="Times New Roman" w:hAnsi="Times New Roman" w:cs="Times New Roman"/>
          <w:i/>
          <w:iCs/>
          <w:sz w:val="24"/>
          <w:szCs w:val="24"/>
        </w:rPr>
        <w:tab/>
      </w:r>
      <w:r w:rsidRPr="008E780F">
        <w:rPr>
          <w:rFonts w:ascii="Times New Roman" w:hAnsi="Times New Roman" w:cs="Times New Roman"/>
          <w:i/>
          <w:iCs/>
          <w:sz w:val="24"/>
          <w:szCs w:val="24"/>
          <w:u w:val="single"/>
        </w:rPr>
        <w:t>/s/</w:t>
      </w:r>
      <w:r w:rsidRPr="008E780F">
        <w:rPr>
          <w:rFonts w:ascii="Times New Roman" w:hAnsi="Times New Roman" w:cs="Times New Roman"/>
          <w:i/>
          <w:sz w:val="24"/>
          <w:szCs w:val="24"/>
          <w:u w:val="single"/>
        </w:rPr>
        <w:t xml:space="preserve"> </w:t>
      </w:r>
      <w:r w:rsidRPr="008E780F" w:rsidR="00541F8A">
        <w:rPr>
          <w:rFonts w:ascii="Times New Roman" w:hAnsi="Times New Roman" w:cs="Times New Roman"/>
          <w:i/>
          <w:sz w:val="24"/>
          <w:szCs w:val="24"/>
          <w:u w:val="single"/>
        </w:rPr>
        <w:t>Ambrosia E. Wilson</w:t>
      </w:r>
    </w:p>
    <w:p w:rsidR="00E14D5C" w:rsidRPr="008E780F" w:rsidP="00E14D5C" w14:paraId="34152313" w14:textId="4C187271">
      <w:pPr>
        <w:tabs>
          <w:tab w:val="left" w:pos="4320"/>
        </w:tabs>
      </w:pPr>
      <w:r w:rsidRPr="008E780F">
        <w:tab/>
      </w:r>
      <w:r w:rsidRPr="008E780F" w:rsidR="00541F8A">
        <w:t xml:space="preserve">Ambrosia E. Wilson </w:t>
      </w:r>
    </w:p>
    <w:p w:rsidR="00E14D5C" w:rsidRPr="008E780F" w:rsidP="00E14D5C" w14:paraId="29EF598F" w14:textId="77777777">
      <w:pPr>
        <w:tabs>
          <w:tab w:val="left" w:pos="4320"/>
        </w:tabs>
      </w:pPr>
      <w:r w:rsidRPr="008E780F">
        <w:tab/>
        <w:t>Assistant Consumers’ Counsel</w:t>
      </w:r>
    </w:p>
    <w:p w:rsidR="00E14D5C" w:rsidRPr="008E780F" w:rsidP="00E14D5C" w14:paraId="5E4B8BA1" w14:textId="77777777">
      <w:pPr>
        <w:tabs>
          <w:tab w:val="left" w:pos="4320"/>
        </w:tabs>
      </w:pPr>
    </w:p>
    <w:p w:rsidR="00E14D5C" w:rsidRPr="008E780F" w:rsidP="00E14D5C" w14:paraId="133880AC" w14:textId="77777777">
      <w:r w:rsidRPr="008E780F">
        <w:t>The PUCO’s e-filing system will electronically serve notice of the filing of this document on the following parties:</w:t>
      </w:r>
    </w:p>
    <w:p w:rsidR="00E14D5C" w:rsidRPr="008E780F" w:rsidP="00E14D5C" w14:paraId="79AD1083" w14:textId="77777777">
      <w:pPr>
        <w:tabs>
          <w:tab w:val="left" w:pos="4320"/>
        </w:tabs>
      </w:pPr>
    </w:p>
    <w:p w:rsidR="00E14D5C" w:rsidRPr="008E780F" w:rsidP="00E14D5C" w14:paraId="7F5F5D1C" w14:textId="77777777">
      <w:pPr>
        <w:pStyle w:val="CommentSubject"/>
        <w:rPr>
          <w:rFonts w:ascii="Times New Roman" w:hAnsi="Times New Roman" w:cs="Times New Roman"/>
          <w:sz w:val="24"/>
          <w:szCs w:val="24"/>
        </w:rPr>
      </w:pPr>
    </w:p>
    <w:p w:rsidR="00E14D5C" w:rsidRPr="008E780F" w:rsidP="00E14D5C" w14:paraId="48557A62" w14:textId="77777777">
      <w:pPr>
        <w:pStyle w:val="CommentText"/>
        <w:spacing w:after="0"/>
        <w:jc w:val="center"/>
        <w:rPr>
          <w:rFonts w:ascii="Times New Roman" w:hAnsi="Times New Roman" w:cs="Times New Roman"/>
          <w:b/>
          <w:sz w:val="24"/>
          <w:szCs w:val="24"/>
          <w:u w:val="single"/>
        </w:rPr>
      </w:pPr>
      <w:r w:rsidRPr="008E780F">
        <w:rPr>
          <w:rFonts w:ascii="Times New Roman" w:hAnsi="Times New Roman" w:cs="Times New Roman"/>
          <w:b/>
          <w:sz w:val="24"/>
          <w:szCs w:val="24"/>
          <w:u w:val="single"/>
        </w:rPr>
        <w:t>SERVICE LIST</w:t>
      </w:r>
    </w:p>
    <w:p w:rsidR="00E14D5C" w:rsidRPr="008E780F" w:rsidP="00E14D5C" w14:paraId="1244DE5E" w14:textId="19E38D07">
      <w:pPr>
        <w:pStyle w:val="CommentText"/>
        <w:spacing w:after="0"/>
        <w:jc w:val="center"/>
        <w:rPr>
          <w:rFonts w:ascii="Times New Roman" w:hAnsi="Times New Roman" w:cs="Times New Roman"/>
          <w:b/>
          <w:sz w:val="24"/>
          <w:szCs w:val="24"/>
          <w:u w:val="single"/>
        </w:rPr>
      </w:pPr>
    </w:p>
    <w:tbl>
      <w:tblPr>
        <w:tblW w:w="0" w:type="auto"/>
        <w:tblLook w:val="04A0"/>
      </w:tblPr>
      <w:tblGrid>
        <w:gridCol w:w="4320"/>
        <w:gridCol w:w="4320"/>
      </w:tblGrid>
      <w:tr w14:paraId="40F50B0A" w14:textId="77777777" w:rsidTr="009C3B79">
        <w:tblPrEx>
          <w:tblW w:w="0" w:type="auto"/>
          <w:tblLook w:val="04A0"/>
        </w:tblPrEx>
        <w:tc>
          <w:tcPr>
            <w:tcW w:w="4320" w:type="dxa"/>
            <w:shd w:val="clear" w:color="auto" w:fill="auto"/>
          </w:tcPr>
          <w:p w:rsidR="009C3B79" w:rsidRPr="008E780F" w:rsidP="009C3B79" w14:paraId="1FF60302" w14:textId="1EC016FE">
            <w:pPr>
              <w:pStyle w:val="CommentText"/>
              <w:spacing w:after="0"/>
              <w:rPr>
                <w:rFonts w:ascii="Times New Roman" w:hAnsi="Times New Roman" w:cs="Times New Roman"/>
                <w:bCs/>
                <w:sz w:val="24"/>
                <w:szCs w:val="24"/>
              </w:rPr>
            </w:pPr>
            <w:hyperlink r:id="rId11" w:history="1">
              <w:r w:rsidRPr="008E780F">
                <w:rPr>
                  <w:rStyle w:val="Hyperlink"/>
                  <w:rFonts w:ascii="Times New Roman" w:hAnsi="Times New Roman" w:cs="Times New Roman"/>
                  <w:bCs/>
                  <w:sz w:val="24"/>
                  <w:szCs w:val="24"/>
                </w:rPr>
                <w:t>kyle.kern@ohioago.gov</w:t>
              </w:r>
            </w:hyperlink>
          </w:p>
          <w:p w:rsidR="009C3B79" w:rsidRPr="008E780F" w:rsidP="009C3B79" w14:paraId="4A3EE3D7" w14:textId="1FA2D6D0">
            <w:pPr>
              <w:pStyle w:val="CommentText"/>
              <w:spacing w:after="0"/>
              <w:rPr>
                <w:rFonts w:ascii="Times New Roman" w:hAnsi="Times New Roman" w:cs="Times New Roman"/>
                <w:bCs/>
                <w:sz w:val="24"/>
                <w:szCs w:val="24"/>
              </w:rPr>
            </w:pPr>
            <w:hyperlink r:id="rId12" w:history="1">
              <w:r w:rsidRPr="008E780F">
                <w:rPr>
                  <w:rStyle w:val="Hyperlink"/>
                  <w:rFonts w:ascii="Times New Roman" w:hAnsi="Times New Roman" w:cs="Times New Roman"/>
                  <w:bCs/>
                  <w:sz w:val="24"/>
                  <w:szCs w:val="24"/>
                </w:rPr>
                <w:t>thomas.shepherd@ohioago.gov</w:t>
              </w:r>
            </w:hyperlink>
          </w:p>
          <w:p w:rsidR="009C3B79" w:rsidRPr="008E780F" w:rsidP="009C3B79" w14:paraId="4517B04B" w14:textId="38D31912">
            <w:pPr>
              <w:pStyle w:val="CommentText"/>
              <w:spacing w:after="0"/>
              <w:rPr>
                <w:rFonts w:ascii="Times New Roman" w:hAnsi="Times New Roman" w:cs="Times New Roman"/>
                <w:sz w:val="24"/>
                <w:szCs w:val="24"/>
              </w:rPr>
            </w:pPr>
          </w:p>
          <w:p w:rsidR="009C3B79" w:rsidRPr="008E780F" w:rsidP="009C3B79" w14:paraId="157589A1" w14:textId="592DA0E8">
            <w:pPr>
              <w:pStyle w:val="CommentText"/>
              <w:spacing w:after="0"/>
              <w:rPr>
                <w:rFonts w:ascii="Times New Roman" w:hAnsi="Times New Roman" w:cs="Times New Roman"/>
                <w:sz w:val="24"/>
                <w:szCs w:val="24"/>
              </w:rPr>
            </w:pPr>
          </w:p>
          <w:p w:rsidR="009C3B79" w:rsidRPr="008E780F" w:rsidP="009C3B79" w14:paraId="4682BFB2" w14:textId="4FD4D970">
            <w:pPr>
              <w:pStyle w:val="CommentText"/>
              <w:spacing w:after="0"/>
              <w:rPr>
                <w:rFonts w:ascii="Times New Roman" w:hAnsi="Times New Roman" w:cs="Times New Roman"/>
                <w:sz w:val="24"/>
                <w:szCs w:val="24"/>
              </w:rPr>
            </w:pPr>
            <w:r w:rsidRPr="008E780F">
              <w:rPr>
                <w:rFonts w:ascii="Times New Roman" w:hAnsi="Times New Roman" w:cs="Times New Roman"/>
                <w:sz w:val="24"/>
                <w:szCs w:val="24"/>
              </w:rPr>
              <w:t>Attorney Examiners:</w:t>
            </w:r>
          </w:p>
          <w:p w:rsidR="009C3B79" w:rsidRPr="008E780F" w:rsidP="009C3B79" w14:paraId="33A68F5B" w14:textId="2AC4AC51">
            <w:pPr>
              <w:pStyle w:val="CommentText"/>
              <w:spacing w:after="0"/>
              <w:rPr>
                <w:rFonts w:ascii="Times New Roman" w:hAnsi="Times New Roman" w:cs="Times New Roman"/>
                <w:bCs/>
                <w:sz w:val="24"/>
                <w:szCs w:val="24"/>
              </w:rPr>
            </w:pPr>
            <w:hyperlink r:id="rId13" w:history="1">
              <w:r w:rsidRPr="008E780F">
                <w:rPr>
                  <w:rStyle w:val="Hyperlink"/>
                  <w:rFonts w:ascii="Times New Roman" w:hAnsi="Times New Roman" w:cs="Times New Roman"/>
                  <w:bCs/>
                  <w:sz w:val="24"/>
                  <w:szCs w:val="24"/>
                </w:rPr>
                <w:t>matthew.sandor@puco.ohio.gov</w:t>
              </w:r>
            </w:hyperlink>
          </w:p>
          <w:p w:rsidR="00D81469" w:rsidRPr="008E780F" w:rsidP="009C3B79" w14:paraId="3806ECAE" w14:textId="0F13871C">
            <w:pPr>
              <w:pStyle w:val="CommentText"/>
              <w:spacing w:after="0"/>
              <w:rPr>
                <w:rFonts w:ascii="Times New Roman" w:hAnsi="Times New Roman" w:cs="Times New Roman"/>
                <w:bCs/>
                <w:sz w:val="24"/>
                <w:szCs w:val="24"/>
              </w:rPr>
            </w:pPr>
            <w:hyperlink r:id="rId14" w:history="1">
              <w:r w:rsidRPr="008E780F">
                <w:rPr>
                  <w:rStyle w:val="Hyperlink"/>
                  <w:rFonts w:ascii="Times New Roman" w:hAnsi="Times New Roman" w:cs="Times New Roman"/>
                  <w:bCs/>
                  <w:sz w:val="24"/>
                  <w:szCs w:val="24"/>
                </w:rPr>
                <w:t>nicholas.walstra@puco.ohio.gov</w:t>
              </w:r>
            </w:hyperlink>
          </w:p>
          <w:p w:rsidR="009C3B79" w:rsidRPr="008E780F" w:rsidP="009C3B79" w14:paraId="643AF8DB" w14:textId="77777777">
            <w:pPr>
              <w:pStyle w:val="CommentText"/>
              <w:spacing w:after="0"/>
              <w:rPr>
                <w:rFonts w:ascii="Times New Roman" w:hAnsi="Times New Roman" w:cs="Times New Roman"/>
                <w:bCs/>
                <w:sz w:val="24"/>
                <w:szCs w:val="24"/>
              </w:rPr>
            </w:pPr>
          </w:p>
          <w:p w:rsidR="009C3B79" w:rsidRPr="008E780F" w:rsidP="009C3B79" w14:paraId="61318669" w14:textId="77777777">
            <w:pPr>
              <w:pStyle w:val="CommentText"/>
              <w:spacing w:after="0"/>
              <w:rPr>
                <w:rFonts w:ascii="Times New Roman" w:hAnsi="Times New Roman" w:cs="Times New Roman"/>
                <w:bCs/>
                <w:sz w:val="24"/>
                <w:szCs w:val="24"/>
              </w:rPr>
            </w:pPr>
          </w:p>
          <w:p w:rsidR="009C3B79" w:rsidRPr="008E780F" w:rsidP="009C3B79" w14:paraId="4F2021DE" w14:textId="77777777">
            <w:pPr>
              <w:pStyle w:val="CommentText"/>
              <w:spacing w:after="0"/>
              <w:rPr>
                <w:rFonts w:ascii="Times New Roman" w:hAnsi="Times New Roman" w:cs="Times New Roman"/>
                <w:bCs/>
                <w:sz w:val="24"/>
                <w:szCs w:val="24"/>
              </w:rPr>
            </w:pPr>
          </w:p>
          <w:p w:rsidR="009C3B79" w:rsidRPr="008E780F" w:rsidP="009C3B79" w14:paraId="1CE47C2B" w14:textId="77777777">
            <w:pPr>
              <w:pStyle w:val="CommentText"/>
              <w:spacing w:after="0"/>
              <w:rPr>
                <w:rFonts w:ascii="Times New Roman" w:hAnsi="Times New Roman" w:cs="Times New Roman"/>
                <w:bCs/>
                <w:sz w:val="24"/>
                <w:szCs w:val="24"/>
              </w:rPr>
            </w:pPr>
          </w:p>
          <w:p w:rsidR="009C3B79" w:rsidRPr="008E780F" w:rsidP="009C3B79" w14:paraId="6846ADD5" w14:textId="77777777">
            <w:pPr>
              <w:pStyle w:val="CommentText"/>
              <w:spacing w:after="0"/>
              <w:rPr>
                <w:rFonts w:ascii="Times New Roman" w:hAnsi="Times New Roman" w:cs="Times New Roman"/>
                <w:bCs/>
                <w:sz w:val="24"/>
                <w:szCs w:val="24"/>
              </w:rPr>
            </w:pPr>
          </w:p>
          <w:p w:rsidR="009C3B79" w:rsidRPr="008E780F" w:rsidP="009C3B79" w14:paraId="7A87B153" w14:textId="77777777">
            <w:pPr>
              <w:pStyle w:val="CommentText"/>
              <w:spacing w:after="0"/>
              <w:rPr>
                <w:rFonts w:ascii="Times New Roman" w:hAnsi="Times New Roman" w:cs="Times New Roman"/>
                <w:bCs/>
                <w:sz w:val="24"/>
                <w:szCs w:val="24"/>
              </w:rPr>
            </w:pPr>
          </w:p>
        </w:tc>
        <w:tc>
          <w:tcPr>
            <w:tcW w:w="4320" w:type="dxa"/>
            <w:shd w:val="clear" w:color="auto" w:fill="auto"/>
          </w:tcPr>
          <w:p w:rsidR="009C3B79" w:rsidRPr="008E780F" w:rsidP="009C3B79" w14:paraId="42AAA96D" w14:textId="77777777">
            <w:pPr>
              <w:pStyle w:val="CommentText"/>
              <w:spacing w:after="0"/>
              <w:rPr>
                <w:rFonts w:ascii="Times New Roman" w:hAnsi="Times New Roman" w:cs="Times New Roman"/>
                <w:bCs/>
                <w:sz w:val="24"/>
                <w:szCs w:val="24"/>
              </w:rPr>
            </w:pPr>
            <w:hyperlink r:id="rId15" w:history="1">
              <w:r w:rsidRPr="008E780F">
                <w:rPr>
                  <w:rStyle w:val="Hyperlink"/>
                  <w:rFonts w:ascii="Times New Roman" w:hAnsi="Times New Roman" w:cs="Times New Roman"/>
                  <w:bCs/>
                  <w:sz w:val="24"/>
                  <w:szCs w:val="24"/>
                </w:rPr>
                <w:t>Rocco.DAscenzo@duke-energy.com</w:t>
              </w:r>
            </w:hyperlink>
          </w:p>
          <w:p w:rsidR="009C3B79" w:rsidRPr="008E780F" w:rsidP="009C3B79" w14:paraId="28328035" w14:textId="77777777">
            <w:pPr>
              <w:pStyle w:val="CommentText"/>
              <w:spacing w:after="0"/>
              <w:rPr>
                <w:rFonts w:ascii="Times New Roman" w:hAnsi="Times New Roman" w:cs="Times New Roman"/>
                <w:bCs/>
                <w:sz w:val="24"/>
                <w:szCs w:val="24"/>
              </w:rPr>
            </w:pPr>
            <w:hyperlink r:id="rId16" w:history="1">
              <w:r w:rsidRPr="008E780F">
                <w:rPr>
                  <w:rStyle w:val="Hyperlink"/>
                  <w:rFonts w:ascii="Times New Roman" w:hAnsi="Times New Roman" w:cs="Times New Roman"/>
                  <w:bCs/>
                  <w:sz w:val="24"/>
                  <w:szCs w:val="24"/>
                </w:rPr>
                <w:t>Jeanne.Kingery@duke-energy.com</w:t>
              </w:r>
            </w:hyperlink>
          </w:p>
          <w:p w:rsidR="009C3B79" w:rsidRPr="008E780F" w:rsidP="009C3B79" w14:paraId="346D4147" w14:textId="77777777">
            <w:pPr>
              <w:pStyle w:val="CommentText"/>
              <w:spacing w:after="0"/>
              <w:rPr>
                <w:rFonts w:ascii="Times New Roman" w:hAnsi="Times New Roman" w:cs="Times New Roman"/>
                <w:bCs/>
                <w:sz w:val="24"/>
                <w:szCs w:val="24"/>
              </w:rPr>
            </w:pPr>
            <w:hyperlink r:id="rId17" w:history="1">
              <w:r w:rsidRPr="008E780F">
                <w:rPr>
                  <w:rStyle w:val="Hyperlink"/>
                  <w:rFonts w:ascii="Times New Roman" w:hAnsi="Times New Roman" w:cs="Times New Roman"/>
                  <w:bCs/>
                  <w:sz w:val="24"/>
                  <w:szCs w:val="24"/>
                </w:rPr>
                <w:t>Larisa.Vaysman@duke-energy.com</w:t>
              </w:r>
            </w:hyperlink>
          </w:p>
          <w:p w:rsidR="009C3B79" w:rsidRPr="008E780F" w:rsidP="009C3B79" w14:paraId="5E6E1A55" w14:textId="77777777">
            <w:pPr>
              <w:pStyle w:val="CommentText"/>
              <w:spacing w:after="0"/>
              <w:rPr>
                <w:rFonts w:ascii="Times New Roman" w:hAnsi="Times New Roman" w:cs="Times New Roman"/>
                <w:bCs/>
                <w:sz w:val="24"/>
                <w:szCs w:val="24"/>
              </w:rPr>
            </w:pPr>
          </w:p>
        </w:tc>
      </w:tr>
      <w:tr w14:paraId="3C7C3C8D" w14:textId="77777777" w:rsidTr="009C3B79">
        <w:tblPrEx>
          <w:tblW w:w="0" w:type="auto"/>
          <w:tblLook w:val="04A0"/>
        </w:tblPrEx>
        <w:tc>
          <w:tcPr>
            <w:tcW w:w="4320" w:type="dxa"/>
            <w:shd w:val="clear" w:color="auto" w:fill="auto"/>
          </w:tcPr>
          <w:p w:rsidR="00E14D5C" w:rsidRPr="008E780F" w:rsidP="00E14D5C" w14:paraId="22368A80" w14:textId="77777777">
            <w:pPr>
              <w:pStyle w:val="CommentText"/>
              <w:spacing w:after="0"/>
              <w:rPr>
                <w:rFonts w:ascii="Times New Roman" w:hAnsi="Times New Roman" w:cs="Times New Roman"/>
                <w:bCs/>
                <w:sz w:val="24"/>
                <w:szCs w:val="24"/>
              </w:rPr>
            </w:pPr>
          </w:p>
        </w:tc>
        <w:tc>
          <w:tcPr>
            <w:tcW w:w="4320" w:type="dxa"/>
            <w:shd w:val="clear" w:color="auto" w:fill="auto"/>
          </w:tcPr>
          <w:p w:rsidR="00E14D5C" w:rsidRPr="008E780F" w:rsidP="00E14D5C" w14:paraId="56CE1EB0" w14:textId="77777777">
            <w:pPr>
              <w:pStyle w:val="CommentText"/>
              <w:spacing w:after="0"/>
              <w:rPr>
                <w:rFonts w:ascii="Times New Roman" w:hAnsi="Times New Roman" w:cs="Times New Roman"/>
                <w:bCs/>
                <w:sz w:val="24"/>
                <w:szCs w:val="24"/>
              </w:rPr>
            </w:pPr>
          </w:p>
        </w:tc>
      </w:tr>
    </w:tbl>
    <w:p w:rsidR="0053250C" w:rsidRPr="008E780F" w:rsidP="00E14D5C" w14:paraId="7AB16505" w14:textId="77777777">
      <w:pPr>
        <w:pStyle w:val="CommentSubject"/>
        <w:rPr>
          <w:rFonts w:ascii="Times New Roman" w:hAnsi="Times New Roman" w:cs="Times New Roman"/>
          <w:sz w:val="24"/>
          <w:szCs w:val="24"/>
        </w:rPr>
      </w:pPr>
    </w:p>
    <w:sectPr w:rsidSect="003832AA">
      <w:footerReference w:type="default" r:id="rId18"/>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2171992"/>
      <w:docPartObj>
        <w:docPartGallery w:val="Page Numbers (Bottom of Page)"/>
        <w:docPartUnique/>
      </w:docPartObj>
    </w:sdtPr>
    <w:sdtEndPr>
      <w:rPr>
        <w:noProof/>
      </w:rPr>
    </w:sdtEndPr>
    <w:sdtContent>
      <w:p w:rsidR="007C1EEC" w14:paraId="4EA9AC2C" w14:textId="5D3D3DF2">
        <w:pPr>
          <w:pStyle w:val="Footer"/>
          <w:jc w:val="center"/>
        </w:pPr>
      </w:p>
    </w:sdtContent>
  </w:sdt>
  <w:p w:rsidR="007C1EEC" w14:paraId="63C653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407996589"/>
      <w:docPartObj>
        <w:docPartGallery w:val="Page Numbers (Bottom of Page)"/>
        <w:docPartUnique/>
      </w:docPartObj>
    </w:sdtPr>
    <w:sdtEndPr>
      <w:rPr>
        <w:noProof/>
      </w:rPr>
    </w:sdtEndPr>
    <w:sdtContent>
      <w:p w:rsidR="007C1EEC" w:rsidRPr="00CF0928" w14:paraId="6103F2D1" w14:textId="2FFB481B">
        <w:pPr>
          <w:pStyle w:val="Footer"/>
          <w:jc w:val="center"/>
          <w:rPr>
            <w:rFonts w:ascii="Times New Roman" w:hAnsi="Times New Roman" w:cs="Times New Roman"/>
            <w:sz w:val="24"/>
            <w:szCs w:val="24"/>
          </w:rPr>
        </w:pPr>
        <w:r w:rsidRPr="00CF0928">
          <w:rPr>
            <w:rFonts w:ascii="Times New Roman" w:hAnsi="Times New Roman" w:cs="Times New Roman"/>
            <w:sz w:val="24"/>
            <w:szCs w:val="24"/>
          </w:rPr>
          <w:fldChar w:fldCharType="begin"/>
        </w:r>
        <w:r w:rsidRPr="00CF0928">
          <w:rPr>
            <w:rFonts w:ascii="Times New Roman" w:hAnsi="Times New Roman" w:cs="Times New Roman"/>
            <w:sz w:val="24"/>
            <w:szCs w:val="24"/>
          </w:rPr>
          <w:instrText xml:space="preserve"> PAGE   \* MERGEFORMAT </w:instrText>
        </w:r>
        <w:r w:rsidRPr="00CF0928">
          <w:rPr>
            <w:rFonts w:ascii="Times New Roman" w:hAnsi="Times New Roman" w:cs="Times New Roman"/>
            <w:sz w:val="24"/>
            <w:szCs w:val="24"/>
          </w:rPr>
          <w:fldChar w:fldCharType="separate"/>
        </w:r>
        <w:r w:rsidRPr="00CF0928">
          <w:rPr>
            <w:rFonts w:ascii="Times New Roman" w:hAnsi="Times New Roman" w:cs="Times New Roman"/>
            <w:noProof/>
            <w:sz w:val="24"/>
            <w:szCs w:val="24"/>
          </w:rPr>
          <w:t>i</w:t>
        </w:r>
        <w:r w:rsidRPr="00CF0928">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8848336"/>
      <w:docPartObj>
        <w:docPartGallery w:val="Page Numbers (Bottom of Page)"/>
        <w:docPartUnique/>
      </w:docPartObj>
    </w:sdtPr>
    <w:sdtEndPr>
      <w:rPr>
        <w:rFonts w:ascii="Times New Roman" w:hAnsi="Times New Roman" w:cs="Times New Roman"/>
        <w:noProof/>
        <w:sz w:val="24"/>
        <w:szCs w:val="24"/>
      </w:rPr>
    </w:sdtEndPr>
    <w:sdtContent>
      <w:p w:rsidR="00F94B21" w:rsidRPr="00F94B21" w14:paraId="182BEE91" w14:textId="77777777">
        <w:pPr>
          <w:pStyle w:val="Footer"/>
          <w:jc w:val="center"/>
          <w:rPr>
            <w:rFonts w:ascii="Times New Roman" w:hAnsi="Times New Roman" w:cs="Times New Roman"/>
            <w:sz w:val="24"/>
            <w:szCs w:val="24"/>
          </w:rPr>
        </w:pPr>
        <w:r w:rsidRPr="00F94B21">
          <w:rPr>
            <w:rFonts w:ascii="Times New Roman" w:hAnsi="Times New Roman" w:cs="Times New Roman"/>
            <w:sz w:val="24"/>
            <w:szCs w:val="24"/>
          </w:rPr>
          <w:fldChar w:fldCharType="begin"/>
        </w:r>
        <w:r w:rsidRPr="00F94B21">
          <w:rPr>
            <w:rFonts w:ascii="Times New Roman" w:hAnsi="Times New Roman" w:cs="Times New Roman"/>
            <w:sz w:val="24"/>
            <w:szCs w:val="24"/>
          </w:rPr>
          <w:instrText xml:space="preserve"> PAGE   \* MERGEFORMAT </w:instrText>
        </w:r>
        <w:r w:rsidRPr="00F94B21">
          <w:rPr>
            <w:rFonts w:ascii="Times New Roman" w:hAnsi="Times New Roman" w:cs="Times New Roman"/>
            <w:sz w:val="24"/>
            <w:szCs w:val="24"/>
          </w:rPr>
          <w:fldChar w:fldCharType="separate"/>
        </w:r>
        <w:r w:rsidRPr="00F94B21">
          <w:rPr>
            <w:rFonts w:ascii="Times New Roman" w:hAnsi="Times New Roman" w:cs="Times New Roman"/>
            <w:noProof/>
            <w:sz w:val="24"/>
            <w:szCs w:val="24"/>
          </w:rPr>
          <w:t>2</w:t>
        </w:r>
        <w:r w:rsidRPr="00F94B2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551" w:rsidP="0053250C" w14:paraId="7D287D4C" w14:textId="77777777">
      <w:r>
        <w:separator/>
      </w:r>
    </w:p>
  </w:footnote>
  <w:footnote w:type="continuationSeparator" w:id="1">
    <w:p w:rsidR="00FF1551" w:rsidP="0053250C" w14:paraId="7D0F61D7" w14:textId="77777777">
      <w:r>
        <w:continuationSeparator/>
      </w:r>
    </w:p>
  </w:footnote>
  <w:footnote w:id="2">
    <w:p w:rsidR="007C1EEC" w:rsidRPr="006B3902" w:rsidP="008E54DA" w14:paraId="3E4E52D0" w14:textId="5DC57A6A">
      <w:pPr>
        <w:autoSpaceDE w:val="0"/>
        <w:autoSpaceDN w:val="0"/>
        <w:adjustRightInd w:val="0"/>
        <w:spacing w:after="120"/>
        <w:rPr>
          <w:sz w:val="20"/>
          <w:szCs w:val="20"/>
        </w:rPr>
      </w:pPr>
      <w:r w:rsidRPr="006B3902">
        <w:rPr>
          <w:rStyle w:val="FootnoteReference"/>
          <w:sz w:val="20"/>
          <w:szCs w:val="20"/>
        </w:rPr>
        <w:footnoteRef/>
      </w:r>
      <w:r w:rsidRPr="006B3902">
        <w:rPr>
          <w:sz w:val="20"/>
          <w:szCs w:val="20"/>
        </w:rPr>
        <w:t xml:space="preserve"> </w:t>
      </w:r>
      <w:r w:rsidRPr="006B3902">
        <w:rPr>
          <w:i/>
          <w:iCs/>
          <w:sz w:val="20"/>
          <w:szCs w:val="20"/>
        </w:rPr>
        <w:t>See</w:t>
      </w:r>
      <w:r w:rsidRPr="006B3902" w:rsidR="002C7514">
        <w:rPr>
          <w:i/>
          <w:iCs/>
          <w:sz w:val="20"/>
          <w:szCs w:val="20"/>
        </w:rPr>
        <w:t>,</w:t>
      </w:r>
      <w:r w:rsidRPr="006B3902">
        <w:rPr>
          <w:i/>
          <w:iCs/>
          <w:sz w:val="20"/>
          <w:szCs w:val="20"/>
        </w:rPr>
        <w:t xml:space="preserve"> </w:t>
      </w:r>
      <w:r w:rsidRPr="006B3902">
        <w:rPr>
          <w:sz w:val="20"/>
          <w:szCs w:val="20"/>
        </w:rPr>
        <w:t>AE Entry (Jun</w:t>
      </w:r>
      <w:r w:rsidRPr="006B3902" w:rsidR="007B145B">
        <w:rPr>
          <w:sz w:val="20"/>
          <w:szCs w:val="20"/>
        </w:rPr>
        <w:t>e</w:t>
      </w:r>
      <w:r w:rsidRPr="006B3902">
        <w:rPr>
          <w:sz w:val="20"/>
          <w:szCs w:val="20"/>
        </w:rPr>
        <w:t xml:space="preserve"> 19, 2019) at ¶4; </w:t>
      </w:r>
      <w:r w:rsidRPr="006B3902">
        <w:rPr>
          <w:i/>
          <w:iCs/>
          <w:sz w:val="20"/>
          <w:szCs w:val="20"/>
        </w:rPr>
        <w:t>In re Duke Energy Ohio, Inc</w:t>
      </w:r>
      <w:r w:rsidRPr="006B3902">
        <w:rPr>
          <w:sz w:val="20"/>
          <w:szCs w:val="20"/>
        </w:rPr>
        <w:t>., Case No. 14-841-EL-SSO, et al., Opinion and Order (Apr</w:t>
      </w:r>
      <w:r w:rsidRPr="006B3902" w:rsidR="007B145B">
        <w:rPr>
          <w:sz w:val="20"/>
          <w:szCs w:val="20"/>
        </w:rPr>
        <w:t>il</w:t>
      </w:r>
      <w:r w:rsidRPr="006B3902">
        <w:rPr>
          <w:sz w:val="20"/>
          <w:szCs w:val="20"/>
        </w:rPr>
        <w:t xml:space="preserve"> 2, 2015) (</w:t>
      </w:r>
      <w:r w:rsidRPr="006B3902">
        <w:rPr>
          <w:i/>
          <w:iCs/>
          <w:sz w:val="20"/>
          <w:szCs w:val="20"/>
        </w:rPr>
        <w:t>ESP 3 Case</w:t>
      </w:r>
      <w:r w:rsidRPr="006B3902">
        <w:rPr>
          <w:sz w:val="20"/>
          <w:szCs w:val="20"/>
        </w:rPr>
        <w:t>).</w:t>
      </w:r>
    </w:p>
  </w:footnote>
  <w:footnote w:id="3">
    <w:p w:rsidR="007C1EEC" w:rsidRPr="006B3902" w:rsidP="008E54DA" w14:paraId="48D1A50E" w14:textId="6AA8B938">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Case No. 17-0032-EL-AIR et al., Opinion and Order (Dec</w:t>
      </w:r>
      <w:r w:rsidRPr="006B3902" w:rsidR="007B145B">
        <w:rPr>
          <w:rFonts w:ascii="Times New Roman" w:hAnsi="Times New Roman" w:cs="Times New Roman"/>
        </w:rPr>
        <w:t>ember</w:t>
      </w:r>
      <w:r w:rsidRPr="006B3902">
        <w:rPr>
          <w:rFonts w:ascii="Times New Roman" w:hAnsi="Times New Roman" w:cs="Times New Roman"/>
        </w:rPr>
        <w:t xml:space="preserve"> 19, 2018).</w:t>
      </w:r>
    </w:p>
  </w:footnote>
  <w:footnote w:id="4">
    <w:p w:rsidR="00E1375A" w:rsidRPr="006B3902" w:rsidP="008E780F" w14:paraId="66AE5FF2" w14:textId="3BFEED24">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sidR="007A640C">
        <w:rPr>
          <w:rFonts w:ascii="Times New Roman" w:hAnsi="Times New Roman" w:cs="Times New Roman"/>
          <w:i/>
          <w:iCs/>
        </w:rPr>
        <w:t>Id.</w:t>
      </w:r>
    </w:p>
  </w:footnote>
  <w:footnote w:id="5">
    <w:p w:rsidR="00E1375A" w:rsidRPr="006B3902" w:rsidP="008E780F" w14:paraId="3643B650" w14:textId="264A9BC5">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sidR="00B31590">
        <w:rPr>
          <w:rFonts w:ascii="Times New Roman" w:hAnsi="Times New Roman" w:cs="Times New Roman"/>
          <w:i/>
          <w:iCs/>
        </w:rPr>
        <w:t xml:space="preserve">See </w:t>
      </w:r>
      <w:r w:rsidRPr="006B3902" w:rsidR="00B31590">
        <w:rPr>
          <w:rFonts w:ascii="Times New Roman" w:hAnsi="Times New Roman" w:cs="Times New Roman"/>
        </w:rPr>
        <w:t>Case No. 20-1205-EL-RDR.</w:t>
      </w:r>
    </w:p>
  </w:footnote>
  <w:footnote w:id="6">
    <w:p w:rsidR="007C1EEC" w:rsidRPr="006B3902" w:rsidP="008E54DA" w14:paraId="694EDCC9" w14:textId="5145BA5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See</w:t>
      </w:r>
      <w:r w:rsidRPr="006B3902" w:rsidR="002C7514">
        <w:rPr>
          <w:rFonts w:ascii="Times New Roman" w:hAnsi="Times New Roman" w:cs="Times New Roman"/>
          <w:i/>
          <w:iCs/>
        </w:rPr>
        <w:t xml:space="preserve">, </w:t>
      </w:r>
      <w:r w:rsidRPr="006B3902">
        <w:rPr>
          <w:rFonts w:ascii="Times New Roman" w:hAnsi="Times New Roman" w:cs="Times New Roman"/>
        </w:rPr>
        <w:t xml:space="preserve">Case No. </w:t>
      </w:r>
      <w:r w:rsidRPr="006B3902" w:rsidR="007A1C34">
        <w:rPr>
          <w:rFonts w:ascii="Times New Roman" w:hAnsi="Times New Roman" w:cs="Times New Roman"/>
        </w:rPr>
        <w:t>21</w:t>
      </w:r>
      <w:r w:rsidRPr="006B3902">
        <w:rPr>
          <w:rFonts w:ascii="Times New Roman" w:hAnsi="Times New Roman" w:cs="Times New Roman"/>
        </w:rPr>
        <w:t>-</w:t>
      </w:r>
      <w:r w:rsidRPr="006B3902" w:rsidR="007A1C34">
        <w:rPr>
          <w:rFonts w:ascii="Times New Roman" w:hAnsi="Times New Roman" w:cs="Times New Roman"/>
        </w:rPr>
        <w:t>573</w:t>
      </w:r>
      <w:r w:rsidRPr="006B3902">
        <w:rPr>
          <w:rFonts w:ascii="Times New Roman" w:hAnsi="Times New Roman" w:cs="Times New Roman"/>
        </w:rPr>
        <w:t xml:space="preserve">-EL-RDR, Compliance Audit of the July 1, </w:t>
      </w:r>
      <w:r w:rsidRPr="006B3902" w:rsidR="007A1C34">
        <w:rPr>
          <w:rFonts w:ascii="Times New Roman" w:hAnsi="Times New Roman" w:cs="Times New Roman"/>
        </w:rPr>
        <w:t xml:space="preserve">2020 </w:t>
      </w:r>
      <w:r w:rsidRPr="006B3902">
        <w:rPr>
          <w:rFonts w:ascii="Times New Roman" w:hAnsi="Times New Roman" w:cs="Times New Roman"/>
        </w:rPr>
        <w:t xml:space="preserve">to June 30, </w:t>
      </w:r>
      <w:r w:rsidRPr="006B3902" w:rsidR="007A1C34">
        <w:rPr>
          <w:rFonts w:ascii="Times New Roman" w:hAnsi="Times New Roman" w:cs="Times New Roman"/>
        </w:rPr>
        <w:t>2021</w:t>
      </w:r>
      <w:r w:rsidR="006B3902">
        <w:rPr>
          <w:rFonts w:ascii="Times New Roman" w:hAnsi="Times New Roman" w:cs="Times New Roman"/>
        </w:rPr>
        <w:t xml:space="preserve"> </w:t>
      </w:r>
      <w:r w:rsidRPr="006B3902">
        <w:rPr>
          <w:rFonts w:ascii="Times New Roman" w:hAnsi="Times New Roman" w:cs="Times New Roman"/>
        </w:rPr>
        <w:t>Distribution Capital Investment Rider (“Rider DCI”) Duke Energy Ohio (</w:t>
      </w:r>
      <w:r w:rsidRPr="006B3902" w:rsidR="007A1C34">
        <w:rPr>
          <w:rFonts w:ascii="Times New Roman" w:hAnsi="Times New Roman" w:cs="Times New Roman"/>
        </w:rPr>
        <w:t>December 3</w:t>
      </w:r>
      <w:r w:rsidRPr="006B3902">
        <w:rPr>
          <w:rFonts w:ascii="Times New Roman" w:hAnsi="Times New Roman" w:cs="Times New Roman"/>
        </w:rPr>
        <w:t>, 2021). (“Audit Report”).</w:t>
      </w:r>
    </w:p>
  </w:footnote>
  <w:footnote w:id="7">
    <w:p w:rsidR="007C1EEC" w:rsidRPr="006B3902" w:rsidP="008E54DA" w14:paraId="45698AF3" w14:textId="5A990FF9">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rPr>
        <w:t xml:space="preserve">See </w:t>
      </w:r>
      <w:r w:rsidRPr="006B3902">
        <w:rPr>
          <w:rFonts w:ascii="Times New Roman" w:hAnsi="Times New Roman" w:cs="Times New Roman"/>
        </w:rPr>
        <w:t>Audit Report at 2</w:t>
      </w:r>
      <w:r w:rsidRPr="006B3902" w:rsidR="007A1C34">
        <w:rPr>
          <w:rFonts w:ascii="Times New Roman" w:hAnsi="Times New Roman" w:cs="Times New Roman"/>
        </w:rPr>
        <w:t xml:space="preserve"> and Duke quarterly Rider DCI filings in Case No. 20-1530-EL-RDR</w:t>
      </w:r>
      <w:r w:rsidR="006B3902">
        <w:rPr>
          <w:rFonts w:ascii="Times New Roman" w:hAnsi="Times New Roman" w:cs="Times New Roman"/>
        </w:rPr>
        <w:t>.</w:t>
      </w:r>
    </w:p>
  </w:footnote>
  <w:footnote w:id="8">
    <w:p w:rsidR="007C1EEC" w:rsidRPr="006B3902" w14:paraId="0A215870" w14:textId="69994E5B">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See</w:t>
      </w:r>
      <w:r w:rsidRPr="006B3902">
        <w:rPr>
          <w:rFonts w:ascii="Times New Roman" w:hAnsi="Times New Roman" w:cs="Times New Roman"/>
        </w:rPr>
        <w:t>, Audit Report</w:t>
      </w:r>
      <w:r w:rsidRPr="006B3902" w:rsidR="007A1C34">
        <w:rPr>
          <w:rFonts w:ascii="Times New Roman" w:hAnsi="Times New Roman" w:cs="Times New Roman"/>
        </w:rPr>
        <w:t xml:space="preserve"> ‘Summary Findings and Recommendations by Task”</w:t>
      </w:r>
      <w:r w:rsidRPr="006B3902">
        <w:rPr>
          <w:rFonts w:ascii="Times New Roman" w:hAnsi="Times New Roman" w:cs="Times New Roman"/>
        </w:rPr>
        <w:t xml:space="preserve"> at </w:t>
      </w:r>
      <w:r w:rsidRPr="006B3902" w:rsidR="007A1C34">
        <w:rPr>
          <w:rFonts w:ascii="Times New Roman" w:hAnsi="Times New Roman" w:cs="Times New Roman"/>
        </w:rPr>
        <w:t>4-16</w:t>
      </w:r>
      <w:r w:rsidRPr="006B3902" w:rsidR="00B96DD3">
        <w:rPr>
          <w:rFonts w:ascii="Times New Roman" w:hAnsi="Times New Roman" w:cs="Times New Roman"/>
        </w:rPr>
        <w:t xml:space="preserve"> and Table 12</w:t>
      </w:r>
      <w:r w:rsidRPr="006B3902">
        <w:rPr>
          <w:rFonts w:ascii="Times New Roman" w:hAnsi="Times New Roman" w:cs="Times New Roman"/>
        </w:rPr>
        <w:t>.</w:t>
      </w:r>
    </w:p>
  </w:footnote>
  <w:footnote w:id="9">
    <w:p w:rsidR="007B28BD" w:rsidRPr="006B3902" w:rsidP="008E780F" w14:paraId="56553099" w14:textId="6FE060B6">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sidR="008B014F">
        <w:rPr>
          <w:rFonts w:ascii="Times New Roman" w:hAnsi="Times New Roman" w:cs="Times New Roman"/>
          <w:i/>
          <w:iCs/>
        </w:rPr>
        <w:t>See</w:t>
      </w:r>
      <w:r w:rsidRPr="006B3902" w:rsidR="008B014F">
        <w:rPr>
          <w:rFonts w:ascii="Times New Roman" w:hAnsi="Times New Roman" w:cs="Times New Roman"/>
        </w:rPr>
        <w:t xml:space="preserve"> Request for Proposal at 2 (June 2, 2021).</w:t>
      </w:r>
    </w:p>
  </w:footnote>
  <w:footnote w:id="10">
    <w:p w:rsidR="008E54DA" w:rsidRPr="006B3902" w:rsidP="008E54DA" w14:paraId="17B7CCE2"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 xml:space="preserve">See, </w:t>
      </w:r>
      <w:r w:rsidRPr="006B3902">
        <w:rPr>
          <w:rFonts w:ascii="Times New Roman" w:hAnsi="Times New Roman" w:cs="Times New Roman"/>
        </w:rPr>
        <w:t xml:space="preserve">Case No. 17-0032-EL-AIR et al., Opinion and Order ¶ ¶113-116 (December 19, 2018). </w:t>
      </w:r>
    </w:p>
  </w:footnote>
  <w:footnote w:id="11">
    <w:p w:rsidR="008E54DA" w:rsidRPr="006B3902" w:rsidP="008E54DA" w14:paraId="013BC21D"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Audit Report at 6.</w:t>
      </w:r>
    </w:p>
  </w:footnote>
  <w:footnote w:id="12">
    <w:p w:rsidR="008E54DA" w:rsidRPr="006B3902" w:rsidP="008E54DA" w14:paraId="6C927500" w14:textId="77777777">
      <w:pPr>
        <w:pStyle w:val="FootnoteText"/>
        <w:spacing w:after="120"/>
        <w:rPr>
          <w:rFonts w:ascii="Times New Roman" w:hAnsi="Times New Roman" w:cs="Times New Roman"/>
          <w:i/>
          <w:iCs/>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3">
    <w:p w:rsidR="008E54DA" w:rsidRPr="006B3902" w:rsidP="008E54DA" w14:paraId="499F701F"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4">
    <w:p w:rsidR="008E54DA" w:rsidRPr="006B3902" w14:paraId="049D22AB" w14:textId="77777777">
      <w:pPr>
        <w:pStyle w:val="FootnoteText"/>
        <w:spacing w:after="120"/>
        <w:rPr>
          <w:rFonts w:ascii="Times New Roman" w:hAnsi="Times New Roman" w:cs="Times New Roman"/>
          <w:i/>
          <w:iCs/>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5">
    <w:p w:rsidR="008E54DA" w:rsidRPr="006B3902" w14:paraId="1B479F96" w14:textId="77777777">
      <w:pPr>
        <w:pStyle w:val="FootnoteText"/>
        <w:spacing w:after="120"/>
        <w:rPr>
          <w:rFonts w:ascii="Times New Roman" w:hAnsi="Times New Roman" w:cs="Times New Roman"/>
          <w:i/>
          <w:iCs/>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6">
    <w:p w:rsidR="008E54DA" w:rsidRPr="006B3902" w14:paraId="25C21071" w14:textId="77777777">
      <w:pPr>
        <w:pStyle w:val="FootnoteText"/>
        <w:spacing w:after="120"/>
        <w:rPr>
          <w:rFonts w:ascii="Times New Roman" w:hAnsi="Times New Roman" w:cs="Times New Roman"/>
          <w:i/>
          <w:iCs/>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7">
    <w:p w:rsidR="008E54DA" w:rsidRPr="006B3902" w14:paraId="20FD7573" w14:textId="77777777">
      <w:pPr>
        <w:pStyle w:val="FootnoteText"/>
        <w:spacing w:after="120"/>
        <w:rPr>
          <w:rFonts w:ascii="Times New Roman" w:hAnsi="Times New Roman" w:cs="Times New Roman"/>
          <w:i/>
          <w:iCs/>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8">
    <w:p w:rsidR="008E54DA" w:rsidRPr="006B3902" w14:paraId="368F91AC" w14:textId="77777777">
      <w:pPr>
        <w:pStyle w:val="FootnoteText"/>
        <w:spacing w:after="120"/>
        <w:rPr>
          <w:rFonts w:ascii="Times New Roman" w:hAnsi="Times New Roman" w:cs="Times New Roman"/>
          <w:i/>
          <w:iCs/>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19">
    <w:p w:rsidR="008E54DA" w:rsidRPr="006B3902" w14:paraId="3CD4459B"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Audit Report at 7.</w:t>
      </w:r>
    </w:p>
  </w:footnote>
  <w:footnote w:id="20">
    <w:p w:rsidR="008E54DA" w:rsidRPr="006B3902" w14:paraId="1C688F23"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21">
    <w:p w:rsidR="008E54DA" w:rsidRPr="006B3902" w14:paraId="7247F872"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22">
    <w:p w:rsidR="008E54DA" w:rsidRPr="006B3902" w14:paraId="4E13193C"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23">
    <w:p w:rsidR="008E54DA" w:rsidRPr="006B3902" w14:paraId="4DBBFB52"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24">
    <w:p w:rsidR="008E54DA" w:rsidRPr="006B3902" w14:paraId="3FA5618A"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25">
    <w:p w:rsidR="008E54DA" w:rsidRPr="006B3902" w14:paraId="469BC26D"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Audit Report at 7-8.</w:t>
      </w:r>
    </w:p>
  </w:footnote>
  <w:footnote w:id="26">
    <w:p w:rsidR="008E54DA" w:rsidRPr="006B3902" w14:paraId="607E9A86"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 xml:space="preserve">Id. </w:t>
      </w:r>
      <w:r w:rsidRPr="006B3902">
        <w:rPr>
          <w:rFonts w:ascii="Times New Roman" w:hAnsi="Times New Roman" w:cs="Times New Roman"/>
        </w:rPr>
        <w:t>at 8.</w:t>
      </w:r>
    </w:p>
  </w:footnote>
  <w:footnote w:id="27">
    <w:p w:rsidR="008E54DA" w:rsidRPr="006B3902" w14:paraId="73FAF918"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p>
  </w:footnote>
  <w:footnote w:id="28">
    <w:p w:rsidR="008E54DA" w:rsidRPr="006B3902" w14:paraId="7E32F591" w14:textId="77777777">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Audit Report at 15-16.</w:t>
      </w:r>
    </w:p>
  </w:footnote>
  <w:footnote w:id="29">
    <w:p w:rsidR="007C1EEC" w:rsidRPr="006B3902" w14:paraId="36E18D98" w14:textId="585CD530">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rPr>
        <w:t>See</w:t>
      </w:r>
      <w:r w:rsidRPr="006B3902" w:rsidR="002C7514">
        <w:rPr>
          <w:rFonts w:ascii="Times New Roman" w:hAnsi="Times New Roman" w:cs="Times New Roman"/>
          <w:i/>
        </w:rPr>
        <w:t>,</w:t>
      </w:r>
      <w:r w:rsidRPr="006B3902">
        <w:rPr>
          <w:rFonts w:ascii="Times New Roman" w:hAnsi="Times New Roman" w:cs="Times New Roman"/>
        </w:rPr>
        <w:t xml:space="preserve"> PUCO Case No. 17-0032-EL-AIR et al., Opinion and Order ¶113 (Dec</w:t>
      </w:r>
      <w:r w:rsidRPr="006B3902" w:rsidR="007B145B">
        <w:rPr>
          <w:rFonts w:ascii="Times New Roman" w:hAnsi="Times New Roman" w:cs="Times New Roman"/>
        </w:rPr>
        <w:t>ember</w:t>
      </w:r>
      <w:r w:rsidRPr="006B3902">
        <w:rPr>
          <w:rFonts w:ascii="Times New Roman" w:hAnsi="Times New Roman" w:cs="Times New Roman"/>
        </w:rPr>
        <w:t xml:space="preserve"> 19, 2018).</w:t>
      </w:r>
      <w:r w:rsidRPr="006B3902" w:rsidR="000E3F83">
        <w:rPr>
          <w:rFonts w:ascii="Times New Roman" w:hAnsi="Times New Roman" w:cs="Times New Roman"/>
        </w:rPr>
        <w:t xml:space="preserve"> </w:t>
      </w:r>
      <w:r w:rsidRPr="006B3902">
        <w:rPr>
          <w:rFonts w:ascii="Times New Roman" w:hAnsi="Times New Roman" w:cs="Times New Roman"/>
        </w:rPr>
        <w:t>Specifically, the annual DCI revenue caps are: $32 million for 2018; $42.1 million for 2019 or $46.8 million if Duke achieved both reliability standards; an additional $14 million over previous cap for 2020 or up to $18.7 million if Duke achieved both reliability standards; for years 2021 through 2024, the Rider DCI revenue cap will be increased by an additional $18.7 million, each year; and for the period of January 1 through May 31, 2025, the Rider DCI revenue cap will be between the range of $62.4 million and $66.3 million depending on the Company's reliability performance in prior years.</w:t>
      </w:r>
    </w:p>
  </w:footnote>
  <w:footnote w:id="30">
    <w:p w:rsidR="007C1EEC" w:rsidRPr="006B3902" w14:paraId="6B795D2C" w14:textId="1101B6E3">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rPr>
        <w:t>See</w:t>
      </w:r>
      <w:r w:rsidRPr="006B3902" w:rsidR="002C7514">
        <w:rPr>
          <w:rFonts w:ascii="Times New Roman" w:hAnsi="Times New Roman" w:cs="Times New Roman"/>
          <w:i/>
        </w:rPr>
        <w:t>,</w:t>
      </w:r>
      <w:r w:rsidRPr="006B3902">
        <w:rPr>
          <w:rFonts w:ascii="Times New Roman" w:hAnsi="Times New Roman" w:cs="Times New Roman"/>
        </w:rPr>
        <w:t xml:space="preserve"> PUCO Case No. </w:t>
      </w:r>
      <w:r w:rsidRPr="006B3902" w:rsidR="00EF7DD8">
        <w:rPr>
          <w:rFonts w:ascii="Times New Roman" w:hAnsi="Times New Roman" w:cs="Times New Roman"/>
        </w:rPr>
        <w:t>20-1530</w:t>
      </w:r>
      <w:r w:rsidRPr="006B3902">
        <w:rPr>
          <w:rFonts w:ascii="Times New Roman" w:hAnsi="Times New Roman" w:cs="Times New Roman"/>
        </w:rPr>
        <w:t>-EL-RDR</w:t>
      </w:r>
      <w:r w:rsidRPr="006B3902" w:rsidR="008B014F">
        <w:rPr>
          <w:rFonts w:ascii="Times New Roman" w:hAnsi="Times New Roman" w:cs="Times New Roman"/>
        </w:rPr>
        <w:t xml:space="preserve">, </w:t>
      </w:r>
      <w:r w:rsidRPr="006B3902" w:rsidR="00172E9A">
        <w:rPr>
          <w:rFonts w:ascii="Times New Roman" w:hAnsi="Times New Roman" w:cs="Times New Roman"/>
        </w:rPr>
        <w:t>Revised Tariff Pages, PUCO No. 19, Rider DCI Amended 2nd Quarter Report (September 17, 2021)</w:t>
      </w:r>
      <w:r w:rsidRPr="006B3902">
        <w:rPr>
          <w:rFonts w:ascii="Times New Roman" w:hAnsi="Times New Roman" w:cs="Times New Roman"/>
        </w:rPr>
        <w:t>.</w:t>
      </w:r>
    </w:p>
  </w:footnote>
  <w:footnote w:id="31">
    <w:p w:rsidR="007C1EEC" w:rsidRPr="006B3902" w14:paraId="1B3ACBF8" w14:textId="5CDF02BB">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rPr>
        <w:t xml:space="preserve">See, </w:t>
      </w:r>
      <w:r w:rsidRPr="006B3902">
        <w:rPr>
          <w:rFonts w:ascii="Times New Roman" w:hAnsi="Times New Roman" w:cs="Times New Roman"/>
        </w:rPr>
        <w:t xml:space="preserve">PUCO Case No. </w:t>
      </w:r>
      <w:r w:rsidRPr="006B3902" w:rsidR="00864DBD">
        <w:rPr>
          <w:rFonts w:ascii="Times New Roman" w:hAnsi="Times New Roman" w:cs="Times New Roman"/>
        </w:rPr>
        <w:t>20-1530</w:t>
      </w:r>
      <w:r w:rsidRPr="006B3902">
        <w:rPr>
          <w:rFonts w:ascii="Times New Roman" w:hAnsi="Times New Roman" w:cs="Times New Roman"/>
        </w:rPr>
        <w:t xml:space="preserve">-EL-RDR, </w:t>
      </w:r>
      <w:r w:rsidRPr="006B3902" w:rsidR="00864DBD">
        <w:rPr>
          <w:rFonts w:ascii="Times New Roman" w:hAnsi="Times New Roman" w:cs="Times New Roman"/>
        </w:rPr>
        <w:t>Third Quarter Schedules and Tariff Pages</w:t>
      </w:r>
      <w:r w:rsidRPr="006B3902">
        <w:rPr>
          <w:rFonts w:ascii="Times New Roman" w:hAnsi="Times New Roman" w:cs="Times New Roman"/>
        </w:rPr>
        <w:t>, Attachment B</w:t>
      </w:r>
      <w:r w:rsidRPr="006B3902" w:rsidR="00864DBD">
        <w:rPr>
          <w:rFonts w:ascii="Times New Roman" w:hAnsi="Times New Roman" w:cs="Times New Roman"/>
        </w:rPr>
        <w:t xml:space="preserve"> page 1 of 15</w:t>
      </w:r>
      <w:r w:rsidRPr="006B3902">
        <w:rPr>
          <w:rFonts w:ascii="Times New Roman" w:hAnsi="Times New Roman" w:cs="Times New Roman"/>
        </w:rPr>
        <w:t>, Notes (3) (</w:t>
      </w:r>
      <w:r w:rsidRPr="006B3902" w:rsidR="00864DBD">
        <w:rPr>
          <w:rFonts w:ascii="Times New Roman" w:hAnsi="Times New Roman" w:cs="Times New Roman"/>
        </w:rPr>
        <w:t>October 30, 2020</w:t>
      </w:r>
      <w:r w:rsidRPr="006B3902">
        <w:rPr>
          <w:rFonts w:ascii="Times New Roman" w:hAnsi="Times New Roman" w:cs="Times New Roman"/>
        </w:rPr>
        <w:t xml:space="preserve">). </w:t>
      </w:r>
    </w:p>
  </w:footnote>
  <w:footnote w:id="32">
    <w:p w:rsidR="007C1EEC" w:rsidRPr="006B3902" w14:paraId="2B661362" w14:textId="3AF0EBD9">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Case No. 17-0032-EL-AIR, Opinion and Order ¶ 119 (Dec</w:t>
      </w:r>
      <w:r w:rsidRPr="006B3902" w:rsidR="007B145B">
        <w:rPr>
          <w:rFonts w:ascii="Times New Roman" w:hAnsi="Times New Roman" w:cs="Times New Roman"/>
        </w:rPr>
        <w:t>ember</w:t>
      </w:r>
      <w:r w:rsidRPr="006B3902">
        <w:rPr>
          <w:rFonts w:ascii="Times New Roman" w:hAnsi="Times New Roman" w:cs="Times New Roman"/>
        </w:rPr>
        <w:t xml:space="preserve"> 18, 2018). </w:t>
      </w:r>
    </w:p>
  </w:footnote>
  <w:footnote w:id="33">
    <w:p w:rsidR="007C1EEC" w:rsidRPr="006B3902" w14:paraId="06A548A9" w14:textId="7E361448">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Case 17-0032-EL-AIR, Stipulation and Recommendation (April 13, 2018) at 14; </w:t>
      </w:r>
      <w:r w:rsidRPr="006B3902">
        <w:rPr>
          <w:rFonts w:ascii="Times New Roman" w:hAnsi="Times New Roman" w:cs="Times New Roman"/>
          <w:i/>
          <w:iCs/>
        </w:rPr>
        <w:t>see</w:t>
      </w:r>
      <w:r w:rsidRPr="006B3902">
        <w:rPr>
          <w:rFonts w:ascii="Times New Roman" w:hAnsi="Times New Roman" w:cs="Times New Roman"/>
        </w:rPr>
        <w:t>, Opinion and Order ¶ 119 (Dec</w:t>
      </w:r>
      <w:r w:rsidRPr="006B3902" w:rsidR="007B145B">
        <w:rPr>
          <w:rFonts w:ascii="Times New Roman" w:hAnsi="Times New Roman" w:cs="Times New Roman"/>
        </w:rPr>
        <w:t>ember</w:t>
      </w:r>
      <w:r w:rsidRPr="006B3902">
        <w:rPr>
          <w:rFonts w:ascii="Times New Roman" w:hAnsi="Times New Roman" w:cs="Times New Roman"/>
        </w:rPr>
        <w:t xml:space="preserve"> 19, 2018). </w:t>
      </w:r>
    </w:p>
  </w:footnote>
  <w:footnote w:id="34">
    <w:p w:rsidR="007C1EEC" w:rsidRPr="006B3902" w14:paraId="43313F2E" w14:textId="44949401">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Id</w:t>
      </w:r>
      <w:r w:rsidRPr="006B3902">
        <w:rPr>
          <w:rFonts w:ascii="Times New Roman" w:hAnsi="Times New Roman" w:cs="Times New Roman"/>
        </w:rPr>
        <w:t xml:space="preserve">. at 13. </w:t>
      </w:r>
    </w:p>
  </w:footnote>
  <w:footnote w:id="35">
    <w:p w:rsidR="00324806" w:rsidRPr="006B3902" w14:paraId="4194151C" w14:textId="76AFFA99">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sidR="00645AFC">
        <w:rPr>
          <w:rFonts w:ascii="Times New Roman" w:hAnsi="Times New Roman" w:cs="Times New Roman"/>
          <w:i/>
          <w:iCs/>
        </w:rPr>
        <w:t>See</w:t>
      </w:r>
      <w:r w:rsidRPr="006B3902" w:rsidR="00CF0928">
        <w:rPr>
          <w:rFonts w:ascii="Times New Roman" w:hAnsi="Times New Roman" w:cs="Times New Roman"/>
          <w:i/>
          <w:iCs/>
        </w:rPr>
        <w:t>,</w:t>
      </w:r>
      <w:r w:rsidRPr="006B3902" w:rsidR="00645AFC">
        <w:rPr>
          <w:rFonts w:ascii="Times New Roman" w:hAnsi="Times New Roman" w:cs="Times New Roman"/>
        </w:rPr>
        <w:t xml:space="preserve"> Case Nos. 17-032-EL-AIR, et. al, </w:t>
      </w:r>
      <w:bookmarkStart w:id="7" w:name="_Hlk93048106"/>
      <w:r w:rsidRPr="006B3902">
        <w:rPr>
          <w:rFonts w:ascii="Times New Roman" w:hAnsi="Times New Roman" w:cs="Times New Roman"/>
        </w:rPr>
        <w:t>Duke Energy Ohio, Inc.’s Annual Distribution Capital Investment Workplan Report (Dec</w:t>
      </w:r>
      <w:r w:rsidRPr="006B3902" w:rsidR="007B145B">
        <w:rPr>
          <w:rFonts w:ascii="Times New Roman" w:hAnsi="Times New Roman" w:cs="Times New Roman"/>
        </w:rPr>
        <w:t>ember</w:t>
      </w:r>
      <w:r w:rsidRPr="006B3902">
        <w:rPr>
          <w:rFonts w:ascii="Times New Roman" w:hAnsi="Times New Roman" w:cs="Times New Roman"/>
        </w:rPr>
        <w:t xml:space="preserve"> 2, 2019)</w:t>
      </w:r>
      <w:r w:rsidRPr="006B3902" w:rsidR="00645AFC">
        <w:rPr>
          <w:rFonts w:ascii="Times New Roman" w:hAnsi="Times New Roman" w:cs="Times New Roman"/>
        </w:rPr>
        <w:t xml:space="preserve"> (“2020 DCI Workplan) </w:t>
      </w:r>
      <w:bookmarkEnd w:id="7"/>
      <w:r w:rsidRPr="006B3902" w:rsidR="00645AFC">
        <w:rPr>
          <w:rFonts w:ascii="Times New Roman" w:hAnsi="Times New Roman" w:cs="Times New Roman"/>
        </w:rPr>
        <w:t xml:space="preserve">and </w:t>
      </w:r>
      <w:bookmarkStart w:id="8" w:name="_Hlk93067849"/>
      <w:r w:rsidRPr="006B3902" w:rsidR="00645AFC">
        <w:rPr>
          <w:rFonts w:ascii="Times New Roman" w:hAnsi="Times New Roman" w:cs="Times New Roman"/>
        </w:rPr>
        <w:t>Duke Energy Ohio, Inc.’s Annual Distribution Capital Investment Workplan Report (Dec</w:t>
      </w:r>
      <w:r w:rsidRPr="006B3902" w:rsidR="007B145B">
        <w:rPr>
          <w:rFonts w:ascii="Times New Roman" w:hAnsi="Times New Roman" w:cs="Times New Roman"/>
        </w:rPr>
        <w:t>ember</w:t>
      </w:r>
      <w:r w:rsidRPr="006B3902" w:rsidR="00645AFC">
        <w:rPr>
          <w:rFonts w:ascii="Times New Roman" w:hAnsi="Times New Roman" w:cs="Times New Roman"/>
        </w:rPr>
        <w:t xml:space="preserve"> 1, 2020) </w:t>
      </w:r>
      <w:bookmarkEnd w:id="8"/>
      <w:r w:rsidRPr="006B3902" w:rsidR="00645AFC">
        <w:rPr>
          <w:rFonts w:ascii="Times New Roman" w:hAnsi="Times New Roman" w:cs="Times New Roman"/>
        </w:rPr>
        <w:t>(“2021 DCI Workplan)</w:t>
      </w:r>
      <w:r w:rsidRPr="006B3902">
        <w:rPr>
          <w:rFonts w:ascii="Times New Roman" w:hAnsi="Times New Roman" w:cs="Times New Roman"/>
        </w:rPr>
        <w:t xml:space="preserve">. </w:t>
      </w:r>
    </w:p>
  </w:footnote>
  <w:footnote w:id="36">
    <w:p w:rsidR="007C1EEC" w:rsidRPr="006B3902" w14:paraId="1663C89C" w14:textId="304153BE">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See</w:t>
      </w:r>
      <w:r w:rsidRPr="006B3902" w:rsidR="00373911">
        <w:rPr>
          <w:rFonts w:ascii="Times New Roman" w:hAnsi="Times New Roman" w:cs="Times New Roman"/>
          <w:i/>
          <w:iCs/>
        </w:rPr>
        <w:t>,</w:t>
      </w:r>
      <w:r w:rsidRPr="006B3902">
        <w:rPr>
          <w:rFonts w:ascii="Times New Roman" w:hAnsi="Times New Roman" w:cs="Times New Roman"/>
        </w:rPr>
        <w:t xml:space="preserve"> Case 17-0032-EL-AIR, Stipulation and Recommendation (Dec</w:t>
      </w:r>
      <w:r w:rsidRPr="006B3902" w:rsidR="007B145B">
        <w:rPr>
          <w:rFonts w:ascii="Times New Roman" w:hAnsi="Times New Roman" w:cs="Times New Roman"/>
        </w:rPr>
        <w:t>ember</w:t>
      </w:r>
      <w:r w:rsidRPr="006B3902">
        <w:rPr>
          <w:rFonts w:ascii="Times New Roman" w:hAnsi="Times New Roman" w:cs="Times New Roman"/>
        </w:rPr>
        <w:t xml:space="preserve"> 19, 2018) at 41; </w:t>
      </w:r>
      <w:r w:rsidRPr="006B3902" w:rsidR="00373911">
        <w:rPr>
          <w:rFonts w:ascii="Times New Roman" w:hAnsi="Times New Roman" w:cs="Times New Roman"/>
        </w:rPr>
        <w:t>and</w:t>
      </w:r>
      <w:r w:rsidRPr="006B3902">
        <w:rPr>
          <w:rFonts w:ascii="Times New Roman" w:hAnsi="Times New Roman" w:cs="Times New Roman"/>
        </w:rPr>
        <w:t xml:space="preserve"> Opinion and Order ¶¶</w:t>
      </w:r>
      <w:r w:rsidRPr="006B3902" w:rsidR="00373911">
        <w:rPr>
          <w:rFonts w:ascii="Times New Roman" w:hAnsi="Times New Roman" w:cs="Times New Roman"/>
        </w:rPr>
        <w:t xml:space="preserve"> </w:t>
      </w:r>
      <w:r w:rsidRPr="006B3902">
        <w:rPr>
          <w:rFonts w:ascii="Times New Roman" w:hAnsi="Times New Roman" w:cs="Times New Roman"/>
        </w:rPr>
        <w:t>117-119 (Dec</w:t>
      </w:r>
      <w:r w:rsidRPr="006B3902" w:rsidR="007B145B">
        <w:rPr>
          <w:rFonts w:ascii="Times New Roman" w:hAnsi="Times New Roman" w:cs="Times New Roman"/>
        </w:rPr>
        <w:t>ember</w:t>
      </w:r>
      <w:r w:rsidRPr="006B3902">
        <w:rPr>
          <w:rFonts w:ascii="Times New Roman" w:hAnsi="Times New Roman" w:cs="Times New Roman"/>
        </w:rPr>
        <w:t xml:space="preserve"> 19, 2018). </w:t>
      </w:r>
    </w:p>
  </w:footnote>
  <w:footnote w:id="37">
    <w:p w:rsidR="007C1EEC" w:rsidRPr="006B3902" w14:paraId="1905AD87" w14:textId="4E86389C">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 xml:space="preserve">See, </w:t>
      </w:r>
      <w:r w:rsidRPr="006B3902">
        <w:rPr>
          <w:rFonts w:ascii="Times New Roman" w:hAnsi="Times New Roman" w:cs="Times New Roman"/>
        </w:rPr>
        <w:t>Duke Energy Ohio, Inc.’s Annual Distribution Capital Investment Workplan Report at 11-12 (Dec</w:t>
      </w:r>
      <w:r w:rsidRPr="006B3902" w:rsidR="007B145B">
        <w:rPr>
          <w:rFonts w:ascii="Times New Roman" w:hAnsi="Times New Roman" w:cs="Times New Roman"/>
        </w:rPr>
        <w:t>ember</w:t>
      </w:r>
      <w:r w:rsidRPr="006B3902">
        <w:rPr>
          <w:rFonts w:ascii="Times New Roman" w:hAnsi="Times New Roman" w:cs="Times New Roman"/>
        </w:rPr>
        <w:t xml:space="preserve"> 2, 2019)</w:t>
      </w:r>
      <w:r w:rsidRPr="006B3902" w:rsidR="00274467">
        <w:rPr>
          <w:rFonts w:ascii="Times New Roman" w:hAnsi="Times New Roman" w:cs="Times New Roman"/>
        </w:rPr>
        <w:t xml:space="preserve"> and Duke Energy Ohio, Inc.’s Annual Distribution Capital Investment Workplan Report at 11-12 (Dec</w:t>
      </w:r>
      <w:r w:rsidRPr="006B3902" w:rsidR="007B145B">
        <w:rPr>
          <w:rFonts w:ascii="Times New Roman" w:hAnsi="Times New Roman" w:cs="Times New Roman"/>
        </w:rPr>
        <w:t>ember</w:t>
      </w:r>
      <w:r w:rsidRPr="006B3902" w:rsidR="00274467">
        <w:rPr>
          <w:rFonts w:ascii="Times New Roman" w:hAnsi="Times New Roman" w:cs="Times New Roman"/>
        </w:rPr>
        <w:t xml:space="preserve"> 1, 2020)</w:t>
      </w:r>
      <w:r w:rsidRPr="006B3902" w:rsidR="00324806">
        <w:rPr>
          <w:rFonts w:ascii="Times New Roman" w:hAnsi="Times New Roman" w:cs="Times New Roman"/>
        </w:rPr>
        <w:t>.</w:t>
      </w:r>
    </w:p>
  </w:footnote>
  <w:footnote w:id="38">
    <w:p w:rsidR="00150678" w:rsidRPr="006B3902" w:rsidP="008E780F" w14:paraId="5BD344CB" w14:textId="0ADABE52">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sidR="0053760A">
        <w:rPr>
          <w:rFonts w:ascii="Times New Roman" w:hAnsi="Times New Roman" w:cs="Times New Roman"/>
          <w:i/>
          <w:iCs/>
        </w:rPr>
        <w:t>See</w:t>
      </w:r>
      <w:r w:rsidRPr="006B3902" w:rsidR="0053760A">
        <w:rPr>
          <w:rFonts w:ascii="Times New Roman" w:hAnsi="Times New Roman" w:cs="Times New Roman"/>
        </w:rPr>
        <w:t xml:space="preserve"> Case No. 17-0032-EL-AIR, </w:t>
      </w:r>
      <w:r w:rsidRPr="006B3902" w:rsidR="00CD7256">
        <w:rPr>
          <w:rFonts w:ascii="Times New Roman" w:hAnsi="Times New Roman" w:cs="Times New Roman"/>
        </w:rPr>
        <w:t>et. al.</w:t>
      </w:r>
      <w:r w:rsidRPr="006B3902" w:rsidR="0053185D">
        <w:rPr>
          <w:rFonts w:ascii="Times New Roman" w:hAnsi="Times New Roman" w:cs="Times New Roman"/>
        </w:rPr>
        <w:t xml:space="preserve">, </w:t>
      </w:r>
      <w:r w:rsidRPr="006B3902" w:rsidR="00B21552">
        <w:rPr>
          <w:rFonts w:ascii="Times New Roman" w:hAnsi="Times New Roman" w:cs="Times New Roman"/>
        </w:rPr>
        <w:t xml:space="preserve">Opinion and Order </w:t>
      </w:r>
      <w:r w:rsidRPr="006B3902" w:rsidR="0053760A">
        <w:rPr>
          <w:rFonts w:ascii="Times New Roman" w:hAnsi="Times New Roman" w:cs="Times New Roman"/>
        </w:rPr>
        <w:t>at 41</w:t>
      </w:r>
      <w:r w:rsidRPr="006B3902" w:rsidR="00B21552">
        <w:rPr>
          <w:rFonts w:ascii="Times New Roman" w:hAnsi="Times New Roman" w:cs="Times New Roman"/>
        </w:rPr>
        <w:t xml:space="preserve"> (December 19, 2018)</w:t>
      </w:r>
      <w:r w:rsidRPr="006B3902" w:rsidR="0053760A">
        <w:rPr>
          <w:rFonts w:ascii="Times New Roman" w:hAnsi="Times New Roman" w:cs="Times New Roman"/>
        </w:rPr>
        <w:t>.</w:t>
      </w:r>
    </w:p>
  </w:footnote>
  <w:footnote w:id="39">
    <w:p w:rsidR="008D6535" w:rsidRPr="006B3902" w:rsidP="008E780F" w14:paraId="73F0E00E" w14:textId="7ACA4289">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Pr>
          <w:rFonts w:ascii="Times New Roman" w:hAnsi="Times New Roman" w:cs="Times New Roman"/>
          <w:i/>
          <w:iCs/>
        </w:rPr>
        <w:t>See</w:t>
      </w:r>
      <w:r w:rsidRPr="006B3902">
        <w:rPr>
          <w:rFonts w:ascii="Times New Roman" w:hAnsi="Times New Roman" w:cs="Times New Roman"/>
        </w:rPr>
        <w:t xml:space="preserve"> Request for Proposal at 2 (</w:t>
      </w:r>
      <w:r w:rsidRPr="006B3902" w:rsidR="00B25515">
        <w:rPr>
          <w:rFonts w:ascii="Times New Roman" w:hAnsi="Times New Roman" w:cs="Times New Roman"/>
        </w:rPr>
        <w:t>June 2, 2021).</w:t>
      </w:r>
    </w:p>
  </w:footnote>
  <w:footnote w:id="40">
    <w:p w:rsidR="00D011D7" w:rsidRPr="006B3902" w:rsidP="008E780F" w14:paraId="705F067C" w14:textId="740501C8">
      <w:pPr>
        <w:pStyle w:val="FootnoteText"/>
        <w:spacing w:after="120"/>
        <w:rPr>
          <w:rFonts w:ascii="Times New Roman" w:hAnsi="Times New Roman" w:cs="Times New Roman"/>
        </w:rPr>
      </w:pPr>
      <w:r w:rsidRPr="006B3902">
        <w:rPr>
          <w:rStyle w:val="FootnoteReference"/>
          <w:rFonts w:ascii="Times New Roman" w:hAnsi="Times New Roman" w:cs="Times New Roman"/>
        </w:rPr>
        <w:footnoteRef/>
      </w:r>
      <w:r w:rsidRPr="006B3902">
        <w:rPr>
          <w:rFonts w:ascii="Times New Roman" w:hAnsi="Times New Roman" w:cs="Times New Roman"/>
        </w:rPr>
        <w:t xml:space="preserve"> </w:t>
      </w:r>
      <w:r w:rsidRPr="006B3902" w:rsidR="00802D14">
        <w:rPr>
          <w:rFonts w:ascii="Times New Roman" w:hAnsi="Times New Roman" w:cs="Times New Roman"/>
        </w:rPr>
        <w:t>R.C. 4905.22.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EEC" w14:paraId="47CEFF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622EE4"/>
    <w:lvl w:ilvl="0">
      <w:start w:val="1"/>
      <w:numFmt w:val="decimal"/>
      <w:lvlText w:val="%1."/>
      <w:lvlJc w:val="left"/>
      <w:pPr>
        <w:tabs>
          <w:tab w:val="num" w:pos="1800"/>
        </w:tabs>
        <w:ind w:left="1800" w:hanging="360"/>
      </w:pPr>
    </w:lvl>
  </w:abstractNum>
  <w:abstractNum w:abstractNumId="1">
    <w:nsid w:val="FFFFFF7D"/>
    <w:multiLevelType w:val="singleLevel"/>
    <w:tmpl w:val="19901164"/>
    <w:lvl w:ilvl="0">
      <w:start w:val="1"/>
      <w:numFmt w:val="decimal"/>
      <w:lvlText w:val="%1."/>
      <w:lvlJc w:val="left"/>
      <w:pPr>
        <w:tabs>
          <w:tab w:val="num" w:pos="1440"/>
        </w:tabs>
        <w:ind w:left="1440" w:hanging="360"/>
      </w:pPr>
    </w:lvl>
  </w:abstractNum>
  <w:abstractNum w:abstractNumId="2">
    <w:nsid w:val="FFFFFF7E"/>
    <w:multiLevelType w:val="singleLevel"/>
    <w:tmpl w:val="D1D0B55C"/>
    <w:lvl w:ilvl="0">
      <w:start w:val="1"/>
      <w:numFmt w:val="decimal"/>
      <w:lvlText w:val="%1."/>
      <w:lvlJc w:val="left"/>
      <w:pPr>
        <w:tabs>
          <w:tab w:val="num" w:pos="1080"/>
        </w:tabs>
        <w:ind w:left="1080" w:hanging="360"/>
      </w:pPr>
    </w:lvl>
  </w:abstractNum>
  <w:abstractNum w:abstractNumId="3">
    <w:nsid w:val="FFFFFF7F"/>
    <w:multiLevelType w:val="singleLevel"/>
    <w:tmpl w:val="33E660B0"/>
    <w:lvl w:ilvl="0">
      <w:start w:val="1"/>
      <w:numFmt w:val="decimal"/>
      <w:lvlText w:val="%1."/>
      <w:lvlJc w:val="left"/>
      <w:pPr>
        <w:tabs>
          <w:tab w:val="num" w:pos="720"/>
        </w:tabs>
        <w:ind w:left="720" w:hanging="360"/>
      </w:pPr>
    </w:lvl>
  </w:abstractNum>
  <w:abstractNum w:abstractNumId="4">
    <w:nsid w:val="FFFFFF80"/>
    <w:multiLevelType w:val="singleLevel"/>
    <w:tmpl w:val="3BE896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B293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A6D8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B241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0CFF98"/>
    <w:lvl w:ilvl="0">
      <w:start w:val="1"/>
      <w:numFmt w:val="decimal"/>
      <w:lvlText w:val="%1."/>
      <w:lvlJc w:val="left"/>
      <w:pPr>
        <w:tabs>
          <w:tab w:val="num" w:pos="360"/>
        </w:tabs>
        <w:ind w:left="360" w:hanging="360"/>
      </w:pPr>
    </w:lvl>
  </w:abstractNum>
  <w:abstractNum w:abstractNumId="9">
    <w:nsid w:val="FFFFFF89"/>
    <w:multiLevelType w:val="singleLevel"/>
    <w:tmpl w:val="931E4894"/>
    <w:lvl w:ilvl="0">
      <w:start w:val="1"/>
      <w:numFmt w:val="bullet"/>
      <w:lvlText w:val=""/>
      <w:lvlJc w:val="left"/>
      <w:pPr>
        <w:tabs>
          <w:tab w:val="num" w:pos="360"/>
        </w:tabs>
        <w:ind w:left="360" w:hanging="360"/>
      </w:pPr>
      <w:rPr>
        <w:rFonts w:ascii="Symbol" w:hAnsi="Symbol" w:hint="default"/>
      </w:rPr>
    </w:lvl>
  </w:abstractNum>
  <w:abstractNum w:abstractNumId="10">
    <w:nsid w:val="0B027542"/>
    <w:multiLevelType w:val="hybridMultilevel"/>
    <w:tmpl w:val="1AACAD70"/>
    <w:lvl w:ilvl="0">
      <w:start w:val="1"/>
      <w:numFmt w:val="lowerLetter"/>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EEF631C"/>
    <w:multiLevelType w:val="hybridMultilevel"/>
    <w:tmpl w:val="EF5E92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24150B"/>
    <w:multiLevelType w:val="hybridMultilevel"/>
    <w:tmpl w:val="F53472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9E86644"/>
    <w:multiLevelType w:val="hybridMultilevel"/>
    <w:tmpl w:val="7422C428"/>
    <w:lvl w:ilvl="0">
      <w:start w:val="1"/>
      <w:numFmt w:val="decimal"/>
      <w:lvlText w:val="%1."/>
      <w:lvlJc w:val="left"/>
      <w:pPr>
        <w:ind w:left="3600" w:hanging="720"/>
      </w:pPr>
      <w:rPr>
        <w:rFonts w:hint="default"/>
        <w:b/>
        <w:bCs/>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4">
    <w:nsid w:val="369D701F"/>
    <w:multiLevelType w:val="hybridMultilevel"/>
    <w:tmpl w:val="FF423800"/>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
    <w:nsid w:val="37AA3B2E"/>
    <w:multiLevelType w:val="hybridMultilevel"/>
    <w:tmpl w:val="6BC497D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1172F92"/>
    <w:multiLevelType w:val="hybridMultilevel"/>
    <w:tmpl w:val="8BF26C28"/>
    <w:lvl w:ilvl="0">
      <w:start w:val="4"/>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52A95C26"/>
    <w:multiLevelType w:val="hybridMultilevel"/>
    <w:tmpl w:val="B49C6E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3412171"/>
    <w:multiLevelType w:val="hybridMultilevel"/>
    <w:tmpl w:val="07CA4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6FD6708"/>
    <w:multiLevelType w:val="hybridMultilevel"/>
    <w:tmpl w:val="E3502670"/>
    <w:lvl w:ilvl="0">
      <w:start w:val="1"/>
      <w:numFmt w:val="upperLetter"/>
      <w:pStyle w:val="Heading2"/>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E2035BA"/>
    <w:multiLevelType w:val="hybridMultilevel"/>
    <w:tmpl w:val="B3F2F50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5E714F2B"/>
    <w:multiLevelType w:val="hybridMultilevel"/>
    <w:tmpl w:val="98A223EE"/>
    <w:lvl w:ilvl="0">
      <w:start w:val="4"/>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4351F0E"/>
    <w:multiLevelType w:val="hybridMultilevel"/>
    <w:tmpl w:val="01B61B7E"/>
    <w:lvl w:ilvl="0">
      <w:start w:val="1"/>
      <w:numFmt w:val="upperLetter"/>
      <w:lvlText w:val="%1."/>
      <w:lvlJc w:val="left"/>
      <w:pPr>
        <w:ind w:left="99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5A24D2F"/>
    <w:multiLevelType w:val="hybridMultilevel"/>
    <w:tmpl w:val="989AD11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8F82F00"/>
    <w:multiLevelType w:val="hybridMultilevel"/>
    <w:tmpl w:val="8C74DD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9471014"/>
    <w:multiLevelType w:val="hybridMultilevel"/>
    <w:tmpl w:val="43FA268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823893"/>
    <w:multiLevelType w:val="hybridMultilevel"/>
    <w:tmpl w:val="82E64888"/>
    <w:lvl w:ilvl="0">
      <w:start w:val="1"/>
      <w:numFmt w:val="decimal"/>
      <w:lvlText w:val="%1."/>
      <w:lvlJc w:val="left"/>
      <w:pPr>
        <w:ind w:left="1800" w:hanging="360"/>
      </w:pPr>
      <w:rPr>
        <w:rFonts w:ascii="Times New Roman" w:eastAsia="Times New Roman" w:hAnsi="Times New Roman" w:cs="Times New Roman" w:hint="default"/>
        <w:color w:val="0000FF" w:themeColor="hyperlink"/>
        <w:sz w:val="24"/>
        <w:u w:val="singl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C5D5179"/>
    <w:multiLevelType w:val="hybridMultilevel"/>
    <w:tmpl w:val="647ED5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DA85746"/>
    <w:multiLevelType w:val="hybridMultilevel"/>
    <w:tmpl w:val="B92C6CB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18"/>
  </w:num>
  <w:num w:numId="3">
    <w:abstractNumId w:val="11"/>
  </w:num>
  <w:num w:numId="4">
    <w:abstractNumId w:val="9"/>
  </w:num>
  <w:num w:numId="5">
    <w:abstractNumId w:val="7"/>
  </w:num>
  <w:num w:numId="6">
    <w:abstractNumId w:val="6"/>
  </w:num>
  <w:num w:numId="7">
    <w:abstractNumId w:val="5"/>
  </w:num>
  <w:num w:numId="8">
    <w:abstractNumId w:val="28"/>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3"/>
  </w:num>
  <w:num w:numId="17">
    <w:abstractNumId w:val="23"/>
  </w:num>
  <w:num w:numId="18">
    <w:abstractNumId w:val="26"/>
  </w:num>
  <w:num w:numId="19">
    <w:abstractNumId w:val="12"/>
  </w:num>
  <w:num w:numId="20">
    <w:abstractNumId w:val="17"/>
  </w:num>
  <w:num w:numId="21">
    <w:abstractNumId w:val="20"/>
  </w:num>
  <w:num w:numId="22">
    <w:abstractNumId w:val="23"/>
    <w:lvlOverride w:ilvl="0">
      <w:startOverride w:val="1"/>
    </w:lvlOverride>
  </w:num>
  <w:num w:numId="23">
    <w:abstractNumId w:val="22"/>
  </w:num>
  <w:num w:numId="24">
    <w:abstractNumId w:val="22"/>
  </w:num>
  <w:num w:numId="25">
    <w:abstractNumId w:val="22"/>
  </w:num>
  <w:num w:numId="26">
    <w:abstractNumId w:val="22"/>
  </w:num>
  <w:num w:numId="27">
    <w:abstractNumId w:val="22"/>
  </w:num>
  <w:num w:numId="28">
    <w:abstractNumId w:val="22"/>
    <w:lvlOverride w:ilvl="0">
      <w:startOverride w:val="1"/>
    </w:lvlOverride>
  </w:num>
  <w:num w:numId="29">
    <w:abstractNumId w:val="22"/>
    <w:lvlOverride w:ilvl="0">
      <w:startOverride w:val="1"/>
    </w:lvlOverride>
  </w:num>
  <w:num w:numId="30">
    <w:abstractNumId w:val="24"/>
  </w:num>
  <w:num w:numId="31">
    <w:abstractNumId w:val="14"/>
  </w:num>
  <w:num w:numId="32">
    <w:abstractNumId w:val="22"/>
    <w:lvlOverride w:ilvl="0">
      <w:startOverride w:val="1"/>
    </w:lvlOverride>
  </w:num>
  <w:num w:numId="33">
    <w:abstractNumId w:val="10"/>
  </w:num>
  <w:num w:numId="34">
    <w:abstractNumId w:val="15"/>
  </w:num>
  <w:num w:numId="35">
    <w:abstractNumId w:val="16"/>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22"/>
    <w:rsid w:val="00002616"/>
    <w:rsid w:val="000123C9"/>
    <w:rsid w:val="00014327"/>
    <w:rsid w:val="00015FA8"/>
    <w:rsid w:val="0003187A"/>
    <w:rsid w:val="00036B6D"/>
    <w:rsid w:val="0003724D"/>
    <w:rsid w:val="000379E5"/>
    <w:rsid w:val="00037F63"/>
    <w:rsid w:val="00041078"/>
    <w:rsid w:val="00041167"/>
    <w:rsid w:val="0004142F"/>
    <w:rsid w:val="0004701A"/>
    <w:rsid w:val="00052D2C"/>
    <w:rsid w:val="000532AE"/>
    <w:rsid w:val="00053C51"/>
    <w:rsid w:val="0005620D"/>
    <w:rsid w:val="000602AA"/>
    <w:rsid w:val="0006226D"/>
    <w:rsid w:val="00062706"/>
    <w:rsid w:val="00062D0D"/>
    <w:rsid w:val="000635A0"/>
    <w:rsid w:val="000635FA"/>
    <w:rsid w:val="000641D5"/>
    <w:rsid w:val="00065290"/>
    <w:rsid w:val="000653AC"/>
    <w:rsid w:val="00067752"/>
    <w:rsid w:val="000722DA"/>
    <w:rsid w:val="00073A98"/>
    <w:rsid w:val="00074752"/>
    <w:rsid w:val="000768D0"/>
    <w:rsid w:val="00076B94"/>
    <w:rsid w:val="000775BB"/>
    <w:rsid w:val="00081DED"/>
    <w:rsid w:val="00096DAA"/>
    <w:rsid w:val="000A069C"/>
    <w:rsid w:val="000A3854"/>
    <w:rsid w:val="000A45FB"/>
    <w:rsid w:val="000A5D08"/>
    <w:rsid w:val="000A67B3"/>
    <w:rsid w:val="000B0055"/>
    <w:rsid w:val="000B04DA"/>
    <w:rsid w:val="000B38FB"/>
    <w:rsid w:val="000B5C43"/>
    <w:rsid w:val="000B7FD9"/>
    <w:rsid w:val="000C1C82"/>
    <w:rsid w:val="000C4540"/>
    <w:rsid w:val="000D0341"/>
    <w:rsid w:val="000D23FA"/>
    <w:rsid w:val="000D2BB5"/>
    <w:rsid w:val="000D32F3"/>
    <w:rsid w:val="000D3F41"/>
    <w:rsid w:val="000D4423"/>
    <w:rsid w:val="000D4657"/>
    <w:rsid w:val="000D5033"/>
    <w:rsid w:val="000D5E54"/>
    <w:rsid w:val="000D6604"/>
    <w:rsid w:val="000D69C7"/>
    <w:rsid w:val="000E153D"/>
    <w:rsid w:val="000E3F83"/>
    <w:rsid w:val="000F29BF"/>
    <w:rsid w:val="000F5471"/>
    <w:rsid w:val="000F7C8F"/>
    <w:rsid w:val="00104ED7"/>
    <w:rsid w:val="00104F99"/>
    <w:rsid w:val="0010694B"/>
    <w:rsid w:val="00110167"/>
    <w:rsid w:val="0011088F"/>
    <w:rsid w:val="00112B66"/>
    <w:rsid w:val="001130FD"/>
    <w:rsid w:val="0011650C"/>
    <w:rsid w:val="00117BD8"/>
    <w:rsid w:val="00120469"/>
    <w:rsid w:val="00121604"/>
    <w:rsid w:val="0012335B"/>
    <w:rsid w:val="001255FB"/>
    <w:rsid w:val="0012641E"/>
    <w:rsid w:val="00126D4C"/>
    <w:rsid w:val="00127491"/>
    <w:rsid w:val="001317E2"/>
    <w:rsid w:val="00133309"/>
    <w:rsid w:val="00133A27"/>
    <w:rsid w:val="00135698"/>
    <w:rsid w:val="001361DA"/>
    <w:rsid w:val="00142B6E"/>
    <w:rsid w:val="001442B8"/>
    <w:rsid w:val="00150678"/>
    <w:rsid w:val="001541F1"/>
    <w:rsid w:val="00160372"/>
    <w:rsid w:val="00161C9B"/>
    <w:rsid w:val="001634BA"/>
    <w:rsid w:val="00170BD7"/>
    <w:rsid w:val="00171F04"/>
    <w:rsid w:val="00172E9A"/>
    <w:rsid w:val="00173CE8"/>
    <w:rsid w:val="001774A0"/>
    <w:rsid w:val="001847C3"/>
    <w:rsid w:val="00191695"/>
    <w:rsid w:val="00192398"/>
    <w:rsid w:val="00192CAF"/>
    <w:rsid w:val="001938A5"/>
    <w:rsid w:val="00193FF0"/>
    <w:rsid w:val="00195297"/>
    <w:rsid w:val="00197E11"/>
    <w:rsid w:val="001B0775"/>
    <w:rsid w:val="001B0F4F"/>
    <w:rsid w:val="001B71F3"/>
    <w:rsid w:val="001B7516"/>
    <w:rsid w:val="001C2405"/>
    <w:rsid w:val="001C2544"/>
    <w:rsid w:val="001C581A"/>
    <w:rsid w:val="001D081A"/>
    <w:rsid w:val="001D4F3F"/>
    <w:rsid w:val="001D60D7"/>
    <w:rsid w:val="001E1E96"/>
    <w:rsid w:val="001E5745"/>
    <w:rsid w:val="001F1B8D"/>
    <w:rsid w:val="001F290F"/>
    <w:rsid w:val="001F2FA6"/>
    <w:rsid w:val="001F337D"/>
    <w:rsid w:val="00200035"/>
    <w:rsid w:val="002119DF"/>
    <w:rsid w:val="00213DEA"/>
    <w:rsid w:val="002140C6"/>
    <w:rsid w:val="00214134"/>
    <w:rsid w:val="0021677D"/>
    <w:rsid w:val="00217C13"/>
    <w:rsid w:val="00220520"/>
    <w:rsid w:val="00221140"/>
    <w:rsid w:val="00221F1B"/>
    <w:rsid w:val="00222B45"/>
    <w:rsid w:val="002251C1"/>
    <w:rsid w:val="00225315"/>
    <w:rsid w:val="0022691A"/>
    <w:rsid w:val="00227CA5"/>
    <w:rsid w:val="0023147C"/>
    <w:rsid w:val="002334AB"/>
    <w:rsid w:val="002335A6"/>
    <w:rsid w:val="00235EF0"/>
    <w:rsid w:val="0024091A"/>
    <w:rsid w:val="002431DA"/>
    <w:rsid w:val="002450ED"/>
    <w:rsid w:val="00253331"/>
    <w:rsid w:val="0025399B"/>
    <w:rsid w:val="00255026"/>
    <w:rsid w:val="00264A0C"/>
    <w:rsid w:val="00266BD4"/>
    <w:rsid w:val="002720D8"/>
    <w:rsid w:val="002724DA"/>
    <w:rsid w:val="002740E4"/>
    <w:rsid w:val="00274351"/>
    <w:rsid w:val="00274467"/>
    <w:rsid w:val="0027473E"/>
    <w:rsid w:val="00274FE5"/>
    <w:rsid w:val="0027542A"/>
    <w:rsid w:val="00276AFB"/>
    <w:rsid w:val="00281E49"/>
    <w:rsid w:val="002A3846"/>
    <w:rsid w:val="002A5DF4"/>
    <w:rsid w:val="002B1204"/>
    <w:rsid w:val="002B4F7F"/>
    <w:rsid w:val="002B6618"/>
    <w:rsid w:val="002B7323"/>
    <w:rsid w:val="002B73F3"/>
    <w:rsid w:val="002C065D"/>
    <w:rsid w:val="002C0ABE"/>
    <w:rsid w:val="002C1B1B"/>
    <w:rsid w:val="002C28DC"/>
    <w:rsid w:val="002C3677"/>
    <w:rsid w:val="002C3FD9"/>
    <w:rsid w:val="002C6743"/>
    <w:rsid w:val="002C7514"/>
    <w:rsid w:val="002D427B"/>
    <w:rsid w:val="002E1A3F"/>
    <w:rsid w:val="002E5FC8"/>
    <w:rsid w:val="002E6ED6"/>
    <w:rsid w:val="00305477"/>
    <w:rsid w:val="00305737"/>
    <w:rsid w:val="0030706D"/>
    <w:rsid w:val="00307129"/>
    <w:rsid w:val="0031097C"/>
    <w:rsid w:val="00310A02"/>
    <w:rsid w:val="003117F1"/>
    <w:rsid w:val="0031334C"/>
    <w:rsid w:val="0031416E"/>
    <w:rsid w:val="00314A1E"/>
    <w:rsid w:val="00320056"/>
    <w:rsid w:val="00321850"/>
    <w:rsid w:val="00321920"/>
    <w:rsid w:val="003225B6"/>
    <w:rsid w:val="00322A29"/>
    <w:rsid w:val="00323C43"/>
    <w:rsid w:val="00324806"/>
    <w:rsid w:val="00324BB0"/>
    <w:rsid w:val="003255EF"/>
    <w:rsid w:val="00330151"/>
    <w:rsid w:val="0033156C"/>
    <w:rsid w:val="00334464"/>
    <w:rsid w:val="00335322"/>
    <w:rsid w:val="003438FD"/>
    <w:rsid w:val="003459E7"/>
    <w:rsid w:val="00347AD0"/>
    <w:rsid w:val="00355F31"/>
    <w:rsid w:val="003566E1"/>
    <w:rsid w:val="00357746"/>
    <w:rsid w:val="00360E3F"/>
    <w:rsid w:val="00361ED7"/>
    <w:rsid w:val="003635BE"/>
    <w:rsid w:val="00367D31"/>
    <w:rsid w:val="00373911"/>
    <w:rsid w:val="0037566C"/>
    <w:rsid w:val="00382BE2"/>
    <w:rsid w:val="003832AA"/>
    <w:rsid w:val="00383ACC"/>
    <w:rsid w:val="00383D40"/>
    <w:rsid w:val="00384392"/>
    <w:rsid w:val="003856C7"/>
    <w:rsid w:val="00390037"/>
    <w:rsid w:val="003916C8"/>
    <w:rsid w:val="00391736"/>
    <w:rsid w:val="003924E7"/>
    <w:rsid w:val="003957C4"/>
    <w:rsid w:val="003A02C3"/>
    <w:rsid w:val="003A083A"/>
    <w:rsid w:val="003A1A9B"/>
    <w:rsid w:val="003A7437"/>
    <w:rsid w:val="003B3209"/>
    <w:rsid w:val="003B37A7"/>
    <w:rsid w:val="003B4085"/>
    <w:rsid w:val="003B4DB7"/>
    <w:rsid w:val="003B700E"/>
    <w:rsid w:val="003C5FE5"/>
    <w:rsid w:val="003D1F4D"/>
    <w:rsid w:val="003E0628"/>
    <w:rsid w:val="003E24AC"/>
    <w:rsid w:val="003E2A54"/>
    <w:rsid w:val="003E3A87"/>
    <w:rsid w:val="003E7063"/>
    <w:rsid w:val="003F0DF4"/>
    <w:rsid w:val="003F1B38"/>
    <w:rsid w:val="003F4073"/>
    <w:rsid w:val="003F5C02"/>
    <w:rsid w:val="003F5ED3"/>
    <w:rsid w:val="003F78D8"/>
    <w:rsid w:val="004006EC"/>
    <w:rsid w:val="00402383"/>
    <w:rsid w:val="004049F1"/>
    <w:rsid w:val="00404FDC"/>
    <w:rsid w:val="004107CA"/>
    <w:rsid w:val="00412ECD"/>
    <w:rsid w:val="00416F76"/>
    <w:rsid w:val="004238FF"/>
    <w:rsid w:val="00425260"/>
    <w:rsid w:val="00427B41"/>
    <w:rsid w:val="00435A6C"/>
    <w:rsid w:val="00435D57"/>
    <w:rsid w:val="0044790C"/>
    <w:rsid w:val="004555F4"/>
    <w:rsid w:val="004572F3"/>
    <w:rsid w:val="0045745E"/>
    <w:rsid w:val="00461A5C"/>
    <w:rsid w:val="00463867"/>
    <w:rsid w:val="004652C4"/>
    <w:rsid w:val="0047018E"/>
    <w:rsid w:val="00471C9B"/>
    <w:rsid w:val="0047363B"/>
    <w:rsid w:val="00481384"/>
    <w:rsid w:val="00481D7C"/>
    <w:rsid w:val="004844E9"/>
    <w:rsid w:val="004852DC"/>
    <w:rsid w:val="00485BC6"/>
    <w:rsid w:val="00487D9D"/>
    <w:rsid w:val="00490024"/>
    <w:rsid w:val="00492D60"/>
    <w:rsid w:val="0049443F"/>
    <w:rsid w:val="00495D7D"/>
    <w:rsid w:val="00496B17"/>
    <w:rsid w:val="00497635"/>
    <w:rsid w:val="004A09E6"/>
    <w:rsid w:val="004A1DD0"/>
    <w:rsid w:val="004B144E"/>
    <w:rsid w:val="004B29CF"/>
    <w:rsid w:val="004C1619"/>
    <w:rsid w:val="004C22DF"/>
    <w:rsid w:val="004C34CF"/>
    <w:rsid w:val="004C3822"/>
    <w:rsid w:val="004D0D64"/>
    <w:rsid w:val="004D1137"/>
    <w:rsid w:val="004D1A87"/>
    <w:rsid w:val="004D25EF"/>
    <w:rsid w:val="004D2848"/>
    <w:rsid w:val="004D6BA9"/>
    <w:rsid w:val="004E1775"/>
    <w:rsid w:val="004E3BE7"/>
    <w:rsid w:val="004E3EBA"/>
    <w:rsid w:val="004E4954"/>
    <w:rsid w:val="004E7A35"/>
    <w:rsid w:val="004F188A"/>
    <w:rsid w:val="004F1CC6"/>
    <w:rsid w:val="004F7489"/>
    <w:rsid w:val="00502C1B"/>
    <w:rsid w:val="0050535E"/>
    <w:rsid w:val="0050617E"/>
    <w:rsid w:val="00511090"/>
    <w:rsid w:val="00520E93"/>
    <w:rsid w:val="005239E1"/>
    <w:rsid w:val="005277BD"/>
    <w:rsid w:val="0053185D"/>
    <w:rsid w:val="0053250C"/>
    <w:rsid w:val="0053760A"/>
    <w:rsid w:val="0054101D"/>
    <w:rsid w:val="00541F8A"/>
    <w:rsid w:val="005451BC"/>
    <w:rsid w:val="00554C06"/>
    <w:rsid w:val="00555FD5"/>
    <w:rsid w:val="00560DE1"/>
    <w:rsid w:val="00561228"/>
    <w:rsid w:val="0056452C"/>
    <w:rsid w:val="0056487D"/>
    <w:rsid w:val="00564F36"/>
    <w:rsid w:val="00565F9D"/>
    <w:rsid w:val="00566456"/>
    <w:rsid w:val="00567148"/>
    <w:rsid w:val="005701E6"/>
    <w:rsid w:val="00572CEA"/>
    <w:rsid w:val="0057597E"/>
    <w:rsid w:val="00577EE9"/>
    <w:rsid w:val="00580936"/>
    <w:rsid w:val="0058104E"/>
    <w:rsid w:val="005835D3"/>
    <w:rsid w:val="0058593B"/>
    <w:rsid w:val="005869BF"/>
    <w:rsid w:val="00587B29"/>
    <w:rsid w:val="00587F08"/>
    <w:rsid w:val="005A1641"/>
    <w:rsid w:val="005A184F"/>
    <w:rsid w:val="005A4B27"/>
    <w:rsid w:val="005A5B03"/>
    <w:rsid w:val="005A5CE9"/>
    <w:rsid w:val="005A6D31"/>
    <w:rsid w:val="005A7F9F"/>
    <w:rsid w:val="005B0341"/>
    <w:rsid w:val="005B0BB6"/>
    <w:rsid w:val="005B3E06"/>
    <w:rsid w:val="005B40A2"/>
    <w:rsid w:val="005B7C07"/>
    <w:rsid w:val="005C2440"/>
    <w:rsid w:val="005C3094"/>
    <w:rsid w:val="005C35F2"/>
    <w:rsid w:val="005C3816"/>
    <w:rsid w:val="005C4AB0"/>
    <w:rsid w:val="005C502F"/>
    <w:rsid w:val="005C6F38"/>
    <w:rsid w:val="005D4E82"/>
    <w:rsid w:val="005D5D67"/>
    <w:rsid w:val="005E4FF4"/>
    <w:rsid w:val="005E58A7"/>
    <w:rsid w:val="005E5E94"/>
    <w:rsid w:val="005E77CB"/>
    <w:rsid w:val="005F5915"/>
    <w:rsid w:val="006023B9"/>
    <w:rsid w:val="00604384"/>
    <w:rsid w:val="00607E4F"/>
    <w:rsid w:val="0061035A"/>
    <w:rsid w:val="006148A8"/>
    <w:rsid w:val="00620895"/>
    <w:rsid w:val="006236C2"/>
    <w:rsid w:val="00623F1C"/>
    <w:rsid w:val="006245B0"/>
    <w:rsid w:val="006271A4"/>
    <w:rsid w:val="00627A06"/>
    <w:rsid w:val="00632161"/>
    <w:rsid w:val="006323D5"/>
    <w:rsid w:val="00632B66"/>
    <w:rsid w:val="00633609"/>
    <w:rsid w:val="00634A70"/>
    <w:rsid w:val="00635E01"/>
    <w:rsid w:val="00636F23"/>
    <w:rsid w:val="00637796"/>
    <w:rsid w:val="00645AFC"/>
    <w:rsid w:val="0064734F"/>
    <w:rsid w:val="00647A77"/>
    <w:rsid w:val="00647A8B"/>
    <w:rsid w:val="00651024"/>
    <w:rsid w:val="0065225E"/>
    <w:rsid w:val="00653DD9"/>
    <w:rsid w:val="00655C0B"/>
    <w:rsid w:val="00660B9C"/>
    <w:rsid w:val="006642B1"/>
    <w:rsid w:val="006703E5"/>
    <w:rsid w:val="00672BB9"/>
    <w:rsid w:val="00674C48"/>
    <w:rsid w:val="006812C9"/>
    <w:rsid w:val="006817AE"/>
    <w:rsid w:val="00682CAB"/>
    <w:rsid w:val="0068345D"/>
    <w:rsid w:val="00685C05"/>
    <w:rsid w:val="00686A28"/>
    <w:rsid w:val="006936D2"/>
    <w:rsid w:val="00697BAD"/>
    <w:rsid w:val="006A1CEE"/>
    <w:rsid w:val="006B0C16"/>
    <w:rsid w:val="006B3902"/>
    <w:rsid w:val="006B44A9"/>
    <w:rsid w:val="006C0387"/>
    <w:rsid w:val="006C256F"/>
    <w:rsid w:val="006C2C57"/>
    <w:rsid w:val="006C4C9B"/>
    <w:rsid w:val="006C7B2D"/>
    <w:rsid w:val="006D04C1"/>
    <w:rsid w:val="006D5C09"/>
    <w:rsid w:val="006D5CDB"/>
    <w:rsid w:val="006D6A1F"/>
    <w:rsid w:val="006D6BC6"/>
    <w:rsid w:val="006E1AA7"/>
    <w:rsid w:val="006E2617"/>
    <w:rsid w:val="006E28CA"/>
    <w:rsid w:val="006E5C25"/>
    <w:rsid w:val="006E5DE3"/>
    <w:rsid w:val="006F0976"/>
    <w:rsid w:val="006F2980"/>
    <w:rsid w:val="00701519"/>
    <w:rsid w:val="0070344F"/>
    <w:rsid w:val="007102BC"/>
    <w:rsid w:val="00716144"/>
    <w:rsid w:val="00717E1C"/>
    <w:rsid w:val="0072054D"/>
    <w:rsid w:val="00720A26"/>
    <w:rsid w:val="0072328C"/>
    <w:rsid w:val="00734080"/>
    <w:rsid w:val="007350B1"/>
    <w:rsid w:val="00736C9D"/>
    <w:rsid w:val="00742EE2"/>
    <w:rsid w:val="007459A2"/>
    <w:rsid w:val="00747760"/>
    <w:rsid w:val="00750AD3"/>
    <w:rsid w:val="00751A90"/>
    <w:rsid w:val="00753758"/>
    <w:rsid w:val="00753A53"/>
    <w:rsid w:val="00753D4E"/>
    <w:rsid w:val="0075615F"/>
    <w:rsid w:val="007569F2"/>
    <w:rsid w:val="007578B6"/>
    <w:rsid w:val="00760889"/>
    <w:rsid w:val="007612EB"/>
    <w:rsid w:val="00762454"/>
    <w:rsid w:val="00762A45"/>
    <w:rsid w:val="00764F28"/>
    <w:rsid w:val="007663E5"/>
    <w:rsid w:val="00770E03"/>
    <w:rsid w:val="0077416A"/>
    <w:rsid w:val="00775C46"/>
    <w:rsid w:val="0078525D"/>
    <w:rsid w:val="0079330F"/>
    <w:rsid w:val="007A07F2"/>
    <w:rsid w:val="007A16FA"/>
    <w:rsid w:val="007A1C34"/>
    <w:rsid w:val="007A2F78"/>
    <w:rsid w:val="007A640C"/>
    <w:rsid w:val="007A6963"/>
    <w:rsid w:val="007A69BC"/>
    <w:rsid w:val="007B145B"/>
    <w:rsid w:val="007B28BD"/>
    <w:rsid w:val="007C1352"/>
    <w:rsid w:val="007C171F"/>
    <w:rsid w:val="007C1EEC"/>
    <w:rsid w:val="007C4D49"/>
    <w:rsid w:val="007C6D92"/>
    <w:rsid w:val="007C6E4A"/>
    <w:rsid w:val="007D2A09"/>
    <w:rsid w:val="007D2E04"/>
    <w:rsid w:val="007D38FD"/>
    <w:rsid w:val="007D451D"/>
    <w:rsid w:val="007D4F9D"/>
    <w:rsid w:val="007E25B4"/>
    <w:rsid w:val="007E3627"/>
    <w:rsid w:val="007E576F"/>
    <w:rsid w:val="007F2070"/>
    <w:rsid w:val="007F2D5E"/>
    <w:rsid w:val="007F4117"/>
    <w:rsid w:val="007F6B02"/>
    <w:rsid w:val="007F7739"/>
    <w:rsid w:val="007F79DA"/>
    <w:rsid w:val="00802D14"/>
    <w:rsid w:val="0080462C"/>
    <w:rsid w:val="00805173"/>
    <w:rsid w:val="008058EF"/>
    <w:rsid w:val="00806382"/>
    <w:rsid w:val="00812053"/>
    <w:rsid w:val="00814E35"/>
    <w:rsid w:val="00816A66"/>
    <w:rsid w:val="008239BD"/>
    <w:rsid w:val="00830EA1"/>
    <w:rsid w:val="008329AE"/>
    <w:rsid w:val="00836754"/>
    <w:rsid w:val="00840DEC"/>
    <w:rsid w:val="00841E20"/>
    <w:rsid w:val="0084298B"/>
    <w:rsid w:val="008505D6"/>
    <w:rsid w:val="00851FC2"/>
    <w:rsid w:val="00855CE9"/>
    <w:rsid w:val="00861AAD"/>
    <w:rsid w:val="00861DFF"/>
    <w:rsid w:val="008644DE"/>
    <w:rsid w:val="00864DBD"/>
    <w:rsid w:val="008665EA"/>
    <w:rsid w:val="0087003E"/>
    <w:rsid w:val="00870C01"/>
    <w:rsid w:val="00871089"/>
    <w:rsid w:val="008722E3"/>
    <w:rsid w:val="00872A4D"/>
    <w:rsid w:val="00874B5C"/>
    <w:rsid w:val="008753B9"/>
    <w:rsid w:val="00876C2D"/>
    <w:rsid w:val="0088247A"/>
    <w:rsid w:val="00885644"/>
    <w:rsid w:val="0088723E"/>
    <w:rsid w:val="008911F3"/>
    <w:rsid w:val="00891811"/>
    <w:rsid w:val="008A72E2"/>
    <w:rsid w:val="008B014F"/>
    <w:rsid w:val="008B0A0D"/>
    <w:rsid w:val="008B1B8C"/>
    <w:rsid w:val="008C0234"/>
    <w:rsid w:val="008C378F"/>
    <w:rsid w:val="008C478F"/>
    <w:rsid w:val="008D28D8"/>
    <w:rsid w:val="008D2E76"/>
    <w:rsid w:val="008D4261"/>
    <w:rsid w:val="008D477B"/>
    <w:rsid w:val="008D6535"/>
    <w:rsid w:val="008D799A"/>
    <w:rsid w:val="008E3AAD"/>
    <w:rsid w:val="008E54DA"/>
    <w:rsid w:val="008E7137"/>
    <w:rsid w:val="008E780F"/>
    <w:rsid w:val="008F14C0"/>
    <w:rsid w:val="008F5CA7"/>
    <w:rsid w:val="008F7FB7"/>
    <w:rsid w:val="00905B7D"/>
    <w:rsid w:val="00911869"/>
    <w:rsid w:val="009129E6"/>
    <w:rsid w:val="009163F4"/>
    <w:rsid w:val="009225ED"/>
    <w:rsid w:val="009231A9"/>
    <w:rsid w:val="00925A59"/>
    <w:rsid w:val="00927808"/>
    <w:rsid w:val="0094101A"/>
    <w:rsid w:val="00954505"/>
    <w:rsid w:val="0095648F"/>
    <w:rsid w:val="00965156"/>
    <w:rsid w:val="00971BDC"/>
    <w:rsid w:val="00973472"/>
    <w:rsid w:val="00974905"/>
    <w:rsid w:val="00975674"/>
    <w:rsid w:val="00975F4E"/>
    <w:rsid w:val="00977F61"/>
    <w:rsid w:val="00981DCE"/>
    <w:rsid w:val="00981FE3"/>
    <w:rsid w:val="00982006"/>
    <w:rsid w:val="00983992"/>
    <w:rsid w:val="00983C28"/>
    <w:rsid w:val="00984AE6"/>
    <w:rsid w:val="00986FB6"/>
    <w:rsid w:val="00987E6D"/>
    <w:rsid w:val="00990046"/>
    <w:rsid w:val="00991052"/>
    <w:rsid w:val="009931A7"/>
    <w:rsid w:val="009941F3"/>
    <w:rsid w:val="009A5592"/>
    <w:rsid w:val="009A6C05"/>
    <w:rsid w:val="009A797B"/>
    <w:rsid w:val="009B19EC"/>
    <w:rsid w:val="009B5679"/>
    <w:rsid w:val="009B660C"/>
    <w:rsid w:val="009B6ABA"/>
    <w:rsid w:val="009C0554"/>
    <w:rsid w:val="009C3AB3"/>
    <w:rsid w:val="009C3B79"/>
    <w:rsid w:val="009C401E"/>
    <w:rsid w:val="009C7138"/>
    <w:rsid w:val="009C73E0"/>
    <w:rsid w:val="009D3255"/>
    <w:rsid w:val="009D3968"/>
    <w:rsid w:val="009E1704"/>
    <w:rsid w:val="009E50FB"/>
    <w:rsid w:val="009F04C4"/>
    <w:rsid w:val="009F3A7A"/>
    <w:rsid w:val="00A010C5"/>
    <w:rsid w:val="00A103B1"/>
    <w:rsid w:val="00A112BE"/>
    <w:rsid w:val="00A1397B"/>
    <w:rsid w:val="00A15E27"/>
    <w:rsid w:val="00A25AA0"/>
    <w:rsid w:val="00A3584D"/>
    <w:rsid w:val="00A407E4"/>
    <w:rsid w:val="00A408F3"/>
    <w:rsid w:val="00A40AFA"/>
    <w:rsid w:val="00A40EA7"/>
    <w:rsid w:val="00A42A6D"/>
    <w:rsid w:val="00A46CEB"/>
    <w:rsid w:val="00A47044"/>
    <w:rsid w:val="00A4704A"/>
    <w:rsid w:val="00A502B2"/>
    <w:rsid w:val="00A50315"/>
    <w:rsid w:val="00A514A3"/>
    <w:rsid w:val="00A62294"/>
    <w:rsid w:val="00A6288C"/>
    <w:rsid w:val="00A65A68"/>
    <w:rsid w:val="00A705D0"/>
    <w:rsid w:val="00A70A66"/>
    <w:rsid w:val="00A722F4"/>
    <w:rsid w:val="00A723EE"/>
    <w:rsid w:val="00A74577"/>
    <w:rsid w:val="00A77493"/>
    <w:rsid w:val="00A77674"/>
    <w:rsid w:val="00A80FEB"/>
    <w:rsid w:val="00A82FE4"/>
    <w:rsid w:val="00A866AB"/>
    <w:rsid w:val="00AA65DD"/>
    <w:rsid w:val="00AB116D"/>
    <w:rsid w:val="00AB159F"/>
    <w:rsid w:val="00AB1B0C"/>
    <w:rsid w:val="00AB3E77"/>
    <w:rsid w:val="00AB4D22"/>
    <w:rsid w:val="00AB616D"/>
    <w:rsid w:val="00AC58AF"/>
    <w:rsid w:val="00AC7023"/>
    <w:rsid w:val="00AD292D"/>
    <w:rsid w:val="00AD4195"/>
    <w:rsid w:val="00AD709E"/>
    <w:rsid w:val="00AD7FC8"/>
    <w:rsid w:val="00AE0AA1"/>
    <w:rsid w:val="00AE0BBE"/>
    <w:rsid w:val="00AE163B"/>
    <w:rsid w:val="00AE3848"/>
    <w:rsid w:val="00AE4C34"/>
    <w:rsid w:val="00AF0442"/>
    <w:rsid w:val="00AF1CE5"/>
    <w:rsid w:val="00AF1FD1"/>
    <w:rsid w:val="00AF41A1"/>
    <w:rsid w:val="00AF4B7C"/>
    <w:rsid w:val="00AF5C45"/>
    <w:rsid w:val="00AF6F77"/>
    <w:rsid w:val="00B00539"/>
    <w:rsid w:val="00B063F5"/>
    <w:rsid w:val="00B12078"/>
    <w:rsid w:val="00B15BC7"/>
    <w:rsid w:val="00B172B1"/>
    <w:rsid w:val="00B21552"/>
    <w:rsid w:val="00B2200F"/>
    <w:rsid w:val="00B230CD"/>
    <w:rsid w:val="00B25515"/>
    <w:rsid w:val="00B275AF"/>
    <w:rsid w:val="00B27A04"/>
    <w:rsid w:val="00B31590"/>
    <w:rsid w:val="00B3167C"/>
    <w:rsid w:val="00B350FA"/>
    <w:rsid w:val="00B35EB6"/>
    <w:rsid w:val="00B429F5"/>
    <w:rsid w:val="00B44398"/>
    <w:rsid w:val="00B45865"/>
    <w:rsid w:val="00B45E37"/>
    <w:rsid w:val="00B47E84"/>
    <w:rsid w:val="00B514DD"/>
    <w:rsid w:val="00B52743"/>
    <w:rsid w:val="00B535F8"/>
    <w:rsid w:val="00B562B4"/>
    <w:rsid w:val="00B6388B"/>
    <w:rsid w:val="00B64014"/>
    <w:rsid w:val="00B657ED"/>
    <w:rsid w:val="00B706CE"/>
    <w:rsid w:val="00B7475F"/>
    <w:rsid w:val="00B74D3C"/>
    <w:rsid w:val="00B86FA5"/>
    <w:rsid w:val="00B921F3"/>
    <w:rsid w:val="00B96DD3"/>
    <w:rsid w:val="00B97814"/>
    <w:rsid w:val="00BA1357"/>
    <w:rsid w:val="00BA33CD"/>
    <w:rsid w:val="00BA545B"/>
    <w:rsid w:val="00BA68AF"/>
    <w:rsid w:val="00BA7850"/>
    <w:rsid w:val="00BA7C34"/>
    <w:rsid w:val="00BB1911"/>
    <w:rsid w:val="00BB198B"/>
    <w:rsid w:val="00BB4096"/>
    <w:rsid w:val="00BB7F3E"/>
    <w:rsid w:val="00BC0887"/>
    <w:rsid w:val="00BC2672"/>
    <w:rsid w:val="00BC2B58"/>
    <w:rsid w:val="00BC4685"/>
    <w:rsid w:val="00BC597C"/>
    <w:rsid w:val="00BC65B4"/>
    <w:rsid w:val="00BD202E"/>
    <w:rsid w:val="00BD50FE"/>
    <w:rsid w:val="00BD6A74"/>
    <w:rsid w:val="00BE09F3"/>
    <w:rsid w:val="00BE18EE"/>
    <w:rsid w:val="00BE2770"/>
    <w:rsid w:val="00BE713C"/>
    <w:rsid w:val="00BE76A0"/>
    <w:rsid w:val="00BF3773"/>
    <w:rsid w:val="00C0025C"/>
    <w:rsid w:val="00C029A4"/>
    <w:rsid w:val="00C06315"/>
    <w:rsid w:val="00C10142"/>
    <w:rsid w:val="00C11554"/>
    <w:rsid w:val="00C17F63"/>
    <w:rsid w:val="00C243AB"/>
    <w:rsid w:val="00C26628"/>
    <w:rsid w:val="00C304D6"/>
    <w:rsid w:val="00C31E82"/>
    <w:rsid w:val="00C33024"/>
    <w:rsid w:val="00C337CC"/>
    <w:rsid w:val="00C34FCC"/>
    <w:rsid w:val="00C36E64"/>
    <w:rsid w:val="00C404BA"/>
    <w:rsid w:val="00C4425F"/>
    <w:rsid w:val="00C47037"/>
    <w:rsid w:val="00C539B9"/>
    <w:rsid w:val="00C60ABE"/>
    <w:rsid w:val="00C611F5"/>
    <w:rsid w:val="00C61475"/>
    <w:rsid w:val="00C64A23"/>
    <w:rsid w:val="00C670C2"/>
    <w:rsid w:val="00C7316C"/>
    <w:rsid w:val="00C745D8"/>
    <w:rsid w:val="00C750F5"/>
    <w:rsid w:val="00C81BA5"/>
    <w:rsid w:val="00C865EE"/>
    <w:rsid w:val="00C87786"/>
    <w:rsid w:val="00C911E4"/>
    <w:rsid w:val="00C97501"/>
    <w:rsid w:val="00CA2900"/>
    <w:rsid w:val="00CA4F31"/>
    <w:rsid w:val="00CB2097"/>
    <w:rsid w:val="00CB2DAF"/>
    <w:rsid w:val="00CB3C30"/>
    <w:rsid w:val="00CC5DA6"/>
    <w:rsid w:val="00CD148C"/>
    <w:rsid w:val="00CD22FE"/>
    <w:rsid w:val="00CD3C1C"/>
    <w:rsid w:val="00CD4984"/>
    <w:rsid w:val="00CD59CF"/>
    <w:rsid w:val="00CD7256"/>
    <w:rsid w:val="00CE0A24"/>
    <w:rsid w:val="00CE4850"/>
    <w:rsid w:val="00CE4CBD"/>
    <w:rsid w:val="00CE5387"/>
    <w:rsid w:val="00CF0192"/>
    <w:rsid w:val="00CF01EE"/>
    <w:rsid w:val="00CF0928"/>
    <w:rsid w:val="00CF0DC3"/>
    <w:rsid w:val="00CF0F15"/>
    <w:rsid w:val="00CF2789"/>
    <w:rsid w:val="00CF4A90"/>
    <w:rsid w:val="00CF6644"/>
    <w:rsid w:val="00CF7DD7"/>
    <w:rsid w:val="00D009E0"/>
    <w:rsid w:val="00D011D7"/>
    <w:rsid w:val="00D03338"/>
    <w:rsid w:val="00D03C27"/>
    <w:rsid w:val="00D0520B"/>
    <w:rsid w:val="00D05BBE"/>
    <w:rsid w:val="00D175AA"/>
    <w:rsid w:val="00D20848"/>
    <w:rsid w:val="00D20987"/>
    <w:rsid w:val="00D21AC0"/>
    <w:rsid w:val="00D229A9"/>
    <w:rsid w:val="00D24586"/>
    <w:rsid w:val="00D25758"/>
    <w:rsid w:val="00D25E88"/>
    <w:rsid w:val="00D27655"/>
    <w:rsid w:val="00D36541"/>
    <w:rsid w:val="00D36FDA"/>
    <w:rsid w:val="00D37C38"/>
    <w:rsid w:val="00D418FE"/>
    <w:rsid w:val="00D41BFF"/>
    <w:rsid w:val="00D508C8"/>
    <w:rsid w:val="00D51449"/>
    <w:rsid w:val="00D514C7"/>
    <w:rsid w:val="00D60CF8"/>
    <w:rsid w:val="00D64518"/>
    <w:rsid w:val="00D70C61"/>
    <w:rsid w:val="00D72260"/>
    <w:rsid w:val="00D7303B"/>
    <w:rsid w:val="00D738D8"/>
    <w:rsid w:val="00D76696"/>
    <w:rsid w:val="00D802B8"/>
    <w:rsid w:val="00D81469"/>
    <w:rsid w:val="00D815E0"/>
    <w:rsid w:val="00D82C9C"/>
    <w:rsid w:val="00D836F0"/>
    <w:rsid w:val="00D93565"/>
    <w:rsid w:val="00D939BF"/>
    <w:rsid w:val="00D96398"/>
    <w:rsid w:val="00D97871"/>
    <w:rsid w:val="00D97E28"/>
    <w:rsid w:val="00DA0950"/>
    <w:rsid w:val="00DA2B9C"/>
    <w:rsid w:val="00DA2F4B"/>
    <w:rsid w:val="00DA6B69"/>
    <w:rsid w:val="00DB35D8"/>
    <w:rsid w:val="00DB718E"/>
    <w:rsid w:val="00DB7CBA"/>
    <w:rsid w:val="00DC0487"/>
    <w:rsid w:val="00DC1194"/>
    <w:rsid w:val="00DC4828"/>
    <w:rsid w:val="00DC5E52"/>
    <w:rsid w:val="00DC7732"/>
    <w:rsid w:val="00DD1783"/>
    <w:rsid w:val="00DD3A6E"/>
    <w:rsid w:val="00DD3DC2"/>
    <w:rsid w:val="00DD79F8"/>
    <w:rsid w:val="00DE25BD"/>
    <w:rsid w:val="00DE4486"/>
    <w:rsid w:val="00DE77A6"/>
    <w:rsid w:val="00DF1716"/>
    <w:rsid w:val="00DF36A3"/>
    <w:rsid w:val="00E0157A"/>
    <w:rsid w:val="00E01FBA"/>
    <w:rsid w:val="00E05E4E"/>
    <w:rsid w:val="00E06AF0"/>
    <w:rsid w:val="00E06B65"/>
    <w:rsid w:val="00E1073E"/>
    <w:rsid w:val="00E136FE"/>
    <w:rsid w:val="00E1375A"/>
    <w:rsid w:val="00E14D5C"/>
    <w:rsid w:val="00E21A55"/>
    <w:rsid w:val="00E26AE7"/>
    <w:rsid w:val="00E271C4"/>
    <w:rsid w:val="00E42CD9"/>
    <w:rsid w:val="00E4354E"/>
    <w:rsid w:val="00E511B3"/>
    <w:rsid w:val="00E5506E"/>
    <w:rsid w:val="00E55D19"/>
    <w:rsid w:val="00E56DB2"/>
    <w:rsid w:val="00E57221"/>
    <w:rsid w:val="00E6071E"/>
    <w:rsid w:val="00E60843"/>
    <w:rsid w:val="00E61E68"/>
    <w:rsid w:val="00E62D2B"/>
    <w:rsid w:val="00E66DAB"/>
    <w:rsid w:val="00E6743B"/>
    <w:rsid w:val="00E75DF4"/>
    <w:rsid w:val="00E840C2"/>
    <w:rsid w:val="00E84448"/>
    <w:rsid w:val="00E909FA"/>
    <w:rsid w:val="00E93D58"/>
    <w:rsid w:val="00E94FBB"/>
    <w:rsid w:val="00E97525"/>
    <w:rsid w:val="00E97AAB"/>
    <w:rsid w:val="00EB126C"/>
    <w:rsid w:val="00EB3976"/>
    <w:rsid w:val="00EB7D77"/>
    <w:rsid w:val="00EC1907"/>
    <w:rsid w:val="00EC1C78"/>
    <w:rsid w:val="00EC7347"/>
    <w:rsid w:val="00ED04E9"/>
    <w:rsid w:val="00ED0CD2"/>
    <w:rsid w:val="00EE67C9"/>
    <w:rsid w:val="00EE734B"/>
    <w:rsid w:val="00EF009A"/>
    <w:rsid w:val="00EF0898"/>
    <w:rsid w:val="00EF4237"/>
    <w:rsid w:val="00EF516B"/>
    <w:rsid w:val="00EF5AB8"/>
    <w:rsid w:val="00EF74B2"/>
    <w:rsid w:val="00EF77FB"/>
    <w:rsid w:val="00EF7DD8"/>
    <w:rsid w:val="00F02CC3"/>
    <w:rsid w:val="00F058F3"/>
    <w:rsid w:val="00F112AA"/>
    <w:rsid w:val="00F113E4"/>
    <w:rsid w:val="00F1159D"/>
    <w:rsid w:val="00F12A7B"/>
    <w:rsid w:val="00F13886"/>
    <w:rsid w:val="00F1726E"/>
    <w:rsid w:val="00F22BD2"/>
    <w:rsid w:val="00F22E9E"/>
    <w:rsid w:val="00F239E6"/>
    <w:rsid w:val="00F24126"/>
    <w:rsid w:val="00F27558"/>
    <w:rsid w:val="00F31D99"/>
    <w:rsid w:val="00F32340"/>
    <w:rsid w:val="00F32506"/>
    <w:rsid w:val="00F33C1F"/>
    <w:rsid w:val="00F34A6F"/>
    <w:rsid w:val="00F34CEC"/>
    <w:rsid w:val="00F40740"/>
    <w:rsid w:val="00F40D11"/>
    <w:rsid w:val="00F429F2"/>
    <w:rsid w:val="00F43884"/>
    <w:rsid w:val="00F52A79"/>
    <w:rsid w:val="00F5325F"/>
    <w:rsid w:val="00F53536"/>
    <w:rsid w:val="00F55079"/>
    <w:rsid w:val="00F625F1"/>
    <w:rsid w:val="00F6355C"/>
    <w:rsid w:val="00F64170"/>
    <w:rsid w:val="00F71050"/>
    <w:rsid w:val="00F720ED"/>
    <w:rsid w:val="00F74381"/>
    <w:rsid w:val="00F76BF1"/>
    <w:rsid w:val="00F771BE"/>
    <w:rsid w:val="00F77429"/>
    <w:rsid w:val="00F80972"/>
    <w:rsid w:val="00F854D2"/>
    <w:rsid w:val="00F87508"/>
    <w:rsid w:val="00F9228C"/>
    <w:rsid w:val="00F94B21"/>
    <w:rsid w:val="00F94E92"/>
    <w:rsid w:val="00F96C87"/>
    <w:rsid w:val="00FB31A7"/>
    <w:rsid w:val="00FB5A18"/>
    <w:rsid w:val="00FB78C5"/>
    <w:rsid w:val="00FB7996"/>
    <w:rsid w:val="00FB7C55"/>
    <w:rsid w:val="00FC07DB"/>
    <w:rsid w:val="00FC2051"/>
    <w:rsid w:val="00FC7B35"/>
    <w:rsid w:val="00FD1312"/>
    <w:rsid w:val="00FD1799"/>
    <w:rsid w:val="00FD77A0"/>
    <w:rsid w:val="00FE0005"/>
    <w:rsid w:val="00FE0166"/>
    <w:rsid w:val="00FE0426"/>
    <w:rsid w:val="00FE1130"/>
    <w:rsid w:val="00FE35CB"/>
    <w:rsid w:val="00FE45F7"/>
    <w:rsid w:val="00FE7389"/>
    <w:rsid w:val="00FE7C58"/>
    <w:rsid w:val="00FF0A7C"/>
    <w:rsid w:val="00FF1551"/>
    <w:rsid w:val="00FF4ED9"/>
    <w:rsid w:val="00FF6C2B"/>
    <w:rsid w:val="00FF785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82FE4"/>
    <w:pPr>
      <w:keepNext/>
      <w:widowControl w:val="0"/>
      <w:spacing w:after="240"/>
      <w:ind w:left="720" w:hanging="720"/>
      <w:outlineLvl w:val="0"/>
    </w:pPr>
    <w:rPr>
      <w:b/>
      <w:caps/>
      <w:snapToGrid w:val="0"/>
    </w:rPr>
  </w:style>
  <w:style w:type="paragraph" w:styleId="Heading2">
    <w:name w:val="heading 2"/>
    <w:basedOn w:val="Normal"/>
    <w:next w:val="Normal"/>
    <w:link w:val="Heading2Char"/>
    <w:autoRedefine/>
    <w:uiPriority w:val="9"/>
    <w:unhideWhenUsed/>
    <w:qFormat/>
    <w:rsid w:val="00BA7C34"/>
    <w:pPr>
      <w:keepNext/>
      <w:keepLines/>
      <w:numPr>
        <w:numId w:val="15"/>
      </w:numPr>
      <w:spacing w:after="24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6E2617"/>
    <w:pPr>
      <w:keepNext/>
      <w:keepLines/>
      <w:numPr>
        <w:numId w:val="33"/>
      </w:numPr>
      <w:spacing w:after="240"/>
      <w:ind w:right="720"/>
      <w:outlineLvl w:val="2"/>
    </w:pPr>
    <w:rPr>
      <w:rFonts w:ascii="Times New Roman Bold" w:hAnsi="Times New Roman Bold"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2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32A5"/>
    <w:rPr>
      <w:sz w:val="20"/>
      <w:szCs w:val="20"/>
    </w:rPr>
  </w:style>
  <w:style w:type="character" w:styleId="FootnoteReference">
    <w:name w:val="footnote reference"/>
    <w:basedOn w:val="DefaultParagraphFont"/>
    <w:uiPriority w:val="99"/>
    <w:semiHidden/>
    <w:unhideWhenUsed/>
    <w:rsid w:val="00F332A5"/>
    <w:rPr>
      <w:vertAlign w:val="superscript"/>
    </w:rPr>
  </w:style>
  <w:style w:type="paragraph" w:styleId="ListParagraph">
    <w:name w:val="List Paragraph"/>
    <w:basedOn w:val="Normal"/>
    <w:uiPriority w:val="34"/>
    <w:qFormat/>
    <w:rsid w:val="00A0206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C5CC9"/>
    <w:rPr>
      <w:sz w:val="16"/>
      <w:szCs w:val="16"/>
    </w:rPr>
  </w:style>
  <w:style w:type="paragraph" w:styleId="CommentText">
    <w:name w:val="annotation text"/>
    <w:basedOn w:val="Normal"/>
    <w:link w:val="CommentTextChar"/>
    <w:unhideWhenUsed/>
    <w:rsid w:val="009C5C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9C5CC9"/>
    <w:rPr>
      <w:sz w:val="20"/>
      <w:szCs w:val="20"/>
    </w:rPr>
  </w:style>
  <w:style w:type="paragraph" w:styleId="CommentSubject">
    <w:name w:val="annotation subject"/>
    <w:basedOn w:val="CommentText"/>
    <w:next w:val="CommentText"/>
    <w:link w:val="CommentSubjectChar"/>
    <w:unhideWhenUsed/>
    <w:rsid w:val="009C5CC9"/>
    <w:rPr>
      <w:b/>
      <w:bCs/>
    </w:rPr>
  </w:style>
  <w:style w:type="character" w:customStyle="1" w:styleId="CommentSubjectChar">
    <w:name w:val="Comment Subject Char"/>
    <w:basedOn w:val="CommentTextChar"/>
    <w:link w:val="CommentSubject"/>
    <w:rsid w:val="009C5CC9"/>
    <w:rPr>
      <w:b/>
      <w:bCs/>
      <w:sz w:val="20"/>
      <w:szCs w:val="20"/>
    </w:rPr>
  </w:style>
  <w:style w:type="paragraph" w:styleId="BalloonText">
    <w:name w:val="Balloon Text"/>
    <w:basedOn w:val="Normal"/>
    <w:link w:val="BalloonTextChar"/>
    <w:uiPriority w:val="99"/>
    <w:semiHidden/>
    <w:unhideWhenUsed/>
    <w:rsid w:val="009C5CC9"/>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9C5CC9"/>
    <w:rPr>
      <w:rFonts w:ascii="Segoe UI" w:hAnsi="Segoe UI" w:cs="Segoe UI"/>
      <w:sz w:val="18"/>
      <w:szCs w:val="18"/>
    </w:rPr>
  </w:style>
  <w:style w:type="character" w:styleId="Hyperlink">
    <w:name w:val="Hyperlink"/>
    <w:basedOn w:val="DefaultParagraphFont"/>
    <w:uiPriority w:val="99"/>
    <w:unhideWhenUsed/>
    <w:rsid w:val="00F74A60"/>
    <w:rPr>
      <w:color w:val="0000FF" w:themeColor="hyperlink"/>
      <w:u w:val="single"/>
    </w:rPr>
  </w:style>
  <w:style w:type="character" w:customStyle="1" w:styleId="UnresolvedMention1">
    <w:name w:val="Unresolved Mention1"/>
    <w:basedOn w:val="DefaultParagraphFont"/>
    <w:uiPriority w:val="99"/>
    <w:semiHidden/>
    <w:unhideWhenUsed/>
    <w:rsid w:val="00F74A60"/>
    <w:rPr>
      <w:color w:val="605E5C"/>
      <w:shd w:val="clear" w:color="auto" w:fill="E1DFDD"/>
    </w:rPr>
  </w:style>
  <w:style w:type="paragraph" w:styleId="Revision">
    <w:name w:val="Revision"/>
    <w:hidden/>
    <w:uiPriority w:val="99"/>
    <w:semiHidden/>
    <w:rsid w:val="00C75986"/>
    <w:pPr>
      <w:spacing w:after="0" w:line="240" w:lineRule="auto"/>
    </w:pPr>
  </w:style>
  <w:style w:type="paragraph" w:styleId="Header">
    <w:name w:val="header"/>
    <w:basedOn w:val="Normal"/>
    <w:link w:val="HeaderChar"/>
    <w:uiPriority w:val="99"/>
    <w:unhideWhenUsed/>
    <w:rsid w:val="00D674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7402"/>
  </w:style>
  <w:style w:type="paragraph" w:styleId="Footer">
    <w:name w:val="footer"/>
    <w:basedOn w:val="Normal"/>
    <w:link w:val="FooterChar"/>
    <w:uiPriority w:val="99"/>
    <w:unhideWhenUsed/>
    <w:rsid w:val="00D674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7402"/>
  </w:style>
  <w:style w:type="paragraph" w:styleId="Title">
    <w:name w:val="Title"/>
    <w:basedOn w:val="Normal"/>
    <w:link w:val="TitleChar"/>
    <w:qFormat/>
    <w:rsid w:val="004D199E"/>
    <w:pPr>
      <w:jc w:val="center"/>
    </w:pPr>
    <w:rPr>
      <w:b/>
      <w:sz w:val="22"/>
      <w:szCs w:val="20"/>
    </w:rPr>
  </w:style>
  <w:style w:type="character" w:customStyle="1" w:styleId="TitleChar">
    <w:name w:val="Title Char"/>
    <w:basedOn w:val="DefaultParagraphFont"/>
    <w:link w:val="Title"/>
    <w:rsid w:val="004D199E"/>
    <w:rPr>
      <w:rFonts w:ascii="Times New Roman" w:eastAsia="Times New Roman" w:hAnsi="Times New Roman" w:cs="Times New Roman"/>
      <w:b/>
      <w:szCs w:val="20"/>
    </w:rPr>
  </w:style>
  <w:style w:type="paragraph" w:styleId="HTMLPreformatted">
    <w:name w:val="HTML Preformatted"/>
    <w:basedOn w:val="Normal"/>
    <w:link w:val="HTMLPreformattedChar"/>
    <w:rsid w:val="004D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199E"/>
    <w:rPr>
      <w:rFonts w:ascii="Courier New" w:eastAsia="Courier New" w:hAnsi="Courier New" w:cs="Courier New"/>
      <w:sz w:val="20"/>
      <w:szCs w:val="20"/>
    </w:rPr>
  </w:style>
  <w:style w:type="character" w:customStyle="1" w:styleId="Heading1Char">
    <w:name w:val="Heading 1 Char"/>
    <w:basedOn w:val="DefaultParagraphFont"/>
    <w:link w:val="Heading1"/>
    <w:rsid w:val="00A82FE4"/>
    <w:rPr>
      <w:rFonts w:ascii="Times New Roman" w:eastAsia="Times New Roman" w:hAnsi="Times New Roman" w:cs="Times New Roman"/>
      <w:b/>
      <w:caps/>
      <w:snapToGrid w:val="0"/>
      <w:sz w:val="24"/>
      <w:szCs w:val="24"/>
    </w:rPr>
  </w:style>
  <w:style w:type="paragraph" w:styleId="BodyText">
    <w:name w:val="Body Text"/>
    <w:basedOn w:val="Normal"/>
    <w:link w:val="BodyTextChar"/>
    <w:rsid w:val="004D199E"/>
    <w:pPr>
      <w:spacing w:line="480" w:lineRule="auto"/>
    </w:pPr>
    <w:rPr>
      <w:szCs w:val="20"/>
    </w:rPr>
  </w:style>
  <w:style w:type="character" w:customStyle="1" w:styleId="BodyTextChar">
    <w:name w:val="Body Text Char"/>
    <w:basedOn w:val="DefaultParagraphFont"/>
    <w:link w:val="BodyText"/>
    <w:rsid w:val="004D199E"/>
    <w:rPr>
      <w:rFonts w:ascii="Times New Roman" w:eastAsia="Times New Roman" w:hAnsi="Times New Roman" w:cs="Times New Roman"/>
      <w:sz w:val="24"/>
      <w:szCs w:val="20"/>
    </w:rPr>
  </w:style>
  <w:style w:type="paragraph" w:styleId="BodyTextIndent3">
    <w:name w:val="Body Text Indent 3"/>
    <w:basedOn w:val="Normal"/>
    <w:link w:val="BodyTextIndent3Char"/>
    <w:rsid w:val="004D199E"/>
    <w:pPr>
      <w:spacing w:line="480" w:lineRule="auto"/>
      <w:ind w:left="720"/>
    </w:pPr>
    <w:rPr>
      <w:szCs w:val="20"/>
    </w:rPr>
  </w:style>
  <w:style w:type="character" w:customStyle="1" w:styleId="BodyTextIndent3Char">
    <w:name w:val="Body Text Indent 3 Char"/>
    <w:basedOn w:val="DefaultParagraphFont"/>
    <w:link w:val="BodyTextIndent3"/>
    <w:rsid w:val="004D199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A7C34"/>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6E2617"/>
    <w:rPr>
      <w:rFonts w:ascii="Times New Roman Bold" w:hAnsi="Times New Roman Bold" w:eastAsiaTheme="majorEastAsia" w:cstheme="majorBidi"/>
      <w:sz w:val="24"/>
      <w:szCs w:val="24"/>
    </w:rPr>
  </w:style>
  <w:style w:type="paragraph" w:styleId="TOC1">
    <w:name w:val="toc 1"/>
    <w:basedOn w:val="Normal"/>
    <w:next w:val="Normal"/>
    <w:autoRedefine/>
    <w:uiPriority w:val="39"/>
    <w:unhideWhenUsed/>
    <w:qFormat/>
    <w:rsid w:val="000A069C"/>
    <w:pPr>
      <w:tabs>
        <w:tab w:val="decimal" w:leader="dot" w:pos="8640"/>
      </w:tabs>
      <w:spacing w:after="240"/>
      <w:ind w:left="720" w:hanging="720"/>
    </w:pPr>
    <w:rPr>
      <w:rFonts w:eastAsiaTheme="minorHAnsi" w:cstheme="minorBidi"/>
      <w:caps/>
      <w:szCs w:val="22"/>
    </w:rPr>
  </w:style>
  <w:style w:type="paragraph" w:styleId="TOC2">
    <w:name w:val="toc 2"/>
    <w:basedOn w:val="Normal"/>
    <w:next w:val="Normal"/>
    <w:autoRedefine/>
    <w:uiPriority w:val="39"/>
    <w:unhideWhenUsed/>
    <w:qFormat/>
    <w:rsid w:val="009A7A1D"/>
    <w:pPr>
      <w:tabs>
        <w:tab w:val="decimal" w:leader="dot" w:pos="8640"/>
      </w:tabs>
      <w:spacing w:after="240"/>
      <w:ind w:left="1440" w:hanging="720"/>
    </w:pPr>
    <w:rPr>
      <w:rFonts w:eastAsiaTheme="minorHAnsi" w:cstheme="minorBidi"/>
      <w:szCs w:val="22"/>
    </w:rPr>
  </w:style>
  <w:style w:type="character" w:customStyle="1" w:styleId="UnresolvedMention2">
    <w:name w:val="Unresolved Mention2"/>
    <w:basedOn w:val="DefaultParagraphFont"/>
    <w:uiPriority w:val="99"/>
    <w:rsid w:val="000722DA"/>
    <w:rPr>
      <w:color w:val="605E5C"/>
      <w:shd w:val="clear" w:color="auto" w:fill="E1DFDD"/>
    </w:rPr>
  </w:style>
  <w:style w:type="paragraph" w:styleId="EndnoteText">
    <w:name w:val="endnote text"/>
    <w:basedOn w:val="Normal"/>
    <w:link w:val="EndnoteTextChar"/>
    <w:uiPriority w:val="99"/>
    <w:semiHidden/>
    <w:unhideWhenUsed/>
    <w:rsid w:val="00DD1783"/>
    <w:rPr>
      <w:sz w:val="20"/>
      <w:szCs w:val="20"/>
    </w:rPr>
  </w:style>
  <w:style w:type="character" w:customStyle="1" w:styleId="EndnoteTextChar">
    <w:name w:val="Endnote Text Char"/>
    <w:basedOn w:val="DefaultParagraphFont"/>
    <w:link w:val="EndnoteText"/>
    <w:uiPriority w:val="99"/>
    <w:semiHidden/>
    <w:rsid w:val="00DD1783"/>
    <w:rPr>
      <w:sz w:val="20"/>
      <w:szCs w:val="20"/>
    </w:rPr>
  </w:style>
  <w:style w:type="character" w:styleId="EndnoteReference">
    <w:name w:val="endnote reference"/>
    <w:basedOn w:val="DefaultParagraphFont"/>
    <w:uiPriority w:val="99"/>
    <w:semiHidden/>
    <w:unhideWhenUsed/>
    <w:rsid w:val="00DD1783"/>
    <w:rPr>
      <w:vertAlign w:val="superscript"/>
    </w:rPr>
  </w:style>
  <w:style w:type="paragraph" w:styleId="TOCHeading">
    <w:name w:val="TOC Heading"/>
    <w:basedOn w:val="Heading1"/>
    <w:next w:val="Normal"/>
    <w:uiPriority w:val="39"/>
    <w:unhideWhenUsed/>
    <w:qFormat/>
    <w:rsid w:val="00FF4ED9"/>
    <w:pPr>
      <w:keepLines/>
      <w:widowControl/>
      <w:spacing w:after="0" w:line="259" w:lineRule="auto"/>
      <w:ind w:left="0" w:firstLine="0"/>
      <w:outlineLvl w:val="9"/>
    </w:pPr>
    <w:rPr>
      <w:rFonts w:asciiTheme="majorHAnsi" w:eastAsiaTheme="majorEastAsia" w:hAnsiTheme="majorHAnsi" w:cstheme="majorBidi"/>
      <w:b w:val="0"/>
      <w:caps w:val="0"/>
      <w:snapToGrid/>
      <w:color w:val="365F91" w:themeColor="accent1" w:themeShade="BF"/>
      <w:sz w:val="32"/>
      <w:szCs w:val="32"/>
    </w:rPr>
  </w:style>
  <w:style w:type="paragraph" w:styleId="TOC3">
    <w:name w:val="toc 3"/>
    <w:basedOn w:val="Normal"/>
    <w:next w:val="Normal"/>
    <w:autoRedefine/>
    <w:uiPriority w:val="39"/>
    <w:unhideWhenUsed/>
    <w:rsid w:val="00EF516B"/>
    <w:pPr>
      <w:tabs>
        <w:tab w:val="left" w:pos="1440"/>
        <w:tab w:val="left" w:pos="1840"/>
        <w:tab w:val="right" w:leader="dot" w:pos="8630"/>
      </w:tabs>
      <w:spacing w:after="100"/>
      <w:ind w:left="1440"/>
    </w:pPr>
  </w:style>
  <w:style w:type="table" w:styleId="TableGrid">
    <w:name w:val="Table Grid"/>
    <w:basedOn w:val="TableNormal"/>
    <w:rsid w:val="001361DA"/>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3">
    <w:name w:val="Unresolved Mention3"/>
    <w:basedOn w:val="DefaultParagraphFont"/>
    <w:uiPriority w:val="99"/>
    <w:semiHidden/>
    <w:unhideWhenUsed/>
    <w:rsid w:val="001361DA"/>
    <w:rPr>
      <w:color w:val="605E5C"/>
      <w:shd w:val="clear" w:color="auto" w:fill="E1DFDD"/>
    </w:rPr>
  </w:style>
  <w:style w:type="character" w:customStyle="1" w:styleId="UnresolvedMention4">
    <w:name w:val="Unresolved Mention4"/>
    <w:basedOn w:val="DefaultParagraphFont"/>
    <w:uiPriority w:val="99"/>
    <w:semiHidden/>
    <w:unhideWhenUsed/>
    <w:rsid w:val="00E42CD9"/>
    <w:rPr>
      <w:color w:val="605E5C"/>
      <w:shd w:val="clear" w:color="auto" w:fill="E1DFDD"/>
    </w:rPr>
  </w:style>
  <w:style w:type="character" w:customStyle="1" w:styleId="CommentTextChar1">
    <w:name w:val="Comment Text Char1"/>
    <w:basedOn w:val="DefaultParagraphFont"/>
    <w:semiHidden/>
    <w:rsid w:val="00E14D5C"/>
  </w:style>
  <w:style w:type="character" w:customStyle="1" w:styleId="UnresolvedMention">
    <w:name w:val="Unresolved Mention"/>
    <w:basedOn w:val="DefaultParagraphFont"/>
    <w:uiPriority w:val="99"/>
    <w:rsid w:val="0006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kyle.kern@ohioago.gov" TargetMode="External" /><Relationship Id="rId12" Type="http://schemas.openxmlformats.org/officeDocument/2006/relationships/hyperlink" Target="mailto:thomas.shepherd@ohioago.gov" TargetMode="External" /><Relationship Id="rId13" Type="http://schemas.openxmlformats.org/officeDocument/2006/relationships/hyperlink" Target="mailto:matthew.sandor@puco.ohio.gov" TargetMode="External" /><Relationship Id="rId14" Type="http://schemas.openxmlformats.org/officeDocument/2006/relationships/hyperlink" Target="mailto:nicholas.walstra@puco.ohio.gov"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wilson@occ.ohio.gov" TargetMode="External" /><Relationship Id="rId7" Type="http://schemas.openxmlformats.org/officeDocument/2006/relationships/hyperlink" Target="mailto:amy.botschner.obrien@occ.ohio.gov"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8D19-EF09-49FF-9AD6-BD6451CD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2022-01-21T21:53:47Z</dcterms:created>
  <dcterms:modified xsi:type="dcterms:W3CDTF">2022-01-21T21:53:47Z</dcterms:modified>
</cp:coreProperties>
</file>