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13" w:rsidRPr="00B51413" w:rsidRDefault="00B51413" w:rsidP="008D4264">
      <w:pPr>
        <w:autoSpaceDE w:val="0"/>
        <w:autoSpaceDN w:val="0"/>
        <w:adjustRightInd w:val="0"/>
        <w:spacing w:after="0" w:line="240" w:lineRule="auto"/>
        <w:jc w:val="center"/>
        <w:rPr>
          <w:rFonts w:cs="Times New Roman"/>
          <w:b/>
          <w:bCs/>
          <w:szCs w:val="24"/>
        </w:rPr>
      </w:pPr>
      <w:bookmarkStart w:id="0" w:name="_GoBack"/>
      <w:bookmarkEnd w:id="0"/>
      <w:r w:rsidRPr="00B51413">
        <w:rPr>
          <w:rFonts w:cs="Times New Roman"/>
          <w:b/>
          <w:bCs/>
          <w:szCs w:val="24"/>
        </w:rPr>
        <w:t>BEFORE</w:t>
      </w:r>
    </w:p>
    <w:p w:rsidR="005E25BB" w:rsidRDefault="00B51413" w:rsidP="0068623F">
      <w:pPr>
        <w:autoSpaceDE w:val="0"/>
        <w:autoSpaceDN w:val="0"/>
        <w:adjustRightInd w:val="0"/>
        <w:spacing w:after="0" w:line="240" w:lineRule="auto"/>
        <w:jc w:val="center"/>
        <w:rPr>
          <w:rFonts w:cs="Times New Roman"/>
          <w:b/>
          <w:bCs/>
          <w:szCs w:val="24"/>
        </w:rPr>
      </w:pPr>
      <w:r w:rsidRPr="00B51413">
        <w:rPr>
          <w:rFonts w:cs="Times New Roman"/>
          <w:b/>
          <w:bCs/>
          <w:szCs w:val="24"/>
        </w:rPr>
        <w:t>THE PUBLIC UTILITIES COMMISSION OF OHIO</w:t>
      </w:r>
    </w:p>
    <w:p w:rsidR="00E36C0F" w:rsidRDefault="00E36C0F" w:rsidP="00C5462B">
      <w:pPr>
        <w:autoSpaceDE w:val="0"/>
        <w:autoSpaceDN w:val="0"/>
        <w:adjustRightInd w:val="0"/>
        <w:spacing w:after="0" w:line="240" w:lineRule="auto"/>
        <w:rPr>
          <w:rFonts w:cs="Times New Roman"/>
          <w:szCs w:val="24"/>
        </w:rPr>
      </w:pPr>
    </w:p>
    <w:tbl>
      <w:tblPr>
        <w:tblW w:w="8556" w:type="dxa"/>
        <w:tblLook w:val="04A0" w:firstRow="1" w:lastRow="0" w:firstColumn="1" w:lastColumn="0" w:noHBand="0" w:noVBand="1"/>
      </w:tblPr>
      <w:tblGrid>
        <w:gridCol w:w="8556"/>
      </w:tblGrid>
      <w:tr w:rsidR="00A075A6" w:rsidRPr="00A075A6" w:rsidTr="00BA000E">
        <w:tc>
          <w:tcPr>
            <w:tcW w:w="8556" w:type="dxa"/>
          </w:tcPr>
          <w:tbl>
            <w:tblPr>
              <w:tblW w:w="8340" w:type="dxa"/>
              <w:tblLook w:val="04A0" w:firstRow="1" w:lastRow="0" w:firstColumn="1" w:lastColumn="0" w:noHBand="0" w:noVBand="1"/>
            </w:tblPr>
            <w:tblGrid>
              <w:gridCol w:w="4698"/>
              <w:gridCol w:w="450"/>
              <w:gridCol w:w="3192"/>
            </w:tblGrid>
            <w:tr w:rsidR="00A075A6" w:rsidRPr="00A075A6" w:rsidTr="00BA000E">
              <w:tc>
                <w:tcPr>
                  <w:tcW w:w="4698" w:type="dxa"/>
                  <w:hideMark/>
                </w:tcPr>
                <w:p w:rsidR="00A075A6" w:rsidRPr="00A075A6" w:rsidRDefault="00A075A6" w:rsidP="00A075A6">
                  <w:pPr>
                    <w:widowControl w:val="0"/>
                    <w:suppressLineNumbers/>
                    <w:tabs>
                      <w:tab w:val="left" w:pos="4770"/>
                    </w:tabs>
                    <w:spacing w:after="0"/>
                    <w:ind w:right="342"/>
                    <w:jc w:val="both"/>
                    <w:rPr>
                      <w:rFonts w:eastAsia="Times New Roman" w:cs="Times New Roman"/>
                      <w:bCs/>
                      <w:szCs w:val="24"/>
                    </w:rPr>
                  </w:pPr>
                  <w:r w:rsidRPr="00A075A6">
                    <w:rPr>
                      <w:rFonts w:eastAsia="Times New Roman" w:cs="Times New Roman"/>
                      <w:bCs/>
                      <w:szCs w:val="24"/>
                    </w:rPr>
                    <w:t xml:space="preserve">In the Matter of the Complaint of Jeffrey Pitzer, </w:t>
                  </w:r>
                </w:p>
                <w:p w:rsidR="00A075A6" w:rsidRPr="00A075A6" w:rsidRDefault="00A075A6" w:rsidP="00A075A6">
                  <w:pPr>
                    <w:widowControl w:val="0"/>
                    <w:suppressLineNumbers/>
                    <w:tabs>
                      <w:tab w:val="left" w:pos="4770"/>
                    </w:tabs>
                    <w:spacing w:after="0"/>
                    <w:ind w:right="342"/>
                    <w:jc w:val="both"/>
                    <w:rPr>
                      <w:rFonts w:eastAsia="Times New Roman" w:cs="Times New Roman"/>
                      <w:bCs/>
                      <w:szCs w:val="24"/>
                    </w:rPr>
                  </w:pPr>
                </w:p>
                <w:p w:rsidR="00A075A6" w:rsidRPr="00A075A6" w:rsidRDefault="00A075A6" w:rsidP="00A075A6">
                  <w:pPr>
                    <w:widowControl w:val="0"/>
                    <w:suppressLineNumbers/>
                    <w:tabs>
                      <w:tab w:val="left" w:pos="4770"/>
                    </w:tabs>
                    <w:spacing w:after="0"/>
                    <w:ind w:right="342"/>
                    <w:jc w:val="both"/>
                    <w:rPr>
                      <w:rFonts w:eastAsia="Times New Roman" w:cs="Times New Roman"/>
                      <w:szCs w:val="24"/>
                    </w:rPr>
                  </w:pPr>
                  <w:r w:rsidRPr="00A075A6">
                    <w:rPr>
                      <w:rFonts w:eastAsia="Times New Roman" w:cs="Times New Roman"/>
                      <w:szCs w:val="24"/>
                    </w:rPr>
                    <w:t xml:space="preserve">   Complainant, </w:t>
                  </w:r>
                </w:p>
                <w:p w:rsidR="00A075A6" w:rsidRPr="00A075A6" w:rsidRDefault="00A075A6" w:rsidP="00A075A6">
                  <w:pPr>
                    <w:widowControl w:val="0"/>
                    <w:suppressLineNumbers/>
                    <w:tabs>
                      <w:tab w:val="left" w:pos="4770"/>
                    </w:tabs>
                    <w:spacing w:after="0"/>
                    <w:ind w:right="342"/>
                    <w:jc w:val="both"/>
                    <w:rPr>
                      <w:rFonts w:eastAsia="Times New Roman" w:cs="Times New Roman"/>
                      <w:szCs w:val="24"/>
                    </w:rPr>
                  </w:pPr>
                </w:p>
                <w:p w:rsidR="00A075A6" w:rsidRPr="00A075A6" w:rsidRDefault="00A075A6" w:rsidP="00A075A6">
                  <w:pPr>
                    <w:widowControl w:val="0"/>
                    <w:suppressLineNumbers/>
                    <w:tabs>
                      <w:tab w:val="left" w:pos="4770"/>
                    </w:tabs>
                    <w:spacing w:after="0"/>
                    <w:ind w:right="342"/>
                    <w:jc w:val="both"/>
                    <w:rPr>
                      <w:rFonts w:eastAsia="Times New Roman" w:cs="Times New Roman"/>
                      <w:szCs w:val="24"/>
                    </w:rPr>
                  </w:pPr>
                  <w:r w:rsidRPr="00A075A6">
                    <w:rPr>
                      <w:rFonts w:eastAsia="Times New Roman" w:cs="Times New Roman"/>
                      <w:szCs w:val="24"/>
                    </w:rPr>
                    <w:t>v.</w:t>
                  </w:r>
                </w:p>
                <w:p w:rsidR="00A075A6" w:rsidRPr="00A075A6" w:rsidRDefault="00A075A6" w:rsidP="00A075A6">
                  <w:pPr>
                    <w:widowControl w:val="0"/>
                    <w:suppressLineNumbers/>
                    <w:tabs>
                      <w:tab w:val="left" w:pos="4770"/>
                    </w:tabs>
                    <w:spacing w:after="0"/>
                    <w:ind w:right="342"/>
                    <w:jc w:val="both"/>
                    <w:rPr>
                      <w:rFonts w:eastAsia="Times New Roman" w:cs="Times New Roman"/>
                      <w:szCs w:val="24"/>
                    </w:rPr>
                  </w:pPr>
                </w:p>
                <w:p w:rsidR="00A075A6" w:rsidRPr="00A075A6" w:rsidRDefault="00A075A6" w:rsidP="00A075A6">
                  <w:pPr>
                    <w:widowControl w:val="0"/>
                    <w:suppressLineNumbers/>
                    <w:tabs>
                      <w:tab w:val="left" w:pos="4770"/>
                    </w:tabs>
                    <w:spacing w:after="0"/>
                    <w:ind w:right="342"/>
                    <w:jc w:val="both"/>
                    <w:rPr>
                      <w:rFonts w:eastAsia="Times New Roman" w:cs="Times New Roman"/>
                      <w:szCs w:val="24"/>
                    </w:rPr>
                  </w:pPr>
                  <w:r w:rsidRPr="00A075A6">
                    <w:rPr>
                      <w:rFonts w:eastAsia="Times New Roman" w:cs="Times New Roman"/>
                      <w:szCs w:val="24"/>
                    </w:rPr>
                    <w:t xml:space="preserve">Duke Energy Ohio, Inc., </w:t>
                  </w:r>
                </w:p>
                <w:p w:rsidR="00A075A6" w:rsidRPr="00A075A6" w:rsidRDefault="00A075A6" w:rsidP="00A075A6">
                  <w:pPr>
                    <w:widowControl w:val="0"/>
                    <w:suppressLineNumbers/>
                    <w:tabs>
                      <w:tab w:val="left" w:pos="4770"/>
                    </w:tabs>
                    <w:spacing w:after="0"/>
                    <w:ind w:right="342"/>
                    <w:jc w:val="both"/>
                    <w:rPr>
                      <w:rFonts w:eastAsia="Times New Roman" w:cs="Times New Roman"/>
                      <w:szCs w:val="24"/>
                    </w:rPr>
                  </w:pPr>
                </w:p>
                <w:p w:rsidR="00A075A6" w:rsidRPr="00A075A6" w:rsidRDefault="00A075A6" w:rsidP="00A075A6">
                  <w:pPr>
                    <w:widowControl w:val="0"/>
                    <w:suppressLineNumbers/>
                    <w:tabs>
                      <w:tab w:val="left" w:pos="4770"/>
                    </w:tabs>
                    <w:spacing w:after="0"/>
                    <w:ind w:right="342"/>
                    <w:jc w:val="both"/>
                    <w:rPr>
                      <w:rFonts w:eastAsia="Times New Roman" w:cs="Times New Roman"/>
                      <w:szCs w:val="24"/>
                    </w:rPr>
                  </w:pPr>
                  <w:r w:rsidRPr="00A075A6">
                    <w:rPr>
                      <w:rFonts w:eastAsia="Times New Roman" w:cs="Times New Roman"/>
                      <w:szCs w:val="24"/>
                    </w:rPr>
                    <w:t xml:space="preserve">  </w:t>
                  </w:r>
                  <w:r w:rsidR="00A10DA1">
                    <w:rPr>
                      <w:rFonts w:eastAsia="Times New Roman" w:cs="Times New Roman"/>
                      <w:szCs w:val="24"/>
                    </w:rPr>
                    <w:t xml:space="preserve"> </w:t>
                  </w:r>
                  <w:r w:rsidRPr="00A075A6">
                    <w:rPr>
                      <w:rFonts w:eastAsia="Times New Roman" w:cs="Times New Roman"/>
                      <w:szCs w:val="24"/>
                    </w:rPr>
                    <w:t>Respondent.</w:t>
                  </w:r>
                </w:p>
              </w:tc>
              <w:tc>
                <w:tcPr>
                  <w:tcW w:w="450" w:type="dxa"/>
                </w:tcPr>
                <w:p w:rsidR="00A075A6" w:rsidRPr="00A075A6" w:rsidRDefault="00A075A6" w:rsidP="00A075A6">
                  <w:pPr>
                    <w:widowControl w:val="0"/>
                    <w:suppressLineNumbers/>
                    <w:tabs>
                      <w:tab w:val="left" w:pos="4770"/>
                    </w:tabs>
                    <w:spacing w:after="0"/>
                    <w:jc w:val="both"/>
                    <w:rPr>
                      <w:rFonts w:eastAsia="Times New Roman" w:cs="Times New Roman"/>
                      <w:szCs w:val="24"/>
                    </w:rPr>
                  </w:pPr>
                  <w:r w:rsidRPr="00A075A6">
                    <w:rPr>
                      <w:rFonts w:eastAsia="Times New Roman" w:cs="Times New Roman"/>
                      <w:szCs w:val="24"/>
                    </w:rPr>
                    <w:t>)</w:t>
                  </w:r>
                  <w:r w:rsidRPr="00A075A6">
                    <w:rPr>
                      <w:rFonts w:eastAsia="Times New Roman" w:cs="Times New Roman"/>
                      <w:szCs w:val="24"/>
                    </w:rPr>
                    <w:br/>
                    <w:t>)</w:t>
                  </w:r>
                  <w:r w:rsidRPr="00A075A6">
                    <w:rPr>
                      <w:rFonts w:eastAsia="Times New Roman" w:cs="Times New Roman"/>
                      <w:szCs w:val="24"/>
                    </w:rPr>
                    <w:br/>
                    <w:t>)</w:t>
                  </w:r>
                  <w:r w:rsidRPr="00A075A6">
                    <w:rPr>
                      <w:rFonts w:eastAsia="Times New Roman" w:cs="Times New Roman"/>
                      <w:szCs w:val="24"/>
                    </w:rPr>
                    <w:br/>
                    <w:t>)</w:t>
                  </w:r>
                </w:p>
                <w:p w:rsidR="00A075A6" w:rsidRPr="00A075A6" w:rsidRDefault="00A075A6" w:rsidP="00A075A6">
                  <w:pPr>
                    <w:widowControl w:val="0"/>
                    <w:suppressLineNumbers/>
                    <w:tabs>
                      <w:tab w:val="left" w:pos="4770"/>
                    </w:tabs>
                    <w:spacing w:after="0"/>
                    <w:jc w:val="both"/>
                    <w:rPr>
                      <w:rFonts w:eastAsia="Times New Roman" w:cs="Times New Roman"/>
                      <w:szCs w:val="24"/>
                    </w:rPr>
                  </w:pPr>
                  <w:r w:rsidRPr="00A075A6">
                    <w:rPr>
                      <w:rFonts w:eastAsia="Times New Roman" w:cs="Times New Roman"/>
                      <w:szCs w:val="24"/>
                    </w:rPr>
                    <w:t>)</w:t>
                  </w:r>
                  <w:r w:rsidRPr="00A075A6">
                    <w:rPr>
                      <w:rFonts w:eastAsia="Times New Roman" w:cs="Times New Roman"/>
                      <w:szCs w:val="24"/>
                    </w:rPr>
                    <w:br/>
                    <w:t>)</w:t>
                  </w:r>
                </w:p>
                <w:p w:rsidR="00A075A6" w:rsidRPr="00A075A6" w:rsidRDefault="00A075A6" w:rsidP="00A075A6">
                  <w:pPr>
                    <w:widowControl w:val="0"/>
                    <w:suppressLineNumbers/>
                    <w:tabs>
                      <w:tab w:val="left" w:pos="4770"/>
                    </w:tabs>
                    <w:spacing w:after="0"/>
                    <w:jc w:val="both"/>
                    <w:rPr>
                      <w:rFonts w:eastAsia="Times New Roman" w:cs="Times New Roman"/>
                      <w:szCs w:val="24"/>
                    </w:rPr>
                  </w:pPr>
                  <w:r w:rsidRPr="00A075A6">
                    <w:rPr>
                      <w:rFonts w:eastAsia="Times New Roman" w:cs="Times New Roman"/>
                      <w:szCs w:val="24"/>
                    </w:rPr>
                    <w:t>)</w:t>
                  </w:r>
                </w:p>
                <w:p w:rsidR="00A075A6" w:rsidRPr="00A075A6" w:rsidRDefault="00A075A6" w:rsidP="00A075A6">
                  <w:pPr>
                    <w:widowControl w:val="0"/>
                    <w:suppressLineNumbers/>
                    <w:tabs>
                      <w:tab w:val="left" w:pos="4770"/>
                    </w:tabs>
                    <w:spacing w:after="0"/>
                    <w:jc w:val="both"/>
                    <w:rPr>
                      <w:rFonts w:eastAsia="Times New Roman" w:cs="Times New Roman"/>
                      <w:szCs w:val="24"/>
                    </w:rPr>
                  </w:pPr>
                  <w:r w:rsidRPr="00A075A6">
                    <w:rPr>
                      <w:rFonts w:eastAsia="Times New Roman" w:cs="Times New Roman"/>
                      <w:szCs w:val="24"/>
                    </w:rPr>
                    <w:t>)</w:t>
                  </w:r>
                </w:p>
                <w:p w:rsidR="00A075A6" w:rsidRPr="00A075A6" w:rsidRDefault="00A075A6" w:rsidP="00A075A6">
                  <w:pPr>
                    <w:widowControl w:val="0"/>
                    <w:suppressLineNumbers/>
                    <w:tabs>
                      <w:tab w:val="left" w:pos="4770"/>
                    </w:tabs>
                    <w:spacing w:after="0"/>
                    <w:jc w:val="both"/>
                    <w:rPr>
                      <w:rFonts w:eastAsia="Times New Roman" w:cs="Times New Roman"/>
                      <w:szCs w:val="24"/>
                    </w:rPr>
                  </w:pPr>
                  <w:r w:rsidRPr="00A075A6">
                    <w:rPr>
                      <w:rFonts w:eastAsia="Times New Roman" w:cs="Times New Roman"/>
                      <w:szCs w:val="24"/>
                    </w:rPr>
                    <w:t>)</w:t>
                  </w:r>
                </w:p>
                <w:p w:rsidR="00A075A6" w:rsidRPr="00A075A6" w:rsidRDefault="00A075A6" w:rsidP="00A075A6">
                  <w:pPr>
                    <w:widowControl w:val="0"/>
                    <w:suppressLineNumbers/>
                    <w:tabs>
                      <w:tab w:val="left" w:pos="4770"/>
                    </w:tabs>
                    <w:spacing w:after="0"/>
                    <w:jc w:val="both"/>
                    <w:rPr>
                      <w:rFonts w:eastAsia="Times New Roman" w:cs="Times New Roman"/>
                      <w:szCs w:val="24"/>
                    </w:rPr>
                  </w:pPr>
                  <w:r w:rsidRPr="00A075A6">
                    <w:rPr>
                      <w:rFonts w:eastAsia="Times New Roman" w:cs="Times New Roman"/>
                      <w:szCs w:val="24"/>
                    </w:rPr>
                    <w:t>)</w:t>
                  </w:r>
                </w:p>
              </w:tc>
              <w:tc>
                <w:tcPr>
                  <w:tcW w:w="3192" w:type="dxa"/>
                </w:tcPr>
                <w:p w:rsidR="00A075A6" w:rsidRPr="00A075A6" w:rsidRDefault="00A075A6" w:rsidP="00A075A6">
                  <w:pPr>
                    <w:widowControl w:val="0"/>
                    <w:suppressLineNumbers/>
                    <w:tabs>
                      <w:tab w:val="left" w:pos="4770"/>
                    </w:tabs>
                    <w:spacing w:after="0"/>
                    <w:jc w:val="both"/>
                    <w:rPr>
                      <w:rFonts w:eastAsia="Times New Roman" w:cs="Times New Roman"/>
                      <w:szCs w:val="24"/>
                    </w:rPr>
                  </w:pPr>
                </w:p>
                <w:p w:rsidR="00A075A6" w:rsidRPr="00A075A6" w:rsidRDefault="00A075A6" w:rsidP="00A075A6">
                  <w:pPr>
                    <w:widowControl w:val="0"/>
                    <w:suppressLineNumbers/>
                    <w:tabs>
                      <w:tab w:val="left" w:pos="4770"/>
                    </w:tabs>
                    <w:spacing w:after="0"/>
                    <w:jc w:val="both"/>
                    <w:rPr>
                      <w:rFonts w:eastAsia="Times New Roman" w:cs="Times New Roman"/>
                      <w:szCs w:val="24"/>
                    </w:rPr>
                  </w:pPr>
                </w:p>
                <w:p w:rsidR="00A075A6" w:rsidRPr="00A075A6" w:rsidRDefault="00A075A6" w:rsidP="00A075A6">
                  <w:pPr>
                    <w:widowControl w:val="0"/>
                    <w:suppressLineNumbers/>
                    <w:tabs>
                      <w:tab w:val="left" w:pos="4770"/>
                    </w:tabs>
                    <w:spacing w:after="0"/>
                    <w:jc w:val="both"/>
                    <w:rPr>
                      <w:rFonts w:eastAsia="Times New Roman" w:cs="Times New Roman"/>
                      <w:szCs w:val="24"/>
                    </w:rPr>
                  </w:pPr>
                  <w:r w:rsidRPr="00A075A6">
                    <w:rPr>
                      <w:rFonts w:eastAsia="Times New Roman" w:cs="Times New Roman"/>
                      <w:szCs w:val="24"/>
                    </w:rPr>
                    <w:t xml:space="preserve">Case No.15-298-GE-CSS </w:t>
                  </w:r>
                </w:p>
              </w:tc>
            </w:tr>
          </w:tbl>
          <w:p w:rsidR="00A075A6" w:rsidRPr="00A075A6" w:rsidRDefault="00A075A6" w:rsidP="00A075A6">
            <w:pPr>
              <w:widowControl w:val="0"/>
              <w:autoSpaceDE w:val="0"/>
              <w:autoSpaceDN w:val="0"/>
              <w:adjustRightInd w:val="0"/>
              <w:spacing w:after="0" w:line="240" w:lineRule="auto"/>
              <w:rPr>
                <w:rFonts w:eastAsia="Times New Roman" w:cs="Times New Roman"/>
                <w:sz w:val="20"/>
                <w:szCs w:val="20"/>
              </w:rPr>
            </w:pPr>
          </w:p>
        </w:tc>
      </w:tr>
    </w:tbl>
    <w:p w:rsidR="00A075A6" w:rsidRPr="00B51413" w:rsidRDefault="00A075A6" w:rsidP="00C5462B">
      <w:pPr>
        <w:autoSpaceDE w:val="0"/>
        <w:autoSpaceDN w:val="0"/>
        <w:adjustRightInd w:val="0"/>
        <w:spacing w:after="0" w:line="240" w:lineRule="auto"/>
        <w:rPr>
          <w:rFonts w:cs="Times New Roman"/>
          <w:szCs w:val="24"/>
        </w:rPr>
      </w:pPr>
    </w:p>
    <w:p w:rsidR="004C4E05" w:rsidRDefault="00B51413" w:rsidP="00C5462B">
      <w:pPr>
        <w:autoSpaceDE w:val="0"/>
        <w:autoSpaceDN w:val="0"/>
        <w:adjustRightInd w:val="0"/>
        <w:spacing w:after="0" w:line="240" w:lineRule="auto"/>
        <w:rPr>
          <w:rFonts w:cs="Times New Roman"/>
          <w:szCs w:val="24"/>
        </w:rPr>
      </w:pPr>
      <w:r>
        <w:rPr>
          <w:rFonts w:cs="Times New Roman"/>
          <w:szCs w:val="24"/>
        </w:rPr>
        <w:t>_______________________________</w:t>
      </w:r>
      <w:r w:rsidR="00380423">
        <w:rPr>
          <w:rFonts w:cs="Times New Roman"/>
          <w:szCs w:val="24"/>
        </w:rPr>
        <w:t>______</w:t>
      </w:r>
      <w:r>
        <w:rPr>
          <w:rFonts w:cs="Times New Roman"/>
          <w:szCs w:val="24"/>
        </w:rPr>
        <w:t>_________________________________</w:t>
      </w:r>
      <w:r w:rsidR="00E36C0F">
        <w:rPr>
          <w:rFonts w:cs="Times New Roman"/>
          <w:szCs w:val="24"/>
        </w:rPr>
        <w:t>__</w:t>
      </w:r>
    </w:p>
    <w:p w:rsidR="00B51413" w:rsidRDefault="00B51413" w:rsidP="00C5462B">
      <w:pPr>
        <w:autoSpaceDE w:val="0"/>
        <w:autoSpaceDN w:val="0"/>
        <w:adjustRightInd w:val="0"/>
        <w:spacing w:after="0" w:line="240" w:lineRule="auto"/>
        <w:rPr>
          <w:rFonts w:cs="Times New Roman"/>
          <w:szCs w:val="24"/>
        </w:rPr>
      </w:pPr>
    </w:p>
    <w:p w:rsidR="006F4F56" w:rsidRDefault="00AD114F" w:rsidP="0042690F">
      <w:pPr>
        <w:autoSpaceDE w:val="0"/>
        <w:autoSpaceDN w:val="0"/>
        <w:adjustRightInd w:val="0"/>
        <w:spacing w:after="0" w:line="240" w:lineRule="auto"/>
        <w:jc w:val="center"/>
        <w:rPr>
          <w:rFonts w:cs="Times New Roman"/>
          <w:b/>
          <w:szCs w:val="24"/>
        </w:rPr>
      </w:pPr>
      <w:r>
        <w:rPr>
          <w:rFonts w:cs="Times New Roman"/>
          <w:b/>
          <w:szCs w:val="24"/>
        </w:rPr>
        <w:t>MEMORANDUM CONTRA</w:t>
      </w:r>
      <w:r w:rsidR="00F634F7">
        <w:rPr>
          <w:rFonts w:cs="Times New Roman"/>
          <w:b/>
          <w:szCs w:val="24"/>
        </w:rPr>
        <w:t xml:space="preserve"> TO </w:t>
      </w:r>
      <w:r w:rsidR="00001A9A">
        <w:rPr>
          <w:rFonts w:cs="Times New Roman"/>
          <w:b/>
          <w:szCs w:val="24"/>
        </w:rPr>
        <w:t>COMPLAINANT</w:t>
      </w:r>
      <w:r w:rsidR="009433F5">
        <w:rPr>
          <w:rFonts w:cs="Times New Roman"/>
          <w:b/>
          <w:szCs w:val="24"/>
        </w:rPr>
        <w:t>’S</w:t>
      </w:r>
      <w:r w:rsidR="00F634F7">
        <w:rPr>
          <w:rFonts w:cs="Times New Roman"/>
          <w:b/>
          <w:szCs w:val="24"/>
        </w:rPr>
        <w:t xml:space="preserve"> </w:t>
      </w:r>
      <w:r>
        <w:rPr>
          <w:rFonts w:cs="Times New Roman"/>
          <w:b/>
          <w:szCs w:val="24"/>
        </w:rPr>
        <w:t xml:space="preserve">MOTION </w:t>
      </w:r>
      <w:r w:rsidR="0042690F">
        <w:rPr>
          <w:rFonts w:cs="Times New Roman"/>
          <w:b/>
          <w:szCs w:val="24"/>
        </w:rPr>
        <w:t xml:space="preserve">FOR </w:t>
      </w:r>
      <w:r w:rsidR="002C141A">
        <w:rPr>
          <w:rFonts w:cs="Times New Roman"/>
          <w:b/>
          <w:szCs w:val="24"/>
        </w:rPr>
        <w:t xml:space="preserve">PROTECTIVE </w:t>
      </w:r>
      <w:r w:rsidR="000A4577">
        <w:rPr>
          <w:rFonts w:cs="Times New Roman"/>
          <w:b/>
          <w:szCs w:val="24"/>
        </w:rPr>
        <w:t xml:space="preserve">ORDER REGARDING THE </w:t>
      </w:r>
      <w:r w:rsidR="00001A9A">
        <w:rPr>
          <w:rFonts w:cs="Times New Roman"/>
          <w:b/>
          <w:szCs w:val="24"/>
        </w:rPr>
        <w:t xml:space="preserve">DEPOSITION TESTIMONY OF MARION BYNDON </w:t>
      </w:r>
    </w:p>
    <w:p w:rsidR="00EF5167" w:rsidRDefault="00EF5167" w:rsidP="00AD114F">
      <w:pPr>
        <w:autoSpaceDE w:val="0"/>
        <w:autoSpaceDN w:val="0"/>
        <w:adjustRightInd w:val="0"/>
        <w:spacing w:after="0" w:line="240" w:lineRule="auto"/>
        <w:jc w:val="center"/>
        <w:rPr>
          <w:rFonts w:cs="Times New Roman"/>
          <w:b/>
          <w:szCs w:val="24"/>
        </w:rPr>
      </w:pPr>
      <w:r>
        <w:rPr>
          <w:rFonts w:cs="Times New Roman"/>
          <w:b/>
          <w:szCs w:val="24"/>
        </w:rPr>
        <w:t>BY</w:t>
      </w:r>
    </w:p>
    <w:p w:rsidR="00976EE6" w:rsidRDefault="00976EE6" w:rsidP="0068623F">
      <w:pPr>
        <w:autoSpaceDE w:val="0"/>
        <w:autoSpaceDN w:val="0"/>
        <w:adjustRightInd w:val="0"/>
        <w:spacing w:after="0" w:line="240" w:lineRule="auto"/>
        <w:jc w:val="center"/>
        <w:rPr>
          <w:rFonts w:cs="Times New Roman"/>
          <w:b/>
          <w:szCs w:val="24"/>
        </w:rPr>
      </w:pPr>
      <w:r>
        <w:rPr>
          <w:rFonts w:cs="Times New Roman"/>
          <w:b/>
          <w:szCs w:val="24"/>
        </w:rPr>
        <w:t>THE OFFICE OF THE OHIO CONSUMERS’ COUNSEL</w:t>
      </w:r>
    </w:p>
    <w:p w:rsidR="00B51413" w:rsidRDefault="00B51413" w:rsidP="00C5462B">
      <w:pPr>
        <w:autoSpaceDE w:val="0"/>
        <w:autoSpaceDN w:val="0"/>
        <w:adjustRightInd w:val="0"/>
        <w:spacing w:after="0" w:line="240" w:lineRule="auto"/>
        <w:rPr>
          <w:rFonts w:cs="Times New Roman"/>
          <w:szCs w:val="24"/>
        </w:rPr>
      </w:pPr>
      <w:r>
        <w:rPr>
          <w:rFonts w:cs="Times New Roman"/>
          <w:szCs w:val="24"/>
        </w:rPr>
        <w:t>________________________________________________________________________</w:t>
      </w:r>
    </w:p>
    <w:p w:rsidR="00B51413" w:rsidRDefault="00B51413" w:rsidP="00C5462B">
      <w:pPr>
        <w:autoSpaceDE w:val="0"/>
        <w:autoSpaceDN w:val="0"/>
        <w:adjustRightInd w:val="0"/>
        <w:spacing w:after="0" w:line="240" w:lineRule="auto"/>
        <w:rPr>
          <w:rFonts w:cs="Times New Roman"/>
          <w:b/>
          <w:bCs/>
          <w:szCs w:val="24"/>
        </w:rPr>
      </w:pPr>
    </w:p>
    <w:p w:rsidR="0042690F" w:rsidRDefault="0042690F" w:rsidP="00ED1208">
      <w:pPr>
        <w:pStyle w:val="ListParagraph"/>
        <w:numPr>
          <w:ilvl w:val="0"/>
          <w:numId w:val="5"/>
        </w:numPr>
        <w:spacing w:before="240" w:after="0" w:line="480" w:lineRule="auto"/>
        <w:ind w:left="720"/>
        <w:contextualSpacing w:val="0"/>
        <w:rPr>
          <w:rFonts w:cs="Times New Roman"/>
          <w:b/>
          <w:szCs w:val="24"/>
        </w:rPr>
      </w:pPr>
      <w:r w:rsidRPr="00EF2F10">
        <w:rPr>
          <w:rFonts w:cs="Times New Roman"/>
          <w:b/>
          <w:szCs w:val="24"/>
        </w:rPr>
        <w:t>INTRODUCTION</w:t>
      </w:r>
    </w:p>
    <w:p w:rsidR="00A075A6" w:rsidRDefault="000B5122" w:rsidP="000642AE">
      <w:pPr>
        <w:spacing w:after="0" w:line="480" w:lineRule="auto"/>
        <w:ind w:firstLine="720"/>
        <w:rPr>
          <w:rFonts w:cs="Times New Roman"/>
          <w:bCs/>
          <w:color w:val="000000"/>
          <w:szCs w:val="24"/>
        </w:rPr>
      </w:pPr>
      <w:r>
        <w:rPr>
          <w:szCs w:val="24"/>
        </w:rPr>
        <w:t xml:space="preserve">In the interest of furthering policies favoring transparency in proceedings at the </w:t>
      </w:r>
      <w:r w:rsidRPr="004B2FB1">
        <w:rPr>
          <w:szCs w:val="24"/>
        </w:rPr>
        <w:t>Public Utilities Commission of Ohio (“</w:t>
      </w:r>
      <w:r>
        <w:rPr>
          <w:szCs w:val="24"/>
        </w:rPr>
        <w:t xml:space="preserve">PUCO”), the </w:t>
      </w:r>
      <w:r w:rsidRPr="00490300">
        <w:rPr>
          <w:szCs w:val="24"/>
        </w:rPr>
        <w:t xml:space="preserve">Office of the Ohio Consumers’ Counsel </w:t>
      </w:r>
      <w:r>
        <w:rPr>
          <w:szCs w:val="24"/>
        </w:rPr>
        <w:t xml:space="preserve">(“OCC”) files this Memorandum Contra the motion for protective order filed </w:t>
      </w:r>
      <w:r>
        <w:rPr>
          <w:bCs/>
          <w:color w:val="000000"/>
          <w:szCs w:val="24"/>
        </w:rPr>
        <w:t xml:space="preserve">on December 31, 2015 </w:t>
      </w:r>
      <w:r>
        <w:rPr>
          <w:szCs w:val="24"/>
        </w:rPr>
        <w:t xml:space="preserve">by </w:t>
      </w:r>
      <w:r>
        <w:rPr>
          <w:bCs/>
          <w:color w:val="000000"/>
          <w:szCs w:val="24"/>
        </w:rPr>
        <w:t xml:space="preserve">the Complainant in this significant case for Ohio’s residential utility customers.  </w:t>
      </w:r>
      <w:r w:rsidR="00A075A6" w:rsidRPr="000642AE">
        <w:rPr>
          <w:rFonts w:cs="Times New Roman"/>
          <w:bCs/>
          <w:color w:val="000000"/>
          <w:szCs w:val="24"/>
        </w:rPr>
        <w:t>Ohio utilities must adhere to the intent and requirements of the PUCO’s winter reconnect orders.</w:t>
      </w:r>
      <w:r w:rsidR="00A075A6" w:rsidRPr="000642AE">
        <w:rPr>
          <w:rStyle w:val="FootnoteReference"/>
          <w:rFonts w:cs="Times New Roman"/>
          <w:bCs/>
          <w:color w:val="000000"/>
          <w:szCs w:val="24"/>
        </w:rPr>
        <w:footnoteReference w:id="1"/>
      </w:r>
      <w:r w:rsidR="00A075A6" w:rsidRPr="000642AE">
        <w:rPr>
          <w:rFonts w:cs="Times New Roman"/>
          <w:bCs/>
          <w:color w:val="000000"/>
          <w:szCs w:val="24"/>
        </w:rPr>
        <w:t xml:space="preserve">  This case is about whether </w:t>
      </w:r>
      <w:r>
        <w:rPr>
          <w:rFonts w:cs="Times New Roman"/>
          <w:bCs/>
          <w:color w:val="000000"/>
          <w:szCs w:val="24"/>
        </w:rPr>
        <w:t>Duke Energy Ohio, Inc. (“</w:t>
      </w:r>
      <w:r w:rsidR="00A075A6" w:rsidRPr="000642AE">
        <w:rPr>
          <w:rFonts w:cs="Times New Roman"/>
          <w:bCs/>
          <w:color w:val="000000"/>
          <w:szCs w:val="24"/>
        </w:rPr>
        <w:t>Duke</w:t>
      </w:r>
      <w:r>
        <w:rPr>
          <w:rFonts w:cs="Times New Roman"/>
          <w:bCs/>
          <w:color w:val="000000"/>
          <w:szCs w:val="24"/>
        </w:rPr>
        <w:t>”)</w:t>
      </w:r>
      <w:r w:rsidR="00A075A6" w:rsidRPr="000642AE">
        <w:rPr>
          <w:rFonts w:cs="Times New Roman"/>
          <w:bCs/>
          <w:color w:val="000000"/>
          <w:szCs w:val="24"/>
        </w:rPr>
        <w:t xml:space="preserve"> unlawfully </w:t>
      </w:r>
      <w:r w:rsidR="00D229C7">
        <w:rPr>
          <w:rFonts w:cs="Times New Roman"/>
          <w:bCs/>
          <w:color w:val="000000"/>
          <w:szCs w:val="24"/>
        </w:rPr>
        <w:t xml:space="preserve">and unreasonably </w:t>
      </w:r>
      <w:r w:rsidR="00A075A6" w:rsidRPr="000642AE">
        <w:rPr>
          <w:rFonts w:cs="Times New Roman"/>
          <w:bCs/>
          <w:color w:val="000000"/>
          <w:szCs w:val="24"/>
        </w:rPr>
        <w:t>disconnected electrical service at a residence in November 2011</w:t>
      </w:r>
      <w:r w:rsidR="00A10DA1">
        <w:rPr>
          <w:rFonts w:cs="Times New Roman"/>
          <w:bCs/>
          <w:color w:val="000000"/>
          <w:szCs w:val="24"/>
        </w:rPr>
        <w:t>.  T</w:t>
      </w:r>
      <w:r w:rsidR="00A075A6" w:rsidRPr="000642AE">
        <w:rPr>
          <w:rFonts w:cs="Times New Roman"/>
          <w:bCs/>
          <w:color w:val="000000"/>
          <w:szCs w:val="24"/>
        </w:rPr>
        <w:t xml:space="preserve">wo Ohioans died.  </w:t>
      </w:r>
    </w:p>
    <w:p w:rsidR="00447A03" w:rsidRDefault="00447A03" w:rsidP="000642AE">
      <w:pPr>
        <w:spacing w:after="0" w:line="480" w:lineRule="auto"/>
        <w:ind w:firstLine="720"/>
        <w:rPr>
          <w:rFonts w:cs="Times New Roman"/>
          <w:bCs/>
          <w:color w:val="000000"/>
          <w:szCs w:val="24"/>
        </w:rPr>
      </w:pPr>
      <w:r>
        <w:rPr>
          <w:rFonts w:cs="Times New Roman"/>
          <w:bCs/>
          <w:color w:val="000000"/>
          <w:szCs w:val="24"/>
        </w:rPr>
        <w:lastRenderedPageBreak/>
        <w:t>On December 31</w:t>
      </w:r>
      <w:r w:rsidR="00CA04A2">
        <w:rPr>
          <w:rFonts w:cs="Times New Roman"/>
          <w:bCs/>
          <w:color w:val="000000"/>
          <w:szCs w:val="24"/>
        </w:rPr>
        <w:t xml:space="preserve">, 2015, </w:t>
      </w:r>
      <w:r>
        <w:rPr>
          <w:rFonts w:cs="Times New Roman"/>
          <w:bCs/>
          <w:color w:val="000000"/>
          <w:szCs w:val="24"/>
        </w:rPr>
        <w:t>the Complainant</w:t>
      </w:r>
      <w:r w:rsidR="00CA04A2">
        <w:rPr>
          <w:rFonts w:cs="Times New Roman"/>
          <w:bCs/>
          <w:color w:val="000000"/>
          <w:szCs w:val="24"/>
        </w:rPr>
        <w:t xml:space="preserve"> in this case</w:t>
      </w:r>
      <w:r>
        <w:rPr>
          <w:rFonts w:cs="Times New Roman"/>
          <w:bCs/>
          <w:color w:val="000000"/>
          <w:szCs w:val="24"/>
        </w:rPr>
        <w:t xml:space="preserve"> filed under seal the transcript </w:t>
      </w:r>
      <w:r w:rsidR="000B5122">
        <w:rPr>
          <w:rFonts w:cs="Times New Roman"/>
          <w:bCs/>
          <w:color w:val="000000"/>
          <w:szCs w:val="24"/>
        </w:rPr>
        <w:t>of</w:t>
      </w:r>
      <w:r>
        <w:rPr>
          <w:rFonts w:cs="Times New Roman"/>
          <w:bCs/>
          <w:color w:val="000000"/>
          <w:szCs w:val="24"/>
        </w:rPr>
        <w:t xml:space="preserve"> the deposition of Marion Byndon, the manager of Duke’s Midwest consumer affairs department.  Ms. Byndon was designated by Duke to answer questions regarding account-related documents in response to a notice of corporate designee filed by the Complainant on October 8, 2015.  The deposition occurred on December 3, 2015</w:t>
      </w:r>
      <w:r w:rsidR="00CA04A2">
        <w:rPr>
          <w:rFonts w:cs="Times New Roman"/>
          <w:bCs/>
          <w:color w:val="000000"/>
          <w:szCs w:val="24"/>
        </w:rPr>
        <w:t xml:space="preserve">.  </w:t>
      </w:r>
    </w:p>
    <w:p w:rsidR="00447A03" w:rsidRDefault="00447A03" w:rsidP="000642AE">
      <w:pPr>
        <w:spacing w:after="0" w:line="480" w:lineRule="auto"/>
        <w:ind w:firstLine="720"/>
        <w:rPr>
          <w:rFonts w:cs="Times New Roman"/>
          <w:bCs/>
          <w:color w:val="000000"/>
          <w:szCs w:val="24"/>
        </w:rPr>
      </w:pPr>
      <w:r>
        <w:rPr>
          <w:rFonts w:cs="Times New Roman"/>
          <w:bCs/>
          <w:color w:val="000000"/>
          <w:szCs w:val="24"/>
        </w:rPr>
        <w:t xml:space="preserve">Concurrently with the deposition transcript, the Complainant filed </w:t>
      </w:r>
      <w:r w:rsidR="0087704B">
        <w:rPr>
          <w:rFonts w:cs="Times New Roman"/>
          <w:bCs/>
          <w:color w:val="000000"/>
          <w:szCs w:val="24"/>
        </w:rPr>
        <w:t>a motion for protective order</w:t>
      </w:r>
      <w:r>
        <w:rPr>
          <w:rFonts w:cs="Times New Roman"/>
          <w:bCs/>
          <w:color w:val="000000"/>
          <w:szCs w:val="24"/>
        </w:rPr>
        <w:t>.  The motion states that the transcript was filed under seal because Duke had asked that the transcript be kept confidential and Complainant agreed</w:t>
      </w:r>
      <w:r w:rsidR="00563E94">
        <w:rPr>
          <w:rFonts w:cs="Times New Roman"/>
          <w:bCs/>
          <w:color w:val="000000"/>
          <w:szCs w:val="24"/>
        </w:rPr>
        <w:t xml:space="preserve"> to the request.</w:t>
      </w:r>
      <w:r w:rsidR="004139FB">
        <w:rPr>
          <w:rFonts w:cs="Times New Roman"/>
          <w:bCs/>
          <w:color w:val="000000"/>
          <w:szCs w:val="24"/>
        </w:rPr>
        <w:t xml:space="preserve">  Thus, Duke, and not Complainant, appears to actually be seeking non-disclosure of the deposition transcript.</w:t>
      </w:r>
    </w:p>
    <w:p w:rsidR="00F059BE" w:rsidRDefault="0050433A" w:rsidP="00563E94">
      <w:pPr>
        <w:spacing w:after="0" w:line="480" w:lineRule="auto"/>
        <w:ind w:firstLine="720"/>
        <w:rPr>
          <w:rFonts w:cs="Times New Roman"/>
          <w:szCs w:val="24"/>
        </w:rPr>
      </w:pPr>
      <w:r w:rsidRPr="00490300">
        <w:rPr>
          <w:rFonts w:cs="Times New Roman"/>
          <w:szCs w:val="24"/>
        </w:rPr>
        <w:t>OCC</w:t>
      </w:r>
      <w:r w:rsidR="005F48A5">
        <w:rPr>
          <w:rFonts w:cs="Times New Roman"/>
          <w:szCs w:val="24"/>
        </w:rPr>
        <w:t xml:space="preserve"> opposes </w:t>
      </w:r>
      <w:r w:rsidR="00563E94">
        <w:rPr>
          <w:rFonts w:cs="Times New Roman"/>
          <w:szCs w:val="24"/>
        </w:rPr>
        <w:t>Complainant’s</w:t>
      </w:r>
      <w:r w:rsidR="005F48A5">
        <w:rPr>
          <w:rFonts w:cs="Times New Roman"/>
          <w:szCs w:val="24"/>
        </w:rPr>
        <w:t xml:space="preserve"> motion for </w:t>
      </w:r>
      <w:r w:rsidR="00563E94">
        <w:rPr>
          <w:rFonts w:cs="Times New Roman"/>
          <w:szCs w:val="24"/>
        </w:rPr>
        <w:t xml:space="preserve">a </w:t>
      </w:r>
      <w:r w:rsidR="005F48A5">
        <w:rPr>
          <w:rFonts w:cs="Times New Roman"/>
          <w:szCs w:val="24"/>
        </w:rPr>
        <w:t xml:space="preserve">protective order.  </w:t>
      </w:r>
      <w:r w:rsidR="00563E94">
        <w:rPr>
          <w:rFonts w:cs="Times New Roman"/>
          <w:szCs w:val="24"/>
        </w:rPr>
        <w:t xml:space="preserve">The motion does not meet the requirements for protective orders in the </w:t>
      </w:r>
      <w:r w:rsidR="000B5122">
        <w:rPr>
          <w:rFonts w:cs="Times New Roman"/>
          <w:szCs w:val="24"/>
        </w:rPr>
        <w:t xml:space="preserve">PUCO’s </w:t>
      </w:r>
      <w:r w:rsidR="00563E94">
        <w:rPr>
          <w:rFonts w:cs="Times New Roman"/>
          <w:szCs w:val="24"/>
        </w:rPr>
        <w:t xml:space="preserve">rules because the motion does not include a </w:t>
      </w:r>
      <w:r w:rsidR="00563E94">
        <w:t>memorandum in support, setting forth the specific basis of the motion and citations of any authorities relied upon.</w:t>
      </w:r>
      <w:r w:rsidR="00563E94">
        <w:rPr>
          <w:rStyle w:val="FootnoteReference"/>
        </w:rPr>
        <w:footnoteReference w:id="2"/>
      </w:r>
      <w:r w:rsidR="00563E94">
        <w:t xml:space="preserve">  In addition, the reason given for confidentiality of the document does not </w:t>
      </w:r>
      <w:r w:rsidR="003D148E">
        <w:t>demonstrate</w:t>
      </w:r>
      <w:r w:rsidR="00563E94">
        <w:t xml:space="preserve"> that the transcript contains </w:t>
      </w:r>
      <w:r w:rsidR="003D148E">
        <w:t xml:space="preserve">information that constitutes </w:t>
      </w:r>
      <w:r w:rsidR="00563E94">
        <w:t xml:space="preserve">a “trade secret,” as required under Ohio Adm. Code 4901-1-24(D).  </w:t>
      </w:r>
      <w:r w:rsidR="00E54048" w:rsidRPr="00490300">
        <w:rPr>
          <w:rFonts w:cs="Times New Roman"/>
          <w:szCs w:val="24"/>
        </w:rPr>
        <w:t xml:space="preserve">The </w:t>
      </w:r>
      <w:r w:rsidR="00D540F5">
        <w:rPr>
          <w:rFonts w:cs="Times New Roman"/>
          <w:szCs w:val="24"/>
        </w:rPr>
        <w:t xml:space="preserve">PUCO </w:t>
      </w:r>
      <w:r w:rsidR="00E54048" w:rsidRPr="00490300">
        <w:rPr>
          <w:rFonts w:cs="Times New Roman"/>
          <w:szCs w:val="24"/>
        </w:rPr>
        <w:t xml:space="preserve">should </w:t>
      </w:r>
      <w:r w:rsidR="00D540F5">
        <w:rPr>
          <w:rFonts w:cs="Times New Roman"/>
          <w:szCs w:val="24"/>
        </w:rPr>
        <w:t xml:space="preserve">deny </w:t>
      </w:r>
      <w:r w:rsidR="00563E94">
        <w:rPr>
          <w:rFonts w:cs="Times New Roman"/>
          <w:szCs w:val="24"/>
        </w:rPr>
        <w:t>the</w:t>
      </w:r>
      <w:r w:rsidR="00D540F5">
        <w:rPr>
          <w:rFonts w:cs="Times New Roman"/>
          <w:szCs w:val="24"/>
        </w:rPr>
        <w:t xml:space="preserve"> motion for protective order</w:t>
      </w:r>
      <w:r w:rsidR="000B1DF0" w:rsidRPr="00490300">
        <w:rPr>
          <w:rFonts w:cs="Times New Roman"/>
          <w:szCs w:val="24"/>
        </w:rPr>
        <w:t>.</w:t>
      </w:r>
    </w:p>
    <w:p w:rsidR="0042690F" w:rsidRPr="00490300" w:rsidRDefault="00D01D77" w:rsidP="00ED1208">
      <w:pPr>
        <w:pStyle w:val="ListParagraph"/>
        <w:numPr>
          <w:ilvl w:val="0"/>
          <w:numId w:val="5"/>
        </w:numPr>
        <w:spacing w:before="240" w:after="0" w:line="480" w:lineRule="auto"/>
        <w:ind w:left="720"/>
        <w:contextualSpacing w:val="0"/>
        <w:rPr>
          <w:rFonts w:cs="Times New Roman"/>
          <w:b/>
          <w:szCs w:val="24"/>
        </w:rPr>
      </w:pPr>
      <w:r>
        <w:rPr>
          <w:rFonts w:cs="Times New Roman"/>
          <w:b/>
          <w:szCs w:val="24"/>
        </w:rPr>
        <w:t>APPLICABLE LAW</w:t>
      </w:r>
    </w:p>
    <w:p w:rsidR="000B5122" w:rsidRPr="000B5122" w:rsidRDefault="000B5122" w:rsidP="000B5122">
      <w:pPr>
        <w:pStyle w:val="BodyTextIndent3"/>
        <w:spacing w:after="0" w:line="480" w:lineRule="auto"/>
        <w:ind w:left="0" w:firstLine="720"/>
        <w:rPr>
          <w:sz w:val="24"/>
          <w:szCs w:val="24"/>
        </w:rPr>
      </w:pPr>
      <w:r w:rsidRPr="000B5122">
        <w:rPr>
          <w:sz w:val="24"/>
          <w:szCs w:val="24"/>
        </w:rPr>
        <w:t>The guiding principle of the PUCO’s rules regarding protective orders is not to conceal information, but to make information public.  The PUCO has established a policy that confidential treatment is to be given only under extraordinary circumstances.</w:t>
      </w:r>
      <w:r w:rsidRPr="000B5122">
        <w:rPr>
          <w:rStyle w:val="FootnoteReference"/>
          <w:sz w:val="24"/>
          <w:szCs w:val="24"/>
        </w:rPr>
        <w:footnoteReference w:id="3"/>
      </w:r>
      <w:r w:rsidRPr="000B5122">
        <w:rPr>
          <w:sz w:val="24"/>
          <w:szCs w:val="24"/>
        </w:rPr>
        <w:t xml:space="preserve">   Ohio Adm. Code 4901-1-24(D) specifies that a protective order “shall minimize the amount of information protected from public disclosure.”  </w:t>
      </w:r>
    </w:p>
    <w:p w:rsidR="000B5122" w:rsidRPr="000B5122" w:rsidRDefault="000B5122" w:rsidP="000B5122">
      <w:pPr>
        <w:pStyle w:val="BodyTextIndent3"/>
        <w:spacing w:after="0" w:line="480" w:lineRule="auto"/>
        <w:ind w:left="0" w:firstLine="720"/>
        <w:rPr>
          <w:sz w:val="24"/>
          <w:szCs w:val="24"/>
        </w:rPr>
      </w:pPr>
      <w:r w:rsidRPr="000B5122">
        <w:rPr>
          <w:sz w:val="24"/>
          <w:szCs w:val="24"/>
        </w:rPr>
        <w:t>The PUCO has emphasized the importance of the public records laws and has noted that “Ohio public records law is intended to be liberally construed to ‘ensure that governmental records be open and made available to the public … subject to only a very few limited exceptions.’”</w:t>
      </w:r>
      <w:r w:rsidRPr="000B5122">
        <w:rPr>
          <w:rStyle w:val="FootnoteReference"/>
          <w:sz w:val="24"/>
          <w:szCs w:val="24"/>
        </w:rPr>
        <w:footnoteReference w:id="4"/>
      </w:r>
      <w:r w:rsidRPr="000B5122">
        <w:rPr>
          <w:sz w:val="24"/>
          <w:szCs w:val="24"/>
        </w:rPr>
        <w:t xml:space="preserve">  The PUCO has noted that “[a]ll proceedings at the Commission and all documents and records in its possession are public records, except as provided in Ohio’s public records law (149.43, Revised Code) and as consistent with the purposes of Title 49 of the Revised Code.”</w:t>
      </w:r>
      <w:r w:rsidRPr="000B5122">
        <w:rPr>
          <w:rStyle w:val="FootnoteReference"/>
          <w:sz w:val="24"/>
          <w:szCs w:val="24"/>
        </w:rPr>
        <w:footnoteReference w:id="5"/>
      </w:r>
      <w:r w:rsidRPr="000B5122">
        <w:rPr>
          <w:sz w:val="24"/>
          <w:szCs w:val="24"/>
        </w:rPr>
        <w:t xml:space="preserve">  Additionally, under R.C. 4905.07, “all facts and information in the possession of the public utilities commission shall be public, and all reports, records, files, books, accounts, papers, and memorandums of every nature in its possession shall be open to inspection by interested parties or their attorneys.”  The PUCO also has noted that R.C. 4901.12 and R.C. 4905.07 “provide a strong presumption in favor of disclosure, which the party claiming protective status must overcome.”</w:t>
      </w:r>
      <w:r w:rsidRPr="000B5122">
        <w:rPr>
          <w:rStyle w:val="FootnoteReference"/>
          <w:sz w:val="24"/>
          <w:szCs w:val="24"/>
        </w:rPr>
        <w:t xml:space="preserve"> </w:t>
      </w:r>
      <w:r w:rsidRPr="000B5122">
        <w:rPr>
          <w:rStyle w:val="FootnoteReference"/>
          <w:sz w:val="24"/>
          <w:szCs w:val="24"/>
        </w:rPr>
        <w:footnoteReference w:id="6"/>
      </w:r>
      <w:r w:rsidRPr="000B5122">
        <w:rPr>
          <w:sz w:val="24"/>
          <w:szCs w:val="24"/>
        </w:rPr>
        <w:t xml:space="preserve">  </w:t>
      </w:r>
    </w:p>
    <w:p w:rsidR="000B5122" w:rsidRPr="000B5122" w:rsidRDefault="000B5122" w:rsidP="000B5122">
      <w:pPr>
        <w:spacing w:after="0" w:line="480" w:lineRule="auto"/>
        <w:ind w:firstLine="720"/>
        <w:rPr>
          <w:rFonts w:cs="Times New Roman"/>
          <w:szCs w:val="24"/>
        </w:rPr>
      </w:pPr>
      <w:r w:rsidRPr="000B5122">
        <w:rPr>
          <w:rFonts w:cs="Times New Roman"/>
          <w:szCs w:val="24"/>
        </w:rPr>
        <w:t>R.C. 149.43 broadly defines public records to include records kept at any state office but excludes or exempts from the definition of public records those records “whose release is prohibited by state or federal law.”</w:t>
      </w:r>
      <w:r w:rsidRPr="00D01D77">
        <w:rPr>
          <w:rStyle w:val="FootnoteReference"/>
          <w:rFonts w:cs="Times New Roman"/>
          <w:szCs w:val="24"/>
        </w:rPr>
        <w:footnoteReference w:id="7"/>
      </w:r>
      <w:r w:rsidRPr="000B5122">
        <w:rPr>
          <w:rFonts w:cs="Times New Roman"/>
          <w:szCs w:val="24"/>
        </w:rPr>
        <w:t xml:space="preserve">  R.C. 149.43 prohibits the PUCO and other public agencies from releasing public documents that qualify as trade secrets.</w:t>
      </w:r>
    </w:p>
    <w:p w:rsidR="000B5122" w:rsidRPr="000B5122" w:rsidRDefault="000B5122" w:rsidP="000B5122">
      <w:pPr>
        <w:spacing w:after="0" w:line="480" w:lineRule="auto"/>
        <w:ind w:firstLine="720"/>
        <w:rPr>
          <w:rFonts w:cs="Times New Roman"/>
          <w:szCs w:val="24"/>
        </w:rPr>
      </w:pPr>
      <w:r w:rsidRPr="000B5122">
        <w:rPr>
          <w:rFonts w:cs="Times New Roman"/>
          <w:szCs w:val="24"/>
        </w:rPr>
        <w:t>Ohio has adopted the Uniform Trade Secrets Act, and has codified the definition of “trade secrets.”  R.C. 1331.61(D) defines a trade secret as:</w:t>
      </w:r>
    </w:p>
    <w:p w:rsidR="000B5122" w:rsidRPr="00D01D77" w:rsidRDefault="000B5122" w:rsidP="00836DAE">
      <w:pPr>
        <w:pStyle w:val="BodyTextFirstIndent2"/>
        <w:spacing w:after="240" w:line="240" w:lineRule="auto"/>
        <w:ind w:left="1440" w:right="720" w:firstLine="0"/>
        <w:rPr>
          <w:rFonts w:cs="Times New Roman"/>
          <w:szCs w:val="24"/>
        </w:rPr>
      </w:pPr>
      <w:r w:rsidRPr="00D01D77">
        <w:rPr>
          <w:rFonts w:cs="Times New Roman"/>
          <w:szCs w:val="24"/>
        </w:rPr>
        <w:t>information, including the whole or any portion or phase of any scientific or technical information, design, process, procedure, formula, pattern, compilation, program, device, method, technique, or improvement, or any business information or plans, financial information, or listing of names, addresses, or telephone numbers, that satisfies both of the following:</w:t>
      </w:r>
    </w:p>
    <w:p w:rsidR="000B5122" w:rsidRPr="00D01D77" w:rsidRDefault="000B5122" w:rsidP="00836DAE">
      <w:pPr>
        <w:pStyle w:val="BodyTextFirstIndent2"/>
        <w:spacing w:after="240" w:line="240" w:lineRule="auto"/>
        <w:ind w:left="1440" w:right="720" w:firstLine="0"/>
        <w:rPr>
          <w:rFonts w:cs="Times New Roman"/>
          <w:szCs w:val="24"/>
        </w:rPr>
      </w:pPr>
      <w:r w:rsidRPr="00D01D77">
        <w:rPr>
          <w:rFonts w:cs="Times New Roman"/>
          <w:szCs w:val="24"/>
        </w:rPr>
        <w:t>(1) It derives independent economic value, actual or potential, from not being generally known to, and not being readily ascertainable by proper means by, other persons who can obtain economic value from its disclosure or use. </w:t>
      </w:r>
    </w:p>
    <w:p w:rsidR="000B5122" w:rsidRPr="00D01D77" w:rsidRDefault="000B5122" w:rsidP="00836DAE">
      <w:pPr>
        <w:pStyle w:val="BodyTextFirstIndent2"/>
        <w:spacing w:after="240" w:line="240" w:lineRule="auto"/>
        <w:ind w:left="1440" w:right="720" w:firstLine="0"/>
        <w:rPr>
          <w:rFonts w:cs="Times New Roman"/>
          <w:szCs w:val="24"/>
        </w:rPr>
      </w:pPr>
      <w:r w:rsidRPr="00D01D77">
        <w:rPr>
          <w:rFonts w:cs="Times New Roman"/>
          <w:szCs w:val="24"/>
        </w:rPr>
        <w:t>(2) It is the subject of efforts that are reasonable under the circumstances to maintain its secrecy.</w:t>
      </w:r>
    </w:p>
    <w:p w:rsidR="000B5122" w:rsidRPr="000B5122" w:rsidRDefault="000B5122" w:rsidP="000B5122">
      <w:pPr>
        <w:spacing w:after="0" w:line="480" w:lineRule="auto"/>
        <w:ind w:firstLine="720"/>
        <w:rPr>
          <w:rFonts w:cs="Times New Roman"/>
          <w:szCs w:val="24"/>
        </w:rPr>
      </w:pPr>
      <w:r w:rsidRPr="000B5122">
        <w:rPr>
          <w:rFonts w:cs="Times New Roman"/>
          <w:szCs w:val="24"/>
        </w:rPr>
        <w:t>Thus, to qualify as a trade secret under R.C. 1331.61(D), information must be shown to fall within the definition of a trade secret and must satisfy two requirements: it must have “independent economic value” and it must have been kept under circumstances that maintain its secrecy.</w:t>
      </w:r>
    </w:p>
    <w:p w:rsidR="000C0F30" w:rsidRPr="00D01D77" w:rsidRDefault="000C0F30" w:rsidP="00D01D77">
      <w:pPr>
        <w:pStyle w:val="BodyTextIndent3"/>
        <w:spacing w:after="0" w:line="480" w:lineRule="auto"/>
        <w:ind w:left="0" w:firstLine="720"/>
        <w:rPr>
          <w:sz w:val="24"/>
          <w:szCs w:val="24"/>
        </w:rPr>
      </w:pPr>
      <w:r>
        <w:rPr>
          <w:sz w:val="24"/>
          <w:szCs w:val="24"/>
        </w:rPr>
        <w:t>The PUCO also has specific filing requirements for information purported to be confidential.  In addition to filing two copies of the unredacted information under seal,</w:t>
      </w:r>
      <w:r>
        <w:rPr>
          <w:rStyle w:val="FootnoteReference"/>
          <w:sz w:val="24"/>
          <w:szCs w:val="24"/>
        </w:rPr>
        <w:footnoteReference w:id="8"/>
      </w:r>
      <w:r>
        <w:rPr>
          <w:sz w:val="24"/>
          <w:szCs w:val="24"/>
        </w:rPr>
        <w:t xml:space="preserve"> the party seeking a protective </w:t>
      </w:r>
      <w:r w:rsidR="000B5122">
        <w:rPr>
          <w:sz w:val="24"/>
          <w:szCs w:val="24"/>
        </w:rPr>
        <w:t>order</w:t>
      </w:r>
      <w:r>
        <w:rPr>
          <w:sz w:val="24"/>
          <w:szCs w:val="24"/>
        </w:rPr>
        <w:t xml:space="preserve"> must </w:t>
      </w:r>
      <w:bookmarkStart w:id="1" w:name="4901-1-24(D)(1)"/>
      <w:r>
        <w:rPr>
          <w:sz w:val="24"/>
          <w:szCs w:val="24"/>
        </w:rPr>
        <w:t xml:space="preserve">also file </w:t>
      </w:r>
      <w:r w:rsidR="0022781D">
        <w:rPr>
          <w:sz w:val="24"/>
          <w:szCs w:val="24"/>
        </w:rPr>
        <w:t xml:space="preserve">a </w:t>
      </w:r>
      <w:r>
        <w:rPr>
          <w:sz w:val="24"/>
          <w:szCs w:val="24"/>
        </w:rPr>
        <w:t xml:space="preserve">public version </w:t>
      </w:r>
      <w:bookmarkEnd w:id="1"/>
      <w:r>
        <w:rPr>
          <w:sz w:val="24"/>
          <w:szCs w:val="24"/>
        </w:rPr>
        <w:t>“</w:t>
      </w:r>
      <w:r w:rsidRPr="000C0F30">
        <w:rPr>
          <w:sz w:val="24"/>
          <w:szCs w:val="24"/>
        </w:rPr>
        <w:t>with only such information redacted as is essential to prevent disclosure of the allegedly confidential information.</w:t>
      </w:r>
      <w:r>
        <w:rPr>
          <w:sz w:val="24"/>
          <w:szCs w:val="24"/>
        </w:rPr>
        <w:t>”</w:t>
      </w:r>
      <w:r>
        <w:rPr>
          <w:rStyle w:val="FootnoteReference"/>
          <w:sz w:val="24"/>
          <w:szCs w:val="24"/>
        </w:rPr>
        <w:footnoteReference w:id="9"/>
      </w:r>
      <w:r w:rsidR="000B5122">
        <w:rPr>
          <w:sz w:val="24"/>
          <w:szCs w:val="24"/>
        </w:rPr>
        <w:t xml:space="preserve">  The party seeking a protective order must also file a motion accompanied by a</w:t>
      </w:r>
      <w:r w:rsidR="000B5122" w:rsidRPr="000B5122">
        <w:rPr>
          <w:sz w:val="24"/>
          <w:szCs w:val="24"/>
        </w:rPr>
        <w:t xml:space="preserve"> memorandum in support, setting forth the specific basis of the motion and citations of any authorities relied upon.</w:t>
      </w:r>
      <w:r w:rsidR="00451A19">
        <w:rPr>
          <w:rStyle w:val="FootnoteReference"/>
          <w:sz w:val="24"/>
          <w:szCs w:val="24"/>
        </w:rPr>
        <w:footnoteReference w:id="10"/>
      </w:r>
    </w:p>
    <w:p w:rsidR="0042690F" w:rsidRDefault="0042690F" w:rsidP="00ED1208">
      <w:pPr>
        <w:pStyle w:val="ListParagraph"/>
        <w:numPr>
          <w:ilvl w:val="0"/>
          <w:numId w:val="5"/>
        </w:numPr>
        <w:spacing w:before="240" w:after="0" w:line="480" w:lineRule="auto"/>
        <w:ind w:left="720"/>
        <w:rPr>
          <w:rFonts w:cs="Times New Roman"/>
          <w:b/>
          <w:szCs w:val="24"/>
        </w:rPr>
      </w:pPr>
      <w:r w:rsidRPr="00305F70">
        <w:rPr>
          <w:rFonts w:cs="Times New Roman"/>
          <w:b/>
          <w:szCs w:val="24"/>
        </w:rPr>
        <w:t>ARGUMENT</w:t>
      </w:r>
    </w:p>
    <w:p w:rsidR="00697D8E" w:rsidRDefault="00697D8E" w:rsidP="00D01D77">
      <w:pPr>
        <w:spacing w:after="0" w:line="480" w:lineRule="auto"/>
        <w:ind w:firstLine="720"/>
        <w:rPr>
          <w:rFonts w:eastAsia="Times New Roman" w:cs="Times New Roman"/>
          <w:szCs w:val="20"/>
        </w:rPr>
      </w:pPr>
      <w:r w:rsidRPr="00D01D77">
        <w:rPr>
          <w:szCs w:val="24"/>
        </w:rPr>
        <w:t xml:space="preserve">Ohio Adm. Code 4901-1-24(D) provides </w:t>
      </w:r>
      <w:r>
        <w:rPr>
          <w:szCs w:val="24"/>
        </w:rPr>
        <w:t>that the PUCO may issue a protective order</w:t>
      </w:r>
      <w:r w:rsidRPr="00D01D77">
        <w:rPr>
          <w:szCs w:val="24"/>
        </w:rPr>
        <w:t xml:space="preserve"> </w:t>
      </w:r>
      <w:r>
        <w:rPr>
          <w:szCs w:val="24"/>
        </w:rPr>
        <w:t>“</w:t>
      </w:r>
      <w:r w:rsidRPr="00D01D77">
        <w:rPr>
          <w:szCs w:val="24"/>
        </w:rPr>
        <w:t>to protect the confidentiality of information contained in the document, to the extent that state or federal law prohibits release of the information, including where the information is deemed by the commission, the legal director, the deputy legal director, or the attorney examiner to constitute a trade secret under Ohio law, and where nondisclosure of the information is not inconsistent with the purposes of Title 49 of the Revised Code.</w:t>
      </w:r>
      <w:r>
        <w:rPr>
          <w:szCs w:val="24"/>
        </w:rPr>
        <w:t xml:space="preserve">” </w:t>
      </w:r>
      <w:r w:rsidRPr="00D01D77">
        <w:rPr>
          <w:szCs w:val="24"/>
        </w:rPr>
        <w:t xml:space="preserve"> </w:t>
      </w:r>
      <w:r>
        <w:rPr>
          <w:rFonts w:eastAsia="Times New Roman" w:cs="Times New Roman"/>
          <w:szCs w:val="20"/>
        </w:rPr>
        <w:t xml:space="preserve">In its motion, </w:t>
      </w:r>
      <w:r w:rsidR="0022781D">
        <w:rPr>
          <w:rFonts w:eastAsia="Times New Roman" w:cs="Times New Roman"/>
          <w:szCs w:val="20"/>
        </w:rPr>
        <w:t>Complainant</w:t>
      </w:r>
      <w:r w:rsidRPr="00D01D77">
        <w:rPr>
          <w:rFonts w:eastAsia="Times New Roman" w:cs="Times New Roman"/>
          <w:szCs w:val="20"/>
        </w:rPr>
        <w:t xml:space="preserve"> </w:t>
      </w:r>
      <w:r>
        <w:rPr>
          <w:rFonts w:eastAsia="Times New Roman" w:cs="Times New Roman"/>
          <w:szCs w:val="20"/>
        </w:rPr>
        <w:t xml:space="preserve">provided </w:t>
      </w:r>
      <w:r w:rsidRPr="00D01D77">
        <w:rPr>
          <w:rFonts w:eastAsia="Times New Roman" w:cs="Times New Roman"/>
          <w:szCs w:val="20"/>
        </w:rPr>
        <w:t xml:space="preserve">nothing to </w:t>
      </w:r>
      <w:r>
        <w:rPr>
          <w:rFonts w:eastAsia="Times New Roman" w:cs="Times New Roman"/>
          <w:szCs w:val="20"/>
        </w:rPr>
        <w:t xml:space="preserve">support the notion that </w:t>
      </w:r>
      <w:r w:rsidRPr="00D01D77">
        <w:rPr>
          <w:rFonts w:eastAsia="Times New Roman" w:cs="Times New Roman"/>
          <w:szCs w:val="20"/>
        </w:rPr>
        <w:t xml:space="preserve">the </w:t>
      </w:r>
      <w:r>
        <w:rPr>
          <w:rFonts w:eastAsia="Times New Roman" w:cs="Times New Roman"/>
          <w:szCs w:val="20"/>
        </w:rPr>
        <w:t>redacted information</w:t>
      </w:r>
      <w:r w:rsidRPr="00D01D77">
        <w:rPr>
          <w:rFonts w:eastAsia="Times New Roman" w:cs="Times New Roman"/>
          <w:szCs w:val="20"/>
        </w:rPr>
        <w:t xml:space="preserve"> meets the statutory definition of a trade secret</w:t>
      </w:r>
      <w:r>
        <w:rPr>
          <w:rFonts w:eastAsia="Times New Roman" w:cs="Times New Roman"/>
          <w:szCs w:val="20"/>
        </w:rPr>
        <w:t xml:space="preserve"> as spelled out in R.C. 1333.61(D)</w:t>
      </w:r>
      <w:r w:rsidRPr="00D01D77">
        <w:rPr>
          <w:rFonts w:eastAsia="Times New Roman" w:cs="Times New Roman"/>
          <w:szCs w:val="20"/>
        </w:rPr>
        <w:t>(1) and (2)</w:t>
      </w:r>
      <w:r>
        <w:rPr>
          <w:rFonts w:eastAsia="Times New Roman" w:cs="Times New Roman"/>
          <w:szCs w:val="20"/>
        </w:rPr>
        <w:t xml:space="preserve">. </w:t>
      </w:r>
    </w:p>
    <w:p w:rsidR="00D01D77" w:rsidRPr="00D01D77" w:rsidRDefault="00D01D77" w:rsidP="00D01D77">
      <w:pPr>
        <w:spacing w:after="0" w:line="480" w:lineRule="auto"/>
        <w:ind w:firstLine="720"/>
        <w:rPr>
          <w:rFonts w:eastAsia="Times New Roman" w:cs="Times New Roman"/>
          <w:szCs w:val="20"/>
        </w:rPr>
      </w:pPr>
      <w:r>
        <w:rPr>
          <w:rFonts w:eastAsia="Times New Roman" w:cs="Times New Roman"/>
          <w:szCs w:val="20"/>
        </w:rPr>
        <w:t>As mentioned above</w:t>
      </w:r>
      <w:r w:rsidRPr="00D01D77">
        <w:rPr>
          <w:rFonts w:eastAsia="Times New Roman" w:cs="Times New Roman"/>
          <w:szCs w:val="20"/>
        </w:rPr>
        <w:t xml:space="preserve">, </w:t>
      </w:r>
      <w:r>
        <w:rPr>
          <w:rFonts w:eastAsia="Times New Roman" w:cs="Times New Roman"/>
          <w:szCs w:val="20"/>
        </w:rPr>
        <w:t xml:space="preserve">in order for information to qualify as a trade secret the statute </w:t>
      </w:r>
      <w:r w:rsidRPr="00D01D77">
        <w:rPr>
          <w:rFonts w:eastAsia="Times New Roman" w:cs="Times New Roman"/>
          <w:szCs w:val="20"/>
        </w:rPr>
        <w:t xml:space="preserve">mandates that the </w:t>
      </w:r>
      <w:r>
        <w:rPr>
          <w:rFonts w:eastAsia="Times New Roman" w:cs="Times New Roman"/>
          <w:szCs w:val="20"/>
        </w:rPr>
        <w:t>information</w:t>
      </w:r>
      <w:r w:rsidRPr="00D01D77">
        <w:rPr>
          <w:rFonts w:eastAsia="Times New Roman" w:cs="Times New Roman"/>
          <w:szCs w:val="20"/>
        </w:rPr>
        <w:t xml:space="preserve"> must have the following qualities:</w:t>
      </w:r>
    </w:p>
    <w:p w:rsidR="00D01D77" w:rsidRPr="00D01D77" w:rsidRDefault="00D01D77" w:rsidP="00836DAE">
      <w:pPr>
        <w:spacing w:after="240" w:line="240" w:lineRule="auto"/>
        <w:ind w:left="1440" w:right="720"/>
        <w:rPr>
          <w:rFonts w:eastAsia="Times New Roman" w:cs="Times New Roman"/>
          <w:szCs w:val="24"/>
        </w:rPr>
      </w:pPr>
      <w:r w:rsidRPr="00D01D77">
        <w:rPr>
          <w:rFonts w:eastAsia="Times New Roman" w:cs="Times New Roman"/>
          <w:szCs w:val="24"/>
        </w:rPr>
        <w:t>(1) It derives independent economic value, actual or potential, from not being generally known to, and not being readily ascertainable by proper means by, other persons who can obtain economic value from its disclosure or use. </w:t>
      </w:r>
    </w:p>
    <w:p w:rsidR="00D01D77" w:rsidRPr="00D01D77" w:rsidRDefault="00D01D77" w:rsidP="00836DAE">
      <w:pPr>
        <w:spacing w:after="240" w:line="240" w:lineRule="auto"/>
        <w:ind w:left="1440" w:right="720"/>
        <w:rPr>
          <w:rFonts w:eastAsia="Times New Roman" w:cs="Times New Roman"/>
          <w:szCs w:val="24"/>
        </w:rPr>
      </w:pPr>
      <w:r w:rsidRPr="00D01D77">
        <w:rPr>
          <w:rFonts w:eastAsia="Times New Roman" w:cs="Times New Roman"/>
          <w:szCs w:val="24"/>
        </w:rPr>
        <w:t>(2) It is the subject of efforts that are reasonable under the circumstances to maintain its secrecy.</w:t>
      </w:r>
    </w:p>
    <w:p w:rsidR="00697D8E" w:rsidRDefault="000C0F30" w:rsidP="00D01D77">
      <w:pPr>
        <w:spacing w:after="0" w:line="480" w:lineRule="auto"/>
        <w:ind w:firstLine="720"/>
        <w:rPr>
          <w:rFonts w:eastAsia="Times New Roman" w:cs="Times New Roman"/>
          <w:szCs w:val="24"/>
        </w:rPr>
      </w:pPr>
      <w:r>
        <w:rPr>
          <w:rFonts w:eastAsia="Times New Roman" w:cs="Times New Roman"/>
          <w:szCs w:val="24"/>
        </w:rPr>
        <w:t xml:space="preserve">Complainant </w:t>
      </w:r>
      <w:r w:rsidR="00D01D77" w:rsidRPr="00D01D77">
        <w:rPr>
          <w:rFonts w:eastAsia="Times New Roman" w:cs="Times New Roman"/>
          <w:szCs w:val="24"/>
        </w:rPr>
        <w:t xml:space="preserve">has </w:t>
      </w:r>
      <w:r w:rsidR="008A0B82">
        <w:rPr>
          <w:rFonts w:eastAsia="Times New Roman" w:cs="Times New Roman"/>
          <w:szCs w:val="24"/>
        </w:rPr>
        <w:t xml:space="preserve">presented </w:t>
      </w:r>
      <w:r w:rsidR="00D01D77" w:rsidRPr="00D01D77">
        <w:rPr>
          <w:rFonts w:eastAsia="Times New Roman" w:cs="Times New Roman"/>
          <w:szCs w:val="24"/>
        </w:rPr>
        <w:t xml:space="preserve">no </w:t>
      </w:r>
      <w:r w:rsidR="008A0B82">
        <w:rPr>
          <w:rFonts w:eastAsia="Times New Roman" w:cs="Times New Roman"/>
          <w:szCs w:val="24"/>
        </w:rPr>
        <w:t xml:space="preserve">explanation </w:t>
      </w:r>
      <w:r w:rsidR="00D01D77" w:rsidRPr="00D01D77">
        <w:rPr>
          <w:rFonts w:eastAsia="Times New Roman" w:cs="Times New Roman"/>
          <w:szCs w:val="24"/>
        </w:rPr>
        <w:t xml:space="preserve">as to </w:t>
      </w:r>
      <w:r>
        <w:rPr>
          <w:rFonts w:eastAsia="Times New Roman" w:cs="Times New Roman"/>
          <w:szCs w:val="24"/>
        </w:rPr>
        <w:t xml:space="preserve">what information </w:t>
      </w:r>
      <w:r w:rsidR="003D148E">
        <w:rPr>
          <w:rFonts w:eastAsia="Times New Roman" w:cs="Times New Roman"/>
          <w:szCs w:val="24"/>
        </w:rPr>
        <w:t xml:space="preserve">deserving protection </w:t>
      </w:r>
      <w:r>
        <w:rPr>
          <w:rFonts w:eastAsia="Times New Roman" w:cs="Times New Roman"/>
          <w:szCs w:val="24"/>
        </w:rPr>
        <w:t xml:space="preserve">is included in the transcript or </w:t>
      </w:r>
      <w:r w:rsidR="00D01D77" w:rsidRPr="00D01D77">
        <w:rPr>
          <w:rFonts w:eastAsia="Times New Roman" w:cs="Times New Roman"/>
          <w:szCs w:val="24"/>
        </w:rPr>
        <w:t xml:space="preserve">how </w:t>
      </w:r>
      <w:r w:rsidR="003D148E">
        <w:rPr>
          <w:rFonts w:eastAsia="Times New Roman" w:cs="Times New Roman"/>
          <w:szCs w:val="24"/>
        </w:rPr>
        <w:t xml:space="preserve">the Complainant or Duke derives </w:t>
      </w:r>
      <w:r w:rsidR="00D01D77" w:rsidRPr="00D01D77">
        <w:rPr>
          <w:rFonts w:eastAsia="Times New Roman" w:cs="Times New Roman"/>
          <w:szCs w:val="24"/>
        </w:rPr>
        <w:t>any independent economic value</w:t>
      </w:r>
      <w:r w:rsidR="003D148E" w:rsidRPr="003D148E">
        <w:rPr>
          <w:rFonts w:eastAsia="Times New Roman" w:cs="Times New Roman"/>
          <w:szCs w:val="24"/>
        </w:rPr>
        <w:t xml:space="preserve"> </w:t>
      </w:r>
      <w:r w:rsidR="003D148E">
        <w:rPr>
          <w:rFonts w:eastAsia="Times New Roman" w:cs="Times New Roman"/>
          <w:szCs w:val="24"/>
        </w:rPr>
        <w:t>from the information</w:t>
      </w:r>
      <w:r>
        <w:rPr>
          <w:rFonts w:eastAsia="Times New Roman" w:cs="Times New Roman"/>
          <w:szCs w:val="24"/>
        </w:rPr>
        <w:t>.  M</w:t>
      </w:r>
      <w:r w:rsidR="00D01D77" w:rsidRPr="00D01D77">
        <w:rPr>
          <w:rFonts w:eastAsia="Times New Roman" w:cs="Times New Roman"/>
          <w:szCs w:val="24"/>
        </w:rPr>
        <w:t>ore importantly</w:t>
      </w:r>
      <w:r>
        <w:rPr>
          <w:rFonts w:eastAsia="Times New Roman" w:cs="Times New Roman"/>
          <w:szCs w:val="24"/>
        </w:rPr>
        <w:t>, Complainant does not</w:t>
      </w:r>
      <w:r w:rsidR="00D01D77" w:rsidRPr="00D01D77">
        <w:rPr>
          <w:rFonts w:eastAsia="Times New Roman" w:cs="Times New Roman"/>
          <w:szCs w:val="24"/>
        </w:rPr>
        <w:t xml:space="preserve"> make any claim whatsoever as to how any other persons can obtain economic value </w:t>
      </w:r>
      <w:r w:rsidR="003D148E">
        <w:rPr>
          <w:rFonts w:eastAsia="Times New Roman" w:cs="Times New Roman"/>
          <w:szCs w:val="24"/>
        </w:rPr>
        <w:t>if</w:t>
      </w:r>
      <w:r w:rsidR="00D01D77" w:rsidRPr="00D01D77">
        <w:rPr>
          <w:rFonts w:eastAsia="Times New Roman" w:cs="Times New Roman"/>
          <w:szCs w:val="24"/>
        </w:rPr>
        <w:t xml:space="preserve"> </w:t>
      </w:r>
      <w:r w:rsidR="003D148E">
        <w:rPr>
          <w:rFonts w:eastAsia="Times New Roman" w:cs="Times New Roman"/>
          <w:szCs w:val="24"/>
        </w:rPr>
        <w:t>the information i</w:t>
      </w:r>
      <w:r>
        <w:rPr>
          <w:rFonts w:eastAsia="Times New Roman" w:cs="Times New Roman"/>
          <w:szCs w:val="24"/>
        </w:rPr>
        <w:t>s</w:t>
      </w:r>
      <w:r w:rsidR="003D148E">
        <w:rPr>
          <w:rFonts w:eastAsia="Times New Roman" w:cs="Times New Roman"/>
          <w:szCs w:val="24"/>
        </w:rPr>
        <w:t xml:space="preserve"> disclosed</w:t>
      </w:r>
      <w:r w:rsidR="00D01D77" w:rsidRPr="00D01D77">
        <w:rPr>
          <w:rFonts w:eastAsia="Times New Roman" w:cs="Times New Roman"/>
          <w:szCs w:val="24"/>
        </w:rPr>
        <w:t xml:space="preserve">.  </w:t>
      </w:r>
    </w:p>
    <w:p w:rsidR="008A0B82" w:rsidRDefault="00596BAC" w:rsidP="00D01D77">
      <w:pPr>
        <w:spacing w:after="0" w:line="480" w:lineRule="auto"/>
        <w:ind w:firstLine="720"/>
        <w:rPr>
          <w:rFonts w:eastAsia="Times New Roman" w:cs="Times New Roman"/>
          <w:szCs w:val="24"/>
        </w:rPr>
      </w:pPr>
      <w:r>
        <w:rPr>
          <w:rFonts w:eastAsia="Times New Roman" w:cs="Times New Roman"/>
          <w:szCs w:val="24"/>
        </w:rPr>
        <w:t xml:space="preserve">Rather, the sole reason given for </w:t>
      </w:r>
      <w:r w:rsidR="00697D8E">
        <w:rPr>
          <w:rFonts w:eastAsia="Times New Roman" w:cs="Times New Roman"/>
          <w:szCs w:val="24"/>
        </w:rPr>
        <w:t>preventing public disclosure</w:t>
      </w:r>
      <w:r>
        <w:rPr>
          <w:rFonts w:eastAsia="Times New Roman" w:cs="Times New Roman"/>
          <w:szCs w:val="24"/>
        </w:rPr>
        <w:t xml:space="preserve"> </w:t>
      </w:r>
      <w:r w:rsidR="00697D8E">
        <w:rPr>
          <w:rFonts w:eastAsia="Times New Roman" w:cs="Times New Roman"/>
          <w:szCs w:val="24"/>
        </w:rPr>
        <w:t xml:space="preserve">of the information </w:t>
      </w:r>
      <w:r>
        <w:rPr>
          <w:rFonts w:eastAsia="Times New Roman" w:cs="Times New Roman"/>
          <w:szCs w:val="24"/>
        </w:rPr>
        <w:t xml:space="preserve">is that Duke desires to keep the information secret.  </w:t>
      </w:r>
      <w:r w:rsidR="003D148E">
        <w:rPr>
          <w:rFonts w:eastAsia="Times New Roman" w:cs="Times New Roman"/>
          <w:szCs w:val="24"/>
        </w:rPr>
        <w:t>Duke, however, did not file its own motion for a protective order or join Complainant’s motion, did not file a motion in support, and has not in any way attempted to protect the alleged confidential information or to explain why the information should be concealed from the public record.  Accordingly, Complainant’s motion is in</w:t>
      </w:r>
      <w:r>
        <w:rPr>
          <w:rFonts w:eastAsia="Times New Roman" w:cs="Times New Roman"/>
          <w:szCs w:val="24"/>
        </w:rPr>
        <w:t>sufficient for the entire deposition transcript to be hidden from the public</w:t>
      </w:r>
      <w:r w:rsidR="008A0B82">
        <w:rPr>
          <w:rFonts w:eastAsia="Times New Roman" w:cs="Times New Roman"/>
          <w:szCs w:val="24"/>
        </w:rPr>
        <w:t>.</w:t>
      </w:r>
      <w:r w:rsidR="00B86E87">
        <w:rPr>
          <w:rFonts w:eastAsia="Times New Roman" w:cs="Times New Roman"/>
          <w:szCs w:val="24"/>
        </w:rPr>
        <w:t xml:space="preserve">  The PUCO should deny Complainant’s motion and make public the entire deposition transcript.</w:t>
      </w:r>
    </w:p>
    <w:p w:rsidR="00E76729" w:rsidRDefault="00177C76" w:rsidP="00E76729">
      <w:pPr>
        <w:spacing w:after="0" w:line="480" w:lineRule="auto"/>
        <w:ind w:firstLine="720"/>
        <w:rPr>
          <w:rFonts w:cs="Times New Roman"/>
          <w:szCs w:val="24"/>
        </w:rPr>
      </w:pPr>
      <w:r>
        <w:rPr>
          <w:rFonts w:eastAsia="Times New Roman" w:cs="Times New Roman"/>
          <w:szCs w:val="24"/>
        </w:rPr>
        <w:t xml:space="preserve">Also, placing the entire deposition transcript under seal runs counter to PUCO rules and precedent.  </w:t>
      </w:r>
      <w:r w:rsidRPr="00177C76">
        <w:rPr>
          <w:rFonts w:cs="Times New Roman"/>
          <w:szCs w:val="24"/>
        </w:rPr>
        <w:t xml:space="preserve">The PUCO </w:t>
      </w:r>
      <w:r>
        <w:rPr>
          <w:rFonts w:cs="Times New Roman"/>
          <w:szCs w:val="24"/>
        </w:rPr>
        <w:t>has stated</w:t>
      </w:r>
      <w:r w:rsidRPr="00177C76">
        <w:rPr>
          <w:rFonts w:cs="Times New Roman"/>
          <w:szCs w:val="24"/>
        </w:rPr>
        <w:t xml:space="preserve"> that “where confidential material can be reasonably redacted from a document without rendering the remaining document incomprehensible or of little meaning, redaction should be ordered rather than wholesale removal of the document.”</w:t>
      </w:r>
      <w:r w:rsidRPr="00177C76">
        <w:rPr>
          <w:rFonts w:cs="Times New Roman"/>
          <w:szCs w:val="24"/>
          <w:vertAlign w:val="superscript"/>
        </w:rPr>
        <w:footnoteReference w:id="11"/>
      </w:r>
      <w:r w:rsidRPr="00177C76">
        <w:rPr>
          <w:rFonts w:cs="Times New Roman"/>
          <w:szCs w:val="24"/>
        </w:rPr>
        <w:t xml:space="preserve">  </w:t>
      </w:r>
      <w:r w:rsidR="00B72F8F">
        <w:rPr>
          <w:rFonts w:cs="Times New Roman"/>
          <w:szCs w:val="24"/>
        </w:rPr>
        <w:t xml:space="preserve">In this instance, there appears to </w:t>
      </w:r>
      <w:r w:rsidR="00E76729">
        <w:rPr>
          <w:rFonts w:cs="Times New Roman"/>
          <w:szCs w:val="24"/>
        </w:rPr>
        <w:t>have been</w:t>
      </w:r>
      <w:r w:rsidR="00B72F8F">
        <w:rPr>
          <w:rFonts w:cs="Times New Roman"/>
          <w:szCs w:val="24"/>
        </w:rPr>
        <w:t xml:space="preserve"> no attempt to provide a redacted version of the deposition transcript.  In the past, the PUCO has required parties who jointly seek confidentiality for information to work together in filing a redacted version of the information.</w:t>
      </w:r>
      <w:r w:rsidR="00B72F8F">
        <w:rPr>
          <w:rStyle w:val="FootnoteReference"/>
          <w:rFonts w:cs="Times New Roman"/>
          <w:szCs w:val="24"/>
        </w:rPr>
        <w:footnoteReference w:id="12"/>
      </w:r>
      <w:r w:rsidR="00E76729">
        <w:rPr>
          <w:rFonts w:cs="Times New Roman"/>
          <w:szCs w:val="24"/>
        </w:rPr>
        <w:t xml:space="preserve">  </w:t>
      </w:r>
    </w:p>
    <w:p w:rsidR="00D01D77" w:rsidRPr="003D148E" w:rsidRDefault="00E76729" w:rsidP="003D148E">
      <w:pPr>
        <w:spacing w:after="0" w:line="480" w:lineRule="auto"/>
        <w:ind w:firstLine="720"/>
        <w:rPr>
          <w:rFonts w:cs="Times New Roman"/>
          <w:szCs w:val="24"/>
        </w:rPr>
      </w:pPr>
      <w:r>
        <w:rPr>
          <w:rFonts w:cs="Times New Roman"/>
          <w:szCs w:val="24"/>
        </w:rPr>
        <w:t>If the PUCO does not deny Complainant’s motion for the entirety of the deposition transcript, the PUCO should require Complainant and/or Duke to file a redacted version of the transcript in the public record of this case.  The redactions, of course, would still be subject to challenge for confidentiality under Ohio law and the PUCO’s rules.</w:t>
      </w:r>
    </w:p>
    <w:p w:rsidR="0042690F" w:rsidRPr="00EF2F10" w:rsidRDefault="0042690F" w:rsidP="00336875">
      <w:pPr>
        <w:pStyle w:val="ListParagraph"/>
        <w:numPr>
          <w:ilvl w:val="0"/>
          <w:numId w:val="5"/>
        </w:numPr>
        <w:spacing w:before="240" w:after="0" w:line="480" w:lineRule="auto"/>
        <w:ind w:left="720"/>
        <w:contextualSpacing w:val="0"/>
        <w:rPr>
          <w:rFonts w:cs="Times New Roman"/>
          <w:b/>
          <w:szCs w:val="24"/>
        </w:rPr>
      </w:pPr>
      <w:r w:rsidRPr="00EF2F10">
        <w:rPr>
          <w:rFonts w:cs="Times New Roman"/>
          <w:b/>
          <w:szCs w:val="24"/>
        </w:rPr>
        <w:t>CONCLUSION</w:t>
      </w:r>
    </w:p>
    <w:p w:rsidR="00F059BE" w:rsidRDefault="00697D8E" w:rsidP="00D2339D">
      <w:pPr>
        <w:spacing w:after="0" w:line="480" w:lineRule="auto"/>
        <w:ind w:firstLine="720"/>
        <w:rPr>
          <w:rFonts w:cs="Times New Roman"/>
          <w:szCs w:val="24"/>
        </w:rPr>
      </w:pPr>
      <w:r>
        <w:t>Ohio</w:t>
      </w:r>
      <w:r w:rsidR="00336875">
        <w:t xml:space="preserve"> law Ohio sets forth very specific requirements that must be </w:t>
      </w:r>
      <w:r w:rsidR="003D148E">
        <w:t>satisfied</w:t>
      </w:r>
      <w:r w:rsidR="00336875">
        <w:t xml:space="preserve"> before information can be considered trade secret and thus eligible for protection as confidential information in PUCO proceedings.  </w:t>
      </w:r>
      <w:r w:rsidR="00E76729">
        <w:t>Complainant’s</w:t>
      </w:r>
      <w:r w:rsidR="00336875">
        <w:t xml:space="preserve"> motion has not met these requirements.  Hence, the PUCO should deny </w:t>
      </w:r>
      <w:r w:rsidR="00E76729">
        <w:t>the</w:t>
      </w:r>
      <w:r w:rsidR="00336875">
        <w:t xml:space="preserve"> motion and make public the </w:t>
      </w:r>
      <w:r w:rsidR="00E76729">
        <w:t>e</w:t>
      </w:r>
      <w:r w:rsidR="00B86E87">
        <w:t>ntire transcript of Ms. B</w:t>
      </w:r>
      <w:r w:rsidR="00E76729">
        <w:t>yndon’s deposition.</w:t>
      </w:r>
      <w:r w:rsidR="00336875">
        <w:t xml:space="preserve"> </w:t>
      </w:r>
      <w:r w:rsidR="00E76729">
        <w:t xml:space="preserve"> </w:t>
      </w:r>
      <w:r w:rsidR="00E76729">
        <w:rPr>
          <w:rFonts w:cs="Times New Roman"/>
          <w:szCs w:val="24"/>
        </w:rPr>
        <w:t>If the PUCO does not deny Complainant’s motion for the entirety of the deposition transcript, then the PUCO should require Complainant and/or Duke to file a redacted version of the transcript in the public record of this case, subject to challenge for confidentiality under Ohio law and the PUCO’s rules</w:t>
      </w:r>
      <w:r w:rsidR="006532D4">
        <w:rPr>
          <w:rFonts w:cs="Times New Roman"/>
          <w:szCs w:val="24"/>
        </w:rPr>
        <w:t xml:space="preserve">. </w:t>
      </w:r>
    </w:p>
    <w:p w:rsidR="00F33E13" w:rsidRPr="00F33E13" w:rsidRDefault="00644794" w:rsidP="00D2339D">
      <w:pPr>
        <w:spacing w:after="0" w:line="480" w:lineRule="auto"/>
        <w:ind w:left="3600"/>
        <w:rPr>
          <w:rFonts w:cs="Times New Roman"/>
          <w:szCs w:val="24"/>
        </w:rPr>
      </w:pPr>
      <w:r w:rsidRPr="00644794">
        <w:rPr>
          <w:rFonts w:cs="Times New Roman"/>
          <w:szCs w:val="24"/>
        </w:rPr>
        <w:t xml:space="preserve">Respectfully submitted, </w:t>
      </w:r>
    </w:p>
    <w:p w:rsidR="00001A9A" w:rsidRPr="00F13914" w:rsidRDefault="00001A9A" w:rsidP="00001A9A">
      <w:pPr>
        <w:spacing w:after="0" w:line="240" w:lineRule="auto"/>
        <w:ind w:left="3600"/>
        <w:rPr>
          <w:rFonts w:eastAsia="Times New Roman" w:cs="Times New Roman"/>
          <w:szCs w:val="24"/>
        </w:rPr>
      </w:pPr>
      <w:r w:rsidRPr="00F13914">
        <w:rPr>
          <w:rFonts w:eastAsia="Times New Roman" w:cs="Times New Roman"/>
          <w:szCs w:val="24"/>
        </w:rPr>
        <w:t>BRUCE J. WESTON (0016973)</w:t>
      </w:r>
    </w:p>
    <w:p w:rsidR="00001A9A" w:rsidRPr="00F13914" w:rsidRDefault="00001A9A" w:rsidP="00001A9A">
      <w:pPr>
        <w:spacing w:after="0" w:line="240" w:lineRule="auto"/>
        <w:ind w:left="3600"/>
        <w:rPr>
          <w:rFonts w:eastAsia="Times New Roman" w:cs="Times New Roman"/>
          <w:szCs w:val="24"/>
        </w:rPr>
      </w:pPr>
      <w:smartTag w:uri="urn:schemas-microsoft-com:office:smarttags" w:element="State">
        <w:smartTag w:uri="urn:schemas-microsoft-com:office:smarttags" w:element="place">
          <w:r w:rsidRPr="00F13914">
            <w:rPr>
              <w:rFonts w:eastAsia="Times New Roman" w:cs="Times New Roman"/>
              <w:szCs w:val="24"/>
            </w:rPr>
            <w:t>OHIO</w:t>
          </w:r>
        </w:smartTag>
      </w:smartTag>
      <w:r w:rsidRPr="00F13914">
        <w:rPr>
          <w:rFonts w:eastAsia="Times New Roman" w:cs="Times New Roman"/>
          <w:szCs w:val="24"/>
        </w:rPr>
        <w:t xml:space="preserve"> CONSUMERS’ COUNSEL</w:t>
      </w:r>
    </w:p>
    <w:p w:rsidR="00001A9A" w:rsidRPr="00F13914" w:rsidRDefault="00001A9A" w:rsidP="00001A9A">
      <w:pPr>
        <w:spacing w:after="0" w:line="240" w:lineRule="auto"/>
        <w:ind w:left="4320"/>
        <w:rPr>
          <w:rFonts w:eastAsia="Times New Roman" w:cs="Times New Roman"/>
          <w:szCs w:val="24"/>
        </w:rPr>
      </w:pPr>
    </w:p>
    <w:p w:rsidR="00001A9A" w:rsidRPr="00F13914" w:rsidRDefault="00001A9A" w:rsidP="00001A9A">
      <w:pPr>
        <w:tabs>
          <w:tab w:val="left" w:pos="4320"/>
        </w:tabs>
        <w:spacing w:after="0" w:line="240" w:lineRule="auto"/>
        <w:ind w:left="3600"/>
        <w:rPr>
          <w:rFonts w:eastAsia="Times New Roman" w:cs="Times New Roman"/>
          <w:szCs w:val="24"/>
          <w:u w:val="single"/>
        </w:rPr>
      </w:pPr>
      <w:r w:rsidRPr="00F13914">
        <w:rPr>
          <w:rFonts w:eastAsia="Times New Roman" w:cs="Times New Roman"/>
          <w:i/>
          <w:szCs w:val="24"/>
          <w:u w:val="single"/>
        </w:rPr>
        <w:t>/s/ Terry L. Etter</w:t>
      </w:r>
      <w:r w:rsidRPr="00F13914">
        <w:rPr>
          <w:rFonts w:eastAsia="Times New Roman" w:cs="Times New Roman"/>
          <w:szCs w:val="24"/>
          <w:u w:val="single"/>
        </w:rPr>
        <w:t>                      </w:t>
      </w:r>
    </w:p>
    <w:p w:rsidR="00001A9A" w:rsidRPr="00F13914" w:rsidRDefault="00001A9A" w:rsidP="0000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0"/>
        <w:rPr>
          <w:rFonts w:eastAsia="Times New Roman" w:cs="Times New Roman"/>
          <w:szCs w:val="24"/>
        </w:rPr>
      </w:pPr>
      <w:r w:rsidRPr="00F13914">
        <w:rPr>
          <w:rFonts w:eastAsia="Times New Roman" w:cs="Times New Roman"/>
          <w:szCs w:val="24"/>
        </w:rPr>
        <w:t>Terry L. Etter (0067445), Counsel of Record</w:t>
      </w:r>
    </w:p>
    <w:p w:rsidR="00001A9A" w:rsidRPr="00F13914" w:rsidRDefault="00001A9A" w:rsidP="0000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0"/>
        <w:rPr>
          <w:rFonts w:eastAsia="Times New Roman" w:cs="Times New Roman"/>
          <w:szCs w:val="24"/>
        </w:rPr>
      </w:pPr>
      <w:r w:rsidRPr="00F13914">
        <w:rPr>
          <w:rFonts w:eastAsia="Times New Roman" w:cs="Times New Roman"/>
          <w:szCs w:val="24"/>
        </w:rPr>
        <w:t xml:space="preserve">Assistant Consumers’ Counsel </w:t>
      </w:r>
    </w:p>
    <w:p w:rsidR="00001A9A" w:rsidRPr="00F13914" w:rsidRDefault="00001A9A" w:rsidP="0000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ind w:left="3600"/>
        <w:rPr>
          <w:rFonts w:eastAsia="Times New Roman" w:cs="Times New Roman"/>
          <w:b/>
          <w:bCs/>
          <w:color w:val="000000"/>
          <w:szCs w:val="24"/>
        </w:rPr>
      </w:pPr>
      <w:r w:rsidRPr="00F13914">
        <w:rPr>
          <w:rFonts w:eastAsia="Times New Roman" w:cs="Times New Roman"/>
          <w:b/>
          <w:bCs/>
          <w:color w:val="000000"/>
          <w:szCs w:val="24"/>
        </w:rPr>
        <w:t>Office of the Ohio Consumers’ Counsel</w:t>
      </w:r>
    </w:p>
    <w:p w:rsidR="00001A9A" w:rsidRPr="00F13914" w:rsidRDefault="00001A9A" w:rsidP="0000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0"/>
        <w:rPr>
          <w:rFonts w:eastAsia="Times New Roman" w:cs="Times New Roman"/>
          <w:color w:val="000000"/>
          <w:szCs w:val="24"/>
        </w:rPr>
      </w:pPr>
      <w:smartTag w:uri="urn:schemas-microsoft-com:office:smarttags" w:element="Street">
        <w:smartTag w:uri="urn:schemas-microsoft-com:office:smarttags" w:element="address">
          <w:r w:rsidRPr="00F13914">
            <w:rPr>
              <w:rFonts w:eastAsia="Times New Roman" w:cs="Times New Roman"/>
              <w:color w:val="000000"/>
              <w:szCs w:val="24"/>
            </w:rPr>
            <w:t>10 West Broad Street, Suite 1800</w:t>
          </w:r>
        </w:smartTag>
      </w:smartTag>
    </w:p>
    <w:p w:rsidR="00001A9A" w:rsidRPr="00F13914" w:rsidRDefault="00001A9A" w:rsidP="0000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0"/>
        <w:rPr>
          <w:rFonts w:eastAsia="Times New Roman" w:cs="Times New Roman"/>
          <w:color w:val="000000"/>
          <w:szCs w:val="24"/>
        </w:rPr>
      </w:pPr>
      <w:smartTag w:uri="urn:schemas-microsoft-com:office:smarttags" w:element="place">
        <w:smartTag w:uri="urn:schemas-microsoft-com:office:smarttags" w:element="City">
          <w:r w:rsidRPr="00F13914">
            <w:rPr>
              <w:rFonts w:eastAsia="Times New Roman" w:cs="Times New Roman"/>
              <w:color w:val="000000"/>
              <w:szCs w:val="24"/>
            </w:rPr>
            <w:t>Columbus</w:t>
          </w:r>
        </w:smartTag>
        <w:r w:rsidRPr="00F13914">
          <w:rPr>
            <w:rFonts w:eastAsia="Times New Roman" w:cs="Times New Roman"/>
            <w:color w:val="000000"/>
            <w:szCs w:val="24"/>
          </w:rPr>
          <w:t xml:space="preserve">, </w:t>
        </w:r>
        <w:smartTag w:uri="urn:schemas-microsoft-com:office:smarttags" w:element="State">
          <w:r w:rsidRPr="00F13914">
            <w:rPr>
              <w:rFonts w:eastAsia="Times New Roman" w:cs="Times New Roman"/>
              <w:color w:val="000000"/>
              <w:szCs w:val="24"/>
            </w:rPr>
            <w:t>Ohio</w:t>
          </w:r>
        </w:smartTag>
        <w:r w:rsidRPr="00F13914">
          <w:rPr>
            <w:rFonts w:eastAsia="Times New Roman" w:cs="Times New Roman"/>
            <w:color w:val="000000"/>
            <w:szCs w:val="24"/>
          </w:rPr>
          <w:t xml:space="preserve"> </w:t>
        </w:r>
        <w:smartTag w:uri="urn:schemas-microsoft-com:office:smarttags" w:element="PostalCode">
          <w:r w:rsidRPr="00F13914">
            <w:rPr>
              <w:rFonts w:eastAsia="Times New Roman" w:cs="Times New Roman"/>
              <w:color w:val="000000"/>
              <w:szCs w:val="24"/>
            </w:rPr>
            <w:t>43215-3485</w:t>
          </w:r>
        </w:smartTag>
      </w:smartTag>
    </w:p>
    <w:p w:rsidR="00001A9A" w:rsidRPr="00F13914" w:rsidRDefault="00001A9A" w:rsidP="00001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3600"/>
        <w:rPr>
          <w:rFonts w:eastAsia="Times New Roman" w:cs="Times New Roman"/>
          <w:color w:val="000000"/>
          <w:szCs w:val="24"/>
        </w:rPr>
      </w:pPr>
      <w:r w:rsidRPr="00F13914">
        <w:rPr>
          <w:rFonts w:eastAsia="Times New Roman" w:cs="Times New Roman"/>
          <w:color w:val="000000"/>
          <w:szCs w:val="24"/>
        </w:rPr>
        <w:t>Telephone:  (614) 466-7964 (Etter direct)</w:t>
      </w:r>
    </w:p>
    <w:p w:rsidR="00001A9A" w:rsidRPr="00F13914" w:rsidRDefault="00CE5A7A" w:rsidP="00001A9A">
      <w:pPr>
        <w:spacing w:after="0" w:line="240" w:lineRule="auto"/>
        <w:ind w:left="3600"/>
        <w:rPr>
          <w:rFonts w:eastAsia="Times New Roman" w:cs="Times New Roman"/>
          <w:szCs w:val="24"/>
        </w:rPr>
      </w:pPr>
      <w:hyperlink r:id="rId8" w:history="1">
        <w:r w:rsidR="00001A9A" w:rsidRPr="00F13914">
          <w:rPr>
            <w:rFonts w:eastAsia="Times New Roman" w:cs="Times New Roman"/>
            <w:color w:val="0000FF"/>
            <w:szCs w:val="24"/>
            <w:u w:val="single"/>
          </w:rPr>
          <w:t>Terry.etter@occ.ohio.gov</w:t>
        </w:r>
      </w:hyperlink>
    </w:p>
    <w:p w:rsidR="00001A9A" w:rsidRPr="00F13914" w:rsidRDefault="00001A9A" w:rsidP="00001A9A">
      <w:pPr>
        <w:spacing w:after="0" w:line="240" w:lineRule="auto"/>
        <w:ind w:left="3600"/>
        <w:rPr>
          <w:rFonts w:eastAsia="Times New Roman" w:cs="Times New Roman"/>
          <w:szCs w:val="24"/>
        </w:rPr>
      </w:pPr>
      <w:r w:rsidRPr="00F13914">
        <w:rPr>
          <w:rFonts w:eastAsia="Times New Roman" w:cs="Times New Roman"/>
          <w:szCs w:val="24"/>
        </w:rPr>
        <w:t>(willing to accept service by e-mail)</w:t>
      </w:r>
    </w:p>
    <w:p w:rsidR="00001A9A" w:rsidRDefault="00001A9A" w:rsidP="00001A9A">
      <w:pPr>
        <w:spacing w:after="0" w:line="240" w:lineRule="auto"/>
        <w:ind w:left="4320"/>
        <w:rPr>
          <w:rFonts w:cs="Times New Roman"/>
          <w:szCs w:val="24"/>
        </w:rPr>
      </w:pPr>
    </w:p>
    <w:p w:rsidR="00001A9A" w:rsidRDefault="00001A9A" w:rsidP="00001A9A">
      <w:pPr>
        <w:autoSpaceDE w:val="0"/>
        <w:autoSpaceDN w:val="0"/>
        <w:adjustRightInd w:val="0"/>
        <w:spacing w:after="0" w:line="240" w:lineRule="auto"/>
        <w:ind w:firstLine="72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836DAE" w:rsidRDefault="00836DAE">
      <w:pPr>
        <w:rPr>
          <w:rFonts w:cs="Times New Roman"/>
          <w:szCs w:val="24"/>
        </w:rPr>
      </w:pPr>
      <w:r>
        <w:rPr>
          <w:rFonts w:cs="Times New Roman"/>
          <w:szCs w:val="24"/>
        </w:rPr>
        <w:br w:type="page"/>
      </w:r>
    </w:p>
    <w:p w:rsidR="00001A9A" w:rsidRPr="000F32C5" w:rsidRDefault="00001A9A" w:rsidP="00001A9A">
      <w:pPr>
        <w:spacing w:after="0" w:line="240" w:lineRule="auto"/>
        <w:ind w:left="3600"/>
        <w:rPr>
          <w:rFonts w:cs="Times New Roman"/>
          <w:i/>
          <w:szCs w:val="24"/>
          <w:u w:val="single"/>
        </w:rPr>
      </w:pPr>
      <w:r>
        <w:rPr>
          <w:rFonts w:cs="Times New Roman"/>
          <w:szCs w:val="24"/>
        </w:rPr>
        <w:t>Kimberly W. Bojko (0069402)</w:t>
      </w:r>
    </w:p>
    <w:p w:rsidR="00001A9A" w:rsidRPr="00F33E13" w:rsidRDefault="00001A9A" w:rsidP="00001A9A">
      <w:pPr>
        <w:spacing w:after="0" w:line="240" w:lineRule="auto"/>
        <w:ind w:left="3600"/>
        <w:contextualSpacing/>
        <w:rPr>
          <w:rFonts w:cs="Times New Roman"/>
          <w:szCs w:val="24"/>
        </w:rPr>
      </w:pPr>
      <w:r>
        <w:rPr>
          <w:rFonts w:cs="Times New Roman"/>
          <w:szCs w:val="24"/>
        </w:rPr>
        <w:t>Carpenter Lipps &amp; Leland LLP</w:t>
      </w:r>
    </w:p>
    <w:p w:rsidR="00001A9A" w:rsidRPr="00F33E13" w:rsidRDefault="00001A9A" w:rsidP="00001A9A">
      <w:pPr>
        <w:spacing w:after="0" w:line="240" w:lineRule="auto"/>
        <w:ind w:left="3600"/>
        <w:contextualSpacing/>
        <w:rPr>
          <w:rFonts w:cs="Times New Roman"/>
          <w:szCs w:val="24"/>
        </w:rPr>
      </w:pPr>
      <w:r>
        <w:rPr>
          <w:rFonts w:cs="Times New Roman"/>
          <w:szCs w:val="24"/>
        </w:rPr>
        <w:t>280 Plaza, Suite 1300</w:t>
      </w:r>
    </w:p>
    <w:p w:rsidR="00001A9A" w:rsidRPr="00F33E13" w:rsidRDefault="00001A9A" w:rsidP="00001A9A">
      <w:pPr>
        <w:spacing w:after="0" w:line="240" w:lineRule="auto"/>
        <w:ind w:left="3600"/>
        <w:contextualSpacing/>
        <w:rPr>
          <w:rFonts w:cs="Times New Roman"/>
          <w:szCs w:val="24"/>
        </w:rPr>
      </w:pPr>
      <w:r>
        <w:rPr>
          <w:rFonts w:cs="Times New Roman"/>
          <w:szCs w:val="24"/>
        </w:rPr>
        <w:t>280 North High Street</w:t>
      </w:r>
    </w:p>
    <w:p w:rsidR="00001A9A" w:rsidRPr="00F33E13" w:rsidRDefault="00001A9A" w:rsidP="00001A9A">
      <w:pPr>
        <w:spacing w:after="0" w:line="240" w:lineRule="auto"/>
        <w:ind w:left="3600"/>
        <w:contextualSpacing/>
        <w:rPr>
          <w:rFonts w:cs="Times New Roman"/>
          <w:szCs w:val="24"/>
        </w:rPr>
      </w:pPr>
      <w:r>
        <w:rPr>
          <w:rFonts w:cs="Times New Roman"/>
          <w:szCs w:val="24"/>
        </w:rPr>
        <w:t>Columbus, Ohio 43215</w:t>
      </w:r>
    </w:p>
    <w:p w:rsidR="00001A9A" w:rsidRPr="00F33E13" w:rsidRDefault="00001A9A" w:rsidP="00001A9A">
      <w:pPr>
        <w:spacing w:after="0" w:line="240" w:lineRule="auto"/>
        <w:ind w:left="3600"/>
        <w:contextualSpacing/>
        <w:rPr>
          <w:rFonts w:cs="Times New Roman"/>
          <w:szCs w:val="24"/>
        </w:rPr>
      </w:pPr>
      <w:r>
        <w:rPr>
          <w:rFonts w:cs="Times New Roman"/>
          <w:szCs w:val="24"/>
        </w:rPr>
        <w:t>Telephone:  (614) 365-4100</w:t>
      </w:r>
    </w:p>
    <w:p w:rsidR="00001A9A" w:rsidRDefault="00CE5A7A" w:rsidP="00001A9A">
      <w:pPr>
        <w:spacing w:after="0" w:line="240" w:lineRule="auto"/>
        <w:ind w:left="3600"/>
        <w:contextualSpacing/>
        <w:rPr>
          <w:rFonts w:cs="Times New Roman"/>
          <w:szCs w:val="24"/>
        </w:rPr>
      </w:pPr>
      <w:hyperlink r:id="rId9" w:history="1">
        <w:r w:rsidR="00001A9A" w:rsidRPr="00FA29F6">
          <w:rPr>
            <w:rStyle w:val="Hyperlink"/>
            <w:rFonts w:cs="Times New Roman"/>
            <w:szCs w:val="24"/>
          </w:rPr>
          <w:t>Bojko@carpenterlipps.com</w:t>
        </w:r>
      </w:hyperlink>
    </w:p>
    <w:p w:rsidR="00001A9A" w:rsidRPr="00F33E13" w:rsidRDefault="00001A9A" w:rsidP="00001A9A">
      <w:pPr>
        <w:spacing w:after="0" w:line="240" w:lineRule="auto"/>
        <w:ind w:left="3600"/>
        <w:rPr>
          <w:rFonts w:cs="Times New Roman"/>
          <w:szCs w:val="24"/>
        </w:rPr>
      </w:pPr>
      <w:r w:rsidRPr="00644794">
        <w:rPr>
          <w:rFonts w:cs="Times New Roman"/>
          <w:szCs w:val="24"/>
        </w:rPr>
        <w:t>(</w:t>
      </w:r>
      <w:r>
        <w:rPr>
          <w:rFonts w:cs="Times New Roman"/>
          <w:szCs w:val="24"/>
        </w:rPr>
        <w:t>w</w:t>
      </w:r>
      <w:r w:rsidRPr="00644794">
        <w:rPr>
          <w:rFonts w:cs="Times New Roman"/>
          <w:szCs w:val="24"/>
        </w:rPr>
        <w:t>ill</w:t>
      </w:r>
      <w:r>
        <w:rPr>
          <w:rFonts w:cs="Times New Roman"/>
          <w:szCs w:val="24"/>
        </w:rPr>
        <w:t>ing to</w:t>
      </w:r>
      <w:r w:rsidRPr="00644794">
        <w:rPr>
          <w:rFonts w:cs="Times New Roman"/>
          <w:szCs w:val="24"/>
        </w:rPr>
        <w:t xml:space="preserve"> accept service via email)</w:t>
      </w:r>
      <w:r>
        <w:rPr>
          <w:rFonts w:cs="Times New Roman"/>
          <w:szCs w:val="24"/>
        </w:rPr>
        <w:tab/>
      </w:r>
      <w:r>
        <w:rPr>
          <w:rFonts w:cs="Times New Roman"/>
          <w:szCs w:val="24"/>
        </w:rPr>
        <w:tab/>
      </w:r>
      <w:r>
        <w:rPr>
          <w:rFonts w:cs="Times New Roman"/>
          <w:szCs w:val="24"/>
        </w:rPr>
        <w:tab/>
      </w:r>
    </w:p>
    <w:p w:rsidR="00001A9A" w:rsidRDefault="00001A9A" w:rsidP="00001A9A">
      <w:pPr>
        <w:spacing w:before="120" w:after="0" w:line="240" w:lineRule="auto"/>
        <w:rPr>
          <w:rFonts w:cs="Times New Roman"/>
          <w:i/>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644794">
        <w:rPr>
          <w:rFonts w:cs="Times New Roman"/>
          <w:i/>
          <w:szCs w:val="24"/>
        </w:rPr>
        <w:t xml:space="preserve">Outside </w:t>
      </w:r>
      <w:r w:rsidRPr="00F33E13">
        <w:rPr>
          <w:rFonts w:cs="Times New Roman"/>
          <w:i/>
          <w:szCs w:val="24"/>
        </w:rPr>
        <w:t xml:space="preserve">Counsel for the </w:t>
      </w:r>
    </w:p>
    <w:p w:rsidR="00001A9A" w:rsidRDefault="00001A9A" w:rsidP="00001A9A">
      <w:pPr>
        <w:spacing w:after="0" w:line="240" w:lineRule="auto"/>
        <w:ind w:left="3600"/>
        <w:contextualSpacing/>
        <w:rPr>
          <w:rFonts w:cs="Times New Roman"/>
          <w:i/>
          <w:szCs w:val="24"/>
        </w:rPr>
      </w:pPr>
      <w:r w:rsidRPr="00F33E13">
        <w:rPr>
          <w:rFonts w:cs="Times New Roman"/>
          <w:i/>
          <w:szCs w:val="24"/>
        </w:rPr>
        <w:t>Office of the Ohio Consumers’ Counsel</w:t>
      </w:r>
    </w:p>
    <w:p w:rsidR="00C57E16" w:rsidRDefault="00C57E16" w:rsidP="00122AFE">
      <w:pPr>
        <w:spacing w:after="0" w:line="240" w:lineRule="auto"/>
        <w:ind w:left="3600" w:firstLine="720"/>
        <w:contextualSpacing/>
        <w:rPr>
          <w:rFonts w:cs="Times New Roman"/>
          <w:i/>
          <w:szCs w:val="24"/>
        </w:rPr>
      </w:pPr>
    </w:p>
    <w:p w:rsidR="000F32C5" w:rsidRDefault="000F32C5" w:rsidP="003D0B10">
      <w:pPr>
        <w:jc w:val="center"/>
        <w:rPr>
          <w:rFonts w:cs="Times New Roman"/>
          <w:b/>
          <w:bCs/>
          <w:color w:val="000000"/>
          <w:szCs w:val="24"/>
          <w:u w:val="single"/>
        </w:rPr>
        <w:sectPr w:rsidR="000F32C5" w:rsidSect="00F059B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pPr>
    </w:p>
    <w:p w:rsidR="002E18E1" w:rsidRPr="00654E9E" w:rsidRDefault="002E18E1" w:rsidP="003D0B10">
      <w:pPr>
        <w:jc w:val="center"/>
        <w:rPr>
          <w:rFonts w:cs="Times New Roman"/>
          <w:b/>
          <w:bCs/>
          <w:color w:val="000000"/>
          <w:szCs w:val="24"/>
          <w:u w:val="single"/>
        </w:rPr>
      </w:pPr>
      <w:r w:rsidRPr="00654E9E">
        <w:rPr>
          <w:rFonts w:cs="Times New Roman"/>
          <w:b/>
          <w:bCs/>
          <w:color w:val="000000"/>
          <w:szCs w:val="24"/>
          <w:u w:val="single"/>
        </w:rPr>
        <w:t>CERTIFICATE OF SERVICE</w:t>
      </w:r>
    </w:p>
    <w:p w:rsidR="002E18E1" w:rsidRDefault="00CD55BC" w:rsidP="00C5462B">
      <w:pPr>
        <w:autoSpaceDE w:val="0"/>
        <w:autoSpaceDN w:val="0"/>
        <w:adjustRightInd w:val="0"/>
        <w:spacing w:after="0" w:line="480" w:lineRule="auto"/>
        <w:contextualSpacing/>
        <w:rPr>
          <w:rFonts w:cs="Times New Roman"/>
          <w:color w:val="000000"/>
          <w:szCs w:val="24"/>
        </w:rPr>
      </w:pPr>
      <w:r>
        <w:rPr>
          <w:rFonts w:cs="Times New Roman"/>
          <w:color w:val="000000"/>
          <w:szCs w:val="24"/>
        </w:rPr>
        <w:tab/>
      </w:r>
      <w:r w:rsidR="002E18E1">
        <w:rPr>
          <w:rFonts w:cs="Times New Roman"/>
          <w:color w:val="000000"/>
          <w:szCs w:val="24"/>
        </w:rPr>
        <w:t xml:space="preserve">I hereby certify that a true and accurate copy of the foregoing </w:t>
      </w:r>
      <w:r w:rsidR="00F059BE" w:rsidRPr="00E033FC">
        <w:rPr>
          <w:rFonts w:cs="Times New Roman"/>
          <w:i/>
          <w:color w:val="000000"/>
          <w:szCs w:val="24"/>
        </w:rPr>
        <w:t>Memo</w:t>
      </w:r>
      <w:r w:rsidR="00D2339D">
        <w:rPr>
          <w:rFonts w:cs="Times New Roman"/>
          <w:i/>
          <w:color w:val="000000"/>
          <w:szCs w:val="24"/>
        </w:rPr>
        <w:t>randum</w:t>
      </w:r>
      <w:r w:rsidR="00F059BE" w:rsidRPr="00E033FC">
        <w:rPr>
          <w:rFonts w:cs="Times New Roman"/>
          <w:i/>
          <w:color w:val="000000"/>
          <w:szCs w:val="24"/>
        </w:rPr>
        <w:t xml:space="preserve"> Contra Motion for Protective </w:t>
      </w:r>
      <w:r w:rsidR="00D2339D">
        <w:rPr>
          <w:rFonts w:cs="Times New Roman"/>
          <w:i/>
          <w:color w:val="000000"/>
          <w:szCs w:val="24"/>
        </w:rPr>
        <w:t>Order</w:t>
      </w:r>
      <w:r w:rsidR="00F059BE">
        <w:rPr>
          <w:rFonts w:cs="Times New Roman"/>
          <w:color w:val="000000"/>
          <w:szCs w:val="24"/>
        </w:rPr>
        <w:t xml:space="preserve"> </w:t>
      </w:r>
      <w:r w:rsidR="002E18E1" w:rsidRPr="009E520D">
        <w:rPr>
          <w:rFonts w:cs="Times New Roman"/>
          <w:iCs/>
          <w:color w:val="000000"/>
          <w:szCs w:val="24"/>
        </w:rPr>
        <w:t>was</w:t>
      </w:r>
      <w:r w:rsidR="002E18E1" w:rsidRPr="009E520D">
        <w:rPr>
          <w:rFonts w:cs="Times New Roman"/>
          <w:color w:val="000000"/>
          <w:szCs w:val="24"/>
        </w:rPr>
        <w:t xml:space="preserve"> </w:t>
      </w:r>
      <w:r w:rsidR="002E18E1">
        <w:rPr>
          <w:rFonts w:cs="Times New Roman"/>
          <w:color w:val="000000"/>
          <w:szCs w:val="24"/>
        </w:rPr>
        <w:t xml:space="preserve">served upon the following parties via electronic </w:t>
      </w:r>
      <w:r w:rsidR="00F059BE">
        <w:rPr>
          <w:rFonts w:cs="Times New Roman"/>
          <w:color w:val="000000"/>
          <w:szCs w:val="24"/>
        </w:rPr>
        <w:t xml:space="preserve">transmission </w:t>
      </w:r>
      <w:r w:rsidR="002E18E1">
        <w:rPr>
          <w:rFonts w:cs="Times New Roman"/>
          <w:color w:val="000000"/>
          <w:szCs w:val="24"/>
        </w:rPr>
        <w:t>on</w:t>
      </w:r>
      <w:r w:rsidR="0042690F">
        <w:rPr>
          <w:rFonts w:cs="Times New Roman"/>
          <w:color w:val="000000"/>
          <w:szCs w:val="24"/>
        </w:rPr>
        <w:t xml:space="preserve"> </w:t>
      </w:r>
      <w:r w:rsidR="00001A9A">
        <w:rPr>
          <w:rFonts w:cs="Times New Roman"/>
          <w:color w:val="000000"/>
          <w:szCs w:val="24"/>
        </w:rPr>
        <w:t>January 1</w:t>
      </w:r>
      <w:r w:rsidR="00697D8E">
        <w:rPr>
          <w:rFonts w:cs="Times New Roman"/>
          <w:color w:val="000000"/>
          <w:szCs w:val="24"/>
        </w:rPr>
        <w:t>3</w:t>
      </w:r>
      <w:r w:rsidR="00001A9A">
        <w:rPr>
          <w:rFonts w:cs="Times New Roman"/>
          <w:color w:val="000000"/>
          <w:szCs w:val="24"/>
        </w:rPr>
        <w:t>, 2016</w:t>
      </w:r>
      <w:r w:rsidR="002E18E1">
        <w:rPr>
          <w:rFonts w:cs="Times New Roman"/>
          <w:color w:val="000000"/>
          <w:szCs w:val="24"/>
        </w:rPr>
        <w:t>.</w:t>
      </w:r>
    </w:p>
    <w:p w:rsidR="000D14C3" w:rsidRDefault="000D14C3" w:rsidP="00C5462B">
      <w:pPr>
        <w:autoSpaceDE w:val="0"/>
        <w:autoSpaceDN w:val="0"/>
        <w:adjustRightInd w:val="0"/>
        <w:spacing w:after="0" w:line="240" w:lineRule="auto"/>
        <w:rPr>
          <w:rFonts w:cs="Times New Roman"/>
          <w:color w:val="000000"/>
          <w:szCs w:val="24"/>
        </w:rPr>
      </w:pPr>
    </w:p>
    <w:p w:rsidR="000D14C3" w:rsidRDefault="000D14C3" w:rsidP="00C5462B">
      <w:pPr>
        <w:autoSpaceDE w:val="0"/>
        <w:autoSpaceDN w:val="0"/>
        <w:adjustRightInd w:val="0"/>
        <w:spacing w:after="0" w:line="240" w:lineRule="auto"/>
        <w:rPr>
          <w:rFonts w:cs="Times New Roman"/>
          <w:color w:val="000000"/>
          <w:szCs w:val="24"/>
        </w:rPr>
      </w:pPr>
    </w:p>
    <w:p w:rsidR="00001A9A" w:rsidRDefault="002E18E1" w:rsidP="00001A9A">
      <w:pPr>
        <w:autoSpaceDE w:val="0"/>
        <w:autoSpaceDN w:val="0"/>
        <w:adjustRightInd w:val="0"/>
        <w:spacing w:after="0" w:line="240" w:lineRule="auto"/>
        <w:rPr>
          <w:rFonts w:cs="Times New Roman"/>
          <w:color w:val="000000"/>
          <w:szCs w:val="24"/>
        </w:rPr>
      </w:pP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sidR="00001A9A">
        <w:rPr>
          <w:rFonts w:cs="Times New Roman"/>
          <w:i/>
          <w:color w:val="000000"/>
          <w:szCs w:val="24"/>
          <w:u w:val="single"/>
        </w:rPr>
        <w:t>/s/ Terry L. Etter</w:t>
      </w:r>
      <w:r w:rsidR="00001A9A">
        <w:rPr>
          <w:rFonts w:cs="Times New Roman"/>
          <w:color w:val="000000"/>
          <w:szCs w:val="24"/>
        </w:rPr>
        <w:t>_______</w:t>
      </w:r>
    </w:p>
    <w:p w:rsidR="00243F0C" w:rsidRDefault="00001A9A" w:rsidP="00001A9A">
      <w:pPr>
        <w:autoSpaceDE w:val="0"/>
        <w:autoSpaceDN w:val="0"/>
        <w:adjustRightInd w:val="0"/>
        <w:spacing w:after="0" w:line="240" w:lineRule="auto"/>
        <w:rPr>
          <w:rFonts w:cs="Times New Roman"/>
          <w:color w:val="000000"/>
          <w:szCs w:val="24"/>
        </w:rPr>
      </w:pP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t>Terry L. Etter</w:t>
      </w:r>
      <w:r>
        <w:rPr>
          <w:rFonts w:cs="Times New Roman"/>
          <w:color w:val="000000"/>
          <w:szCs w:val="24"/>
        </w:rPr>
        <w:tab/>
      </w:r>
      <w:r w:rsidR="002E18E1">
        <w:rPr>
          <w:rFonts w:cs="Times New Roman"/>
          <w:color w:val="000000"/>
          <w:szCs w:val="24"/>
        </w:rPr>
        <w:tab/>
      </w:r>
      <w:r w:rsidR="002E18E1">
        <w:rPr>
          <w:rFonts w:cs="Times New Roman"/>
          <w:color w:val="000000"/>
          <w:szCs w:val="24"/>
        </w:rPr>
        <w:tab/>
      </w:r>
      <w:r w:rsidR="002E18E1">
        <w:rPr>
          <w:rFonts w:cs="Times New Roman"/>
          <w:color w:val="000000"/>
          <w:szCs w:val="24"/>
        </w:rPr>
        <w:tab/>
      </w:r>
      <w:r w:rsidR="002E18E1">
        <w:rPr>
          <w:rFonts w:cs="Times New Roman"/>
          <w:color w:val="000000"/>
          <w:szCs w:val="24"/>
        </w:rPr>
        <w:tab/>
      </w:r>
      <w:r w:rsidR="002E18E1">
        <w:rPr>
          <w:rFonts w:cs="Times New Roman"/>
          <w:color w:val="000000"/>
          <w:szCs w:val="24"/>
        </w:rPr>
        <w:tab/>
      </w:r>
      <w:r w:rsidR="002E18E1">
        <w:rPr>
          <w:rFonts w:cs="Times New Roman"/>
          <w:color w:val="000000"/>
          <w:szCs w:val="24"/>
        </w:rPr>
        <w:tab/>
      </w:r>
      <w:r w:rsidR="002E18E1">
        <w:rPr>
          <w:rFonts w:cs="Times New Roman"/>
          <w:color w:val="000000"/>
          <w:szCs w:val="24"/>
        </w:rPr>
        <w:tab/>
      </w:r>
      <w:r w:rsidR="00243F0C">
        <w:rPr>
          <w:rFonts w:cs="Times New Roman"/>
          <w:color w:val="000000"/>
          <w:szCs w:val="24"/>
        </w:rPr>
        <w:tab/>
      </w:r>
      <w:r w:rsidR="00243F0C">
        <w:rPr>
          <w:rFonts w:cs="Times New Roman"/>
          <w:color w:val="000000"/>
          <w:szCs w:val="24"/>
        </w:rPr>
        <w:tab/>
      </w:r>
      <w:r w:rsidR="00A51FA3">
        <w:rPr>
          <w:rFonts w:cs="Times New Roman"/>
          <w:color w:val="000000"/>
          <w:szCs w:val="24"/>
        </w:rPr>
        <w:tab/>
      </w:r>
      <w:r w:rsidR="00243F0C">
        <w:rPr>
          <w:rFonts w:cs="Times New Roman"/>
          <w:color w:val="000000"/>
          <w:szCs w:val="24"/>
        </w:rPr>
        <w:t>Assistant Consumers’ Counsel</w:t>
      </w:r>
    </w:p>
    <w:p w:rsidR="00243F0C" w:rsidRDefault="00243F0C" w:rsidP="00243F0C">
      <w:pPr>
        <w:jc w:val="center"/>
        <w:rPr>
          <w:rFonts w:cs="Times New Roman"/>
          <w:sz w:val="16"/>
          <w:szCs w:val="16"/>
        </w:rPr>
      </w:pPr>
    </w:p>
    <w:p w:rsidR="00243F0C" w:rsidRPr="00243F0C" w:rsidRDefault="00243F0C" w:rsidP="00243F0C">
      <w:pPr>
        <w:jc w:val="center"/>
        <w:rPr>
          <w:rFonts w:cs="Times New Roman"/>
          <w:b/>
          <w:szCs w:val="24"/>
          <w:u w:val="single"/>
        </w:rPr>
      </w:pPr>
      <w:r w:rsidRPr="00243F0C">
        <w:rPr>
          <w:rFonts w:cs="Times New Roman"/>
          <w:b/>
          <w:szCs w:val="24"/>
          <w:u w:val="single"/>
        </w:rPr>
        <w:t>SERVICE LIST</w:t>
      </w:r>
    </w:p>
    <w:p w:rsidR="00C5462B" w:rsidRDefault="00C5462B" w:rsidP="00836DAE">
      <w:pPr>
        <w:autoSpaceDE w:val="0"/>
        <w:autoSpaceDN w:val="0"/>
        <w:adjustRightInd w:val="0"/>
        <w:spacing w:after="0" w:line="240" w:lineRule="auto"/>
        <w:rPr>
          <w:rFonts w:cs="Times New Roman"/>
          <w:szCs w:val="24"/>
        </w:rPr>
      </w:pPr>
    </w:p>
    <w:p w:rsidR="00836DAE" w:rsidRDefault="00836DAE" w:rsidP="00836DAE">
      <w:pPr>
        <w:pStyle w:val="BodyText"/>
        <w:spacing w:after="0" w:line="240" w:lineRule="auto"/>
        <w:rPr>
          <w:b/>
          <w:bCs/>
        </w:rPr>
      </w:pPr>
    </w:p>
    <w:tbl>
      <w:tblPr>
        <w:tblW w:w="0" w:type="auto"/>
        <w:jc w:val="center"/>
        <w:tblLook w:val="01E0" w:firstRow="1" w:lastRow="1" w:firstColumn="1" w:lastColumn="1" w:noHBand="0" w:noVBand="0"/>
      </w:tblPr>
      <w:tblGrid>
        <w:gridCol w:w="4428"/>
        <w:gridCol w:w="4428"/>
      </w:tblGrid>
      <w:tr w:rsidR="00836DAE" w:rsidTr="00836DAE">
        <w:trPr>
          <w:jc w:val="center"/>
        </w:trPr>
        <w:tc>
          <w:tcPr>
            <w:tcW w:w="4428" w:type="dxa"/>
          </w:tcPr>
          <w:p w:rsidR="00836DAE" w:rsidRDefault="00836DAE" w:rsidP="00836DAE">
            <w:pPr>
              <w:autoSpaceDE w:val="0"/>
              <w:autoSpaceDN w:val="0"/>
              <w:adjustRightInd w:val="0"/>
              <w:spacing w:after="0" w:line="240" w:lineRule="auto"/>
              <w:rPr>
                <w:rFonts w:eastAsia="Times New Roman"/>
                <w:bCs/>
                <w:szCs w:val="20"/>
              </w:rPr>
            </w:pPr>
            <w:r>
              <w:rPr>
                <w:bCs/>
              </w:rPr>
              <w:t>Robert A. McMahon</w:t>
            </w:r>
          </w:p>
          <w:p w:rsidR="00836DAE" w:rsidRDefault="00836DAE" w:rsidP="00836DAE">
            <w:pPr>
              <w:autoSpaceDE w:val="0"/>
              <w:autoSpaceDN w:val="0"/>
              <w:adjustRightInd w:val="0"/>
              <w:spacing w:after="0" w:line="240" w:lineRule="auto"/>
              <w:rPr>
                <w:bCs/>
              </w:rPr>
            </w:pPr>
            <w:r>
              <w:rPr>
                <w:bCs/>
              </w:rPr>
              <w:t>Eberly McMahon Copetas LLC</w:t>
            </w:r>
          </w:p>
          <w:p w:rsidR="00836DAE" w:rsidRDefault="00836DAE" w:rsidP="00836DAE">
            <w:pPr>
              <w:autoSpaceDE w:val="0"/>
              <w:autoSpaceDN w:val="0"/>
              <w:adjustRightInd w:val="0"/>
              <w:spacing w:after="0" w:line="240" w:lineRule="auto"/>
              <w:rPr>
                <w:bCs/>
              </w:rPr>
            </w:pPr>
            <w:r>
              <w:rPr>
                <w:bCs/>
              </w:rPr>
              <w:t>2321 Kemper Lane, Suite 100</w:t>
            </w:r>
          </w:p>
          <w:p w:rsidR="00836DAE" w:rsidRDefault="00836DAE" w:rsidP="00836DAE">
            <w:pPr>
              <w:autoSpaceDE w:val="0"/>
              <w:autoSpaceDN w:val="0"/>
              <w:adjustRightInd w:val="0"/>
              <w:spacing w:after="0" w:line="240" w:lineRule="auto"/>
              <w:rPr>
                <w:bCs/>
              </w:rPr>
            </w:pPr>
            <w:r>
              <w:rPr>
                <w:bCs/>
              </w:rPr>
              <w:t>Cincinnati, Ohio  45206</w:t>
            </w:r>
          </w:p>
          <w:p w:rsidR="00836DAE" w:rsidRDefault="00CE5A7A" w:rsidP="00836DAE">
            <w:pPr>
              <w:autoSpaceDE w:val="0"/>
              <w:autoSpaceDN w:val="0"/>
              <w:adjustRightInd w:val="0"/>
              <w:spacing w:after="0" w:line="240" w:lineRule="auto"/>
              <w:rPr>
                <w:bCs/>
              </w:rPr>
            </w:pPr>
            <w:hyperlink r:id="rId16" w:history="1">
              <w:r w:rsidR="00836DAE">
                <w:rPr>
                  <w:rStyle w:val="Hyperlink"/>
                  <w:bCs/>
                </w:rPr>
                <w:t>bmcmahon@emclawyers.com</w:t>
              </w:r>
            </w:hyperlink>
          </w:p>
          <w:p w:rsidR="00836DAE" w:rsidRDefault="00836DAE" w:rsidP="00836DAE">
            <w:pPr>
              <w:autoSpaceDE w:val="0"/>
              <w:autoSpaceDN w:val="0"/>
              <w:adjustRightInd w:val="0"/>
              <w:spacing w:after="0" w:line="240" w:lineRule="auto"/>
              <w:rPr>
                <w:rFonts w:eastAsia="Times New Roman" w:cs="Times New Roman"/>
                <w:bCs/>
              </w:rPr>
            </w:pPr>
          </w:p>
        </w:tc>
        <w:tc>
          <w:tcPr>
            <w:tcW w:w="4428" w:type="dxa"/>
          </w:tcPr>
          <w:p w:rsidR="00836DAE" w:rsidRDefault="00836DAE" w:rsidP="00836DAE">
            <w:pPr>
              <w:pStyle w:val="BodyText"/>
              <w:spacing w:after="0" w:line="240" w:lineRule="auto"/>
              <w:rPr>
                <w:rFonts w:eastAsia="Times New Roman"/>
                <w:bCs/>
                <w:szCs w:val="20"/>
              </w:rPr>
            </w:pPr>
            <w:r>
              <w:rPr>
                <w:bCs/>
              </w:rPr>
              <w:t>Amy B. Spiller</w:t>
            </w:r>
          </w:p>
          <w:p w:rsidR="00836DAE" w:rsidRDefault="00836DAE" w:rsidP="00836DAE">
            <w:pPr>
              <w:pStyle w:val="BodyText"/>
              <w:spacing w:after="0" w:line="240" w:lineRule="auto"/>
              <w:rPr>
                <w:bCs/>
              </w:rPr>
            </w:pPr>
            <w:r>
              <w:rPr>
                <w:bCs/>
              </w:rPr>
              <w:t>Elizabeth H. Watts</w:t>
            </w:r>
          </w:p>
          <w:p w:rsidR="00836DAE" w:rsidRDefault="00836DAE" w:rsidP="00836DAE">
            <w:pPr>
              <w:pStyle w:val="BodyText"/>
              <w:spacing w:after="0" w:line="240" w:lineRule="auto"/>
              <w:rPr>
                <w:bCs/>
              </w:rPr>
            </w:pPr>
            <w:r>
              <w:rPr>
                <w:bCs/>
              </w:rPr>
              <w:t>139 East Broad Street</w:t>
            </w:r>
          </w:p>
          <w:p w:rsidR="00836DAE" w:rsidRDefault="00836DAE" w:rsidP="00836DAE">
            <w:pPr>
              <w:pStyle w:val="BodyText"/>
              <w:spacing w:after="0" w:line="240" w:lineRule="auto"/>
              <w:rPr>
                <w:bCs/>
              </w:rPr>
            </w:pPr>
            <w:r>
              <w:rPr>
                <w:bCs/>
              </w:rPr>
              <w:t>Cincinnati, Ohio  45202</w:t>
            </w:r>
          </w:p>
          <w:p w:rsidR="00836DAE" w:rsidRDefault="00CE5A7A" w:rsidP="00836DAE">
            <w:pPr>
              <w:pStyle w:val="BodyText"/>
              <w:spacing w:after="0" w:line="240" w:lineRule="auto"/>
              <w:rPr>
                <w:bCs/>
              </w:rPr>
            </w:pPr>
            <w:hyperlink r:id="rId17" w:history="1">
              <w:r w:rsidR="00836DAE">
                <w:rPr>
                  <w:rStyle w:val="Hyperlink"/>
                  <w:bCs/>
                </w:rPr>
                <w:t>Amy.spiller@duke-energy.com</w:t>
              </w:r>
            </w:hyperlink>
          </w:p>
          <w:p w:rsidR="00836DAE" w:rsidRDefault="00CE5A7A" w:rsidP="00836DAE">
            <w:pPr>
              <w:pStyle w:val="BodyText"/>
              <w:spacing w:after="0" w:line="240" w:lineRule="auto"/>
              <w:rPr>
                <w:bCs/>
              </w:rPr>
            </w:pPr>
            <w:hyperlink r:id="rId18" w:history="1">
              <w:r w:rsidR="00836DAE">
                <w:rPr>
                  <w:rStyle w:val="Hyperlink"/>
                  <w:bCs/>
                </w:rPr>
                <w:t>Elizabeth.watts@duke-energy.com</w:t>
              </w:r>
            </w:hyperlink>
          </w:p>
          <w:p w:rsidR="00836DAE" w:rsidRDefault="00836DAE" w:rsidP="00836DAE">
            <w:pPr>
              <w:pStyle w:val="BodyText"/>
              <w:spacing w:after="0" w:line="240" w:lineRule="auto"/>
              <w:rPr>
                <w:rFonts w:eastAsia="Times New Roman"/>
                <w:bCs/>
              </w:rPr>
            </w:pPr>
          </w:p>
        </w:tc>
      </w:tr>
      <w:tr w:rsidR="00836DAE" w:rsidTr="00836DAE">
        <w:trPr>
          <w:jc w:val="center"/>
        </w:trPr>
        <w:tc>
          <w:tcPr>
            <w:tcW w:w="4428" w:type="dxa"/>
          </w:tcPr>
          <w:p w:rsidR="00836DAE" w:rsidRDefault="00836DAE" w:rsidP="00836DAE">
            <w:pPr>
              <w:spacing w:after="0" w:line="240" w:lineRule="auto"/>
              <w:rPr>
                <w:rFonts w:eastAsia="Times New Roman"/>
                <w:szCs w:val="24"/>
              </w:rPr>
            </w:pPr>
            <w:r>
              <w:rPr>
                <w:szCs w:val="24"/>
              </w:rPr>
              <w:t>Donald A. Lane</w:t>
            </w:r>
          </w:p>
          <w:p w:rsidR="00836DAE" w:rsidRDefault="00836DAE" w:rsidP="00836DAE">
            <w:pPr>
              <w:spacing w:after="0" w:line="240" w:lineRule="auto"/>
              <w:rPr>
                <w:szCs w:val="24"/>
              </w:rPr>
            </w:pPr>
            <w:r>
              <w:rPr>
                <w:szCs w:val="24"/>
              </w:rPr>
              <w:t>Droder &amp; Miller Co., LPA</w:t>
            </w:r>
          </w:p>
          <w:p w:rsidR="00836DAE" w:rsidRDefault="00836DAE" w:rsidP="00836DAE">
            <w:pPr>
              <w:spacing w:after="0" w:line="240" w:lineRule="auto"/>
              <w:rPr>
                <w:szCs w:val="24"/>
              </w:rPr>
            </w:pPr>
            <w:r>
              <w:rPr>
                <w:szCs w:val="24"/>
              </w:rPr>
              <w:t>125 West Central Parkway</w:t>
            </w:r>
          </w:p>
          <w:p w:rsidR="00836DAE" w:rsidRDefault="00836DAE" w:rsidP="00836DAE">
            <w:pPr>
              <w:spacing w:after="0" w:line="240" w:lineRule="auto"/>
              <w:rPr>
                <w:szCs w:val="24"/>
              </w:rPr>
            </w:pPr>
            <w:r>
              <w:rPr>
                <w:szCs w:val="24"/>
              </w:rPr>
              <w:t>Cincinnati, Ohio  45202-1006</w:t>
            </w:r>
          </w:p>
          <w:p w:rsidR="00836DAE" w:rsidRDefault="00CE5A7A" w:rsidP="00836DAE">
            <w:pPr>
              <w:spacing w:after="0" w:line="240" w:lineRule="auto"/>
              <w:rPr>
                <w:szCs w:val="24"/>
              </w:rPr>
            </w:pPr>
            <w:hyperlink r:id="rId19" w:history="1">
              <w:r w:rsidR="00836DAE">
                <w:rPr>
                  <w:rStyle w:val="Hyperlink"/>
                  <w:szCs w:val="24"/>
                </w:rPr>
                <w:t>dlane@drodermiller.com</w:t>
              </w:r>
            </w:hyperlink>
          </w:p>
          <w:p w:rsidR="00836DAE" w:rsidRDefault="00836DAE" w:rsidP="00836DAE">
            <w:pPr>
              <w:spacing w:after="0" w:line="240" w:lineRule="auto"/>
              <w:rPr>
                <w:rFonts w:eastAsia="Times New Roman" w:cs="Times New Roman"/>
                <w:szCs w:val="24"/>
              </w:rPr>
            </w:pPr>
          </w:p>
        </w:tc>
        <w:tc>
          <w:tcPr>
            <w:tcW w:w="4428" w:type="dxa"/>
          </w:tcPr>
          <w:p w:rsidR="00836DAE" w:rsidRDefault="00836DAE" w:rsidP="00836DAE">
            <w:pPr>
              <w:spacing w:after="0" w:line="240" w:lineRule="auto"/>
              <w:rPr>
                <w:rFonts w:eastAsia="Times New Roman"/>
                <w:bCs/>
                <w:szCs w:val="20"/>
              </w:rPr>
            </w:pPr>
          </w:p>
          <w:p w:rsidR="00836DAE" w:rsidRDefault="00836DAE" w:rsidP="00836DAE">
            <w:pPr>
              <w:spacing w:after="0" w:line="240" w:lineRule="auto"/>
              <w:rPr>
                <w:rFonts w:eastAsia="Times New Roman" w:cs="Times New Roman"/>
                <w:bCs/>
              </w:rPr>
            </w:pPr>
          </w:p>
        </w:tc>
      </w:tr>
      <w:tr w:rsidR="00836DAE" w:rsidTr="00836DAE">
        <w:trPr>
          <w:jc w:val="center"/>
        </w:trPr>
        <w:tc>
          <w:tcPr>
            <w:tcW w:w="4428" w:type="dxa"/>
          </w:tcPr>
          <w:p w:rsidR="00836DAE" w:rsidRDefault="00836DAE" w:rsidP="00836DAE">
            <w:pPr>
              <w:spacing w:after="0" w:line="240" w:lineRule="auto"/>
              <w:rPr>
                <w:rFonts w:eastAsia="Times New Roman"/>
                <w:szCs w:val="24"/>
              </w:rPr>
            </w:pPr>
          </w:p>
          <w:p w:rsidR="00836DAE" w:rsidRDefault="00836DAE" w:rsidP="00836DAE">
            <w:pPr>
              <w:spacing w:after="0" w:line="240" w:lineRule="auto"/>
              <w:rPr>
                <w:szCs w:val="24"/>
              </w:rPr>
            </w:pPr>
            <w:r>
              <w:rPr>
                <w:szCs w:val="24"/>
              </w:rPr>
              <w:t>Attorney Examiner:</w:t>
            </w:r>
          </w:p>
          <w:p w:rsidR="00836DAE" w:rsidRDefault="00836DAE" w:rsidP="00836DAE">
            <w:pPr>
              <w:spacing w:after="0" w:line="240" w:lineRule="auto"/>
              <w:rPr>
                <w:szCs w:val="24"/>
              </w:rPr>
            </w:pPr>
          </w:p>
          <w:p w:rsidR="00836DAE" w:rsidRDefault="00CE5A7A" w:rsidP="00836DAE">
            <w:pPr>
              <w:spacing w:after="0" w:line="240" w:lineRule="auto"/>
              <w:rPr>
                <w:rFonts w:eastAsiaTheme="minorHAnsi"/>
                <w:sz w:val="22"/>
              </w:rPr>
            </w:pPr>
            <w:hyperlink r:id="rId20" w:history="1">
              <w:r w:rsidR="00836DAE">
                <w:rPr>
                  <w:rStyle w:val="Hyperlink"/>
                  <w:rFonts w:eastAsiaTheme="minorHAnsi"/>
                  <w:bCs/>
                  <w:sz w:val="22"/>
                </w:rPr>
                <w:t>sarah.parrot@</w:t>
              </w:r>
              <w:r w:rsidR="00836DAE">
                <w:rPr>
                  <w:rStyle w:val="Hyperlink"/>
                  <w:rFonts w:eastAsiaTheme="minorHAnsi"/>
                  <w:sz w:val="22"/>
                </w:rPr>
                <w:t>puc.state.oh.us</w:t>
              </w:r>
            </w:hyperlink>
          </w:p>
          <w:p w:rsidR="00836DAE" w:rsidRDefault="00836DAE" w:rsidP="00836DAE">
            <w:pPr>
              <w:spacing w:after="0" w:line="240" w:lineRule="auto"/>
              <w:rPr>
                <w:rFonts w:eastAsiaTheme="minorHAnsi"/>
                <w:sz w:val="22"/>
              </w:rPr>
            </w:pPr>
          </w:p>
          <w:p w:rsidR="00836DAE" w:rsidRDefault="00836DAE" w:rsidP="00836DAE">
            <w:pPr>
              <w:spacing w:after="0" w:line="240" w:lineRule="auto"/>
              <w:rPr>
                <w:rFonts w:eastAsia="Times New Roman" w:cs="Times New Roman"/>
                <w:szCs w:val="24"/>
              </w:rPr>
            </w:pPr>
          </w:p>
        </w:tc>
        <w:tc>
          <w:tcPr>
            <w:tcW w:w="4428" w:type="dxa"/>
          </w:tcPr>
          <w:p w:rsidR="00836DAE" w:rsidRDefault="00836DAE" w:rsidP="00836DAE">
            <w:pPr>
              <w:spacing w:after="0" w:line="240" w:lineRule="auto"/>
              <w:rPr>
                <w:rFonts w:eastAsia="Times New Roman" w:cs="Times New Roman"/>
                <w:bCs/>
              </w:rPr>
            </w:pPr>
          </w:p>
        </w:tc>
      </w:tr>
    </w:tbl>
    <w:p w:rsidR="00BD77B9" w:rsidRDefault="00BD77B9" w:rsidP="00836DAE">
      <w:pPr>
        <w:autoSpaceDE w:val="0"/>
        <w:autoSpaceDN w:val="0"/>
        <w:adjustRightInd w:val="0"/>
        <w:spacing w:after="0" w:line="240" w:lineRule="auto"/>
        <w:rPr>
          <w:rFonts w:cs="Times New Roman"/>
          <w:szCs w:val="24"/>
        </w:rPr>
      </w:pPr>
    </w:p>
    <w:p w:rsidR="00BD77B9" w:rsidRDefault="00BD77B9" w:rsidP="00836DAE">
      <w:pPr>
        <w:autoSpaceDE w:val="0"/>
        <w:autoSpaceDN w:val="0"/>
        <w:adjustRightInd w:val="0"/>
        <w:spacing w:after="0" w:line="240" w:lineRule="auto"/>
        <w:rPr>
          <w:rFonts w:cs="Times New Roman"/>
          <w:szCs w:val="24"/>
        </w:rPr>
      </w:pPr>
    </w:p>
    <w:sectPr w:rsidR="00BD77B9" w:rsidSect="00F059BE">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5FB" w:rsidRDefault="00B665FB" w:rsidP="00C56B8A">
      <w:pPr>
        <w:spacing w:after="0" w:line="240" w:lineRule="auto"/>
      </w:pPr>
      <w:r>
        <w:separator/>
      </w:r>
    </w:p>
  </w:endnote>
  <w:endnote w:type="continuationSeparator" w:id="0">
    <w:p w:rsidR="00B665FB" w:rsidRDefault="00B665FB" w:rsidP="00C5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D5" w:rsidRDefault="00143A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104316"/>
      <w:docPartObj>
        <w:docPartGallery w:val="Page Numbers (Bottom of Page)"/>
        <w:docPartUnique/>
      </w:docPartObj>
    </w:sdtPr>
    <w:sdtEndPr/>
    <w:sdtContent>
      <w:p w:rsidR="005474D1" w:rsidRDefault="005474D1">
        <w:pPr>
          <w:pStyle w:val="Footer"/>
          <w:jc w:val="center"/>
        </w:pPr>
        <w:r w:rsidRPr="00C56B8A">
          <w:rPr>
            <w:rFonts w:cs="Times New Roman"/>
            <w:szCs w:val="24"/>
          </w:rPr>
          <w:fldChar w:fldCharType="begin"/>
        </w:r>
        <w:r w:rsidRPr="00C56B8A">
          <w:rPr>
            <w:rFonts w:cs="Times New Roman"/>
            <w:szCs w:val="24"/>
          </w:rPr>
          <w:instrText xml:space="preserve"> PAGE   \* MERGEFORMAT </w:instrText>
        </w:r>
        <w:r w:rsidRPr="00C56B8A">
          <w:rPr>
            <w:rFonts w:cs="Times New Roman"/>
            <w:szCs w:val="24"/>
          </w:rPr>
          <w:fldChar w:fldCharType="separate"/>
        </w:r>
        <w:r w:rsidR="00836DAE">
          <w:rPr>
            <w:rFonts w:cs="Times New Roman"/>
            <w:noProof/>
            <w:szCs w:val="24"/>
          </w:rPr>
          <w:t>4</w:t>
        </w:r>
        <w:r w:rsidRPr="00C56B8A">
          <w:rPr>
            <w:rFonts w:cs="Times New Roman"/>
            <w:szCs w:val="24"/>
          </w:rPr>
          <w:fldChar w:fldCharType="end"/>
        </w:r>
      </w:p>
    </w:sdtContent>
  </w:sdt>
  <w:p w:rsidR="005474D1" w:rsidRPr="00745001" w:rsidRDefault="005474D1">
    <w:pPr>
      <w:pStyle w:val="Footer"/>
      <w:rPr>
        <w:rFonts w:cs="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D1" w:rsidRPr="00381801" w:rsidRDefault="005474D1">
    <w:pPr>
      <w:pStyle w:val="Footer"/>
      <w:jc w:val="center"/>
      <w:rPr>
        <w:rFonts w:cs="Times New Roman"/>
        <w:szCs w:val="24"/>
      </w:rPr>
    </w:pPr>
  </w:p>
  <w:p w:rsidR="005474D1" w:rsidRDefault="00547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5FB" w:rsidRDefault="00B665FB" w:rsidP="00C56B8A">
      <w:pPr>
        <w:spacing w:after="0" w:line="240" w:lineRule="auto"/>
      </w:pPr>
      <w:r>
        <w:separator/>
      </w:r>
    </w:p>
  </w:footnote>
  <w:footnote w:type="continuationSeparator" w:id="0">
    <w:p w:rsidR="00B665FB" w:rsidRDefault="00B665FB" w:rsidP="00C56B8A">
      <w:pPr>
        <w:spacing w:after="0" w:line="240" w:lineRule="auto"/>
      </w:pPr>
      <w:r>
        <w:continuationSeparator/>
      </w:r>
    </w:p>
  </w:footnote>
  <w:footnote w:id="1">
    <w:p w:rsidR="00A075A6" w:rsidRPr="0087704B" w:rsidRDefault="00A075A6" w:rsidP="00A075A6">
      <w:pPr>
        <w:pStyle w:val="FootnoteText"/>
        <w:rPr>
          <w:rFonts w:cs="Times New Roman"/>
        </w:rPr>
      </w:pPr>
      <w:r w:rsidRPr="0087704B">
        <w:rPr>
          <w:rStyle w:val="FootnoteReference"/>
          <w:rFonts w:cs="Times New Roman"/>
        </w:rPr>
        <w:footnoteRef/>
      </w:r>
      <w:r w:rsidRPr="0087704B">
        <w:rPr>
          <w:rFonts w:cs="Times New Roman"/>
        </w:rPr>
        <w:t xml:space="preserve"> </w:t>
      </w:r>
      <w:r w:rsidRPr="0087704B">
        <w:rPr>
          <w:rFonts w:cs="Times New Roman"/>
          <w:i/>
        </w:rPr>
        <w:t>See</w:t>
      </w:r>
      <w:r w:rsidRPr="0087704B">
        <w:rPr>
          <w:rFonts w:cs="Times New Roman"/>
        </w:rPr>
        <w:t xml:space="preserve"> </w:t>
      </w:r>
      <w:r w:rsidRPr="0087704B">
        <w:rPr>
          <w:rFonts w:cs="Times New Roman"/>
          <w:i/>
        </w:rPr>
        <w:t>In the Matter of the Commission’s Consideration of Solutions Concerning the Disconnection of Gas and Electric Service in Winter Emergencies for the 2015-2016 Winter Heating Season</w:t>
      </w:r>
      <w:r w:rsidRPr="0087704B">
        <w:rPr>
          <w:rFonts w:cs="Times New Roman"/>
        </w:rPr>
        <w:t>, Case No. 15-1460-GE-UNC, Entry on Rehearing (October 28, 2015) at 5.</w:t>
      </w:r>
    </w:p>
  </w:footnote>
  <w:footnote w:id="2">
    <w:p w:rsidR="00563E94" w:rsidRDefault="00563E94">
      <w:pPr>
        <w:pStyle w:val="FootnoteText"/>
      </w:pPr>
      <w:r>
        <w:rPr>
          <w:rStyle w:val="FootnoteReference"/>
        </w:rPr>
        <w:footnoteRef/>
      </w:r>
      <w:r>
        <w:t xml:space="preserve"> Ohio Adm. Code 4901-1-24(B)(1).  </w:t>
      </w:r>
    </w:p>
  </w:footnote>
  <w:footnote w:id="3">
    <w:p w:rsidR="000B5122" w:rsidRDefault="000B5122" w:rsidP="005C1FEA">
      <w:pPr>
        <w:pStyle w:val="FootnoteText"/>
        <w:spacing w:before="0" w:after="120"/>
      </w:pPr>
      <w:r>
        <w:rPr>
          <w:rStyle w:val="FootnoteReference"/>
        </w:rPr>
        <w:footnoteRef/>
      </w:r>
      <w:r>
        <w:t xml:space="preserve"> </w:t>
      </w:r>
      <w:r>
        <w:rPr>
          <w:i/>
        </w:rPr>
        <w:t>See In the Matter of the Application of The Cleveland Electric Illumination Company for Approval of an Electric Service Agreement with American Steel &amp; Wire Corp.</w:t>
      </w:r>
      <w:r>
        <w:t>, Case No. 95-77-EL-AEC, Supplemental Entry on Rehearing (September 6, 1995) at 3.</w:t>
      </w:r>
    </w:p>
  </w:footnote>
  <w:footnote w:id="4">
    <w:p w:rsidR="000B5122" w:rsidRDefault="000B5122" w:rsidP="000B5122">
      <w:pPr>
        <w:pStyle w:val="FootnoteText"/>
        <w:spacing w:before="0" w:after="120"/>
      </w:pPr>
      <w:r>
        <w:rPr>
          <w:rStyle w:val="FootnoteReference"/>
        </w:rPr>
        <w:footnoteRef/>
      </w:r>
      <w:r>
        <w:t xml:space="preserve"> </w:t>
      </w:r>
      <w:r>
        <w:rPr>
          <w:i/>
        </w:rPr>
        <w:t>In the Matter of the Application of The Ohio Bell Telephone Company for Approval of an Alternative Form of Regulation</w:t>
      </w:r>
      <w:r>
        <w:t xml:space="preserve">, Case No. 93-487-TP-ALT, Entry (November 25, 2003) Entry (“93-487 Entry”) at 3, citing </w:t>
      </w:r>
      <w:r>
        <w:rPr>
          <w:i/>
        </w:rPr>
        <w:t>State ex rel Williams v. Cleveland,</w:t>
      </w:r>
      <w:r>
        <w:t xml:space="preserve"> 64 Ohio St.3d 544 (1992) and </w:t>
      </w:r>
      <w:r>
        <w:rPr>
          <w:i/>
        </w:rPr>
        <w:t>State ex rel. The Plain Dealer v. Ohio Dept. of Ins.</w:t>
      </w:r>
      <w:r>
        <w:t xml:space="preserve">, 80 Ohio St.3d 513, 518 (1997).  See also </w:t>
      </w:r>
      <w:r>
        <w:rPr>
          <w:i/>
        </w:rPr>
        <w:t>In the Matter of the Application of Cincinnati Bell Any Distance, Inc. for New Operating Authority</w:t>
      </w:r>
      <w:r>
        <w:t>, Case No. 07-539-TP-ACE, Entry (June 1, 2007) at 1.</w:t>
      </w:r>
    </w:p>
  </w:footnote>
  <w:footnote w:id="5">
    <w:p w:rsidR="000B5122" w:rsidRDefault="000B5122" w:rsidP="000B5122">
      <w:pPr>
        <w:pStyle w:val="FootnoteText"/>
      </w:pPr>
      <w:r>
        <w:rPr>
          <w:rStyle w:val="FootnoteReference"/>
        </w:rPr>
        <w:footnoteRef/>
      </w:r>
      <w:r>
        <w:t xml:space="preserve"> 93-487 Entry at 3.  </w:t>
      </w:r>
    </w:p>
  </w:footnote>
  <w:footnote w:id="6">
    <w:p w:rsidR="000B5122" w:rsidRDefault="000B5122" w:rsidP="000B5122">
      <w:pPr>
        <w:pStyle w:val="FootnoteText"/>
      </w:pPr>
      <w:r>
        <w:rPr>
          <w:rStyle w:val="FootnoteReference"/>
        </w:rPr>
        <w:footnoteRef/>
      </w:r>
      <w:r>
        <w:t xml:space="preserve"> </w:t>
      </w:r>
      <w:r>
        <w:rPr>
          <w:i/>
        </w:rPr>
        <w:t>In the Matter of the Joint Application of the Ohio Bell Telephone Company and Ameritech Mobile Services, Inc. for Approval of the Transfer of Certain Assets</w:t>
      </w:r>
      <w:r>
        <w:t>, Case No. 89-365-RC-ATR, Opinion and Order (October 18, 1990), 1990 Ohio PUC LEXIS 1138 at *5.</w:t>
      </w:r>
    </w:p>
  </w:footnote>
  <w:footnote w:id="7">
    <w:p w:rsidR="000B5122" w:rsidRDefault="000B5122" w:rsidP="000B5122">
      <w:pPr>
        <w:pStyle w:val="FootnoteText"/>
      </w:pPr>
      <w:r>
        <w:rPr>
          <w:rStyle w:val="FootnoteReference"/>
        </w:rPr>
        <w:footnoteRef/>
      </w:r>
      <w:r>
        <w:t xml:space="preserve"> R.C. 149.43(A)(1)(v).</w:t>
      </w:r>
    </w:p>
  </w:footnote>
  <w:footnote w:id="8">
    <w:p w:rsidR="000C0F30" w:rsidRDefault="000C0F30">
      <w:pPr>
        <w:pStyle w:val="FootnoteText"/>
      </w:pPr>
      <w:r>
        <w:rPr>
          <w:rStyle w:val="FootnoteReference"/>
        </w:rPr>
        <w:footnoteRef/>
      </w:r>
      <w:r>
        <w:t xml:space="preserve"> Ohio Adm. Code 4901-1-24(D)(2).</w:t>
      </w:r>
    </w:p>
  </w:footnote>
  <w:footnote w:id="9">
    <w:p w:rsidR="000C0F30" w:rsidRDefault="000C0F30">
      <w:pPr>
        <w:pStyle w:val="FootnoteText"/>
      </w:pPr>
      <w:r>
        <w:rPr>
          <w:rStyle w:val="FootnoteReference"/>
        </w:rPr>
        <w:footnoteRef/>
      </w:r>
      <w:r>
        <w:t xml:space="preserve"> Ohio Adm. Code 4901-1-24(D)(1).</w:t>
      </w:r>
    </w:p>
  </w:footnote>
  <w:footnote w:id="10">
    <w:p w:rsidR="00451A19" w:rsidRDefault="00451A19">
      <w:pPr>
        <w:pStyle w:val="FootnoteText"/>
      </w:pPr>
      <w:r>
        <w:rPr>
          <w:rStyle w:val="FootnoteReference"/>
        </w:rPr>
        <w:footnoteRef/>
      </w:r>
      <w:r>
        <w:t xml:space="preserve"> Ohio Adm. Code 4901-1-24(B)(1).</w:t>
      </w:r>
    </w:p>
  </w:footnote>
  <w:footnote w:id="11">
    <w:p w:rsidR="00177C76" w:rsidRPr="00F927B8" w:rsidRDefault="00177C76" w:rsidP="00177C76">
      <w:pPr>
        <w:pStyle w:val="FootnoteText"/>
        <w:spacing w:after="120"/>
        <w:rPr>
          <w:rFonts w:cs="Times New Roman"/>
        </w:rPr>
      </w:pPr>
      <w:r w:rsidRPr="00F927B8">
        <w:rPr>
          <w:rStyle w:val="FootnoteReference"/>
          <w:rFonts w:cs="Times New Roman"/>
        </w:rPr>
        <w:footnoteRef/>
      </w:r>
      <w:r w:rsidRPr="00F927B8">
        <w:rPr>
          <w:rFonts w:cs="Times New Roman"/>
        </w:rPr>
        <w:t xml:space="preserve"> </w:t>
      </w:r>
      <w:r w:rsidRPr="00F927B8">
        <w:rPr>
          <w:rFonts w:cs="Times New Roman"/>
          <w:i/>
        </w:rPr>
        <w:t>In the Matter of the Application of The Cincinnati Gas &amp; Electric Company to Modify its Nonresidential Generation Rates to Provide for Market-Based Standard Service Offer Pricing and to Establish an Alternative Competitive-Bid Service Rate Option Subsequent to the Market Development Period</w:t>
      </w:r>
      <w:r w:rsidRPr="00F927B8">
        <w:rPr>
          <w:rFonts w:cs="Times New Roman"/>
        </w:rPr>
        <w:t xml:space="preserve">, Case No. 03-93-EL-ATA, </w:t>
      </w:r>
      <w:r w:rsidR="00D2339D">
        <w:rPr>
          <w:rFonts w:cs="Times New Roman"/>
        </w:rPr>
        <w:t>Order on Remand</w:t>
      </w:r>
      <w:r w:rsidRPr="00F927B8">
        <w:rPr>
          <w:rFonts w:cs="Times New Roman"/>
        </w:rPr>
        <w:t xml:space="preserve"> (October 24, 2007) </w:t>
      </w:r>
      <w:r w:rsidR="00D2339D" w:rsidRPr="00F927B8">
        <w:rPr>
          <w:rFonts w:cs="Times New Roman"/>
        </w:rPr>
        <w:t xml:space="preserve">at </w:t>
      </w:r>
      <w:r w:rsidR="00D2339D">
        <w:rPr>
          <w:rFonts w:cs="Times New Roman"/>
        </w:rPr>
        <w:t xml:space="preserve">11, </w:t>
      </w:r>
      <w:r w:rsidRPr="00F927B8">
        <w:rPr>
          <w:rFonts w:cs="Times New Roman"/>
        </w:rPr>
        <w:t>citing Ohio Adm. Code 4901-1-24(D)(1).</w:t>
      </w:r>
    </w:p>
  </w:footnote>
  <w:footnote w:id="12">
    <w:p w:rsidR="00B72F8F" w:rsidRDefault="00B72F8F">
      <w:pPr>
        <w:pStyle w:val="FootnoteText"/>
      </w:pPr>
      <w:r>
        <w:rPr>
          <w:rStyle w:val="FootnoteReference"/>
        </w:rPr>
        <w:footnoteRef/>
      </w:r>
      <w:r>
        <w:t xml:space="preserve"> </w:t>
      </w:r>
      <w:r w:rsidR="00D2339D" w:rsidRPr="00D2339D">
        <w:rPr>
          <w:i/>
        </w:rPr>
        <w:t>See</w:t>
      </w:r>
      <w:r w:rsidR="00D2339D">
        <w:t xml:space="preserve"> </w:t>
      </w:r>
      <w:r w:rsidR="00D2339D">
        <w:rPr>
          <w:i/>
        </w:rPr>
        <w:t>i</w:t>
      </w:r>
      <w:r w:rsidRPr="00B72F8F">
        <w:rPr>
          <w:i/>
        </w:rPr>
        <w:t>d</w:t>
      </w:r>
      <w:r w:rsidR="00D2339D">
        <w:t>. at 17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D5" w:rsidRDefault="00143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D5" w:rsidRDefault="00143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D5" w:rsidRDefault="00143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FE746C"/>
    <w:lvl w:ilvl="0">
      <w:start w:val="1"/>
      <w:numFmt w:val="decimal"/>
      <w:lvlText w:val="%1."/>
      <w:lvlJc w:val="left"/>
      <w:pPr>
        <w:tabs>
          <w:tab w:val="num" w:pos="1800"/>
        </w:tabs>
        <w:ind w:left="1800" w:hanging="360"/>
      </w:pPr>
    </w:lvl>
  </w:abstractNum>
  <w:abstractNum w:abstractNumId="1">
    <w:nsid w:val="FFFFFF7D"/>
    <w:multiLevelType w:val="singleLevel"/>
    <w:tmpl w:val="92B23BDA"/>
    <w:lvl w:ilvl="0">
      <w:start w:val="1"/>
      <w:numFmt w:val="decimal"/>
      <w:lvlText w:val="%1."/>
      <w:lvlJc w:val="left"/>
      <w:pPr>
        <w:tabs>
          <w:tab w:val="num" w:pos="1440"/>
        </w:tabs>
        <w:ind w:left="1440" w:hanging="360"/>
      </w:pPr>
    </w:lvl>
  </w:abstractNum>
  <w:abstractNum w:abstractNumId="2">
    <w:nsid w:val="FFFFFF7E"/>
    <w:multiLevelType w:val="singleLevel"/>
    <w:tmpl w:val="F3BC21C4"/>
    <w:lvl w:ilvl="0">
      <w:start w:val="1"/>
      <w:numFmt w:val="decimal"/>
      <w:lvlText w:val="%1."/>
      <w:lvlJc w:val="left"/>
      <w:pPr>
        <w:tabs>
          <w:tab w:val="num" w:pos="1080"/>
        </w:tabs>
        <w:ind w:left="1080" w:hanging="360"/>
      </w:pPr>
    </w:lvl>
  </w:abstractNum>
  <w:abstractNum w:abstractNumId="3">
    <w:nsid w:val="FFFFFF7F"/>
    <w:multiLevelType w:val="singleLevel"/>
    <w:tmpl w:val="3F7CC162"/>
    <w:lvl w:ilvl="0">
      <w:start w:val="1"/>
      <w:numFmt w:val="decimal"/>
      <w:lvlText w:val="%1."/>
      <w:lvlJc w:val="left"/>
      <w:pPr>
        <w:tabs>
          <w:tab w:val="num" w:pos="720"/>
        </w:tabs>
        <w:ind w:left="720" w:hanging="360"/>
      </w:pPr>
    </w:lvl>
  </w:abstractNum>
  <w:abstractNum w:abstractNumId="4">
    <w:nsid w:val="FFFFFF80"/>
    <w:multiLevelType w:val="singleLevel"/>
    <w:tmpl w:val="D8B8B3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AEF4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2E1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C239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F85854"/>
    <w:lvl w:ilvl="0">
      <w:start w:val="1"/>
      <w:numFmt w:val="decimal"/>
      <w:lvlText w:val="%1."/>
      <w:lvlJc w:val="left"/>
      <w:pPr>
        <w:tabs>
          <w:tab w:val="num" w:pos="360"/>
        </w:tabs>
        <w:ind w:left="360" w:hanging="360"/>
      </w:pPr>
    </w:lvl>
  </w:abstractNum>
  <w:abstractNum w:abstractNumId="9">
    <w:nsid w:val="FFFFFF89"/>
    <w:multiLevelType w:val="singleLevel"/>
    <w:tmpl w:val="3AC04832"/>
    <w:lvl w:ilvl="0">
      <w:start w:val="1"/>
      <w:numFmt w:val="bullet"/>
      <w:lvlText w:val=""/>
      <w:lvlJc w:val="left"/>
      <w:pPr>
        <w:tabs>
          <w:tab w:val="num" w:pos="360"/>
        </w:tabs>
        <w:ind w:left="360" w:hanging="360"/>
      </w:pPr>
      <w:rPr>
        <w:rFonts w:ascii="Symbol" w:hAnsi="Symbol" w:hint="default"/>
      </w:rPr>
    </w:lvl>
  </w:abstractNum>
  <w:abstractNum w:abstractNumId="10">
    <w:nsid w:val="02273687"/>
    <w:multiLevelType w:val="hybridMultilevel"/>
    <w:tmpl w:val="3398C6BE"/>
    <w:lvl w:ilvl="0" w:tplc="1FC4F5F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497439"/>
    <w:multiLevelType w:val="hybridMultilevel"/>
    <w:tmpl w:val="33000288"/>
    <w:lvl w:ilvl="0" w:tplc="08946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EB3E87"/>
    <w:multiLevelType w:val="hybridMultilevel"/>
    <w:tmpl w:val="F9EC6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FCA3788"/>
    <w:multiLevelType w:val="hybridMultilevel"/>
    <w:tmpl w:val="C0AE6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5F5C7C"/>
    <w:multiLevelType w:val="hybridMultilevel"/>
    <w:tmpl w:val="D6AC04CA"/>
    <w:lvl w:ilvl="0" w:tplc="E698F2D8">
      <w:start w:val="1"/>
      <w:numFmt w:val="upperRoman"/>
      <w:lvlText w:val="%1."/>
      <w:lvlJc w:val="left"/>
      <w:pPr>
        <w:ind w:left="16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94650B"/>
    <w:multiLevelType w:val="hybridMultilevel"/>
    <w:tmpl w:val="9A0E9B30"/>
    <w:lvl w:ilvl="0" w:tplc="EAFED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037E67"/>
    <w:multiLevelType w:val="hybridMultilevel"/>
    <w:tmpl w:val="3EF0ECC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51CC9"/>
    <w:multiLevelType w:val="hybridMultilevel"/>
    <w:tmpl w:val="8D42A376"/>
    <w:lvl w:ilvl="0" w:tplc="DFC4F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12"/>
  </w:num>
  <w:num w:numId="4">
    <w:abstractNumId w:val="11"/>
  </w:num>
  <w:num w:numId="5">
    <w:abstractNumId w:val="14"/>
  </w:num>
  <w:num w:numId="6">
    <w:abstractNumId w:val="13"/>
  </w:num>
  <w:num w:numId="7">
    <w:abstractNumId w:val="16"/>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13"/>
    <w:rsid w:val="00001A9A"/>
    <w:rsid w:val="000062CB"/>
    <w:rsid w:val="000066F4"/>
    <w:rsid w:val="00015480"/>
    <w:rsid w:val="000202EA"/>
    <w:rsid w:val="00024570"/>
    <w:rsid w:val="000307F8"/>
    <w:rsid w:val="00030B0C"/>
    <w:rsid w:val="000327FB"/>
    <w:rsid w:val="00032B8F"/>
    <w:rsid w:val="000403CA"/>
    <w:rsid w:val="00041478"/>
    <w:rsid w:val="000448C4"/>
    <w:rsid w:val="000467E2"/>
    <w:rsid w:val="00051898"/>
    <w:rsid w:val="000534D2"/>
    <w:rsid w:val="00060F44"/>
    <w:rsid w:val="000642AE"/>
    <w:rsid w:val="00066B7E"/>
    <w:rsid w:val="00070258"/>
    <w:rsid w:val="0008053C"/>
    <w:rsid w:val="0008222B"/>
    <w:rsid w:val="0008382A"/>
    <w:rsid w:val="00086425"/>
    <w:rsid w:val="000908D5"/>
    <w:rsid w:val="00092B3B"/>
    <w:rsid w:val="00092C2B"/>
    <w:rsid w:val="00094193"/>
    <w:rsid w:val="00097825"/>
    <w:rsid w:val="00097E31"/>
    <w:rsid w:val="000A0B22"/>
    <w:rsid w:val="000A4577"/>
    <w:rsid w:val="000B1D84"/>
    <w:rsid w:val="000B1DF0"/>
    <w:rsid w:val="000B2276"/>
    <w:rsid w:val="000B5122"/>
    <w:rsid w:val="000B525B"/>
    <w:rsid w:val="000B69D8"/>
    <w:rsid w:val="000B738E"/>
    <w:rsid w:val="000C0F30"/>
    <w:rsid w:val="000C11E3"/>
    <w:rsid w:val="000C2077"/>
    <w:rsid w:val="000C57DB"/>
    <w:rsid w:val="000D14C3"/>
    <w:rsid w:val="000D5E86"/>
    <w:rsid w:val="000E1F91"/>
    <w:rsid w:val="000E4018"/>
    <w:rsid w:val="000E4B65"/>
    <w:rsid w:val="000E5F21"/>
    <w:rsid w:val="000F32C5"/>
    <w:rsid w:val="000F6958"/>
    <w:rsid w:val="000F6A88"/>
    <w:rsid w:val="00100245"/>
    <w:rsid w:val="00100E9E"/>
    <w:rsid w:val="0011200C"/>
    <w:rsid w:val="001173EF"/>
    <w:rsid w:val="00121DCC"/>
    <w:rsid w:val="00122AFE"/>
    <w:rsid w:val="00124F25"/>
    <w:rsid w:val="00127BE1"/>
    <w:rsid w:val="001379F9"/>
    <w:rsid w:val="00140B1D"/>
    <w:rsid w:val="00140C08"/>
    <w:rsid w:val="00143AD5"/>
    <w:rsid w:val="00150092"/>
    <w:rsid w:val="00150590"/>
    <w:rsid w:val="00155F2E"/>
    <w:rsid w:val="00157467"/>
    <w:rsid w:val="001609B2"/>
    <w:rsid w:val="0016571D"/>
    <w:rsid w:val="0017297D"/>
    <w:rsid w:val="00177C76"/>
    <w:rsid w:val="001812EF"/>
    <w:rsid w:val="00181C6C"/>
    <w:rsid w:val="0019009A"/>
    <w:rsid w:val="00194306"/>
    <w:rsid w:val="001A08DC"/>
    <w:rsid w:val="001A3DA3"/>
    <w:rsid w:val="001A3EC5"/>
    <w:rsid w:val="001B323C"/>
    <w:rsid w:val="001B4D3B"/>
    <w:rsid w:val="001B760D"/>
    <w:rsid w:val="001C23A4"/>
    <w:rsid w:val="001C542E"/>
    <w:rsid w:val="001C5B56"/>
    <w:rsid w:val="001D0117"/>
    <w:rsid w:val="001D0DF9"/>
    <w:rsid w:val="001D1975"/>
    <w:rsid w:val="001D2B6F"/>
    <w:rsid w:val="001D4338"/>
    <w:rsid w:val="001E1B69"/>
    <w:rsid w:val="001E2736"/>
    <w:rsid w:val="001E3461"/>
    <w:rsid w:val="001F00F3"/>
    <w:rsid w:val="001F2C20"/>
    <w:rsid w:val="001F4F46"/>
    <w:rsid w:val="001F6DF0"/>
    <w:rsid w:val="001F78D3"/>
    <w:rsid w:val="002019F9"/>
    <w:rsid w:val="00207C30"/>
    <w:rsid w:val="00210D0D"/>
    <w:rsid w:val="0021217E"/>
    <w:rsid w:val="002128C9"/>
    <w:rsid w:val="002153E4"/>
    <w:rsid w:val="00215CA7"/>
    <w:rsid w:val="00220950"/>
    <w:rsid w:val="00221F9E"/>
    <w:rsid w:val="0022781D"/>
    <w:rsid w:val="00232502"/>
    <w:rsid w:val="002360ED"/>
    <w:rsid w:val="00236F18"/>
    <w:rsid w:val="00243F0C"/>
    <w:rsid w:val="00245412"/>
    <w:rsid w:val="00254454"/>
    <w:rsid w:val="00255592"/>
    <w:rsid w:val="002565DA"/>
    <w:rsid w:val="00261C3A"/>
    <w:rsid w:val="0026263D"/>
    <w:rsid w:val="00263B60"/>
    <w:rsid w:val="00271484"/>
    <w:rsid w:val="00274A80"/>
    <w:rsid w:val="002823A5"/>
    <w:rsid w:val="002823F9"/>
    <w:rsid w:val="00286C46"/>
    <w:rsid w:val="00291864"/>
    <w:rsid w:val="00291A67"/>
    <w:rsid w:val="002946F7"/>
    <w:rsid w:val="002A5DB9"/>
    <w:rsid w:val="002A7025"/>
    <w:rsid w:val="002B1124"/>
    <w:rsid w:val="002B693D"/>
    <w:rsid w:val="002C141A"/>
    <w:rsid w:val="002D0F9D"/>
    <w:rsid w:val="002E0D2C"/>
    <w:rsid w:val="002E18E1"/>
    <w:rsid w:val="002E561E"/>
    <w:rsid w:val="002F3C22"/>
    <w:rsid w:val="00301F7E"/>
    <w:rsid w:val="00304810"/>
    <w:rsid w:val="00305F70"/>
    <w:rsid w:val="003116A5"/>
    <w:rsid w:val="00316446"/>
    <w:rsid w:val="003172F4"/>
    <w:rsid w:val="0032664D"/>
    <w:rsid w:val="00327581"/>
    <w:rsid w:val="00327B20"/>
    <w:rsid w:val="00327BBF"/>
    <w:rsid w:val="003357D4"/>
    <w:rsid w:val="00335952"/>
    <w:rsid w:val="00336875"/>
    <w:rsid w:val="00336D10"/>
    <w:rsid w:val="00337E7A"/>
    <w:rsid w:val="0034304C"/>
    <w:rsid w:val="003612F5"/>
    <w:rsid w:val="00361E86"/>
    <w:rsid w:val="00362450"/>
    <w:rsid w:val="003668CE"/>
    <w:rsid w:val="00367C76"/>
    <w:rsid w:val="0037328B"/>
    <w:rsid w:val="00380423"/>
    <w:rsid w:val="00381801"/>
    <w:rsid w:val="003826A5"/>
    <w:rsid w:val="00383C3D"/>
    <w:rsid w:val="003A0F6A"/>
    <w:rsid w:val="003A223F"/>
    <w:rsid w:val="003A3570"/>
    <w:rsid w:val="003A38FC"/>
    <w:rsid w:val="003A7A9F"/>
    <w:rsid w:val="003B046F"/>
    <w:rsid w:val="003B08AC"/>
    <w:rsid w:val="003D0B10"/>
    <w:rsid w:val="003D0C74"/>
    <w:rsid w:val="003D148E"/>
    <w:rsid w:val="003D4EF9"/>
    <w:rsid w:val="003E34AD"/>
    <w:rsid w:val="003E5478"/>
    <w:rsid w:val="003E6007"/>
    <w:rsid w:val="003E6C1E"/>
    <w:rsid w:val="003F3423"/>
    <w:rsid w:val="003F4E72"/>
    <w:rsid w:val="00400B88"/>
    <w:rsid w:val="00412EB0"/>
    <w:rsid w:val="00413218"/>
    <w:rsid w:val="004139FB"/>
    <w:rsid w:val="00413E25"/>
    <w:rsid w:val="00416A95"/>
    <w:rsid w:val="004173AE"/>
    <w:rsid w:val="00417891"/>
    <w:rsid w:val="00420694"/>
    <w:rsid w:val="004218C8"/>
    <w:rsid w:val="0042690F"/>
    <w:rsid w:val="00430581"/>
    <w:rsid w:val="004340A0"/>
    <w:rsid w:val="004400F0"/>
    <w:rsid w:val="00440775"/>
    <w:rsid w:val="00444421"/>
    <w:rsid w:val="004448F0"/>
    <w:rsid w:val="00447A03"/>
    <w:rsid w:val="00451A19"/>
    <w:rsid w:val="004555C1"/>
    <w:rsid w:val="00456AC3"/>
    <w:rsid w:val="00465D4E"/>
    <w:rsid w:val="00467E6F"/>
    <w:rsid w:val="004730B7"/>
    <w:rsid w:val="00475527"/>
    <w:rsid w:val="00484490"/>
    <w:rsid w:val="00484C24"/>
    <w:rsid w:val="00490300"/>
    <w:rsid w:val="00493867"/>
    <w:rsid w:val="0049486D"/>
    <w:rsid w:val="0049679C"/>
    <w:rsid w:val="004A7F6C"/>
    <w:rsid w:val="004B3AF9"/>
    <w:rsid w:val="004B514A"/>
    <w:rsid w:val="004B75EB"/>
    <w:rsid w:val="004B7947"/>
    <w:rsid w:val="004C4E05"/>
    <w:rsid w:val="004C65EC"/>
    <w:rsid w:val="004C720C"/>
    <w:rsid w:val="004D566B"/>
    <w:rsid w:val="004D632A"/>
    <w:rsid w:val="004E00DE"/>
    <w:rsid w:val="004E0221"/>
    <w:rsid w:val="004E1F83"/>
    <w:rsid w:val="004E3CE5"/>
    <w:rsid w:val="004E4A9B"/>
    <w:rsid w:val="004E7DD6"/>
    <w:rsid w:val="004F09BA"/>
    <w:rsid w:val="004F262A"/>
    <w:rsid w:val="004F445A"/>
    <w:rsid w:val="0050122C"/>
    <w:rsid w:val="0050196C"/>
    <w:rsid w:val="0050433A"/>
    <w:rsid w:val="00512A90"/>
    <w:rsid w:val="00513522"/>
    <w:rsid w:val="0051487C"/>
    <w:rsid w:val="00525525"/>
    <w:rsid w:val="005413AD"/>
    <w:rsid w:val="00541AD3"/>
    <w:rsid w:val="005454C4"/>
    <w:rsid w:val="005474D1"/>
    <w:rsid w:val="00563E94"/>
    <w:rsid w:val="00564F05"/>
    <w:rsid w:val="00566B85"/>
    <w:rsid w:val="0058341A"/>
    <w:rsid w:val="00583BB1"/>
    <w:rsid w:val="00584265"/>
    <w:rsid w:val="00593B57"/>
    <w:rsid w:val="00593D73"/>
    <w:rsid w:val="00596BAC"/>
    <w:rsid w:val="005973D5"/>
    <w:rsid w:val="005A08A0"/>
    <w:rsid w:val="005A2E5C"/>
    <w:rsid w:val="005A348A"/>
    <w:rsid w:val="005B0125"/>
    <w:rsid w:val="005B2893"/>
    <w:rsid w:val="005C1FEA"/>
    <w:rsid w:val="005C20D0"/>
    <w:rsid w:val="005C2D0A"/>
    <w:rsid w:val="005C5CBE"/>
    <w:rsid w:val="005C6BBD"/>
    <w:rsid w:val="005E18F3"/>
    <w:rsid w:val="005E25BB"/>
    <w:rsid w:val="005E2F58"/>
    <w:rsid w:val="005E3578"/>
    <w:rsid w:val="005E4691"/>
    <w:rsid w:val="005E4B78"/>
    <w:rsid w:val="005E5338"/>
    <w:rsid w:val="005E5E70"/>
    <w:rsid w:val="005F3895"/>
    <w:rsid w:val="005F48A5"/>
    <w:rsid w:val="005F4AF9"/>
    <w:rsid w:val="006020F0"/>
    <w:rsid w:val="00611594"/>
    <w:rsid w:val="006129F6"/>
    <w:rsid w:val="00612FC6"/>
    <w:rsid w:val="006206C3"/>
    <w:rsid w:val="006214FF"/>
    <w:rsid w:val="00625A42"/>
    <w:rsid w:val="00625FEA"/>
    <w:rsid w:val="00634E71"/>
    <w:rsid w:val="00635B2B"/>
    <w:rsid w:val="006419F6"/>
    <w:rsid w:val="00644794"/>
    <w:rsid w:val="00644F0D"/>
    <w:rsid w:val="00645D27"/>
    <w:rsid w:val="00647E6B"/>
    <w:rsid w:val="006532D4"/>
    <w:rsid w:val="00654E9E"/>
    <w:rsid w:val="00663A5F"/>
    <w:rsid w:val="00664964"/>
    <w:rsid w:val="00665606"/>
    <w:rsid w:val="00666C0C"/>
    <w:rsid w:val="00667AD4"/>
    <w:rsid w:val="0067305E"/>
    <w:rsid w:val="00677408"/>
    <w:rsid w:val="00681D40"/>
    <w:rsid w:val="00682A45"/>
    <w:rsid w:val="00683BF8"/>
    <w:rsid w:val="0068623F"/>
    <w:rsid w:val="00697055"/>
    <w:rsid w:val="00697D8E"/>
    <w:rsid w:val="006A7604"/>
    <w:rsid w:val="006B09FE"/>
    <w:rsid w:val="006B3C20"/>
    <w:rsid w:val="006B510B"/>
    <w:rsid w:val="006C22CC"/>
    <w:rsid w:val="006C557F"/>
    <w:rsid w:val="006D04A2"/>
    <w:rsid w:val="006D285A"/>
    <w:rsid w:val="006D5460"/>
    <w:rsid w:val="006E1CD5"/>
    <w:rsid w:val="006E63B0"/>
    <w:rsid w:val="006F0734"/>
    <w:rsid w:val="006F0D8B"/>
    <w:rsid w:val="006F0E69"/>
    <w:rsid w:val="006F18FE"/>
    <w:rsid w:val="006F4957"/>
    <w:rsid w:val="006F4F56"/>
    <w:rsid w:val="006F5D9C"/>
    <w:rsid w:val="006F5E36"/>
    <w:rsid w:val="0070022B"/>
    <w:rsid w:val="00703EA9"/>
    <w:rsid w:val="007043C3"/>
    <w:rsid w:val="0070591D"/>
    <w:rsid w:val="007060F5"/>
    <w:rsid w:val="00706CB9"/>
    <w:rsid w:val="00723A8A"/>
    <w:rsid w:val="0072542D"/>
    <w:rsid w:val="00730805"/>
    <w:rsid w:val="00732E2F"/>
    <w:rsid w:val="00734D4C"/>
    <w:rsid w:val="007444EC"/>
    <w:rsid w:val="00745001"/>
    <w:rsid w:val="0074605A"/>
    <w:rsid w:val="00754A47"/>
    <w:rsid w:val="0076256A"/>
    <w:rsid w:val="007668D5"/>
    <w:rsid w:val="007706B7"/>
    <w:rsid w:val="00776FEC"/>
    <w:rsid w:val="00786ACA"/>
    <w:rsid w:val="00790FF9"/>
    <w:rsid w:val="007A1624"/>
    <w:rsid w:val="007A1FF4"/>
    <w:rsid w:val="007A4363"/>
    <w:rsid w:val="007B1B9B"/>
    <w:rsid w:val="007B53D1"/>
    <w:rsid w:val="007B5838"/>
    <w:rsid w:val="007C21C8"/>
    <w:rsid w:val="007C4BEB"/>
    <w:rsid w:val="007D18D3"/>
    <w:rsid w:val="007D28F8"/>
    <w:rsid w:val="007E001D"/>
    <w:rsid w:val="007E07C1"/>
    <w:rsid w:val="007E5CB8"/>
    <w:rsid w:val="007E6CD5"/>
    <w:rsid w:val="007F24D6"/>
    <w:rsid w:val="00802653"/>
    <w:rsid w:val="0080398B"/>
    <w:rsid w:val="00804B2D"/>
    <w:rsid w:val="00812C74"/>
    <w:rsid w:val="008143EC"/>
    <w:rsid w:val="00820C99"/>
    <w:rsid w:val="008237C2"/>
    <w:rsid w:val="008316A2"/>
    <w:rsid w:val="00832C8A"/>
    <w:rsid w:val="00836DAE"/>
    <w:rsid w:val="00840E93"/>
    <w:rsid w:val="00861437"/>
    <w:rsid w:val="00866AFF"/>
    <w:rsid w:val="0087704B"/>
    <w:rsid w:val="00881816"/>
    <w:rsid w:val="008834D4"/>
    <w:rsid w:val="0088376D"/>
    <w:rsid w:val="00884E7C"/>
    <w:rsid w:val="00884ECF"/>
    <w:rsid w:val="00885854"/>
    <w:rsid w:val="00895B3D"/>
    <w:rsid w:val="008A0B82"/>
    <w:rsid w:val="008A15D8"/>
    <w:rsid w:val="008A5335"/>
    <w:rsid w:val="008A6361"/>
    <w:rsid w:val="008B0E24"/>
    <w:rsid w:val="008B19EC"/>
    <w:rsid w:val="008B3B49"/>
    <w:rsid w:val="008D4264"/>
    <w:rsid w:val="008D5227"/>
    <w:rsid w:val="008D5BEC"/>
    <w:rsid w:val="008D66F3"/>
    <w:rsid w:val="008D69AF"/>
    <w:rsid w:val="008D6ACD"/>
    <w:rsid w:val="008E37E7"/>
    <w:rsid w:val="008E48DA"/>
    <w:rsid w:val="008E4DEF"/>
    <w:rsid w:val="008E5003"/>
    <w:rsid w:val="008E5BCB"/>
    <w:rsid w:val="008E6629"/>
    <w:rsid w:val="008E7103"/>
    <w:rsid w:val="008F609F"/>
    <w:rsid w:val="008F6351"/>
    <w:rsid w:val="008F6391"/>
    <w:rsid w:val="008F652D"/>
    <w:rsid w:val="008F6C49"/>
    <w:rsid w:val="00900D3F"/>
    <w:rsid w:val="009038C9"/>
    <w:rsid w:val="0090423D"/>
    <w:rsid w:val="0090460A"/>
    <w:rsid w:val="0090701F"/>
    <w:rsid w:val="00915244"/>
    <w:rsid w:val="009170A6"/>
    <w:rsid w:val="00917B13"/>
    <w:rsid w:val="00927863"/>
    <w:rsid w:val="00931FA0"/>
    <w:rsid w:val="00937EEB"/>
    <w:rsid w:val="009403BF"/>
    <w:rsid w:val="00942B2F"/>
    <w:rsid w:val="009433F5"/>
    <w:rsid w:val="00951679"/>
    <w:rsid w:val="0095259F"/>
    <w:rsid w:val="009549A4"/>
    <w:rsid w:val="00954E71"/>
    <w:rsid w:val="009603FC"/>
    <w:rsid w:val="00974B03"/>
    <w:rsid w:val="00976EE6"/>
    <w:rsid w:val="0099345F"/>
    <w:rsid w:val="00994362"/>
    <w:rsid w:val="00996186"/>
    <w:rsid w:val="009977E4"/>
    <w:rsid w:val="00997DF1"/>
    <w:rsid w:val="009A606F"/>
    <w:rsid w:val="009B4209"/>
    <w:rsid w:val="009B4FA4"/>
    <w:rsid w:val="009B51B1"/>
    <w:rsid w:val="009B7DB4"/>
    <w:rsid w:val="009C1A60"/>
    <w:rsid w:val="009C36D1"/>
    <w:rsid w:val="009C36F6"/>
    <w:rsid w:val="009D0C0F"/>
    <w:rsid w:val="009D2070"/>
    <w:rsid w:val="009E13C0"/>
    <w:rsid w:val="009E2680"/>
    <w:rsid w:val="009E58D4"/>
    <w:rsid w:val="00A02125"/>
    <w:rsid w:val="00A075A6"/>
    <w:rsid w:val="00A10DA1"/>
    <w:rsid w:val="00A22E1F"/>
    <w:rsid w:val="00A23141"/>
    <w:rsid w:val="00A23FE1"/>
    <w:rsid w:val="00A25023"/>
    <w:rsid w:val="00A26542"/>
    <w:rsid w:val="00A32B06"/>
    <w:rsid w:val="00A33A39"/>
    <w:rsid w:val="00A4270B"/>
    <w:rsid w:val="00A42ECE"/>
    <w:rsid w:val="00A45F44"/>
    <w:rsid w:val="00A47A5B"/>
    <w:rsid w:val="00A51FA3"/>
    <w:rsid w:val="00A56251"/>
    <w:rsid w:val="00A83F9F"/>
    <w:rsid w:val="00AA2285"/>
    <w:rsid w:val="00AA3B6D"/>
    <w:rsid w:val="00AA67A5"/>
    <w:rsid w:val="00AB2069"/>
    <w:rsid w:val="00AB4452"/>
    <w:rsid w:val="00AB49C7"/>
    <w:rsid w:val="00AB4E80"/>
    <w:rsid w:val="00AC204F"/>
    <w:rsid w:val="00AC3622"/>
    <w:rsid w:val="00AD0E41"/>
    <w:rsid w:val="00AD114F"/>
    <w:rsid w:val="00AD1CD9"/>
    <w:rsid w:val="00AD4B5E"/>
    <w:rsid w:val="00AD77F5"/>
    <w:rsid w:val="00AE21F2"/>
    <w:rsid w:val="00AE2DA9"/>
    <w:rsid w:val="00AF260B"/>
    <w:rsid w:val="00AF4E2E"/>
    <w:rsid w:val="00AF689F"/>
    <w:rsid w:val="00B06A79"/>
    <w:rsid w:val="00B07E47"/>
    <w:rsid w:val="00B10808"/>
    <w:rsid w:val="00B11731"/>
    <w:rsid w:val="00B2464F"/>
    <w:rsid w:val="00B26838"/>
    <w:rsid w:val="00B32F32"/>
    <w:rsid w:val="00B33B62"/>
    <w:rsid w:val="00B35CA3"/>
    <w:rsid w:val="00B410D3"/>
    <w:rsid w:val="00B44165"/>
    <w:rsid w:val="00B455E4"/>
    <w:rsid w:val="00B46296"/>
    <w:rsid w:val="00B474B4"/>
    <w:rsid w:val="00B47E3E"/>
    <w:rsid w:val="00B50387"/>
    <w:rsid w:val="00B51413"/>
    <w:rsid w:val="00B51881"/>
    <w:rsid w:val="00B52613"/>
    <w:rsid w:val="00B53DAD"/>
    <w:rsid w:val="00B54F54"/>
    <w:rsid w:val="00B5612B"/>
    <w:rsid w:val="00B63809"/>
    <w:rsid w:val="00B665FB"/>
    <w:rsid w:val="00B70A7D"/>
    <w:rsid w:val="00B72F8F"/>
    <w:rsid w:val="00B80200"/>
    <w:rsid w:val="00B84EBA"/>
    <w:rsid w:val="00B857D2"/>
    <w:rsid w:val="00B865FE"/>
    <w:rsid w:val="00B86E87"/>
    <w:rsid w:val="00B871C0"/>
    <w:rsid w:val="00B900F4"/>
    <w:rsid w:val="00B979F9"/>
    <w:rsid w:val="00BA0287"/>
    <w:rsid w:val="00BA3E0D"/>
    <w:rsid w:val="00BA531A"/>
    <w:rsid w:val="00BB0355"/>
    <w:rsid w:val="00BB73F0"/>
    <w:rsid w:val="00BC093C"/>
    <w:rsid w:val="00BC20B1"/>
    <w:rsid w:val="00BC5013"/>
    <w:rsid w:val="00BC5200"/>
    <w:rsid w:val="00BD77B9"/>
    <w:rsid w:val="00BD7C14"/>
    <w:rsid w:val="00BE02AA"/>
    <w:rsid w:val="00BE5B09"/>
    <w:rsid w:val="00BE6776"/>
    <w:rsid w:val="00BF0C8C"/>
    <w:rsid w:val="00BF1113"/>
    <w:rsid w:val="00BF7892"/>
    <w:rsid w:val="00C01781"/>
    <w:rsid w:val="00C0312C"/>
    <w:rsid w:val="00C0491D"/>
    <w:rsid w:val="00C1112A"/>
    <w:rsid w:val="00C11FA1"/>
    <w:rsid w:val="00C23204"/>
    <w:rsid w:val="00C2396A"/>
    <w:rsid w:val="00C2611B"/>
    <w:rsid w:val="00C306E8"/>
    <w:rsid w:val="00C3451C"/>
    <w:rsid w:val="00C40A4C"/>
    <w:rsid w:val="00C42835"/>
    <w:rsid w:val="00C428E9"/>
    <w:rsid w:val="00C43B80"/>
    <w:rsid w:val="00C4502C"/>
    <w:rsid w:val="00C46AB4"/>
    <w:rsid w:val="00C511EA"/>
    <w:rsid w:val="00C5300F"/>
    <w:rsid w:val="00C5462B"/>
    <w:rsid w:val="00C55DFF"/>
    <w:rsid w:val="00C56B8A"/>
    <w:rsid w:val="00C57E16"/>
    <w:rsid w:val="00C66336"/>
    <w:rsid w:val="00C71EEB"/>
    <w:rsid w:val="00C72AE2"/>
    <w:rsid w:val="00C8311A"/>
    <w:rsid w:val="00C865C0"/>
    <w:rsid w:val="00C87799"/>
    <w:rsid w:val="00C91082"/>
    <w:rsid w:val="00C91E96"/>
    <w:rsid w:val="00C946EE"/>
    <w:rsid w:val="00CA04A2"/>
    <w:rsid w:val="00CA3B3C"/>
    <w:rsid w:val="00CA612C"/>
    <w:rsid w:val="00CB01BA"/>
    <w:rsid w:val="00CB0E9B"/>
    <w:rsid w:val="00CB4645"/>
    <w:rsid w:val="00CC2F59"/>
    <w:rsid w:val="00CC4D85"/>
    <w:rsid w:val="00CC63AE"/>
    <w:rsid w:val="00CC705C"/>
    <w:rsid w:val="00CD55BC"/>
    <w:rsid w:val="00CD5A40"/>
    <w:rsid w:val="00CD7764"/>
    <w:rsid w:val="00CE3610"/>
    <w:rsid w:val="00CE50B5"/>
    <w:rsid w:val="00CE5A7A"/>
    <w:rsid w:val="00CE7DE7"/>
    <w:rsid w:val="00CF0026"/>
    <w:rsid w:val="00CF010D"/>
    <w:rsid w:val="00CF40D6"/>
    <w:rsid w:val="00CF6643"/>
    <w:rsid w:val="00D00563"/>
    <w:rsid w:val="00D0063C"/>
    <w:rsid w:val="00D010EB"/>
    <w:rsid w:val="00D01D77"/>
    <w:rsid w:val="00D02F1F"/>
    <w:rsid w:val="00D039E8"/>
    <w:rsid w:val="00D05D15"/>
    <w:rsid w:val="00D15524"/>
    <w:rsid w:val="00D229C7"/>
    <w:rsid w:val="00D2339D"/>
    <w:rsid w:val="00D32747"/>
    <w:rsid w:val="00D34B55"/>
    <w:rsid w:val="00D35BC5"/>
    <w:rsid w:val="00D35D0D"/>
    <w:rsid w:val="00D35D93"/>
    <w:rsid w:val="00D37BA8"/>
    <w:rsid w:val="00D52800"/>
    <w:rsid w:val="00D540F5"/>
    <w:rsid w:val="00D60431"/>
    <w:rsid w:val="00D8701B"/>
    <w:rsid w:val="00D92240"/>
    <w:rsid w:val="00D93609"/>
    <w:rsid w:val="00D94B1B"/>
    <w:rsid w:val="00D9632F"/>
    <w:rsid w:val="00D97A01"/>
    <w:rsid w:val="00DA5189"/>
    <w:rsid w:val="00DB35B9"/>
    <w:rsid w:val="00DB4A78"/>
    <w:rsid w:val="00DB67CD"/>
    <w:rsid w:val="00DD124D"/>
    <w:rsid w:val="00DE3CBE"/>
    <w:rsid w:val="00DE4D5E"/>
    <w:rsid w:val="00DE4F7E"/>
    <w:rsid w:val="00DE629A"/>
    <w:rsid w:val="00DE7F6D"/>
    <w:rsid w:val="00DF73F5"/>
    <w:rsid w:val="00E033FC"/>
    <w:rsid w:val="00E13C31"/>
    <w:rsid w:val="00E15670"/>
    <w:rsid w:val="00E17DBC"/>
    <w:rsid w:val="00E22CFE"/>
    <w:rsid w:val="00E22D34"/>
    <w:rsid w:val="00E24C7A"/>
    <w:rsid w:val="00E27C31"/>
    <w:rsid w:val="00E27E19"/>
    <w:rsid w:val="00E30265"/>
    <w:rsid w:val="00E32571"/>
    <w:rsid w:val="00E36C0F"/>
    <w:rsid w:val="00E46CEC"/>
    <w:rsid w:val="00E4778A"/>
    <w:rsid w:val="00E505BA"/>
    <w:rsid w:val="00E54048"/>
    <w:rsid w:val="00E57CBF"/>
    <w:rsid w:val="00E64BAC"/>
    <w:rsid w:val="00E716CC"/>
    <w:rsid w:val="00E73472"/>
    <w:rsid w:val="00E73CF0"/>
    <w:rsid w:val="00E76729"/>
    <w:rsid w:val="00E80AB6"/>
    <w:rsid w:val="00E876AF"/>
    <w:rsid w:val="00E90B98"/>
    <w:rsid w:val="00E91C6C"/>
    <w:rsid w:val="00E924B5"/>
    <w:rsid w:val="00EA15DF"/>
    <w:rsid w:val="00EA1D69"/>
    <w:rsid w:val="00EA7AB1"/>
    <w:rsid w:val="00EB143A"/>
    <w:rsid w:val="00EB4F55"/>
    <w:rsid w:val="00EC5ADB"/>
    <w:rsid w:val="00ED1208"/>
    <w:rsid w:val="00ED1823"/>
    <w:rsid w:val="00EE0362"/>
    <w:rsid w:val="00EE4DFE"/>
    <w:rsid w:val="00EF1178"/>
    <w:rsid w:val="00EF2529"/>
    <w:rsid w:val="00EF5167"/>
    <w:rsid w:val="00EF5901"/>
    <w:rsid w:val="00EF7396"/>
    <w:rsid w:val="00F029B0"/>
    <w:rsid w:val="00F0539F"/>
    <w:rsid w:val="00F059BE"/>
    <w:rsid w:val="00F05B82"/>
    <w:rsid w:val="00F16A53"/>
    <w:rsid w:val="00F16D6F"/>
    <w:rsid w:val="00F2273F"/>
    <w:rsid w:val="00F24BE3"/>
    <w:rsid w:val="00F27D84"/>
    <w:rsid w:val="00F328AC"/>
    <w:rsid w:val="00F33E13"/>
    <w:rsid w:val="00F4653E"/>
    <w:rsid w:val="00F47D96"/>
    <w:rsid w:val="00F47E98"/>
    <w:rsid w:val="00F6035C"/>
    <w:rsid w:val="00F60C46"/>
    <w:rsid w:val="00F628C1"/>
    <w:rsid w:val="00F634F7"/>
    <w:rsid w:val="00F670C5"/>
    <w:rsid w:val="00F72921"/>
    <w:rsid w:val="00F72D9D"/>
    <w:rsid w:val="00F73F58"/>
    <w:rsid w:val="00F82D20"/>
    <w:rsid w:val="00F8590B"/>
    <w:rsid w:val="00F863DF"/>
    <w:rsid w:val="00F927B8"/>
    <w:rsid w:val="00FA1901"/>
    <w:rsid w:val="00FA3016"/>
    <w:rsid w:val="00FA7AD0"/>
    <w:rsid w:val="00FB27ED"/>
    <w:rsid w:val="00FB4E39"/>
    <w:rsid w:val="00FC6499"/>
    <w:rsid w:val="00FD1DF5"/>
    <w:rsid w:val="00FD3D2F"/>
    <w:rsid w:val="00FD6883"/>
    <w:rsid w:val="00FD7855"/>
    <w:rsid w:val="00FE29A1"/>
    <w:rsid w:val="00FE4A3C"/>
    <w:rsid w:val="00FF1A7C"/>
    <w:rsid w:val="00FF1BB9"/>
    <w:rsid w:val="00FF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1413"/>
    <w:pPr>
      <w:ind w:left="720"/>
      <w:contextualSpacing/>
    </w:pPr>
  </w:style>
  <w:style w:type="character" w:styleId="Hyperlink">
    <w:name w:val="Hyperlink"/>
    <w:basedOn w:val="DefaultParagraphFont"/>
    <w:uiPriority w:val="99"/>
    <w:unhideWhenUsed/>
    <w:rsid w:val="007668D5"/>
    <w:rPr>
      <w:color w:val="0000FF" w:themeColor="hyperlink"/>
      <w:u w:val="single"/>
    </w:rPr>
  </w:style>
  <w:style w:type="paragraph" w:styleId="BalloonText">
    <w:name w:val="Balloon Text"/>
    <w:basedOn w:val="Normal"/>
    <w:link w:val="BalloonTextChar"/>
    <w:uiPriority w:val="99"/>
    <w:semiHidden/>
    <w:unhideWhenUsed/>
    <w:rsid w:val="003A3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70"/>
    <w:rPr>
      <w:rFonts w:ascii="Tahoma" w:hAnsi="Tahoma" w:cs="Tahoma"/>
      <w:sz w:val="16"/>
      <w:szCs w:val="16"/>
    </w:rPr>
  </w:style>
  <w:style w:type="paragraph" w:styleId="Header">
    <w:name w:val="header"/>
    <w:basedOn w:val="Normal"/>
    <w:link w:val="HeaderChar"/>
    <w:uiPriority w:val="99"/>
    <w:unhideWhenUsed/>
    <w:rsid w:val="00C5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B8A"/>
  </w:style>
  <w:style w:type="paragraph" w:styleId="Footer">
    <w:name w:val="footer"/>
    <w:basedOn w:val="Normal"/>
    <w:link w:val="FooterChar"/>
    <w:uiPriority w:val="99"/>
    <w:unhideWhenUsed/>
    <w:rsid w:val="00C5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8A"/>
  </w:style>
  <w:style w:type="character" w:styleId="CommentReference">
    <w:name w:val="annotation reference"/>
    <w:basedOn w:val="DefaultParagraphFont"/>
    <w:uiPriority w:val="99"/>
    <w:semiHidden/>
    <w:unhideWhenUsed/>
    <w:rsid w:val="00C865C0"/>
    <w:rPr>
      <w:sz w:val="16"/>
      <w:szCs w:val="16"/>
    </w:rPr>
  </w:style>
  <w:style w:type="paragraph" w:styleId="CommentText">
    <w:name w:val="annotation text"/>
    <w:basedOn w:val="Normal"/>
    <w:link w:val="CommentTextChar"/>
    <w:uiPriority w:val="99"/>
    <w:semiHidden/>
    <w:unhideWhenUsed/>
    <w:rsid w:val="00C865C0"/>
    <w:pPr>
      <w:spacing w:line="240" w:lineRule="auto"/>
    </w:pPr>
    <w:rPr>
      <w:sz w:val="20"/>
      <w:szCs w:val="20"/>
    </w:rPr>
  </w:style>
  <w:style w:type="character" w:customStyle="1" w:styleId="CommentTextChar">
    <w:name w:val="Comment Text Char"/>
    <w:basedOn w:val="DefaultParagraphFont"/>
    <w:link w:val="CommentText"/>
    <w:uiPriority w:val="99"/>
    <w:semiHidden/>
    <w:rsid w:val="00C865C0"/>
    <w:rPr>
      <w:sz w:val="20"/>
      <w:szCs w:val="20"/>
    </w:rPr>
  </w:style>
  <w:style w:type="paragraph" w:styleId="CommentSubject">
    <w:name w:val="annotation subject"/>
    <w:basedOn w:val="CommentText"/>
    <w:next w:val="CommentText"/>
    <w:link w:val="CommentSubjectChar"/>
    <w:uiPriority w:val="99"/>
    <w:semiHidden/>
    <w:unhideWhenUsed/>
    <w:rsid w:val="00C865C0"/>
    <w:rPr>
      <w:b/>
      <w:bCs/>
    </w:rPr>
  </w:style>
  <w:style w:type="character" w:customStyle="1" w:styleId="CommentSubjectChar">
    <w:name w:val="Comment Subject Char"/>
    <w:basedOn w:val="CommentTextChar"/>
    <w:link w:val="CommentSubject"/>
    <w:uiPriority w:val="99"/>
    <w:semiHidden/>
    <w:rsid w:val="00C865C0"/>
    <w:rPr>
      <w:b/>
      <w:bCs/>
      <w:sz w:val="20"/>
      <w:szCs w:val="20"/>
    </w:rPr>
  </w:style>
  <w:style w:type="paragraph" w:styleId="EndnoteText">
    <w:name w:val="endnote text"/>
    <w:basedOn w:val="Normal"/>
    <w:link w:val="EndnoteTextChar"/>
    <w:uiPriority w:val="99"/>
    <w:semiHidden/>
    <w:unhideWhenUsed/>
    <w:rsid w:val="00EB1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43A"/>
    <w:rPr>
      <w:sz w:val="20"/>
      <w:szCs w:val="20"/>
    </w:rPr>
  </w:style>
  <w:style w:type="character" w:styleId="EndnoteReference">
    <w:name w:val="endnote reference"/>
    <w:basedOn w:val="DefaultParagraphFont"/>
    <w:uiPriority w:val="99"/>
    <w:semiHidden/>
    <w:unhideWhenUsed/>
    <w:rsid w:val="00EB143A"/>
    <w:rPr>
      <w:vertAlign w:val="superscript"/>
    </w:rPr>
  </w:style>
  <w:style w:type="paragraph" w:styleId="FootnoteText">
    <w:name w:val="footnote text"/>
    <w:basedOn w:val="Normal"/>
    <w:link w:val="FootnoteTextChar"/>
    <w:semiHidden/>
    <w:unhideWhenUsed/>
    <w:rsid w:val="00D229C7"/>
    <w:pPr>
      <w:spacing w:before="120" w:after="0" w:line="240" w:lineRule="auto"/>
    </w:pPr>
    <w:rPr>
      <w:sz w:val="20"/>
      <w:szCs w:val="20"/>
    </w:rPr>
  </w:style>
  <w:style w:type="character" w:customStyle="1" w:styleId="FootnoteTextChar">
    <w:name w:val="Footnote Text Char"/>
    <w:basedOn w:val="DefaultParagraphFont"/>
    <w:link w:val="FootnoteText"/>
    <w:uiPriority w:val="99"/>
    <w:semiHidden/>
    <w:rsid w:val="00D229C7"/>
    <w:rPr>
      <w:rFonts w:ascii="Times New Roman" w:hAnsi="Times New Roman"/>
      <w:sz w:val="20"/>
      <w:szCs w:val="20"/>
    </w:rPr>
  </w:style>
  <w:style w:type="character" w:styleId="FootnoteReference">
    <w:name w:val="footnote reference"/>
    <w:basedOn w:val="DefaultParagraphFont"/>
    <w:semiHidden/>
    <w:unhideWhenUsed/>
    <w:rsid w:val="00EB143A"/>
    <w:rPr>
      <w:vertAlign w:val="superscript"/>
    </w:rPr>
  </w:style>
  <w:style w:type="character" w:styleId="FollowedHyperlink">
    <w:name w:val="FollowedHyperlink"/>
    <w:basedOn w:val="DefaultParagraphFont"/>
    <w:uiPriority w:val="99"/>
    <w:semiHidden/>
    <w:unhideWhenUsed/>
    <w:rsid w:val="001D0117"/>
    <w:rPr>
      <w:color w:val="800080" w:themeColor="followedHyperlink"/>
      <w:u w:val="single"/>
    </w:rPr>
  </w:style>
  <w:style w:type="character" w:customStyle="1" w:styleId="apple-converted-space">
    <w:name w:val="apple-converted-space"/>
    <w:basedOn w:val="DefaultParagraphFont"/>
    <w:rsid w:val="00812C74"/>
  </w:style>
  <w:style w:type="character" w:customStyle="1" w:styleId="term">
    <w:name w:val="term"/>
    <w:basedOn w:val="DefaultParagraphFont"/>
    <w:rsid w:val="00812C74"/>
  </w:style>
  <w:style w:type="character" w:customStyle="1" w:styleId="FootnoteTextChar1">
    <w:name w:val="Footnote Text Char1"/>
    <w:rsid w:val="0031644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16446"/>
    <w:pPr>
      <w:spacing w:after="120"/>
    </w:pPr>
  </w:style>
  <w:style w:type="character" w:customStyle="1" w:styleId="BodyTextChar">
    <w:name w:val="Body Text Char"/>
    <w:basedOn w:val="DefaultParagraphFont"/>
    <w:link w:val="BodyText"/>
    <w:uiPriority w:val="99"/>
    <w:semiHidden/>
    <w:rsid w:val="00316446"/>
  </w:style>
  <w:style w:type="paragraph" w:styleId="BodyTextFirstIndent">
    <w:name w:val="Body Text First Indent"/>
    <w:basedOn w:val="BodyText"/>
    <w:link w:val="BodyTextFirstIndentChar"/>
    <w:rsid w:val="00316446"/>
    <w:pPr>
      <w:spacing w:line="240" w:lineRule="auto"/>
      <w:ind w:firstLine="210"/>
    </w:pPr>
    <w:rPr>
      <w:rFonts w:eastAsia="Times New Roman" w:cs="Times New Roman"/>
      <w:szCs w:val="24"/>
    </w:rPr>
  </w:style>
  <w:style w:type="character" w:customStyle="1" w:styleId="BodyTextFirstIndentChar">
    <w:name w:val="Body Text First Indent Char"/>
    <w:basedOn w:val="BodyTextChar"/>
    <w:link w:val="BodyTextFirstIndent"/>
    <w:rsid w:val="00316446"/>
    <w:rPr>
      <w:rFonts w:ascii="Times New Roman" w:eastAsia="Times New Roman" w:hAnsi="Times New Roman" w:cs="Times New Roman"/>
      <w:sz w:val="24"/>
      <w:szCs w:val="24"/>
    </w:rPr>
  </w:style>
  <w:style w:type="character" w:customStyle="1" w:styleId="sssh">
    <w:name w:val="ss_sh"/>
    <w:basedOn w:val="DefaultParagraphFont"/>
    <w:rsid w:val="0042690F"/>
  </w:style>
  <w:style w:type="character" w:customStyle="1" w:styleId="sspagshow1">
    <w:name w:val="ss_pag_show1"/>
    <w:basedOn w:val="DefaultParagraphFont"/>
    <w:rsid w:val="0042690F"/>
    <w:rPr>
      <w:b/>
      <w:bCs/>
    </w:rPr>
  </w:style>
  <w:style w:type="character" w:customStyle="1" w:styleId="ssit1">
    <w:name w:val="ss_it1"/>
    <w:basedOn w:val="DefaultParagraphFont"/>
    <w:rsid w:val="0042690F"/>
    <w:rPr>
      <w:i/>
      <w:iCs/>
    </w:rPr>
  </w:style>
  <w:style w:type="paragraph" w:styleId="BodyTextIndent">
    <w:name w:val="Body Text Indent"/>
    <w:basedOn w:val="Normal"/>
    <w:link w:val="BodyTextIndentChar"/>
    <w:uiPriority w:val="99"/>
    <w:semiHidden/>
    <w:unhideWhenUsed/>
    <w:rsid w:val="00D01D77"/>
    <w:pPr>
      <w:spacing w:after="120"/>
      <w:ind w:left="360"/>
    </w:pPr>
  </w:style>
  <w:style w:type="character" w:customStyle="1" w:styleId="BodyTextIndentChar">
    <w:name w:val="Body Text Indent Char"/>
    <w:basedOn w:val="DefaultParagraphFont"/>
    <w:link w:val="BodyTextIndent"/>
    <w:uiPriority w:val="99"/>
    <w:semiHidden/>
    <w:rsid w:val="00D01D77"/>
  </w:style>
  <w:style w:type="paragraph" w:styleId="BodyTextFirstIndent2">
    <w:name w:val="Body Text First Indent 2"/>
    <w:basedOn w:val="BodyTextIndent"/>
    <w:link w:val="BodyTextFirstIndent2Char"/>
    <w:uiPriority w:val="99"/>
    <w:semiHidden/>
    <w:unhideWhenUsed/>
    <w:rsid w:val="00D01D77"/>
    <w:pPr>
      <w:spacing w:after="200"/>
      <w:ind w:firstLine="360"/>
    </w:pPr>
  </w:style>
  <w:style w:type="character" w:customStyle="1" w:styleId="BodyTextFirstIndent2Char">
    <w:name w:val="Body Text First Indent 2 Char"/>
    <w:basedOn w:val="BodyTextIndentChar"/>
    <w:link w:val="BodyTextFirstIndent2"/>
    <w:uiPriority w:val="99"/>
    <w:semiHidden/>
    <w:rsid w:val="00D01D77"/>
  </w:style>
  <w:style w:type="paragraph" w:styleId="BodyTextIndent3">
    <w:name w:val="Body Text Indent 3"/>
    <w:basedOn w:val="Normal"/>
    <w:link w:val="BodyTextIndent3Char"/>
    <w:rsid w:val="00D01D7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D01D77"/>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1413"/>
    <w:pPr>
      <w:ind w:left="720"/>
      <w:contextualSpacing/>
    </w:pPr>
  </w:style>
  <w:style w:type="character" w:styleId="Hyperlink">
    <w:name w:val="Hyperlink"/>
    <w:basedOn w:val="DefaultParagraphFont"/>
    <w:uiPriority w:val="99"/>
    <w:unhideWhenUsed/>
    <w:rsid w:val="007668D5"/>
    <w:rPr>
      <w:color w:val="0000FF" w:themeColor="hyperlink"/>
      <w:u w:val="single"/>
    </w:rPr>
  </w:style>
  <w:style w:type="paragraph" w:styleId="BalloonText">
    <w:name w:val="Balloon Text"/>
    <w:basedOn w:val="Normal"/>
    <w:link w:val="BalloonTextChar"/>
    <w:uiPriority w:val="99"/>
    <w:semiHidden/>
    <w:unhideWhenUsed/>
    <w:rsid w:val="003A3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70"/>
    <w:rPr>
      <w:rFonts w:ascii="Tahoma" w:hAnsi="Tahoma" w:cs="Tahoma"/>
      <w:sz w:val="16"/>
      <w:szCs w:val="16"/>
    </w:rPr>
  </w:style>
  <w:style w:type="paragraph" w:styleId="Header">
    <w:name w:val="header"/>
    <w:basedOn w:val="Normal"/>
    <w:link w:val="HeaderChar"/>
    <w:uiPriority w:val="99"/>
    <w:unhideWhenUsed/>
    <w:rsid w:val="00C5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B8A"/>
  </w:style>
  <w:style w:type="paragraph" w:styleId="Footer">
    <w:name w:val="footer"/>
    <w:basedOn w:val="Normal"/>
    <w:link w:val="FooterChar"/>
    <w:uiPriority w:val="99"/>
    <w:unhideWhenUsed/>
    <w:rsid w:val="00C5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8A"/>
  </w:style>
  <w:style w:type="character" w:styleId="CommentReference">
    <w:name w:val="annotation reference"/>
    <w:basedOn w:val="DefaultParagraphFont"/>
    <w:uiPriority w:val="99"/>
    <w:semiHidden/>
    <w:unhideWhenUsed/>
    <w:rsid w:val="00C865C0"/>
    <w:rPr>
      <w:sz w:val="16"/>
      <w:szCs w:val="16"/>
    </w:rPr>
  </w:style>
  <w:style w:type="paragraph" w:styleId="CommentText">
    <w:name w:val="annotation text"/>
    <w:basedOn w:val="Normal"/>
    <w:link w:val="CommentTextChar"/>
    <w:uiPriority w:val="99"/>
    <w:semiHidden/>
    <w:unhideWhenUsed/>
    <w:rsid w:val="00C865C0"/>
    <w:pPr>
      <w:spacing w:line="240" w:lineRule="auto"/>
    </w:pPr>
    <w:rPr>
      <w:sz w:val="20"/>
      <w:szCs w:val="20"/>
    </w:rPr>
  </w:style>
  <w:style w:type="character" w:customStyle="1" w:styleId="CommentTextChar">
    <w:name w:val="Comment Text Char"/>
    <w:basedOn w:val="DefaultParagraphFont"/>
    <w:link w:val="CommentText"/>
    <w:uiPriority w:val="99"/>
    <w:semiHidden/>
    <w:rsid w:val="00C865C0"/>
    <w:rPr>
      <w:sz w:val="20"/>
      <w:szCs w:val="20"/>
    </w:rPr>
  </w:style>
  <w:style w:type="paragraph" w:styleId="CommentSubject">
    <w:name w:val="annotation subject"/>
    <w:basedOn w:val="CommentText"/>
    <w:next w:val="CommentText"/>
    <w:link w:val="CommentSubjectChar"/>
    <w:uiPriority w:val="99"/>
    <w:semiHidden/>
    <w:unhideWhenUsed/>
    <w:rsid w:val="00C865C0"/>
    <w:rPr>
      <w:b/>
      <w:bCs/>
    </w:rPr>
  </w:style>
  <w:style w:type="character" w:customStyle="1" w:styleId="CommentSubjectChar">
    <w:name w:val="Comment Subject Char"/>
    <w:basedOn w:val="CommentTextChar"/>
    <w:link w:val="CommentSubject"/>
    <w:uiPriority w:val="99"/>
    <w:semiHidden/>
    <w:rsid w:val="00C865C0"/>
    <w:rPr>
      <w:b/>
      <w:bCs/>
      <w:sz w:val="20"/>
      <w:szCs w:val="20"/>
    </w:rPr>
  </w:style>
  <w:style w:type="paragraph" w:styleId="EndnoteText">
    <w:name w:val="endnote text"/>
    <w:basedOn w:val="Normal"/>
    <w:link w:val="EndnoteTextChar"/>
    <w:uiPriority w:val="99"/>
    <w:semiHidden/>
    <w:unhideWhenUsed/>
    <w:rsid w:val="00EB1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43A"/>
    <w:rPr>
      <w:sz w:val="20"/>
      <w:szCs w:val="20"/>
    </w:rPr>
  </w:style>
  <w:style w:type="character" w:styleId="EndnoteReference">
    <w:name w:val="endnote reference"/>
    <w:basedOn w:val="DefaultParagraphFont"/>
    <w:uiPriority w:val="99"/>
    <w:semiHidden/>
    <w:unhideWhenUsed/>
    <w:rsid w:val="00EB143A"/>
    <w:rPr>
      <w:vertAlign w:val="superscript"/>
    </w:rPr>
  </w:style>
  <w:style w:type="paragraph" w:styleId="FootnoteText">
    <w:name w:val="footnote text"/>
    <w:basedOn w:val="Normal"/>
    <w:link w:val="FootnoteTextChar"/>
    <w:semiHidden/>
    <w:unhideWhenUsed/>
    <w:rsid w:val="00D229C7"/>
    <w:pPr>
      <w:spacing w:before="120" w:after="0" w:line="240" w:lineRule="auto"/>
    </w:pPr>
    <w:rPr>
      <w:sz w:val="20"/>
      <w:szCs w:val="20"/>
    </w:rPr>
  </w:style>
  <w:style w:type="character" w:customStyle="1" w:styleId="FootnoteTextChar">
    <w:name w:val="Footnote Text Char"/>
    <w:basedOn w:val="DefaultParagraphFont"/>
    <w:link w:val="FootnoteText"/>
    <w:uiPriority w:val="99"/>
    <w:semiHidden/>
    <w:rsid w:val="00D229C7"/>
    <w:rPr>
      <w:rFonts w:ascii="Times New Roman" w:hAnsi="Times New Roman"/>
      <w:sz w:val="20"/>
      <w:szCs w:val="20"/>
    </w:rPr>
  </w:style>
  <w:style w:type="character" w:styleId="FootnoteReference">
    <w:name w:val="footnote reference"/>
    <w:basedOn w:val="DefaultParagraphFont"/>
    <w:semiHidden/>
    <w:unhideWhenUsed/>
    <w:rsid w:val="00EB143A"/>
    <w:rPr>
      <w:vertAlign w:val="superscript"/>
    </w:rPr>
  </w:style>
  <w:style w:type="character" w:styleId="FollowedHyperlink">
    <w:name w:val="FollowedHyperlink"/>
    <w:basedOn w:val="DefaultParagraphFont"/>
    <w:uiPriority w:val="99"/>
    <w:semiHidden/>
    <w:unhideWhenUsed/>
    <w:rsid w:val="001D0117"/>
    <w:rPr>
      <w:color w:val="800080" w:themeColor="followedHyperlink"/>
      <w:u w:val="single"/>
    </w:rPr>
  </w:style>
  <w:style w:type="character" w:customStyle="1" w:styleId="apple-converted-space">
    <w:name w:val="apple-converted-space"/>
    <w:basedOn w:val="DefaultParagraphFont"/>
    <w:rsid w:val="00812C74"/>
  </w:style>
  <w:style w:type="character" w:customStyle="1" w:styleId="term">
    <w:name w:val="term"/>
    <w:basedOn w:val="DefaultParagraphFont"/>
    <w:rsid w:val="00812C74"/>
  </w:style>
  <w:style w:type="character" w:customStyle="1" w:styleId="FootnoteTextChar1">
    <w:name w:val="Footnote Text Char1"/>
    <w:rsid w:val="0031644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16446"/>
    <w:pPr>
      <w:spacing w:after="120"/>
    </w:pPr>
  </w:style>
  <w:style w:type="character" w:customStyle="1" w:styleId="BodyTextChar">
    <w:name w:val="Body Text Char"/>
    <w:basedOn w:val="DefaultParagraphFont"/>
    <w:link w:val="BodyText"/>
    <w:uiPriority w:val="99"/>
    <w:semiHidden/>
    <w:rsid w:val="00316446"/>
  </w:style>
  <w:style w:type="paragraph" w:styleId="BodyTextFirstIndent">
    <w:name w:val="Body Text First Indent"/>
    <w:basedOn w:val="BodyText"/>
    <w:link w:val="BodyTextFirstIndentChar"/>
    <w:rsid w:val="00316446"/>
    <w:pPr>
      <w:spacing w:line="240" w:lineRule="auto"/>
      <w:ind w:firstLine="210"/>
    </w:pPr>
    <w:rPr>
      <w:rFonts w:eastAsia="Times New Roman" w:cs="Times New Roman"/>
      <w:szCs w:val="24"/>
    </w:rPr>
  </w:style>
  <w:style w:type="character" w:customStyle="1" w:styleId="BodyTextFirstIndentChar">
    <w:name w:val="Body Text First Indent Char"/>
    <w:basedOn w:val="BodyTextChar"/>
    <w:link w:val="BodyTextFirstIndent"/>
    <w:rsid w:val="00316446"/>
    <w:rPr>
      <w:rFonts w:ascii="Times New Roman" w:eastAsia="Times New Roman" w:hAnsi="Times New Roman" w:cs="Times New Roman"/>
      <w:sz w:val="24"/>
      <w:szCs w:val="24"/>
    </w:rPr>
  </w:style>
  <w:style w:type="character" w:customStyle="1" w:styleId="sssh">
    <w:name w:val="ss_sh"/>
    <w:basedOn w:val="DefaultParagraphFont"/>
    <w:rsid w:val="0042690F"/>
  </w:style>
  <w:style w:type="character" w:customStyle="1" w:styleId="sspagshow1">
    <w:name w:val="ss_pag_show1"/>
    <w:basedOn w:val="DefaultParagraphFont"/>
    <w:rsid w:val="0042690F"/>
    <w:rPr>
      <w:b/>
      <w:bCs/>
    </w:rPr>
  </w:style>
  <w:style w:type="character" w:customStyle="1" w:styleId="ssit1">
    <w:name w:val="ss_it1"/>
    <w:basedOn w:val="DefaultParagraphFont"/>
    <w:rsid w:val="0042690F"/>
    <w:rPr>
      <w:i/>
      <w:iCs/>
    </w:rPr>
  </w:style>
  <w:style w:type="paragraph" w:styleId="BodyTextIndent">
    <w:name w:val="Body Text Indent"/>
    <w:basedOn w:val="Normal"/>
    <w:link w:val="BodyTextIndentChar"/>
    <w:uiPriority w:val="99"/>
    <w:semiHidden/>
    <w:unhideWhenUsed/>
    <w:rsid w:val="00D01D77"/>
    <w:pPr>
      <w:spacing w:after="120"/>
      <w:ind w:left="360"/>
    </w:pPr>
  </w:style>
  <w:style w:type="character" w:customStyle="1" w:styleId="BodyTextIndentChar">
    <w:name w:val="Body Text Indent Char"/>
    <w:basedOn w:val="DefaultParagraphFont"/>
    <w:link w:val="BodyTextIndent"/>
    <w:uiPriority w:val="99"/>
    <w:semiHidden/>
    <w:rsid w:val="00D01D77"/>
  </w:style>
  <w:style w:type="paragraph" w:styleId="BodyTextFirstIndent2">
    <w:name w:val="Body Text First Indent 2"/>
    <w:basedOn w:val="BodyTextIndent"/>
    <w:link w:val="BodyTextFirstIndent2Char"/>
    <w:uiPriority w:val="99"/>
    <w:semiHidden/>
    <w:unhideWhenUsed/>
    <w:rsid w:val="00D01D77"/>
    <w:pPr>
      <w:spacing w:after="200"/>
      <w:ind w:firstLine="360"/>
    </w:pPr>
  </w:style>
  <w:style w:type="character" w:customStyle="1" w:styleId="BodyTextFirstIndent2Char">
    <w:name w:val="Body Text First Indent 2 Char"/>
    <w:basedOn w:val="BodyTextIndentChar"/>
    <w:link w:val="BodyTextFirstIndent2"/>
    <w:uiPriority w:val="99"/>
    <w:semiHidden/>
    <w:rsid w:val="00D01D77"/>
  </w:style>
  <w:style w:type="paragraph" w:styleId="BodyTextIndent3">
    <w:name w:val="Body Text Indent 3"/>
    <w:basedOn w:val="Normal"/>
    <w:link w:val="BodyTextIndent3Char"/>
    <w:rsid w:val="00D01D7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D01D77"/>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50709">
      <w:bodyDiv w:val="1"/>
      <w:marLeft w:val="0"/>
      <w:marRight w:val="0"/>
      <w:marTop w:val="0"/>
      <w:marBottom w:val="0"/>
      <w:divBdr>
        <w:top w:val="none" w:sz="0" w:space="0" w:color="auto"/>
        <w:left w:val="none" w:sz="0" w:space="0" w:color="auto"/>
        <w:bottom w:val="none" w:sz="0" w:space="0" w:color="auto"/>
        <w:right w:val="none" w:sz="0" w:space="0" w:color="auto"/>
      </w:divBdr>
    </w:div>
    <w:div w:id="532964909">
      <w:bodyDiv w:val="1"/>
      <w:marLeft w:val="0"/>
      <w:marRight w:val="0"/>
      <w:marTop w:val="0"/>
      <w:marBottom w:val="0"/>
      <w:divBdr>
        <w:top w:val="none" w:sz="0" w:space="0" w:color="auto"/>
        <w:left w:val="none" w:sz="0" w:space="0" w:color="auto"/>
        <w:bottom w:val="none" w:sz="0" w:space="0" w:color="auto"/>
        <w:right w:val="none" w:sz="0" w:space="0" w:color="auto"/>
      </w:divBdr>
    </w:div>
    <w:div w:id="697049296">
      <w:bodyDiv w:val="1"/>
      <w:marLeft w:val="0"/>
      <w:marRight w:val="0"/>
      <w:marTop w:val="0"/>
      <w:marBottom w:val="0"/>
      <w:divBdr>
        <w:top w:val="none" w:sz="0" w:space="0" w:color="auto"/>
        <w:left w:val="none" w:sz="0" w:space="0" w:color="auto"/>
        <w:bottom w:val="none" w:sz="0" w:space="0" w:color="auto"/>
        <w:right w:val="none" w:sz="0" w:space="0" w:color="auto"/>
      </w:divBdr>
    </w:div>
    <w:div w:id="1005785143">
      <w:bodyDiv w:val="1"/>
      <w:marLeft w:val="0"/>
      <w:marRight w:val="0"/>
      <w:marTop w:val="0"/>
      <w:marBottom w:val="0"/>
      <w:divBdr>
        <w:top w:val="none" w:sz="0" w:space="0" w:color="auto"/>
        <w:left w:val="none" w:sz="0" w:space="0" w:color="auto"/>
        <w:bottom w:val="none" w:sz="0" w:space="0" w:color="auto"/>
        <w:right w:val="none" w:sz="0" w:space="0" w:color="auto"/>
      </w:divBdr>
    </w:div>
    <w:div w:id="1482425258">
      <w:bodyDiv w:val="1"/>
      <w:marLeft w:val="0"/>
      <w:marRight w:val="0"/>
      <w:marTop w:val="0"/>
      <w:marBottom w:val="0"/>
      <w:divBdr>
        <w:top w:val="none" w:sz="0" w:space="0" w:color="auto"/>
        <w:left w:val="none" w:sz="0" w:space="0" w:color="auto"/>
        <w:bottom w:val="none" w:sz="0" w:space="0" w:color="auto"/>
        <w:right w:val="none" w:sz="0" w:space="0" w:color="auto"/>
      </w:divBdr>
    </w:div>
    <w:div w:id="1815874368">
      <w:bodyDiv w:val="1"/>
      <w:marLeft w:val="0"/>
      <w:marRight w:val="0"/>
      <w:marTop w:val="0"/>
      <w:marBottom w:val="0"/>
      <w:divBdr>
        <w:top w:val="none" w:sz="0" w:space="0" w:color="auto"/>
        <w:left w:val="none" w:sz="0" w:space="0" w:color="auto"/>
        <w:bottom w:val="none" w:sz="0" w:space="0" w:color="auto"/>
        <w:right w:val="none" w:sz="0" w:space="0" w:color="auto"/>
      </w:divBdr>
    </w:div>
    <w:div w:id="21275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etter@occ.ohio.gov" TargetMode="External"/><Relationship Id="rId13" Type="http://schemas.openxmlformats.org/officeDocument/2006/relationships/footer" Target="footer2.xml"/><Relationship Id="rId18" Type="http://schemas.openxmlformats.org/officeDocument/2006/relationships/hyperlink" Target="mailto:Elizabeth.watts@duke-energy.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my.spiller@duke-energy.com" TargetMode="External"/><Relationship Id="rId2" Type="http://schemas.openxmlformats.org/officeDocument/2006/relationships/styles" Target="styles.xml"/><Relationship Id="rId16" Type="http://schemas.openxmlformats.org/officeDocument/2006/relationships/hyperlink" Target="mailto:bmcmahon@emclawyers.com" TargetMode="External"/><Relationship Id="rId20" Type="http://schemas.openxmlformats.org/officeDocument/2006/relationships/hyperlink" Target="mailto:sarah.parrot@puc.state.oh.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dlane@drodermiller.com" TargetMode="External"/><Relationship Id="rId4" Type="http://schemas.openxmlformats.org/officeDocument/2006/relationships/settings" Target="settings.xml"/><Relationship Id="rId9" Type="http://schemas.openxmlformats.org/officeDocument/2006/relationships/hyperlink" Target="mailto:Bojko@carpenterlipps.com"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1678</Words>
  <Characters>9466</Characters>
  <Application>Microsoft Office Word</Application>
  <DocSecurity>0</DocSecurity>
  <PresentationFormat/>
  <Lines>234</Lines>
  <Paragraphs>90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11181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2015-08-21T20:05:00Z</cp:lastPrinted>
  <dcterms:created xsi:type="dcterms:W3CDTF">2016-01-13T21:48:00Z</dcterms:created>
  <dcterms:modified xsi:type="dcterms:W3CDTF">2016-01-13T21:48:00Z</dcterms:modified>
  <cp:category> </cp:category>
  <cp:contentStatus> </cp:contentStatus>
</cp:coreProperties>
</file>