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2C" w:rsidRDefault="00E31D2C">
      <w:pPr>
        <w:pStyle w:val="HTMLPreformatted"/>
        <w:jc w:val="center"/>
        <w:rPr>
          <w:rFonts w:ascii="Times New Roman" w:hAnsi="Times New Roman"/>
          <w:b/>
          <w:bCs/>
          <w:sz w:val="24"/>
        </w:rPr>
      </w:pPr>
      <w:bookmarkStart w:id="0" w:name="_GoBack"/>
      <w:bookmarkEnd w:id="0"/>
    </w:p>
    <w:p w:rsidR="00C63A2A" w:rsidRDefault="00C63A2A">
      <w:pPr>
        <w:pStyle w:val="HTMLPreformatted"/>
        <w:jc w:val="center"/>
        <w:rPr>
          <w:rFonts w:ascii="Times New Roman" w:hAnsi="Times New Roman"/>
          <w:b/>
          <w:bCs/>
          <w:sz w:val="24"/>
        </w:rPr>
      </w:pPr>
      <w:r>
        <w:rPr>
          <w:rFonts w:ascii="Times New Roman" w:hAnsi="Times New Roman"/>
          <w:b/>
          <w:bCs/>
          <w:sz w:val="24"/>
        </w:rPr>
        <w:t>BEFORE</w:t>
      </w:r>
    </w:p>
    <w:p w:rsidR="00C63A2A" w:rsidRDefault="00C63A2A">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C63A2A" w:rsidRDefault="00C63A2A">
      <w:pPr>
        <w:pStyle w:val="HTMLPreformatted"/>
        <w:jc w:val="center"/>
        <w:rPr>
          <w:rFonts w:ascii="Times New Roman" w:hAnsi="Times New Roman"/>
          <w:sz w:val="24"/>
        </w:rPr>
      </w:pPr>
    </w:p>
    <w:tbl>
      <w:tblPr>
        <w:tblpPr w:leftFromText="180" w:rightFromText="180" w:vertAnchor="text" w:horzAnchor="margin" w:tblpY="-129"/>
        <w:tblOverlap w:val="never"/>
        <w:tblW w:w="9092" w:type="dxa"/>
        <w:tblLook w:val="01E0" w:firstRow="1" w:lastRow="1" w:firstColumn="1" w:lastColumn="1" w:noHBand="0" w:noVBand="0"/>
      </w:tblPr>
      <w:tblGrid>
        <w:gridCol w:w="4332"/>
        <w:gridCol w:w="360"/>
        <w:gridCol w:w="4400"/>
      </w:tblGrid>
      <w:tr w:rsidR="00C63A2A">
        <w:trPr>
          <w:trHeight w:val="807"/>
        </w:trPr>
        <w:tc>
          <w:tcPr>
            <w:tcW w:w="4332" w:type="dxa"/>
            <w:shd w:val="clear" w:color="auto" w:fill="auto"/>
          </w:tcPr>
          <w:p w:rsidR="00C63A2A" w:rsidRDefault="00C63A2A">
            <w:pPr>
              <w:pStyle w:val="HTMLPreformatted"/>
              <w:rPr>
                <w:rFonts w:ascii="Times New Roman" w:hAnsi="Times New Roman"/>
                <w:sz w:val="24"/>
                <w:szCs w:val="24"/>
              </w:rPr>
            </w:pPr>
            <w:r>
              <w:rPr>
                <w:rFonts w:ascii="Times New Roman" w:hAnsi="Times New Roman" w:cs="Times New Roman"/>
                <w:sz w:val="24"/>
                <w:szCs w:val="24"/>
              </w:rPr>
              <w:t>In the Matter of the Application of The Dayton Power and Light Company for Authority to Transfer or Sell Its Generation Assets.</w:t>
            </w:r>
          </w:p>
        </w:tc>
        <w:tc>
          <w:tcPr>
            <w:tcW w:w="360" w:type="dxa"/>
            <w:shd w:val="clear" w:color="auto" w:fill="auto"/>
          </w:tcPr>
          <w:p w:rsidR="00C63A2A" w:rsidRDefault="00C63A2A">
            <w:pPr>
              <w:pStyle w:val="HTMLPreformatted"/>
              <w:rPr>
                <w:rFonts w:ascii="Times New Roman" w:hAnsi="Times New Roman"/>
                <w:sz w:val="24"/>
              </w:rPr>
            </w:pPr>
            <w:r>
              <w:rPr>
                <w:rFonts w:ascii="Times New Roman" w:hAnsi="Times New Roman"/>
                <w:sz w:val="24"/>
              </w:rPr>
              <w:t>)</w:t>
            </w:r>
          </w:p>
          <w:p w:rsidR="00C63A2A" w:rsidRDefault="00C63A2A">
            <w:pPr>
              <w:pStyle w:val="HTMLPreformatted"/>
              <w:rPr>
                <w:rFonts w:ascii="Times New Roman" w:hAnsi="Times New Roman"/>
                <w:sz w:val="24"/>
              </w:rPr>
            </w:pPr>
            <w:r>
              <w:rPr>
                <w:rFonts w:ascii="Times New Roman" w:hAnsi="Times New Roman"/>
                <w:sz w:val="24"/>
              </w:rPr>
              <w:t>)</w:t>
            </w:r>
          </w:p>
          <w:p w:rsidR="00C63A2A" w:rsidRDefault="00C63A2A">
            <w:pPr>
              <w:pStyle w:val="HTMLPreformatted"/>
              <w:rPr>
                <w:rFonts w:ascii="Times New Roman" w:hAnsi="Times New Roman"/>
                <w:sz w:val="24"/>
              </w:rPr>
            </w:pPr>
            <w:r>
              <w:rPr>
                <w:rFonts w:ascii="Times New Roman" w:hAnsi="Times New Roman"/>
                <w:sz w:val="24"/>
              </w:rPr>
              <w:t>)</w:t>
            </w:r>
          </w:p>
          <w:p w:rsidR="00C63A2A" w:rsidRDefault="00C63A2A">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C63A2A" w:rsidRDefault="00C63A2A">
            <w:pPr>
              <w:pStyle w:val="HTMLPreformatted"/>
              <w:rPr>
                <w:rFonts w:ascii="Times New Roman" w:hAnsi="Times New Roman"/>
                <w:sz w:val="24"/>
              </w:rPr>
            </w:pPr>
          </w:p>
          <w:p w:rsidR="00C63A2A" w:rsidRDefault="00C63A2A">
            <w:pPr>
              <w:pStyle w:val="HTMLPreformatted"/>
              <w:rPr>
                <w:rFonts w:ascii="Times New Roman" w:hAnsi="Times New Roman"/>
                <w:sz w:val="24"/>
              </w:rPr>
            </w:pPr>
            <w:r>
              <w:rPr>
                <w:rFonts w:ascii="Times New Roman" w:hAnsi="Times New Roman"/>
                <w:sz w:val="24"/>
              </w:rPr>
              <w:t>Case No. 13-2420-EL-UNC</w:t>
            </w:r>
          </w:p>
          <w:p w:rsidR="00C63A2A" w:rsidRDefault="00C63A2A">
            <w:pPr>
              <w:pStyle w:val="HTMLPreformatted"/>
              <w:rPr>
                <w:rFonts w:ascii="Times New Roman" w:hAnsi="Times New Roman"/>
                <w:sz w:val="24"/>
              </w:rPr>
            </w:pPr>
          </w:p>
        </w:tc>
      </w:tr>
    </w:tbl>
    <w:p w:rsidR="00C63A2A" w:rsidRDefault="00C63A2A">
      <w:pPr>
        <w:pStyle w:val="HTMLPreformatted"/>
        <w:pBdr>
          <w:bottom w:val="single" w:sz="12" w:space="1" w:color="auto"/>
        </w:pBdr>
        <w:rPr>
          <w:rFonts w:ascii="Times New Roman" w:hAnsi="Times New Roman"/>
          <w:sz w:val="24"/>
        </w:rPr>
      </w:pPr>
    </w:p>
    <w:p w:rsidR="00C63A2A" w:rsidRDefault="00C63A2A"/>
    <w:p w:rsidR="00C63A2A" w:rsidRDefault="00C63A2A">
      <w:pPr>
        <w:jc w:val="center"/>
        <w:rPr>
          <w:b/>
        </w:rPr>
      </w:pPr>
      <w:r>
        <w:rPr>
          <w:b/>
        </w:rPr>
        <w:t xml:space="preserve">REPLY COMMENTS ON DP&amp;L’S SUPPLEMENTAL APPLICATION </w:t>
      </w:r>
    </w:p>
    <w:p w:rsidR="00C63A2A" w:rsidRDefault="00C63A2A">
      <w:pPr>
        <w:jc w:val="center"/>
        <w:rPr>
          <w:b/>
        </w:rPr>
      </w:pPr>
      <w:r>
        <w:rPr>
          <w:b/>
        </w:rPr>
        <w:t>BY</w:t>
      </w:r>
    </w:p>
    <w:p w:rsidR="00C63A2A" w:rsidRDefault="00C63A2A">
      <w:pPr>
        <w:pBdr>
          <w:bottom w:val="single" w:sz="12" w:space="1" w:color="auto"/>
        </w:pBdr>
        <w:jc w:val="center"/>
        <w:rPr>
          <w:b/>
        </w:rPr>
      </w:pPr>
      <w:r>
        <w:rPr>
          <w:b/>
        </w:rPr>
        <w:t>THE OFFICE OF THE OHIO CONSUMERS’ COUNSEL</w:t>
      </w:r>
    </w:p>
    <w:p w:rsidR="00C63A2A" w:rsidRDefault="00C63A2A">
      <w:pPr>
        <w:pBdr>
          <w:bottom w:val="single" w:sz="12" w:space="1" w:color="auto"/>
        </w:pBdr>
        <w:jc w:val="center"/>
        <w:rPr>
          <w:b/>
        </w:rPr>
      </w:pPr>
    </w:p>
    <w:p w:rsidR="00C63A2A" w:rsidRDefault="00C63A2A"/>
    <w:p w:rsidR="00C63A2A" w:rsidRDefault="00C63A2A"/>
    <w:p w:rsidR="00C63A2A" w:rsidRDefault="00C63A2A"/>
    <w:p w:rsidR="00C63A2A" w:rsidRDefault="00C63A2A"/>
    <w:p w:rsidR="00C63A2A" w:rsidRDefault="00C63A2A"/>
    <w:p w:rsidR="00C63A2A" w:rsidRDefault="00C63A2A">
      <w:pPr>
        <w:pStyle w:val="Footer"/>
        <w:tabs>
          <w:tab w:val="clear" w:pos="8640"/>
          <w:tab w:val="left" w:pos="4320"/>
        </w:tabs>
        <w:spacing w:before="240"/>
        <w:rPr>
          <w:sz w:val="24"/>
          <w:szCs w:val="24"/>
        </w:rPr>
      </w:pPr>
    </w:p>
    <w:p w:rsidR="00C63A2A" w:rsidRDefault="00C63A2A">
      <w:pPr>
        <w:pStyle w:val="Footer"/>
        <w:tabs>
          <w:tab w:val="clear" w:pos="8640"/>
          <w:tab w:val="left" w:pos="4320"/>
        </w:tabs>
        <w:spacing w:before="240"/>
        <w:rPr>
          <w:sz w:val="24"/>
          <w:szCs w:val="24"/>
        </w:rPr>
      </w:pPr>
    </w:p>
    <w:p w:rsidR="00C63A2A" w:rsidRDefault="00C63A2A">
      <w:pPr>
        <w:pStyle w:val="Footer"/>
        <w:tabs>
          <w:tab w:val="clear" w:pos="8640"/>
          <w:tab w:val="left" w:pos="4320"/>
        </w:tabs>
        <w:spacing w:before="240"/>
        <w:rPr>
          <w:sz w:val="24"/>
          <w:szCs w:val="24"/>
        </w:rPr>
      </w:pPr>
    </w:p>
    <w:p w:rsidR="00C63A2A" w:rsidRDefault="00C63A2A">
      <w:pPr>
        <w:pStyle w:val="Footer"/>
        <w:tabs>
          <w:tab w:val="clear" w:pos="8640"/>
          <w:tab w:val="left" w:pos="4320"/>
        </w:tabs>
        <w:spacing w:before="240"/>
        <w:rPr>
          <w:sz w:val="24"/>
          <w:szCs w:val="24"/>
        </w:rPr>
      </w:pPr>
      <w:r>
        <w:rPr>
          <w:sz w:val="24"/>
          <w:szCs w:val="24"/>
        </w:rPr>
        <w:tab/>
      </w:r>
    </w:p>
    <w:p w:rsidR="00C63A2A" w:rsidRDefault="00C63A2A">
      <w:pPr>
        <w:pStyle w:val="Footer"/>
        <w:tabs>
          <w:tab w:val="clear" w:pos="8640"/>
          <w:tab w:val="left" w:pos="4320"/>
        </w:tabs>
        <w:spacing w:before="240"/>
        <w:rPr>
          <w:sz w:val="24"/>
          <w:szCs w:val="24"/>
        </w:rPr>
      </w:pPr>
    </w:p>
    <w:p w:rsidR="00C63A2A" w:rsidRDefault="00C63A2A">
      <w:pPr>
        <w:pStyle w:val="Footer"/>
        <w:tabs>
          <w:tab w:val="clear" w:pos="8640"/>
          <w:tab w:val="left" w:pos="4320"/>
        </w:tabs>
        <w:spacing w:before="240"/>
        <w:rPr>
          <w:sz w:val="24"/>
          <w:szCs w:val="24"/>
        </w:rPr>
      </w:pPr>
      <w:r>
        <w:rPr>
          <w:sz w:val="24"/>
          <w:szCs w:val="24"/>
        </w:rPr>
        <w:tab/>
        <w:t>BRUCE J. WESTON</w:t>
      </w:r>
    </w:p>
    <w:p w:rsidR="00C63A2A" w:rsidRDefault="00C63A2A">
      <w:pPr>
        <w:tabs>
          <w:tab w:val="left" w:pos="4320"/>
        </w:tabs>
        <w:rPr>
          <w:szCs w:val="24"/>
        </w:rPr>
      </w:pPr>
      <w:r>
        <w:rPr>
          <w:szCs w:val="24"/>
        </w:rPr>
        <w:tab/>
        <w:t>OHIO CONSUMERS’ COUNSEL</w:t>
      </w:r>
    </w:p>
    <w:p w:rsidR="00C63A2A" w:rsidRDefault="00C63A2A">
      <w:pPr>
        <w:tabs>
          <w:tab w:val="left" w:pos="4320"/>
        </w:tabs>
        <w:rPr>
          <w:szCs w:val="24"/>
        </w:rPr>
      </w:pPr>
      <w:r>
        <w:rPr>
          <w:szCs w:val="24"/>
        </w:rPr>
        <w:tab/>
      </w:r>
    </w:p>
    <w:p w:rsidR="00C63A2A" w:rsidRDefault="00C63A2A">
      <w:pPr>
        <w:tabs>
          <w:tab w:val="left" w:pos="4320"/>
        </w:tabs>
        <w:rPr>
          <w:szCs w:val="24"/>
        </w:rPr>
      </w:pPr>
      <w:r>
        <w:rPr>
          <w:szCs w:val="24"/>
        </w:rPr>
        <w:tab/>
        <w:t>Edmund “Tad” Berger, Counsel of Record</w:t>
      </w:r>
    </w:p>
    <w:p w:rsidR="00C63A2A" w:rsidRDefault="00C63A2A">
      <w:pPr>
        <w:tabs>
          <w:tab w:val="left" w:pos="4320"/>
        </w:tabs>
        <w:rPr>
          <w:szCs w:val="24"/>
        </w:rPr>
      </w:pPr>
      <w:r>
        <w:rPr>
          <w:szCs w:val="24"/>
        </w:rPr>
        <w:tab/>
        <w:t>Maureen R. Grady</w:t>
      </w:r>
    </w:p>
    <w:p w:rsidR="00C63A2A" w:rsidRDefault="00C63A2A">
      <w:pPr>
        <w:tabs>
          <w:tab w:val="left" w:pos="4320"/>
        </w:tabs>
        <w:rPr>
          <w:szCs w:val="24"/>
        </w:rPr>
      </w:pPr>
      <w:r>
        <w:rPr>
          <w:szCs w:val="24"/>
        </w:rPr>
        <w:tab/>
        <w:t>Assistant Consumers’ Counsel</w:t>
      </w:r>
    </w:p>
    <w:p w:rsidR="00C63A2A" w:rsidRDefault="00C63A2A"/>
    <w:p w:rsidR="00C63A2A" w:rsidRDefault="00C63A2A">
      <w:pPr>
        <w:ind w:left="3600"/>
        <w:rPr>
          <w:b/>
        </w:rPr>
      </w:pPr>
      <w:r>
        <w:rPr>
          <w:b/>
        </w:rPr>
        <w:tab/>
        <w:t>Office of the Ohio Consumers’ Counsel</w:t>
      </w:r>
    </w:p>
    <w:p w:rsidR="00C63A2A" w:rsidRDefault="00C63A2A">
      <w:pPr>
        <w:ind w:left="3600"/>
      </w:pPr>
      <w:r>
        <w:tab/>
        <w:t>10 West Broad Street, Suite 1800</w:t>
      </w:r>
    </w:p>
    <w:p w:rsidR="00C63A2A" w:rsidRDefault="00C63A2A">
      <w:pPr>
        <w:ind w:left="3600"/>
      </w:pPr>
      <w:r>
        <w:tab/>
        <w:t>Columbus, Ohio 43215-3485</w:t>
      </w:r>
    </w:p>
    <w:p w:rsidR="00C63A2A" w:rsidRDefault="00C63A2A">
      <w:pPr>
        <w:autoSpaceDE w:val="0"/>
        <w:autoSpaceDN w:val="0"/>
        <w:adjustRightInd w:val="0"/>
        <w:ind w:left="3600" w:firstLine="720"/>
        <w:rPr>
          <w:szCs w:val="24"/>
        </w:rPr>
      </w:pPr>
      <w:r>
        <w:rPr>
          <w:szCs w:val="24"/>
        </w:rPr>
        <w:t>Telephone:  (Berger) (614) 466-1292</w:t>
      </w:r>
    </w:p>
    <w:p w:rsidR="00C63A2A" w:rsidRDefault="00C63A2A">
      <w:pPr>
        <w:autoSpaceDE w:val="0"/>
        <w:autoSpaceDN w:val="0"/>
        <w:adjustRightInd w:val="0"/>
        <w:ind w:left="3600" w:firstLine="720"/>
        <w:rPr>
          <w:szCs w:val="24"/>
        </w:rPr>
      </w:pPr>
      <w:r>
        <w:rPr>
          <w:szCs w:val="24"/>
        </w:rPr>
        <w:t>Telephone:  (Grady) (614) 466-9567</w:t>
      </w:r>
    </w:p>
    <w:p w:rsidR="00C63A2A" w:rsidRDefault="00C63A2A">
      <w:pPr>
        <w:rPr>
          <w:szCs w:val="24"/>
        </w:rPr>
      </w:pPr>
      <w:r>
        <w:rPr>
          <w:szCs w:val="24"/>
        </w:rPr>
        <w:tab/>
      </w:r>
      <w:r>
        <w:rPr>
          <w:szCs w:val="24"/>
        </w:rPr>
        <w:tab/>
      </w:r>
      <w:r>
        <w:rPr>
          <w:szCs w:val="24"/>
        </w:rPr>
        <w:tab/>
      </w:r>
      <w:r>
        <w:rPr>
          <w:szCs w:val="24"/>
        </w:rPr>
        <w:tab/>
      </w:r>
      <w:r>
        <w:rPr>
          <w:szCs w:val="24"/>
        </w:rPr>
        <w:tab/>
      </w:r>
      <w:r>
        <w:rPr>
          <w:szCs w:val="24"/>
        </w:rPr>
        <w:tab/>
      </w:r>
      <w:hyperlink r:id="rId8" w:history="1">
        <w:r w:rsidR="00F74752" w:rsidRPr="00EE23CF">
          <w:rPr>
            <w:rStyle w:val="Hyperlink"/>
            <w:szCs w:val="24"/>
          </w:rPr>
          <w:t>Edmund.berger@occ.ohio.gov</w:t>
        </w:r>
      </w:hyperlink>
    </w:p>
    <w:p w:rsidR="00C63A2A" w:rsidRDefault="00C63A2A">
      <w:pPr>
        <w:rPr>
          <w:szCs w:val="24"/>
        </w:rPr>
      </w:pPr>
      <w:r>
        <w:rPr>
          <w:szCs w:val="24"/>
        </w:rPr>
        <w:t>April 7, 2014</w:t>
      </w:r>
      <w:r>
        <w:rPr>
          <w:szCs w:val="24"/>
        </w:rPr>
        <w:tab/>
      </w:r>
      <w:r>
        <w:rPr>
          <w:szCs w:val="24"/>
        </w:rPr>
        <w:tab/>
      </w:r>
      <w:r>
        <w:rPr>
          <w:szCs w:val="24"/>
        </w:rPr>
        <w:tab/>
      </w:r>
      <w:r>
        <w:rPr>
          <w:szCs w:val="24"/>
        </w:rPr>
        <w:tab/>
      </w:r>
      <w:r>
        <w:rPr>
          <w:szCs w:val="24"/>
        </w:rPr>
        <w:tab/>
      </w:r>
      <w:hyperlink r:id="rId9" w:history="1">
        <w:r w:rsidR="00F74752" w:rsidRPr="00EE23CF">
          <w:rPr>
            <w:rStyle w:val="Hyperlink"/>
            <w:szCs w:val="24"/>
          </w:rPr>
          <w:t>Maureen.grady@occ.ohio.gov</w:t>
        </w:r>
      </w:hyperlink>
    </w:p>
    <w:p w:rsidR="00F74752" w:rsidRDefault="00F74752">
      <w:pPr>
        <w:rPr>
          <w:szCs w:val="24"/>
        </w:rPr>
      </w:pPr>
    </w:p>
    <w:p w:rsidR="00C63A2A" w:rsidRDefault="00C63A2A">
      <w:pPr>
        <w:pStyle w:val="HTMLPreformatted"/>
        <w:jc w:val="center"/>
        <w:rPr>
          <w:rFonts w:ascii="Times New Roman" w:hAnsi="Times New Roman"/>
          <w:b/>
          <w:bCs/>
          <w:sz w:val="24"/>
        </w:rPr>
      </w:pPr>
    </w:p>
    <w:p w:rsidR="00F74752" w:rsidRDefault="00F74752">
      <w:pPr>
        <w:pStyle w:val="HTMLPreformatted"/>
        <w:jc w:val="center"/>
        <w:rPr>
          <w:rFonts w:ascii="Times New Roman" w:hAnsi="Times New Roman"/>
          <w:b/>
          <w:bCs/>
          <w:sz w:val="24"/>
        </w:rPr>
        <w:sectPr w:rsidR="00F7475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C63A2A" w:rsidRDefault="00C63A2A">
      <w:pPr>
        <w:pStyle w:val="HTMLPreformatted"/>
        <w:jc w:val="center"/>
        <w:rPr>
          <w:rFonts w:ascii="Times New Roman" w:hAnsi="Times New Roman"/>
          <w:b/>
          <w:bCs/>
          <w:sz w:val="24"/>
        </w:rPr>
      </w:pPr>
      <w:r>
        <w:rPr>
          <w:rFonts w:ascii="Times New Roman" w:hAnsi="Times New Roman"/>
          <w:b/>
          <w:bCs/>
          <w:sz w:val="24"/>
        </w:rPr>
        <w:lastRenderedPageBreak/>
        <w:t>TABLE OF CONTENTS</w:t>
      </w:r>
    </w:p>
    <w:p w:rsidR="00C63A2A" w:rsidRDefault="00C63A2A">
      <w:pPr>
        <w:pStyle w:val="HTMLPreformatted"/>
        <w:jc w:val="right"/>
        <w:rPr>
          <w:rFonts w:ascii="Times New Roman" w:hAnsi="Times New Roman"/>
          <w:b/>
          <w:bCs/>
          <w:sz w:val="24"/>
          <w:u w:val="single"/>
        </w:rPr>
      </w:pPr>
      <w:r>
        <w:rPr>
          <w:rFonts w:ascii="Times New Roman" w:hAnsi="Times New Roman"/>
          <w:b/>
          <w:bCs/>
          <w:sz w:val="24"/>
          <w:u w:val="single"/>
        </w:rPr>
        <w:t>Page</w:t>
      </w:r>
    </w:p>
    <w:p w:rsidR="00C63A2A" w:rsidRDefault="00C63A2A">
      <w:pPr>
        <w:pStyle w:val="HTMLPreformatted"/>
        <w:rPr>
          <w:rFonts w:ascii="Times New Roman" w:hAnsi="Times New Roman"/>
          <w:b/>
          <w:bCs/>
          <w:sz w:val="24"/>
        </w:rPr>
      </w:pPr>
    </w:p>
    <w:p w:rsidR="00610034" w:rsidRPr="006A1A36" w:rsidRDefault="00C63A2A">
      <w:pPr>
        <w:pStyle w:val="TOC1"/>
        <w:rPr>
          <w:rFonts w:ascii="Calibri" w:eastAsia="MS Mincho" w:hAnsi="Calibri"/>
          <w:caps w:val="0"/>
          <w:noProof/>
          <w:sz w:val="22"/>
          <w:szCs w:val="22"/>
        </w:rPr>
      </w:pPr>
      <w:r>
        <w:rPr>
          <w:b/>
          <w:bCs/>
        </w:rPr>
        <w:fldChar w:fldCharType="begin"/>
      </w:r>
      <w:r>
        <w:rPr>
          <w:b/>
          <w:bCs/>
        </w:rPr>
        <w:instrText xml:space="preserve"> TOC \o "1-3" \h \z \u </w:instrText>
      </w:r>
      <w:r>
        <w:rPr>
          <w:b/>
          <w:bCs/>
        </w:rPr>
        <w:fldChar w:fldCharType="separate"/>
      </w:r>
      <w:hyperlink w:anchor="_Toc384648673" w:history="1">
        <w:r w:rsidR="00610034" w:rsidRPr="0049425F">
          <w:rPr>
            <w:rStyle w:val="Hyperlink"/>
            <w:noProof/>
          </w:rPr>
          <w:t>I.</w:t>
        </w:r>
        <w:r w:rsidR="00610034" w:rsidRPr="006A1A36">
          <w:rPr>
            <w:rFonts w:ascii="Calibri" w:eastAsia="MS Mincho" w:hAnsi="Calibri"/>
            <w:caps w:val="0"/>
            <w:noProof/>
            <w:sz w:val="22"/>
            <w:szCs w:val="22"/>
          </w:rPr>
          <w:tab/>
        </w:r>
        <w:r w:rsidR="00610034" w:rsidRPr="0049425F">
          <w:rPr>
            <w:rStyle w:val="Hyperlink"/>
            <w:noProof/>
          </w:rPr>
          <w:t>INTRODUCTION</w:t>
        </w:r>
        <w:r w:rsidR="00610034">
          <w:rPr>
            <w:noProof/>
            <w:webHidden/>
          </w:rPr>
          <w:tab/>
        </w:r>
        <w:r w:rsidR="00610034">
          <w:rPr>
            <w:noProof/>
            <w:webHidden/>
          </w:rPr>
          <w:fldChar w:fldCharType="begin"/>
        </w:r>
        <w:r w:rsidR="00610034">
          <w:rPr>
            <w:noProof/>
            <w:webHidden/>
          </w:rPr>
          <w:instrText xml:space="preserve"> PAGEREF _Toc384648673 \h </w:instrText>
        </w:r>
        <w:r w:rsidR="00610034">
          <w:rPr>
            <w:noProof/>
            <w:webHidden/>
          </w:rPr>
        </w:r>
        <w:r w:rsidR="00610034">
          <w:rPr>
            <w:noProof/>
            <w:webHidden/>
          </w:rPr>
          <w:fldChar w:fldCharType="separate"/>
        </w:r>
        <w:r w:rsidR="00B64109">
          <w:rPr>
            <w:noProof/>
            <w:webHidden/>
          </w:rPr>
          <w:t>1</w:t>
        </w:r>
        <w:r w:rsidR="00610034">
          <w:rPr>
            <w:noProof/>
            <w:webHidden/>
          </w:rPr>
          <w:fldChar w:fldCharType="end"/>
        </w:r>
      </w:hyperlink>
    </w:p>
    <w:p w:rsidR="00610034" w:rsidRPr="006A1A36" w:rsidRDefault="003B6847">
      <w:pPr>
        <w:pStyle w:val="TOC1"/>
        <w:rPr>
          <w:rFonts w:ascii="Calibri" w:eastAsia="MS Mincho" w:hAnsi="Calibri"/>
          <w:caps w:val="0"/>
          <w:noProof/>
          <w:sz w:val="22"/>
          <w:szCs w:val="22"/>
        </w:rPr>
      </w:pPr>
      <w:hyperlink w:anchor="_Toc384648674" w:history="1">
        <w:r w:rsidR="00610034" w:rsidRPr="0049425F">
          <w:rPr>
            <w:rStyle w:val="Hyperlink"/>
            <w:noProof/>
          </w:rPr>
          <w:t>II.</w:t>
        </w:r>
        <w:r w:rsidR="00610034" w:rsidRPr="006A1A36">
          <w:rPr>
            <w:rFonts w:ascii="Calibri" w:eastAsia="MS Mincho" w:hAnsi="Calibri"/>
            <w:caps w:val="0"/>
            <w:noProof/>
            <w:sz w:val="22"/>
            <w:szCs w:val="22"/>
          </w:rPr>
          <w:tab/>
        </w:r>
        <w:r w:rsidR="00610034" w:rsidRPr="0049425F">
          <w:rPr>
            <w:rStyle w:val="Hyperlink"/>
            <w:noProof/>
          </w:rPr>
          <w:t>REPLY COMMENTS</w:t>
        </w:r>
        <w:r w:rsidR="00610034">
          <w:rPr>
            <w:noProof/>
            <w:webHidden/>
          </w:rPr>
          <w:tab/>
        </w:r>
        <w:r w:rsidR="00610034">
          <w:rPr>
            <w:noProof/>
            <w:webHidden/>
          </w:rPr>
          <w:fldChar w:fldCharType="begin"/>
        </w:r>
        <w:r w:rsidR="00610034">
          <w:rPr>
            <w:noProof/>
            <w:webHidden/>
          </w:rPr>
          <w:instrText xml:space="preserve"> PAGEREF _Toc384648674 \h </w:instrText>
        </w:r>
        <w:r w:rsidR="00610034">
          <w:rPr>
            <w:noProof/>
            <w:webHidden/>
          </w:rPr>
        </w:r>
        <w:r w:rsidR="00610034">
          <w:rPr>
            <w:noProof/>
            <w:webHidden/>
          </w:rPr>
          <w:fldChar w:fldCharType="separate"/>
        </w:r>
        <w:r w:rsidR="00B64109">
          <w:rPr>
            <w:noProof/>
            <w:webHidden/>
          </w:rPr>
          <w:t>4</w:t>
        </w:r>
        <w:r w:rsidR="00610034">
          <w:rPr>
            <w:noProof/>
            <w:webHidden/>
          </w:rPr>
          <w:fldChar w:fldCharType="end"/>
        </w:r>
      </w:hyperlink>
    </w:p>
    <w:p w:rsidR="00610034" w:rsidRPr="006A1A36" w:rsidRDefault="003B6847">
      <w:pPr>
        <w:pStyle w:val="TOC2"/>
        <w:tabs>
          <w:tab w:val="left" w:pos="1440"/>
        </w:tabs>
        <w:rPr>
          <w:rFonts w:ascii="Calibri" w:eastAsia="MS Mincho" w:hAnsi="Calibri"/>
          <w:noProof/>
          <w:sz w:val="22"/>
          <w:szCs w:val="22"/>
        </w:rPr>
      </w:pPr>
      <w:hyperlink w:anchor="_Toc384648675" w:history="1">
        <w:r w:rsidR="00610034" w:rsidRPr="0049425F">
          <w:rPr>
            <w:rStyle w:val="Hyperlink"/>
            <w:noProof/>
          </w:rPr>
          <w:t>A.</w:t>
        </w:r>
        <w:r w:rsidR="00610034" w:rsidRPr="006A1A36">
          <w:rPr>
            <w:rFonts w:ascii="Calibri" w:eastAsia="MS Mincho" w:hAnsi="Calibri"/>
            <w:noProof/>
            <w:sz w:val="22"/>
            <w:szCs w:val="22"/>
          </w:rPr>
          <w:tab/>
        </w:r>
        <w:r w:rsidR="00610034" w:rsidRPr="0049425F">
          <w:rPr>
            <w:rStyle w:val="Hyperlink"/>
            <w:noProof/>
          </w:rPr>
          <w:t>Commenters Agree That DP&amp;L’s Supplemental Application Lacks Necessary Details To Make A Proper Review And That A Hearing Will Be Necessary To Consider The Impacts On Consumers From DP&amp;L’s Many Rate-Related Proposals.</w:t>
        </w:r>
        <w:r w:rsidR="00610034">
          <w:rPr>
            <w:noProof/>
            <w:webHidden/>
          </w:rPr>
          <w:tab/>
        </w:r>
        <w:r w:rsidR="00610034">
          <w:rPr>
            <w:noProof/>
            <w:webHidden/>
          </w:rPr>
          <w:fldChar w:fldCharType="begin"/>
        </w:r>
        <w:r w:rsidR="00610034">
          <w:rPr>
            <w:noProof/>
            <w:webHidden/>
          </w:rPr>
          <w:instrText xml:space="preserve"> PAGEREF _Toc384648675 \h </w:instrText>
        </w:r>
        <w:r w:rsidR="00610034">
          <w:rPr>
            <w:noProof/>
            <w:webHidden/>
          </w:rPr>
        </w:r>
        <w:r w:rsidR="00610034">
          <w:rPr>
            <w:noProof/>
            <w:webHidden/>
          </w:rPr>
          <w:fldChar w:fldCharType="separate"/>
        </w:r>
        <w:r w:rsidR="00B64109">
          <w:rPr>
            <w:noProof/>
            <w:webHidden/>
          </w:rPr>
          <w:t>4</w:t>
        </w:r>
        <w:r w:rsidR="00610034">
          <w:rPr>
            <w:noProof/>
            <w:webHidden/>
          </w:rPr>
          <w:fldChar w:fldCharType="end"/>
        </w:r>
      </w:hyperlink>
    </w:p>
    <w:p w:rsidR="00610034" w:rsidRPr="006A1A36" w:rsidRDefault="003B6847">
      <w:pPr>
        <w:pStyle w:val="TOC2"/>
        <w:tabs>
          <w:tab w:val="left" w:pos="1440"/>
        </w:tabs>
        <w:rPr>
          <w:rFonts w:ascii="Calibri" w:eastAsia="MS Mincho" w:hAnsi="Calibri"/>
          <w:noProof/>
          <w:sz w:val="22"/>
          <w:szCs w:val="22"/>
        </w:rPr>
      </w:pPr>
      <w:hyperlink w:anchor="_Toc384648676" w:history="1">
        <w:r w:rsidR="00610034" w:rsidRPr="0049425F">
          <w:rPr>
            <w:rStyle w:val="Hyperlink"/>
            <w:noProof/>
          </w:rPr>
          <w:t>B.</w:t>
        </w:r>
        <w:r w:rsidR="00610034" w:rsidRPr="006A1A36">
          <w:rPr>
            <w:rFonts w:ascii="Calibri" w:eastAsia="MS Mincho" w:hAnsi="Calibri"/>
            <w:noProof/>
            <w:sz w:val="22"/>
            <w:szCs w:val="22"/>
          </w:rPr>
          <w:tab/>
        </w:r>
        <w:r w:rsidR="00610034" w:rsidRPr="0049425F">
          <w:rPr>
            <w:rStyle w:val="Hyperlink"/>
            <w:noProof/>
          </w:rPr>
          <w:t xml:space="preserve">OCC Agrees With The Positions Of IEU-Ohio And OEG That Continuation Of DP&amp;L’s Service Stability Rider, Which Would </w:t>
        </w:r>
        <w:r w:rsidR="00610034">
          <w:rPr>
            <w:rStyle w:val="Hyperlink"/>
            <w:noProof/>
          </w:rPr>
          <w:br/>
        </w:r>
        <w:r w:rsidR="00610034" w:rsidRPr="0049425F">
          <w:rPr>
            <w:rStyle w:val="Hyperlink"/>
            <w:noProof/>
          </w:rPr>
          <w:t xml:space="preserve">Produce SSO Generation Rates That Are Higher-Than-Market After Corporate Separation, Would Be An Unjust And Unreasonable Charge </w:t>
        </w:r>
        <w:r w:rsidR="00610034">
          <w:rPr>
            <w:rStyle w:val="Hyperlink"/>
            <w:noProof/>
          </w:rPr>
          <w:br/>
        </w:r>
        <w:r w:rsidR="00610034" w:rsidRPr="0049425F">
          <w:rPr>
            <w:rStyle w:val="Hyperlink"/>
            <w:noProof/>
          </w:rPr>
          <w:t>To Customers.</w:t>
        </w:r>
        <w:r w:rsidR="00610034">
          <w:rPr>
            <w:noProof/>
            <w:webHidden/>
          </w:rPr>
          <w:tab/>
        </w:r>
        <w:r w:rsidR="00610034">
          <w:rPr>
            <w:noProof/>
            <w:webHidden/>
          </w:rPr>
          <w:fldChar w:fldCharType="begin"/>
        </w:r>
        <w:r w:rsidR="00610034">
          <w:rPr>
            <w:noProof/>
            <w:webHidden/>
          </w:rPr>
          <w:instrText xml:space="preserve"> PAGEREF _Toc384648676 \h </w:instrText>
        </w:r>
        <w:r w:rsidR="00610034">
          <w:rPr>
            <w:noProof/>
            <w:webHidden/>
          </w:rPr>
        </w:r>
        <w:r w:rsidR="00610034">
          <w:rPr>
            <w:noProof/>
            <w:webHidden/>
          </w:rPr>
          <w:fldChar w:fldCharType="separate"/>
        </w:r>
        <w:r w:rsidR="00B64109">
          <w:rPr>
            <w:noProof/>
            <w:webHidden/>
          </w:rPr>
          <w:t>5</w:t>
        </w:r>
        <w:r w:rsidR="00610034">
          <w:rPr>
            <w:noProof/>
            <w:webHidden/>
          </w:rPr>
          <w:fldChar w:fldCharType="end"/>
        </w:r>
      </w:hyperlink>
    </w:p>
    <w:p w:rsidR="00610034" w:rsidRPr="006A1A36" w:rsidRDefault="003B6847">
      <w:pPr>
        <w:pStyle w:val="TOC2"/>
        <w:tabs>
          <w:tab w:val="left" w:pos="1440"/>
        </w:tabs>
        <w:rPr>
          <w:rFonts w:ascii="Calibri" w:eastAsia="MS Mincho" w:hAnsi="Calibri"/>
          <w:noProof/>
          <w:sz w:val="22"/>
          <w:szCs w:val="22"/>
        </w:rPr>
      </w:pPr>
      <w:hyperlink w:anchor="_Toc384648677" w:history="1">
        <w:r w:rsidR="00610034" w:rsidRPr="0049425F">
          <w:rPr>
            <w:rStyle w:val="Hyperlink"/>
            <w:noProof/>
          </w:rPr>
          <w:t>C.</w:t>
        </w:r>
        <w:r w:rsidR="00610034" w:rsidRPr="006A1A36">
          <w:rPr>
            <w:rFonts w:ascii="Calibri" w:eastAsia="MS Mincho" w:hAnsi="Calibri"/>
            <w:noProof/>
            <w:sz w:val="22"/>
            <w:szCs w:val="22"/>
          </w:rPr>
          <w:tab/>
        </w:r>
        <w:r w:rsidR="00610034" w:rsidRPr="0049425F">
          <w:rPr>
            <w:rStyle w:val="Hyperlink"/>
            <w:noProof/>
          </w:rPr>
          <w:t xml:space="preserve">If Any Costs Relating To Future Environmental Liabilities Are </w:t>
        </w:r>
        <w:r w:rsidR="00610034">
          <w:rPr>
            <w:rStyle w:val="Hyperlink"/>
            <w:noProof/>
          </w:rPr>
          <w:br/>
        </w:r>
        <w:r w:rsidR="00610034" w:rsidRPr="0049425F">
          <w:rPr>
            <w:rStyle w:val="Hyperlink"/>
            <w:noProof/>
          </w:rPr>
          <w:t xml:space="preserve">Permitted To Be Collected From Customers, Which OCC Opposes, </w:t>
        </w:r>
        <w:r w:rsidR="00610034">
          <w:rPr>
            <w:rStyle w:val="Hyperlink"/>
            <w:noProof/>
          </w:rPr>
          <w:br/>
        </w:r>
        <w:r w:rsidR="00610034" w:rsidRPr="0049425F">
          <w:rPr>
            <w:rStyle w:val="Hyperlink"/>
            <w:noProof/>
          </w:rPr>
          <w:t>All Customers Should Pay, Not Just SSO Customers.</w:t>
        </w:r>
        <w:r w:rsidR="00610034">
          <w:rPr>
            <w:noProof/>
            <w:webHidden/>
          </w:rPr>
          <w:tab/>
        </w:r>
        <w:r w:rsidR="00610034">
          <w:rPr>
            <w:noProof/>
            <w:webHidden/>
          </w:rPr>
          <w:fldChar w:fldCharType="begin"/>
        </w:r>
        <w:r w:rsidR="00610034">
          <w:rPr>
            <w:noProof/>
            <w:webHidden/>
          </w:rPr>
          <w:instrText xml:space="preserve"> PAGEREF _Toc384648677 \h </w:instrText>
        </w:r>
        <w:r w:rsidR="00610034">
          <w:rPr>
            <w:noProof/>
            <w:webHidden/>
          </w:rPr>
        </w:r>
        <w:r w:rsidR="00610034">
          <w:rPr>
            <w:noProof/>
            <w:webHidden/>
          </w:rPr>
          <w:fldChar w:fldCharType="separate"/>
        </w:r>
        <w:r w:rsidR="00B64109">
          <w:rPr>
            <w:noProof/>
            <w:webHidden/>
          </w:rPr>
          <w:t>6</w:t>
        </w:r>
        <w:r w:rsidR="00610034">
          <w:rPr>
            <w:noProof/>
            <w:webHidden/>
          </w:rPr>
          <w:fldChar w:fldCharType="end"/>
        </w:r>
      </w:hyperlink>
    </w:p>
    <w:p w:rsidR="00610034" w:rsidRPr="006A1A36" w:rsidRDefault="003B6847">
      <w:pPr>
        <w:pStyle w:val="TOC2"/>
        <w:tabs>
          <w:tab w:val="left" w:pos="1440"/>
        </w:tabs>
        <w:rPr>
          <w:rFonts w:ascii="Calibri" w:eastAsia="MS Mincho" w:hAnsi="Calibri"/>
          <w:noProof/>
          <w:sz w:val="22"/>
          <w:szCs w:val="22"/>
        </w:rPr>
      </w:pPr>
      <w:hyperlink w:anchor="_Toc384648678" w:history="1">
        <w:r w:rsidR="00610034" w:rsidRPr="0049425F">
          <w:rPr>
            <w:rStyle w:val="Hyperlink"/>
            <w:noProof/>
          </w:rPr>
          <w:t>D.</w:t>
        </w:r>
        <w:r w:rsidR="00610034" w:rsidRPr="006A1A36">
          <w:rPr>
            <w:rFonts w:ascii="Calibri" w:eastAsia="MS Mincho" w:hAnsi="Calibri"/>
            <w:noProof/>
            <w:sz w:val="22"/>
            <w:szCs w:val="22"/>
          </w:rPr>
          <w:tab/>
        </w:r>
        <w:r w:rsidR="00610034" w:rsidRPr="0049425F">
          <w:rPr>
            <w:rStyle w:val="Hyperlink"/>
            <w:noProof/>
          </w:rPr>
          <w:t>To The Extent Any OVEC Costs Are Permitted To Be Charged To Customers, The Charge Should Be Non-Bypassable.</w:t>
        </w:r>
        <w:r w:rsidR="00610034">
          <w:rPr>
            <w:noProof/>
            <w:webHidden/>
          </w:rPr>
          <w:tab/>
        </w:r>
        <w:r w:rsidR="00610034">
          <w:rPr>
            <w:noProof/>
            <w:webHidden/>
          </w:rPr>
          <w:fldChar w:fldCharType="begin"/>
        </w:r>
        <w:r w:rsidR="00610034">
          <w:rPr>
            <w:noProof/>
            <w:webHidden/>
          </w:rPr>
          <w:instrText xml:space="preserve"> PAGEREF _Toc384648678 \h </w:instrText>
        </w:r>
        <w:r w:rsidR="00610034">
          <w:rPr>
            <w:noProof/>
            <w:webHidden/>
          </w:rPr>
        </w:r>
        <w:r w:rsidR="00610034">
          <w:rPr>
            <w:noProof/>
            <w:webHidden/>
          </w:rPr>
          <w:fldChar w:fldCharType="separate"/>
        </w:r>
        <w:r w:rsidR="00B64109">
          <w:rPr>
            <w:noProof/>
            <w:webHidden/>
          </w:rPr>
          <w:t>8</w:t>
        </w:r>
        <w:r w:rsidR="00610034">
          <w:rPr>
            <w:noProof/>
            <w:webHidden/>
          </w:rPr>
          <w:fldChar w:fldCharType="end"/>
        </w:r>
      </w:hyperlink>
    </w:p>
    <w:p w:rsidR="00610034" w:rsidRPr="006A1A36" w:rsidRDefault="003B6847">
      <w:pPr>
        <w:pStyle w:val="TOC2"/>
        <w:tabs>
          <w:tab w:val="left" w:pos="1440"/>
        </w:tabs>
        <w:rPr>
          <w:rFonts w:ascii="Calibri" w:eastAsia="MS Mincho" w:hAnsi="Calibri"/>
          <w:noProof/>
          <w:sz w:val="22"/>
          <w:szCs w:val="22"/>
        </w:rPr>
      </w:pPr>
      <w:hyperlink w:anchor="_Toc384648679" w:history="1">
        <w:r w:rsidR="00610034" w:rsidRPr="0049425F">
          <w:rPr>
            <w:rStyle w:val="Hyperlink"/>
            <w:noProof/>
          </w:rPr>
          <w:t>E.</w:t>
        </w:r>
        <w:r w:rsidR="00610034" w:rsidRPr="006A1A36">
          <w:rPr>
            <w:rFonts w:ascii="Calibri" w:eastAsia="MS Mincho" w:hAnsi="Calibri"/>
            <w:noProof/>
            <w:sz w:val="22"/>
            <w:szCs w:val="22"/>
          </w:rPr>
          <w:tab/>
        </w:r>
        <w:r w:rsidR="00610034" w:rsidRPr="0049425F">
          <w:rPr>
            <w:rStyle w:val="Hyperlink"/>
            <w:noProof/>
          </w:rPr>
          <w:t xml:space="preserve">Costs Of Divestiture Should Not Be Permitted To Be Charged To </w:t>
        </w:r>
        <w:r w:rsidR="00610034">
          <w:rPr>
            <w:rStyle w:val="Hyperlink"/>
            <w:noProof/>
          </w:rPr>
          <w:br/>
        </w:r>
        <w:r w:rsidR="00610034" w:rsidRPr="0049425F">
          <w:rPr>
            <w:rStyle w:val="Hyperlink"/>
            <w:noProof/>
          </w:rPr>
          <w:t xml:space="preserve">DP&amp;L Customers But, If Any Charge Is Permitted, The Charge </w:t>
        </w:r>
        <w:r w:rsidR="00610034">
          <w:rPr>
            <w:rStyle w:val="Hyperlink"/>
            <w:noProof/>
          </w:rPr>
          <w:br/>
        </w:r>
        <w:r w:rsidR="00610034" w:rsidRPr="0049425F">
          <w:rPr>
            <w:rStyle w:val="Hyperlink"/>
            <w:noProof/>
          </w:rPr>
          <w:t>Should Be Non-Bypassable.</w:t>
        </w:r>
        <w:r w:rsidR="00610034">
          <w:rPr>
            <w:noProof/>
            <w:webHidden/>
          </w:rPr>
          <w:tab/>
        </w:r>
        <w:r w:rsidR="00610034">
          <w:rPr>
            <w:noProof/>
            <w:webHidden/>
          </w:rPr>
          <w:fldChar w:fldCharType="begin"/>
        </w:r>
        <w:r w:rsidR="00610034">
          <w:rPr>
            <w:noProof/>
            <w:webHidden/>
          </w:rPr>
          <w:instrText xml:space="preserve"> PAGEREF _Toc384648679 \h </w:instrText>
        </w:r>
        <w:r w:rsidR="00610034">
          <w:rPr>
            <w:noProof/>
            <w:webHidden/>
          </w:rPr>
        </w:r>
        <w:r w:rsidR="00610034">
          <w:rPr>
            <w:noProof/>
            <w:webHidden/>
          </w:rPr>
          <w:fldChar w:fldCharType="separate"/>
        </w:r>
        <w:r w:rsidR="00B64109">
          <w:rPr>
            <w:noProof/>
            <w:webHidden/>
          </w:rPr>
          <w:t>10</w:t>
        </w:r>
        <w:r w:rsidR="00610034">
          <w:rPr>
            <w:noProof/>
            <w:webHidden/>
          </w:rPr>
          <w:fldChar w:fldCharType="end"/>
        </w:r>
      </w:hyperlink>
    </w:p>
    <w:p w:rsidR="00610034" w:rsidRPr="006A1A36" w:rsidRDefault="003B6847">
      <w:pPr>
        <w:pStyle w:val="TOC2"/>
        <w:tabs>
          <w:tab w:val="left" w:pos="1440"/>
        </w:tabs>
        <w:rPr>
          <w:rFonts w:ascii="Calibri" w:eastAsia="MS Mincho" w:hAnsi="Calibri"/>
          <w:noProof/>
          <w:sz w:val="22"/>
          <w:szCs w:val="22"/>
        </w:rPr>
      </w:pPr>
      <w:hyperlink w:anchor="_Toc384648680" w:history="1">
        <w:r w:rsidR="00610034" w:rsidRPr="0049425F">
          <w:rPr>
            <w:rStyle w:val="Hyperlink"/>
            <w:noProof/>
          </w:rPr>
          <w:t>F.</w:t>
        </w:r>
        <w:r w:rsidR="00610034" w:rsidRPr="006A1A36">
          <w:rPr>
            <w:rFonts w:ascii="Calibri" w:eastAsia="MS Mincho" w:hAnsi="Calibri"/>
            <w:noProof/>
            <w:sz w:val="22"/>
            <w:szCs w:val="22"/>
          </w:rPr>
          <w:tab/>
        </w:r>
        <w:r w:rsidR="00610034" w:rsidRPr="0049425F">
          <w:rPr>
            <w:rStyle w:val="Hyperlink"/>
            <w:noProof/>
          </w:rPr>
          <w:t xml:space="preserve">DP&amp;L’s Proposal To Finance Its Generation Asset Sale Or Transfer </w:t>
        </w:r>
        <w:r w:rsidR="00610034">
          <w:rPr>
            <w:rStyle w:val="Hyperlink"/>
            <w:noProof/>
          </w:rPr>
          <w:br/>
        </w:r>
        <w:r w:rsidR="00610034" w:rsidRPr="0049425F">
          <w:rPr>
            <w:rStyle w:val="Hyperlink"/>
            <w:noProof/>
          </w:rPr>
          <w:t>By Increasing Its Debt Is Problematic.</w:t>
        </w:r>
        <w:r w:rsidR="00610034">
          <w:rPr>
            <w:noProof/>
            <w:webHidden/>
          </w:rPr>
          <w:tab/>
        </w:r>
        <w:r w:rsidR="00610034">
          <w:rPr>
            <w:noProof/>
            <w:webHidden/>
          </w:rPr>
          <w:fldChar w:fldCharType="begin"/>
        </w:r>
        <w:r w:rsidR="00610034">
          <w:rPr>
            <w:noProof/>
            <w:webHidden/>
          </w:rPr>
          <w:instrText xml:space="preserve"> PAGEREF _Toc384648680 \h </w:instrText>
        </w:r>
        <w:r w:rsidR="00610034">
          <w:rPr>
            <w:noProof/>
            <w:webHidden/>
          </w:rPr>
        </w:r>
        <w:r w:rsidR="00610034">
          <w:rPr>
            <w:noProof/>
            <w:webHidden/>
          </w:rPr>
          <w:fldChar w:fldCharType="separate"/>
        </w:r>
        <w:r w:rsidR="00B64109">
          <w:rPr>
            <w:noProof/>
            <w:webHidden/>
          </w:rPr>
          <w:t>10</w:t>
        </w:r>
        <w:r w:rsidR="00610034">
          <w:rPr>
            <w:noProof/>
            <w:webHidden/>
          </w:rPr>
          <w:fldChar w:fldCharType="end"/>
        </w:r>
      </w:hyperlink>
    </w:p>
    <w:p w:rsidR="00610034" w:rsidRPr="006A1A36" w:rsidRDefault="003B6847">
      <w:pPr>
        <w:pStyle w:val="TOC1"/>
        <w:rPr>
          <w:rFonts w:ascii="Calibri" w:eastAsia="MS Mincho" w:hAnsi="Calibri"/>
          <w:caps w:val="0"/>
          <w:noProof/>
          <w:sz w:val="22"/>
          <w:szCs w:val="22"/>
        </w:rPr>
      </w:pPr>
      <w:hyperlink w:anchor="_Toc384648681" w:history="1">
        <w:r w:rsidR="00610034" w:rsidRPr="0049425F">
          <w:rPr>
            <w:rStyle w:val="Hyperlink"/>
            <w:noProof/>
          </w:rPr>
          <w:t>III.</w:t>
        </w:r>
        <w:r w:rsidR="00610034" w:rsidRPr="006A1A36">
          <w:rPr>
            <w:rFonts w:ascii="Calibri" w:eastAsia="MS Mincho" w:hAnsi="Calibri"/>
            <w:caps w:val="0"/>
            <w:noProof/>
            <w:sz w:val="22"/>
            <w:szCs w:val="22"/>
          </w:rPr>
          <w:tab/>
        </w:r>
        <w:r w:rsidR="00610034" w:rsidRPr="0049425F">
          <w:rPr>
            <w:rStyle w:val="Hyperlink"/>
            <w:noProof/>
          </w:rPr>
          <w:t>CONCLUSION</w:t>
        </w:r>
        <w:r w:rsidR="00610034">
          <w:rPr>
            <w:noProof/>
            <w:webHidden/>
          </w:rPr>
          <w:tab/>
        </w:r>
        <w:r w:rsidR="00610034">
          <w:rPr>
            <w:noProof/>
            <w:webHidden/>
          </w:rPr>
          <w:fldChar w:fldCharType="begin"/>
        </w:r>
        <w:r w:rsidR="00610034">
          <w:rPr>
            <w:noProof/>
            <w:webHidden/>
          </w:rPr>
          <w:instrText xml:space="preserve"> PAGEREF _Toc384648681 \h </w:instrText>
        </w:r>
        <w:r w:rsidR="00610034">
          <w:rPr>
            <w:noProof/>
            <w:webHidden/>
          </w:rPr>
        </w:r>
        <w:r w:rsidR="00610034">
          <w:rPr>
            <w:noProof/>
            <w:webHidden/>
          </w:rPr>
          <w:fldChar w:fldCharType="separate"/>
        </w:r>
        <w:r w:rsidR="00B64109">
          <w:rPr>
            <w:noProof/>
            <w:webHidden/>
          </w:rPr>
          <w:t>11</w:t>
        </w:r>
        <w:r w:rsidR="00610034">
          <w:rPr>
            <w:noProof/>
            <w:webHidden/>
          </w:rPr>
          <w:fldChar w:fldCharType="end"/>
        </w:r>
      </w:hyperlink>
    </w:p>
    <w:p w:rsidR="00C63A2A" w:rsidRDefault="00C63A2A">
      <w:pPr>
        <w:pStyle w:val="HTMLPreformatted"/>
        <w:tabs>
          <w:tab w:val="clear" w:pos="9160"/>
          <w:tab w:val="decimal" w:leader="dot" w:pos="8640"/>
        </w:tabs>
        <w:ind w:right="720"/>
        <w:rPr>
          <w:rFonts w:ascii="Times New Roman" w:hAnsi="Times New Roman"/>
          <w:b/>
          <w:bCs/>
          <w:sz w:val="24"/>
        </w:rPr>
      </w:pPr>
      <w:r>
        <w:rPr>
          <w:rFonts w:ascii="Times New Roman" w:hAnsi="Times New Roman"/>
          <w:b/>
          <w:bCs/>
          <w:sz w:val="24"/>
        </w:rPr>
        <w:fldChar w:fldCharType="end"/>
      </w:r>
    </w:p>
    <w:p w:rsidR="00C63A2A" w:rsidRDefault="00C63A2A">
      <w:pPr>
        <w:pStyle w:val="HTMLPreformatted"/>
        <w:jc w:val="center"/>
        <w:rPr>
          <w:rFonts w:ascii="Times New Roman" w:hAnsi="Times New Roman"/>
          <w:b/>
          <w:bCs/>
          <w:sz w:val="24"/>
        </w:rPr>
        <w:sectPr w:rsidR="00C63A2A">
          <w:headerReference w:type="even" r:id="rId16"/>
          <w:headerReference w:type="default" r:id="rId17"/>
          <w:headerReference w:type="first" r:id="rId18"/>
          <w:footerReference w:type="first" r:id="rId19"/>
          <w:pgSz w:w="12240" w:h="15840"/>
          <w:pgMar w:top="1440" w:right="1800" w:bottom="1440" w:left="1800" w:header="720" w:footer="720" w:gutter="0"/>
          <w:pgNumType w:fmt="lowerRoman" w:start="1"/>
          <w:cols w:space="720"/>
          <w:titlePg/>
          <w:docGrid w:linePitch="65"/>
        </w:sectPr>
      </w:pPr>
    </w:p>
    <w:p w:rsidR="00C63A2A" w:rsidRDefault="00C63A2A">
      <w:pPr>
        <w:pStyle w:val="HTMLPreformatted"/>
        <w:jc w:val="center"/>
        <w:rPr>
          <w:rFonts w:ascii="Times New Roman" w:hAnsi="Times New Roman"/>
          <w:b/>
          <w:bCs/>
          <w:sz w:val="24"/>
        </w:rPr>
      </w:pPr>
      <w:r>
        <w:rPr>
          <w:rFonts w:ascii="Times New Roman" w:hAnsi="Times New Roman"/>
          <w:b/>
          <w:bCs/>
          <w:sz w:val="24"/>
        </w:rPr>
        <w:lastRenderedPageBreak/>
        <w:t>BEFORE</w:t>
      </w:r>
    </w:p>
    <w:p w:rsidR="00C63A2A" w:rsidRDefault="00C63A2A">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C63A2A" w:rsidRDefault="00C63A2A">
      <w:pPr>
        <w:pStyle w:val="HTMLPreformatted"/>
        <w:jc w:val="center"/>
        <w:rPr>
          <w:rFonts w:ascii="Times New Roman" w:hAnsi="Times New Roman"/>
          <w:sz w:val="24"/>
        </w:rPr>
      </w:pPr>
    </w:p>
    <w:tbl>
      <w:tblPr>
        <w:tblpPr w:leftFromText="180" w:rightFromText="180" w:vertAnchor="text" w:horzAnchor="margin" w:tblpY="-129"/>
        <w:tblOverlap w:val="never"/>
        <w:tblW w:w="9092" w:type="dxa"/>
        <w:tblLook w:val="01E0" w:firstRow="1" w:lastRow="1" w:firstColumn="1" w:lastColumn="1" w:noHBand="0" w:noVBand="0"/>
      </w:tblPr>
      <w:tblGrid>
        <w:gridCol w:w="4332"/>
        <w:gridCol w:w="360"/>
        <w:gridCol w:w="4400"/>
      </w:tblGrid>
      <w:tr w:rsidR="00C63A2A">
        <w:trPr>
          <w:trHeight w:val="807"/>
        </w:trPr>
        <w:tc>
          <w:tcPr>
            <w:tcW w:w="4332" w:type="dxa"/>
            <w:shd w:val="clear" w:color="auto" w:fill="auto"/>
          </w:tcPr>
          <w:p w:rsidR="00C63A2A" w:rsidRDefault="00C63A2A">
            <w:pPr>
              <w:pStyle w:val="HTMLPreformatted"/>
              <w:rPr>
                <w:rFonts w:ascii="Times New Roman" w:hAnsi="Times New Roman"/>
                <w:sz w:val="24"/>
                <w:szCs w:val="24"/>
              </w:rPr>
            </w:pPr>
            <w:r>
              <w:rPr>
                <w:rFonts w:ascii="Times New Roman" w:hAnsi="Times New Roman" w:cs="Times New Roman"/>
                <w:sz w:val="24"/>
                <w:szCs w:val="24"/>
              </w:rPr>
              <w:t>In the Matter of the Application of The Dayton Power and Light Company for Authority to Transfer or Sell Its Generation Assets.</w:t>
            </w:r>
          </w:p>
        </w:tc>
        <w:tc>
          <w:tcPr>
            <w:tcW w:w="360" w:type="dxa"/>
            <w:shd w:val="clear" w:color="auto" w:fill="auto"/>
          </w:tcPr>
          <w:p w:rsidR="00C63A2A" w:rsidRDefault="00C63A2A">
            <w:pPr>
              <w:pStyle w:val="HTMLPreformatted"/>
              <w:rPr>
                <w:rFonts w:ascii="Times New Roman" w:hAnsi="Times New Roman"/>
                <w:sz w:val="24"/>
              </w:rPr>
            </w:pPr>
            <w:r>
              <w:rPr>
                <w:rFonts w:ascii="Times New Roman" w:hAnsi="Times New Roman"/>
                <w:sz w:val="24"/>
              </w:rPr>
              <w:t>)</w:t>
            </w:r>
          </w:p>
          <w:p w:rsidR="00C63A2A" w:rsidRDefault="00C63A2A">
            <w:pPr>
              <w:pStyle w:val="HTMLPreformatted"/>
              <w:rPr>
                <w:rFonts w:ascii="Times New Roman" w:hAnsi="Times New Roman"/>
                <w:sz w:val="24"/>
              </w:rPr>
            </w:pPr>
            <w:r>
              <w:rPr>
                <w:rFonts w:ascii="Times New Roman" w:hAnsi="Times New Roman"/>
                <w:sz w:val="24"/>
              </w:rPr>
              <w:t>)</w:t>
            </w:r>
          </w:p>
          <w:p w:rsidR="00C63A2A" w:rsidRDefault="00C63A2A">
            <w:pPr>
              <w:pStyle w:val="HTMLPreformatted"/>
              <w:rPr>
                <w:rFonts w:ascii="Times New Roman" w:hAnsi="Times New Roman"/>
                <w:sz w:val="24"/>
              </w:rPr>
            </w:pPr>
            <w:r>
              <w:rPr>
                <w:rFonts w:ascii="Times New Roman" w:hAnsi="Times New Roman"/>
                <w:sz w:val="24"/>
              </w:rPr>
              <w:t>)</w:t>
            </w:r>
          </w:p>
          <w:p w:rsidR="00C63A2A" w:rsidRDefault="00C63A2A">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C63A2A" w:rsidRDefault="00C63A2A">
            <w:pPr>
              <w:pStyle w:val="HTMLPreformatted"/>
              <w:rPr>
                <w:rFonts w:ascii="Times New Roman" w:hAnsi="Times New Roman"/>
                <w:sz w:val="24"/>
              </w:rPr>
            </w:pPr>
          </w:p>
          <w:p w:rsidR="00C63A2A" w:rsidRDefault="00C63A2A">
            <w:pPr>
              <w:pStyle w:val="HTMLPreformatted"/>
              <w:rPr>
                <w:rFonts w:ascii="Times New Roman" w:hAnsi="Times New Roman"/>
                <w:sz w:val="24"/>
              </w:rPr>
            </w:pPr>
            <w:r>
              <w:rPr>
                <w:rFonts w:ascii="Times New Roman" w:hAnsi="Times New Roman"/>
                <w:sz w:val="24"/>
              </w:rPr>
              <w:t>Case No. 13-2420-EL-UNC</w:t>
            </w:r>
          </w:p>
          <w:p w:rsidR="00C63A2A" w:rsidRDefault="00C63A2A">
            <w:pPr>
              <w:pStyle w:val="HTMLPreformatted"/>
              <w:rPr>
                <w:rFonts w:ascii="Times New Roman" w:hAnsi="Times New Roman"/>
                <w:sz w:val="24"/>
              </w:rPr>
            </w:pPr>
          </w:p>
        </w:tc>
      </w:tr>
    </w:tbl>
    <w:p w:rsidR="00C63A2A" w:rsidRDefault="00C63A2A">
      <w:pPr>
        <w:pStyle w:val="HTMLPreformatted"/>
        <w:pBdr>
          <w:bottom w:val="single" w:sz="12" w:space="1" w:color="auto"/>
        </w:pBdr>
        <w:rPr>
          <w:rFonts w:ascii="Times New Roman" w:hAnsi="Times New Roman"/>
          <w:sz w:val="24"/>
        </w:rPr>
      </w:pPr>
    </w:p>
    <w:p w:rsidR="00C63A2A" w:rsidRDefault="00C63A2A"/>
    <w:p w:rsidR="00C63A2A" w:rsidRDefault="00C63A2A">
      <w:pPr>
        <w:jc w:val="center"/>
        <w:rPr>
          <w:b/>
        </w:rPr>
      </w:pPr>
      <w:r>
        <w:rPr>
          <w:b/>
        </w:rPr>
        <w:t xml:space="preserve">REPLY COMMENTS ON DP&amp;L’S SUPPLEMENTAL APPLICATION </w:t>
      </w:r>
    </w:p>
    <w:p w:rsidR="00C63A2A" w:rsidRDefault="00C63A2A">
      <w:pPr>
        <w:jc w:val="center"/>
        <w:rPr>
          <w:b/>
        </w:rPr>
      </w:pPr>
      <w:r>
        <w:rPr>
          <w:b/>
        </w:rPr>
        <w:t>BY</w:t>
      </w:r>
    </w:p>
    <w:p w:rsidR="00C63A2A" w:rsidRDefault="00C63A2A">
      <w:pPr>
        <w:pBdr>
          <w:bottom w:val="single" w:sz="12" w:space="1" w:color="auto"/>
        </w:pBdr>
        <w:jc w:val="center"/>
        <w:rPr>
          <w:b/>
        </w:rPr>
      </w:pPr>
      <w:r>
        <w:rPr>
          <w:b/>
        </w:rPr>
        <w:t>THE OFFICE OF THE OHIO CONSUMERS’ COUNSEL</w:t>
      </w:r>
    </w:p>
    <w:p w:rsidR="00C63A2A" w:rsidRDefault="00C63A2A">
      <w:pPr>
        <w:pBdr>
          <w:bottom w:val="single" w:sz="12" w:space="1" w:color="auto"/>
        </w:pBdr>
        <w:jc w:val="center"/>
        <w:rPr>
          <w:b/>
        </w:rPr>
      </w:pPr>
    </w:p>
    <w:p w:rsidR="00C63A2A" w:rsidRDefault="00C63A2A"/>
    <w:p w:rsidR="00C63A2A" w:rsidRDefault="00C63A2A">
      <w:pPr>
        <w:pStyle w:val="Heading1"/>
      </w:pPr>
      <w:bookmarkStart w:id="1" w:name="_Toc384648673"/>
      <w:r>
        <w:t>I.</w:t>
      </w:r>
      <w:r>
        <w:tab/>
        <w:t>INTRODUCTION</w:t>
      </w:r>
      <w:bookmarkEnd w:id="1"/>
    </w:p>
    <w:p w:rsidR="00A3538E" w:rsidRDefault="00C63A2A" w:rsidP="00A3538E">
      <w:pPr>
        <w:pStyle w:val="BodyTextIndent3"/>
        <w:widowControl w:val="0"/>
        <w:spacing w:line="480" w:lineRule="auto"/>
        <w:ind w:right="-24"/>
      </w:pPr>
      <w:r>
        <w:t>On March 25, 2014, numerous parties</w:t>
      </w:r>
      <w:r w:rsidR="006F2A13">
        <w:t>, including OCC,</w:t>
      </w:r>
      <w:r>
        <w:t xml:space="preserve"> filed Comments </w:t>
      </w:r>
      <w:r w:rsidR="009A7B91">
        <w:t xml:space="preserve">regarding the many adverse effects on customers’ rates that </w:t>
      </w:r>
      <w:r>
        <w:t xml:space="preserve"> Dayton Power &amp; Light Company’s (“DP&amp;L” or “Utility”) Supplemental Application for Sale or Transfer of Generation Assets (“Supplemental Application”)</w:t>
      </w:r>
      <w:r w:rsidR="009A7B91">
        <w:t xml:space="preserve"> would likely have</w:t>
      </w:r>
      <w:r>
        <w:t xml:space="preserve">.  Although the Supplemental Application was supposed to provide details of DP&amp;L’s proposed sale or transfer of its generation assets to an unregulated affiliate or unregulated third party, the application lacked any such details.  </w:t>
      </w:r>
      <w:r w:rsidR="00A3538E">
        <w:t>For this reason, in its Comments, OCC had urged the PUCO to reject DP&amp;L’s Supplemental Application and require it to file an application that meets legal requirements.</w:t>
      </w:r>
      <w:r w:rsidR="006F2A13">
        <w:rPr>
          <w:rStyle w:val="FootnoteReference"/>
        </w:rPr>
        <w:footnoteReference w:id="1"/>
      </w:r>
      <w:r w:rsidR="00A3538E">
        <w:t xml:space="preserve">  </w:t>
      </w:r>
    </w:p>
    <w:p w:rsidR="00A3538E" w:rsidRDefault="002C00BA" w:rsidP="00A3538E">
      <w:pPr>
        <w:pStyle w:val="BodyTextIndent3"/>
        <w:widowControl w:val="0"/>
        <w:spacing w:line="480" w:lineRule="auto"/>
        <w:ind w:right="-24"/>
      </w:pPr>
      <w:r>
        <w:t>Notwithstanding</w:t>
      </w:r>
      <w:r w:rsidR="00577937">
        <w:t xml:space="preserve"> </w:t>
      </w:r>
      <w:r w:rsidR="006F2A13">
        <w:t xml:space="preserve">the lack of details provided, OCC commented </w:t>
      </w:r>
      <w:r>
        <w:t xml:space="preserve">previously </w:t>
      </w:r>
      <w:r w:rsidR="006F2A13">
        <w:t xml:space="preserve">that </w:t>
      </w:r>
      <w:r w:rsidR="00A3538E">
        <w:t>DP&amp;L’s Supplemental Application is objectionable</w:t>
      </w:r>
      <w:r>
        <w:t xml:space="preserve"> and not in the public interest</w:t>
      </w:r>
      <w:r w:rsidR="00A3538E">
        <w:t xml:space="preserve">.  Under DP&amp;L’s application </w:t>
      </w:r>
      <w:r w:rsidR="00C63A2A">
        <w:t xml:space="preserve">the rates customers pay </w:t>
      </w:r>
      <w:r w:rsidR="00A3538E">
        <w:t>will increase</w:t>
      </w:r>
      <w:r w:rsidR="00C63A2A">
        <w:t xml:space="preserve">.  DP&amp;L’s proposal </w:t>
      </w:r>
      <w:r w:rsidR="006F2A13">
        <w:t xml:space="preserve">also </w:t>
      </w:r>
      <w:r w:rsidR="00C63A2A">
        <w:t>violate</w:t>
      </w:r>
      <w:r w:rsidR="00A3538E">
        <w:t>s</w:t>
      </w:r>
      <w:r w:rsidR="00C63A2A">
        <w:t xml:space="preserve"> the letter and intent of Ohio’s restructuring law by seeking to </w:t>
      </w:r>
      <w:r w:rsidR="00A3538E">
        <w:t>continue</w:t>
      </w:r>
      <w:r w:rsidR="00C63A2A">
        <w:t xml:space="preserve"> subsidies </w:t>
      </w:r>
      <w:r>
        <w:t xml:space="preserve">for </w:t>
      </w:r>
      <w:r w:rsidR="00C63A2A">
        <w:t>competitive retail generation services</w:t>
      </w:r>
      <w:r w:rsidR="00A3538E">
        <w:rPr>
          <w:rStyle w:val="FootnoteReference"/>
        </w:rPr>
        <w:footnoteReference w:id="2"/>
      </w:r>
      <w:r w:rsidR="00C63A2A">
        <w:t xml:space="preserve"> at the expense of customers paying for regulated transmission and distribution services.</w:t>
      </w:r>
      <w:r w:rsidR="00A3538E">
        <w:t xml:space="preserve">  </w:t>
      </w:r>
      <w:r w:rsidR="006F2A13">
        <w:t xml:space="preserve">Because DP&amp;L’s application is unreasonable and unlawful, OCC </w:t>
      </w:r>
      <w:r>
        <w:t xml:space="preserve">requested that </w:t>
      </w:r>
      <w:r w:rsidR="006F2A13">
        <w:t>the PUCO conduct a full evidentiary</w:t>
      </w:r>
      <w:r w:rsidR="00A3538E">
        <w:t xml:space="preserve"> hearing </w:t>
      </w:r>
      <w:r w:rsidR="006F2A13">
        <w:t xml:space="preserve">before ruling on </w:t>
      </w:r>
      <w:r w:rsidR="00A3538E">
        <w:t>DP&amp;L’s application.</w:t>
      </w:r>
      <w:r w:rsidR="00CD0C88">
        <w:rPr>
          <w:rStyle w:val="FootnoteReference"/>
        </w:rPr>
        <w:footnoteReference w:id="3"/>
      </w:r>
    </w:p>
    <w:p w:rsidR="00A3538E" w:rsidRDefault="00C63A2A">
      <w:pPr>
        <w:pStyle w:val="BodyTextIndent3"/>
        <w:widowControl w:val="0"/>
        <w:spacing w:line="480" w:lineRule="auto"/>
        <w:ind w:right="-24"/>
      </w:pPr>
      <w:r>
        <w:t>The comments submitted by most parties</w:t>
      </w:r>
      <w:r w:rsidR="002C00BA">
        <w:t>,</w:t>
      </w:r>
      <w:r w:rsidR="006F2A13">
        <w:rPr>
          <w:rStyle w:val="FootnoteReference"/>
        </w:rPr>
        <w:footnoteReference w:id="4"/>
      </w:r>
      <w:r>
        <w:t xml:space="preserve"> </w:t>
      </w:r>
      <w:r w:rsidR="006F2A13">
        <w:t xml:space="preserve">are </w:t>
      </w:r>
      <w:r w:rsidR="002C00BA">
        <w:t>consistent on many points</w:t>
      </w:r>
      <w:r w:rsidR="00C677D1">
        <w:t xml:space="preserve"> </w:t>
      </w:r>
      <w:r w:rsidR="006F2A13">
        <w:t>with OCC’s Comments on DP&amp;L’s Supplemental Application</w:t>
      </w:r>
      <w:r w:rsidR="002C00BA">
        <w:t>.</w:t>
      </w:r>
      <w:r w:rsidR="006F2A13">
        <w:t xml:space="preserve">  </w:t>
      </w:r>
      <w:r>
        <w:t xml:space="preserve">The points of agreement </w:t>
      </w:r>
      <w:r w:rsidR="002C00BA">
        <w:t xml:space="preserve">among </w:t>
      </w:r>
      <w:r>
        <w:t>some, or all</w:t>
      </w:r>
      <w:r w:rsidR="00CD0C88">
        <w:t>,</w:t>
      </w:r>
      <w:r>
        <w:t xml:space="preserve"> of these parties, include:  </w:t>
      </w:r>
    </w:p>
    <w:p w:rsidR="00A3538E" w:rsidRDefault="00C63A2A" w:rsidP="002320B4">
      <w:pPr>
        <w:pStyle w:val="BodyTextIndent3"/>
        <w:widowControl w:val="0"/>
        <w:spacing w:line="480" w:lineRule="auto"/>
        <w:ind w:left="2160" w:right="720" w:hanging="720"/>
      </w:pPr>
      <w:r>
        <w:t xml:space="preserve">(1) </w:t>
      </w:r>
      <w:r w:rsidR="002320B4">
        <w:tab/>
      </w:r>
      <w:r>
        <w:t>DP&amp;L’s Supplemental Application is insufficient and/or violative of O.A.C. 4901:1-37-09(C), making it impossible for parties to conduct a proper review of the application;</w:t>
      </w:r>
      <w:r>
        <w:rPr>
          <w:rStyle w:val="FootnoteReference"/>
        </w:rPr>
        <w:footnoteReference w:id="5"/>
      </w:r>
      <w:r>
        <w:t xml:space="preserve"> </w:t>
      </w:r>
    </w:p>
    <w:p w:rsidR="00A3538E" w:rsidRDefault="00C63A2A" w:rsidP="002320B4">
      <w:pPr>
        <w:pStyle w:val="BodyTextIndent3"/>
        <w:widowControl w:val="0"/>
        <w:spacing w:line="480" w:lineRule="auto"/>
        <w:ind w:left="2160" w:right="720" w:hanging="720"/>
      </w:pPr>
      <w:r>
        <w:t xml:space="preserve">(2) </w:t>
      </w:r>
      <w:r w:rsidR="002320B4">
        <w:tab/>
      </w:r>
      <w:r>
        <w:t>Continuation of DP&amp;L’s Service Stability Rider (“</w:t>
      </w:r>
      <w:r w:rsidR="00E1208B">
        <w:t>SSR</w:t>
      </w:r>
      <w:r>
        <w:t>”) after sale or transfer of generation assets would be unlawful and unreasonable;</w:t>
      </w:r>
      <w:r>
        <w:rPr>
          <w:rStyle w:val="FootnoteReference"/>
        </w:rPr>
        <w:footnoteReference w:id="6"/>
      </w:r>
      <w:r>
        <w:t xml:space="preserve"> </w:t>
      </w:r>
    </w:p>
    <w:p w:rsidR="00F74752" w:rsidRDefault="00C63A2A" w:rsidP="002320B4">
      <w:pPr>
        <w:pStyle w:val="BodyTextIndent3"/>
        <w:widowControl w:val="0"/>
        <w:spacing w:line="480" w:lineRule="auto"/>
        <w:ind w:left="2160" w:right="720" w:hanging="720"/>
      </w:pPr>
      <w:r>
        <w:t xml:space="preserve">(3) </w:t>
      </w:r>
      <w:r w:rsidR="002320B4">
        <w:tab/>
      </w:r>
      <w:r>
        <w:t xml:space="preserve">Costs associated with the sale or transfer of DP&amp;L’s generations assets (“divestiture costs”) are not proper to </w:t>
      </w:r>
    </w:p>
    <w:p w:rsidR="006863F2" w:rsidRDefault="00F74752" w:rsidP="00F74752">
      <w:pPr>
        <w:pStyle w:val="BodyTextIndent3"/>
        <w:widowControl w:val="0"/>
        <w:spacing w:line="480" w:lineRule="auto"/>
        <w:ind w:left="2160" w:right="720" w:firstLine="0"/>
      </w:pPr>
      <w:r>
        <w:br w:type="page"/>
      </w:r>
      <w:r w:rsidR="00C63A2A">
        <w:t>charge customers</w:t>
      </w:r>
      <w:r w:rsidR="00C63A2A">
        <w:rPr>
          <w:rStyle w:val="FootnoteReference"/>
        </w:rPr>
        <w:footnoteReference w:id="7"/>
      </w:r>
      <w:r w:rsidR="00C63A2A">
        <w:t xml:space="preserve"> or should only be considered after corporate separation is complete</w:t>
      </w:r>
      <w:r w:rsidR="002C00BA">
        <w:t>;</w:t>
      </w:r>
      <w:r w:rsidR="00C63A2A">
        <w:rPr>
          <w:rStyle w:val="FootnoteReference"/>
        </w:rPr>
        <w:footnoteReference w:id="8"/>
      </w:r>
      <w:r w:rsidR="00C63A2A">
        <w:t xml:space="preserve"> </w:t>
      </w:r>
    </w:p>
    <w:p w:rsidR="00A3538E" w:rsidRDefault="00C63A2A" w:rsidP="002320B4">
      <w:pPr>
        <w:pStyle w:val="BodyTextIndent3"/>
        <w:widowControl w:val="0"/>
        <w:spacing w:line="480" w:lineRule="auto"/>
        <w:ind w:left="2160" w:right="720" w:hanging="720"/>
      </w:pPr>
      <w:r>
        <w:t xml:space="preserve">(4) </w:t>
      </w:r>
      <w:r w:rsidR="002320B4">
        <w:tab/>
      </w:r>
      <w:r>
        <w:t>DP&amp;L’s proposal to retain unspecified environmental liabilities associated with its generating assets, to recover environmental clean-up costs, and/or to defer such costs to a future rate proceeding should be denied;</w:t>
      </w:r>
      <w:r>
        <w:rPr>
          <w:rStyle w:val="FootnoteReference"/>
        </w:rPr>
        <w:footnoteReference w:id="9"/>
      </w:r>
      <w:r>
        <w:t xml:space="preserve"> </w:t>
      </w:r>
    </w:p>
    <w:p w:rsidR="00A3538E" w:rsidRDefault="00C63A2A" w:rsidP="002320B4">
      <w:pPr>
        <w:pStyle w:val="BodyTextIndent3"/>
        <w:widowControl w:val="0"/>
        <w:spacing w:line="480" w:lineRule="auto"/>
        <w:ind w:left="2160" w:right="720" w:hanging="720"/>
      </w:pPr>
      <w:r>
        <w:t xml:space="preserve">(5) </w:t>
      </w:r>
      <w:r w:rsidR="002320B4">
        <w:tab/>
      </w:r>
      <w:r>
        <w:t xml:space="preserve">DP&amp;L’s proposal to retain its </w:t>
      </w:r>
      <w:r w:rsidR="008920D0">
        <w:t>Ohio Valley Electric Corporation “</w:t>
      </w:r>
      <w:r>
        <w:t>OVEC</w:t>
      </w:r>
      <w:r w:rsidR="008920D0">
        <w:t>”</w:t>
      </w:r>
      <w:r>
        <w:t xml:space="preserve"> assets and/or defer costs associated with such assets should be denied;</w:t>
      </w:r>
      <w:r>
        <w:rPr>
          <w:rStyle w:val="FootnoteReference"/>
        </w:rPr>
        <w:footnoteReference w:id="10"/>
      </w:r>
    </w:p>
    <w:p w:rsidR="00A3538E" w:rsidRDefault="00C63A2A" w:rsidP="002320B4">
      <w:pPr>
        <w:pStyle w:val="BodyTextIndent3"/>
        <w:widowControl w:val="0"/>
        <w:spacing w:line="480" w:lineRule="auto"/>
        <w:ind w:left="2160" w:right="720" w:hanging="720"/>
      </w:pPr>
      <w:r>
        <w:t xml:space="preserve"> (6) </w:t>
      </w:r>
      <w:r w:rsidR="002320B4">
        <w:tab/>
      </w:r>
      <w:r>
        <w:t>DP&amp;L’s proposal to increase its debt ratio beyond that agreed to previously should be denied;</w:t>
      </w:r>
      <w:r>
        <w:rPr>
          <w:rStyle w:val="FootnoteReference"/>
        </w:rPr>
        <w:footnoteReference w:id="11"/>
      </w:r>
      <w:r>
        <w:t xml:space="preserve"> and</w:t>
      </w:r>
    </w:p>
    <w:p w:rsidR="00C63A2A" w:rsidRDefault="00C63A2A" w:rsidP="002320B4">
      <w:pPr>
        <w:pStyle w:val="BodyTextIndent3"/>
        <w:widowControl w:val="0"/>
        <w:spacing w:line="480" w:lineRule="auto"/>
        <w:ind w:left="2160" w:right="720" w:hanging="720"/>
      </w:pPr>
      <w:r>
        <w:t xml:space="preserve"> (7) </w:t>
      </w:r>
      <w:r w:rsidR="002320B4">
        <w:tab/>
      </w:r>
      <w:r>
        <w:t>DP&amp;L’s request for waiver of a hearing should be denied, at least until a further supplemental filing is made.</w:t>
      </w:r>
      <w:r>
        <w:rPr>
          <w:rStyle w:val="FootnoteReference"/>
        </w:rPr>
        <w:footnoteReference w:id="12"/>
      </w:r>
    </w:p>
    <w:p w:rsidR="00C63A2A" w:rsidRDefault="006F2A13">
      <w:pPr>
        <w:pStyle w:val="BodyTextIndent3"/>
        <w:widowControl w:val="0"/>
        <w:spacing w:line="480" w:lineRule="auto"/>
        <w:ind w:right="-24"/>
      </w:pPr>
      <w:r>
        <w:t xml:space="preserve">While </w:t>
      </w:r>
      <w:r w:rsidR="00C63A2A">
        <w:t>OCC is in accord with these parties on these important points, the</w:t>
      </w:r>
      <w:r>
        <w:t xml:space="preserve">re are areas </w:t>
      </w:r>
      <w:r w:rsidR="00B1308E">
        <w:t xml:space="preserve">in </w:t>
      </w:r>
      <w:r>
        <w:t xml:space="preserve">which </w:t>
      </w:r>
      <w:r w:rsidR="004F6FE8">
        <w:t>OCC‘s</w:t>
      </w:r>
      <w:r>
        <w:t xml:space="preserve"> position diverges from </w:t>
      </w:r>
      <w:r w:rsidR="002C00BA">
        <w:t xml:space="preserve">some other positions of </w:t>
      </w:r>
      <w:r w:rsidR="008920D0">
        <w:t>some</w:t>
      </w:r>
      <w:r w:rsidR="002C00BA">
        <w:t xml:space="preserve"> commenters. </w:t>
      </w:r>
      <w:r>
        <w:t>Primarily th</w:t>
      </w:r>
      <w:r w:rsidR="00B1308E">
        <w:t xml:space="preserve">ese differences concern which customers </w:t>
      </w:r>
      <w:r w:rsidR="002C00BA">
        <w:t xml:space="preserve">should </w:t>
      </w:r>
      <w:r>
        <w:t xml:space="preserve">pay </w:t>
      </w:r>
      <w:r w:rsidR="00B1308E">
        <w:t xml:space="preserve">the </w:t>
      </w:r>
      <w:r>
        <w:t xml:space="preserve">costs </w:t>
      </w:r>
      <w:r w:rsidR="00B1308E">
        <w:t>DP&amp;L seeks to charge customers</w:t>
      </w:r>
      <w:r>
        <w:t xml:space="preserve">, if such costs are permitted.  The </w:t>
      </w:r>
      <w:r w:rsidR="00C63A2A">
        <w:t xml:space="preserve"> PUCO should reject the positions taken by some parties that OVEC costs,</w:t>
      </w:r>
      <w:r w:rsidR="00C63A2A">
        <w:rPr>
          <w:rStyle w:val="FootnoteReference"/>
        </w:rPr>
        <w:footnoteReference w:id="13"/>
      </w:r>
      <w:r w:rsidR="00C63A2A">
        <w:t xml:space="preserve"> environmental clean-up costs,</w:t>
      </w:r>
      <w:r w:rsidR="00C63A2A">
        <w:rPr>
          <w:rStyle w:val="FootnoteReference"/>
        </w:rPr>
        <w:footnoteReference w:id="14"/>
      </w:r>
      <w:r w:rsidR="00C63A2A">
        <w:t xml:space="preserve"> and divestiture costs</w:t>
      </w:r>
      <w:r w:rsidR="00C63A2A">
        <w:rPr>
          <w:rStyle w:val="FootnoteReference"/>
        </w:rPr>
        <w:footnoteReference w:id="15"/>
      </w:r>
      <w:r w:rsidR="00C63A2A">
        <w:t xml:space="preserve"> </w:t>
      </w:r>
      <w:r w:rsidR="002C00BA">
        <w:t>(</w:t>
      </w:r>
      <w:r w:rsidR="00C63A2A">
        <w:t>to the extent such charges are permitted</w:t>
      </w:r>
      <w:r w:rsidR="002C00BA">
        <w:t>)</w:t>
      </w:r>
      <w:r w:rsidR="00C63A2A">
        <w:t xml:space="preserve"> should be charged only to SSO customers rather than to all customers through non-bypassable charges.  </w:t>
      </w:r>
    </w:p>
    <w:p w:rsidR="00F74752" w:rsidRDefault="00F74752" w:rsidP="00F74752">
      <w:pPr>
        <w:pStyle w:val="BodyTextIndent3"/>
        <w:widowControl w:val="0"/>
        <w:spacing w:line="240" w:lineRule="auto"/>
        <w:ind w:right="-24"/>
      </w:pPr>
    </w:p>
    <w:p w:rsidR="00C63A2A" w:rsidRDefault="00C63A2A">
      <w:pPr>
        <w:pStyle w:val="Heading1"/>
      </w:pPr>
      <w:bookmarkStart w:id="2" w:name="_Toc384648674"/>
      <w:r>
        <w:t>II.</w:t>
      </w:r>
      <w:r>
        <w:tab/>
        <w:t>REPLY COMMENTS</w:t>
      </w:r>
      <w:bookmarkEnd w:id="2"/>
    </w:p>
    <w:p w:rsidR="00C63A2A" w:rsidRDefault="00C63A2A" w:rsidP="002320B4">
      <w:pPr>
        <w:pStyle w:val="Heading2"/>
      </w:pPr>
      <w:bookmarkStart w:id="3" w:name="_Toc384648675"/>
      <w:r>
        <w:t>A.</w:t>
      </w:r>
      <w:r>
        <w:tab/>
        <w:t>Commenters Agree That DP</w:t>
      </w:r>
      <w:r w:rsidR="00A65BC4">
        <w:t>&amp;</w:t>
      </w:r>
      <w:r>
        <w:t xml:space="preserve">L’s Supplemental Application Lacks Necessary Details To Make A Proper Review </w:t>
      </w:r>
      <w:r w:rsidR="00A65BC4">
        <w:t xml:space="preserve">And </w:t>
      </w:r>
      <w:r>
        <w:t xml:space="preserve">That A Hearing Will Be Necessary </w:t>
      </w:r>
      <w:r w:rsidR="00A65BC4">
        <w:t xml:space="preserve">To </w:t>
      </w:r>
      <w:r>
        <w:t>Consider</w:t>
      </w:r>
      <w:r w:rsidR="009E221A">
        <w:t xml:space="preserve"> </w:t>
      </w:r>
      <w:r w:rsidR="00A65BC4">
        <w:t xml:space="preserve">The </w:t>
      </w:r>
      <w:r w:rsidR="009E221A">
        <w:t xml:space="preserve">Impacts </w:t>
      </w:r>
      <w:r w:rsidR="00A65BC4">
        <w:t xml:space="preserve">On </w:t>
      </w:r>
      <w:r w:rsidR="009E221A">
        <w:t xml:space="preserve">Consumers </w:t>
      </w:r>
      <w:r w:rsidR="00A65BC4">
        <w:t xml:space="preserve">From </w:t>
      </w:r>
      <w:r>
        <w:t>DP</w:t>
      </w:r>
      <w:r w:rsidR="00A65BC4">
        <w:t>&amp;</w:t>
      </w:r>
      <w:r>
        <w:t>L’s Many Rate</w:t>
      </w:r>
      <w:r w:rsidR="00A65BC4">
        <w:t>-</w:t>
      </w:r>
      <w:r>
        <w:t>Related Proposals</w:t>
      </w:r>
      <w:r w:rsidR="00A65BC4">
        <w:t>.</w:t>
      </w:r>
      <w:bookmarkEnd w:id="3"/>
    </w:p>
    <w:p w:rsidR="001D6A56" w:rsidRDefault="00C63A2A">
      <w:pPr>
        <w:spacing w:line="480" w:lineRule="auto"/>
      </w:pPr>
      <w:r>
        <w:tab/>
        <w:t>Consistent with OCC’s Comments, other parties emphasized the insufficiency of DP&amp;L’s Supplemental Application.</w:t>
      </w:r>
      <w:r>
        <w:rPr>
          <w:rStyle w:val="FootnoteReference"/>
        </w:rPr>
        <w:footnoteReference w:id="16"/>
      </w:r>
      <w:r>
        <w:t xml:space="preserve">  The absence of any details, let alone specific terms and conditions, of a transaction makes it nearly impossible for any party to assess the merits of DP&amp;L’s Application or Supplemental Application.</w:t>
      </w:r>
      <w:r>
        <w:rPr>
          <w:rStyle w:val="FootnoteReference"/>
        </w:rPr>
        <w:footnoteReference w:id="17"/>
      </w:r>
      <w:r>
        <w:t xml:space="preserve">  As many parties noted, neither the identity of the parties to the transaction, the timing of the transaction, or the price (and other terms) of the transaction have been stated.</w:t>
      </w:r>
      <w:r>
        <w:rPr>
          <w:rStyle w:val="FootnoteReference"/>
        </w:rPr>
        <w:footnoteReference w:id="18"/>
      </w:r>
      <w:r>
        <w:t xml:space="preserve">  </w:t>
      </w:r>
    </w:p>
    <w:p w:rsidR="00C63A2A" w:rsidRDefault="0054608C" w:rsidP="0055724B">
      <w:pPr>
        <w:spacing w:line="480" w:lineRule="auto"/>
        <w:ind w:firstLine="720"/>
      </w:pPr>
      <w:r>
        <w:t xml:space="preserve">Further, as </w:t>
      </w:r>
      <w:r w:rsidR="001D6A56">
        <w:t xml:space="preserve">the PUCO </w:t>
      </w:r>
      <w:r>
        <w:t>Staff specifically commented, the Supplemental Application does not address the treatment of sale proceeds, allocation of bonds and refinancing costs, or the impact of corporate separation on DP&amp;L’s financial integrity.</w:t>
      </w:r>
      <w:r>
        <w:rPr>
          <w:rStyle w:val="FootnoteReference"/>
        </w:rPr>
        <w:footnoteReference w:id="19"/>
      </w:r>
      <w:r>
        <w:t xml:space="preserve">  </w:t>
      </w:r>
      <w:r w:rsidR="00C63A2A">
        <w:t>The absence of these details makes the application, including the Supplemental Application, violative of the law and the PUCO’s rules and prior order.</w:t>
      </w:r>
      <w:r w:rsidR="00C63A2A">
        <w:rPr>
          <w:rStyle w:val="FootnoteReference"/>
        </w:rPr>
        <w:footnoteReference w:id="20"/>
      </w:r>
      <w:r w:rsidR="00C63A2A">
        <w:t xml:space="preserve">  </w:t>
      </w:r>
      <w:r>
        <w:t>And DP&amp;L’s application is also fundamentally different than other utilities’ divestiture applications in proposing a sale or transfer at fair market value, raising new considerations.</w:t>
      </w:r>
      <w:r>
        <w:rPr>
          <w:rStyle w:val="FootnoteReference"/>
        </w:rPr>
        <w:footnoteReference w:id="21"/>
      </w:r>
      <w:r>
        <w:t xml:space="preserve">  </w:t>
      </w:r>
      <w:r w:rsidR="00C63A2A">
        <w:t>The filing should be rejected or DP&amp;L must make a further supplemental application that meets legal requirements.</w:t>
      </w:r>
    </w:p>
    <w:p w:rsidR="00C63A2A" w:rsidRDefault="00C63A2A">
      <w:pPr>
        <w:spacing w:line="480" w:lineRule="auto"/>
      </w:pPr>
      <w:r>
        <w:tab/>
        <w:t>And DP&amp;L’s application, including its Supplemental Application, also requires a hearing as requested by most parties.</w:t>
      </w:r>
      <w:r>
        <w:rPr>
          <w:rStyle w:val="FootnoteReference"/>
        </w:rPr>
        <w:footnoteReference w:id="22"/>
      </w:r>
      <w:r>
        <w:t xml:space="preserve">  </w:t>
      </w:r>
      <w:r w:rsidR="00B1308E">
        <w:t>A</w:t>
      </w:r>
      <w:r>
        <w:t xml:space="preserve">s indicated by </w:t>
      </w:r>
      <w:r w:rsidR="00E72960">
        <w:t xml:space="preserve">the </w:t>
      </w:r>
      <w:r>
        <w:t>Staff, DP&amp;L’s application is “much more vague and multi tentacles” than either AEP or Duke’s cases and it is, therefore, premature to grant any hearing waiver.</w:t>
      </w:r>
      <w:r>
        <w:rPr>
          <w:rStyle w:val="FootnoteReference"/>
        </w:rPr>
        <w:footnoteReference w:id="23"/>
      </w:r>
      <w:r>
        <w:t xml:space="preserve">  Thus, although DP&amp;L’s waiver request is premature in light of its insufficient application, DP&amp;L’s numerous rate-related requests alone compel a hearing on the factual basis and policy justification for such claims, and the eventual disposition of the generation assets.  </w:t>
      </w:r>
    </w:p>
    <w:p w:rsidR="00C63A2A" w:rsidRDefault="00C63A2A" w:rsidP="002320B4">
      <w:pPr>
        <w:pStyle w:val="Heading2"/>
      </w:pPr>
      <w:bookmarkStart w:id="4" w:name="_Toc384648676"/>
      <w:r>
        <w:t>B.</w:t>
      </w:r>
      <w:r>
        <w:tab/>
        <w:t xml:space="preserve">OCC Agrees </w:t>
      </w:r>
      <w:r w:rsidR="002320B4">
        <w:t>With</w:t>
      </w:r>
      <w:r w:rsidR="00E72960">
        <w:t xml:space="preserve"> </w:t>
      </w:r>
      <w:r w:rsidR="00A65BC4">
        <w:t xml:space="preserve">The </w:t>
      </w:r>
      <w:r w:rsidR="00E72960">
        <w:t xml:space="preserve">Positions </w:t>
      </w:r>
      <w:r w:rsidR="00A65BC4">
        <w:t xml:space="preserve">Of </w:t>
      </w:r>
      <w:r>
        <w:t>IEU</w:t>
      </w:r>
      <w:r w:rsidR="00A65BC4">
        <w:t>-</w:t>
      </w:r>
      <w:r>
        <w:t xml:space="preserve">Ohio </w:t>
      </w:r>
      <w:r w:rsidR="002320B4">
        <w:t xml:space="preserve">And </w:t>
      </w:r>
      <w:r>
        <w:t xml:space="preserve">OEG That Continuation </w:t>
      </w:r>
      <w:r w:rsidR="002320B4">
        <w:t xml:space="preserve">Of </w:t>
      </w:r>
      <w:r w:rsidR="00F94C90">
        <w:t>DP</w:t>
      </w:r>
      <w:r w:rsidR="00A65BC4">
        <w:t>&amp;</w:t>
      </w:r>
      <w:r w:rsidR="00F94C90">
        <w:t xml:space="preserve">L’s </w:t>
      </w:r>
      <w:r>
        <w:t>S</w:t>
      </w:r>
      <w:r w:rsidR="009A7B91">
        <w:t xml:space="preserve">ervice </w:t>
      </w:r>
      <w:r>
        <w:t>S</w:t>
      </w:r>
      <w:r w:rsidR="009A7B91">
        <w:t xml:space="preserve">tability </w:t>
      </w:r>
      <w:r>
        <w:t>R</w:t>
      </w:r>
      <w:r w:rsidR="009A7B91">
        <w:t>ider</w:t>
      </w:r>
      <w:r w:rsidR="00A65BC4">
        <w:t xml:space="preserve">, </w:t>
      </w:r>
      <w:r w:rsidR="00263DEF">
        <w:t>Which Would Produce SSO Generation Rates That Are Higher</w:t>
      </w:r>
      <w:r w:rsidR="00A65BC4">
        <w:t>-</w:t>
      </w:r>
      <w:r w:rsidR="00263DEF">
        <w:t>Than</w:t>
      </w:r>
      <w:r w:rsidR="00A65BC4">
        <w:t>-</w:t>
      </w:r>
      <w:r w:rsidR="00263DEF">
        <w:t>Market</w:t>
      </w:r>
      <w:r>
        <w:t xml:space="preserve"> After Corporate Separation</w:t>
      </w:r>
      <w:r w:rsidR="00A65BC4">
        <w:t xml:space="preserve">, </w:t>
      </w:r>
      <w:r>
        <w:t>Would Be</w:t>
      </w:r>
      <w:r w:rsidR="002B4A93">
        <w:t xml:space="preserve"> An</w:t>
      </w:r>
      <w:r>
        <w:t xml:space="preserve"> Unjust </w:t>
      </w:r>
      <w:r w:rsidR="002320B4">
        <w:t xml:space="preserve">And </w:t>
      </w:r>
      <w:r>
        <w:t>Unreasonable</w:t>
      </w:r>
      <w:r w:rsidR="002B4A93">
        <w:t xml:space="preserve"> Charge </w:t>
      </w:r>
      <w:r w:rsidR="00A65BC4">
        <w:t xml:space="preserve">To </w:t>
      </w:r>
      <w:r w:rsidR="002B4A93">
        <w:t>Customers</w:t>
      </w:r>
      <w:r w:rsidR="00A65BC4">
        <w:t>.</w:t>
      </w:r>
      <w:bookmarkEnd w:id="4"/>
    </w:p>
    <w:p w:rsidR="00C63A2A" w:rsidRDefault="00C63A2A">
      <w:pPr>
        <w:spacing w:line="480" w:lineRule="auto"/>
        <w:ind w:firstLine="720"/>
      </w:pPr>
      <w:r>
        <w:t>IEU-Ohio and OEG have argued that, in light of the record in DP&amp;L’s ESP case, it would be unjust and unreasonable for the SSR to continue after DP&amp;L sells or transfers its generation assets.</w:t>
      </w:r>
      <w:r>
        <w:rPr>
          <w:rStyle w:val="FootnoteReference"/>
        </w:rPr>
        <w:footnoteReference w:id="24"/>
      </w:r>
      <w:r>
        <w:t xml:space="preserve">  OCC agrees.   As the record cited by OEG makes clear, DP&amp;L’s transmission and distribution businesses would remain financially stable after divestiture.</w:t>
      </w:r>
      <w:r>
        <w:rPr>
          <w:rStyle w:val="FootnoteReference"/>
        </w:rPr>
        <w:footnoteReference w:id="25"/>
      </w:r>
      <w:r>
        <w:t xml:space="preserve">  Consequently, since the SSR is based on </w:t>
      </w:r>
      <w:r w:rsidR="0092689D">
        <w:t>the</w:t>
      </w:r>
      <w:r w:rsidR="00F94C90">
        <w:t xml:space="preserve"> PUCO’s</w:t>
      </w:r>
      <w:r w:rsidR="0092689D">
        <w:t xml:space="preserve"> </w:t>
      </w:r>
      <w:r w:rsidR="008920D0">
        <w:t xml:space="preserve">factual </w:t>
      </w:r>
      <w:r w:rsidR="0092689D">
        <w:t>premise adopted</w:t>
      </w:r>
      <w:r>
        <w:t xml:space="preserve"> in the ESP II proceeding that it is needed for financial integrity</w:t>
      </w:r>
      <w:r w:rsidR="00C677D1">
        <w:t>,</w:t>
      </w:r>
      <w:r>
        <w:t xml:space="preserve"> </w:t>
      </w:r>
      <w:r w:rsidR="00C677D1">
        <w:t>t</w:t>
      </w:r>
      <w:r>
        <w:t>here is no reason for continu</w:t>
      </w:r>
      <w:r w:rsidR="00900FCA">
        <w:t>ing t</w:t>
      </w:r>
      <w:r>
        <w:t xml:space="preserve">he SSR when DP&amp;L </w:t>
      </w:r>
      <w:r w:rsidR="00BE0222">
        <w:t xml:space="preserve">would </w:t>
      </w:r>
      <w:r>
        <w:t>no longer own the generation assets.</w:t>
      </w:r>
      <w:r w:rsidR="00F94C90">
        <w:t xml:space="preserve">  (In OCC’s view, there was never a reason to make Ohioans pay hundreds of millions of dollars for this charge.)</w:t>
      </w:r>
      <w:r>
        <w:t xml:space="preserve">  </w:t>
      </w:r>
    </w:p>
    <w:p w:rsidR="00C63A2A" w:rsidRDefault="00F94C90" w:rsidP="006863F2">
      <w:pPr>
        <w:spacing w:line="480" w:lineRule="auto"/>
        <w:ind w:firstLine="720"/>
      </w:pPr>
      <w:r>
        <w:t>FES</w:t>
      </w:r>
      <w:r w:rsidR="00C63A2A">
        <w:t xml:space="preserve"> pointed out </w:t>
      </w:r>
      <w:r>
        <w:t>that</w:t>
      </w:r>
      <w:r w:rsidR="00C63A2A">
        <w:t xml:space="preserve"> a transfer occu</w:t>
      </w:r>
      <w:r w:rsidR="006863F2">
        <w:t>r</w:t>
      </w:r>
      <w:r w:rsidR="00C63A2A">
        <w:t>r</w:t>
      </w:r>
      <w:r>
        <w:t>ing</w:t>
      </w:r>
      <w:r w:rsidR="00C63A2A">
        <w:t xml:space="preserve"> earlier than January 1, 2016</w:t>
      </w:r>
      <w:r>
        <w:t>,</w:t>
      </w:r>
      <w:r w:rsidR="00C63A2A">
        <w:t xml:space="preserve"> would affect the determination of SSO rates</w:t>
      </w:r>
      <w:r>
        <w:t>.</w:t>
      </w:r>
      <w:r w:rsidR="00C63A2A">
        <w:t xml:space="preserve"> </w:t>
      </w:r>
      <w:r>
        <w:t xml:space="preserve"> I</w:t>
      </w:r>
      <w:r w:rsidR="00C63A2A">
        <w:t xml:space="preserve">n accordance with the ESP II Order, </w:t>
      </w:r>
      <w:r w:rsidR="00803EEA">
        <w:t xml:space="preserve">ESP II rates are supposed to be </w:t>
      </w:r>
      <w:r w:rsidR="00C63A2A">
        <w:t>based on a blending of DP&amp;L’s legacy generation rates and energy and capacity purchased through its competitive bid auctions</w:t>
      </w:r>
      <w:r w:rsidR="00803EEA">
        <w:t xml:space="preserve"> until January 1 2016</w:t>
      </w:r>
      <w:r w:rsidR="00C63A2A">
        <w:t>.</w:t>
      </w:r>
      <w:r w:rsidR="00C63A2A">
        <w:rPr>
          <w:rStyle w:val="FootnoteReference"/>
        </w:rPr>
        <w:footnoteReference w:id="26"/>
      </w:r>
      <w:r w:rsidR="00803EEA">
        <w:t xml:space="preserve">  But if DP&amp;L completes the sale or transfer earlier, it will not be able to provide any </w:t>
      </w:r>
      <w:r w:rsidR="00CD0C88">
        <w:t xml:space="preserve">energy or capacity </w:t>
      </w:r>
      <w:r w:rsidR="00803EEA">
        <w:t xml:space="preserve">through its former generation assets, i.e. all of its </w:t>
      </w:r>
      <w:r w:rsidR="00CD0C88">
        <w:t xml:space="preserve">energy and capacity </w:t>
      </w:r>
      <w:r w:rsidR="00803EEA">
        <w:t>will have to be purchased in the competitive market (unless it is permitted to retain some of those assets).</w:t>
      </w:r>
      <w:r w:rsidR="00C63A2A">
        <w:t xml:space="preserve">  </w:t>
      </w:r>
      <w:r w:rsidR="00803EEA">
        <w:t xml:space="preserve">Thus, to </w:t>
      </w:r>
      <w:r w:rsidR="00C63A2A">
        <w:t xml:space="preserve">the extent that an earlier transfer is in fact contemplated by DP&amp;L, it must address </w:t>
      </w:r>
      <w:r w:rsidR="0092689D">
        <w:t xml:space="preserve">in an amended supplemental application </w:t>
      </w:r>
      <w:r w:rsidR="00C63A2A">
        <w:t xml:space="preserve">the </w:t>
      </w:r>
      <w:r w:rsidR="0092689D">
        <w:t>conditions under</w:t>
      </w:r>
      <w:r w:rsidR="00C677D1">
        <w:t xml:space="preserve"> </w:t>
      </w:r>
      <w:r w:rsidR="00C63A2A">
        <w:t>which generation rates will be set</w:t>
      </w:r>
      <w:r w:rsidR="0092689D">
        <w:t>.</w:t>
      </w:r>
      <w:r w:rsidR="00C63A2A">
        <w:t xml:space="preserve"> </w:t>
      </w:r>
    </w:p>
    <w:p w:rsidR="00C63A2A" w:rsidRDefault="00C63A2A" w:rsidP="002320B4">
      <w:pPr>
        <w:pStyle w:val="Heading2"/>
      </w:pPr>
      <w:bookmarkStart w:id="5" w:name="_Toc384648677"/>
      <w:r>
        <w:t>C.</w:t>
      </w:r>
      <w:r>
        <w:tab/>
      </w:r>
      <w:r w:rsidR="00900FCA">
        <w:t xml:space="preserve">If </w:t>
      </w:r>
      <w:r w:rsidR="00775AFB">
        <w:t xml:space="preserve">Any Costs Relating </w:t>
      </w:r>
      <w:r w:rsidR="00C27790">
        <w:t>T</w:t>
      </w:r>
      <w:r w:rsidR="00775AFB">
        <w:t>o Future Environmental Liabilities</w:t>
      </w:r>
      <w:r w:rsidR="006B260A">
        <w:t xml:space="preserve"> Are Permitted To Be Collected From Customers, Which </w:t>
      </w:r>
      <w:r w:rsidR="00900FCA">
        <w:t xml:space="preserve">OCC </w:t>
      </w:r>
      <w:r w:rsidR="00442C1E">
        <w:t xml:space="preserve">Opposes, </w:t>
      </w:r>
      <w:r w:rsidR="006B260A">
        <w:t xml:space="preserve">All Customers Should Pay, Not Just </w:t>
      </w:r>
      <w:r w:rsidR="00900FCA">
        <w:t xml:space="preserve">SSO </w:t>
      </w:r>
      <w:r w:rsidR="006B260A">
        <w:t>Customers</w:t>
      </w:r>
      <w:r w:rsidR="00900FCA">
        <w:t>.</w:t>
      </w:r>
      <w:bookmarkEnd w:id="5"/>
    </w:p>
    <w:p w:rsidR="00AD45D3" w:rsidRDefault="0092689D">
      <w:pPr>
        <w:spacing w:line="480" w:lineRule="auto"/>
        <w:ind w:firstLine="720"/>
      </w:pPr>
      <w:r>
        <w:t>N</w:t>
      </w:r>
      <w:r w:rsidR="00C63A2A">
        <w:t>umerous parties commented that DP&amp;L should not be permitted</w:t>
      </w:r>
      <w:r w:rsidR="002B4A93">
        <w:t xml:space="preserve"> to</w:t>
      </w:r>
      <w:r w:rsidR="00C63A2A">
        <w:t xml:space="preserve"> retain environmental liabilities, charge regulated customers for such environmental liabilities, or defer costs related to such environmental liabilities.</w:t>
      </w:r>
      <w:r w:rsidR="00C63A2A">
        <w:rPr>
          <w:rStyle w:val="FootnoteReference"/>
        </w:rPr>
        <w:footnoteReference w:id="27"/>
      </w:r>
      <w:r w:rsidR="00C63A2A">
        <w:t xml:space="preserve">  </w:t>
      </w:r>
      <w:r>
        <w:t xml:space="preserve">Consistent with its initial comments on this issue, </w:t>
      </w:r>
      <w:r w:rsidR="00C63A2A">
        <w:t>OCC agrees</w:t>
      </w:r>
      <w:r>
        <w:t>.</w:t>
      </w:r>
      <w:r w:rsidR="00C63A2A">
        <w:t xml:space="preserve"> </w:t>
      </w:r>
    </w:p>
    <w:p w:rsidR="00C63A2A" w:rsidRDefault="00C63A2A">
      <w:pPr>
        <w:spacing w:line="480" w:lineRule="auto"/>
        <w:ind w:firstLine="720"/>
      </w:pPr>
      <w:r>
        <w:t xml:space="preserve">OCC would, in particular, note its agreement with IEU-Ohio’s </w:t>
      </w:r>
      <w:r w:rsidR="00775AFB">
        <w:t xml:space="preserve">and OEG’s </w:t>
      </w:r>
      <w:r>
        <w:t xml:space="preserve">reliance on the PUCO’s prior decision requiring AEP-Ohio to demonstrate that its </w:t>
      </w:r>
      <w:r w:rsidR="00442C1E">
        <w:t xml:space="preserve">customers </w:t>
      </w:r>
      <w:r>
        <w:t xml:space="preserve">“have not and will not incur any costs associated with the cost of servicing” debt associated with environmental liabilities and to hold ratepayers harmless </w:t>
      </w:r>
      <w:r w:rsidR="0092689D">
        <w:t xml:space="preserve">from </w:t>
      </w:r>
      <w:r>
        <w:t>such costs.</w:t>
      </w:r>
      <w:r>
        <w:rPr>
          <w:rStyle w:val="FootnoteReference"/>
        </w:rPr>
        <w:footnoteReference w:id="28"/>
      </w:r>
      <w:r>
        <w:t xml:space="preserve">  OCC also agrees with th</w:t>
      </w:r>
      <w:r w:rsidR="0092689D">
        <w:t xml:space="preserve">ose </w:t>
      </w:r>
      <w:r>
        <w:t xml:space="preserve">parties </w:t>
      </w:r>
      <w:r w:rsidR="0092689D">
        <w:t xml:space="preserve">that recommend </w:t>
      </w:r>
      <w:r>
        <w:t xml:space="preserve">that until any potential environmental liabilities are specified, the PUCO should deny </w:t>
      </w:r>
      <w:r w:rsidR="00C677D1">
        <w:t xml:space="preserve">this </w:t>
      </w:r>
      <w:r>
        <w:t>request as lacking sufficient detail.</w:t>
      </w:r>
      <w:r>
        <w:rPr>
          <w:rStyle w:val="FootnoteReference"/>
        </w:rPr>
        <w:footnoteReference w:id="29"/>
      </w:r>
      <w:r>
        <w:t xml:space="preserve"> </w:t>
      </w:r>
      <w:r w:rsidR="00775AFB">
        <w:t xml:space="preserve"> And OCC agrees with IEU-Ohio’s argument that, per R.C. 4928.05, accounting authority cannot be granted under R.C. 4905.13 with respect to the provision of competitive retail electric services, i.e. generation.</w:t>
      </w:r>
      <w:r w:rsidR="00E1208B">
        <w:rPr>
          <w:rStyle w:val="FootnoteReference"/>
        </w:rPr>
        <w:footnoteReference w:id="30"/>
      </w:r>
    </w:p>
    <w:p w:rsidR="00F74752" w:rsidRDefault="00C63A2A">
      <w:pPr>
        <w:spacing w:line="480" w:lineRule="auto"/>
        <w:ind w:firstLine="720"/>
      </w:pPr>
      <w:r>
        <w:t>OCC fundamentally disagrees with the Retail Energy Supply Association’s (RESA) Comments that environmental clean-up costs associated with DP&amp;L’s generation assets should only be charged to SSO customers and not to shopping customers.</w:t>
      </w:r>
      <w:r>
        <w:rPr>
          <w:rStyle w:val="FootnoteReference"/>
        </w:rPr>
        <w:footnoteReference w:id="31"/>
      </w:r>
      <w:r>
        <w:t xml:space="preserve">  Contrary to RESA’s position, “future environmental liabilities” associated with generation assets transferred to an unregulated affiliate or an unaffiliated third party </w:t>
      </w:r>
      <w:r w:rsidR="00493562">
        <w:t xml:space="preserve">are </w:t>
      </w:r>
      <w:r>
        <w:t>not associated with SSO generation service.</w:t>
      </w:r>
      <w:r w:rsidR="00900FCA">
        <w:t xml:space="preserve">  </w:t>
      </w:r>
      <w:r>
        <w:t xml:space="preserve"> </w:t>
      </w:r>
      <w:r w:rsidR="00493562">
        <w:t xml:space="preserve">Consequently, these unwarranted fees </w:t>
      </w:r>
    </w:p>
    <w:p w:rsidR="00551840" w:rsidRDefault="00F74752" w:rsidP="00F74752">
      <w:pPr>
        <w:spacing w:line="480" w:lineRule="auto"/>
      </w:pPr>
      <w:r>
        <w:br w:type="page"/>
      </w:r>
      <w:r w:rsidR="00C63A2A">
        <w:t xml:space="preserve">should not be charged to either SSO customers or shopping customers.  </w:t>
      </w:r>
      <w:r w:rsidR="00BE0222">
        <w:t>And, to the extent the costs are not associated with providing current service through assets that are used and useful during the test year, they cannot be charged to customers under the law.</w:t>
      </w:r>
      <w:r w:rsidR="00BE0222">
        <w:rPr>
          <w:rStyle w:val="FootnoteReference"/>
        </w:rPr>
        <w:footnoteReference w:id="32"/>
      </w:r>
      <w:r w:rsidR="00BE0222">
        <w:t xml:space="preserve">  </w:t>
      </w:r>
    </w:p>
    <w:p w:rsidR="00C63A2A" w:rsidRDefault="00C63A2A">
      <w:pPr>
        <w:spacing w:line="480" w:lineRule="auto"/>
        <w:ind w:firstLine="720"/>
      </w:pPr>
      <w:r>
        <w:t xml:space="preserve">Moreover, although DP&amp;L has provided no details of these liabilities to date, to the extent that there are any liabilities, it is likely that the liabilities relate to the provision of generation service over many years, during a time when </w:t>
      </w:r>
      <w:r w:rsidR="006B260A">
        <w:t>most</w:t>
      </w:r>
      <w:r>
        <w:t xml:space="preserve"> customers were </w:t>
      </w:r>
      <w:r w:rsidR="006B260A">
        <w:t xml:space="preserve">DP&amp;L generation service </w:t>
      </w:r>
      <w:r>
        <w:t xml:space="preserve">customers.  </w:t>
      </w:r>
      <w:r w:rsidR="00493562">
        <w:t>Therefore,</w:t>
      </w:r>
      <w:r>
        <w:t xml:space="preserve"> these liabilities</w:t>
      </w:r>
      <w:r w:rsidR="00551840">
        <w:t>,</w:t>
      </w:r>
      <w:r>
        <w:t xml:space="preserve"> </w:t>
      </w:r>
      <w:r w:rsidR="00551840">
        <w:t xml:space="preserve">that likely </w:t>
      </w:r>
      <w:r>
        <w:t xml:space="preserve">accrued during the period of service to </w:t>
      </w:r>
      <w:r w:rsidR="00551840">
        <w:t>the vast majority</w:t>
      </w:r>
      <w:r>
        <w:t xml:space="preserve"> of DP&amp;L’s customers</w:t>
      </w:r>
      <w:r w:rsidR="00551840">
        <w:t xml:space="preserve">, </w:t>
      </w:r>
      <w:r>
        <w:t xml:space="preserve">should be </w:t>
      </w:r>
      <w:r w:rsidR="00493562">
        <w:t>spread over the broadest</w:t>
      </w:r>
      <w:r w:rsidR="00551840">
        <w:t xml:space="preserve"> possible</w:t>
      </w:r>
      <w:r w:rsidR="00493562">
        <w:t xml:space="preserve"> base of customers on a </w:t>
      </w:r>
      <w:r>
        <w:t>non-bypassable</w:t>
      </w:r>
      <w:r w:rsidR="00493562">
        <w:t xml:space="preserve"> basis</w:t>
      </w:r>
      <w:r>
        <w:t>.</w:t>
      </w:r>
      <w:r w:rsidR="006B260A">
        <w:t xml:space="preserve">  </w:t>
      </w:r>
    </w:p>
    <w:p w:rsidR="00C63A2A" w:rsidRDefault="00C63A2A" w:rsidP="002320B4">
      <w:pPr>
        <w:pStyle w:val="Heading2"/>
      </w:pPr>
      <w:bookmarkStart w:id="6" w:name="_Toc384648678"/>
      <w:r>
        <w:t>D.</w:t>
      </w:r>
      <w:r>
        <w:tab/>
        <w:t xml:space="preserve">To The Extent Any OVEC Costs Are Permitted </w:t>
      </w:r>
      <w:r w:rsidR="002320B4">
        <w:t xml:space="preserve">To Be </w:t>
      </w:r>
      <w:r>
        <w:t>Charged To Customers</w:t>
      </w:r>
      <w:r w:rsidR="002320B4">
        <w:t xml:space="preserve">, </w:t>
      </w:r>
      <w:r>
        <w:t>The Charge Should Be Non</w:t>
      </w:r>
      <w:r w:rsidR="002320B4">
        <w:t>-</w:t>
      </w:r>
      <w:r>
        <w:t>Bypassable</w:t>
      </w:r>
      <w:r w:rsidR="002320B4">
        <w:t>.</w:t>
      </w:r>
      <w:bookmarkEnd w:id="6"/>
    </w:p>
    <w:p w:rsidR="009F14E5" w:rsidRDefault="00C63A2A">
      <w:pPr>
        <w:spacing w:line="480" w:lineRule="auto"/>
        <w:ind w:firstLine="720"/>
      </w:pPr>
      <w:r>
        <w:t>Like OCC, IEU-Ohio and</w:t>
      </w:r>
      <w:r w:rsidR="00551840">
        <w:t xml:space="preserve"> the PUCO</w:t>
      </w:r>
      <w:r>
        <w:t xml:space="preserve"> Staff also argued against charging customers for any costs associated with OVEC</w:t>
      </w:r>
      <w:r w:rsidR="00551840">
        <w:t>.</w:t>
      </w:r>
      <w:r w:rsidR="00E1208B" w:rsidRPr="00E1208B">
        <w:rPr>
          <w:rStyle w:val="FootnoteReference"/>
        </w:rPr>
        <w:t xml:space="preserve"> </w:t>
      </w:r>
      <w:r w:rsidR="00E1208B">
        <w:rPr>
          <w:rStyle w:val="FootnoteReference"/>
        </w:rPr>
        <w:footnoteReference w:id="33"/>
      </w:r>
      <w:r w:rsidR="00551840">
        <w:t xml:space="preserve">   They </w:t>
      </w:r>
      <w:r w:rsidR="007139BE">
        <w:t>questioned the proposal</w:t>
      </w:r>
      <w:r w:rsidR="00E1208B">
        <w:t xml:space="preserve"> </w:t>
      </w:r>
      <w:r w:rsidR="007139BE">
        <w:t xml:space="preserve">in light of </w:t>
      </w:r>
      <w:r w:rsidR="00551840">
        <w:t>DP&amp;L’s</w:t>
      </w:r>
      <w:r>
        <w:t xml:space="preserve"> </w:t>
      </w:r>
      <w:r w:rsidR="007139BE">
        <w:t xml:space="preserve">failure to provide </w:t>
      </w:r>
      <w:r>
        <w:t>details regarding the magnitude of the costs or attribution of any off-system sales margins against such costs</w:t>
      </w:r>
      <w:r w:rsidR="00551840">
        <w:t>.</w:t>
      </w:r>
      <w:r w:rsidR="00E1208B">
        <w:rPr>
          <w:rStyle w:val="FootnoteReference"/>
        </w:rPr>
        <w:footnoteReference w:id="34"/>
      </w:r>
      <w:r w:rsidR="00551840">
        <w:t xml:space="preserve">  And they </w:t>
      </w:r>
      <w:r w:rsidR="007139BE">
        <w:t xml:space="preserve">pointed </w:t>
      </w:r>
      <w:r w:rsidR="00551840">
        <w:t xml:space="preserve">to the lack of </w:t>
      </w:r>
      <w:r>
        <w:t>evidence that DP&amp;L had sought to transfer its interest in OVEC under the terms of the Amended and Restated Intercompany Power Agreement.</w:t>
      </w:r>
      <w:r w:rsidR="00E1208B">
        <w:rPr>
          <w:rStyle w:val="FootnoteReference"/>
        </w:rPr>
        <w:footnoteReference w:id="35"/>
      </w:r>
      <w:r>
        <w:rPr>
          <w:rStyle w:val="FootnoteReference"/>
        </w:rPr>
        <w:t xml:space="preserve"> </w:t>
      </w:r>
      <w:r>
        <w:rPr>
          <w:rStyle w:val="FootnoteReference"/>
          <w:vertAlign w:val="baseline"/>
        </w:rPr>
        <w:t xml:space="preserve">  OCC agrees</w:t>
      </w:r>
      <w:r w:rsidR="00C71E3D">
        <w:t>.</w:t>
      </w:r>
      <w:r>
        <w:rPr>
          <w:rStyle w:val="FootnoteReference"/>
          <w:vertAlign w:val="baseline"/>
        </w:rPr>
        <w:t xml:space="preserve"> </w:t>
      </w:r>
    </w:p>
    <w:p w:rsidR="009C0EF5" w:rsidRDefault="00C63A2A">
      <w:pPr>
        <w:spacing w:line="480" w:lineRule="auto"/>
        <w:ind w:firstLine="720"/>
      </w:pPr>
      <w:r>
        <w:t xml:space="preserve">Direct Energy, IEU-Ohio and RESA also argue that costs related to OVEC should be bypassable </w:t>
      </w:r>
      <w:r w:rsidR="00C677D1">
        <w:t xml:space="preserve">by </w:t>
      </w:r>
      <w:r>
        <w:t>shopping customers.</w:t>
      </w:r>
      <w:r>
        <w:rPr>
          <w:rStyle w:val="FootnoteReference"/>
        </w:rPr>
        <w:footnoteReference w:id="36"/>
      </w:r>
      <w:r>
        <w:t xml:space="preserve">  Direct Energy argues that DP&amp;L’s existing ESP “was approved based on the assumption that all generation would be sold or divested</w:t>
      </w:r>
      <w:r w:rsidR="009C0EF5">
        <w:t>.</w:t>
      </w:r>
      <w:r>
        <w:t xml:space="preserve">” </w:t>
      </w:r>
      <w:r w:rsidR="009C0EF5">
        <w:t>A</w:t>
      </w:r>
      <w:r>
        <w:t>nd</w:t>
      </w:r>
      <w:r w:rsidR="009C0EF5">
        <w:t xml:space="preserve"> Direct Energy claims that</w:t>
      </w:r>
      <w:r>
        <w:t xml:space="preserve"> to charge any costs </w:t>
      </w:r>
      <w:r w:rsidR="00B1308E">
        <w:t xml:space="preserve">to shopping customers </w:t>
      </w:r>
      <w:r>
        <w:t>associated with OVEC “would throw off the assumptions used to determine whether the ESP was more favorable in the aggregate than the expected market rate offer.”</w:t>
      </w:r>
      <w:r>
        <w:rPr>
          <w:rStyle w:val="FootnoteReference"/>
        </w:rPr>
        <w:footnoteReference w:id="37"/>
      </w:r>
      <w:r>
        <w:t xml:space="preserve">  </w:t>
      </w:r>
    </w:p>
    <w:p w:rsidR="00C63A2A" w:rsidRDefault="00C63A2A">
      <w:pPr>
        <w:spacing w:line="480" w:lineRule="auto"/>
        <w:ind w:firstLine="720"/>
      </w:pPr>
      <w:r>
        <w:t xml:space="preserve">IEU-Ohio argues that based on R.C. 4928.02(H), </w:t>
      </w:r>
      <w:r w:rsidR="00B1308E">
        <w:t xml:space="preserve">charging shopping customers for OVEC </w:t>
      </w:r>
      <w:r>
        <w:t>would be anti-competitive because it would cross-subsidize the EDU’s generation business segment.</w:t>
      </w:r>
      <w:r w:rsidR="00342DA7">
        <w:rPr>
          <w:rStyle w:val="FootnoteReference"/>
        </w:rPr>
        <w:footnoteReference w:id="38"/>
      </w:r>
      <w:r>
        <w:t xml:space="preserve">  RESA argues that it would be “contrary to statute and unfair” for shopping customers to “pay for DP&amp;L’s generation costs as well as the generation costs of their suppliers.”</w:t>
      </w:r>
      <w:r>
        <w:rPr>
          <w:rStyle w:val="FootnoteReference"/>
        </w:rPr>
        <w:footnoteReference w:id="39"/>
      </w:r>
    </w:p>
    <w:p w:rsidR="00C63A2A" w:rsidRDefault="00C71E3D">
      <w:pPr>
        <w:spacing w:line="480" w:lineRule="auto"/>
        <w:ind w:firstLine="720"/>
      </w:pPr>
      <w:r>
        <w:t xml:space="preserve">To the extent any OVEC costs are permitted, such unjustified charges should </w:t>
      </w:r>
      <w:r w:rsidR="008920D0">
        <w:t xml:space="preserve">be allocated </w:t>
      </w:r>
      <w:r w:rsidR="00C63A2A">
        <w:t xml:space="preserve">to both SSO and shopping customers </w:t>
      </w:r>
      <w:r>
        <w:t>(i.e.,</w:t>
      </w:r>
      <w:r w:rsidR="00E1208B">
        <w:t xml:space="preserve"> </w:t>
      </w:r>
      <w:r w:rsidR="00C63A2A">
        <w:t>if DP&amp;L is permitted to retain these assets and charge any above-market amount to customers</w:t>
      </w:r>
      <w:r>
        <w:t>)</w:t>
      </w:r>
      <w:r w:rsidR="00C63A2A">
        <w:t xml:space="preserve">.  DP&amp;L’s OVEC obligations date back many years to a time when all customers were </w:t>
      </w:r>
      <w:r w:rsidR="00BE0222">
        <w:t xml:space="preserve">captive generation </w:t>
      </w:r>
      <w:r w:rsidR="00C63A2A">
        <w:t xml:space="preserve">customers and, by default, </w:t>
      </w:r>
      <w:r w:rsidR="00BE0222">
        <w:t xml:space="preserve">may have </w:t>
      </w:r>
      <w:r w:rsidR="00C63A2A">
        <w:t xml:space="preserve">received </w:t>
      </w:r>
      <w:r>
        <w:t>electricity produced</w:t>
      </w:r>
      <w:r w:rsidR="00C677D1">
        <w:t xml:space="preserve"> </w:t>
      </w:r>
      <w:r w:rsidR="00C63A2A">
        <w:t xml:space="preserve">by OVEC.  If the PUCO were to </w:t>
      </w:r>
      <w:r w:rsidR="007F0404">
        <w:t xml:space="preserve">authorize DP&amp;L to retain the OVEC assets </w:t>
      </w:r>
      <w:r w:rsidR="00C63A2A">
        <w:t xml:space="preserve">despite the </w:t>
      </w:r>
      <w:r w:rsidR="006B260A">
        <w:t xml:space="preserve">fact that these generating assets are </w:t>
      </w:r>
      <w:r w:rsidR="00C63A2A">
        <w:t xml:space="preserve">above-market, the </w:t>
      </w:r>
      <w:r w:rsidR="007F0404">
        <w:t xml:space="preserve">PUCO would </w:t>
      </w:r>
      <w:r w:rsidR="008920D0">
        <w:t xml:space="preserve">be </w:t>
      </w:r>
      <w:r>
        <w:t xml:space="preserve">making an overt decision to </w:t>
      </w:r>
      <w:r w:rsidR="00C63A2A">
        <w:t xml:space="preserve">subsidize DP&amp;L </w:t>
      </w:r>
      <w:r>
        <w:t>to the detriment of</w:t>
      </w:r>
      <w:r w:rsidR="00C63A2A">
        <w:t xml:space="preserve"> </w:t>
      </w:r>
      <w:r w:rsidR="008920D0">
        <w:t xml:space="preserve">all </w:t>
      </w:r>
      <w:r w:rsidR="00C63A2A">
        <w:t xml:space="preserve">customers.   </w:t>
      </w:r>
      <w:r w:rsidR="00AA2E1B">
        <w:t xml:space="preserve">Moreover, if DP&amp;L is forced to retain the OVEC assets because there is no OVEC shareholder consent, any above-market costs would result from the restructuring of utility services and not from serving SSO customers.  </w:t>
      </w:r>
      <w:r w:rsidR="00C63A2A">
        <w:t xml:space="preserve">Consequently, if any above-market OVEC costs </w:t>
      </w:r>
      <w:r>
        <w:t>are</w:t>
      </w:r>
      <w:r w:rsidR="00C63A2A">
        <w:t xml:space="preserve"> permitted to be charged to customers, </w:t>
      </w:r>
      <w:r>
        <w:t xml:space="preserve">such </w:t>
      </w:r>
      <w:r w:rsidR="00C677D1">
        <w:t>unwarr</w:t>
      </w:r>
      <w:r w:rsidR="008920D0">
        <w:t>a</w:t>
      </w:r>
      <w:r w:rsidR="00C677D1">
        <w:t>nted</w:t>
      </w:r>
      <w:r>
        <w:t xml:space="preserve"> charges should be rendered to all customer classes</w:t>
      </w:r>
      <w:r w:rsidR="00FA7FCC">
        <w:t xml:space="preserve"> </w:t>
      </w:r>
      <w:r w:rsidR="00C63A2A">
        <w:t>on a non-bypassable basis.</w:t>
      </w:r>
    </w:p>
    <w:p w:rsidR="00C63A2A" w:rsidRDefault="00C63A2A" w:rsidP="002320B4">
      <w:pPr>
        <w:pStyle w:val="Heading2"/>
      </w:pPr>
      <w:bookmarkStart w:id="7" w:name="_Toc384648679"/>
      <w:r>
        <w:t>E.</w:t>
      </w:r>
      <w:r>
        <w:tab/>
        <w:t xml:space="preserve">Costs </w:t>
      </w:r>
      <w:r w:rsidR="002320B4">
        <w:t xml:space="preserve">Of </w:t>
      </w:r>
      <w:r>
        <w:t xml:space="preserve">Divestiture Should Not Be Permitted </w:t>
      </w:r>
      <w:r w:rsidR="002320B4">
        <w:t xml:space="preserve">To </w:t>
      </w:r>
      <w:r>
        <w:t xml:space="preserve">Be Charged </w:t>
      </w:r>
      <w:r w:rsidR="002320B4">
        <w:t xml:space="preserve">To </w:t>
      </w:r>
      <w:r>
        <w:t>DP</w:t>
      </w:r>
      <w:r w:rsidR="002320B4">
        <w:t>&amp;</w:t>
      </w:r>
      <w:r>
        <w:t>L Customers But</w:t>
      </w:r>
      <w:r w:rsidR="002320B4">
        <w:t xml:space="preserve">, </w:t>
      </w:r>
      <w:r>
        <w:t>If Any Charge Is Permitted</w:t>
      </w:r>
      <w:r w:rsidR="002320B4">
        <w:t xml:space="preserve">, </w:t>
      </w:r>
      <w:r>
        <w:t>The Charge Should Be Non</w:t>
      </w:r>
      <w:r w:rsidR="002320B4">
        <w:t>-</w:t>
      </w:r>
      <w:r>
        <w:t>Bypassable</w:t>
      </w:r>
      <w:r w:rsidR="002320B4">
        <w:t>.</w:t>
      </w:r>
      <w:bookmarkEnd w:id="7"/>
    </w:p>
    <w:p w:rsidR="00C63A2A" w:rsidRDefault="00C63A2A">
      <w:pPr>
        <w:spacing w:line="480" w:lineRule="auto"/>
        <w:ind w:firstLine="720"/>
      </w:pPr>
      <w:r>
        <w:t>A number of parties have joined OCC in opposing DP&amp;L’s proposal to defer costs associated with divestiture and to charge customers those costs in a later proceeding.</w:t>
      </w:r>
      <w:r>
        <w:rPr>
          <w:rStyle w:val="FootnoteReference"/>
        </w:rPr>
        <w:footnoteReference w:id="40"/>
      </w:r>
      <w:r>
        <w:t xml:space="preserve">  </w:t>
      </w:r>
      <w:r w:rsidR="00775AFB">
        <w:t xml:space="preserve">And, as </w:t>
      </w:r>
      <w:r w:rsidR="00A70212">
        <w:t xml:space="preserve">the PUCO </w:t>
      </w:r>
      <w:r w:rsidR="00775AFB">
        <w:t>Staff has commented, DP&amp;L’s proposal that costs exclusive to the acquiring GenCo would be paid by the GenCo is “fraught with interpretational concerns</w:t>
      </w:r>
      <w:r w:rsidR="0054608C">
        <w:t>, especially when coupled with the broad, undefined, terms and conditions of the asset transfer authorization which DP&amp;L seeks in its Application</w:t>
      </w:r>
      <w:r w:rsidR="00775AFB">
        <w:t>.</w:t>
      </w:r>
      <w:r w:rsidR="0054608C">
        <w:t>”</w:t>
      </w:r>
      <w:r w:rsidR="00775AFB">
        <w:rPr>
          <w:rStyle w:val="FootnoteReference"/>
        </w:rPr>
        <w:footnoteReference w:id="41"/>
      </w:r>
      <w:r w:rsidR="0054608C">
        <w:t xml:space="preserve">  </w:t>
      </w:r>
      <w:r>
        <w:t>But OEG and RESA have also proposed that, to the extent divestiture costs are permitted to be charged to customers, the charges should be bypassable to shopping customers.</w:t>
      </w:r>
      <w:r>
        <w:rPr>
          <w:rStyle w:val="FootnoteReference"/>
        </w:rPr>
        <w:footnoteReference w:id="42"/>
      </w:r>
    </w:p>
    <w:p w:rsidR="00C63A2A" w:rsidRDefault="00C63A2A">
      <w:pPr>
        <w:spacing w:line="480" w:lineRule="auto"/>
        <w:ind w:firstLine="720"/>
      </w:pPr>
      <w:r>
        <w:t xml:space="preserve">To the extent divestiture costs are permitted to be charged to customers, these charges should be non-bypassable.  </w:t>
      </w:r>
      <w:r w:rsidR="00FA7FCC">
        <w:t xml:space="preserve">Divestiture </w:t>
      </w:r>
      <w:r>
        <w:t xml:space="preserve">costs are not associated with the provision of current generation service to customers but </w:t>
      </w:r>
      <w:r w:rsidR="00FA7FCC">
        <w:t>are attribut</w:t>
      </w:r>
      <w:r w:rsidR="008920D0">
        <w:t>able</w:t>
      </w:r>
      <w:r w:rsidR="00FA7FCC">
        <w:t xml:space="preserve"> </w:t>
      </w:r>
      <w:r>
        <w:t>to</w:t>
      </w:r>
      <w:r w:rsidR="00FA7FCC">
        <w:t xml:space="preserve"> the </w:t>
      </w:r>
      <w:r>
        <w:t>restructuring of utility services and the separation of generation from transmission and distribution.</w:t>
      </w:r>
    </w:p>
    <w:p w:rsidR="00C63A2A" w:rsidRDefault="00C63A2A" w:rsidP="002320B4">
      <w:pPr>
        <w:pStyle w:val="Heading2"/>
      </w:pPr>
      <w:bookmarkStart w:id="8" w:name="_Toc384648680"/>
      <w:r>
        <w:t>F.</w:t>
      </w:r>
      <w:r>
        <w:tab/>
        <w:t>DP</w:t>
      </w:r>
      <w:r w:rsidR="002320B4">
        <w:t>&amp;</w:t>
      </w:r>
      <w:r>
        <w:t xml:space="preserve">L’s Proposal To Finance Its Generation Asset Sale </w:t>
      </w:r>
      <w:r w:rsidR="002320B4">
        <w:t xml:space="preserve">Or </w:t>
      </w:r>
      <w:r>
        <w:t>Transfer By Increasing Its Debt Is Problematic</w:t>
      </w:r>
      <w:r w:rsidR="002320B4">
        <w:t>.</w:t>
      </w:r>
      <w:bookmarkEnd w:id="8"/>
    </w:p>
    <w:p w:rsidR="00F74752" w:rsidRDefault="00C63A2A">
      <w:pPr>
        <w:spacing w:line="480" w:lineRule="auto"/>
        <w:ind w:firstLine="720"/>
      </w:pPr>
      <w:r>
        <w:t xml:space="preserve">A sale or transfer of DP&amp;L’s generation </w:t>
      </w:r>
      <w:r w:rsidR="007F0404">
        <w:t xml:space="preserve">may </w:t>
      </w:r>
      <w:r>
        <w:t>bring in substantial cash or equity capital to DP&amp;L’s regulated operations</w:t>
      </w:r>
      <w:r w:rsidR="007F0404">
        <w:t>.  This will happen if the value exceeds the debt associated with the generating assets</w:t>
      </w:r>
      <w:r>
        <w:t xml:space="preserve">.   </w:t>
      </w:r>
      <w:r w:rsidR="007F0404">
        <w:t>But i</w:t>
      </w:r>
      <w:r>
        <w:t xml:space="preserve">n </w:t>
      </w:r>
      <w:r w:rsidR="007F0404">
        <w:t xml:space="preserve">its </w:t>
      </w:r>
      <w:r>
        <w:t>Supplemental Application, DP&amp;L forecasts a potential need to increase its debt burden.  This potential increase in debt burdens of DP&amp;L may suggest, as FES</w:t>
      </w:r>
      <w:r w:rsidR="0054608C">
        <w:t>, IEU-Ohio</w:t>
      </w:r>
      <w:r>
        <w:t xml:space="preserve"> and Staff have noted, that DP&amp;L plans </w:t>
      </w:r>
    </w:p>
    <w:p w:rsidR="00A70212" w:rsidRDefault="00F74752" w:rsidP="00F74752">
      <w:pPr>
        <w:spacing w:line="480" w:lineRule="auto"/>
      </w:pPr>
      <w:r>
        <w:br w:type="page"/>
      </w:r>
      <w:r w:rsidR="00C63A2A">
        <w:t>to retain liabilities or debts associated with its generating assets while transferring the assets.</w:t>
      </w:r>
      <w:r w:rsidR="00C63A2A">
        <w:rPr>
          <w:rStyle w:val="FootnoteReference"/>
        </w:rPr>
        <w:footnoteReference w:id="43"/>
      </w:r>
      <w:r w:rsidR="00C63A2A">
        <w:t xml:space="preserve">  As these parties have noted, such a plan of retaining liabilities associated with its generating assets is problematic and not in the best interest of its customers, in addition to the fact that DP&amp;L’s plans are once again extremely vague.</w:t>
      </w:r>
      <w:r w:rsidR="00C63A2A">
        <w:rPr>
          <w:rStyle w:val="FootnoteReference"/>
        </w:rPr>
        <w:footnoteReference w:id="44"/>
      </w:r>
      <w:r w:rsidR="00C63A2A">
        <w:t xml:space="preserve">  </w:t>
      </w:r>
    </w:p>
    <w:p w:rsidR="00C63A2A" w:rsidRDefault="00C63A2A">
      <w:pPr>
        <w:spacing w:line="480" w:lineRule="auto"/>
        <w:ind w:firstLine="720"/>
      </w:pPr>
      <w:r>
        <w:t xml:space="preserve">Furthermore, as both FES and </w:t>
      </w:r>
      <w:r w:rsidR="00A70212">
        <w:t xml:space="preserve">the </w:t>
      </w:r>
      <w:r>
        <w:t>Staff emphasize, transfer of DP&amp;L’s debt secured by the generating assets to the purchaser or transferee is essential to DP&amp;L’s long term financial health.</w:t>
      </w:r>
      <w:r>
        <w:rPr>
          <w:rStyle w:val="FootnoteReference"/>
        </w:rPr>
        <w:footnoteReference w:id="45"/>
      </w:r>
      <w:r>
        <w:t xml:space="preserve">  Thus, absent a clear showing of necessity and lack of alternatives to </w:t>
      </w:r>
      <w:r w:rsidR="007F0404">
        <w:t xml:space="preserve">retention of </w:t>
      </w:r>
      <w:r>
        <w:t>debts or liabilities associated with the generating assets, and a PUCO determination that rates will not be permitted to be affected by retention of liabilities, this request should be denied.</w:t>
      </w:r>
      <w:r>
        <w:rPr>
          <w:rStyle w:val="FootnoteReference"/>
        </w:rPr>
        <w:footnoteReference w:id="46"/>
      </w:r>
      <w:r w:rsidR="00775AFB">
        <w:t xml:space="preserve">  Finally, OCC support</w:t>
      </w:r>
      <w:r w:rsidR="00A70212">
        <w:t>s</w:t>
      </w:r>
      <w:r w:rsidR="00775AFB">
        <w:t xml:space="preserve"> </w:t>
      </w:r>
      <w:r w:rsidR="00A70212">
        <w:t xml:space="preserve">the </w:t>
      </w:r>
      <w:r w:rsidR="00775AFB">
        <w:t>Staff’s position that DP&amp;L</w:t>
      </w:r>
      <w:r w:rsidR="00A70212">
        <w:t>, if it</w:t>
      </w:r>
      <w:r w:rsidR="00775AFB">
        <w:t xml:space="preserve"> is permitted to maintain a higher debt ratio, should be required to maintain positive retained earnings and </w:t>
      </w:r>
      <w:r w:rsidR="00342DA7">
        <w:t xml:space="preserve">should be </w:t>
      </w:r>
      <w:r w:rsidR="00775AFB">
        <w:t>prohibited from paying dividends during such time frame.</w:t>
      </w:r>
      <w:r w:rsidR="00775AFB">
        <w:rPr>
          <w:rStyle w:val="FootnoteReference"/>
        </w:rPr>
        <w:footnoteReference w:id="47"/>
      </w:r>
    </w:p>
    <w:p w:rsidR="00C63A2A" w:rsidRDefault="00C63A2A">
      <w:pPr>
        <w:ind w:firstLine="720"/>
      </w:pPr>
    </w:p>
    <w:p w:rsidR="00C63A2A" w:rsidRDefault="00C63A2A">
      <w:pPr>
        <w:pStyle w:val="Heading1"/>
      </w:pPr>
      <w:bookmarkStart w:id="9" w:name="_Toc384648681"/>
      <w:r>
        <w:t>III.</w:t>
      </w:r>
      <w:r>
        <w:tab/>
        <w:t>CONCLUSION</w:t>
      </w:r>
      <w:bookmarkEnd w:id="9"/>
    </w:p>
    <w:p w:rsidR="00257207" w:rsidRDefault="00C63A2A">
      <w:pPr>
        <w:spacing w:line="480" w:lineRule="auto"/>
      </w:pPr>
      <w:r>
        <w:tab/>
        <w:t>Comments submitted by many of the parties in this case express concerns similar to, or the same as, those raised by OCC</w:t>
      </w:r>
      <w:r w:rsidR="00A70212">
        <w:t xml:space="preserve"> for Dayton-area consumers </w:t>
      </w:r>
      <w:r w:rsidR="00A667FF">
        <w:t>that DP&amp;L would burden with further rate increases</w:t>
      </w:r>
      <w:r>
        <w:t xml:space="preserve">. DP&amp;L’s Supplemental Application falls significantly short of legal and regulatory requirements.  Consequently, DP&amp;L’s supplemental application should be rejected by the PUCO.  And DP&amp;L’s rate-related proposals are contrary to sound ratemaking law and policy.  </w:t>
      </w:r>
    </w:p>
    <w:p w:rsidR="00C63A2A" w:rsidRDefault="00C63A2A" w:rsidP="0055724B">
      <w:pPr>
        <w:spacing w:line="480" w:lineRule="auto"/>
        <w:ind w:firstLine="720"/>
      </w:pPr>
      <w:r>
        <w:t>Such issues, as well as any appropriate application to be subsequently filed, must be subject to a full hearing, preceded by ample opportunity for discovery.  DP&amp;L’s request that a hearing be waived should be rejected.</w:t>
      </w:r>
    </w:p>
    <w:p w:rsidR="00C63A2A" w:rsidRDefault="00C63A2A" w:rsidP="002320B4">
      <w:pPr>
        <w:spacing w:line="480" w:lineRule="auto"/>
        <w:rPr>
          <w:szCs w:val="24"/>
        </w:rPr>
      </w:pPr>
      <w:r>
        <w:tab/>
      </w:r>
      <w:r>
        <w:tab/>
      </w:r>
      <w:r>
        <w:tab/>
      </w:r>
      <w:r>
        <w:tab/>
      </w:r>
      <w:r>
        <w:tab/>
      </w:r>
      <w:r>
        <w:tab/>
      </w:r>
      <w:r>
        <w:rPr>
          <w:szCs w:val="24"/>
        </w:rPr>
        <w:t>Respectfully submitted,</w:t>
      </w:r>
    </w:p>
    <w:p w:rsidR="00C63A2A" w:rsidRDefault="00C63A2A">
      <w:pPr>
        <w:pStyle w:val="Footer"/>
        <w:tabs>
          <w:tab w:val="clear" w:pos="8640"/>
          <w:tab w:val="left" w:pos="4320"/>
        </w:tabs>
        <w:spacing w:before="240"/>
        <w:rPr>
          <w:sz w:val="24"/>
          <w:szCs w:val="24"/>
        </w:rPr>
      </w:pPr>
      <w:r>
        <w:rPr>
          <w:sz w:val="24"/>
          <w:szCs w:val="24"/>
        </w:rPr>
        <w:tab/>
        <w:t>BRUCE J. WESTON</w:t>
      </w:r>
    </w:p>
    <w:p w:rsidR="00C63A2A" w:rsidRDefault="00C63A2A">
      <w:pPr>
        <w:tabs>
          <w:tab w:val="left" w:pos="4320"/>
        </w:tabs>
        <w:rPr>
          <w:szCs w:val="24"/>
        </w:rPr>
      </w:pPr>
      <w:r>
        <w:rPr>
          <w:szCs w:val="24"/>
        </w:rPr>
        <w:tab/>
        <w:t>OHIO CONSUMERS’ COUNSEL</w:t>
      </w:r>
    </w:p>
    <w:p w:rsidR="00C63A2A" w:rsidRDefault="00C63A2A">
      <w:pPr>
        <w:tabs>
          <w:tab w:val="left" w:pos="4320"/>
        </w:tabs>
        <w:rPr>
          <w:szCs w:val="24"/>
        </w:rPr>
      </w:pPr>
      <w:r>
        <w:rPr>
          <w:szCs w:val="24"/>
        </w:rPr>
        <w:tab/>
      </w:r>
    </w:p>
    <w:p w:rsidR="00C63A2A" w:rsidRDefault="00C63A2A">
      <w:pPr>
        <w:tabs>
          <w:tab w:val="left" w:pos="4320"/>
        </w:tabs>
        <w:rPr>
          <w:i/>
          <w:szCs w:val="24"/>
          <w:u w:val="single"/>
        </w:rPr>
      </w:pPr>
      <w:r>
        <w:rPr>
          <w:szCs w:val="24"/>
        </w:rPr>
        <w:tab/>
      </w:r>
      <w:r>
        <w:rPr>
          <w:i/>
          <w:szCs w:val="24"/>
          <w:u w:val="single"/>
        </w:rPr>
        <w:t>/s/ Edmund “Tad” Berger</w:t>
      </w:r>
      <w:r>
        <w:rPr>
          <w:i/>
          <w:szCs w:val="24"/>
          <w:u w:val="single"/>
        </w:rPr>
        <w:tab/>
      </w:r>
      <w:r>
        <w:rPr>
          <w:i/>
          <w:szCs w:val="24"/>
          <w:u w:val="single"/>
        </w:rPr>
        <w:tab/>
      </w:r>
      <w:r>
        <w:rPr>
          <w:i/>
          <w:szCs w:val="24"/>
          <w:u w:val="single"/>
        </w:rPr>
        <w:tab/>
      </w:r>
    </w:p>
    <w:p w:rsidR="00C63A2A" w:rsidRDefault="00C63A2A">
      <w:pPr>
        <w:tabs>
          <w:tab w:val="left" w:pos="4320"/>
        </w:tabs>
        <w:rPr>
          <w:szCs w:val="24"/>
        </w:rPr>
      </w:pPr>
      <w:r>
        <w:rPr>
          <w:szCs w:val="24"/>
        </w:rPr>
        <w:tab/>
        <w:t>Edmund “Tad” Berger, Counsel of Record</w:t>
      </w:r>
    </w:p>
    <w:p w:rsidR="00C63A2A" w:rsidRDefault="00C63A2A">
      <w:pPr>
        <w:tabs>
          <w:tab w:val="left" w:pos="4320"/>
        </w:tabs>
        <w:rPr>
          <w:szCs w:val="24"/>
        </w:rPr>
      </w:pPr>
      <w:r>
        <w:rPr>
          <w:szCs w:val="24"/>
        </w:rPr>
        <w:tab/>
        <w:t>Maureen R. Grady</w:t>
      </w:r>
    </w:p>
    <w:p w:rsidR="00C63A2A" w:rsidRDefault="00C63A2A">
      <w:pPr>
        <w:tabs>
          <w:tab w:val="left" w:pos="4320"/>
        </w:tabs>
        <w:rPr>
          <w:szCs w:val="24"/>
        </w:rPr>
      </w:pPr>
      <w:r>
        <w:rPr>
          <w:szCs w:val="24"/>
        </w:rPr>
        <w:tab/>
        <w:t>Assistant Consumers’ Counsel</w:t>
      </w:r>
    </w:p>
    <w:p w:rsidR="00C63A2A" w:rsidRDefault="00C63A2A">
      <w:pPr>
        <w:ind w:left="3600"/>
      </w:pPr>
      <w:r>
        <w:tab/>
      </w:r>
    </w:p>
    <w:p w:rsidR="00C63A2A" w:rsidRDefault="00C63A2A">
      <w:pPr>
        <w:ind w:left="3600"/>
        <w:rPr>
          <w:b/>
        </w:rPr>
      </w:pPr>
      <w:r>
        <w:rPr>
          <w:b/>
        </w:rPr>
        <w:tab/>
        <w:t>Office of the Ohio Consumers’ Counsel</w:t>
      </w:r>
    </w:p>
    <w:p w:rsidR="00C63A2A" w:rsidRDefault="00C63A2A">
      <w:pPr>
        <w:ind w:left="3600"/>
      </w:pPr>
      <w:r>
        <w:tab/>
        <w:t>10 West Broad Street, Suite 1800</w:t>
      </w:r>
    </w:p>
    <w:p w:rsidR="00C63A2A" w:rsidRDefault="00C63A2A">
      <w:pPr>
        <w:ind w:left="3600"/>
      </w:pPr>
      <w:r>
        <w:tab/>
        <w:t>Columbus, Ohio 43215-3485</w:t>
      </w:r>
    </w:p>
    <w:p w:rsidR="00C63A2A" w:rsidRDefault="00C63A2A">
      <w:pPr>
        <w:autoSpaceDE w:val="0"/>
        <w:autoSpaceDN w:val="0"/>
        <w:adjustRightInd w:val="0"/>
        <w:ind w:left="3600" w:firstLine="720"/>
        <w:rPr>
          <w:szCs w:val="24"/>
        </w:rPr>
      </w:pPr>
      <w:r>
        <w:rPr>
          <w:szCs w:val="24"/>
        </w:rPr>
        <w:t>Telephone:  (Berger) (614) 466-1292</w:t>
      </w:r>
    </w:p>
    <w:p w:rsidR="00C63A2A" w:rsidRDefault="00C63A2A">
      <w:pPr>
        <w:autoSpaceDE w:val="0"/>
        <w:autoSpaceDN w:val="0"/>
        <w:adjustRightInd w:val="0"/>
        <w:ind w:left="3600" w:firstLine="720"/>
        <w:rPr>
          <w:szCs w:val="24"/>
        </w:rPr>
      </w:pPr>
      <w:r>
        <w:rPr>
          <w:szCs w:val="24"/>
        </w:rPr>
        <w:t>Telephone:  (Grady) (614) 466-9567</w:t>
      </w:r>
    </w:p>
    <w:p w:rsidR="00C63A2A" w:rsidRDefault="00C63A2A">
      <w:pPr>
        <w:rPr>
          <w:szCs w:val="24"/>
        </w:rPr>
      </w:pPr>
      <w:r>
        <w:rPr>
          <w:szCs w:val="24"/>
        </w:rPr>
        <w:tab/>
      </w:r>
      <w:r>
        <w:rPr>
          <w:szCs w:val="24"/>
        </w:rPr>
        <w:tab/>
      </w:r>
      <w:r>
        <w:rPr>
          <w:szCs w:val="24"/>
        </w:rPr>
        <w:tab/>
      </w:r>
      <w:r>
        <w:rPr>
          <w:szCs w:val="24"/>
        </w:rPr>
        <w:tab/>
      </w:r>
      <w:r>
        <w:rPr>
          <w:szCs w:val="24"/>
        </w:rPr>
        <w:tab/>
      </w:r>
      <w:r>
        <w:rPr>
          <w:szCs w:val="24"/>
        </w:rPr>
        <w:tab/>
      </w:r>
      <w:hyperlink r:id="rId20" w:history="1">
        <w:r w:rsidR="00F74752" w:rsidRPr="00EE23CF">
          <w:rPr>
            <w:rStyle w:val="Hyperlink"/>
            <w:szCs w:val="24"/>
          </w:rPr>
          <w:t>Edmund.berger@occ.ohio.gov</w:t>
        </w:r>
      </w:hyperlink>
    </w:p>
    <w:p w:rsidR="00C63A2A" w:rsidRDefault="00C63A2A">
      <w:pPr>
        <w:rPr>
          <w:szCs w:val="24"/>
        </w:rPr>
      </w:pPr>
      <w:r>
        <w:rPr>
          <w:szCs w:val="24"/>
        </w:rPr>
        <w:tab/>
      </w:r>
      <w:r>
        <w:rPr>
          <w:szCs w:val="24"/>
        </w:rPr>
        <w:tab/>
      </w:r>
      <w:r>
        <w:rPr>
          <w:szCs w:val="24"/>
        </w:rPr>
        <w:tab/>
      </w:r>
      <w:r>
        <w:rPr>
          <w:szCs w:val="24"/>
        </w:rPr>
        <w:tab/>
      </w:r>
      <w:r>
        <w:rPr>
          <w:szCs w:val="24"/>
        </w:rPr>
        <w:tab/>
      </w:r>
      <w:r>
        <w:rPr>
          <w:szCs w:val="24"/>
        </w:rPr>
        <w:tab/>
      </w:r>
      <w:hyperlink r:id="rId21" w:history="1">
        <w:r w:rsidR="00F74752" w:rsidRPr="00EE23CF">
          <w:rPr>
            <w:rStyle w:val="Hyperlink"/>
            <w:szCs w:val="24"/>
          </w:rPr>
          <w:t>Maureen.grady@occ.ohio.gov</w:t>
        </w:r>
      </w:hyperlink>
    </w:p>
    <w:p w:rsidR="00F74752" w:rsidRDefault="00F74752">
      <w:pPr>
        <w:rPr>
          <w:szCs w:val="24"/>
        </w:rPr>
      </w:pPr>
    </w:p>
    <w:p w:rsidR="00C63A2A" w:rsidRDefault="00C63A2A">
      <w:pPr>
        <w:rPr>
          <w:szCs w:val="24"/>
        </w:rPr>
      </w:pPr>
    </w:p>
    <w:p w:rsidR="00C63A2A" w:rsidRDefault="00C63A2A">
      <w:pPr>
        <w:rPr>
          <w:szCs w:val="24"/>
        </w:rPr>
      </w:pPr>
    </w:p>
    <w:p w:rsidR="00C63A2A" w:rsidRDefault="00C63A2A">
      <w:pPr>
        <w:rPr>
          <w:szCs w:val="24"/>
        </w:rPr>
      </w:pPr>
    </w:p>
    <w:p w:rsidR="00C63A2A" w:rsidRDefault="00C63A2A">
      <w:pPr>
        <w:jc w:val="center"/>
        <w:rPr>
          <w:b/>
          <w:bCs/>
          <w:u w:val="single"/>
        </w:rPr>
      </w:pPr>
      <w:r>
        <w:rPr>
          <w:szCs w:val="24"/>
        </w:rPr>
        <w:br w:type="page"/>
      </w:r>
      <w:r>
        <w:rPr>
          <w:b/>
          <w:bCs/>
          <w:u w:val="single"/>
        </w:rPr>
        <w:t>CERTIFICATE OF SERVICE</w:t>
      </w:r>
    </w:p>
    <w:p w:rsidR="00C63A2A" w:rsidRDefault="00C63A2A">
      <w:pPr>
        <w:spacing w:line="480" w:lineRule="atLeast"/>
      </w:pPr>
      <w:r>
        <w:tab/>
        <w:t xml:space="preserve">I hereby certify that a copy of </w:t>
      </w:r>
      <w:r w:rsidR="00257207">
        <w:t xml:space="preserve">the </w:t>
      </w:r>
      <w:r w:rsidR="00257207" w:rsidRPr="0055724B">
        <w:rPr>
          <w:i/>
        </w:rPr>
        <w:t>Reply</w:t>
      </w:r>
      <w:r w:rsidR="00257207">
        <w:t xml:space="preserve"> </w:t>
      </w:r>
      <w:r>
        <w:rPr>
          <w:i/>
        </w:rPr>
        <w:t>Comments</w:t>
      </w:r>
      <w:r>
        <w:t xml:space="preserve"> was served on the persons stated below via electronic transmission to the persons listed below, this </w:t>
      </w:r>
      <w:r w:rsidR="007139BE">
        <w:t>7</w:t>
      </w:r>
      <w:r w:rsidR="006863F2">
        <w:t>t</w:t>
      </w:r>
      <w:r w:rsidR="007139BE">
        <w:t xml:space="preserve">h </w:t>
      </w:r>
      <w:r>
        <w:t xml:space="preserve">day of </w:t>
      </w:r>
      <w:r w:rsidR="007139BE">
        <w:t>April</w:t>
      </w:r>
      <w:r>
        <w:t>, 2014.</w:t>
      </w:r>
    </w:p>
    <w:p w:rsidR="00C63A2A" w:rsidRDefault="00C63A2A">
      <w:pPr>
        <w:spacing w:line="480" w:lineRule="atLeast"/>
      </w:pPr>
    </w:p>
    <w:p w:rsidR="00C63A2A" w:rsidRDefault="00C63A2A">
      <w:pPr>
        <w:tabs>
          <w:tab w:val="left" w:pos="4320"/>
        </w:tabs>
        <w:rPr>
          <w:i/>
          <w:u w:val="single"/>
        </w:rPr>
      </w:pPr>
      <w:r>
        <w:tab/>
      </w:r>
      <w:r>
        <w:rPr>
          <w:i/>
          <w:u w:val="single"/>
        </w:rPr>
        <w:t>/s/ Edmund “Tad” Berger</w:t>
      </w:r>
      <w:r>
        <w:rPr>
          <w:i/>
          <w:u w:val="single"/>
        </w:rPr>
        <w:tab/>
      </w:r>
      <w:r>
        <w:rPr>
          <w:i/>
          <w:u w:val="single"/>
        </w:rPr>
        <w:tab/>
      </w:r>
      <w:r>
        <w:rPr>
          <w:i/>
          <w:u w:val="single"/>
        </w:rPr>
        <w:tab/>
      </w:r>
    </w:p>
    <w:p w:rsidR="00C63A2A" w:rsidRDefault="00C63A2A">
      <w:pPr>
        <w:tabs>
          <w:tab w:val="left" w:pos="4320"/>
        </w:tabs>
      </w:pPr>
      <w:r>
        <w:tab/>
        <w:t>Edmund “Tad” Berger</w:t>
      </w:r>
    </w:p>
    <w:p w:rsidR="00C63A2A" w:rsidRDefault="00C63A2A">
      <w:pPr>
        <w:tabs>
          <w:tab w:val="left" w:pos="4320"/>
        </w:tabs>
      </w:pPr>
      <w:r>
        <w:tab/>
        <w:t>Assistant Consumers’ Counsel</w:t>
      </w:r>
    </w:p>
    <w:p w:rsidR="00C63A2A" w:rsidRDefault="00C63A2A">
      <w:pPr>
        <w:tabs>
          <w:tab w:val="left" w:pos="4320"/>
        </w:tabs>
      </w:pPr>
      <w:r>
        <w:tab/>
      </w:r>
    </w:p>
    <w:p w:rsidR="00C63A2A" w:rsidRDefault="00C63A2A">
      <w:pPr>
        <w:pStyle w:val="CommentText"/>
      </w:pPr>
    </w:p>
    <w:p w:rsidR="00C63A2A" w:rsidRDefault="00C63A2A">
      <w:pPr>
        <w:pStyle w:val="CommentText"/>
        <w:jc w:val="center"/>
        <w:rPr>
          <w:b/>
          <w:u w:val="single"/>
        </w:rPr>
      </w:pPr>
      <w:r>
        <w:rPr>
          <w:b/>
          <w:u w:val="single"/>
        </w:rPr>
        <w:t>SERVICE LIST</w:t>
      </w:r>
    </w:p>
    <w:p w:rsidR="00F74752" w:rsidRDefault="00F74752" w:rsidP="00F74752">
      <w:pPr>
        <w:pStyle w:val="BodyText"/>
        <w:rPr>
          <w:b/>
          <w:bCs/>
        </w:rPr>
      </w:pPr>
    </w:p>
    <w:tbl>
      <w:tblPr>
        <w:tblW w:w="0" w:type="auto"/>
        <w:tblLook w:val="01E0" w:firstRow="1" w:lastRow="1" w:firstColumn="1" w:lastColumn="1" w:noHBand="0" w:noVBand="0"/>
      </w:tblPr>
      <w:tblGrid>
        <w:gridCol w:w="4428"/>
        <w:gridCol w:w="4428"/>
      </w:tblGrid>
      <w:tr w:rsidR="00F74752" w:rsidTr="00CC5113">
        <w:tc>
          <w:tcPr>
            <w:tcW w:w="4428" w:type="dxa"/>
          </w:tcPr>
          <w:p w:rsidR="00F74752" w:rsidRDefault="003B6847" w:rsidP="00CC5113">
            <w:pPr>
              <w:autoSpaceDE w:val="0"/>
              <w:autoSpaceDN w:val="0"/>
              <w:adjustRightInd w:val="0"/>
              <w:rPr>
                <w:bCs/>
              </w:rPr>
            </w:pPr>
            <w:hyperlink r:id="rId22" w:history="1">
              <w:r w:rsidR="00F74752">
                <w:rPr>
                  <w:rStyle w:val="Hyperlink"/>
                  <w:bCs/>
                </w:rPr>
                <w:t>Thomas.mcnamee@puc.state.oh.us</w:t>
              </w:r>
            </w:hyperlink>
          </w:p>
          <w:p w:rsidR="00F74752" w:rsidRDefault="003B6847" w:rsidP="00CC5113">
            <w:pPr>
              <w:autoSpaceDE w:val="0"/>
              <w:autoSpaceDN w:val="0"/>
              <w:adjustRightInd w:val="0"/>
              <w:rPr>
                <w:bCs/>
              </w:rPr>
            </w:pPr>
            <w:hyperlink r:id="rId23" w:history="1">
              <w:r w:rsidR="00F74752">
                <w:rPr>
                  <w:rStyle w:val="Hyperlink"/>
                  <w:bCs/>
                </w:rPr>
                <w:t>Amy.spiller@duke-energy.com</w:t>
              </w:r>
            </w:hyperlink>
          </w:p>
          <w:p w:rsidR="00F74752" w:rsidRDefault="003B6847" w:rsidP="00CC5113">
            <w:pPr>
              <w:autoSpaceDE w:val="0"/>
              <w:autoSpaceDN w:val="0"/>
              <w:adjustRightInd w:val="0"/>
              <w:rPr>
                <w:bCs/>
              </w:rPr>
            </w:pPr>
            <w:hyperlink r:id="rId24" w:history="1">
              <w:r w:rsidR="00F74752">
                <w:rPr>
                  <w:rStyle w:val="Hyperlink"/>
                  <w:bCs/>
                </w:rPr>
                <w:t>Jeanne.kingery@duke-energy.com</w:t>
              </w:r>
            </w:hyperlink>
          </w:p>
          <w:p w:rsidR="00F74752" w:rsidRDefault="003B6847" w:rsidP="00CC5113">
            <w:pPr>
              <w:autoSpaceDE w:val="0"/>
              <w:autoSpaceDN w:val="0"/>
              <w:adjustRightInd w:val="0"/>
              <w:rPr>
                <w:bCs/>
              </w:rPr>
            </w:pPr>
            <w:hyperlink r:id="rId25" w:history="1">
              <w:r w:rsidR="00F74752">
                <w:rPr>
                  <w:rStyle w:val="Hyperlink"/>
                  <w:bCs/>
                </w:rPr>
                <w:t>Joseph.clark@directenergy.com</w:t>
              </w:r>
            </w:hyperlink>
          </w:p>
          <w:p w:rsidR="00F74752" w:rsidRDefault="003B6847" w:rsidP="00CC5113">
            <w:pPr>
              <w:autoSpaceDE w:val="0"/>
              <w:autoSpaceDN w:val="0"/>
              <w:adjustRightInd w:val="0"/>
              <w:rPr>
                <w:szCs w:val="24"/>
              </w:rPr>
            </w:pPr>
            <w:hyperlink r:id="rId26" w:history="1">
              <w:r w:rsidR="00F74752">
                <w:rPr>
                  <w:rStyle w:val="Hyperlink"/>
                  <w:szCs w:val="24"/>
                </w:rPr>
                <w:t>sam@mwncmh.com</w:t>
              </w:r>
            </w:hyperlink>
          </w:p>
          <w:p w:rsidR="00F74752" w:rsidRDefault="003B6847" w:rsidP="00CC5113">
            <w:pPr>
              <w:autoSpaceDE w:val="0"/>
              <w:autoSpaceDN w:val="0"/>
              <w:adjustRightInd w:val="0"/>
              <w:rPr>
                <w:szCs w:val="24"/>
              </w:rPr>
            </w:pPr>
            <w:hyperlink r:id="rId27" w:history="1">
              <w:r w:rsidR="00F74752">
                <w:rPr>
                  <w:rStyle w:val="Hyperlink"/>
                  <w:szCs w:val="24"/>
                </w:rPr>
                <w:t>fdarr@mwncmh.com</w:t>
              </w:r>
            </w:hyperlink>
          </w:p>
          <w:p w:rsidR="00F74752" w:rsidRDefault="003B6847" w:rsidP="00CC5113">
            <w:pPr>
              <w:autoSpaceDE w:val="0"/>
              <w:autoSpaceDN w:val="0"/>
              <w:adjustRightInd w:val="0"/>
              <w:rPr>
                <w:szCs w:val="24"/>
              </w:rPr>
            </w:pPr>
            <w:hyperlink r:id="rId28" w:history="1">
              <w:r w:rsidR="00F74752">
                <w:rPr>
                  <w:rStyle w:val="Hyperlink"/>
                  <w:szCs w:val="24"/>
                </w:rPr>
                <w:t>joliker@mwncmh.com</w:t>
              </w:r>
            </w:hyperlink>
          </w:p>
          <w:p w:rsidR="00F74752" w:rsidRDefault="003B6847" w:rsidP="00CC5113">
            <w:pPr>
              <w:autoSpaceDE w:val="0"/>
              <w:autoSpaceDN w:val="0"/>
              <w:adjustRightInd w:val="0"/>
              <w:rPr>
                <w:szCs w:val="24"/>
              </w:rPr>
            </w:pPr>
            <w:hyperlink r:id="rId29" w:history="1">
              <w:r w:rsidR="00F74752">
                <w:rPr>
                  <w:rStyle w:val="Hyperlink"/>
                  <w:szCs w:val="24"/>
                </w:rPr>
                <w:t>mpritchard@mwncmh.com</w:t>
              </w:r>
            </w:hyperlink>
          </w:p>
          <w:p w:rsidR="00F74752" w:rsidRDefault="003B6847" w:rsidP="00CC5113">
            <w:pPr>
              <w:autoSpaceDE w:val="0"/>
              <w:autoSpaceDN w:val="0"/>
              <w:adjustRightInd w:val="0"/>
              <w:rPr>
                <w:szCs w:val="24"/>
              </w:rPr>
            </w:pPr>
            <w:hyperlink r:id="rId30" w:history="1">
              <w:r w:rsidR="00F74752">
                <w:rPr>
                  <w:rStyle w:val="Hyperlink"/>
                  <w:szCs w:val="24"/>
                </w:rPr>
                <w:t>whitt@whitt-sturtevant.com</w:t>
              </w:r>
            </w:hyperlink>
          </w:p>
          <w:p w:rsidR="00F74752" w:rsidRDefault="003B6847" w:rsidP="00CC5113">
            <w:pPr>
              <w:autoSpaceDE w:val="0"/>
              <w:autoSpaceDN w:val="0"/>
              <w:adjustRightInd w:val="0"/>
              <w:rPr>
                <w:szCs w:val="24"/>
              </w:rPr>
            </w:pPr>
            <w:hyperlink r:id="rId31" w:history="1">
              <w:r w:rsidR="00F74752">
                <w:rPr>
                  <w:rStyle w:val="Hyperlink"/>
                  <w:szCs w:val="24"/>
                </w:rPr>
                <w:t>campbell@whitt-sturtevant.com</w:t>
              </w:r>
            </w:hyperlink>
          </w:p>
          <w:p w:rsidR="00F74752" w:rsidRDefault="003B6847" w:rsidP="00CC5113">
            <w:pPr>
              <w:autoSpaceDE w:val="0"/>
              <w:autoSpaceDN w:val="0"/>
              <w:adjustRightInd w:val="0"/>
              <w:rPr>
                <w:szCs w:val="24"/>
              </w:rPr>
            </w:pPr>
            <w:hyperlink r:id="rId32" w:history="1">
              <w:r w:rsidR="00F74752">
                <w:rPr>
                  <w:rStyle w:val="Hyperlink"/>
                  <w:szCs w:val="24"/>
                </w:rPr>
                <w:t>williams@whitt-sturtevant.com</w:t>
              </w:r>
            </w:hyperlink>
          </w:p>
          <w:p w:rsidR="00F74752" w:rsidRDefault="003B6847" w:rsidP="00CC5113">
            <w:pPr>
              <w:autoSpaceDE w:val="0"/>
              <w:autoSpaceDN w:val="0"/>
              <w:adjustRightInd w:val="0"/>
              <w:rPr>
                <w:szCs w:val="24"/>
              </w:rPr>
            </w:pPr>
            <w:hyperlink r:id="rId33" w:history="1">
              <w:r w:rsidR="00F74752">
                <w:rPr>
                  <w:rStyle w:val="Hyperlink"/>
                  <w:szCs w:val="24"/>
                </w:rPr>
                <w:t>vparisi@igsenergy.com</w:t>
              </w:r>
            </w:hyperlink>
          </w:p>
          <w:p w:rsidR="00F74752" w:rsidRDefault="003B6847" w:rsidP="00CC5113">
            <w:pPr>
              <w:autoSpaceDE w:val="0"/>
              <w:autoSpaceDN w:val="0"/>
              <w:adjustRightInd w:val="0"/>
              <w:rPr>
                <w:szCs w:val="24"/>
              </w:rPr>
            </w:pPr>
            <w:hyperlink r:id="rId34" w:history="1">
              <w:r w:rsidR="00F74752">
                <w:rPr>
                  <w:rStyle w:val="Hyperlink"/>
                  <w:szCs w:val="24"/>
                </w:rPr>
                <w:t>lfriedeman@igsenergy.com</w:t>
              </w:r>
            </w:hyperlink>
          </w:p>
          <w:p w:rsidR="00F74752" w:rsidRDefault="003B6847" w:rsidP="00CC5113">
            <w:pPr>
              <w:autoSpaceDE w:val="0"/>
              <w:autoSpaceDN w:val="0"/>
              <w:adjustRightInd w:val="0"/>
              <w:rPr>
                <w:szCs w:val="24"/>
              </w:rPr>
            </w:pPr>
            <w:hyperlink r:id="rId35" w:history="1">
              <w:r w:rsidR="00F74752">
                <w:rPr>
                  <w:rStyle w:val="Hyperlink"/>
                  <w:szCs w:val="24"/>
                </w:rPr>
                <w:t>mswhite@igsenergy.com</w:t>
              </w:r>
            </w:hyperlink>
          </w:p>
          <w:p w:rsidR="00F74752" w:rsidRDefault="003B6847" w:rsidP="00CC5113">
            <w:pPr>
              <w:autoSpaceDE w:val="0"/>
              <w:autoSpaceDN w:val="0"/>
              <w:adjustRightInd w:val="0"/>
              <w:rPr>
                <w:szCs w:val="24"/>
              </w:rPr>
            </w:pPr>
            <w:hyperlink r:id="rId36" w:history="1">
              <w:r w:rsidR="00F74752">
                <w:rPr>
                  <w:rStyle w:val="Hyperlink"/>
                  <w:szCs w:val="24"/>
                </w:rPr>
                <w:t>amvogel@aep.com</w:t>
              </w:r>
            </w:hyperlink>
          </w:p>
          <w:p w:rsidR="00F74752" w:rsidRDefault="00F74752" w:rsidP="00CC5113">
            <w:pPr>
              <w:autoSpaceDE w:val="0"/>
              <w:autoSpaceDN w:val="0"/>
              <w:adjustRightInd w:val="0"/>
              <w:rPr>
                <w:bCs/>
              </w:rPr>
            </w:pPr>
          </w:p>
          <w:p w:rsidR="00F74752" w:rsidRDefault="00F74752" w:rsidP="00CC5113">
            <w:pPr>
              <w:autoSpaceDE w:val="0"/>
              <w:autoSpaceDN w:val="0"/>
              <w:adjustRightInd w:val="0"/>
              <w:rPr>
                <w:bCs/>
              </w:rPr>
            </w:pPr>
          </w:p>
        </w:tc>
        <w:tc>
          <w:tcPr>
            <w:tcW w:w="4428" w:type="dxa"/>
          </w:tcPr>
          <w:p w:rsidR="00F74752" w:rsidRDefault="003B6847" w:rsidP="00CC5113">
            <w:pPr>
              <w:autoSpaceDE w:val="0"/>
              <w:autoSpaceDN w:val="0"/>
              <w:adjustRightInd w:val="0"/>
              <w:rPr>
                <w:szCs w:val="24"/>
              </w:rPr>
            </w:pPr>
            <w:hyperlink r:id="rId37" w:history="1">
              <w:r w:rsidR="00F74752">
                <w:rPr>
                  <w:rStyle w:val="Hyperlink"/>
                  <w:szCs w:val="24"/>
                </w:rPr>
                <w:t>haydenm@firstenergycorp.com</w:t>
              </w:r>
            </w:hyperlink>
          </w:p>
          <w:p w:rsidR="00F74752" w:rsidRDefault="003B6847" w:rsidP="00CC5113">
            <w:pPr>
              <w:autoSpaceDE w:val="0"/>
              <w:autoSpaceDN w:val="0"/>
              <w:adjustRightInd w:val="0"/>
              <w:rPr>
                <w:szCs w:val="24"/>
              </w:rPr>
            </w:pPr>
            <w:hyperlink r:id="rId38" w:history="1">
              <w:r w:rsidR="00F74752">
                <w:rPr>
                  <w:rStyle w:val="Hyperlink"/>
                  <w:szCs w:val="24"/>
                </w:rPr>
                <w:t>jmcdermott@firstenergycorp.com</w:t>
              </w:r>
            </w:hyperlink>
          </w:p>
          <w:p w:rsidR="00F74752" w:rsidRDefault="003B6847" w:rsidP="00CC5113">
            <w:pPr>
              <w:autoSpaceDE w:val="0"/>
              <w:autoSpaceDN w:val="0"/>
              <w:adjustRightInd w:val="0"/>
              <w:rPr>
                <w:szCs w:val="24"/>
              </w:rPr>
            </w:pPr>
            <w:hyperlink r:id="rId39" w:history="1">
              <w:r w:rsidR="00F74752">
                <w:rPr>
                  <w:rStyle w:val="Hyperlink"/>
                  <w:szCs w:val="24"/>
                </w:rPr>
                <w:t>jlang@calfee.com</w:t>
              </w:r>
            </w:hyperlink>
          </w:p>
          <w:p w:rsidR="00F74752" w:rsidRDefault="003B6847" w:rsidP="00CC5113">
            <w:pPr>
              <w:autoSpaceDE w:val="0"/>
              <w:autoSpaceDN w:val="0"/>
              <w:adjustRightInd w:val="0"/>
              <w:rPr>
                <w:szCs w:val="24"/>
              </w:rPr>
            </w:pPr>
            <w:hyperlink r:id="rId40" w:history="1">
              <w:r w:rsidR="00F74752">
                <w:rPr>
                  <w:rStyle w:val="Hyperlink"/>
                  <w:szCs w:val="24"/>
                </w:rPr>
                <w:t>talexander@calfee.com</w:t>
              </w:r>
            </w:hyperlink>
          </w:p>
          <w:p w:rsidR="00F74752" w:rsidRDefault="003B6847" w:rsidP="00CC5113">
            <w:pPr>
              <w:pStyle w:val="BodyText"/>
              <w:rPr>
                <w:bCs/>
              </w:rPr>
            </w:pPr>
            <w:hyperlink r:id="rId41" w:history="1">
              <w:r w:rsidR="00F74752">
                <w:rPr>
                  <w:rStyle w:val="Hyperlink"/>
                  <w:bCs/>
                </w:rPr>
                <w:t>Judi.sobecki@dplinc.com</w:t>
              </w:r>
            </w:hyperlink>
          </w:p>
          <w:p w:rsidR="00F74752" w:rsidRDefault="003B6847" w:rsidP="00CC5113">
            <w:pPr>
              <w:pStyle w:val="BodyText"/>
              <w:jc w:val="left"/>
              <w:rPr>
                <w:bCs/>
              </w:rPr>
            </w:pPr>
            <w:hyperlink r:id="rId42" w:history="1">
              <w:r w:rsidR="00F74752">
                <w:rPr>
                  <w:rStyle w:val="Hyperlink"/>
                  <w:bCs/>
                </w:rPr>
                <w:t>cfaruki@ficlaw.com</w:t>
              </w:r>
            </w:hyperlink>
          </w:p>
          <w:p w:rsidR="00F74752" w:rsidRDefault="003B6847" w:rsidP="00CC5113">
            <w:pPr>
              <w:pStyle w:val="BodyText"/>
              <w:jc w:val="left"/>
              <w:rPr>
                <w:bCs/>
              </w:rPr>
            </w:pPr>
            <w:hyperlink r:id="rId43" w:history="1">
              <w:r w:rsidR="00F74752">
                <w:rPr>
                  <w:rStyle w:val="Hyperlink"/>
                  <w:bCs/>
                </w:rPr>
                <w:t>jsharkey@ficlaw.com</w:t>
              </w:r>
            </w:hyperlink>
          </w:p>
          <w:p w:rsidR="00F74752" w:rsidRDefault="003B6847" w:rsidP="00CC5113">
            <w:pPr>
              <w:autoSpaceDE w:val="0"/>
              <w:autoSpaceDN w:val="0"/>
              <w:adjustRightInd w:val="0"/>
              <w:rPr>
                <w:bCs/>
              </w:rPr>
            </w:pPr>
            <w:hyperlink r:id="rId44" w:history="1">
              <w:r w:rsidR="00F74752">
                <w:rPr>
                  <w:rStyle w:val="Hyperlink"/>
                  <w:bCs/>
                </w:rPr>
                <w:t>Rocco.dascenzo@duke-energy.com</w:t>
              </w:r>
            </w:hyperlink>
          </w:p>
          <w:p w:rsidR="00F74752" w:rsidRDefault="003B6847" w:rsidP="00CC5113">
            <w:pPr>
              <w:autoSpaceDE w:val="0"/>
              <w:autoSpaceDN w:val="0"/>
              <w:adjustRightInd w:val="0"/>
              <w:rPr>
                <w:szCs w:val="24"/>
              </w:rPr>
            </w:pPr>
            <w:hyperlink r:id="rId45" w:history="1">
              <w:r w:rsidR="00F74752">
                <w:rPr>
                  <w:rStyle w:val="Hyperlink"/>
                  <w:szCs w:val="24"/>
                </w:rPr>
                <w:t>dboehm@BKLlawfirm.com</w:t>
              </w:r>
            </w:hyperlink>
          </w:p>
          <w:p w:rsidR="00F74752" w:rsidRDefault="003B6847" w:rsidP="00CC5113">
            <w:pPr>
              <w:autoSpaceDE w:val="0"/>
              <w:autoSpaceDN w:val="0"/>
              <w:adjustRightInd w:val="0"/>
              <w:rPr>
                <w:szCs w:val="24"/>
              </w:rPr>
            </w:pPr>
            <w:hyperlink r:id="rId46" w:history="1">
              <w:r w:rsidR="00F74752">
                <w:rPr>
                  <w:rStyle w:val="Hyperlink"/>
                  <w:szCs w:val="24"/>
                </w:rPr>
                <w:t>mkurtz@BKLlawfirm.com</w:t>
              </w:r>
            </w:hyperlink>
          </w:p>
          <w:p w:rsidR="00F74752" w:rsidRDefault="003B6847" w:rsidP="00CC5113">
            <w:pPr>
              <w:autoSpaceDE w:val="0"/>
              <w:autoSpaceDN w:val="0"/>
              <w:adjustRightInd w:val="0"/>
              <w:rPr>
                <w:szCs w:val="24"/>
              </w:rPr>
            </w:pPr>
            <w:hyperlink r:id="rId47" w:history="1">
              <w:r w:rsidR="00F74752" w:rsidRPr="00F12356">
                <w:rPr>
                  <w:rStyle w:val="Hyperlink"/>
                  <w:szCs w:val="24"/>
                </w:rPr>
                <w:t>jkylercohn@BKLlawfirm.com</w:t>
              </w:r>
            </w:hyperlink>
          </w:p>
          <w:p w:rsidR="00F74752" w:rsidRDefault="003B6847" w:rsidP="00CC5113">
            <w:pPr>
              <w:autoSpaceDE w:val="0"/>
              <w:autoSpaceDN w:val="0"/>
              <w:adjustRightInd w:val="0"/>
              <w:rPr>
                <w:szCs w:val="24"/>
              </w:rPr>
            </w:pPr>
            <w:hyperlink r:id="rId48" w:history="1">
              <w:r w:rsidR="00F74752">
                <w:rPr>
                  <w:rStyle w:val="Hyperlink"/>
                  <w:szCs w:val="24"/>
                </w:rPr>
                <w:t>Bojko@carpenterlipps.com</w:t>
              </w:r>
            </w:hyperlink>
          </w:p>
          <w:p w:rsidR="00F74752" w:rsidRDefault="003B6847" w:rsidP="00CC5113">
            <w:pPr>
              <w:tabs>
                <w:tab w:val="left" w:pos="3173"/>
              </w:tabs>
              <w:autoSpaceDE w:val="0"/>
              <w:autoSpaceDN w:val="0"/>
              <w:adjustRightInd w:val="0"/>
              <w:rPr>
                <w:szCs w:val="24"/>
              </w:rPr>
            </w:pPr>
            <w:hyperlink r:id="rId49" w:history="1">
              <w:r w:rsidR="00F74752">
                <w:rPr>
                  <w:rStyle w:val="Hyperlink"/>
                  <w:szCs w:val="24"/>
                </w:rPr>
                <w:t>mohler@carpenterlipps.com</w:t>
              </w:r>
            </w:hyperlink>
            <w:r w:rsidR="00F74752">
              <w:rPr>
                <w:szCs w:val="24"/>
              </w:rPr>
              <w:tab/>
            </w:r>
          </w:p>
          <w:p w:rsidR="00F74752" w:rsidRDefault="003B6847" w:rsidP="00CC5113">
            <w:pPr>
              <w:pStyle w:val="BodyText"/>
              <w:rPr>
                <w:color w:val="0000FF"/>
                <w:szCs w:val="24"/>
              </w:rPr>
            </w:pPr>
            <w:hyperlink r:id="rId50" w:history="1">
              <w:r w:rsidR="00F74752">
                <w:rPr>
                  <w:rStyle w:val="Hyperlink"/>
                  <w:szCs w:val="24"/>
                </w:rPr>
                <w:t>cmooney@ohiopartners.org</w:t>
              </w:r>
            </w:hyperlink>
          </w:p>
          <w:p w:rsidR="00F74752" w:rsidRPr="00F74752" w:rsidRDefault="003B6847" w:rsidP="00CC5113">
            <w:pPr>
              <w:autoSpaceDE w:val="0"/>
              <w:autoSpaceDN w:val="0"/>
              <w:adjustRightInd w:val="0"/>
              <w:rPr>
                <w:rFonts w:eastAsia="Calibri"/>
                <w:szCs w:val="24"/>
              </w:rPr>
            </w:pPr>
            <w:hyperlink r:id="rId51" w:history="1">
              <w:r w:rsidR="00F74752" w:rsidRPr="00F74752">
                <w:rPr>
                  <w:rStyle w:val="Hyperlink"/>
                  <w:rFonts w:eastAsia="Calibri"/>
                  <w:szCs w:val="24"/>
                </w:rPr>
                <w:t>mhpetricoff@vorys.com</w:t>
              </w:r>
            </w:hyperlink>
          </w:p>
          <w:p w:rsidR="00F74752" w:rsidRPr="00F74752" w:rsidRDefault="003B6847" w:rsidP="00CC5113">
            <w:pPr>
              <w:pStyle w:val="BodyText"/>
              <w:rPr>
                <w:rFonts w:eastAsia="Calibri"/>
                <w:szCs w:val="24"/>
              </w:rPr>
            </w:pPr>
            <w:hyperlink r:id="rId52" w:history="1">
              <w:r w:rsidR="00F74752" w:rsidRPr="00F74752">
                <w:rPr>
                  <w:rStyle w:val="Hyperlink"/>
                  <w:rFonts w:eastAsia="Calibri"/>
                  <w:szCs w:val="24"/>
                </w:rPr>
                <w:t>glpetrucci@vorys.com</w:t>
              </w:r>
            </w:hyperlink>
          </w:p>
          <w:p w:rsidR="00F74752" w:rsidRDefault="00F74752" w:rsidP="00CC5113">
            <w:pPr>
              <w:pStyle w:val="BodyText"/>
              <w:rPr>
                <w:bCs/>
              </w:rPr>
            </w:pPr>
          </w:p>
        </w:tc>
      </w:tr>
      <w:tr w:rsidR="00F74752" w:rsidTr="00CC5113">
        <w:tc>
          <w:tcPr>
            <w:tcW w:w="4428" w:type="dxa"/>
          </w:tcPr>
          <w:p w:rsidR="00F74752" w:rsidRDefault="00F74752" w:rsidP="00CC5113">
            <w:pPr>
              <w:autoSpaceDE w:val="0"/>
              <w:autoSpaceDN w:val="0"/>
              <w:adjustRightInd w:val="0"/>
              <w:rPr>
                <w:bCs/>
              </w:rPr>
            </w:pPr>
            <w:r>
              <w:rPr>
                <w:bCs/>
              </w:rPr>
              <w:t>Attorney Examiners:</w:t>
            </w:r>
          </w:p>
          <w:p w:rsidR="00F74752" w:rsidRDefault="003B6847" w:rsidP="00CC5113">
            <w:pPr>
              <w:autoSpaceDE w:val="0"/>
              <w:autoSpaceDN w:val="0"/>
              <w:adjustRightInd w:val="0"/>
              <w:rPr>
                <w:bCs/>
              </w:rPr>
            </w:pPr>
            <w:hyperlink r:id="rId53" w:history="1">
              <w:r w:rsidR="00F74752">
                <w:rPr>
                  <w:rStyle w:val="Hyperlink"/>
                  <w:bCs/>
                </w:rPr>
                <w:t>Bryce.mckenney@puc.state.oh.us</w:t>
              </w:r>
            </w:hyperlink>
          </w:p>
          <w:p w:rsidR="00F74752" w:rsidRDefault="003B6847" w:rsidP="00CC5113">
            <w:pPr>
              <w:autoSpaceDE w:val="0"/>
              <w:autoSpaceDN w:val="0"/>
              <w:adjustRightInd w:val="0"/>
              <w:rPr>
                <w:bCs/>
              </w:rPr>
            </w:pPr>
            <w:hyperlink r:id="rId54" w:history="1">
              <w:r w:rsidR="00F74752">
                <w:rPr>
                  <w:rStyle w:val="Hyperlink"/>
                  <w:bCs/>
                </w:rPr>
                <w:t>Gregory.price@puc.state.oh.us</w:t>
              </w:r>
            </w:hyperlink>
          </w:p>
          <w:p w:rsidR="00F74752" w:rsidRDefault="00F74752" w:rsidP="00CC5113">
            <w:pPr>
              <w:autoSpaceDE w:val="0"/>
              <w:autoSpaceDN w:val="0"/>
              <w:adjustRightInd w:val="0"/>
              <w:rPr>
                <w:bCs/>
              </w:rPr>
            </w:pPr>
          </w:p>
        </w:tc>
        <w:tc>
          <w:tcPr>
            <w:tcW w:w="4428" w:type="dxa"/>
          </w:tcPr>
          <w:p w:rsidR="00F74752" w:rsidRDefault="00F74752" w:rsidP="00CC5113">
            <w:pPr>
              <w:autoSpaceDE w:val="0"/>
              <w:autoSpaceDN w:val="0"/>
              <w:adjustRightInd w:val="0"/>
              <w:rPr>
                <w:sz w:val="21"/>
                <w:szCs w:val="21"/>
              </w:rPr>
            </w:pPr>
          </w:p>
          <w:p w:rsidR="00F74752" w:rsidRDefault="00F74752" w:rsidP="00CC5113">
            <w:pPr>
              <w:pStyle w:val="BodyText"/>
              <w:rPr>
                <w:bCs/>
              </w:rPr>
            </w:pPr>
          </w:p>
        </w:tc>
      </w:tr>
    </w:tbl>
    <w:p w:rsidR="00F74752" w:rsidRDefault="00F74752" w:rsidP="00F74752">
      <w:pPr>
        <w:pStyle w:val="BodyText"/>
      </w:pPr>
    </w:p>
    <w:p w:rsidR="003C531B" w:rsidRDefault="003C531B">
      <w:pPr>
        <w:pStyle w:val="BodyText"/>
        <w:rPr>
          <w:bCs/>
        </w:rPr>
      </w:pPr>
    </w:p>
    <w:sectPr w:rsidR="003C531B">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36" w:rsidRDefault="006A1A36">
      <w:r>
        <w:separator/>
      </w:r>
    </w:p>
    <w:p w:rsidR="006A1A36" w:rsidRDefault="006A1A36"/>
    <w:p w:rsidR="006A1A36" w:rsidRDefault="006A1A36"/>
  </w:endnote>
  <w:endnote w:type="continuationSeparator" w:id="0">
    <w:p w:rsidR="006A1A36" w:rsidRDefault="006A1A36">
      <w:r>
        <w:continuationSeparator/>
      </w:r>
    </w:p>
    <w:p w:rsidR="006A1A36" w:rsidRDefault="006A1A36"/>
    <w:p w:rsidR="006A1A36" w:rsidRDefault="006A1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09" w:rsidRDefault="00B64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12" w:rsidRDefault="00A70212">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B64109">
      <w:rPr>
        <w:rStyle w:val="PageNumber"/>
        <w:noProof/>
        <w:sz w:val="24"/>
        <w:szCs w:val="24"/>
      </w:rPr>
      <w:t>13</w:t>
    </w:r>
    <w:r>
      <w:rPr>
        <w:rStyle w:val="PageNumber"/>
        <w:sz w:val="24"/>
        <w:szCs w:val="24"/>
      </w:rPr>
      <w:fldChar w:fldCharType="end"/>
    </w:r>
  </w:p>
  <w:p w:rsidR="00A70212" w:rsidRDefault="00A70212">
    <w:pPr>
      <w:pStyle w:val="Footer"/>
      <w:framePr w:wrap="around" w:vAnchor="text" w:hAnchor="margin" w:xAlign="center" w:y="1"/>
      <w:rPr>
        <w:rStyle w:val="PageNumber"/>
      </w:rPr>
    </w:pPr>
  </w:p>
  <w:p w:rsidR="00A70212" w:rsidRDefault="00A70212">
    <w:pPr>
      <w:pStyle w:val="Footer"/>
    </w:pPr>
  </w:p>
  <w:p w:rsidR="00A70212" w:rsidRDefault="00A702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09" w:rsidRDefault="00B641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12" w:rsidRDefault="00A70212">
    <w:pPr>
      <w:pStyle w:val="Footer"/>
      <w:jc w:val="center"/>
    </w:pPr>
    <w:r>
      <w:fldChar w:fldCharType="begin"/>
    </w:r>
    <w:r>
      <w:instrText xml:space="preserve"> PAGE   \* MERGEFORMAT </w:instrText>
    </w:r>
    <w:r>
      <w:fldChar w:fldCharType="separate"/>
    </w:r>
    <w:r w:rsidR="003B6847">
      <w:rPr>
        <w:noProof/>
      </w:rPr>
      <w:t>i</w:t>
    </w:r>
    <w:r>
      <w:rPr>
        <w:noProof/>
      </w:rPr>
      <w:fldChar w:fldCharType="end"/>
    </w:r>
  </w:p>
  <w:p w:rsidR="00A70212" w:rsidRDefault="00A70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36" w:rsidRDefault="006A1A36">
      <w:r>
        <w:separator/>
      </w:r>
    </w:p>
  </w:footnote>
  <w:footnote w:type="continuationSeparator" w:id="0">
    <w:p w:rsidR="006A1A36" w:rsidRDefault="006A1A36">
      <w:r>
        <w:continuationSeparator/>
      </w:r>
    </w:p>
    <w:p w:rsidR="006A1A36" w:rsidRDefault="006A1A36"/>
    <w:p w:rsidR="006A1A36" w:rsidRDefault="006A1A36"/>
  </w:footnote>
  <w:footnote w:id="1">
    <w:p w:rsidR="00A70212" w:rsidRDefault="00A70212" w:rsidP="000D1395">
      <w:pPr>
        <w:pStyle w:val="FootnoteText"/>
        <w:spacing w:after="120"/>
      </w:pPr>
      <w:r>
        <w:rPr>
          <w:rStyle w:val="FootnoteReference"/>
        </w:rPr>
        <w:footnoteRef/>
      </w:r>
      <w:r>
        <w:t xml:space="preserve"> OCC Comments at 3, 22.  </w:t>
      </w:r>
    </w:p>
  </w:footnote>
  <w:footnote w:id="2">
    <w:p w:rsidR="00A70212" w:rsidRDefault="00A70212" w:rsidP="00F74752">
      <w:pPr>
        <w:pStyle w:val="FootnoteText"/>
        <w:spacing w:after="120"/>
      </w:pPr>
      <w:r>
        <w:rPr>
          <w:rStyle w:val="FootnoteReference"/>
        </w:rPr>
        <w:footnoteRef/>
      </w:r>
      <w:r>
        <w:t xml:space="preserve"> The service stability rider of DP&amp;L, approved by the PUCO in DP&amp;L’s electric security plan proceeding, Case No. 12-426-EL-SSO, is a subsidy of the utility’s generation business by all customers.  </w:t>
      </w:r>
    </w:p>
  </w:footnote>
  <w:footnote w:id="3">
    <w:p w:rsidR="00CD0C88" w:rsidRDefault="00CD0C88" w:rsidP="00F74752">
      <w:pPr>
        <w:pStyle w:val="FootnoteText"/>
        <w:spacing w:after="120"/>
      </w:pPr>
      <w:r>
        <w:rPr>
          <w:rStyle w:val="FootnoteReference"/>
        </w:rPr>
        <w:footnoteRef/>
      </w:r>
      <w:r>
        <w:t xml:space="preserve"> OCC Comments at 21-22.</w:t>
      </w:r>
    </w:p>
  </w:footnote>
  <w:footnote w:id="4">
    <w:p w:rsidR="00A70212" w:rsidRDefault="00A70212" w:rsidP="00F74752">
      <w:pPr>
        <w:pStyle w:val="FootnoteText"/>
        <w:spacing w:after="120"/>
      </w:pPr>
      <w:r>
        <w:rPr>
          <w:rStyle w:val="FootnoteReference"/>
        </w:rPr>
        <w:footnoteRef/>
      </w:r>
      <w:r>
        <w:t xml:space="preserve"> FirstEnergy Solutions (“FES”), Industrial Energy Users-Ohio (“IEU-Ohio), Ohio Energy Group (“OEG”), Ohio Manufacturers Association Energy Group (“OMA”), Ohio Partners for Affordable Energy (“OPAE”), and The Staff of the Public Utilities Commission of Ohio (“Staff”).</w:t>
      </w:r>
    </w:p>
  </w:footnote>
  <w:footnote w:id="5">
    <w:p w:rsidR="00A70212" w:rsidRDefault="00A70212" w:rsidP="00F74752">
      <w:pPr>
        <w:pStyle w:val="FootnoteText"/>
        <w:spacing w:after="120"/>
      </w:pPr>
      <w:r>
        <w:rPr>
          <w:rStyle w:val="FootnoteReference"/>
        </w:rPr>
        <w:footnoteRef/>
      </w:r>
      <w:r>
        <w:t xml:space="preserve"> OCC Comments at 1-3; FES Comments at 1-3; IEU-Ohio Comments at 1-5; OEG Comments at 7-9; OPAE Comments at 1-2; Staff Comments at 1-2, 7.</w:t>
      </w:r>
    </w:p>
  </w:footnote>
  <w:footnote w:id="6">
    <w:p w:rsidR="00A70212" w:rsidRDefault="00A70212" w:rsidP="00F74752">
      <w:pPr>
        <w:pStyle w:val="FootnoteText"/>
        <w:spacing w:after="120"/>
      </w:pPr>
      <w:r>
        <w:rPr>
          <w:rStyle w:val="FootnoteReference"/>
        </w:rPr>
        <w:footnoteRef/>
      </w:r>
      <w:r>
        <w:t xml:space="preserve"> OCC Comments at 5-9; FES Comments at 2-3; IEU-Ohio Comments at 7-8; OEG Comments at 1-4. </w:t>
      </w:r>
    </w:p>
  </w:footnote>
  <w:footnote w:id="7">
    <w:p w:rsidR="00A70212" w:rsidRDefault="00A70212" w:rsidP="00F74752">
      <w:pPr>
        <w:pStyle w:val="FootnoteText"/>
        <w:spacing w:after="120"/>
      </w:pPr>
      <w:r>
        <w:rPr>
          <w:rStyle w:val="FootnoteReference"/>
        </w:rPr>
        <w:footnoteRef/>
      </w:r>
      <w:r>
        <w:t xml:space="preserve"> OCC Comments at 15-17; OEG Comments at 6; RESA Comments at 4-5; Staff Comments at 3-4. (indicating that DP&amp;L should receive the same treatment with respect to such costs as AEP Ohio, which was denied recovery of such costs).</w:t>
      </w:r>
    </w:p>
  </w:footnote>
  <w:footnote w:id="8">
    <w:p w:rsidR="00A70212" w:rsidRDefault="00A70212" w:rsidP="000D1395">
      <w:pPr>
        <w:pStyle w:val="FootnoteText"/>
        <w:spacing w:after="120"/>
      </w:pPr>
      <w:r>
        <w:rPr>
          <w:rStyle w:val="FootnoteReference"/>
        </w:rPr>
        <w:footnoteRef/>
      </w:r>
      <w:r>
        <w:t xml:space="preserve"> FES Comments at 3.</w:t>
      </w:r>
    </w:p>
  </w:footnote>
  <w:footnote w:id="9">
    <w:p w:rsidR="00A70212" w:rsidRDefault="00A70212" w:rsidP="000D1395">
      <w:pPr>
        <w:pStyle w:val="FootnoteText"/>
        <w:spacing w:after="120"/>
      </w:pPr>
      <w:r>
        <w:rPr>
          <w:rStyle w:val="FootnoteReference"/>
        </w:rPr>
        <w:footnoteRef/>
      </w:r>
      <w:r>
        <w:t xml:space="preserve"> OCC Comments at 9-15; IEU-Ohio Comments at 8-14; OEG Comments at 4-6; OMA Comments at 3-6; OPAE Comments at 1-3; Staff Comments at 3.</w:t>
      </w:r>
    </w:p>
  </w:footnote>
  <w:footnote w:id="10">
    <w:p w:rsidR="00A70212" w:rsidRDefault="00A70212" w:rsidP="000D1395">
      <w:pPr>
        <w:pStyle w:val="FootnoteText"/>
        <w:spacing w:after="120"/>
      </w:pPr>
      <w:r>
        <w:rPr>
          <w:rStyle w:val="FootnoteReference"/>
        </w:rPr>
        <w:footnoteRef/>
      </w:r>
      <w:r>
        <w:t xml:space="preserve"> OCC Comments at 18-19; IEU-Ohio Comments at 14-18; Staff Comments at 4-5.</w:t>
      </w:r>
    </w:p>
  </w:footnote>
  <w:footnote w:id="11">
    <w:p w:rsidR="00A70212" w:rsidRDefault="00A70212" w:rsidP="000D1395">
      <w:pPr>
        <w:pStyle w:val="FootnoteText"/>
        <w:spacing w:after="120"/>
      </w:pPr>
      <w:r>
        <w:rPr>
          <w:rStyle w:val="FootnoteReference"/>
        </w:rPr>
        <w:footnoteRef/>
      </w:r>
      <w:r>
        <w:t xml:space="preserve"> OCC Comments at 20-21; FES Comments at 3-4; IEU-Ohio Comments at 18-20; Staff Comments at 5-7.</w:t>
      </w:r>
    </w:p>
  </w:footnote>
  <w:footnote w:id="12">
    <w:p w:rsidR="00A70212" w:rsidRDefault="00A70212" w:rsidP="000D1395">
      <w:pPr>
        <w:pStyle w:val="FootnoteText"/>
        <w:spacing w:after="120"/>
      </w:pPr>
      <w:r>
        <w:rPr>
          <w:rStyle w:val="FootnoteReference"/>
        </w:rPr>
        <w:footnoteRef/>
      </w:r>
      <w:r>
        <w:t xml:space="preserve"> OCC Comments at 21-22; FES Comments at 8; IEU-Ohio Comments at 20-24; OEG Comments at 7-9; OMA Comments at 6; OPAE Comments at 1, 3; Staff Comments at 7.</w:t>
      </w:r>
    </w:p>
  </w:footnote>
  <w:footnote w:id="13">
    <w:p w:rsidR="00A70212" w:rsidRDefault="00A70212" w:rsidP="000D1395">
      <w:pPr>
        <w:pStyle w:val="FootnoteText"/>
        <w:spacing w:after="120"/>
      </w:pPr>
      <w:r>
        <w:rPr>
          <w:rStyle w:val="FootnoteReference"/>
        </w:rPr>
        <w:footnoteRef/>
      </w:r>
      <w:r>
        <w:t xml:space="preserve"> Direct Energy Comments at 2; IEU-Ohio Comments at 15-16.</w:t>
      </w:r>
    </w:p>
  </w:footnote>
  <w:footnote w:id="14">
    <w:p w:rsidR="00A70212" w:rsidRDefault="00A70212" w:rsidP="000D1395">
      <w:pPr>
        <w:pStyle w:val="FootnoteText"/>
        <w:spacing w:after="120"/>
      </w:pPr>
      <w:r>
        <w:rPr>
          <w:rStyle w:val="FootnoteReference"/>
        </w:rPr>
        <w:footnoteRef/>
      </w:r>
      <w:r>
        <w:t xml:space="preserve"> RESA Comments at 2-3.</w:t>
      </w:r>
    </w:p>
  </w:footnote>
  <w:footnote w:id="15">
    <w:p w:rsidR="00A70212" w:rsidRDefault="00A70212" w:rsidP="000D1395">
      <w:pPr>
        <w:pStyle w:val="FootnoteText"/>
        <w:spacing w:after="120"/>
      </w:pPr>
      <w:r>
        <w:rPr>
          <w:rStyle w:val="FootnoteReference"/>
        </w:rPr>
        <w:footnoteRef/>
      </w:r>
      <w:r>
        <w:t xml:space="preserve"> OEG Comments at 6; RESA Comments at 2, 4.</w:t>
      </w:r>
    </w:p>
  </w:footnote>
  <w:footnote w:id="16">
    <w:p w:rsidR="00A70212" w:rsidRDefault="00A70212" w:rsidP="000D1395">
      <w:pPr>
        <w:pStyle w:val="FootnoteText"/>
        <w:spacing w:after="120"/>
      </w:pPr>
      <w:r>
        <w:rPr>
          <w:rStyle w:val="FootnoteReference"/>
        </w:rPr>
        <w:footnoteRef/>
      </w:r>
      <w:r>
        <w:t xml:space="preserve"> OCC Comments at 1-3; FES Comments at 1-3; IEU-Ohio Comments at 1-5; OEG Comments at 7-9; OPAE Comments at 1-2; Staff Comments at 1-2, 7.</w:t>
      </w:r>
    </w:p>
  </w:footnote>
  <w:footnote w:id="17">
    <w:p w:rsidR="00A70212" w:rsidRDefault="00A70212" w:rsidP="000D1395">
      <w:pPr>
        <w:pStyle w:val="FootnoteText"/>
        <w:spacing w:after="120"/>
        <w:rPr>
          <w:i/>
        </w:rPr>
      </w:pPr>
      <w:r>
        <w:rPr>
          <w:rStyle w:val="FootnoteReference"/>
        </w:rPr>
        <w:footnoteRef/>
      </w:r>
      <w:r>
        <w:t xml:space="preserve"> </w:t>
      </w:r>
      <w:r>
        <w:rPr>
          <w:i/>
        </w:rPr>
        <w:t>Id.</w:t>
      </w:r>
    </w:p>
  </w:footnote>
  <w:footnote w:id="18">
    <w:p w:rsidR="00A70212" w:rsidRDefault="00A70212" w:rsidP="000D1395">
      <w:pPr>
        <w:pStyle w:val="FootnoteText"/>
        <w:spacing w:after="120"/>
        <w:rPr>
          <w:i/>
        </w:rPr>
      </w:pPr>
      <w:r>
        <w:rPr>
          <w:rStyle w:val="FootnoteReference"/>
        </w:rPr>
        <w:footnoteRef/>
      </w:r>
      <w:r>
        <w:t xml:space="preserve"> </w:t>
      </w:r>
      <w:r>
        <w:rPr>
          <w:i/>
        </w:rPr>
        <w:t>Id.</w:t>
      </w:r>
    </w:p>
  </w:footnote>
  <w:footnote w:id="19">
    <w:p w:rsidR="00A70212" w:rsidRDefault="00A70212" w:rsidP="000D1395">
      <w:pPr>
        <w:pStyle w:val="FootnoteText"/>
        <w:spacing w:after="120"/>
      </w:pPr>
      <w:r>
        <w:rPr>
          <w:rStyle w:val="FootnoteReference"/>
        </w:rPr>
        <w:footnoteRef/>
      </w:r>
      <w:r>
        <w:t xml:space="preserve"> Staff Comments at 2.</w:t>
      </w:r>
    </w:p>
  </w:footnote>
  <w:footnote w:id="20">
    <w:p w:rsidR="00A70212" w:rsidRDefault="00A70212" w:rsidP="000D1395">
      <w:pPr>
        <w:pStyle w:val="FootnoteText"/>
        <w:spacing w:after="120"/>
      </w:pPr>
      <w:r>
        <w:rPr>
          <w:rStyle w:val="FootnoteReference"/>
        </w:rPr>
        <w:footnoteRef/>
      </w:r>
      <w:r>
        <w:t xml:space="preserve"> </w:t>
      </w:r>
      <w:r>
        <w:rPr>
          <w:i/>
        </w:rPr>
        <w:t>See</w:t>
      </w:r>
      <w:r>
        <w:t xml:space="preserve"> OCC Comments at 1, citing R.C. 4928.17, Ohio Admin. Code 4901:1-37-09, and </w:t>
      </w:r>
      <w:r>
        <w:rPr>
          <w:i/>
          <w:iCs/>
        </w:rPr>
        <w:t>In the Matter of the Application of The Dayton Power and Light Company to Establish a Standard Service Offer in the Form of an Electric Security Plan</w:t>
      </w:r>
      <w:r>
        <w:t xml:space="preserve">, Case No. 12-0426-EL-SSO et al, Opinion and Order of September 4, 2013 at 25 [hereinafter </w:t>
      </w:r>
      <w:r>
        <w:rPr>
          <w:i/>
        </w:rPr>
        <w:t>DP&amp;L ESP II]</w:t>
      </w:r>
      <w:r>
        <w:t>.</w:t>
      </w:r>
    </w:p>
  </w:footnote>
  <w:footnote w:id="21">
    <w:p w:rsidR="00A70212" w:rsidRDefault="00A70212" w:rsidP="000D1395">
      <w:pPr>
        <w:pStyle w:val="FootnoteText"/>
        <w:spacing w:after="120"/>
      </w:pPr>
      <w:r>
        <w:rPr>
          <w:rStyle w:val="FootnoteReference"/>
        </w:rPr>
        <w:footnoteRef/>
      </w:r>
      <w:r>
        <w:t xml:space="preserve"> FES Comments at 6-7; Staff Comments at 1.</w:t>
      </w:r>
    </w:p>
  </w:footnote>
  <w:footnote w:id="22">
    <w:p w:rsidR="00A70212" w:rsidRDefault="00A70212" w:rsidP="000D1395">
      <w:pPr>
        <w:pStyle w:val="FootnoteText"/>
        <w:spacing w:after="120"/>
      </w:pPr>
      <w:r>
        <w:rPr>
          <w:rStyle w:val="FootnoteReference"/>
        </w:rPr>
        <w:footnoteRef/>
      </w:r>
      <w:r>
        <w:t xml:space="preserve"> OCC Comments at 21-22; FES Comments at 8; IEU-Ohio Comments at 20-24; OEG Comments at 7-9; OMA Comments at 6; OPAE Comments at 1, 3; Staff Comments at 7.</w:t>
      </w:r>
    </w:p>
  </w:footnote>
  <w:footnote w:id="23">
    <w:p w:rsidR="00A70212" w:rsidRDefault="00A70212" w:rsidP="000D1395">
      <w:pPr>
        <w:pStyle w:val="FootnoteText"/>
        <w:spacing w:after="120"/>
      </w:pPr>
      <w:r>
        <w:rPr>
          <w:rStyle w:val="FootnoteReference"/>
        </w:rPr>
        <w:footnoteRef/>
      </w:r>
      <w:r>
        <w:t xml:space="preserve"> Staff Comments at 7.</w:t>
      </w:r>
    </w:p>
  </w:footnote>
  <w:footnote w:id="24">
    <w:p w:rsidR="00A70212" w:rsidRDefault="00A70212" w:rsidP="000D1395">
      <w:pPr>
        <w:pStyle w:val="FootnoteText"/>
        <w:spacing w:after="120"/>
      </w:pPr>
      <w:r>
        <w:rPr>
          <w:rStyle w:val="FootnoteReference"/>
        </w:rPr>
        <w:footnoteRef/>
      </w:r>
      <w:r>
        <w:t xml:space="preserve"> IEU-Ohio Comments at 7-8; OEG Comments at 1-4.</w:t>
      </w:r>
    </w:p>
  </w:footnote>
  <w:footnote w:id="25">
    <w:p w:rsidR="00A70212" w:rsidRDefault="00A70212" w:rsidP="000D1395">
      <w:pPr>
        <w:pStyle w:val="FootnoteText"/>
        <w:spacing w:after="120"/>
      </w:pPr>
      <w:r>
        <w:rPr>
          <w:rStyle w:val="FootnoteReference"/>
        </w:rPr>
        <w:footnoteRef/>
      </w:r>
      <w:r>
        <w:t xml:space="preserve"> OEG Comments at 2, citing Case No. 12-426-EL-SSO, Tr. Vol. I at 150.  </w:t>
      </w:r>
      <w:r>
        <w:rPr>
          <w:i/>
        </w:rPr>
        <w:t xml:space="preserve">See also </w:t>
      </w:r>
      <w:r>
        <w:t>OCC Comments at 5-9.</w:t>
      </w:r>
    </w:p>
  </w:footnote>
  <w:footnote w:id="26">
    <w:p w:rsidR="00A70212" w:rsidRDefault="00A70212" w:rsidP="000D1395">
      <w:pPr>
        <w:pStyle w:val="FootnoteText"/>
        <w:spacing w:after="120"/>
      </w:pPr>
      <w:r>
        <w:rPr>
          <w:rStyle w:val="FootnoteReference"/>
        </w:rPr>
        <w:footnoteRef/>
      </w:r>
      <w:r>
        <w:t xml:space="preserve"> FES Comments at 4-5.</w:t>
      </w:r>
    </w:p>
  </w:footnote>
  <w:footnote w:id="27">
    <w:p w:rsidR="00A70212" w:rsidRDefault="00A70212" w:rsidP="00F74752">
      <w:pPr>
        <w:pStyle w:val="FootnoteText"/>
        <w:spacing w:after="120"/>
      </w:pPr>
      <w:r>
        <w:rPr>
          <w:rStyle w:val="FootnoteReference"/>
        </w:rPr>
        <w:footnoteRef/>
      </w:r>
      <w:r>
        <w:t xml:space="preserve"> </w:t>
      </w:r>
      <w:r w:rsidR="00342DA7">
        <w:t xml:space="preserve">OCC Comments at 9-15; </w:t>
      </w:r>
      <w:r>
        <w:t>IEU-Ohio Comments at 8-14; OEG Comments at 4-6; OMA Comments at 3-6; OPAE Comments at 1-3; Staff Comments at 3.</w:t>
      </w:r>
    </w:p>
  </w:footnote>
  <w:footnote w:id="28">
    <w:p w:rsidR="00A70212" w:rsidRDefault="00A70212" w:rsidP="00F74752">
      <w:pPr>
        <w:pStyle w:val="FootnoteText"/>
        <w:spacing w:after="120"/>
      </w:pPr>
      <w:r>
        <w:rPr>
          <w:rStyle w:val="FootnoteReference"/>
        </w:rPr>
        <w:footnoteRef/>
      </w:r>
      <w:r>
        <w:t xml:space="preserve"> IEU-Ohio Comments at 11-12</w:t>
      </w:r>
      <w:r w:rsidR="00CD0C88">
        <w:t xml:space="preserve">, </w:t>
      </w:r>
      <w:r w:rsidR="00CD0C88">
        <w:rPr>
          <w:i/>
        </w:rPr>
        <w:t>quoting</w:t>
      </w:r>
      <w:r w:rsidR="00CD0C88">
        <w:t xml:space="preserve"> </w:t>
      </w:r>
      <w:r w:rsidR="00CD0C88">
        <w:rPr>
          <w:i/>
        </w:rPr>
        <w:t>In the Matter of the Application of Columbus Southern Power Company and Ohio Power Company for Authority to Establish a Standard Service Offer Pursuant to section 4928.143, Revised Code, in the Form of an Electric Security Plan</w:t>
      </w:r>
      <w:r w:rsidR="00CD0C88">
        <w:t xml:space="preserve">, Case No. 11-346-EL-SSO, et al., Opinion and Order at 59 (Aug. 8, 2012) </w:t>
      </w:r>
      <w:r>
        <w:t>; OEG Comments at 5.</w:t>
      </w:r>
    </w:p>
  </w:footnote>
  <w:footnote w:id="29">
    <w:p w:rsidR="00A70212" w:rsidRDefault="00A70212" w:rsidP="00F74752">
      <w:pPr>
        <w:pStyle w:val="FootnoteText"/>
        <w:spacing w:after="120"/>
      </w:pPr>
      <w:r>
        <w:rPr>
          <w:rStyle w:val="FootnoteReference"/>
        </w:rPr>
        <w:footnoteRef/>
      </w:r>
      <w:r>
        <w:t xml:space="preserve"> IEU-Ohio Comments at 8-14; OEG Comments at 4-6; OMA Comments at 3-6; OPAE Comments at 1-3; Staff Comments at 3.</w:t>
      </w:r>
    </w:p>
  </w:footnote>
  <w:footnote w:id="30">
    <w:p w:rsidR="00E1208B" w:rsidRDefault="00E1208B" w:rsidP="00F74752">
      <w:pPr>
        <w:pStyle w:val="FootnoteText"/>
        <w:spacing w:after="120"/>
      </w:pPr>
      <w:r>
        <w:rPr>
          <w:rStyle w:val="FootnoteReference"/>
        </w:rPr>
        <w:footnoteRef/>
      </w:r>
      <w:r>
        <w:t xml:space="preserve"> IEU Comments at 12-14.</w:t>
      </w:r>
    </w:p>
  </w:footnote>
  <w:footnote w:id="31">
    <w:p w:rsidR="00A70212" w:rsidRDefault="00A70212" w:rsidP="00F74752">
      <w:pPr>
        <w:pStyle w:val="FootnoteText"/>
        <w:spacing w:after="120"/>
      </w:pPr>
      <w:r>
        <w:rPr>
          <w:rStyle w:val="FootnoteReference"/>
        </w:rPr>
        <w:footnoteRef/>
      </w:r>
      <w:r>
        <w:t xml:space="preserve"> RESA Comments at 3-4.</w:t>
      </w:r>
    </w:p>
  </w:footnote>
  <w:footnote w:id="32">
    <w:p w:rsidR="00A70212" w:rsidRDefault="00A70212" w:rsidP="00F74752">
      <w:pPr>
        <w:pStyle w:val="FootnoteText"/>
        <w:spacing w:after="120"/>
      </w:pPr>
      <w:r>
        <w:rPr>
          <w:rStyle w:val="FootnoteReference"/>
        </w:rPr>
        <w:footnoteRef/>
      </w:r>
      <w:r>
        <w:t xml:space="preserve"> R.C. 4909.15.</w:t>
      </w:r>
    </w:p>
  </w:footnote>
  <w:footnote w:id="33">
    <w:p w:rsidR="00E1208B" w:rsidRDefault="00E1208B" w:rsidP="00F74752">
      <w:pPr>
        <w:pStyle w:val="FootnoteText"/>
        <w:spacing w:after="120"/>
      </w:pPr>
      <w:r>
        <w:rPr>
          <w:rStyle w:val="FootnoteReference"/>
        </w:rPr>
        <w:footnoteRef/>
      </w:r>
      <w:r>
        <w:t xml:space="preserve"> </w:t>
      </w:r>
      <w:r w:rsidR="00342DA7">
        <w:t xml:space="preserve">OCC Comments at 18-19; </w:t>
      </w:r>
      <w:r>
        <w:t>IEU-Ohio Comments at 14-18; Staff Comments at 4-5.</w:t>
      </w:r>
    </w:p>
  </w:footnote>
  <w:footnote w:id="34">
    <w:p w:rsidR="00E1208B" w:rsidRPr="0055724B" w:rsidRDefault="00E1208B" w:rsidP="00F74752">
      <w:pPr>
        <w:pStyle w:val="FootnoteText"/>
        <w:spacing w:after="120"/>
        <w:rPr>
          <w:i/>
        </w:rPr>
      </w:pPr>
      <w:r>
        <w:rPr>
          <w:rStyle w:val="FootnoteReference"/>
        </w:rPr>
        <w:footnoteRef/>
      </w:r>
      <w:r>
        <w:t xml:space="preserve"> </w:t>
      </w:r>
      <w:r>
        <w:rPr>
          <w:i/>
        </w:rPr>
        <w:t>Id.</w:t>
      </w:r>
    </w:p>
  </w:footnote>
  <w:footnote w:id="35">
    <w:p w:rsidR="00E1208B" w:rsidRPr="0055724B" w:rsidRDefault="00E1208B" w:rsidP="00F74752">
      <w:pPr>
        <w:pStyle w:val="FootnoteText"/>
        <w:spacing w:after="120"/>
        <w:rPr>
          <w:i/>
        </w:rPr>
      </w:pPr>
      <w:r>
        <w:rPr>
          <w:rStyle w:val="FootnoteReference"/>
        </w:rPr>
        <w:footnoteRef/>
      </w:r>
      <w:r>
        <w:t xml:space="preserve"> </w:t>
      </w:r>
      <w:r>
        <w:rPr>
          <w:i/>
        </w:rPr>
        <w:t>Id.</w:t>
      </w:r>
    </w:p>
  </w:footnote>
  <w:footnote w:id="36">
    <w:p w:rsidR="00A70212" w:rsidRDefault="00A70212" w:rsidP="000D1395">
      <w:pPr>
        <w:pStyle w:val="FootnoteText"/>
        <w:spacing w:after="120"/>
      </w:pPr>
      <w:r>
        <w:rPr>
          <w:rStyle w:val="FootnoteReference"/>
        </w:rPr>
        <w:footnoteRef/>
      </w:r>
      <w:r>
        <w:t xml:space="preserve"> Direct Energy Comments at 2; IEU-Ohio Comments at 15-16.</w:t>
      </w:r>
    </w:p>
  </w:footnote>
  <w:footnote w:id="37">
    <w:p w:rsidR="00A70212" w:rsidRDefault="00A70212" w:rsidP="00342DA7">
      <w:pPr>
        <w:pStyle w:val="FootnoteText"/>
        <w:spacing w:after="120"/>
      </w:pPr>
      <w:r>
        <w:rPr>
          <w:rStyle w:val="FootnoteReference"/>
        </w:rPr>
        <w:footnoteRef/>
      </w:r>
      <w:r>
        <w:t xml:space="preserve"> Direct Energy Comments at 2.</w:t>
      </w:r>
    </w:p>
  </w:footnote>
  <w:footnote w:id="38">
    <w:p w:rsidR="00342DA7" w:rsidRDefault="00342DA7" w:rsidP="00342DA7">
      <w:pPr>
        <w:pStyle w:val="FootnoteText"/>
        <w:spacing w:after="120"/>
      </w:pPr>
      <w:r>
        <w:rPr>
          <w:rStyle w:val="FootnoteReference"/>
        </w:rPr>
        <w:footnoteRef/>
      </w:r>
      <w:r>
        <w:t xml:space="preserve"> IEU-Ohio Comments at 15-16.</w:t>
      </w:r>
    </w:p>
  </w:footnote>
  <w:footnote w:id="39">
    <w:p w:rsidR="00A70212" w:rsidRDefault="00A70212" w:rsidP="00342DA7">
      <w:pPr>
        <w:pStyle w:val="FootnoteText"/>
        <w:spacing w:after="120"/>
      </w:pPr>
      <w:r>
        <w:rPr>
          <w:rStyle w:val="FootnoteReference"/>
        </w:rPr>
        <w:footnoteRef/>
      </w:r>
      <w:r>
        <w:t xml:space="preserve"> Direct Energy Comments at 4.</w:t>
      </w:r>
    </w:p>
  </w:footnote>
  <w:footnote w:id="40">
    <w:p w:rsidR="00A70212" w:rsidRDefault="00A70212" w:rsidP="000D1395">
      <w:pPr>
        <w:pStyle w:val="FootnoteText"/>
        <w:spacing w:after="120"/>
      </w:pPr>
      <w:r>
        <w:rPr>
          <w:rStyle w:val="FootnoteReference"/>
        </w:rPr>
        <w:footnoteRef/>
      </w:r>
      <w:r>
        <w:t xml:space="preserve"> </w:t>
      </w:r>
      <w:r w:rsidR="00342DA7">
        <w:t xml:space="preserve">OCC Comments at 15-17; </w:t>
      </w:r>
      <w:r>
        <w:t>OEG Comments at 6; RESA Comments at 4-5; Staff Comments at 3-4.</w:t>
      </w:r>
    </w:p>
  </w:footnote>
  <w:footnote w:id="41">
    <w:p w:rsidR="00A70212" w:rsidRDefault="00A70212" w:rsidP="000D1395">
      <w:pPr>
        <w:pStyle w:val="FootnoteText"/>
        <w:spacing w:after="120"/>
      </w:pPr>
      <w:r>
        <w:rPr>
          <w:rStyle w:val="FootnoteReference"/>
        </w:rPr>
        <w:footnoteRef/>
      </w:r>
      <w:r>
        <w:t xml:space="preserve"> Staff Comments at 3-4.</w:t>
      </w:r>
    </w:p>
  </w:footnote>
  <w:footnote w:id="42">
    <w:p w:rsidR="00A70212" w:rsidRDefault="00A70212" w:rsidP="000D1395">
      <w:pPr>
        <w:pStyle w:val="FootnoteText"/>
        <w:spacing w:after="120"/>
      </w:pPr>
      <w:r>
        <w:rPr>
          <w:rStyle w:val="FootnoteReference"/>
        </w:rPr>
        <w:footnoteRef/>
      </w:r>
      <w:r>
        <w:t xml:space="preserve"> OEG Comments at 6; RESA Comments at 2, 4.</w:t>
      </w:r>
    </w:p>
  </w:footnote>
  <w:footnote w:id="43">
    <w:p w:rsidR="00A70212" w:rsidRDefault="00A70212" w:rsidP="000D1395">
      <w:pPr>
        <w:pStyle w:val="FootnoteText"/>
        <w:spacing w:after="120"/>
      </w:pPr>
      <w:r>
        <w:rPr>
          <w:rStyle w:val="FootnoteReference"/>
        </w:rPr>
        <w:footnoteRef/>
      </w:r>
      <w:r>
        <w:t xml:space="preserve"> FES Comments at 3-4; IEU-Ohio Comments at 6; Staff Comments at 5-6.</w:t>
      </w:r>
    </w:p>
  </w:footnote>
  <w:footnote w:id="44">
    <w:p w:rsidR="00A70212" w:rsidRDefault="00A70212" w:rsidP="000D1395">
      <w:pPr>
        <w:pStyle w:val="FootnoteText"/>
        <w:spacing w:after="120"/>
        <w:rPr>
          <w:i/>
        </w:rPr>
      </w:pPr>
      <w:r>
        <w:rPr>
          <w:rStyle w:val="FootnoteReference"/>
        </w:rPr>
        <w:footnoteRef/>
      </w:r>
      <w:r>
        <w:t xml:space="preserve"> </w:t>
      </w:r>
      <w:r>
        <w:rPr>
          <w:i/>
        </w:rPr>
        <w:t>Id.</w:t>
      </w:r>
    </w:p>
  </w:footnote>
  <w:footnote w:id="45">
    <w:p w:rsidR="00A70212" w:rsidRDefault="00A70212" w:rsidP="000D1395">
      <w:pPr>
        <w:pStyle w:val="FootnoteText"/>
        <w:spacing w:after="120"/>
        <w:rPr>
          <w:i/>
        </w:rPr>
      </w:pPr>
      <w:r>
        <w:rPr>
          <w:rStyle w:val="FootnoteReference"/>
        </w:rPr>
        <w:footnoteRef/>
      </w:r>
      <w:r>
        <w:t xml:space="preserve"> </w:t>
      </w:r>
      <w:r>
        <w:rPr>
          <w:i/>
        </w:rPr>
        <w:t>Id.</w:t>
      </w:r>
    </w:p>
  </w:footnote>
  <w:footnote w:id="46">
    <w:p w:rsidR="00A70212" w:rsidRDefault="00A70212" w:rsidP="000D1395">
      <w:pPr>
        <w:pStyle w:val="FootnoteText"/>
        <w:spacing w:after="120"/>
        <w:rPr>
          <w:i/>
        </w:rPr>
      </w:pPr>
      <w:r>
        <w:rPr>
          <w:rStyle w:val="FootnoteReference"/>
        </w:rPr>
        <w:footnoteRef/>
      </w:r>
      <w:r>
        <w:t xml:space="preserve"> </w:t>
      </w:r>
      <w:r>
        <w:rPr>
          <w:i/>
        </w:rPr>
        <w:t>Id.</w:t>
      </w:r>
    </w:p>
  </w:footnote>
  <w:footnote w:id="47">
    <w:p w:rsidR="00A70212" w:rsidRDefault="00A70212" w:rsidP="000D1395">
      <w:pPr>
        <w:pStyle w:val="FootnoteText"/>
        <w:spacing w:after="120"/>
      </w:pPr>
      <w:r>
        <w:rPr>
          <w:rStyle w:val="FootnoteReference"/>
        </w:rPr>
        <w:footnoteRef/>
      </w:r>
      <w:r>
        <w:t xml:space="preserve"> Staff Comments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12" w:rsidRDefault="00A70212">
    <w:pPr>
      <w:pStyle w:val="Header"/>
    </w:pPr>
  </w:p>
  <w:p w:rsidR="00A70212" w:rsidRDefault="00A70212"/>
  <w:p w:rsidR="00A70212" w:rsidRDefault="00A702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09" w:rsidRDefault="00B64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09" w:rsidRDefault="00B641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12" w:rsidRDefault="00A702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12" w:rsidRDefault="00A702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12" w:rsidRDefault="00A70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F65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CC4568"/>
    <w:lvl w:ilvl="0">
      <w:start w:val="1"/>
      <w:numFmt w:val="decimal"/>
      <w:lvlText w:val="%1."/>
      <w:lvlJc w:val="left"/>
      <w:pPr>
        <w:tabs>
          <w:tab w:val="num" w:pos="1800"/>
        </w:tabs>
        <w:ind w:left="1800" w:hanging="360"/>
      </w:pPr>
    </w:lvl>
  </w:abstractNum>
  <w:abstractNum w:abstractNumId="2">
    <w:nsid w:val="FFFFFF7D"/>
    <w:multiLevelType w:val="singleLevel"/>
    <w:tmpl w:val="4F98F790"/>
    <w:lvl w:ilvl="0">
      <w:start w:val="1"/>
      <w:numFmt w:val="decimal"/>
      <w:lvlText w:val="%1."/>
      <w:lvlJc w:val="left"/>
      <w:pPr>
        <w:tabs>
          <w:tab w:val="num" w:pos="1440"/>
        </w:tabs>
        <w:ind w:left="1440" w:hanging="360"/>
      </w:pPr>
    </w:lvl>
  </w:abstractNum>
  <w:abstractNum w:abstractNumId="3">
    <w:nsid w:val="FFFFFF7E"/>
    <w:multiLevelType w:val="singleLevel"/>
    <w:tmpl w:val="CFD0140C"/>
    <w:lvl w:ilvl="0">
      <w:start w:val="1"/>
      <w:numFmt w:val="decimal"/>
      <w:lvlText w:val="%1."/>
      <w:lvlJc w:val="left"/>
      <w:pPr>
        <w:tabs>
          <w:tab w:val="num" w:pos="1080"/>
        </w:tabs>
        <w:ind w:left="1080" w:hanging="360"/>
      </w:pPr>
    </w:lvl>
  </w:abstractNum>
  <w:abstractNum w:abstractNumId="4">
    <w:nsid w:val="FFFFFF7F"/>
    <w:multiLevelType w:val="singleLevel"/>
    <w:tmpl w:val="C474122E"/>
    <w:lvl w:ilvl="0">
      <w:start w:val="1"/>
      <w:numFmt w:val="decimal"/>
      <w:lvlText w:val="%1."/>
      <w:lvlJc w:val="left"/>
      <w:pPr>
        <w:tabs>
          <w:tab w:val="num" w:pos="720"/>
        </w:tabs>
        <w:ind w:left="720" w:hanging="360"/>
      </w:pPr>
    </w:lvl>
  </w:abstractNum>
  <w:abstractNum w:abstractNumId="5">
    <w:nsid w:val="FFFFFF80"/>
    <w:multiLevelType w:val="singleLevel"/>
    <w:tmpl w:val="67267B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30E95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B104FD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3FABFB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0A87E10"/>
    <w:lvl w:ilvl="0">
      <w:start w:val="1"/>
      <w:numFmt w:val="decimal"/>
      <w:lvlText w:val="%1."/>
      <w:lvlJc w:val="left"/>
      <w:pPr>
        <w:tabs>
          <w:tab w:val="num" w:pos="360"/>
        </w:tabs>
        <w:ind w:left="360" w:hanging="360"/>
      </w:pPr>
    </w:lvl>
  </w:abstractNum>
  <w:abstractNum w:abstractNumId="10">
    <w:nsid w:val="FFFFFF89"/>
    <w:multiLevelType w:val="singleLevel"/>
    <w:tmpl w:val="019C2280"/>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005FA3"/>
    <w:multiLevelType w:val="hybridMultilevel"/>
    <w:tmpl w:val="792298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EB0D92"/>
    <w:multiLevelType w:val="hybridMultilevel"/>
    <w:tmpl w:val="1438309C"/>
    <w:lvl w:ilvl="0" w:tplc="1F020A94">
      <w:start w:val="1"/>
      <w:numFmt w:val="upperRoman"/>
      <w:lvlText w:val="%1."/>
      <w:lvlJc w:val="left"/>
      <w:pPr>
        <w:ind w:left="1080" w:hanging="720"/>
      </w:pPr>
      <w:rPr>
        <w:rFonts w:hint="default"/>
      </w:rPr>
    </w:lvl>
    <w:lvl w:ilvl="1" w:tplc="43FA36D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BC975EE"/>
    <w:multiLevelType w:val="hybridMultilevel"/>
    <w:tmpl w:val="1D687EAC"/>
    <w:lvl w:ilvl="0" w:tplc="43FA36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3211B"/>
    <w:multiLevelType w:val="hybridMultilevel"/>
    <w:tmpl w:val="9606E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357778"/>
    <w:multiLevelType w:val="hybridMultilevel"/>
    <w:tmpl w:val="C2BA0800"/>
    <w:lvl w:ilvl="0" w:tplc="41B87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18"/>
  </w:num>
  <w:num w:numId="4">
    <w:abstractNumId w:val="17"/>
  </w:num>
  <w:num w:numId="5">
    <w:abstractNumId w:val="11"/>
  </w:num>
  <w:num w:numId="6">
    <w:abstractNumId w:val="19"/>
  </w:num>
  <w:num w:numId="7">
    <w:abstractNumId w:val="0"/>
  </w:num>
  <w:num w:numId="8">
    <w:abstractNumId w:val="14"/>
  </w:num>
  <w:num w:numId="9">
    <w:abstractNumId w:val="12"/>
  </w:num>
  <w:num w:numId="10">
    <w:abstractNumId w:val="16"/>
  </w:num>
  <w:num w:numId="11">
    <w:abstractNumId w:val="20"/>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activeWritingStyle w:appName="MSWord" w:lang="en-US" w:vendorID="6" w:dllVersion="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38E"/>
    <w:rsid w:val="000B6EDD"/>
    <w:rsid w:val="000C7F27"/>
    <w:rsid w:val="000D1395"/>
    <w:rsid w:val="000F5353"/>
    <w:rsid w:val="001D6A56"/>
    <w:rsid w:val="001E7A68"/>
    <w:rsid w:val="00231A05"/>
    <w:rsid w:val="002320B4"/>
    <w:rsid w:val="00257207"/>
    <w:rsid w:val="00263DEF"/>
    <w:rsid w:val="002905F6"/>
    <w:rsid w:val="00295104"/>
    <w:rsid w:val="002B4A93"/>
    <w:rsid w:val="002C00BA"/>
    <w:rsid w:val="002C39CE"/>
    <w:rsid w:val="002D013A"/>
    <w:rsid w:val="00342DA7"/>
    <w:rsid w:val="003B6847"/>
    <w:rsid w:val="003C531B"/>
    <w:rsid w:val="003E554A"/>
    <w:rsid w:val="00407467"/>
    <w:rsid w:val="00417A78"/>
    <w:rsid w:val="00442C1E"/>
    <w:rsid w:val="00485C9A"/>
    <w:rsid w:val="00493562"/>
    <w:rsid w:val="004A16D4"/>
    <w:rsid w:val="004F6FE8"/>
    <w:rsid w:val="0054608C"/>
    <w:rsid w:val="00551840"/>
    <w:rsid w:val="0055724B"/>
    <w:rsid w:val="00574374"/>
    <w:rsid w:val="00577937"/>
    <w:rsid w:val="005C422F"/>
    <w:rsid w:val="005C4832"/>
    <w:rsid w:val="00610034"/>
    <w:rsid w:val="00660281"/>
    <w:rsid w:val="006621E5"/>
    <w:rsid w:val="0067511C"/>
    <w:rsid w:val="006863F2"/>
    <w:rsid w:val="006A1A36"/>
    <w:rsid w:val="006B260A"/>
    <w:rsid w:val="006F2A13"/>
    <w:rsid w:val="007139BE"/>
    <w:rsid w:val="00775AFB"/>
    <w:rsid w:val="007E7BBC"/>
    <w:rsid w:val="007F0404"/>
    <w:rsid w:val="00803EEA"/>
    <w:rsid w:val="00841181"/>
    <w:rsid w:val="008920D0"/>
    <w:rsid w:val="008934A2"/>
    <w:rsid w:val="008E3196"/>
    <w:rsid w:val="00900FCA"/>
    <w:rsid w:val="0092689D"/>
    <w:rsid w:val="00953435"/>
    <w:rsid w:val="009678E5"/>
    <w:rsid w:val="00996E59"/>
    <w:rsid w:val="009A5942"/>
    <w:rsid w:val="009A7B91"/>
    <w:rsid w:val="009C0EF5"/>
    <w:rsid w:val="009E221A"/>
    <w:rsid w:val="009F14E5"/>
    <w:rsid w:val="00A3538E"/>
    <w:rsid w:val="00A629BD"/>
    <w:rsid w:val="00A65BC4"/>
    <w:rsid w:val="00A667FF"/>
    <w:rsid w:val="00A70212"/>
    <w:rsid w:val="00A8253A"/>
    <w:rsid w:val="00AA2E1B"/>
    <w:rsid w:val="00AD45D3"/>
    <w:rsid w:val="00B1308E"/>
    <w:rsid w:val="00B24B3B"/>
    <w:rsid w:val="00B46427"/>
    <w:rsid w:val="00B64109"/>
    <w:rsid w:val="00BE0222"/>
    <w:rsid w:val="00C27790"/>
    <w:rsid w:val="00C63A2A"/>
    <w:rsid w:val="00C677D1"/>
    <w:rsid w:val="00C71E3D"/>
    <w:rsid w:val="00C96C72"/>
    <w:rsid w:val="00CD0C88"/>
    <w:rsid w:val="00CE2653"/>
    <w:rsid w:val="00CE2E7C"/>
    <w:rsid w:val="00DF09FA"/>
    <w:rsid w:val="00E1208B"/>
    <w:rsid w:val="00E31D2C"/>
    <w:rsid w:val="00E32644"/>
    <w:rsid w:val="00E353C5"/>
    <w:rsid w:val="00E72960"/>
    <w:rsid w:val="00E92B47"/>
    <w:rsid w:val="00F74752"/>
    <w:rsid w:val="00F94C90"/>
    <w:rsid w:val="00FA7FCC"/>
    <w:rsid w:val="00FC2898"/>
    <w:rsid w:val="00FE79CB"/>
    <w:rsid w:val="00FF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rsid w:val="002320B4"/>
    <w:pPr>
      <w:keepNext/>
      <w:spacing w:after="240"/>
      <w:ind w:left="720" w:hanging="720"/>
      <w:outlineLvl w:val="0"/>
    </w:pPr>
    <w:rPr>
      <w:b/>
      <w:caps/>
      <w:szCs w:val="24"/>
    </w:rPr>
  </w:style>
  <w:style w:type="paragraph" w:styleId="Heading2">
    <w:name w:val="heading 2"/>
    <w:basedOn w:val="Normal"/>
    <w:next w:val="Normal"/>
    <w:autoRedefine/>
    <w:qFormat/>
    <w:rsid w:val="002320B4"/>
    <w:pPr>
      <w:keepNext/>
      <w:spacing w:after="240"/>
      <w:ind w:left="1440" w:right="720" w:hanging="720"/>
      <w:outlineLvl w:val="1"/>
    </w:pPr>
    <w:rPr>
      <w:b/>
    </w:rPr>
  </w:style>
  <w:style w:type="paragraph" w:styleId="Heading3">
    <w:name w:val="heading 3"/>
    <w:basedOn w:val="Normal"/>
    <w:next w:val="Normal"/>
    <w:autoRedefine/>
    <w:qFormat/>
    <w:rsid w:val="002320B4"/>
    <w:pPr>
      <w:keepNext/>
      <w:spacing w:after="240"/>
      <w:ind w:left="216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rPr>
      <w:sz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MediumList2-Accent21">
    <w:name w:val="Medium List 2 - Accent 21"/>
    <w:hidden/>
    <w:uiPriority w:val="99"/>
    <w:semiHidden/>
    <w:rPr>
      <w:sz w:val="24"/>
    </w:rPr>
  </w:style>
  <w:style w:type="character" w:customStyle="1" w:styleId="HTMLPreformattedChar">
    <w:name w:val="HTML Preformatted Char"/>
    <w:link w:val="HTMLPreformatted"/>
    <w:rPr>
      <w:rFonts w:ascii="Courier New" w:eastAsia="Courier New" w:hAnsi="Courier New" w:cs="Courier New"/>
    </w:rPr>
  </w:style>
  <w:style w:type="character" w:customStyle="1" w:styleId="BodyTextChar">
    <w:name w:val="Body Text Char"/>
    <w:link w:val="BodyText"/>
    <w:rPr>
      <w:sz w:val="24"/>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style>
  <w:style w:type="character" w:customStyle="1" w:styleId="FooterChar">
    <w:name w:val="Footer Char"/>
    <w:link w:val="Footer"/>
    <w:uiPriority w:val="99"/>
  </w:style>
  <w:style w:type="character" w:customStyle="1" w:styleId="BodyTextIndentChar">
    <w:name w:val="Body Text Indent Char"/>
    <w:link w:val="BodyTextIndent"/>
    <w:rPr>
      <w:sz w:val="24"/>
    </w:rPr>
  </w:style>
  <w:style w:type="paragraph" w:styleId="TOC1">
    <w:name w:val="toc 1"/>
    <w:basedOn w:val="Normal"/>
    <w:next w:val="Normal"/>
    <w:autoRedefine/>
    <w:uiPriority w:val="39"/>
    <w:pPr>
      <w:tabs>
        <w:tab w:val="left" w:pos="720"/>
        <w:tab w:val="decimal" w:leader="dot" w:pos="8640"/>
      </w:tabs>
      <w:spacing w:after="240"/>
      <w:ind w:left="720" w:hanging="720"/>
    </w:pPr>
    <w:rPr>
      <w:caps/>
    </w:rPr>
  </w:style>
  <w:style w:type="paragraph" w:styleId="TOC2">
    <w:name w:val="toc 2"/>
    <w:basedOn w:val="Normal"/>
    <w:next w:val="Normal"/>
    <w:autoRedefine/>
    <w:uiPriority w:val="39"/>
    <w:pPr>
      <w:tabs>
        <w:tab w:val="left" w:pos="720"/>
        <w:tab w:val="decimal" w:leader="dot" w:pos="8640"/>
      </w:tabs>
      <w:spacing w:after="240"/>
      <w:ind w:left="1440" w:hanging="720"/>
    </w:pPr>
  </w:style>
  <w:style w:type="character" w:customStyle="1" w:styleId="FootnoteTextChar1Char">
    <w:name w:val="Footnote Text Char1 Char"/>
    <w:aliases w:val="Footnote Text Char Char Char,Footnote Text Char1 Char Char1 Char,Footnote Text Char Char Char Char Char,Footnote Text Char2 Char Char Char Char1 Char,Footnote Text Char1 Char Char1 Char Char Char Char,fn Char"/>
    <w:uiPriority w:val="99"/>
    <w:locked/>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0105">
      <w:bodyDiv w:val="1"/>
      <w:marLeft w:val="0"/>
      <w:marRight w:val="0"/>
      <w:marTop w:val="0"/>
      <w:marBottom w:val="0"/>
      <w:divBdr>
        <w:top w:val="none" w:sz="0" w:space="0" w:color="auto"/>
        <w:left w:val="none" w:sz="0" w:space="0" w:color="auto"/>
        <w:bottom w:val="none" w:sz="0" w:space="0" w:color="auto"/>
        <w:right w:val="none" w:sz="0" w:space="0" w:color="auto"/>
      </w:divBdr>
      <w:divsChild>
        <w:div w:id="195000387">
          <w:marLeft w:val="0"/>
          <w:marRight w:val="0"/>
          <w:marTop w:val="0"/>
          <w:marBottom w:val="0"/>
          <w:divBdr>
            <w:top w:val="none" w:sz="0" w:space="0" w:color="auto"/>
            <w:left w:val="none" w:sz="0" w:space="0" w:color="auto"/>
            <w:bottom w:val="none" w:sz="0" w:space="0" w:color="auto"/>
            <w:right w:val="none" w:sz="0" w:space="0" w:color="auto"/>
          </w:divBdr>
        </w:div>
        <w:div w:id="378743096">
          <w:marLeft w:val="0"/>
          <w:marRight w:val="0"/>
          <w:marTop w:val="0"/>
          <w:marBottom w:val="0"/>
          <w:divBdr>
            <w:top w:val="none" w:sz="0" w:space="0" w:color="auto"/>
            <w:left w:val="none" w:sz="0" w:space="0" w:color="auto"/>
            <w:bottom w:val="none" w:sz="0" w:space="0" w:color="auto"/>
            <w:right w:val="none" w:sz="0" w:space="0" w:color="auto"/>
          </w:divBdr>
        </w:div>
        <w:div w:id="718211892">
          <w:marLeft w:val="0"/>
          <w:marRight w:val="0"/>
          <w:marTop w:val="0"/>
          <w:marBottom w:val="0"/>
          <w:divBdr>
            <w:top w:val="none" w:sz="0" w:space="0" w:color="auto"/>
            <w:left w:val="none" w:sz="0" w:space="0" w:color="auto"/>
            <w:bottom w:val="none" w:sz="0" w:space="0" w:color="auto"/>
            <w:right w:val="none" w:sz="0" w:space="0" w:color="auto"/>
          </w:divBdr>
        </w:div>
        <w:div w:id="835419299">
          <w:marLeft w:val="0"/>
          <w:marRight w:val="0"/>
          <w:marTop w:val="0"/>
          <w:marBottom w:val="0"/>
          <w:divBdr>
            <w:top w:val="none" w:sz="0" w:space="0" w:color="auto"/>
            <w:left w:val="none" w:sz="0" w:space="0" w:color="auto"/>
            <w:bottom w:val="none" w:sz="0" w:space="0" w:color="auto"/>
            <w:right w:val="none" w:sz="0" w:space="0" w:color="auto"/>
          </w:divBdr>
        </w:div>
        <w:div w:id="1011418832">
          <w:marLeft w:val="0"/>
          <w:marRight w:val="0"/>
          <w:marTop w:val="0"/>
          <w:marBottom w:val="0"/>
          <w:divBdr>
            <w:top w:val="none" w:sz="0" w:space="0" w:color="auto"/>
            <w:left w:val="none" w:sz="0" w:space="0" w:color="auto"/>
            <w:bottom w:val="none" w:sz="0" w:space="0" w:color="auto"/>
            <w:right w:val="none" w:sz="0" w:space="0" w:color="auto"/>
          </w:divBdr>
        </w:div>
        <w:div w:id="1324352946">
          <w:marLeft w:val="0"/>
          <w:marRight w:val="0"/>
          <w:marTop w:val="0"/>
          <w:marBottom w:val="0"/>
          <w:divBdr>
            <w:top w:val="none" w:sz="0" w:space="0" w:color="auto"/>
            <w:left w:val="none" w:sz="0" w:space="0" w:color="auto"/>
            <w:bottom w:val="none" w:sz="0" w:space="0" w:color="auto"/>
            <w:right w:val="none" w:sz="0" w:space="0" w:color="auto"/>
          </w:divBdr>
        </w:div>
        <w:div w:id="1477643651">
          <w:marLeft w:val="0"/>
          <w:marRight w:val="0"/>
          <w:marTop w:val="0"/>
          <w:marBottom w:val="0"/>
          <w:divBdr>
            <w:top w:val="none" w:sz="0" w:space="0" w:color="auto"/>
            <w:left w:val="none" w:sz="0" w:space="0" w:color="auto"/>
            <w:bottom w:val="none" w:sz="0" w:space="0" w:color="auto"/>
            <w:right w:val="none" w:sz="0" w:space="0" w:color="auto"/>
          </w:divBdr>
        </w:div>
        <w:div w:id="1644969525">
          <w:marLeft w:val="0"/>
          <w:marRight w:val="0"/>
          <w:marTop w:val="0"/>
          <w:marBottom w:val="0"/>
          <w:divBdr>
            <w:top w:val="none" w:sz="0" w:space="0" w:color="auto"/>
            <w:left w:val="none" w:sz="0" w:space="0" w:color="auto"/>
            <w:bottom w:val="none" w:sz="0" w:space="0" w:color="auto"/>
            <w:right w:val="none" w:sz="0" w:space="0" w:color="auto"/>
          </w:divBdr>
        </w:div>
        <w:div w:id="1664776969">
          <w:marLeft w:val="0"/>
          <w:marRight w:val="0"/>
          <w:marTop w:val="0"/>
          <w:marBottom w:val="0"/>
          <w:divBdr>
            <w:top w:val="none" w:sz="0" w:space="0" w:color="auto"/>
            <w:left w:val="none" w:sz="0" w:space="0" w:color="auto"/>
            <w:bottom w:val="none" w:sz="0" w:space="0" w:color="auto"/>
            <w:right w:val="none" w:sz="0" w:space="0" w:color="auto"/>
          </w:divBdr>
        </w:div>
        <w:div w:id="1867717119">
          <w:marLeft w:val="0"/>
          <w:marRight w:val="0"/>
          <w:marTop w:val="0"/>
          <w:marBottom w:val="0"/>
          <w:divBdr>
            <w:top w:val="none" w:sz="0" w:space="0" w:color="auto"/>
            <w:left w:val="none" w:sz="0" w:space="0" w:color="auto"/>
            <w:bottom w:val="none" w:sz="0" w:space="0" w:color="auto"/>
            <w:right w:val="none" w:sz="0" w:space="0" w:color="auto"/>
          </w:divBdr>
        </w:div>
        <w:div w:id="194406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mailto:sam@mwncmh.com" TargetMode="External"/><Relationship Id="rId39" Type="http://schemas.openxmlformats.org/officeDocument/2006/relationships/hyperlink" Target="mailto:jlang@calfee.com" TargetMode="External"/><Relationship Id="rId21" Type="http://schemas.openxmlformats.org/officeDocument/2006/relationships/hyperlink" Target="mailto:Maureen.grady@occ.ohio.gov" TargetMode="External"/><Relationship Id="rId34" Type="http://schemas.openxmlformats.org/officeDocument/2006/relationships/hyperlink" Target="mailto:lfriedeman@igsenergy.com" TargetMode="External"/><Relationship Id="rId42" Type="http://schemas.openxmlformats.org/officeDocument/2006/relationships/hyperlink" Target="mailto:cfaruki@ficlaw.com" TargetMode="External"/><Relationship Id="rId47" Type="http://schemas.openxmlformats.org/officeDocument/2006/relationships/hyperlink" Target="mailto:jkylercohn@BKLlawfirm.com" TargetMode="External"/><Relationship Id="rId50" Type="http://schemas.openxmlformats.org/officeDocument/2006/relationships/hyperlink" Target="mailto:cmooney@ohiopartners.or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Joseph.clark@directenergy.com" TargetMode="External"/><Relationship Id="rId33" Type="http://schemas.openxmlformats.org/officeDocument/2006/relationships/hyperlink" Target="mailto:vparisi@igsenergy.com" TargetMode="External"/><Relationship Id="rId38" Type="http://schemas.openxmlformats.org/officeDocument/2006/relationships/hyperlink" Target="mailto:jmcdermott@firstenergycorp.com" TargetMode="External"/><Relationship Id="rId46" Type="http://schemas.openxmlformats.org/officeDocument/2006/relationships/hyperlink" Target="mailto:mkurtz@BKLlawfirm.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Edmund.berger@occ.ohio.gov" TargetMode="External"/><Relationship Id="rId29" Type="http://schemas.openxmlformats.org/officeDocument/2006/relationships/hyperlink" Target="mailto:mpritchard@mwncmh.com" TargetMode="External"/><Relationship Id="rId41" Type="http://schemas.openxmlformats.org/officeDocument/2006/relationships/hyperlink" Target="mailto:Judi.sobecki@dplinc.com" TargetMode="External"/><Relationship Id="rId54" Type="http://schemas.openxmlformats.org/officeDocument/2006/relationships/hyperlink" Target="mailto:Gregory.price@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eanne.kingery@duke-energy.com" TargetMode="External"/><Relationship Id="rId32" Type="http://schemas.openxmlformats.org/officeDocument/2006/relationships/hyperlink" Target="mailto:williams@whitt-sturtevant.com" TargetMode="External"/><Relationship Id="rId37" Type="http://schemas.openxmlformats.org/officeDocument/2006/relationships/hyperlink" Target="mailto:haydenm@firstenergycorp.com" TargetMode="External"/><Relationship Id="rId40" Type="http://schemas.openxmlformats.org/officeDocument/2006/relationships/hyperlink" Target="mailto:talexander@calfee.com" TargetMode="External"/><Relationship Id="rId45" Type="http://schemas.openxmlformats.org/officeDocument/2006/relationships/hyperlink" Target="mailto:dboehm@BKLlawfirm.com" TargetMode="External"/><Relationship Id="rId53" Type="http://schemas.openxmlformats.org/officeDocument/2006/relationships/hyperlink" Target="mailto:Bryce.mckenney@puc.state.oh.u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Amy.spiller@duke-energy.com" TargetMode="External"/><Relationship Id="rId28" Type="http://schemas.openxmlformats.org/officeDocument/2006/relationships/hyperlink" Target="mailto:joliker@mwncmh.com" TargetMode="External"/><Relationship Id="rId36" Type="http://schemas.openxmlformats.org/officeDocument/2006/relationships/hyperlink" Target="mailto:amvogel@aep.com" TargetMode="External"/><Relationship Id="rId49" Type="http://schemas.openxmlformats.org/officeDocument/2006/relationships/hyperlink" Target="mailto:mohler@carpenterlipps.com"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mailto:campbell@whitt-sturtevant.com" TargetMode="External"/><Relationship Id="rId44" Type="http://schemas.openxmlformats.org/officeDocument/2006/relationships/hyperlink" Target="mailto:Rocco.dascenzo@duke-energy.com" TargetMode="External"/><Relationship Id="rId52" Type="http://schemas.openxmlformats.org/officeDocument/2006/relationships/hyperlink" Target="mailto:glpetrucci@vorys.com" TargetMode="External"/><Relationship Id="rId4" Type="http://schemas.openxmlformats.org/officeDocument/2006/relationships/settings" Target="settings.xml"/><Relationship Id="rId9" Type="http://schemas.openxmlformats.org/officeDocument/2006/relationships/hyperlink" Target="mailto:Maureen.grady@occ.ohio.gov" TargetMode="External"/><Relationship Id="rId14" Type="http://schemas.openxmlformats.org/officeDocument/2006/relationships/header" Target="header3.xml"/><Relationship Id="rId22" Type="http://schemas.openxmlformats.org/officeDocument/2006/relationships/hyperlink" Target="mailto:Thomas.mcnamee@puc.state.oh.us" TargetMode="External"/><Relationship Id="rId27" Type="http://schemas.openxmlformats.org/officeDocument/2006/relationships/hyperlink" Target="mailto:fdarr@mwncmh.com" TargetMode="External"/><Relationship Id="rId30" Type="http://schemas.openxmlformats.org/officeDocument/2006/relationships/hyperlink" Target="mailto:whitt@whitt-sturtevant.com" TargetMode="External"/><Relationship Id="rId35" Type="http://schemas.openxmlformats.org/officeDocument/2006/relationships/hyperlink" Target="mailto:mswhite@igsenergy.com" TargetMode="External"/><Relationship Id="rId43" Type="http://schemas.openxmlformats.org/officeDocument/2006/relationships/hyperlink" Target="mailto:jsharkey@ficlaw.com" TargetMode="External"/><Relationship Id="rId48" Type="http://schemas.openxmlformats.org/officeDocument/2006/relationships/hyperlink" Target="mailto:Bojko@carpenterlipps.com" TargetMode="External"/><Relationship Id="rId56" Type="http://schemas.openxmlformats.org/officeDocument/2006/relationships/theme" Target="theme/theme1.xml"/><Relationship Id="rId8" Type="http://schemas.openxmlformats.org/officeDocument/2006/relationships/hyperlink" Target="mailto:Edmund.berger@occ.ohio.gov" TargetMode="External"/><Relationship Id="rId51" Type="http://schemas.openxmlformats.org/officeDocument/2006/relationships/hyperlink" Target="mailto:mhpetricoff@vorys.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2789</Words>
  <Characters>16071</Characters>
  <Application>Microsoft Office Word</Application>
  <DocSecurity>0</DocSecurity>
  <Lines>384</Lines>
  <Paragraphs>141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18893</CharactersWithSpaces>
  <SharedDoc>false</SharedDoc>
  <HyperlinkBase> </HyperlinkBase>
  <HLinks>
    <vt:vector size="54" baseType="variant">
      <vt:variant>
        <vt:i4>1245244</vt:i4>
      </vt:variant>
      <vt:variant>
        <vt:i4>50</vt:i4>
      </vt:variant>
      <vt:variant>
        <vt:i4>0</vt:i4>
      </vt:variant>
      <vt:variant>
        <vt:i4>5</vt:i4>
      </vt:variant>
      <vt:variant>
        <vt:lpwstr/>
      </vt:variant>
      <vt:variant>
        <vt:lpwstr>_Toc384297293</vt:lpwstr>
      </vt:variant>
      <vt:variant>
        <vt:i4>1245244</vt:i4>
      </vt:variant>
      <vt:variant>
        <vt:i4>44</vt:i4>
      </vt:variant>
      <vt:variant>
        <vt:i4>0</vt:i4>
      </vt:variant>
      <vt:variant>
        <vt:i4>5</vt:i4>
      </vt:variant>
      <vt:variant>
        <vt:lpwstr/>
      </vt:variant>
      <vt:variant>
        <vt:lpwstr>_Toc384297292</vt:lpwstr>
      </vt:variant>
      <vt:variant>
        <vt:i4>1245244</vt:i4>
      </vt:variant>
      <vt:variant>
        <vt:i4>38</vt:i4>
      </vt:variant>
      <vt:variant>
        <vt:i4>0</vt:i4>
      </vt:variant>
      <vt:variant>
        <vt:i4>5</vt:i4>
      </vt:variant>
      <vt:variant>
        <vt:lpwstr/>
      </vt:variant>
      <vt:variant>
        <vt:lpwstr>_Toc384297291</vt:lpwstr>
      </vt:variant>
      <vt:variant>
        <vt:i4>1245244</vt:i4>
      </vt:variant>
      <vt:variant>
        <vt:i4>32</vt:i4>
      </vt:variant>
      <vt:variant>
        <vt:i4>0</vt:i4>
      </vt:variant>
      <vt:variant>
        <vt:i4>5</vt:i4>
      </vt:variant>
      <vt:variant>
        <vt:lpwstr/>
      </vt:variant>
      <vt:variant>
        <vt:lpwstr>_Toc384297290</vt:lpwstr>
      </vt:variant>
      <vt:variant>
        <vt:i4>1179708</vt:i4>
      </vt:variant>
      <vt:variant>
        <vt:i4>26</vt:i4>
      </vt:variant>
      <vt:variant>
        <vt:i4>0</vt:i4>
      </vt:variant>
      <vt:variant>
        <vt:i4>5</vt:i4>
      </vt:variant>
      <vt:variant>
        <vt:lpwstr/>
      </vt:variant>
      <vt:variant>
        <vt:lpwstr>_Toc384297289</vt:lpwstr>
      </vt:variant>
      <vt:variant>
        <vt:i4>1179708</vt:i4>
      </vt:variant>
      <vt:variant>
        <vt:i4>20</vt:i4>
      </vt:variant>
      <vt:variant>
        <vt:i4>0</vt:i4>
      </vt:variant>
      <vt:variant>
        <vt:i4>5</vt:i4>
      </vt:variant>
      <vt:variant>
        <vt:lpwstr/>
      </vt:variant>
      <vt:variant>
        <vt:lpwstr>_Toc384297288</vt:lpwstr>
      </vt:variant>
      <vt:variant>
        <vt:i4>1179708</vt:i4>
      </vt:variant>
      <vt:variant>
        <vt:i4>14</vt:i4>
      </vt:variant>
      <vt:variant>
        <vt:i4>0</vt:i4>
      </vt:variant>
      <vt:variant>
        <vt:i4>5</vt:i4>
      </vt:variant>
      <vt:variant>
        <vt:lpwstr/>
      </vt:variant>
      <vt:variant>
        <vt:lpwstr>_Toc384297287</vt:lpwstr>
      </vt:variant>
      <vt:variant>
        <vt:i4>1179708</vt:i4>
      </vt:variant>
      <vt:variant>
        <vt:i4>8</vt:i4>
      </vt:variant>
      <vt:variant>
        <vt:i4>0</vt:i4>
      </vt:variant>
      <vt:variant>
        <vt:i4>5</vt:i4>
      </vt:variant>
      <vt:variant>
        <vt:lpwstr/>
      </vt:variant>
      <vt:variant>
        <vt:lpwstr>_Toc384297286</vt:lpwstr>
      </vt:variant>
      <vt:variant>
        <vt:i4>1179708</vt:i4>
      </vt:variant>
      <vt:variant>
        <vt:i4>2</vt:i4>
      </vt:variant>
      <vt:variant>
        <vt:i4>0</vt:i4>
      </vt:variant>
      <vt:variant>
        <vt:i4>5</vt:i4>
      </vt:variant>
      <vt:variant>
        <vt:lpwstr/>
      </vt:variant>
      <vt:variant>
        <vt:lpwstr>_Toc384297285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2014-03-25T19:24:00Z</cp:lastPrinted>
  <dcterms:created xsi:type="dcterms:W3CDTF">2014-04-07T19:43:00Z</dcterms:created>
  <dcterms:modified xsi:type="dcterms:W3CDTF">2014-04-07T19:43:00Z</dcterms:modified>
  <cp:category> </cp:category>
  <cp:contentStatus> </cp:contentStatus>
</cp:coreProperties>
</file>