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8B1879" w:rsidRPr="00BC5221" w:rsidP="00DC517F" w14:paraId="2E187335" w14:textId="63CBCFD9">
      <w:pPr>
        <w:pStyle w:val="HTMLPreformatted"/>
        <w:jc w:val="center"/>
        <w:rPr>
          <w:rFonts w:ascii="Times New Roman" w:hAnsi="Times New Roman" w:cs="Times New Roman"/>
          <w:b/>
          <w:bCs/>
          <w:sz w:val="24"/>
          <w:szCs w:val="24"/>
        </w:rPr>
      </w:pPr>
      <w:r w:rsidRPr="00BC5221">
        <w:rPr>
          <w:rFonts w:ascii="Times New Roman" w:hAnsi="Times New Roman" w:cs="Times New Roman"/>
          <w:b/>
          <w:bCs/>
          <w:sz w:val="24"/>
          <w:szCs w:val="24"/>
        </w:rPr>
        <w:t>BEFORE</w:t>
      </w:r>
    </w:p>
    <w:p w:rsidR="00A5637F" w:rsidRPr="00BC5221" w14:paraId="46FC91B4" w14:textId="6DF56CCE">
      <w:pPr>
        <w:pStyle w:val="HTMLPreformatted"/>
        <w:jc w:val="center"/>
        <w:rPr>
          <w:rFonts w:ascii="Times New Roman" w:hAnsi="Times New Roman" w:cs="Times New Roman"/>
          <w:b/>
          <w:sz w:val="24"/>
          <w:szCs w:val="24"/>
        </w:rPr>
      </w:pPr>
      <w:r w:rsidRPr="00BC5221">
        <w:rPr>
          <w:rFonts w:ascii="Times New Roman" w:hAnsi="Times New Roman" w:cs="Times New Roman"/>
          <w:b/>
          <w:bCs/>
          <w:sz w:val="24"/>
          <w:szCs w:val="24"/>
        </w:rPr>
        <w:t>THE PUBLIC UTILITIES COMMISSION OF OHIO</w:t>
      </w:r>
    </w:p>
    <w:p w:rsidR="00A5637F" w:rsidRPr="00BC5221" w:rsidP="00DB6639" w14:paraId="626E78F6" w14:textId="77777777">
      <w:pPr>
        <w:pStyle w:val="HTMLPreformatted"/>
        <w:jc w:val="center"/>
        <w:rPr>
          <w:rFonts w:ascii="Times New Roman" w:hAnsi="Times New Roman" w:cs="Times New Roman"/>
          <w:b/>
          <w:sz w:val="24"/>
          <w:szCs w:val="24"/>
        </w:rPr>
      </w:pPr>
    </w:p>
    <w:tbl>
      <w:tblPr>
        <w:tblW w:w="8640" w:type="dxa"/>
        <w:tblInd w:w="0" w:type="dxa"/>
        <w:tblCellMar>
          <w:top w:w="0" w:type="dxa"/>
          <w:left w:w="108" w:type="dxa"/>
          <w:bottom w:w="0" w:type="dxa"/>
          <w:right w:w="108" w:type="dxa"/>
        </w:tblCellMar>
        <w:tblLook w:val="01E0"/>
      </w:tblPr>
      <w:tblGrid>
        <w:gridCol w:w="4230"/>
        <w:gridCol w:w="630"/>
        <w:gridCol w:w="3780"/>
      </w:tblGrid>
      <w:tr w14:paraId="15B67F5F" w14:textId="77777777" w:rsidTr="00DB6639">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2C7D60" w:rsidRPr="00BC5221" w:rsidP="00675EB5" w14:paraId="432355A6" w14:textId="48763AC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C5221">
              <w:rPr>
                <w:rFonts w:ascii="Times New Roman" w:eastAsia="Courier New" w:hAnsi="Times New Roman" w:cs="Times New Roman"/>
                <w:sz w:val="24"/>
                <w:szCs w:val="24"/>
                <w:lang w:val="en-US" w:eastAsia="en-US" w:bidi="ar-SA"/>
              </w:rPr>
              <w:t>In the Matter of</w:t>
            </w:r>
            <w:r w:rsidRPr="00BC5221" w:rsidR="00675EB5">
              <w:rPr>
                <w:rFonts w:ascii="Times New Roman" w:eastAsia="Courier New" w:hAnsi="Times New Roman" w:cs="Times New Roman"/>
                <w:sz w:val="24"/>
                <w:szCs w:val="24"/>
                <w:lang w:val="en-US" w:eastAsia="en-US" w:bidi="ar-SA"/>
              </w:rPr>
              <w:t xml:space="preserve"> </w:t>
            </w:r>
            <w:r w:rsidRPr="00BC5221" w:rsidR="0069449A">
              <w:rPr>
                <w:rFonts w:ascii="Times New Roman" w:eastAsia="Courier New" w:hAnsi="Times New Roman" w:cs="Times New Roman"/>
                <w:sz w:val="24"/>
                <w:szCs w:val="24"/>
                <w:lang w:val="en-US" w:eastAsia="en-US" w:bidi="ar-SA"/>
              </w:rPr>
              <w:t xml:space="preserve">the Application of Duke Energy Ohio, Inc., for Authority to Adjust </w:t>
            </w:r>
            <w:r w:rsidRPr="00BC5221" w:rsidR="00F64D8F">
              <w:rPr>
                <w:rFonts w:ascii="Times New Roman" w:eastAsia="Courier New" w:hAnsi="Times New Roman" w:cs="Times New Roman"/>
                <w:sz w:val="24"/>
                <w:szCs w:val="24"/>
                <w:lang w:val="en-US" w:eastAsia="en-US" w:bidi="ar-SA"/>
              </w:rPr>
              <w:t>I</w:t>
            </w:r>
            <w:r w:rsidRPr="00BC5221" w:rsidR="0069449A">
              <w:rPr>
                <w:rFonts w:ascii="Times New Roman" w:eastAsia="Courier New" w:hAnsi="Times New Roman" w:cs="Times New Roman"/>
                <w:sz w:val="24"/>
                <w:szCs w:val="24"/>
                <w:lang w:val="en-US" w:eastAsia="en-US" w:bidi="ar-SA"/>
              </w:rPr>
              <w:t>ts Power Future Initiatives Rider</w:t>
            </w:r>
            <w:r w:rsidRPr="00BC5221" w:rsidR="008A5E2E">
              <w:rPr>
                <w:rFonts w:ascii="Times New Roman" w:eastAsia="Courier New" w:hAnsi="Times New Roman" w:cs="Times New Roman"/>
                <w:sz w:val="24"/>
                <w:szCs w:val="24"/>
                <w:lang w:val="en-US" w:eastAsia="en-US" w:bidi="ar-SA"/>
              </w:rPr>
              <w:t>.</w:t>
            </w:r>
            <w:r w:rsidRPr="00BC5221" w:rsidR="00A044B5">
              <w:rPr>
                <w:rFonts w:ascii="Times New Roman" w:eastAsia="Courier New" w:hAnsi="Times New Roman" w:cs="Times New Roman"/>
                <w:sz w:val="24"/>
                <w:szCs w:val="24"/>
                <w:lang w:val="en-US" w:eastAsia="en-US" w:bidi="ar-SA"/>
              </w:rPr>
              <w:t xml:space="preserve"> </w:t>
            </w:r>
          </w:p>
        </w:tc>
        <w:tc>
          <w:tcPr>
            <w:tcW w:w="630" w:type="dxa"/>
            <w:shd w:val="clear" w:color="auto" w:fill="auto"/>
          </w:tcPr>
          <w:p w:rsidR="002C7D60" w:rsidRPr="00BC5221" w:rsidP="003F6E1A" w14:paraId="3D99AAC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C5221">
              <w:rPr>
                <w:rFonts w:ascii="Times New Roman" w:eastAsia="Courier New" w:hAnsi="Times New Roman" w:cs="Times New Roman"/>
                <w:sz w:val="24"/>
                <w:szCs w:val="24"/>
                <w:lang w:val="en-US" w:eastAsia="en-US" w:bidi="ar-SA"/>
              </w:rPr>
              <w:t>)</w:t>
            </w:r>
          </w:p>
          <w:p w:rsidR="002C7D60" w:rsidRPr="00BC5221" w:rsidP="003F6E1A" w14:paraId="4B3A711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C5221">
              <w:rPr>
                <w:rFonts w:ascii="Times New Roman" w:eastAsia="Courier New" w:hAnsi="Times New Roman" w:cs="Times New Roman"/>
                <w:sz w:val="24"/>
                <w:szCs w:val="24"/>
                <w:lang w:val="en-US" w:eastAsia="en-US" w:bidi="ar-SA"/>
              </w:rPr>
              <w:t>)</w:t>
            </w:r>
          </w:p>
          <w:p w:rsidR="002C7D60" w:rsidRPr="00BC5221" w:rsidP="003F6E1A" w14:paraId="1C11211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C5221">
              <w:rPr>
                <w:rFonts w:ascii="Times New Roman" w:eastAsia="Courier New" w:hAnsi="Times New Roman" w:cs="Times New Roman"/>
                <w:sz w:val="24"/>
                <w:szCs w:val="24"/>
                <w:lang w:val="en-US" w:eastAsia="en-US" w:bidi="ar-SA"/>
              </w:rPr>
              <w:t>)</w:t>
            </w:r>
          </w:p>
        </w:tc>
        <w:tc>
          <w:tcPr>
            <w:tcW w:w="3780" w:type="dxa"/>
            <w:shd w:val="clear" w:color="auto" w:fill="auto"/>
          </w:tcPr>
          <w:p w:rsidR="002C7D60" w:rsidRPr="00BC5221" w:rsidP="003F6E1A" w14:paraId="582EA5B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C7D60" w:rsidRPr="00BC5221" w:rsidP="003F6E1A" w14:paraId="1097AF07" w14:textId="6804874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C5221">
              <w:rPr>
                <w:rFonts w:ascii="Times New Roman" w:eastAsia="Courier New" w:hAnsi="Times New Roman" w:cs="Times New Roman"/>
                <w:sz w:val="24"/>
                <w:szCs w:val="24"/>
                <w:lang w:val="en-US" w:eastAsia="en-US" w:bidi="ar-SA"/>
              </w:rPr>
              <w:t xml:space="preserve">Case No. </w:t>
            </w:r>
            <w:r w:rsidRPr="00BC5221" w:rsidR="0069449A">
              <w:rPr>
                <w:rFonts w:ascii="Times New Roman" w:eastAsia="Courier New" w:hAnsi="Times New Roman" w:cs="Times New Roman"/>
                <w:sz w:val="24"/>
                <w:szCs w:val="24"/>
                <w:lang w:val="en-US" w:eastAsia="en-US" w:bidi="ar-SA"/>
              </w:rPr>
              <w:t>24-39-EL-RDR</w:t>
            </w:r>
          </w:p>
          <w:p w:rsidR="002C7D60" w:rsidRPr="00BC5221" w:rsidP="003F6E1A" w14:paraId="100B1F2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A5637F" w:rsidRPr="00BC5221" w:rsidP="00DB6639" w14:paraId="15412A71" w14:textId="77777777">
      <w:pPr>
        <w:pStyle w:val="InsideAddress"/>
        <w:pBdr>
          <w:bottom w:val="single" w:sz="12" w:space="1" w:color="auto"/>
        </w:pBdr>
        <w:rPr>
          <w:rFonts w:ascii="Times New Roman" w:hAnsi="Times New Roman"/>
          <w:szCs w:val="24"/>
        </w:rPr>
      </w:pPr>
    </w:p>
    <w:p w:rsidR="00A5637F" w:rsidRPr="00BC5221" w:rsidP="00DB6639" w14:paraId="0005FD1B" w14:textId="77777777">
      <w:pPr>
        <w:pStyle w:val="InsideAddress"/>
        <w:rPr>
          <w:rFonts w:ascii="Times New Roman" w:hAnsi="Times New Roman"/>
          <w:szCs w:val="24"/>
        </w:rPr>
      </w:pPr>
    </w:p>
    <w:p w:rsidR="00E372F2" w:rsidRPr="00BC5221" w:rsidP="00DB6639" w14:paraId="4E9FFCD0" w14:textId="21A35047">
      <w:pPr>
        <w:pStyle w:val="Footer"/>
        <w:tabs>
          <w:tab w:val="clear" w:pos="4320"/>
          <w:tab w:val="clear" w:pos="8640"/>
        </w:tabs>
        <w:spacing w:line="240" w:lineRule="auto"/>
        <w:jc w:val="center"/>
        <w:rPr>
          <w:b/>
        </w:rPr>
      </w:pPr>
      <w:r w:rsidRPr="00BC5221">
        <w:rPr>
          <w:b/>
        </w:rPr>
        <w:t>MOTION TO INTERVENE</w:t>
      </w:r>
    </w:p>
    <w:p w:rsidR="00A5637F" w:rsidRPr="00BC5221" w:rsidP="00DB6639" w14:paraId="221D5203" w14:textId="77777777">
      <w:pPr>
        <w:pStyle w:val="Footer"/>
        <w:tabs>
          <w:tab w:val="clear" w:pos="4320"/>
          <w:tab w:val="clear" w:pos="8640"/>
        </w:tabs>
        <w:spacing w:line="240" w:lineRule="auto"/>
        <w:jc w:val="center"/>
        <w:rPr>
          <w:b/>
        </w:rPr>
      </w:pPr>
      <w:r w:rsidRPr="00BC5221">
        <w:rPr>
          <w:b/>
        </w:rPr>
        <w:t>BY</w:t>
      </w:r>
    </w:p>
    <w:p w:rsidR="002C7D60" w:rsidRPr="00BC5221" w:rsidP="002C7D60" w14:paraId="59DFFA66" w14:textId="21D38BBF">
      <w:pPr>
        <w:jc w:val="center"/>
        <w:rPr>
          <w:b/>
          <w:bCs/>
        </w:rPr>
      </w:pPr>
      <w:r w:rsidRPr="00BC5221">
        <w:rPr>
          <w:b/>
          <w:bCs/>
        </w:rPr>
        <w:t>OFFICE OF THE OHIO CONSUMERS</w:t>
      </w:r>
      <w:r w:rsidR="00BC5221">
        <w:rPr>
          <w:b/>
          <w:bCs/>
        </w:rPr>
        <w:t>’</w:t>
      </w:r>
      <w:r w:rsidRPr="00BC5221">
        <w:rPr>
          <w:b/>
          <w:bCs/>
        </w:rPr>
        <w:t xml:space="preserve"> COUNSEL</w:t>
      </w:r>
    </w:p>
    <w:p w:rsidR="00A5637F" w:rsidRPr="00BC5221" w:rsidP="00DB6639" w14:paraId="0095FDA1" w14:textId="77777777">
      <w:pPr>
        <w:pStyle w:val="Footer"/>
        <w:pBdr>
          <w:bottom w:val="single" w:sz="12" w:space="1" w:color="auto"/>
        </w:pBdr>
        <w:tabs>
          <w:tab w:val="clear" w:pos="4320"/>
          <w:tab w:val="clear" w:pos="8640"/>
        </w:tabs>
        <w:spacing w:line="240" w:lineRule="auto"/>
        <w:rPr>
          <w:b/>
        </w:rPr>
      </w:pPr>
    </w:p>
    <w:p w:rsidR="00A5637F" w:rsidRPr="00BC5221" w:rsidP="00DB6639" w14:paraId="152FA7C3" w14:textId="77777777">
      <w:pPr>
        <w:pStyle w:val="Footer"/>
        <w:tabs>
          <w:tab w:val="clear" w:pos="4320"/>
          <w:tab w:val="clear" w:pos="8640"/>
        </w:tabs>
        <w:spacing w:line="240" w:lineRule="auto"/>
        <w:jc w:val="center"/>
        <w:rPr>
          <w:b/>
        </w:rPr>
      </w:pPr>
    </w:p>
    <w:p w:rsidR="00C87062" w:rsidRPr="00BC5221" w:rsidP="00A858A6" w14:paraId="3557EBEE" w14:textId="11F364D5">
      <w:pPr>
        <w:pStyle w:val="BodyTextIndent3"/>
        <w:widowControl w:val="0"/>
        <w:spacing w:line="480" w:lineRule="auto"/>
        <w:rPr>
          <w:szCs w:val="24"/>
        </w:rPr>
      </w:pPr>
      <w:r w:rsidRPr="00BC5221">
        <w:rPr>
          <w:szCs w:val="24"/>
        </w:rPr>
        <w:t>The Office of the Ohio Consumers</w:t>
      </w:r>
      <w:r w:rsidR="00BC5221">
        <w:rPr>
          <w:szCs w:val="24"/>
        </w:rPr>
        <w:t>’</w:t>
      </w:r>
      <w:r w:rsidRPr="00BC5221">
        <w:rPr>
          <w:szCs w:val="24"/>
        </w:rPr>
        <w:t xml:space="preserve"> Counsel (</w:t>
      </w:r>
      <w:r w:rsidR="00BC5221">
        <w:rPr>
          <w:szCs w:val="24"/>
        </w:rPr>
        <w:t>“</w:t>
      </w:r>
      <w:r w:rsidRPr="00BC5221">
        <w:rPr>
          <w:szCs w:val="24"/>
        </w:rPr>
        <w:t>OCC</w:t>
      </w:r>
      <w:r w:rsidR="00BC5221">
        <w:rPr>
          <w:szCs w:val="24"/>
        </w:rPr>
        <w:t>”</w:t>
      </w:r>
      <w:r w:rsidRPr="00BC5221">
        <w:rPr>
          <w:szCs w:val="24"/>
        </w:rPr>
        <w:t>) moves to intervene</w:t>
      </w:r>
      <w:r w:rsidRPr="00BC5221" w:rsidR="00A044B5">
        <w:rPr>
          <w:szCs w:val="24"/>
        </w:rPr>
        <w:t xml:space="preserve"> in this case</w:t>
      </w:r>
      <w:r w:rsidRPr="00BC5221">
        <w:rPr>
          <w:szCs w:val="24"/>
        </w:rPr>
        <w:t xml:space="preserve"> where </w:t>
      </w:r>
      <w:r w:rsidRPr="00BC5221" w:rsidR="0069449A">
        <w:rPr>
          <w:szCs w:val="24"/>
        </w:rPr>
        <w:t>Duke Energy Ohio, Inc. (</w:t>
      </w:r>
      <w:r w:rsidR="00BC5221">
        <w:rPr>
          <w:szCs w:val="24"/>
        </w:rPr>
        <w:t>“</w:t>
      </w:r>
      <w:r w:rsidRPr="00BC5221" w:rsidR="0069449A">
        <w:rPr>
          <w:szCs w:val="24"/>
        </w:rPr>
        <w:t>Duke</w:t>
      </w:r>
      <w:r w:rsidR="00BC5221">
        <w:rPr>
          <w:szCs w:val="24"/>
        </w:rPr>
        <w:t>”</w:t>
      </w:r>
      <w:r w:rsidRPr="00BC5221" w:rsidR="0069449A">
        <w:rPr>
          <w:szCs w:val="24"/>
        </w:rPr>
        <w:t>) seeks authority to adjust its power future initiatives rider (</w:t>
      </w:r>
      <w:r w:rsidR="00BC5221">
        <w:rPr>
          <w:szCs w:val="24"/>
        </w:rPr>
        <w:t>“</w:t>
      </w:r>
      <w:r w:rsidRPr="00BC5221" w:rsidR="0069449A">
        <w:rPr>
          <w:szCs w:val="24"/>
        </w:rPr>
        <w:t>Rider</w:t>
      </w:r>
      <w:r w:rsidR="00BC5221">
        <w:rPr>
          <w:szCs w:val="24"/>
        </w:rPr>
        <w:t>”</w:t>
      </w:r>
      <w:r w:rsidRPr="00BC5221" w:rsidR="00F93508">
        <w:rPr>
          <w:szCs w:val="24"/>
        </w:rPr>
        <w:t xml:space="preserve">) </w:t>
      </w:r>
      <w:r w:rsidRPr="00BC5221" w:rsidR="00AC6668">
        <w:rPr>
          <w:szCs w:val="24"/>
        </w:rPr>
        <w:t xml:space="preserve">and recoup </w:t>
      </w:r>
      <w:r w:rsidR="00BC5221">
        <w:rPr>
          <w:szCs w:val="24"/>
        </w:rPr>
        <w:t>“</w:t>
      </w:r>
      <w:r w:rsidRPr="00BC5221" w:rsidR="00AC6668">
        <w:rPr>
          <w:szCs w:val="24"/>
        </w:rPr>
        <w:t>specific categories of costs</w:t>
      </w:r>
      <w:r w:rsidR="00BC5221">
        <w:rPr>
          <w:szCs w:val="24"/>
        </w:rPr>
        <w:t>”</w:t>
      </w:r>
      <w:r w:rsidRPr="00BC5221" w:rsidR="00AC6668">
        <w:rPr>
          <w:szCs w:val="24"/>
        </w:rPr>
        <w:t xml:space="preserve"> that are eligible for inclusion in the Rider.</w:t>
      </w:r>
      <w:r w:rsidRPr="00BC5221" w:rsidR="004E21A1">
        <w:rPr>
          <w:szCs w:val="24"/>
        </w:rPr>
        <w:t xml:space="preserve"> Th</w:t>
      </w:r>
      <w:r w:rsidRPr="00BC5221" w:rsidR="00144EC4">
        <w:rPr>
          <w:szCs w:val="24"/>
        </w:rPr>
        <w:t xml:space="preserve">ose </w:t>
      </w:r>
      <w:r w:rsidR="00BC5221">
        <w:rPr>
          <w:szCs w:val="24"/>
        </w:rPr>
        <w:t>“</w:t>
      </w:r>
      <w:r w:rsidRPr="00BC5221" w:rsidR="00144EC4">
        <w:rPr>
          <w:szCs w:val="24"/>
        </w:rPr>
        <w:t>specific categories</w:t>
      </w:r>
      <w:r w:rsidR="00BC5221">
        <w:rPr>
          <w:szCs w:val="24"/>
        </w:rPr>
        <w:t>”</w:t>
      </w:r>
      <w:r w:rsidRPr="00BC5221" w:rsidR="00144EC4">
        <w:rPr>
          <w:szCs w:val="24"/>
        </w:rPr>
        <w:t xml:space="preserve"> include millions of dollars in capital</w:t>
      </w:r>
      <w:r w:rsidR="00BC5221">
        <w:rPr>
          <w:szCs w:val="24"/>
        </w:rPr>
        <w:t xml:space="preserve"> </w:t>
      </w:r>
      <w:r w:rsidRPr="00BC5221" w:rsidR="00144EC4">
        <w:rPr>
          <w:szCs w:val="24"/>
        </w:rPr>
        <w:t xml:space="preserve">and </w:t>
      </w:r>
      <w:r w:rsidRPr="00BC5221" w:rsidR="004532BE">
        <w:rPr>
          <w:szCs w:val="24"/>
        </w:rPr>
        <w:t>operation and maintenance costs</w:t>
      </w:r>
      <w:r w:rsidRPr="00BC5221" w:rsidR="00B12E33">
        <w:rPr>
          <w:szCs w:val="24"/>
        </w:rPr>
        <w:t xml:space="preserve"> across various programs and initiatives</w:t>
      </w:r>
      <w:r w:rsidRPr="00BC5221" w:rsidR="00144EC4">
        <w:rPr>
          <w:szCs w:val="24"/>
        </w:rPr>
        <w:t>, a</w:t>
      </w:r>
      <w:r w:rsidRPr="00BC5221" w:rsidR="00B12E33">
        <w:rPr>
          <w:szCs w:val="24"/>
        </w:rPr>
        <w:t>s well as</w:t>
      </w:r>
      <w:r w:rsidRPr="00BC5221" w:rsidR="00144EC4">
        <w:rPr>
          <w:szCs w:val="24"/>
        </w:rPr>
        <w:t xml:space="preserve"> seeking a pre-tax return of 8.24%</w:t>
      </w:r>
      <w:r w:rsidRPr="00BC5221" w:rsidR="00B12E33">
        <w:rPr>
          <w:szCs w:val="24"/>
        </w:rPr>
        <w:t xml:space="preserve"> on the Rider</w:t>
      </w:r>
      <w:r w:rsidRPr="00BC5221" w:rsidR="00144EC4">
        <w:rPr>
          <w:szCs w:val="24"/>
        </w:rPr>
        <w:t>.</w:t>
      </w:r>
      <w:r>
        <w:rPr>
          <w:rStyle w:val="FootnoteReference"/>
          <w:szCs w:val="24"/>
        </w:rPr>
        <w:footnoteReference w:id="3"/>
      </w:r>
      <w:r w:rsidRPr="00BC5221" w:rsidR="00011BDC">
        <w:rPr>
          <w:szCs w:val="24"/>
        </w:rPr>
        <w:t xml:space="preserve"> Per the testimony of Duke witness Jay P. Brown, the result </w:t>
      </w:r>
      <w:r w:rsidRPr="00BC5221" w:rsidR="00D05F82">
        <w:rPr>
          <w:szCs w:val="24"/>
        </w:rPr>
        <w:t xml:space="preserve">for the average consumer </w:t>
      </w:r>
      <w:r w:rsidRPr="00BC5221" w:rsidR="00011BDC">
        <w:rPr>
          <w:szCs w:val="24"/>
        </w:rPr>
        <w:t xml:space="preserve">would be a $1.40 </w:t>
      </w:r>
      <w:r w:rsidRPr="00BC5221" w:rsidR="00FE22D1">
        <w:rPr>
          <w:szCs w:val="24"/>
        </w:rPr>
        <w:t>fixed monthly charge</w:t>
      </w:r>
      <w:r w:rsidRPr="00BC5221" w:rsidR="00011BDC">
        <w:rPr>
          <w:szCs w:val="24"/>
        </w:rPr>
        <w:t xml:space="preserve">, a $1.00 increase compared to the current </w:t>
      </w:r>
      <w:r w:rsidRPr="00BC5221" w:rsidR="00D05F82">
        <w:rPr>
          <w:szCs w:val="24"/>
        </w:rPr>
        <w:t>fixed monthly charge under the Rider</w:t>
      </w:r>
      <w:r w:rsidRPr="00BC5221" w:rsidR="00011BDC">
        <w:rPr>
          <w:szCs w:val="24"/>
        </w:rPr>
        <w:t>.</w:t>
      </w:r>
      <w:r>
        <w:rPr>
          <w:rStyle w:val="FootnoteReference"/>
          <w:szCs w:val="24"/>
        </w:rPr>
        <w:footnoteReference w:id="4"/>
      </w:r>
      <w:r w:rsidRPr="00BC5221" w:rsidR="00144EC4">
        <w:rPr>
          <w:szCs w:val="24"/>
        </w:rPr>
        <w:t xml:space="preserve"> </w:t>
      </w:r>
    </w:p>
    <w:p w:rsidR="009870CF" w:rsidP="00A858A6" w14:paraId="13B97D3B" w14:textId="77777777">
      <w:pPr>
        <w:pStyle w:val="BodyTextIndent3"/>
        <w:widowControl w:val="0"/>
        <w:spacing w:line="480" w:lineRule="auto"/>
        <w:rPr>
          <w:szCs w:val="24"/>
        </w:rPr>
      </w:pPr>
      <w:r w:rsidRPr="00BC5221">
        <w:rPr>
          <w:szCs w:val="24"/>
        </w:rPr>
        <w:t>Duke argues that the</w:t>
      </w:r>
      <w:r w:rsidRPr="00BC5221" w:rsidR="00B12E33">
        <w:rPr>
          <w:szCs w:val="24"/>
        </w:rPr>
        <w:t xml:space="preserve"> proposed</w:t>
      </w:r>
      <w:r w:rsidRPr="00BC5221">
        <w:rPr>
          <w:szCs w:val="24"/>
        </w:rPr>
        <w:t xml:space="preserve"> increase</w:t>
      </w:r>
      <w:r w:rsidRPr="00BC5221" w:rsidR="00B12E33">
        <w:rPr>
          <w:szCs w:val="24"/>
        </w:rPr>
        <w:t xml:space="preserve"> to</w:t>
      </w:r>
      <w:r w:rsidRPr="00BC5221">
        <w:rPr>
          <w:szCs w:val="24"/>
        </w:rPr>
        <w:t xml:space="preserve"> charges are </w:t>
      </w:r>
      <w:r w:rsidR="00BC5221">
        <w:rPr>
          <w:szCs w:val="24"/>
        </w:rPr>
        <w:t>“</w:t>
      </w:r>
      <w:r w:rsidRPr="00BC5221">
        <w:rPr>
          <w:szCs w:val="24"/>
        </w:rPr>
        <w:t>incremental.</w:t>
      </w:r>
      <w:r w:rsidR="00BC5221">
        <w:rPr>
          <w:szCs w:val="24"/>
        </w:rPr>
        <w:t>”</w:t>
      </w:r>
      <w:r>
        <w:rPr>
          <w:rStyle w:val="FootnoteReference"/>
          <w:szCs w:val="24"/>
        </w:rPr>
        <w:footnoteReference w:id="5"/>
      </w:r>
      <w:r w:rsidRPr="00BC5221">
        <w:rPr>
          <w:szCs w:val="24"/>
        </w:rPr>
        <w:t xml:space="preserve"> </w:t>
      </w:r>
      <w:r w:rsidRPr="00BC5221" w:rsidR="009C7DC9">
        <w:rPr>
          <w:szCs w:val="24"/>
        </w:rPr>
        <w:t>However, t</w:t>
      </w:r>
      <w:r w:rsidRPr="00BC5221">
        <w:rPr>
          <w:szCs w:val="24"/>
        </w:rPr>
        <w:t xml:space="preserve">he result of Duke </w:t>
      </w:r>
      <w:r w:rsidRPr="00BC5221" w:rsidR="00C87062">
        <w:rPr>
          <w:szCs w:val="24"/>
        </w:rPr>
        <w:t xml:space="preserve">collecting </w:t>
      </w:r>
      <w:r w:rsidRPr="00BC5221">
        <w:rPr>
          <w:szCs w:val="24"/>
        </w:rPr>
        <w:t>those costs</w:t>
      </w:r>
      <w:r w:rsidRPr="00BC5221" w:rsidR="00C87062">
        <w:rPr>
          <w:szCs w:val="24"/>
        </w:rPr>
        <w:t xml:space="preserve"> from consumers</w:t>
      </w:r>
      <w:r w:rsidRPr="00BC5221">
        <w:rPr>
          <w:szCs w:val="24"/>
        </w:rPr>
        <w:t xml:space="preserve"> and that rate of return is that residential consumers will once again be asked to shoulder the burden for Duke</w:t>
      </w:r>
      <w:r w:rsidR="00BC5221">
        <w:rPr>
          <w:szCs w:val="24"/>
        </w:rPr>
        <w:t>’</w:t>
      </w:r>
      <w:r w:rsidRPr="00BC5221">
        <w:rPr>
          <w:szCs w:val="24"/>
        </w:rPr>
        <w:t xml:space="preserve">s investment in its own infrastructure. That burden will </w:t>
      </w:r>
      <w:r w:rsidRPr="00BC5221" w:rsidR="00C87062">
        <w:rPr>
          <w:szCs w:val="24"/>
        </w:rPr>
        <w:t xml:space="preserve">hit </w:t>
      </w:r>
      <w:r w:rsidRPr="00BC5221">
        <w:rPr>
          <w:szCs w:val="24"/>
        </w:rPr>
        <w:t xml:space="preserve">hardest the most vulnerable and </w:t>
      </w:r>
    </w:p>
    <w:p w:rsidR="009870CF" w14:paraId="581A0468" w14:textId="77777777">
      <w:r>
        <w:br w:type="page"/>
      </w:r>
    </w:p>
    <w:p w:rsidR="009C0BC9" w:rsidRPr="00BC5221" w:rsidP="009870CF" w14:paraId="21EAAB19" w14:textId="0C22E79E">
      <w:pPr>
        <w:pStyle w:val="BodyTextIndent3"/>
        <w:widowControl w:val="0"/>
        <w:spacing w:line="480" w:lineRule="auto"/>
        <w:ind w:firstLine="0"/>
        <w:rPr>
          <w:szCs w:val="24"/>
        </w:rPr>
      </w:pPr>
      <w:r w:rsidRPr="00BC5221">
        <w:rPr>
          <w:szCs w:val="24"/>
        </w:rPr>
        <w:t>at-risk residential customers of Duke, those for whom every dollar in the household budget counts.</w:t>
      </w:r>
    </w:p>
    <w:p w:rsidR="004015F8" w:rsidRPr="00BC5221" w:rsidP="00583AEF" w14:paraId="4F223F76" w14:textId="6DA3F7FF">
      <w:pPr>
        <w:pStyle w:val="BodyTextIndent3"/>
        <w:widowControl w:val="0"/>
        <w:spacing w:line="480" w:lineRule="auto"/>
        <w:rPr>
          <w:szCs w:val="24"/>
        </w:rPr>
      </w:pPr>
      <w:r w:rsidRPr="00BC5221">
        <w:rPr>
          <w:szCs w:val="24"/>
        </w:rPr>
        <w:t xml:space="preserve">OCC is </w:t>
      </w:r>
      <w:r w:rsidRPr="00BC5221" w:rsidR="0072721B">
        <w:rPr>
          <w:szCs w:val="24"/>
        </w:rPr>
        <w:t>filing</w:t>
      </w:r>
      <w:r w:rsidRPr="00BC5221">
        <w:rPr>
          <w:szCs w:val="24"/>
        </w:rPr>
        <w:t xml:space="preserve"> on</w:t>
      </w:r>
      <w:r w:rsidRPr="00BC5221" w:rsidR="00D55177">
        <w:rPr>
          <w:szCs w:val="24"/>
        </w:rPr>
        <w:t xml:space="preserve"> behalf of </w:t>
      </w:r>
      <w:r w:rsidRPr="00BC5221" w:rsidR="001D0897">
        <w:rPr>
          <w:szCs w:val="24"/>
        </w:rPr>
        <w:t>the</w:t>
      </w:r>
      <w:r w:rsidRPr="00BC5221">
        <w:rPr>
          <w:szCs w:val="24"/>
        </w:rPr>
        <w:t xml:space="preserve"> </w:t>
      </w:r>
      <w:r w:rsidRPr="00BC5221" w:rsidR="009406D1">
        <w:rPr>
          <w:szCs w:val="24"/>
        </w:rPr>
        <w:t xml:space="preserve">approximately 640,000 </w:t>
      </w:r>
      <w:r w:rsidRPr="00BC5221" w:rsidR="00A51347">
        <w:rPr>
          <w:szCs w:val="24"/>
        </w:rPr>
        <w:t xml:space="preserve">residential </w:t>
      </w:r>
      <w:r w:rsidRPr="00BC5221">
        <w:rPr>
          <w:szCs w:val="24"/>
        </w:rPr>
        <w:t xml:space="preserve">utility </w:t>
      </w:r>
      <w:r w:rsidRPr="00BC5221" w:rsidR="003E7261">
        <w:rPr>
          <w:szCs w:val="24"/>
        </w:rPr>
        <w:t>consumers</w:t>
      </w:r>
      <w:r w:rsidRPr="00BC5221" w:rsidR="008B1879">
        <w:rPr>
          <w:szCs w:val="24"/>
        </w:rPr>
        <w:t xml:space="preserve"> of </w:t>
      </w:r>
      <w:r w:rsidRPr="00BC5221" w:rsidR="004C1ACE">
        <w:rPr>
          <w:szCs w:val="24"/>
        </w:rPr>
        <w:t>Duke</w:t>
      </w:r>
      <w:r w:rsidRPr="00BC5221">
        <w:rPr>
          <w:szCs w:val="24"/>
        </w:rPr>
        <w:t>.</w:t>
      </w:r>
      <w:r w:rsidRPr="00BC5221" w:rsidR="00675EB5">
        <w:rPr>
          <w:szCs w:val="24"/>
        </w:rPr>
        <w:t xml:space="preserve"> </w:t>
      </w:r>
      <w:r w:rsidRPr="00BC5221">
        <w:rPr>
          <w:szCs w:val="24"/>
        </w:rPr>
        <w:t>The reasons the Public Utilities C</w:t>
      </w:r>
      <w:r w:rsidRPr="00BC5221" w:rsidR="00641070">
        <w:rPr>
          <w:szCs w:val="24"/>
        </w:rPr>
        <w:t>ommission</w:t>
      </w:r>
      <w:r w:rsidRPr="00BC5221" w:rsidR="00844294">
        <w:rPr>
          <w:szCs w:val="24"/>
        </w:rPr>
        <w:t xml:space="preserve"> of </w:t>
      </w:r>
      <w:r w:rsidRPr="00BC5221" w:rsidR="00641070">
        <w:rPr>
          <w:szCs w:val="24"/>
        </w:rPr>
        <w:t>Ohio (</w:t>
      </w:r>
      <w:r w:rsidR="00BC5221">
        <w:rPr>
          <w:szCs w:val="24"/>
        </w:rPr>
        <w:t>“</w:t>
      </w:r>
      <w:r w:rsidRPr="00BC5221" w:rsidR="00844294">
        <w:rPr>
          <w:szCs w:val="24"/>
        </w:rPr>
        <w:t>PUCO</w:t>
      </w:r>
      <w:r w:rsidR="00BC5221">
        <w:rPr>
          <w:szCs w:val="24"/>
        </w:rPr>
        <w:t>”</w:t>
      </w:r>
      <w:r w:rsidRPr="00BC5221">
        <w:rPr>
          <w:szCs w:val="24"/>
        </w:rPr>
        <w:t>)</w:t>
      </w:r>
      <w:r w:rsidRPr="00BC5221" w:rsidR="00844294">
        <w:rPr>
          <w:szCs w:val="24"/>
        </w:rPr>
        <w:t xml:space="preserve"> should grant OCC</w:t>
      </w:r>
      <w:r w:rsidR="00BC5221">
        <w:rPr>
          <w:szCs w:val="24"/>
        </w:rPr>
        <w:t>’</w:t>
      </w:r>
      <w:r w:rsidRPr="00BC5221" w:rsidR="00844294">
        <w:rPr>
          <w:szCs w:val="24"/>
        </w:rPr>
        <w:t xml:space="preserve">s </w:t>
      </w:r>
      <w:r w:rsidRPr="00BC5221">
        <w:rPr>
          <w:szCs w:val="24"/>
        </w:rPr>
        <w:t xml:space="preserve">Motion are further </w:t>
      </w:r>
      <w:r w:rsidRPr="00BC5221" w:rsidR="00844294">
        <w:rPr>
          <w:szCs w:val="24"/>
        </w:rPr>
        <w:t xml:space="preserve">set forth in the attached </w:t>
      </w:r>
      <w:r w:rsidRPr="00BC5221">
        <w:rPr>
          <w:szCs w:val="24"/>
        </w:rPr>
        <w:t>Memorandum</w:t>
      </w:r>
      <w:r w:rsidRPr="00BC5221" w:rsidR="00844294">
        <w:rPr>
          <w:szCs w:val="24"/>
        </w:rPr>
        <w:t xml:space="preserve"> in </w:t>
      </w:r>
      <w:r w:rsidRPr="00BC5221">
        <w:rPr>
          <w:szCs w:val="24"/>
        </w:rPr>
        <w:t>Support</w:t>
      </w:r>
      <w:r w:rsidRPr="00BC5221" w:rsidR="00844294">
        <w:rPr>
          <w:szCs w:val="24"/>
        </w:rPr>
        <w:t>.</w:t>
      </w:r>
    </w:p>
    <w:p w:rsidR="00667426" w:rsidRPr="00BC5221" w:rsidP="00496355" w14:paraId="7CA30B3A" w14:textId="58FB89E3">
      <w:pPr>
        <w:ind w:firstLine="720"/>
      </w:pPr>
      <w:r w:rsidRPr="00BC5221">
        <w:tab/>
      </w:r>
      <w:r w:rsidRPr="00BC5221">
        <w:tab/>
      </w:r>
      <w:r w:rsidRPr="00BC5221">
        <w:tab/>
      </w:r>
      <w:r w:rsidRPr="00BC5221">
        <w:tab/>
      </w:r>
      <w:r w:rsidRPr="00BC5221">
        <w:tab/>
      </w:r>
      <w:r w:rsidRPr="00BC5221">
        <w:rPr>
          <w:rFonts w:eastAsia="Courier New"/>
        </w:rPr>
        <w:t>Respectfully submitted,</w:t>
      </w:r>
    </w:p>
    <w:p w:rsidR="00667426" w:rsidRPr="00BC5221" w:rsidP="00667426" w14:paraId="15F2A809"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p>
    <w:p w:rsidR="00667426" w:rsidRPr="00BC5221" w:rsidP="00667426" w14:paraId="19250D68"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BC5221">
        <w:rPr>
          <w:rFonts w:eastAsia="Courier New"/>
        </w:rPr>
        <w:t>Maureen R. Willis (0020847)</w:t>
      </w:r>
    </w:p>
    <w:p w:rsidR="00667426" w:rsidRPr="00BC5221" w:rsidP="00667426" w14:paraId="3D8001BC" w14:textId="01038C61">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BC5221">
        <w:t>Ohio Consumers</w:t>
      </w:r>
      <w:r w:rsidR="00BC5221">
        <w:t>’</w:t>
      </w:r>
      <w:r w:rsidRPr="00BC5221">
        <w:t xml:space="preserve"> Counsel</w:t>
      </w:r>
    </w:p>
    <w:p w:rsidR="00667426" w:rsidRPr="00BC5221" w:rsidP="00667426" w14:paraId="72CF508D" w14:textId="77777777">
      <w:pPr>
        <w:tabs>
          <w:tab w:val="left" w:pos="4320"/>
        </w:tabs>
        <w:ind w:left="4320"/>
      </w:pPr>
    </w:p>
    <w:p w:rsidR="00667426" w:rsidRPr="00BC5221" w:rsidP="00667426" w14:paraId="16522776" w14:textId="5C3E364E">
      <w:pPr>
        <w:tabs>
          <w:tab w:val="left" w:pos="4320"/>
        </w:tabs>
        <w:ind w:left="4320"/>
        <w:rPr>
          <w:i/>
          <w:iCs/>
          <w:u w:val="single"/>
        </w:rPr>
      </w:pPr>
      <w:r w:rsidRPr="00BC5221">
        <w:rPr>
          <w:i/>
          <w:iCs/>
          <w:u w:val="single"/>
        </w:rPr>
        <w:t xml:space="preserve">/s/ </w:t>
      </w:r>
      <w:r w:rsidRPr="00BC5221" w:rsidR="004C1ACE">
        <w:rPr>
          <w:i/>
          <w:iCs/>
          <w:u w:val="single"/>
        </w:rPr>
        <w:t>John Finnigan</w:t>
      </w:r>
    </w:p>
    <w:p w:rsidR="00667426" w:rsidRPr="00BC5221" w:rsidP="00667426" w14:paraId="68C0A59E" w14:textId="381A43C2">
      <w:pPr>
        <w:tabs>
          <w:tab w:val="left" w:pos="4320"/>
        </w:tabs>
        <w:ind w:left="4320"/>
      </w:pPr>
      <w:r w:rsidRPr="00BC5221">
        <w:t>John Finnigan (0018689)</w:t>
      </w:r>
    </w:p>
    <w:p w:rsidR="00667426" w:rsidRPr="00BC5221" w:rsidP="008846DD" w14:paraId="7B23838A" w14:textId="45F4B303">
      <w:pPr>
        <w:tabs>
          <w:tab w:val="left" w:pos="4320"/>
        </w:tabs>
        <w:ind w:left="4320"/>
      </w:pPr>
      <w:r w:rsidRPr="00BC5221">
        <w:t>Counsel of Record</w:t>
      </w:r>
    </w:p>
    <w:p w:rsidR="00667426" w:rsidRPr="00BC5221" w:rsidP="00667426" w14:paraId="18F6AF19" w14:textId="46129286">
      <w:pPr>
        <w:tabs>
          <w:tab w:val="left" w:pos="4320"/>
        </w:tabs>
      </w:pPr>
      <w:r w:rsidRPr="00BC5221">
        <w:tab/>
      </w:r>
      <w:r w:rsidRPr="00BC5221" w:rsidR="004C1ACE">
        <w:t>Thomas J. Brodbeck (0093920)</w:t>
      </w:r>
    </w:p>
    <w:p w:rsidR="008846DD" w:rsidRPr="00BC5221" w:rsidP="008846DD" w14:paraId="0C0A5253" w14:textId="5CAF9AF0">
      <w:pPr>
        <w:tabs>
          <w:tab w:val="left" w:pos="4320"/>
        </w:tabs>
        <w:ind w:firstLine="4320"/>
      </w:pPr>
      <w:r w:rsidRPr="00BC5221">
        <w:t>Assistant Consumers</w:t>
      </w:r>
      <w:r w:rsidR="00BC5221">
        <w:t>’</w:t>
      </w:r>
      <w:r w:rsidRPr="00BC5221">
        <w:t xml:space="preserve"> Counsel</w:t>
      </w:r>
    </w:p>
    <w:p w:rsidR="00667426" w:rsidRPr="00BC5221" w:rsidP="00667426" w14:paraId="2E7387E3" w14:textId="77777777">
      <w:pPr>
        <w:tabs>
          <w:tab w:val="left" w:pos="4320"/>
        </w:tabs>
        <w:ind w:left="4320"/>
      </w:pPr>
    </w:p>
    <w:p w:rsidR="00667426" w:rsidRPr="00BC5221" w:rsidP="00667426" w14:paraId="2130C8B6" w14:textId="0CE43FB5">
      <w:pPr>
        <w:keepNext/>
        <w:ind w:left="4320" w:right="-648"/>
        <w:outlineLvl w:val="0"/>
        <w:rPr>
          <w:b/>
        </w:rPr>
      </w:pPr>
      <w:r w:rsidRPr="00BC5221">
        <w:rPr>
          <w:b/>
        </w:rPr>
        <w:t>Office of the Ohio Consumers</w:t>
      </w:r>
      <w:r w:rsidR="00BC5221">
        <w:rPr>
          <w:b/>
        </w:rPr>
        <w:t>’</w:t>
      </w:r>
      <w:r w:rsidRPr="00BC5221">
        <w:rPr>
          <w:b/>
        </w:rPr>
        <w:t xml:space="preserve"> Counsel</w:t>
      </w:r>
    </w:p>
    <w:p w:rsidR="00667426" w:rsidRPr="00BC5221" w:rsidP="00667426" w14:paraId="6790BF43" w14:textId="77777777">
      <w:pPr>
        <w:keepNext/>
        <w:ind w:left="4320" w:right="-648"/>
        <w:outlineLvl w:val="0"/>
      </w:pPr>
      <w:r w:rsidRPr="00BC5221">
        <w:t>65 East State Street, Suite 700</w:t>
      </w:r>
    </w:p>
    <w:p w:rsidR="00667426" w:rsidRPr="00BC5221" w:rsidP="00667426" w14:paraId="370662AE" w14:textId="77777777">
      <w:pPr>
        <w:keepNext/>
        <w:ind w:left="4320" w:right="-648"/>
        <w:outlineLvl w:val="0"/>
      </w:pPr>
      <w:r w:rsidRPr="00BC5221">
        <w:t>Columbus, Ohio 43215</w:t>
      </w:r>
    </w:p>
    <w:p w:rsidR="004C1ACE" w:rsidRPr="00BC5221" w:rsidP="004C1ACE" w14:paraId="2C6245F6" w14:textId="5E81FA55">
      <w:pPr>
        <w:autoSpaceDE w:val="0"/>
        <w:autoSpaceDN w:val="0"/>
        <w:adjustRightInd w:val="0"/>
        <w:ind w:left="4320"/>
        <w:jc w:val="both"/>
      </w:pPr>
      <w:r w:rsidRPr="00BC5221">
        <w:t>Telephone [Finnigan]: (614) 466-9585</w:t>
      </w:r>
    </w:p>
    <w:p w:rsidR="004C1ACE" w:rsidRPr="00BC5221" w:rsidP="004C1ACE" w14:paraId="5122A7E9" w14:textId="3B6D8830">
      <w:pPr>
        <w:autoSpaceDE w:val="0"/>
        <w:autoSpaceDN w:val="0"/>
        <w:adjustRightInd w:val="0"/>
        <w:ind w:left="4320"/>
        <w:jc w:val="both"/>
      </w:pPr>
      <w:r w:rsidRPr="00BC5221">
        <w:t>Telephone [Brodbeck]: (614) 466-9565</w:t>
      </w:r>
    </w:p>
    <w:p w:rsidR="004C1ACE" w:rsidRPr="00BC5221" w:rsidP="004C1ACE" w14:paraId="399082AA" w14:textId="62F67EB2">
      <w:pPr>
        <w:ind w:left="4320"/>
        <w:jc w:val="both"/>
      </w:pPr>
      <w:hyperlink r:id="rId6" w:history="1">
        <w:r w:rsidRPr="00BC5221" w:rsidR="00957838">
          <w:rPr>
            <w:rStyle w:val="Hyperlink"/>
          </w:rPr>
          <w:t>john.finnigan@occ.ohio.gov</w:t>
        </w:r>
      </w:hyperlink>
    </w:p>
    <w:p w:rsidR="004C1ACE" w:rsidRPr="00BC5221" w:rsidP="004C1ACE" w14:paraId="77F1989C" w14:textId="5F5E5FBC">
      <w:pPr>
        <w:ind w:left="4320"/>
        <w:jc w:val="both"/>
      </w:pPr>
      <w:hyperlink r:id="rId7" w:history="1">
        <w:r w:rsidRPr="00BC5221" w:rsidR="00957838">
          <w:rPr>
            <w:rStyle w:val="Hyperlink"/>
          </w:rPr>
          <w:t>thomas.brodbeck@occ.ohio.gov</w:t>
        </w:r>
      </w:hyperlink>
    </w:p>
    <w:p w:rsidR="004C1ACE" w:rsidRPr="00BC5221" w:rsidP="004C1ACE" w14:paraId="0A78853F" w14:textId="77777777">
      <w:pPr>
        <w:ind w:left="4320" w:hanging="4320"/>
        <w:jc w:val="both"/>
      </w:pPr>
      <w:r w:rsidRPr="00BC5221">
        <w:tab/>
        <w:t>(willing to accept service by e-mail)</w:t>
      </w:r>
    </w:p>
    <w:p w:rsidR="00A044B5" w:rsidRPr="00BC5221" w14:paraId="482C58C1" w14:textId="77777777"/>
    <w:p w:rsidR="00A044B5" w:rsidRPr="00BC5221" w14:paraId="6855C046" w14:textId="77777777">
      <w:pPr>
        <w:ind w:left="4320" w:firstLine="720"/>
        <w:jc w:val="both"/>
      </w:pPr>
    </w:p>
    <w:p w:rsidR="00600468" w:rsidRPr="00BC5221" w:rsidP="00DB6639" w14:paraId="4294F051" w14:textId="3373A130">
      <w:pPr>
        <w:pStyle w:val="BodyTextIndent3"/>
        <w:widowControl w:val="0"/>
        <w:spacing w:line="480" w:lineRule="auto"/>
        <w:rPr>
          <w:b/>
          <w:szCs w:val="24"/>
        </w:rPr>
        <w:sectPr w:rsidSect="00F51A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26"/>
        </w:sectPr>
      </w:pPr>
    </w:p>
    <w:p w:rsidR="00A5637F" w:rsidRPr="00BC5221" w:rsidP="00DB6639" w14:paraId="675B72E8" w14:textId="3F7A51EB">
      <w:pPr>
        <w:jc w:val="center"/>
        <w:rPr>
          <w:b/>
        </w:rPr>
      </w:pPr>
      <w:r w:rsidRPr="00BC5221">
        <w:rPr>
          <w:b/>
        </w:rPr>
        <w:t>BEFORE</w:t>
      </w:r>
    </w:p>
    <w:p w:rsidR="00A5637F" w:rsidRPr="00BC5221" w:rsidP="00BB4C86" w14:paraId="3A542CD6" w14:textId="77777777">
      <w:pPr>
        <w:pStyle w:val="HTMLPreformatted"/>
        <w:jc w:val="center"/>
        <w:rPr>
          <w:rFonts w:ascii="Times New Roman" w:hAnsi="Times New Roman" w:cs="Times New Roman"/>
          <w:b/>
          <w:sz w:val="24"/>
          <w:szCs w:val="24"/>
        </w:rPr>
      </w:pPr>
      <w:r w:rsidRPr="00BC5221">
        <w:rPr>
          <w:rFonts w:ascii="Times New Roman" w:hAnsi="Times New Roman" w:cs="Times New Roman"/>
          <w:b/>
          <w:bCs/>
          <w:sz w:val="24"/>
          <w:szCs w:val="24"/>
        </w:rPr>
        <w:t>THE PUBLIC UTILITIES COMMISSION OF OHIO</w:t>
      </w:r>
    </w:p>
    <w:p w:rsidR="00A5637F" w:rsidRPr="00BC5221" w:rsidP="00DB6639" w14:paraId="4A48DF90" w14:textId="77777777">
      <w:pPr>
        <w:pStyle w:val="HTMLPreformatted"/>
        <w:jc w:val="center"/>
        <w:rPr>
          <w:rFonts w:ascii="Times New Roman" w:hAnsi="Times New Roman" w:cs="Times New Roman"/>
          <w:b/>
          <w:sz w:val="24"/>
          <w:szCs w:val="24"/>
        </w:rPr>
      </w:pPr>
    </w:p>
    <w:tbl>
      <w:tblPr>
        <w:tblW w:w="8640" w:type="dxa"/>
        <w:tblInd w:w="0" w:type="dxa"/>
        <w:tblCellMar>
          <w:top w:w="0" w:type="dxa"/>
          <w:left w:w="108" w:type="dxa"/>
          <w:bottom w:w="0" w:type="dxa"/>
          <w:right w:w="108" w:type="dxa"/>
        </w:tblCellMar>
        <w:tblLook w:val="01E0"/>
      </w:tblPr>
      <w:tblGrid>
        <w:gridCol w:w="4230"/>
        <w:gridCol w:w="630"/>
        <w:gridCol w:w="3780"/>
      </w:tblGrid>
      <w:tr w14:paraId="79548DC1" w14:textId="77777777" w:rsidTr="00DB6639">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273CEA" w:rsidRPr="00BC5221" w:rsidP="002B028A" w14:paraId="63D60A21" w14:textId="65E5D7FB">
            <w:pPr>
              <w:autoSpaceDE w:val="0"/>
              <w:autoSpaceDN w:val="0"/>
              <w:adjustRightInd w:val="0"/>
              <w:rPr>
                <w:sz w:val="24"/>
                <w:szCs w:val="24"/>
                <w:lang w:val="en-US" w:eastAsia="en-US" w:bidi="ar-SA"/>
              </w:rPr>
            </w:pPr>
            <w:r w:rsidRPr="00BC5221">
              <w:rPr>
                <w:sz w:val="24"/>
                <w:szCs w:val="24"/>
                <w:lang w:val="en-US" w:eastAsia="en-US" w:bidi="ar-SA"/>
              </w:rPr>
              <w:t xml:space="preserve">In the Matter of the </w:t>
            </w:r>
            <w:r w:rsidRPr="00BC5221" w:rsidR="004C1ACE">
              <w:rPr>
                <w:sz w:val="24"/>
                <w:szCs w:val="24"/>
                <w:lang w:val="en-US" w:eastAsia="en-US" w:bidi="ar-SA"/>
              </w:rPr>
              <w:t xml:space="preserve">Application of Duke Energy, Inc. for Authority to Adjust </w:t>
            </w:r>
            <w:r w:rsidRPr="00BC5221" w:rsidR="002B028A">
              <w:rPr>
                <w:sz w:val="24"/>
                <w:szCs w:val="24"/>
                <w:lang w:val="en-US" w:eastAsia="en-US" w:bidi="ar-SA"/>
              </w:rPr>
              <w:t>I</w:t>
            </w:r>
            <w:r w:rsidRPr="00BC5221" w:rsidR="004C1ACE">
              <w:rPr>
                <w:sz w:val="24"/>
                <w:szCs w:val="24"/>
                <w:lang w:val="en-US" w:eastAsia="en-US" w:bidi="ar-SA"/>
              </w:rPr>
              <w:t>ts Power Future Initiatives Rider.</w:t>
            </w:r>
            <w:r w:rsidRPr="00BC5221" w:rsidR="00A044B5">
              <w:rPr>
                <w:sz w:val="24"/>
                <w:szCs w:val="24"/>
                <w:lang w:val="en-US" w:eastAsia="en-US" w:bidi="ar-SA"/>
              </w:rPr>
              <w:t xml:space="preserve"> </w:t>
            </w:r>
          </w:p>
        </w:tc>
        <w:tc>
          <w:tcPr>
            <w:tcW w:w="630" w:type="dxa"/>
            <w:shd w:val="clear" w:color="auto" w:fill="auto"/>
          </w:tcPr>
          <w:p w:rsidR="00273CEA" w:rsidRPr="00BC5221" w:rsidP="00827211" w14:paraId="254F82E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C5221">
              <w:rPr>
                <w:rFonts w:ascii="Times New Roman" w:eastAsia="Courier New" w:hAnsi="Times New Roman" w:cs="Times New Roman"/>
                <w:sz w:val="24"/>
                <w:szCs w:val="24"/>
                <w:lang w:val="en-US" w:eastAsia="en-US" w:bidi="ar-SA"/>
              </w:rPr>
              <w:t>)</w:t>
            </w:r>
          </w:p>
          <w:p w:rsidR="00273CEA" w:rsidRPr="00BC5221" w:rsidP="00827211" w14:paraId="765CEB5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C5221">
              <w:rPr>
                <w:rFonts w:ascii="Times New Roman" w:eastAsia="Courier New" w:hAnsi="Times New Roman" w:cs="Times New Roman"/>
                <w:sz w:val="24"/>
                <w:szCs w:val="24"/>
                <w:lang w:val="en-US" w:eastAsia="en-US" w:bidi="ar-SA"/>
              </w:rPr>
              <w:t>)</w:t>
            </w:r>
          </w:p>
          <w:p w:rsidR="00273CEA" w:rsidRPr="00BC5221" w:rsidP="00827211" w14:paraId="65BD879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C5221">
              <w:rPr>
                <w:rFonts w:ascii="Times New Roman" w:eastAsia="Courier New" w:hAnsi="Times New Roman" w:cs="Times New Roman"/>
                <w:sz w:val="24"/>
                <w:szCs w:val="24"/>
                <w:lang w:val="en-US" w:eastAsia="en-US" w:bidi="ar-SA"/>
              </w:rPr>
              <w:t>)</w:t>
            </w:r>
          </w:p>
        </w:tc>
        <w:tc>
          <w:tcPr>
            <w:tcW w:w="3780" w:type="dxa"/>
            <w:shd w:val="clear" w:color="auto" w:fill="auto"/>
          </w:tcPr>
          <w:p w:rsidR="00273CEA" w:rsidRPr="00BC5221" w:rsidP="00827211" w14:paraId="330809D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73CEA" w:rsidRPr="00BC5221" w:rsidP="00827211" w14:paraId="566F6B34" w14:textId="00FC19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C5221">
              <w:rPr>
                <w:rFonts w:ascii="Times New Roman" w:eastAsia="Courier New" w:hAnsi="Times New Roman" w:cs="Times New Roman"/>
                <w:sz w:val="24"/>
                <w:szCs w:val="24"/>
                <w:lang w:val="en-US" w:eastAsia="en-US" w:bidi="ar-SA"/>
              </w:rPr>
              <w:t xml:space="preserve">Case No. </w:t>
            </w:r>
            <w:r w:rsidRPr="00BC5221" w:rsidR="004C1ACE">
              <w:rPr>
                <w:rFonts w:ascii="Times New Roman" w:eastAsia="Courier New" w:hAnsi="Times New Roman" w:cs="Times New Roman"/>
                <w:sz w:val="24"/>
                <w:szCs w:val="24"/>
                <w:lang w:val="en-US" w:eastAsia="en-US" w:bidi="ar-SA"/>
              </w:rPr>
              <w:t>24-39-EL-RDR</w:t>
            </w:r>
          </w:p>
          <w:p w:rsidR="00273CEA" w:rsidRPr="00BC5221" w:rsidP="00827211" w14:paraId="0B7096C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A5637F" w:rsidRPr="00BC5221" w:rsidP="00DB6639" w14:paraId="295E824B" w14:textId="77777777">
      <w:pPr>
        <w:pStyle w:val="HTMLPreformatted"/>
        <w:rPr>
          <w:rFonts w:ascii="Times New Roman" w:hAnsi="Times New Roman" w:cs="Times New Roman"/>
          <w:b/>
          <w:sz w:val="24"/>
          <w:szCs w:val="24"/>
        </w:rPr>
      </w:pPr>
    </w:p>
    <w:p w:rsidR="00A5637F" w:rsidRPr="00BC5221" w:rsidP="00DB6639" w14:paraId="29B94DF1" w14:textId="77777777">
      <w:pPr>
        <w:pStyle w:val="Footer"/>
        <w:pBdr>
          <w:top w:val="single" w:sz="12" w:space="1" w:color="auto"/>
        </w:pBdr>
        <w:tabs>
          <w:tab w:val="left" w:pos="4320"/>
          <w:tab w:val="clear" w:pos="8640"/>
        </w:tabs>
        <w:spacing w:line="240" w:lineRule="auto"/>
      </w:pPr>
    </w:p>
    <w:p w:rsidR="00A5637F" w:rsidRPr="00BC5221" w:rsidP="00DB6639" w14:paraId="44EFD019" w14:textId="1598D0B6">
      <w:pPr>
        <w:pStyle w:val="Footer"/>
        <w:tabs>
          <w:tab w:val="left" w:pos="4320"/>
          <w:tab w:val="clear" w:pos="8640"/>
        </w:tabs>
        <w:spacing w:line="240" w:lineRule="auto"/>
        <w:jc w:val="center"/>
      </w:pPr>
      <w:r w:rsidRPr="00BC5221">
        <w:rPr>
          <w:b/>
        </w:rPr>
        <w:t>MEMORANDUM IN SUPPORT</w:t>
      </w:r>
    </w:p>
    <w:p w:rsidR="00A5637F" w:rsidRPr="00BC5221" w:rsidP="00DB6639" w14:paraId="3F0F15BD" w14:textId="77777777">
      <w:pPr>
        <w:pStyle w:val="Footer"/>
        <w:pBdr>
          <w:bottom w:val="single" w:sz="12" w:space="1" w:color="auto"/>
        </w:pBdr>
        <w:tabs>
          <w:tab w:val="left" w:pos="4320"/>
          <w:tab w:val="clear" w:pos="8640"/>
        </w:tabs>
        <w:spacing w:line="240" w:lineRule="auto"/>
      </w:pPr>
    </w:p>
    <w:p w:rsidR="00BE06F7" w:rsidRPr="00BC5221" w:rsidP="008C24FE" w14:paraId="41715C98" w14:textId="77777777">
      <w:pPr>
        <w:pStyle w:val="BodyTextIndent3"/>
        <w:widowControl w:val="0"/>
        <w:spacing w:line="240" w:lineRule="auto"/>
        <w:ind w:right="-24"/>
        <w:rPr>
          <w:szCs w:val="24"/>
        </w:rPr>
      </w:pPr>
    </w:p>
    <w:p w:rsidR="00C448E6" w:rsidRPr="00BC5221" w:rsidP="00DB6639" w14:paraId="1ADAA766" w14:textId="652E1EC5">
      <w:pPr>
        <w:pStyle w:val="Footer"/>
        <w:tabs>
          <w:tab w:val="left" w:pos="4320"/>
          <w:tab w:val="clear" w:pos="8640"/>
        </w:tabs>
      </w:pPr>
      <w:r w:rsidRPr="00BC5221">
        <w:tab/>
      </w:r>
      <w:r w:rsidRPr="00BC5221" w:rsidR="00C826DE">
        <w:t>Duke seeks here to increase charges t</w:t>
      </w:r>
      <w:r w:rsidRPr="00BC5221" w:rsidR="009F73C2">
        <w:t xml:space="preserve">o its residential customers </w:t>
      </w:r>
      <w:r w:rsidRPr="00BC5221" w:rsidR="00C826DE">
        <w:t>under its Rider</w:t>
      </w:r>
      <w:r w:rsidRPr="00BC5221" w:rsidR="009F73C2">
        <w:t xml:space="preserve"> in order</w:t>
      </w:r>
      <w:r w:rsidRPr="00BC5221" w:rsidR="00C826DE">
        <w:t xml:space="preserve"> to recoup costs associated with operating, maintaining, and upgrading Duke</w:t>
      </w:r>
      <w:r w:rsidR="00BC5221">
        <w:t>’</w:t>
      </w:r>
      <w:r w:rsidRPr="00BC5221" w:rsidR="00C826DE">
        <w:t>s electric infrastructure</w:t>
      </w:r>
      <w:r w:rsidRPr="00BC5221" w:rsidR="00F93508">
        <w:t>, otherwise known as Duke</w:t>
      </w:r>
      <w:r w:rsidR="00BC5221">
        <w:t>’</w:t>
      </w:r>
      <w:r w:rsidRPr="00BC5221" w:rsidR="00F93508">
        <w:t>s Power Futures Initiative</w:t>
      </w:r>
      <w:r w:rsidRPr="00BC5221" w:rsidR="00C826DE">
        <w:t>.</w:t>
      </w:r>
      <w:r w:rsidRPr="00BC5221" w:rsidR="00DB6E66">
        <w:t xml:space="preserve"> These charges are over and above base distribution rates and other charges that </w:t>
      </w:r>
      <w:r w:rsidRPr="00BC5221" w:rsidR="009F73C2">
        <w:t>Duke</w:t>
      </w:r>
      <w:r w:rsidR="00BC5221">
        <w:t>’</w:t>
      </w:r>
      <w:r w:rsidRPr="00BC5221" w:rsidR="009F73C2">
        <w:t xml:space="preserve">s residential customers </w:t>
      </w:r>
      <w:r w:rsidRPr="00BC5221" w:rsidR="00DB6E66">
        <w:t>currently pay</w:t>
      </w:r>
      <w:r w:rsidRPr="00BC5221" w:rsidR="00011BDC">
        <w:t xml:space="preserve">, with Duke Witness Jay P. Brown stating in testimony that the average residential consumer will pay a $1.40 fixed </w:t>
      </w:r>
      <w:r w:rsidRPr="00BC5221" w:rsidR="00FE22D1">
        <w:t>monthly charge</w:t>
      </w:r>
      <w:r w:rsidRPr="00BC5221" w:rsidR="00D05F82">
        <w:t xml:space="preserve"> under the proposed Rider</w:t>
      </w:r>
      <w:r w:rsidRPr="00BC5221" w:rsidR="00011BDC">
        <w:t>, a $1.00 increase over the current fixed charge</w:t>
      </w:r>
      <w:r w:rsidRPr="00BC5221" w:rsidR="00D05F82">
        <w:t xml:space="preserve"> </w:t>
      </w:r>
      <w:r w:rsidRPr="00BC5221" w:rsidR="00586E3F">
        <w:t xml:space="preserve">under the rider </w:t>
      </w:r>
      <w:r w:rsidRPr="00BC5221" w:rsidR="00011BDC">
        <w:t>of $0.40</w:t>
      </w:r>
      <w:r w:rsidRPr="00BC5221" w:rsidR="009F73C2">
        <w:t>.</w:t>
      </w:r>
      <w:r>
        <w:rPr>
          <w:rStyle w:val="FootnoteReference"/>
        </w:rPr>
        <w:footnoteReference w:id="6"/>
      </w:r>
      <w:r w:rsidRPr="00BC5221" w:rsidR="00DB6E66">
        <w:t xml:space="preserve"> </w:t>
      </w:r>
      <w:r w:rsidRPr="00BC5221" w:rsidR="0031008C">
        <w:t xml:space="preserve">Duke alleges in its application and in the testimony of Duke Witness Brown that these cost increases are </w:t>
      </w:r>
      <w:r w:rsidR="00BC5221">
        <w:t>“</w:t>
      </w:r>
      <w:r w:rsidRPr="00BC5221" w:rsidR="0031008C">
        <w:t>incremental.</w:t>
      </w:r>
      <w:r w:rsidR="00BC5221">
        <w:t>”</w:t>
      </w:r>
      <w:r>
        <w:rPr>
          <w:rStyle w:val="FootnoteReference"/>
        </w:rPr>
        <w:footnoteReference w:id="7"/>
      </w:r>
      <w:r w:rsidRPr="00BC5221" w:rsidR="0031008C">
        <w:t xml:space="preserve"> However, the key concern for residential consumers is not how </w:t>
      </w:r>
      <w:r w:rsidR="00BC5221">
        <w:t>“</w:t>
      </w:r>
      <w:r w:rsidRPr="00BC5221" w:rsidR="0031008C">
        <w:t>incremental</w:t>
      </w:r>
      <w:r w:rsidR="00BC5221">
        <w:t>”</w:t>
      </w:r>
      <w:r w:rsidRPr="00BC5221" w:rsidR="0031008C">
        <w:t xml:space="preserve"> an increase appears to be. Rather, the key concern for residential consumers is that there is an increase in billing charges</w:t>
      </w:r>
      <w:r w:rsidRPr="00BC5221" w:rsidR="0031008C">
        <w:rPr>
          <w:i/>
          <w:iCs/>
        </w:rPr>
        <w:t xml:space="preserve"> -- at all</w:t>
      </w:r>
      <w:r w:rsidRPr="00BC5221" w:rsidR="0031008C">
        <w:t>.</w:t>
      </w:r>
    </w:p>
    <w:p w:rsidR="00C448E6" w:rsidRPr="00BC5221" w:rsidP="00DB6639" w14:paraId="62DCF5FE" w14:textId="25E79692">
      <w:pPr>
        <w:pStyle w:val="Footer"/>
        <w:tabs>
          <w:tab w:val="left" w:pos="4320"/>
          <w:tab w:val="clear" w:pos="8640"/>
        </w:tabs>
      </w:pPr>
      <w:r w:rsidRPr="00BC5221">
        <w:tab/>
      </w:r>
      <w:r w:rsidRPr="00BC5221" w:rsidR="00C826DE">
        <w:t>Duke</w:t>
      </w:r>
      <w:r w:rsidR="00BC5221">
        <w:t>’</w:t>
      </w:r>
      <w:r w:rsidRPr="00BC5221" w:rsidR="00C826DE">
        <w:t>s application identifies the stipulated provisions</w:t>
      </w:r>
      <w:r w:rsidRPr="00BC5221" w:rsidR="00A7164E">
        <w:t xml:space="preserve"> from </w:t>
      </w:r>
      <w:r w:rsidRPr="00BC5221" w:rsidR="00D05F82">
        <w:t>the Rider under in case</w:t>
      </w:r>
      <w:r w:rsidRPr="00BC5221" w:rsidR="00A7164E">
        <w:t xml:space="preserve"> 19-1750-El-UNC</w:t>
      </w:r>
      <w:r w:rsidR="00BC5221">
        <w:t xml:space="preserve"> </w:t>
      </w:r>
      <w:r w:rsidRPr="00BC5221" w:rsidR="00A7164E">
        <w:t xml:space="preserve">that are </w:t>
      </w:r>
      <w:r w:rsidRPr="00BC5221" w:rsidR="00C826DE">
        <w:t>related to recovering deferred costs</w:t>
      </w:r>
      <w:r w:rsidRPr="00BC5221" w:rsidR="0065100A">
        <w:t xml:space="preserve"> not recovered under that prior proceeding</w:t>
      </w:r>
      <w:r w:rsidRPr="00BC5221" w:rsidR="00C826DE">
        <w:t>.</w:t>
      </w:r>
      <w:r>
        <w:rPr>
          <w:rStyle w:val="FootnoteReference"/>
        </w:rPr>
        <w:footnoteReference w:id="8"/>
      </w:r>
      <w:r w:rsidRPr="00BC5221" w:rsidR="00C826DE">
        <w:t xml:space="preserve"> Notably, the identified provisions state, </w:t>
      </w:r>
      <w:r w:rsidR="00BC5221">
        <w:t>“</w:t>
      </w:r>
      <w:r w:rsidRPr="00BC5221" w:rsidR="00C826DE">
        <w:t>. . . Signatory parties are not agreeing to the collection of those deferrals from consumers. Deferred amounts cannot be collected from consumers unless such collection is approved by the Commission . . .[.]</w:t>
      </w:r>
      <w:r>
        <w:rPr>
          <w:rStyle w:val="FootnoteReference"/>
        </w:rPr>
        <w:footnoteReference w:id="9"/>
      </w:r>
    </w:p>
    <w:p w:rsidR="00C4744B" w:rsidRPr="00BC5221" w:rsidP="00DB6639" w14:paraId="7D7B5BD9" w14:textId="533B1844">
      <w:pPr>
        <w:pStyle w:val="Footer"/>
        <w:tabs>
          <w:tab w:val="left" w:pos="4320"/>
          <w:tab w:val="clear" w:pos="8640"/>
        </w:tabs>
      </w:pPr>
      <w:r w:rsidRPr="00BC5221">
        <w:tab/>
      </w:r>
      <w:r w:rsidRPr="00BC5221" w:rsidR="00A044B5">
        <w:t>OCC has authority under law to represent the in</w:t>
      </w:r>
      <w:r w:rsidRPr="00BC5221" w:rsidR="00A5514C">
        <w:t>terests of all the</w:t>
      </w:r>
      <w:r w:rsidRPr="00BC5221" w:rsidR="00A044B5">
        <w:t xml:space="preserve"> </w:t>
      </w:r>
      <w:r w:rsidRPr="00BC5221" w:rsidR="009406D1">
        <w:t xml:space="preserve">640,000 </w:t>
      </w:r>
      <w:r w:rsidRPr="00BC5221" w:rsidR="00A044B5">
        <w:t xml:space="preserve">residential utility </w:t>
      </w:r>
      <w:r w:rsidRPr="00BC5221" w:rsidR="003E7261">
        <w:t>consumers</w:t>
      </w:r>
      <w:r w:rsidRPr="00BC5221" w:rsidR="00A044B5">
        <w:t xml:space="preserve"> of </w:t>
      </w:r>
      <w:r w:rsidRPr="00BC5221" w:rsidR="00DB6E66">
        <w:t xml:space="preserve">Duke, </w:t>
      </w:r>
      <w:r w:rsidRPr="00BC5221" w:rsidR="0055107B">
        <w:t>under</w:t>
      </w:r>
      <w:r w:rsidRPr="00BC5221" w:rsidR="00A044B5">
        <w:t xml:space="preserve"> R.C. Chapter 4911.</w:t>
      </w:r>
      <w:r w:rsidRPr="00BC5221" w:rsidR="00675EB5">
        <w:t xml:space="preserve"> </w:t>
      </w:r>
    </w:p>
    <w:p w:rsidR="00165484" w:rsidRPr="00BC5221" w:rsidP="008B1879" w14:paraId="07B3685A" w14:textId="4414EBC2">
      <w:pPr>
        <w:pStyle w:val="Footer"/>
        <w:tabs>
          <w:tab w:val="left" w:pos="4320"/>
          <w:tab w:val="clear" w:pos="8640"/>
        </w:tabs>
      </w:pPr>
      <w:r w:rsidRPr="00BC5221">
        <w:tab/>
      </w:r>
      <w:r w:rsidRPr="00BC5221" w:rsidR="006755BB">
        <w:t>R.C. 4903.221 provides</w:t>
      </w:r>
      <w:r w:rsidRPr="00BC5221" w:rsidR="00F92877">
        <w:t xml:space="preserve"> the standard for permissive intervention – where the PUCO may exercise discretion in ruling upon a party</w:t>
      </w:r>
      <w:r w:rsidR="00BC5221">
        <w:t>’</w:t>
      </w:r>
      <w:r w:rsidRPr="00BC5221" w:rsidR="00F92877">
        <w:t>s motion to intervene.</w:t>
      </w:r>
      <w:r w:rsidRPr="00BC5221" w:rsidR="00A46DBC">
        <w:t xml:space="preserve"> </w:t>
      </w:r>
      <w:r w:rsidRPr="00BC5221" w:rsidR="00F92877">
        <w:t>That law provides</w:t>
      </w:r>
      <w:r w:rsidRPr="00BC5221" w:rsidR="006755BB">
        <w:t xml:space="preserve">, in part, that any person </w:t>
      </w:r>
      <w:r w:rsidR="00BC5221">
        <w:t>“</w:t>
      </w:r>
      <w:r w:rsidRPr="00BC5221" w:rsidR="006755BB">
        <w:t>who may be adversely affected</w:t>
      </w:r>
      <w:r w:rsidR="00BC5221">
        <w:t>”</w:t>
      </w:r>
      <w:r w:rsidRPr="00BC5221" w:rsidR="006755BB">
        <w:t xml:space="preserve"> by a PUCO proceeding is entitled to seek intervention in that proceeding.</w:t>
      </w:r>
    </w:p>
    <w:p w:rsidR="004D14D4" w:rsidRPr="00BC5221" w:rsidP="00DB6639" w14:paraId="7B31A4D2" w14:textId="218AA6E8">
      <w:pPr>
        <w:pStyle w:val="Footer"/>
        <w:tabs>
          <w:tab w:val="left" w:pos="4320"/>
          <w:tab w:val="clear" w:pos="8640"/>
        </w:tabs>
      </w:pPr>
      <w:r w:rsidRPr="00BC5221">
        <w:tab/>
      </w:r>
      <w:r w:rsidRPr="00BC5221" w:rsidR="006755BB">
        <w:t xml:space="preserve">The interests of </w:t>
      </w:r>
      <w:r w:rsidRPr="00BC5221" w:rsidR="00A044B5">
        <w:t>Ohio</w:t>
      </w:r>
      <w:r w:rsidR="00BC5221">
        <w:t>’</w:t>
      </w:r>
      <w:r w:rsidRPr="00BC5221" w:rsidR="00A044B5">
        <w:t>s</w:t>
      </w:r>
      <w:r w:rsidRPr="00BC5221" w:rsidR="006755BB">
        <w:t xml:space="preserve"> residential </w:t>
      </w:r>
      <w:r w:rsidRPr="00BC5221" w:rsidR="00DA6AE4">
        <w:t>consumer</w:t>
      </w:r>
      <w:r w:rsidRPr="00BC5221" w:rsidR="006755BB">
        <w:t xml:space="preserve">s may be </w:t>
      </w:r>
      <w:r w:rsidR="00BC5221">
        <w:t>“</w:t>
      </w:r>
      <w:r w:rsidRPr="00BC5221" w:rsidR="006755BB">
        <w:t>adversely affected</w:t>
      </w:r>
      <w:r w:rsidR="00BC5221">
        <w:t>”</w:t>
      </w:r>
      <w:r w:rsidRPr="00BC5221" w:rsidR="006755BB">
        <w:t xml:space="preserve"> by this case</w:t>
      </w:r>
      <w:r w:rsidRPr="00BC5221" w:rsidR="00A044B5">
        <w:t>,</w:t>
      </w:r>
      <w:r w:rsidRPr="00BC5221" w:rsidR="000330D3">
        <w:t xml:space="preserve"> especially </w:t>
      </w:r>
      <w:r w:rsidRPr="00BC5221" w:rsidR="006755BB">
        <w:t xml:space="preserve">if </w:t>
      </w:r>
      <w:r w:rsidRPr="00BC5221" w:rsidR="00A044B5">
        <w:t xml:space="preserve">the </w:t>
      </w:r>
      <w:r w:rsidRPr="00BC5221" w:rsidR="003E7261">
        <w:t>consumers</w:t>
      </w:r>
      <w:r w:rsidRPr="00BC5221" w:rsidR="00A044B5">
        <w:t xml:space="preserve"> </w:t>
      </w:r>
      <w:r w:rsidRPr="00BC5221" w:rsidR="006755BB">
        <w:t xml:space="preserve">were unrepresented in a proceeding </w:t>
      </w:r>
      <w:r w:rsidRPr="00BC5221" w:rsidR="003C2E55">
        <w:t>where Duke seeks to increase the Rider charges above and beyond what is already paid by those consumers.</w:t>
      </w:r>
      <w:r w:rsidRPr="00BC5221" w:rsidR="00A46DBC">
        <w:t xml:space="preserve"> </w:t>
      </w:r>
      <w:r w:rsidRPr="00BC5221" w:rsidR="005B0D8C">
        <w:t>To that point:</w:t>
      </w:r>
      <w:r w:rsidRPr="00BC5221" w:rsidR="00FE0B88">
        <w:t xml:space="preserve"> Duke is seeking </w:t>
      </w:r>
      <w:r w:rsidRPr="00BC5221" w:rsidR="005B0D8C">
        <w:t>a return increase of 8.24% pre-tax</w:t>
      </w:r>
      <w:r w:rsidRPr="00BC5221" w:rsidR="00776BC1">
        <w:t xml:space="preserve"> </w:t>
      </w:r>
      <w:r w:rsidRPr="00BC5221" w:rsidR="00FE0B88">
        <w:t>through additional charges to residential consumers</w:t>
      </w:r>
      <w:r w:rsidRPr="00BC5221" w:rsidR="005B0D8C">
        <w:t xml:space="preserve"> in this case</w:t>
      </w:r>
      <w:r w:rsidRPr="00BC5221" w:rsidR="00FE0B88">
        <w:t>.</w:t>
      </w:r>
      <w:r>
        <w:rPr>
          <w:rStyle w:val="FootnoteReference"/>
        </w:rPr>
        <w:footnoteReference w:id="10"/>
      </w:r>
      <w:r w:rsidRPr="00BC5221" w:rsidR="00FE0B88">
        <w:t xml:space="preserve"> </w:t>
      </w:r>
      <w:r w:rsidRPr="00BC5221" w:rsidR="00776BC1">
        <w:t>The amounts sought for recovery include $100,000 in capital costs related to Phase IV of Duke</w:t>
      </w:r>
      <w:r w:rsidR="00BC5221">
        <w:t>’</w:t>
      </w:r>
      <w:r w:rsidRPr="00BC5221" w:rsidR="00776BC1">
        <w:t>s CEUD program, $4.7 million of O&amp;M expenses related to the AMI program,</w:t>
      </w:r>
      <w:r w:rsidRPr="00BC5221" w:rsidR="00675EB5">
        <w:t xml:space="preserve"> </w:t>
      </w:r>
      <w:r w:rsidRPr="00BC5221" w:rsidR="00776BC1">
        <w:t>$37.3 million in capital costs and $29.1 million in O&amp;M costs toward implementing Duke</w:t>
      </w:r>
      <w:r w:rsidR="00BC5221">
        <w:t>’</w:t>
      </w:r>
      <w:r w:rsidRPr="00BC5221" w:rsidR="00776BC1">
        <w:t>s new CIS program</w:t>
      </w:r>
      <w:r w:rsidRPr="00BC5221" w:rsidR="00981309">
        <w:t>.</w:t>
      </w:r>
      <w:r>
        <w:rPr>
          <w:rStyle w:val="FootnoteReference"/>
        </w:rPr>
        <w:footnoteReference w:id="11"/>
      </w:r>
      <w:r w:rsidRPr="00BC5221" w:rsidR="00776BC1">
        <w:t xml:space="preserve"> </w:t>
      </w:r>
      <w:r w:rsidRPr="00BC5221" w:rsidR="00981309">
        <w:t xml:space="preserve">Ultimately, Duke Witness Brown stated, </w:t>
      </w:r>
      <w:r w:rsidR="00BC5221">
        <w:t>“</w:t>
      </w:r>
      <w:r w:rsidRPr="00BC5221" w:rsidR="00981309">
        <w:t xml:space="preserve">. . . [A] residential consumer will pay a monthly fixed charge of $1.40 per month and their bill would increase $1.00 per month </w:t>
      </w:r>
      <w:r w:rsidRPr="00BC5221" w:rsidR="00981309">
        <w:rPr>
          <w:i/>
          <w:iCs/>
        </w:rPr>
        <w:t>as compared to the current rate</w:t>
      </w:r>
      <w:r w:rsidR="00BC5221">
        <w:t>”</w:t>
      </w:r>
      <w:r w:rsidRPr="00BC5221" w:rsidR="00981309">
        <w:t xml:space="preserve"> (emphasis added).</w:t>
      </w:r>
      <w:r>
        <w:rPr>
          <w:rStyle w:val="FootnoteReference"/>
        </w:rPr>
        <w:footnoteReference w:id="12"/>
      </w:r>
      <w:r w:rsidRPr="00BC5221" w:rsidR="00981309">
        <w:t xml:space="preserve"> </w:t>
      </w:r>
      <w:r w:rsidRPr="00BC5221" w:rsidR="004F7170">
        <w:t>Witness Brown further indicated that Duke will continue to update the Rider until the costs are recovered or incorporated into base rate increases.</w:t>
      </w:r>
      <w:r>
        <w:rPr>
          <w:rStyle w:val="FootnoteReference"/>
        </w:rPr>
        <w:footnoteReference w:id="13"/>
      </w:r>
      <w:r w:rsidRPr="00BC5221" w:rsidR="004F7170">
        <w:t xml:space="preserve"> Effectively, Duke admits to being unwilling to stop increasing rates on residential consumers, instead explaining it away as</w:t>
      </w:r>
      <w:r w:rsidRPr="00BC5221" w:rsidR="009F73C2">
        <w:t xml:space="preserve"> being</w:t>
      </w:r>
      <w:r w:rsidRPr="00BC5221" w:rsidR="004F7170">
        <w:t xml:space="preserve"> </w:t>
      </w:r>
      <w:r w:rsidR="00BC5221">
        <w:t>“</w:t>
      </w:r>
      <w:r w:rsidRPr="00BC5221" w:rsidR="004F7170">
        <w:t>incremental</w:t>
      </w:r>
      <w:r w:rsidRPr="00BC5221" w:rsidR="004E21A1">
        <w:t>,</w:t>
      </w:r>
      <w:r w:rsidR="00BC5221">
        <w:t>”</w:t>
      </w:r>
      <w:r w:rsidRPr="00BC5221" w:rsidR="004E21A1">
        <w:t xml:space="preserve"> while at the same time stating that it will recoup these costs </w:t>
      </w:r>
      <w:r w:rsidRPr="00BC5221" w:rsidR="00CC1E21">
        <w:t xml:space="preserve">from its residential consumers one way or the other. </w:t>
      </w:r>
      <w:r w:rsidRPr="00BC5221" w:rsidR="006755BB">
        <w:t>Thus, this element of the</w:t>
      </w:r>
      <w:r w:rsidRPr="00BC5221">
        <w:t xml:space="preserve"> permissive</w:t>
      </w:r>
      <w:r w:rsidRPr="00BC5221" w:rsidR="006755BB">
        <w:t xml:space="preserve"> intervention standard in R.C. 4903.221 is satisfied. </w:t>
      </w:r>
    </w:p>
    <w:p w:rsidR="004D14D4" w:rsidRPr="00BC5221" w:rsidP="004D14D4" w14:paraId="3A8D0659" w14:textId="48F8C391">
      <w:pPr>
        <w:spacing w:line="480" w:lineRule="auto"/>
        <w:ind w:firstLine="720"/>
      </w:pPr>
      <w:r w:rsidRPr="00BC5221">
        <w:t xml:space="preserve">R.C. 4903.221(B) requires the PUCO to consider the following criteria in ruling on </w:t>
      </w:r>
      <w:r w:rsidRPr="00BC5221" w:rsidR="00F92877">
        <w:t xml:space="preserve">permissive </w:t>
      </w:r>
      <w:r w:rsidRPr="00BC5221">
        <w:t>interven</w:t>
      </w:r>
      <w:r w:rsidRPr="00BC5221" w:rsidR="00F92877">
        <w:t>tion</w:t>
      </w:r>
      <w:r w:rsidRPr="00BC5221">
        <w:t>:</w:t>
      </w:r>
    </w:p>
    <w:p w:rsidR="004D14D4" w:rsidRPr="00BC5221" w:rsidP="00DB6639" w14:paraId="4F395A20" w14:textId="17C3A3E1">
      <w:pPr>
        <w:ind w:left="1440" w:hanging="720"/>
      </w:pPr>
      <w:r w:rsidRPr="00BC5221">
        <w:t>(1)</w:t>
      </w:r>
      <w:r w:rsidRPr="00BC5221">
        <w:tab/>
        <w:t>The nature and extent of the prospective intervenor</w:t>
      </w:r>
      <w:r w:rsidR="00BC5221">
        <w:t>’</w:t>
      </w:r>
      <w:r w:rsidRPr="00BC5221">
        <w:t>s interest;</w:t>
      </w:r>
    </w:p>
    <w:p w:rsidR="004D14D4" w:rsidRPr="00BC5221" w:rsidP="00DB6639" w14:paraId="664356A3" w14:textId="77777777">
      <w:pPr>
        <w:spacing w:before="240"/>
        <w:ind w:left="1440" w:hanging="720"/>
      </w:pPr>
      <w:r w:rsidRPr="00BC5221">
        <w:t>(2)</w:t>
      </w:r>
      <w:r w:rsidRPr="00BC5221">
        <w:tab/>
        <w:t>The legal position advanced by the prospective intervenor and its probable relation to the merits of the case;</w:t>
      </w:r>
    </w:p>
    <w:p w:rsidR="00F620D7" w:rsidRPr="00BC5221" w:rsidP="00DB6639" w14:paraId="2A4407A3" w14:textId="08EF71A6">
      <w:pPr>
        <w:spacing w:before="240"/>
        <w:ind w:left="1440" w:hanging="720"/>
      </w:pPr>
      <w:r w:rsidRPr="00BC5221">
        <w:t>(3)</w:t>
      </w:r>
      <w:r w:rsidRPr="00BC5221">
        <w:tab/>
        <w:t>Whether the intervention by the prospective intervenor will unduly prolong or delay the proceeding; and</w:t>
      </w:r>
    </w:p>
    <w:p w:rsidR="004D14D4" w:rsidRPr="00BC5221" w:rsidP="00302790" w14:paraId="30098783" w14:textId="77777777">
      <w:pPr>
        <w:pStyle w:val="BodyTextIndent2"/>
        <w:spacing w:before="240"/>
        <w:ind w:left="1440"/>
        <w:rPr>
          <w:b w:val="0"/>
        </w:rPr>
      </w:pPr>
      <w:r w:rsidRPr="00BC5221">
        <w:rPr>
          <w:b w:val="0"/>
        </w:rPr>
        <w:t>(4)</w:t>
      </w:r>
      <w:r w:rsidRPr="00BC5221">
        <w:rPr>
          <w:b w:val="0"/>
        </w:rPr>
        <w:tab/>
        <w:t>Whether the prospective intervenor will significantly contribute to</w:t>
      </w:r>
      <w:r w:rsidRPr="00BC5221">
        <w:rPr>
          <w:b w:val="0"/>
          <w:bCs w:val="0"/>
        </w:rPr>
        <w:t xml:space="preserve"> the</w:t>
      </w:r>
      <w:r w:rsidRPr="00BC5221">
        <w:rPr>
          <w:b w:val="0"/>
        </w:rPr>
        <w:t xml:space="preserve"> full development and equitable resolution of the factual issues.</w:t>
      </w:r>
    </w:p>
    <w:p w:rsidR="000330D3" w:rsidRPr="00BC5221" w:rsidP="000330D3" w14:paraId="3BED3F3E" w14:textId="77B814F5">
      <w:pPr>
        <w:pStyle w:val="BodyTextIndent3"/>
        <w:spacing w:line="480" w:lineRule="auto"/>
        <w:rPr>
          <w:szCs w:val="24"/>
        </w:rPr>
      </w:pPr>
      <w:r w:rsidRPr="00BC5221">
        <w:rPr>
          <w:szCs w:val="24"/>
        </w:rPr>
        <w:t>First, the nature and extent of OCC</w:t>
      </w:r>
      <w:r w:rsidR="00BC5221">
        <w:rPr>
          <w:szCs w:val="24"/>
        </w:rPr>
        <w:t>’</w:t>
      </w:r>
      <w:r w:rsidRPr="00BC5221">
        <w:rPr>
          <w:szCs w:val="24"/>
        </w:rPr>
        <w:t xml:space="preserve">s interest is representing </w:t>
      </w:r>
      <w:r w:rsidRPr="00BC5221" w:rsidR="00A044B5">
        <w:rPr>
          <w:szCs w:val="24"/>
        </w:rPr>
        <w:t>the</w:t>
      </w:r>
      <w:r w:rsidRPr="00BC5221">
        <w:rPr>
          <w:szCs w:val="24"/>
        </w:rPr>
        <w:t xml:space="preserve"> residential </w:t>
      </w:r>
      <w:r w:rsidRPr="00BC5221" w:rsidR="00DA6AE4">
        <w:rPr>
          <w:szCs w:val="24"/>
        </w:rPr>
        <w:t>consumer</w:t>
      </w:r>
      <w:r w:rsidRPr="00BC5221">
        <w:rPr>
          <w:szCs w:val="24"/>
        </w:rPr>
        <w:t xml:space="preserve">s </w:t>
      </w:r>
      <w:r w:rsidRPr="00BC5221" w:rsidR="00A044B5">
        <w:rPr>
          <w:szCs w:val="24"/>
        </w:rPr>
        <w:t xml:space="preserve">of </w:t>
      </w:r>
      <w:r w:rsidRPr="00BC5221" w:rsidR="0032619A">
        <w:rPr>
          <w:szCs w:val="24"/>
        </w:rPr>
        <w:t xml:space="preserve">Duke </w:t>
      </w:r>
      <w:r w:rsidRPr="00BC5221">
        <w:rPr>
          <w:szCs w:val="24"/>
        </w:rPr>
        <w:t>in this case</w:t>
      </w:r>
      <w:r w:rsidRPr="00BC5221" w:rsidR="0032619A">
        <w:rPr>
          <w:szCs w:val="24"/>
        </w:rPr>
        <w:t xml:space="preserve"> of Duke</w:t>
      </w:r>
      <w:r w:rsidRPr="00BC5221" w:rsidR="00A044B5">
        <w:rPr>
          <w:szCs w:val="24"/>
        </w:rPr>
        <w:t xml:space="preserve"> </w:t>
      </w:r>
      <w:r w:rsidRPr="00BC5221" w:rsidR="0032619A">
        <w:rPr>
          <w:szCs w:val="24"/>
        </w:rPr>
        <w:t>seeking authorization from the PUCO to raise the Rider rates If OCC intervention is denied, those residential consumers will be left without a voice or representation in this proceeding which seeks to increase the charges those consumers pay.</w:t>
      </w:r>
      <w:r w:rsidRPr="00BC5221" w:rsidR="004E21A1">
        <w:rPr>
          <w:szCs w:val="24"/>
        </w:rPr>
        <w:t xml:space="preserve"> OCC</w:t>
      </w:r>
      <w:r w:rsidR="00BC5221">
        <w:rPr>
          <w:szCs w:val="24"/>
        </w:rPr>
        <w:t>’</w:t>
      </w:r>
      <w:r w:rsidRPr="00BC5221" w:rsidR="004E21A1">
        <w:rPr>
          <w:szCs w:val="24"/>
        </w:rPr>
        <w:t>s interest in this matter is solely to protect residential consumers.</w:t>
      </w:r>
      <w:r w:rsidRPr="00BC5221" w:rsidR="00FE0B88">
        <w:rPr>
          <w:szCs w:val="24"/>
        </w:rPr>
        <w:t xml:space="preserve"> </w:t>
      </w:r>
      <w:r w:rsidRPr="00BC5221">
        <w:rPr>
          <w:szCs w:val="24"/>
        </w:rPr>
        <w:t xml:space="preserve">This interest is different than that of any other party and especially different than that of </w:t>
      </w:r>
      <w:r w:rsidRPr="00BC5221" w:rsidR="00A044B5">
        <w:rPr>
          <w:szCs w:val="24"/>
        </w:rPr>
        <w:t>the utility</w:t>
      </w:r>
      <w:r w:rsidRPr="00BC5221">
        <w:rPr>
          <w:szCs w:val="24"/>
        </w:rPr>
        <w:t xml:space="preserve"> whose advocacy includes the financial interest of stockholders.</w:t>
      </w:r>
    </w:p>
    <w:p w:rsidR="000330D3" w:rsidRPr="00BC5221" w:rsidP="00302790" w14:paraId="62436CA7" w14:textId="6A30F348">
      <w:pPr>
        <w:pStyle w:val="BodyTextIndent3"/>
        <w:spacing w:line="480" w:lineRule="auto"/>
        <w:rPr>
          <w:szCs w:val="24"/>
        </w:rPr>
      </w:pPr>
      <w:r w:rsidRPr="00BC5221">
        <w:rPr>
          <w:szCs w:val="24"/>
        </w:rPr>
        <w:t>Second, OCC</w:t>
      </w:r>
      <w:r w:rsidR="00BC5221">
        <w:rPr>
          <w:szCs w:val="24"/>
        </w:rPr>
        <w:t>’</w:t>
      </w:r>
      <w:r w:rsidRPr="00BC5221">
        <w:rPr>
          <w:szCs w:val="24"/>
        </w:rPr>
        <w:t xml:space="preserve">s advocacy for residential </w:t>
      </w:r>
      <w:r w:rsidRPr="00BC5221" w:rsidR="00DA6AE4">
        <w:rPr>
          <w:szCs w:val="24"/>
        </w:rPr>
        <w:t>consumer</w:t>
      </w:r>
      <w:r w:rsidRPr="00BC5221">
        <w:rPr>
          <w:szCs w:val="24"/>
        </w:rPr>
        <w:t>s will include</w:t>
      </w:r>
      <w:r w:rsidRPr="00BC5221" w:rsidR="0055107B">
        <w:rPr>
          <w:szCs w:val="24"/>
        </w:rPr>
        <w:t>, among other things,</w:t>
      </w:r>
      <w:r w:rsidRPr="00BC5221">
        <w:rPr>
          <w:szCs w:val="24"/>
        </w:rPr>
        <w:t xml:space="preserve"> advancing the position that </w:t>
      </w:r>
      <w:r w:rsidRPr="00BC5221" w:rsidR="00A044B5">
        <w:rPr>
          <w:szCs w:val="24"/>
        </w:rPr>
        <w:t>rates</w:t>
      </w:r>
      <w:r w:rsidRPr="00BC5221">
        <w:rPr>
          <w:szCs w:val="24"/>
        </w:rPr>
        <w:t xml:space="preserve"> should </w:t>
      </w:r>
      <w:r w:rsidRPr="00BC5221" w:rsidR="00A044B5">
        <w:rPr>
          <w:szCs w:val="24"/>
        </w:rPr>
        <w:t>be</w:t>
      </w:r>
      <w:r w:rsidRPr="00BC5221">
        <w:rPr>
          <w:szCs w:val="24"/>
        </w:rPr>
        <w:t xml:space="preserve"> no more than what is reasonable</w:t>
      </w:r>
      <w:r w:rsidRPr="00BC5221" w:rsidR="00A044B5">
        <w:rPr>
          <w:szCs w:val="24"/>
        </w:rPr>
        <w:t xml:space="preserve"> and lawful</w:t>
      </w:r>
      <w:r w:rsidRPr="00BC5221">
        <w:rPr>
          <w:szCs w:val="24"/>
        </w:rPr>
        <w:t xml:space="preserve"> under Ohio law, for service that is </w:t>
      </w:r>
      <w:r w:rsidRPr="00BC5221" w:rsidR="00A044B5">
        <w:rPr>
          <w:szCs w:val="24"/>
        </w:rPr>
        <w:t>adequate</w:t>
      </w:r>
      <w:r w:rsidRPr="00BC5221">
        <w:rPr>
          <w:szCs w:val="24"/>
        </w:rPr>
        <w:t xml:space="preserve"> under Ohio law</w:t>
      </w:r>
      <w:r w:rsidRPr="00BC5221" w:rsidR="00A044B5">
        <w:rPr>
          <w:szCs w:val="24"/>
        </w:rPr>
        <w:t>.</w:t>
      </w:r>
      <w:r w:rsidRPr="00BC5221" w:rsidR="0032619A">
        <w:rPr>
          <w:szCs w:val="24"/>
        </w:rPr>
        <w:t xml:space="preserve"> Duke must demonstrate to the PUCO that the Rider increases and expenditures are prudent and in full compliance with Ohio law.</w:t>
      </w:r>
      <w:r w:rsidRPr="00BC5221">
        <w:rPr>
          <w:szCs w:val="24"/>
        </w:rPr>
        <w:t xml:space="preserve"> OCC</w:t>
      </w:r>
      <w:r w:rsidR="00BC5221">
        <w:rPr>
          <w:szCs w:val="24"/>
        </w:rPr>
        <w:t>’</w:t>
      </w:r>
      <w:r w:rsidRPr="00BC5221">
        <w:rPr>
          <w:szCs w:val="24"/>
        </w:rPr>
        <w:t>s position is therefore directly related to the merits of this case</w:t>
      </w:r>
      <w:r w:rsidRPr="00BC5221" w:rsidR="0055107B">
        <w:rPr>
          <w:szCs w:val="24"/>
        </w:rPr>
        <w:t>, which</w:t>
      </w:r>
      <w:r w:rsidRPr="00BC5221">
        <w:rPr>
          <w:szCs w:val="24"/>
        </w:rPr>
        <w:t xml:space="preserve"> is pending before the PUCO, the authority with regulatory control of public utilities</w:t>
      </w:r>
      <w:r w:rsidR="00BC5221">
        <w:rPr>
          <w:szCs w:val="24"/>
        </w:rPr>
        <w:t>’</w:t>
      </w:r>
      <w:r w:rsidRPr="00BC5221">
        <w:rPr>
          <w:szCs w:val="24"/>
        </w:rPr>
        <w:t xml:space="preserve"> rates and service quality in Ohio. </w:t>
      </w:r>
    </w:p>
    <w:p w:rsidR="00320F5D" w:rsidRPr="00BC5221" w:rsidP="00DB6639" w14:paraId="1C00AA42" w14:textId="66DF7046">
      <w:pPr>
        <w:pStyle w:val="BodyTextIndent3"/>
        <w:spacing w:line="480" w:lineRule="auto"/>
        <w:rPr>
          <w:szCs w:val="24"/>
        </w:rPr>
      </w:pPr>
      <w:r w:rsidRPr="00BC5221">
        <w:rPr>
          <w:szCs w:val="24"/>
        </w:rPr>
        <w:t>Third, OCC</w:t>
      </w:r>
      <w:r w:rsidR="00BC5221">
        <w:rPr>
          <w:szCs w:val="24"/>
        </w:rPr>
        <w:t>’</w:t>
      </w:r>
      <w:r w:rsidRPr="00BC5221">
        <w:rPr>
          <w:szCs w:val="24"/>
        </w:rPr>
        <w:t>s intervention will not unduly prolong or delay the proceedings.</w:t>
      </w:r>
      <w:r w:rsidRPr="00BC5221" w:rsidR="00A46DBC">
        <w:rPr>
          <w:szCs w:val="24"/>
        </w:rPr>
        <w:t xml:space="preserve"> </w:t>
      </w:r>
      <w:r w:rsidRPr="00BC5221">
        <w:rPr>
          <w:szCs w:val="24"/>
        </w:rPr>
        <w:t>Delay in and of itself does not mean that intervention should be denied.</w:t>
      </w:r>
      <w:r w:rsidRPr="00BC5221" w:rsidR="00A46DBC">
        <w:rPr>
          <w:szCs w:val="24"/>
        </w:rPr>
        <w:t xml:space="preserve"> </w:t>
      </w:r>
      <w:r w:rsidRPr="00BC5221">
        <w:rPr>
          <w:szCs w:val="24"/>
        </w:rPr>
        <w:t xml:space="preserve">The key consideration is whether the intervention will cause </w:t>
      </w:r>
      <w:r w:rsidR="00BC5221">
        <w:rPr>
          <w:szCs w:val="24"/>
        </w:rPr>
        <w:t>“</w:t>
      </w:r>
      <w:r w:rsidRPr="00BC5221">
        <w:rPr>
          <w:szCs w:val="24"/>
        </w:rPr>
        <w:t>undue delay.</w:t>
      </w:r>
      <w:r w:rsidR="00BC5221">
        <w:rPr>
          <w:szCs w:val="24"/>
        </w:rPr>
        <w:t>”</w:t>
      </w:r>
      <w:r w:rsidRPr="00BC5221">
        <w:rPr>
          <w:szCs w:val="24"/>
        </w:rPr>
        <w:t xml:space="preserve"> Here OCC</w:t>
      </w:r>
      <w:r w:rsidR="00BC5221">
        <w:rPr>
          <w:szCs w:val="24"/>
        </w:rPr>
        <w:t>’</w:t>
      </w:r>
      <w:r w:rsidRPr="00BC5221">
        <w:rPr>
          <w:szCs w:val="24"/>
        </w:rPr>
        <w:t>s intervention will not cause undue delay.</w:t>
      </w:r>
      <w:r w:rsidRPr="00BC5221" w:rsidR="004C3F8D">
        <w:rPr>
          <w:szCs w:val="24"/>
        </w:rPr>
        <w:t xml:space="preserve"> </w:t>
      </w:r>
      <w:r w:rsidRPr="00BC5221" w:rsidR="009E4448">
        <w:rPr>
          <w:szCs w:val="24"/>
        </w:rPr>
        <w:t>This case is still in its early stages, with the application being filed recently on February 9, 2024. Additionally, Staff has yet to comment on the case filings, and the PUCO has yet to file any entries or orders related to this case.</w:t>
      </w:r>
      <w:r w:rsidRPr="00BC5221" w:rsidR="00991F7B">
        <w:rPr>
          <w:szCs w:val="24"/>
        </w:rPr>
        <w:t xml:space="preserve"> </w:t>
      </w:r>
      <w:r w:rsidRPr="00BC5221" w:rsidR="001E5F3C">
        <w:rPr>
          <w:szCs w:val="24"/>
        </w:rPr>
        <w:t>OCC</w:t>
      </w:r>
      <w:r w:rsidR="00BC5221">
        <w:rPr>
          <w:szCs w:val="24"/>
        </w:rPr>
        <w:t>’</w:t>
      </w:r>
      <w:r w:rsidRPr="00BC5221" w:rsidR="001E5F3C">
        <w:rPr>
          <w:szCs w:val="24"/>
        </w:rPr>
        <w:t>s intervention is timely and will cause no delay in the proceedings, undo or otherwise.</w:t>
      </w:r>
    </w:p>
    <w:p w:rsidR="00054998" w:rsidRPr="00BC5221" w:rsidP="007C5DF4" w14:paraId="3FF9A881" w14:textId="59D2028E">
      <w:pPr>
        <w:pStyle w:val="BodyTextIndent3"/>
        <w:suppressAutoHyphens/>
        <w:spacing w:line="480" w:lineRule="auto"/>
        <w:rPr>
          <w:szCs w:val="24"/>
        </w:rPr>
      </w:pPr>
      <w:r w:rsidRPr="00BC5221">
        <w:rPr>
          <w:szCs w:val="24"/>
        </w:rPr>
        <w:t xml:space="preserve"> OCC will </w:t>
      </w:r>
      <w:r w:rsidRPr="00BC5221" w:rsidR="004A330E">
        <w:rPr>
          <w:szCs w:val="24"/>
        </w:rPr>
        <w:t>attempt to avoid duplicative discovery in the proceeding.</w:t>
      </w:r>
      <w:r w:rsidRPr="00BC5221" w:rsidR="00A46DBC">
        <w:rPr>
          <w:szCs w:val="24"/>
        </w:rPr>
        <w:t xml:space="preserve"> </w:t>
      </w:r>
      <w:r w:rsidRPr="00BC5221" w:rsidR="004A330E">
        <w:rPr>
          <w:szCs w:val="24"/>
        </w:rPr>
        <w:t xml:space="preserve">The issues OCC will raise fall clearly within the scope of the proceeding </w:t>
      </w:r>
      <w:r w:rsidRPr="00BC5221" w:rsidR="001E5F3C">
        <w:rPr>
          <w:szCs w:val="24"/>
        </w:rPr>
        <w:t xml:space="preserve">insofar as the proceeding is concerned with the cost-recovery through the Rider as it applies to residential consumers. </w:t>
      </w:r>
      <w:r w:rsidRPr="00BC5221" w:rsidR="007C5DF4">
        <w:rPr>
          <w:szCs w:val="24"/>
        </w:rPr>
        <w:t xml:space="preserve">In addition, </w:t>
      </w:r>
      <w:r w:rsidRPr="00BC5221">
        <w:rPr>
          <w:szCs w:val="24"/>
        </w:rPr>
        <w:t>OCC will also use its best efforts to comply with any procedural schedule that the PUCO may adopt for this proceeding.</w:t>
      </w:r>
      <w:r w:rsidRPr="00BC5221" w:rsidR="00A46DBC">
        <w:rPr>
          <w:szCs w:val="24"/>
        </w:rPr>
        <w:t xml:space="preserve"> </w:t>
      </w:r>
    </w:p>
    <w:p w:rsidR="004D14D4" w:rsidRPr="00BC5221" w:rsidP="004256EA" w14:paraId="0B6C7235" w14:textId="5730DBD5">
      <w:pPr>
        <w:pStyle w:val="BodyTextIndent3"/>
        <w:suppressAutoHyphens/>
        <w:spacing w:line="480" w:lineRule="auto"/>
        <w:rPr>
          <w:szCs w:val="24"/>
        </w:rPr>
      </w:pPr>
      <w:r w:rsidRPr="00BC5221">
        <w:rPr>
          <w:szCs w:val="24"/>
        </w:rPr>
        <w:t xml:space="preserve">Further, </w:t>
      </w:r>
      <w:r w:rsidRPr="00BC5221" w:rsidR="00FB5C69">
        <w:rPr>
          <w:szCs w:val="24"/>
        </w:rPr>
        <w:t>O</w:t>
      </w:r>
      <w:r w:rsidRPr="00BC5221" w:rsidR="009A775D">
        <w:rPr>
          <w:szCs w:val="24"/>
        </w:rPr>
        <w:t>CC, with its longstanding expertise and experience in PUCO proceedings</w:t>
      </w:r>
      <w:r w:rsidRPr="00BC5221" w:rsidR="008B0AFF">
        <w:rPr>
          <w:szCs w:val="24"/>
        </w:rPr>
        <w:t xml:space="preserve"> and consumer protection advocacy</w:t>
      </w:r>
      <w:r w:rsidRPr="00BC5221" w:rsidR="009A775D">
        <w:rPr>
          <w:szCs w:val="24"/>
        </w:rPr>
        <w:t>, will duly allow for the efficient processing of the case with consideration of the public interest.</w:t>
      </w:r>
      <w:r w:rsidRPr="00BC5221">
        <w:rPr>
          <w:szCs w:val="24"/>
        </w:rPr>
        <w:t xml:space="preserve"> OCC </w:t>
      </w:r>
      <w:r w:rsidRPr="00BC5221" w:rsidR="00046DBD">
        <w:rPr>
          <w:szCs w:val="24"/>
        </w:rPr>
        <w:t xml:space="preserve">has </w:t>
      </w:r>
      <w:r w:rsidRPr="00BC5221">
        <w:rPr>
          <w:szCs w:val="24"/>
        </w:rPr>
        <w:t>regularly intervene</w:t>
      </w:r>
      <w:r w:rsidRPr="00BC5221" w:rsidR="00046DBD">
        <w:rPr>
          <w:szCs w:val="24"/>
        </w:rPr>
        <w:t>d</w:t>
      </w:r>
      <w:r w:rsidRPr="00BC5221">
        <w:rPr>
          <w:szCs w:val="24"/>
        </w:rPr>
        <w:t xml:space="preserve"> and participate</w:t>
      </w:r>
      <w:r w:rsidRPr="00BC5221" w:rsidR="00046DBD">
        <w:rPr>
          <w:szCs w:val="24"/>
        </w:rPr>
        <w:t>d</w:t>
      </w:r>
      <w:r w:rsidRPr="00BC5221">
        <w:rPr>
          <w:szCs w:val="24"/>
        </w:rPr>
        <w:t xml:space="preserve"> in cases</w:t>
      </w:r>
      <w:r w:rsidRPr="00BC5221" w:rsidR="00046DBD">
        <w:rPr>
          <w:szCs w:val="24"/>
        </w:rPr>
        <w:t xml:space="preserve"> involving Duke and its Power Future Initiatives Rider</w:t>
      </w:r>
      <w:r w:rsidRPr="00BC5221" w:rsidR="000E4702">
        <w:rPr>
          <w:szCs w:val="24"/>
        </w:rPr>
        <w:t>.</w:t>
      </w:r>
      <w:r>
        <w:rPr>
          <w:rStyle w:val="FootnoteReference"/>
          <w:szCs w:val="24"/>
        </w:rPr>
        <w:footnoteReference w:id="14"/>
      </w:r>
      <w:r w:rsidRPr="00BC5221" w:rsidR="000E4702">
        <w:rPr>
          <w:szCs w:val="24"/>
        </w:rPr>
        <w:t xml:space="preserve"> </w:t>
      </w:r>
      <w:r w:rsidRPr="00BC5221" w:rsidR="008B0AFF">
        <w:rPr>
          <w:szCs w:val="24"/>
        </w:rPr>
        <w:t xml:space="preserve">There will be no prejudice to </w:t>
      </w:r>
      <w:r w:rsidRPr="00BC5221" w:rsidR="009C40B1">
        <w:rPr>
          <w:szCs w:val="24"/>
        </w:rPr>
        <w:t xml:space="preserve">the </w:t>
      </w:r>
      <w:r w:rsidRPr="00BC5221" w:rsidR="008B0AFF">
        <w:rPr>
          <w:szCs w:val="24"/>
        </w:rPr>
        <w:t xml:space="preserve">PUCO Staff and </w:t>
      </w:r>
      <w:r w:rsidRPr="00BC5221" w:rsidR="000E4702">
        <w:rPr>
          <w:szCs w:val="24"/>
        </w:rPr>
        <w:t>Duke</w:t>
      </w:r>
      <w:r w:rsidRPr="00BC5221" w:rsidR="008B0AFF">
        <w:rPr>
          <w:szCs w:val="24"/>
        </w:rPr>
        <w:t xml:space="preserve"> in granting OCC intervention</w:t>
      </w:r>
      <w:r w:rsidRPr="00BC5221" w:rsidR="00046DBD">
        <w:rPr>
          <w:szCs w:val="24"/>
        </w:rPr>
        <w:t xml:space="preserve"> here</w:t>
      </w:r>
      <w:r w:rsidRPr="00BC5221" w:rsidR="008B0AFF">
        <w:rPr>
          <w:szCs w:val="24"/>
        </w:rPr>
        <w:t>.</w:t>
      </w:r>
    </w:p>
    <w:p w:rsidR="004D14D4" w:rsidRPr="00BC5221" w14:paraId="1647A504" w14:textId="773C0839">
      <w:pPr>
        <w:pStyle w:val="Footer"/>
        <w:tabs>
          <w:tab w:val="clear" w:pos="4320"/>
          <w:tab w:val="clear" w:pos="8640"/>
        </w:tabs>
        <w:ind w:firstLine="720"/>
      </w:pPr>
      <w:r w:rsidRPr="00BC5221">
        <w:t>Fourth, OCC</w:t>
      </w:r>
      <w:r w:rsidR="00BC5221">
        <w:t>’</w:t>
      </w:r>
      <w:r w:rsidRPr="00BC5221">
        <w:t>s intervention will significantly contribute to full development and equitable resolution of the factual issues.</w:t>
      </w:r>
      <w:r w:rsidRPr="00BC5221" w:rsidR="005D08D2">
        <w:t xml:space="preserve"> </w:t>
      </w:r>
      <w:r w:rsidRPr="00BC5221" w:rsidR="007E0329">
        <w:t xml:space="preserve">OCC will review and analyze the filings made by Duke regarding its increased Rider charge with a focus on </w:t>
      </w:r>
      <w:r w:rsidRPr="00BC5221" w:rsidR="00991F7B">
        <w:t xml:space="preserve">how the Rider </w:t>
      </w:r>
      <w:r w:rsidRPr="00BC5221" w:rsidR="00FA5ED8">
        <w:t>affects</w:t>
      </w:r>
      <w:r w:rsidRPr="00BC5221" w:rsidR="007E0329">
        <w:t xml:space="preserve"> residential consumers.</w:t>
      </w:r>
      <w:r w:rsidRPr="00BC5221">
        <w:t xml:space="preserve"> OCC</w:t>
      </w:r>
      <w:r w:rsidR="00BC5221">
        <w:t>’</w:t>
      </w:r>
      <w:r w:rsidRPr="00BC5221" w:rsidR="00C37973">
        <w:t>s interest in protecting residential consumers will lead it to fully and carefully examine issues regarding</w:t>
      </w:r>
      <w:r w:rsidRPr="00BC5221" w:rsidR="005D08D2">
        <w:t xml:space="preserve"> </w:t>
      </w:r>
      <w:r w:rsidRPr="00BC5221" w:rsidR="007E0329">
        <w:t>the prudence and effectiveness of Duke</w:t>
      </w:r>
      <w:r w:rsidR="00BC5221">
        <w:t>’</w:t>
      </w:r>
      <w:r w:rsidRPr="00BC5221" w:rsidR="007E0329">
        <w:t>s Rider charge, and balance those against the challenges and concerns which burden all residential consumers.</w:t>
      </w:r>
      <w:r w:rsidRPr="00BC5221" w:rsidR="00C37973">
        <w:t xml:space="preserve"> No other party is solely focused on the needs of residential consumers and thus, there can be no equitable resolution of the factual issues in this case absent OCC</w:t>
      </w:r>
      <w:r w:rsidR="00BC5221">
        <w:t>’</w:t>
      </w:r>
      <w:r w:rsidRPr="00BC5221" w:rsidR="00C37973">
        <w:t>s participation.</w:t>
      </w:r>
      <w:r w:rsidRPr="00BC5221" w:rsidR="00A46DBC">
        <w:t xml:space="preserve"> </w:t>
      </w:r>
      <w:r w:rsidRPr="00BC5221" w:rsidR="00C37973">
        <w:t>OCC</w:t>
      </w:r>
      <w:r w:rsidRPr="00BC5221">
        <w:t xml:space="preserve"> will obtain and develop information that the PUCO should consider for equitably and lawfully deciding the case in the public interest.</w:t>
      </w:r>
    </w:p>
    <w:p w:rsidR="00B61BA0" w:rsidRPr="00BC5221" w:rsidP="004569A0" w14:paraId="78EEFF2B" w14:textId="0958CB20">
      <w:pPr>
        <w:pStyle w:val="WW-BodyTextIndent3"/>
        <w:widowControl w:val="0"/>
        <w:spacing w:line="480" w:lineRule="auto"/>
        <w:rPr>
          <w:szCs w:val="24"/>
        </w:rPr>
      </w:pPr>
      <w:r w:rsidRPr="00BC5221">
        <w:rPr>
          <w:szCs w:val="24"/>
        </w:rPr>
        <w:t xml:space="preserve">OCC also satisfies the intervention criteria in </w:t>
      </w:r>
      <w:r w:rsidRPr="00BC5221" w:rsidR="00FA5ED8">
        <w:rPr>
          <w:szCs w:val="24"/>
        </w:rPr>
        <w:t>O.A.C.</w:t>
      </w:r>
      <w:r w:rsidRPr="00BC5221" w:rsidR="008B0AFF">
        <w:rPr>
          <w:szCs w:val="24"/>
        </w:rPr>
        <w:t xml:space="preserve"> 4901-1-11(A) which sets the standard for </w:t>
      </w:r>
      <w:r w:rsidRPr="00BC5221" w:rsidR="008B0AFF">
        <w:rPr>
          <w:i/>
          <w:iCs/>
          <w:szCs w:val="24"/>
        </w:rPr>
        <w:t>intervention as of right</w:t>
      </w:r>
      <w:r w:rsidRPr="00BC5221" w:rsidR="008B0AFF">
        <w:rPr>
          <w:szCs w:val="24"/>
        </w:rPr>
        <w:t>, mirroring Ohio Civil Rule 24(A).</w:t>
      </w:r>
      <w:r w:rsidRPr="00BC5221" w:rsidR="00A46DBC">
        <w:rPr>
          <w:szCs w:val="24"/>
        </w:rPr>
        <w:t xml:space="preserve"> </w:t>
      </w:r>
      <w:r w:rsidRPr="00BC5221" w:rsidR="008B0AFF">
        <w:rPr>
          <w:szCs w:val="24"/>
        </w:rPr>
        <w:t xml:space="preserve">Under 4901:1-11(A)(2) a person shall be granted intervention as of right if it has a real and substantial interest in a proceeding and is </w:t>
      </w:r>
      <w:r w:rsidR="00BC5221">
        <w:rPr>
          <w:szCs w:val="24"/>
        </w:rPr>
        <w:t>“</w:t>
      </w:r>
      <w:r w:rsidRPr="00BC5221" w:rsidR="008B0AFF">
        <w:rPr>
          <w:szCs w:val="24"/>
        </w:rPr>
        <w:t xml:space="preserve">so situated that disposition of </w:t>
      </w:r>
      <w:r w:rsidRPr="00BC5221">
        <w:rPr>
          <w:szCs w:val="24"/>
        </w:rPr>
        <w:t>the proceeding may, as a practical matter, impair or impede his or her ability to protect that interest, unless the person</w:t>
      </w:r>
      <w:r w:rsidR="00BC5221">
        <w:rPr>
          <w:szCs w:val="24"/>
        </w:rPr>
        <w:t>’</w:t>
      </w:r>
      <w:r w:rsidRPr="00BC5221">
        <w:rPr>
          <w:szCs w:val="24"/>
        </w:rPr>
        <w:t>s interest is adequately represented by existing parties.</w:t>
      </w:r>
      <w:r w:rsidR="00BC5221">
        <w:rPr>
          <w:szCs w:val="24"/>
        </w:rPr>
        <w:t>”</w:t>
      </w:r>
      <w:r w:rsidRPr="00BC5221">
        <w:rPr>
          <w:szCs w:val="24"/>
        </w:rPr>
        <w:t xml:space="preserve"> </w:t>
      </w:r>
    </w:p>
    <w:p w:rsidR="00B61BA0" w:rsidRPr="00BC5221" w14:paraId="25187413" w14:textId="77777777">
      <w:pPr>
        <w:rPr>
          <w:lang w:eastAsia="ar-SA"/>
        </w:rPr>
      </w:pPr>
      <w:r w:rsidRPr="00BC5221">
        <w:br w:type="page"/>
      </w:r>
    </w:p>
    <w:p w:rsidR="004D14D4" w:rsidRPr="00BC5221" w:rsidP="00DB6639" w14:paraId="55924E7D" w14:textId="6101F274">
      <w:pPr>
        <w:pStyle w:val="WW-BodyTextIndent3"/>
        <w:widowControl w:val="0"/>
        <w:spacing w:line="480" w:lineRule="auto"/>
        <w:rPr>
          <w:szCs w:val="24"/>
        </w:rPr>
      </w:pPr>
      <w:r w:rsidRPr="00BC5221">
        <w:rPr>
          <w:szCs w:val="24"/>
        </w:rPr>
        <w:t>A</w:t>
      </w:r>
      <w:r w:rsidRPr="00BC5221" w:rsidR="009A775D">
        <w:rPr>
          <w:szCs w:val="24"/>
        </w:rPr>
        <w:t xml:space="preserve">s the </w:t>
      </w:r>
      <w:r w:rsidRPr="00BC5221">
        <w:rPr>
          <w:szCs w:val="24"/>
        </w:rPr>
        <w:t xml:space="preserve">statutory </w:t>
      </w:r>
      <w:r w:rsidRPr="00BC5221" w:rsidR="009A775D">
        <w:rPr>
          <w:szCs w:val="24"/>
        </w:rPr>
        <w:t xml:space="preserve">advocate for residential utility </w:t>
      </w:r>
      <w:r w:rsidRPr="00BC5221" w:rsidR="00DA6AE4">
        <w:rPr>
          <w:szCs w:val="24"/>
        </w:rPr>
        <w:t>consumer</w:t>
      </w:r>
      <w:r w:rsidRPr="00BC5221" w:rsidR="009A775D">
        <w:rPr>
          <w:szCs w:val="24"/>
        </w:rPr>
        <w:t xml:space="preserve">s, OCC has a very real and substantial interest in this case where </w:t>
      </w:r>
      <w:r w:rsidRPr="00BC5221" w:rsidR="00F93508">
        <w:rPr>
          <w:szCs w:val="24"/>
        </w:rPr>
        <w:t>Duke seeks to increase its Rider charge, which will fall upon all residential customers of Duke</w:t>
      </w:r>
      <w:r w:rsidRPr="00BC5221" w:rsidR="00A044B5">
        <w:rPr>
          <w:szCs w:val="24"/>
        </w:rPr>
        <w:t>.</w:t>
      </w:r>
      <w:r w:rsidRPr="00BC5221" w:rsidR="00675EB5">
        <w:rPr>
          <w:szCs w:val="24"/>
        </w:rPr>
        <w:t xml:space="preserve"> </w:t>
      </w:r>
      <w:r w:rsidRPr="00BC5221">
        <w:rPr>
          <w:szCs w:val="24"/>
        </w:rPr>
        <w:t>Disposition of this proceeding may, as a practical matter, impair or impede OCC</w:t>
      </w:r>
      <w:r w:rsidR="00BC5221">
        <w:rPr>
          <w:szCs w:val="24"/>
        </w:rPr>
        <w:t>’</w:t>
      </w:r>
      <w:r w:rsidRPr="00BC5221">
        <w:rPr>
          <w:szCs w:val="24"/>
        </w:rPr>
        <w:t>s ability to protect that interest where the interest is not adequately represented by existing parties - the PUCO Staff and the utility.</w:t>
      </w:r>
      <w:r w:rsidRPr="00BC5221" w:rsidR="00A46DBC">
        <w:rPr>
          <w:szCs w:val="24"/>
        </w:rPr>
        <w:t xml:space="preserve"> </w:t>
      </w:r>
      <w:r w:rsidRPr="00BC5221">
        <w:rPr>
          <w:szCs w:val="24"/>
        </w:rPr>
        <w:t>OCC should be granted intervention as of right under O.A.C. 4901-1-11(A)(2)</w:t>
      </w:r>
      <w:r w:rsidRPr="00BC5221" w:rsidR="009C40B1">
        <w:rPr>
          <w:szCs w:val="24"/>
        </w:rPr>
        <w:t>.</w:t>
      </w:r>
    </w:p>
    <w:p w:rsidR="004D14D4" w:rsidRPr="00BC5221" w:rsidP="00DB6639" w14:paraId="68D9E88D" w14:textId="1369A283">
      <w:pPr>
        <w:pStyle w:val="BodyTextIndent3"/>
        <w:widowControl w:val="0"/>
        <w:spacing w:line="480" w:lineRule="auto"/>
        <w:rPr>
          <w:szCs w:val="24"/>
        </w:rPr>
      </w:pPr>
      <w:r w:rsidRPr="00BC5221">
        <w:rPr>
          <w:szCs w:val="24"/>
        </w:rPr>
        <w:t xml:space="preserve">In addition, OCC meets the </w:t>
      </w:r>
      <w:r w:rsidRPr="00BC5221" w:rsidR="003C1DCE">
        <w:rPr>
          <w:szCs w:val="24"/>
        </w:rPr>
        <w:t xml:space="preserve">permissive intervention </w:t>
      </w:r>
      <w:r w:rsidRPr="00BC5221">
        <w:rPr>
          <w:szCs w:val="24"/>
        </w:rPr>
        <w:t xml:space="preserve">criteria of </w:t>
      </w:r>
      <w:r w:rsidRPr="00BC5221" w:rsidR="00CE38C7">
        <w:rPr>
          <w:szCs w:val="24"/>
        </w:rPr>
        <w:t>O.A.C.</w:t>
      </w:r>
      <w:r w:rsidRPr="00BC5221">
        <w:rPr>
          <w:szCs w:val="24"/>
        </w:rPr>
        <w:t xml:space="preserve"> 4901-1-11(B)(1)-(4).</w:t>
      </w:r>
      <w:r w:rsidRPr="00BC5221" w:rsidR="00692036">
        <w:rPr>
          <w:szCs w:val="24"/>
        </w:rPr>
        <w:t xml:space="preserve"> </w:t>
      </w:r>
      <w:r w:rsidRPr="00BC5221">
        <w:rPr>
          <w:szCs w:val="24"/>
        </w:rPr>
        <w:t xml:space="preserve">These criteria mirror the </w:t>
      </w:r>
      <w:r w:rsidRPr="00BC5221" w:rsidR="003C1DCE">
        <w:rPr>
          <w:szCs w:val="24"/>
        </w:rPr>
        <w:t xml:space="preserve">permissive intervention </w:t>
      </w:r>
      <w:r w:rsidRPr="00BC5221">
        <w:rPr>
          <w:szCs w:val="24"/>
        </w:rPr>
        <w:t>criteria in R.C. 4903.221(B) that OCC already has addressed and that OCC satisfies.</w:t>
      </w:r>
    </w:p>
    <w:p w:rsidR="0084217B" w:rsidRPr="00BC5221" w:rsidP="00DB6639" w14:paraId="5519FF6E" w14:textId="2D9DD73A">
      <w:pPr>
        <w:pStyle w:val="BodyTextIndent3"/>
        <w:widowControl w:val="0"/>
        <w:spacing w:line="480" w:lineRule="auto"/>
        <w:rPr>
          <w:szCs w:val="24"/>
        </w:rPr>
      </w:pPr>
      <w:r w:rsidRPr="00BC5221">
        <w:rPr>
          <w:szCs w:val="24"/>
        </w:rPr>
        <w:t xml:space="preserve">O.A.C. 4901-1-11(B)(5) states that the PUCO shall consider </w:t>
      </w:r>
      <w:r w:rsidR="00BC5221">
        <w:rPr>
          <w:szCs w:val="24"/>
        </w:rPr>
        <w:t>“</w:t>
      </w:r>
      <w:r w:rsidRPr="00BC5221" w:rsidR="002D29C3">
        <w:rPr>
          <w:szCs w:val="24"/>
        </w:rPr>
        <w:t>(t)</w:t>
      </w:r>
      <w:r w:rsidRPr="00BC5221">
        <w:rPr>
          <w:szCs w:val="24"/>
        </w:rPr>
        <w:t>he extent to which the person</w:t>
      </w:r>
      <w:r w:rsidR="00BC5221">
        <w:rPr>
          <w:szCs w:val="24"/>
        </w:rPr>
        <w:t>’</w:t>
      </w:r>
      <w:r w:rsidRPr="00BC5221">
        <w:rPr>
          <w:szCs w:val="24"/>
        </w:rPr>
        <w:t>s interest is represented by existing parties.</w:t>
      </w:r>
      <w:r w:rsidR="00BC5221">
        <w:rPr>
          <w:szCs w:val="24"/>
        </w:rPr>
        <w:t>”</w:t>
      </w:r>
      <w:r w:rsidRPr="00BC5221">
        <w:rPr>
          <w:szCs w:val="24"/>
        </w:rPr>
        <w:t xml:space="preserve"> While OCC does not concede the lawfulness of this criterion, OCC satisfies this criterion in that it has been </w:t>
      </w:r>
      <w:r w:rsidRPr="00BC5221" w:rsidR="003C1DCE">
        <w:rPr>
          <w:szCs w:val="24"/>
        </w:rPr>
        <w:t xml:space="preserve">uniquely </w:t>
      </w:r>
      <w:r w:rsidRPr="00BC5221">
        <w:rPr>
          <w:szCs w:val="24"/>
        </w:rPr>
        <w:t>designated as the state representative of the interests of Ohio</w:t>
      </w:r>
      <w:r w:rsidR="00BC5221">
        <w:rPr>
          <w:szCs w:val="24"/>
        </w:rPr>
        <w:t>’</w:t>
      </w:r>
      <w:r w:rsidRPr="00BC5221">
        <w:rPr>
          <w:szCs w:val="24"/>
        </w:rPr>
        <w:t>s residential utility consumer</w:t>
      </w:r>
      <w:r w:rsidRPr="00BC5221" w:rsidR="006755BB">
        <w:rPr>
          <w:szCs w:val="24"/>
        </w:rPr>
        <w:t xml:space="preserve">s. </w:t>
      </w:r>
      <w:r w:rsidRPr="00BC5221" w:rsidR="003C1DCE">
        <w:rPr>
          <w:szCs w:val="24"/>
        </w:rPr>
        <w:t>OCC</w:t>
      </w:r>
      <w:r w:rsidR="00BC5221">
        <w:rPr>
          <w:szCs w:val="24"/>
        </w:rPr>
        <w:t>’</w:t>
      </w:r>
      <w:r w:rsidRPr="00BC5221" w:rsidR="003C1DCE">
        <w:rPr>
          <w:szCs w:val="24"/>
        </w:rPr>
        <w:t>s i</w:t>
      </w:r>
      <w:r w:rsidRPr="00BC5221" w:rsidR="006755BB">
        <w:rPr>
          <w:szCs w:val="24"/>
        </w:rPr>
        <w:t>nterest is different from, and not represented by, any other entity in Ohio.</w:t>
      </w:r>
    </w:p>
    <w:p w:rsidR="00B61BA0" w:rsidRPr="00BC5221" w:rsidP="00DB6639" w14:paraId="79A68205" w14:textId="456C71C2">
      <w:pPr>
        <w:pStyle w:val="BodyTextIndent3"/>
        <w:widowControl w:val="0"/>
        <w:spacing w:line="480" w:lineRule="auto"/>
        <w:rPr>
          <w:szCs w:val="24"/>
        </w:rPr>
      </w:pPr>
      <w:r w:rsidRPr="00BC5221">
        <w:rPr>
          <w:szCs w:val="24"/>
        </w:rPr>
        <w:t>Moreover</w:t>
      </w:r>
      <w:r w:rsidRPr="00BC5221" w:rsidR="00C37973">
        <w:rPr>
          <w:szCs w:val="24"/>
        </w:rPr>
        <w:t xml:space="preserve">, the </w:t>
      </w:r>
      <w:r w:rsidRPr="00BC5221" w:rsidR="009A775D">
        <w:rPr>
          <w:szCs w:val="24"/>
        </w:rPr>
        <w:t>Supreme Court of Ohio confirmed OCC</w:t>
      </w:r>
      <w:r w:rsidR="00BC5221">
        <w:rPr>
          <w:szCs w:val="24"/>
        </w:rPr>
        <w:t>’</w:t>
      </w:r>
      <w:r w:rsidRPr="00BC5221" w:rsidR="009A775D">
        <w:rPr>
          <w:szCs w:val="24"/>
        </w:rPr>
        <w:t>s right to intervene in PUCO proceedings, in deciding two appeals in which OCC claimed the PUCO erred by denying its interventions. The Court found that the PUCO abused its discretion in denying OCC</w:t>
      </w:r>
      <w:r w:rsidR="00BC5221">
        <w:rPr>
          <w:szCs w:val="24"/>
        </w:rPr>
        <w:t>’</w:t>
      </w:r>
      <w:r w:rsidRPr="00BC5221" w:rsidR="009A775D">
        <w:rPr>
          <w:szCs w:val="24"/>
        </w:rPr>
        <w:t>s interventions and that OCC should have been granted intervention in both proceedings.</w:t>
      </w:r>
      <w:r>
        <w:rPr>
          <w:rStyle w:val="FootnoteReference"/>
          <w:szCs w:val="24"/>
        </w:rPr>
        <w:footnoteReference w:id="15"/>
      </w:r>
      <w:r w:rsidRPr="00BC5221" w:rsidR="00692036">
        <w:rPr>
          <w:szCs w:val="24"/>
        </w:rPr>
        <w:t xml:space="preserve"> </w:t>
      </w:r>
    </w:p>
    <w:p w:rsidR="00B61BA0" w:rsidRPr="00BC5221" w14:paraId="797C3596" w14:textId="77777777">
      <w:r w:rsidRPr="00BC5221">
        <w:br w:type="page"/>
      </w:r>
    </w:p>
    <w:p w:rsidR="00503587" w:rsidRPr="00BC5221" w:rsidP="00B61BA0" w14:paraId="1A59B0F0" w14:textId="14FB726F">
      <w:pPr>
        <w:pStyle w:val="BodyTextIndent3"/>
        <w:widowControl w:val="0"/>
        <w:spacing w:line="480" w:lineRule="auto"/>
        <w:rPr>
          <w:rFonts w:eastAsia="Courier New"/>
          <w:szCs w:val="24"/>
        </w:rPr>
      </w:pPr>
      <w:r w:rsidRPr="00BC5221">
        <w:rPr>
          <w:szCs w:val="24"/>
        </w:rPr>
        <w:t>OCC meets the criteria set forth in R.C. 4903.221, O.A.C. 4901-1-11,</w:t>
      </w:r>
      <w:r w:rsidRPr="00BC5221" w:rsidR="003C1DCE">
        <w:rPr>
          <w:szCs w:val="24"/>
        </w:rPr>
        <w:t xml:space="preserve"> </w:t>
      </w:r>
      <w:r w:rsidRPr="00BC5221">
        <w:rPr>
          <w:szCs w:val="24"/>
        </w:rPr>
        <w:t>and the precedent established by the Supreme Court of Ohio for intervention. On behalf of Ohio residential consumers, the PUCO should grant OCC</w:t>
      </w:r>
      <w:r w:rsidR="00BC5221">
        <w:rPr>
          <w:szCs w:val="24"/>
        </w:rPr>
        <w:t>’</w:t>
      </w:r>
      <w:r w:rsidRPr="00BC5221">
        <w:rPr>
          <w:szCs w:val="24"/>
        </w:rPr>
        <w:t>s Motion to Intervene.</w:t>
      </w:r>
    </w:p>
    <w:p w:rsidR="00B61BA0" w:rsidRPr="00BC5221" w:rsidP="00B61BA0" w14:paraId="2CA34E79" w14:textId="77777777">
      <w:pPr>
        <w:ind w:firstLine="4320"/>
      </w:pPr>
      <w:r w:rsidRPr="00BC5221">
        <w:rPr>
          <w:rFonts w:eastAsia="Courier New"/>
        </w:rPr>
        <w:t>Respectfully submitted,</w:t>
      </w:r>
    </w:p>
    <w:p w:rsidR="00B61BA0" w:rsidRPr="00BC5221" w:rsidP="00B61BA0" w14:paraId="100638C6"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p>
    <w:p w:rsidR="00B61BA0" w:rsidRPr="00BC5221" w:rsidP="00B61BA0" w14:paraId="59BCBBFA"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BC5221">
        <w:rPr>
          <w:rFonts w:eastAsia="Courier New"/>
        </w:rPr>
        <w:t>Maureen R. Willis (0020847)</w:t>
      </w:r>
    </w:p>
    <w:p w:rsidR="00B61BA0" w:rsidRPr="00BC5221" w:rsidP="00B61BA0" w14:paraId="38843A91" w14:textId="7BF09728">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BC5221">
        <w:t>Ohio Consumers</w:t>
      </w:r>
      <w:r w:rsidR="00BC5221">
        <w:t>’</w:t>
      </w:r>
      <w:r w:rsidRPr="00BC5221">
        <w:t xml:space="preserve"> Counsel</w:t>
      </w:r>
    </w:p>
    <w:p w:rsidR="00B61BA0" w:rsidRPr="00BC5221" w:rsidP="00B61BA0" w14:paraId="43C790DC" w14:textId="77777777">
      <w:pPr>
        <w:tabs>
          <w:tab w:val="left" w:pos="4320"/>
        </w:tabs>
        <w:ind w:left="4320"/>
      </w:pPr>
    </w:p>
    <w:p w:rsidR="00B61BA0" w:rsidRPr="00BC5221" w:rsidP="00B61BA0" w14:paraId="5A0D2D00" w14:textId="77777777">
      <w:pPr>
        <w:tabs>
          <w:tab w:val="left" w:pos="4320"/>
        </w:tabs>
        <w:ind w:left="4320"/>
        <w:rPr>
          <w:i/>
          <w:iCs/>
          <w:u w:val="single"/>
        </w:rPr>
      </w:pPr>
      <w:r w:rsidRPr="00BC5221">
        <w:rPr>
          <w:i/>
          <w:iCs/>
          <w:u w:val="single"/>
        </w:rPr>
        <w:t>/s/ John Finnigan</w:t>
      </w:r>
    </w:p>
    <w:p w:rsidR="00B61BA0" w:rsidRPr="00BC5221" w:rsidP="00B61BA0" w14:paraId="4684341D" w14:textId="77777777">
      <w:pPr>
        <w:tabs>
          <w:tab w:val="left" w:pos="4320"/>
        </w:tabs>
        <w:ind w:left="4320"/>
      </w:pPr>
      <w:r w:rsidRPr="00BC5221">
        <w:t>John Finnigan (0018689)</w:t>
      </w:r>
    </w:p>
    <w:p w:rsidR="00B61BA0" w:rsidRPr="00BC5221" w:rsidP="00B61BA0" w14:paraId="58D01194" w14:textId="77777777">
      <w:pPr>
        <w:tabs>
          <w:tab w:val="left" w:pos="4320"/>
        </w:tabs>
        <w:ind w:left="4320"/>
      </w:pPr>
      <w:r w:rsidRPr="00BC5221">
        <w:t>Counsel of Record</w:t>
      </w:r>
    </w:p>
    <w:p w:rsidR="00B61BA0" w:rsidRPr="00BC5221" w:rsidP="00B61BA0" w14:paraId="413F3AD3" w14:textId="77777777">
      <w:pPr>
        <w:tabs>
          <w:tab w:val="left" w:pos="4320"/>
        </w:tabs>
      </w:pPr>
      <w:r w:rsidRPr="00BC5221">
        <w:tab/>
        <w:t>Thomas J. Brodbeck (0093920)</w:t>
      </w:r>
    </w:p>
    <w:p w:rsidR="00B61BA0" w:rsidRPr="00BC5221" w:rsidP="00B61BA0" w14:paraId="31C0853F" w14:textId="59926526">
      <w:pPr>
        <w:tabs>
          <w:tab w:val="left" w:pos="4320"/>
        </w:tabs>
        <w:ind w:firstLine="4320"/>
      </w:pPr>
      <w:r w:rsidRPr="00BC5221">
        <w:t>Assistant Consumers</w:t>
      </w:r>
      <w:r w:rsidR="00BC5221">
        <w:t>’</w:t>
      </w:r>
      <w:r w:rsidRPr="00BC5221">
        <w:t xml:space="preserve"> Counsel</w:t>
      </w:r>
    </w:p>
    <w:p w:rsidR="00B61BA0" w:rsidRPr="00BC5221" w:rsidP="00B61BA0" w14:paraId="41C49E80" w14:textId="77777777">
      <w:pPr>
        <w:tabs>
          <w:tab w:val="left" w:pos="4320"/>
        </w:tabs>
        <w:ind w:left="4320"/>
      </w:pPr>
    </w:p>
    <w:p w:rsidR="00B61BA0" w:rsidRPr="00BC5221" w:rsidP="00B61BA0" w14:paraId="2F015B75" w14:textId="7639E9C6">
      <w:pPr>
        <w:keepNext/>
        <w:ind w:left="4320" w:right="-648"/>
        <w:outlineLvl w:val="0"/>
        <w:rPr>
          <w:b/>
        </w:rPr>
      </w:pPr>
      <w:r w:rsidRPr="00BC5221">
        <w:rPr>
          <w:b/>
        </w:rPr>
        <w:t>Office of the Ohio Consumers</w:t>
      </w:r>
      <w:r w:rsidR="00BC5221">
        <w:rPr>
          <w:b/>
        </w:rPr>
        <w:t>’</w:t>
      </w:r>
      <w:r w:rsidRPr="00BC5221">
        <w:rPr>
          <w:b/>
        </w:rPr>
        <w:t xml:space="preserve"> Counsel</w:t>
      </w:r>
    </w:p>
    <w:p w:rsidR="00B61BA0" w:rsidRPr="00BC5221" w:rsidP="00B61BA0" w14:paraId="621E71DE" w14:textId="77777777">
      <w:pPr>
        <w:keepNext/>
        <w:ind w:left="4320" w:right="-648"/>
        <w:outlineLvl w:val="0"/>
      </w:pPr>
      <w:r w:rsidRPr="00BC5221">
        <w:t>65 East State Street, Suite 700</w:t>
      </w:r>
    </w:p>
    <w:p w:rsidR="00B61BA0" w:rsidRPr="00BC5221" w:rsidP="00B61BA0" w14:paraId="45032DBC" w14:textId="77777777">
      <w:pPr>
        <w:keepNext/>
        <w:ind w:left="4320" w:right="-648"/>
        <w:outlineLvl w:val="0"/>
      </w:pPr>
      <w:r w:rsidRPr="00BC5221">
        <w:t>Columbus, Ohio 43215</w:t>
      </w:r>
    </w:p>
    <w:p w:rsidR="00B61BA0" w:rsidRPr="00BC5221" w:rsidP="00B61BA0" w14:paraId="25FE6834" w14:textId="77777777">
      <w:pPr>
        <w:autoSpaceDE w:val="0"/>
        <w:autoSpaceDN w:val="0"/>
        <w:adjustRightInd w:val="0"/>
        <w:ind w:left="4320"/>
        <w:jc w:val="both"/>
      </w:pPr>
      <w:r w:rsidRPr="00BC5221">
        <w:t>Telephone [Finnigan]: (614) 466-9585</w:t>
      </w:r>
    </w:p>
    <w:p w:rsidR="00B61BA0" w:rsidRPr="00BC5221" w:rsidP="00B61BA0" w14:paraId="2BF063BD" w14:textId="77777777">
      <w:pPr>
        <w:autoSpaceDE w:val="0"/>
        <w:autoSpaceDN w:val="0"/>
        <w:adjustRightInd w:val="0"/>
        <w:ind w:left="4320"/>
        <w:jc w:val="both"/>
      </w:pPr>
      <w:r w:rsidRPr="00BC5221">
        <w:t>Telephone [Brodbeck]: (614) 466-9565</w:t>
      </w:r>
    </w:p>
    <w:p w:rsidR="00B61BA0" w:rsidRPr="00BC5221" w:rsidP="00B61BA0" w14:paraId="402F2320" w14:textId="77777777">
      <w:pPr>
        <w:ind w:left="4320"/>
        <w:jc w:val="both"/>
      </w:pPr>
      <w:hyperlink r:id="rId6" w:history="1">
        <w:r w:rsidRPr="00BC5221">
          <w:rPr>
            <w:rStyle w:val="Hyperlink"/>
          </w:rPr>
          <w:t>john.finnigan@occ.ohio.gov</w:t>
        </w:r>
      </w:hyperlink>
    </w:p>
    <w:p w:rsidR="00B61BA0" w:rsidRPr="00BC5221" w:rsidP="00B61BA0" w14:paraId="6B6357D1" w14:textId="77777777">
      <w:pPr>
        <w:ind w:left="4320"/>
        <w:jc w:val="both"/>
      </w:pPr>
      <w:hyperlink r:id="rId7" w:history="1">
        <w:r w:rsidRPr="00BC5221">
          <w:rPr>
            <w:rStyle w:val="Hyperlink"/>
          </w:rPr>
          <w:t>thomas.brodbeck@occ.ohio.gov</w:t>
        </w:r>
      </w:hyperlink>
    </w:p>
    <w:p w:rsidR="00B61BA0" w:rsidRPr="00BC5221" w:rsidP="00B61BA0" w14:paraId="5D2CDAEB" w14:textId="77777777">
      <w:pPr>
        <w:ind w:left="4320" w:hanging="4320"/>
        <w:jc w:val="both"/>
      </w:pPr>
      <w:r w:rsidRPr="00BC5221">
        <w:tab/>
        <w:t>(willing to accept service by e-mail)</w:t>
      </w:r>
    </w:p>
    <w:p w:rsidR="00983F12" w:rsidRPr="00BC5221" w14:paraId="45BFE1A7" w14:textId="34F9FA07">
      <w:pPr>
        <w:rPr>
          <w:b/>
          <w:u w:val="single"/>
        </w:rPr>
      </w:pPr>
      <w:r w:rsidRPr="00BC5221">
        <w:br w:type="page"/>
      </w:r>
    </w:p>
    <w:p w:rsidR="00A5637F" w:rsidRPr="00BC5221" w:rsidP="00DB6639" w14:paraId="610DF17B" w14:textId="7C6B91A8">
      <w:pPr>
        <w:pStyle w:val="ANSWER"/>
        <w:ind w:left="720"/>
        <w:jc w:val="center"/>
        <w:rPr>
          <w:b/>
          <w:szCs w:val="24"/>
          <w:u w:val="single"/>
        </w:rPr>
      </w:pPr>
      <w:r w:rsidRPr="00BC5221">
        <w:rPr>
          <w:b/>
          <w:szCs w:val="24"/>
          <w:u w:val="single"/>
        </w:rPr>
        <w:t>CERTIFICATE OF SERVICE</w:t>
      </w:r>
    </w:p>
    <w:p w:rsidR="00A044B5" w:rsidRPr="00BC5221" w:rsidP="008C24FE" w14:paraId="0F322DE7" w14:textId="1E86C1AB">
      <w:pPr>
        <w:spacing w:line="480" w:lineRule="auto"/>
      </w:pPr>
      <w:r w:rsidRPr="00BC5221">
        <w:tab/>
        <w:t>I hereby certify that a copy of the foregoing Motion to Intervene</w:t>
      </w:r>
      <w:r w:rsidRPr="00BC5221" w:rsidR="00114B63">
        <w:t xml:space="preserve"> </w:t>
      </w:r>
      <w:r w:rsidRPr="00BC5221">
        <w:t>has been served electronically upon those persons listed below this</w:t>
      </w:r>
      <w:r w:rsidRPr="00BC5221" w:rsidR="00D037AC">
        <w:t xml:space="preserve"> </w:t>
      </w:r>
      <w:r w:rsidRPr="00BC5221" w:rsidR="003042D1">
        <w:t>6</w:t>
      </w:r>
      <w:r w:rsidRPr="00BC5221" w:rsidR="003042D1">
        <w:rPr>
          <w:vertAlign w:val="superscript"/>
        </w:rPr>
        <w:t>th</w:t>
      </w:r>
      <w:r w:rsidRPr="00BC5221" w:rsidR="003042D1">
        <w:t xml:space="preserve"> </w:t>
      </w:r>
      <w:r w:rsidRPr="00BC5221">
        <w:t xml:space="preserve">day of </w:t>
      </w:r>
      <w:r w:rsidRPr="00BC5221" w:rsidR="008C24FE">
        <w:t>February</w:t>
      </w:r>
      <w:r w:rsidRPr="00BC5221">
        <w:t xml:space="preserve"> 20</w:t>
      </w:r>
      <w:r w:rsidRPr="00BC5221" w:rsidR="008C24FE">
        <w:t>24</w:t>
      </w:r>
      <w:r w:rsidRPr="00BC5221">
        <w:t>.</w:t>
      </w:r>
    </w:p>
    <w:p w:rsidR="000020FF" w:rsidRPr="00BC5221" w:rsidP="000020FF" w14:paraId="76B00DBC" w14:textId="7F5E8A45">
      <w:pPr>
        <w:tabs>
          <w:tab w:val="left" w:pos="4320"/>
        </w:tabs>
        <w:ind w:left="4320"/>
        <w:rPr>
          <w:i/>
          <w:iCs/>
          <w:u w:val="single"/>
        </w:rPr>
      </w:pPr>
      <w:r w:rsidRPr="00BC5221">
        <w:rPr>
          <w:i/>
          <w:iCs/>
          <w:u w:val="single"/>
        </w:rPr>
        <w:t>/s/ John Finnigan</w:t>
      </w:r>
    </w:p>
    <w:p w:rsidR="000020FF" w:rsidRPr="00BC5221" w:rsidP="008C24FE" w14:paraId="7219F520" w14:textId="64E774B2">
      <w:pPr>
        <w:tabs>
          <w:tab w:val="left" w:pos="4320"/>
        </w:tabs>
        <w:ind w:left="4320"/>
      </w:pPr>
      <w:r w:rsidRPr="00BC5221">
        <w:t>John Finnigan</w:t>
      </w:r>
    </w:p>
    <w:p w:rsidR="000020FF" w:rsidRPr="00BC5221" w:rsidP="000020FF" w14:paraId="68DDB586" w14:textId="37AED885">
      <w:pPr>
        <w:tabs>
          <w:tab w:val="left" w:pos="4320"/>
        </w:tabs>
      </w:pPr>
      <w:r w:rsidRPr="00BC5221">
        <w:tab/>
        <w:t>Assistant Consumers</w:t>
      </w:r>
      <w:r w:rsidR="00BC5221">
        <w:t>’</w:t>
      </w:r>
      <w:r w:rsidRPr="00BC5221">
        <w:t xml:space="preserve"> Counsel</w:t>
      </w:r>
    </w:p>
    <w:p w:rsidR="002C7D60" w:rsidRPr="00BC5221" w:rsidP="000020FF" w14:paraId="268A0765" w14:textId="1C89BAE9">
      <w:pPr>
        <w:tabs>
          <w:tab w:val="left" w:pos="4320"/>
        </w:tabs>
      </w:pPr>
    </w:p>
    <w:p w:rsidR="002C7D60" w:rsidRPr="00BC5221" w:rsidP="002C7D60" w14:paraId="184A87AF" w14:textId="48543CBF">
      <w:pPr>
        <w:pStyle w:val="CommentText"/>
      </w:pPr>
      <w:r w:rsidRPr="00BC5221">
        <w:t>The PUCO</w:t>
      </w:r>
      <w:r w:rsidR="00BC5221">
        <w:t>’</w:t>
      </w:r>
      <w:r w:rsidRPr="00BC5221">
        <w:t>s e-filing system will electronically serve notice of the filing of this document on the following parties:</w:t>
      </w:r>
    </w:p>
    <w:p w:rsidR="002C7D60" w:rsidRPr="00BC5221" w:rsidP="00DB6639" w14:paraId="7E43FDD1" w14:textId="77777777">
      <w:pPr>
        <w:tabs>
          <w:tab w:val="left" w:pos="4320"/>
        </w:tabs>
      </w:pPr>
    </w:p>
    <w:p w:rsidR="002C7D60" w:rsidRPr="00BC5221" w:rsidP="002C7D60" w14:paraId="116D3271" w14:textId="77777777">
      <w:pPr>
        <w:pStyle w:val="CommentText"/>
        <w:jc w:val="center"/>
        <w:rPr>
          <w:b/>
          <w:u w:val="single"/>
        </w:rPr>
      </w:pPr>
      <w:r w:rsidRPr="00BC5221">
        <w:rPr>
          <w:b/>
          <w:u w:val="single"/>
        </w:rPr>
        <w:t>SERVICE LIST</w:t>
      </w:r>
    </w:p>
    <w:p w:rsidR="00B65BFA" w:rsidRPr="00BC5221" w:rsidP="002C7D60" w14:paraId="157FDDB9" w14:textId="77777777">
      <w:pPr>
        <w:pStyle w:val="CommentText"/>
        <w:jc w:val="center"/>
        <w:rPr>
          <w:b/>
          <w:u w:val="single"/>
        </w:rPr>
      </w:pPr>
    </w:p>
    <w:tbl>
      <w:tblPr>
        <w:tblW w:w="8640" w:type="dxa"/>
        <w:tblInd w:w="0" w:type="dxa"/>
        <w:tblCellMar>
          <w:top w:w="0" w:type="dxa"/>
          <w:left w:w="108" w:type="dxa"/>
          <w:bottom w:w="0" w:type="dxa"/>
          <w:right w:w="108" w:type="dxa"/>
        </w:tblCellMar>
        <w:tblLook w:val="04A0"/>
      </w:tblPr>
      <w:tblGrid>
        <w:gridCol w:w="4320"/>
        <w:gridCol w:w="4320"/>
      </w:tblGrid>
      <w:tr w14:paraId="5C56951D" w14:textId="77777777" w:rsidTr="00DB6639">
        <w:tblPrEx>
          <w:tblW w:w="8640" w:type="dxa"/>
          <w:tblInd w:w="0" w:type="dxa"/>
          <w:tblCellMar>
            <w:top w:w="0" w:type="dxa"/>
            <w:left w:w="108" w:type="dxa"/>
            <w:bottom w:w="0" w:type="dxa"/>
            <w:right w:w="108" w:type="dxa"/>
          </w:tblCellMar>
          <w:tblLook w:val="04A0"/>
        </w:tblPrEx>
        <w:tc>
          <w:tcPr>
            <w:tcW w:w="4320" w:type="dxa"/>
            <w:shd w:val="clear" w:color="auto" w:fill="auto"/>
          </w:tcPr>
          <w:p w:rsidR="002C7D60" w:rsidP="00DB6639" w14:paraId="591E1F81" w14:textId="3BE104F8">
            <w:pPr>
              <w:rPr>
                <w:bCs/>
                <w:sz w:val="24"/>
                <w:szCs w:val="24"/>
                <w:lang w:val="en-US" w:eastAsia="en-US" w:bidi="ar-SA"/>
              </w:rPr>
            </w:pPr>
            <w:hyperlink r:id="rId14" w:history="1">
              <w:r w:rsidRPr="00326B2B" w:rsidR="00EF23C2">
                <w:rPr>
                  <w:rStyle w:val="Hyperlink"/>
                  <w:bCs/>
                  <w:color w:val="0000FF"/>
                  <w:sz w:val="24"/>
                  <w:szCs w:val="24"/>
                  <w:u w:val="single"/>
                  <w:lang w:val="en-US" w:eastAsia="en-US" w:bidi="ar-SA"/>
                </w:rPr>
                <w:t>john.jones@ohioago.gov</w:t>
              </w:r>
            </w:hyperlink>
          </w:p>
          <w:p w:rsidR="00EF23C2" w:rsidP="00DB6639" w14:paraId="70346963" w14:textId="767D8126">
            <w:pPr>
              <w:rPr>
                <w:sz w:val="24"/>
                <w:szCs w:val="24"/>
                <w:lang w:val="en-US" w:eastAsia="en-US" w:bidi="ar-SA"/>
              </w:rPr>
            </w:pPr>
            <w:hyperlink r:id="rId15" w:history="1">
              <w:r w:rsidRPr="00326B2B">
                <w:rPr>
                  <w:rStyle w:val="Hyperlink"/>
                  <w:color w:val="0000FF"/>
                  <w:sz w:val="24"/>
                  <w:szCs w:val="24"/>
                  <w:u w:val="single"/>
                  <w:lang w:val="en-US" w:eastAsia="en-US" w:bidi="ar-SA"/>
                </w:rPr>
                <w:t>mkurtz@BKLlawfirm.com</w:t>
              </w:r>
            </w:hyperlink>
          </w:p>
          <w:p w:rsidR="00EF23C2" w:rsidP="00DB6639" w14:paraId="3D6A5239" w14:textId="1C3BBE38">
            <w:pPr>
              <w:rPr>
                <w:sz w:val="24"/>
                <w:szCs w:val="24"/>
                <w:lang w:val="en-US" w:eastAsia="en-US" w:bidi="ar-SA"/>
              </w:rPr>
            </w:pPr>
            <w:hyperlink r:id="rId16" w:history="1">
              <w:r w:rsidRPr="00326B2B">
                <w:rPr>
                  <w:rStyle w:val="Hyperlink"/>
                  <w:color w:val="0000FF"/>
                  <w:sz w:val="24"/>
                  <w:szCs w:val="24"/>
                  <w:u w:val="single"/>
                  <w:lang w:val="en-US" w:eastAsia="en-US" w:bidi="ar-SA"/>
                </w:rPr>
                <w:t>jkylercohn@BKLlawfirm.com</w:t>
              </w:r>
            </w:hyperlink>
          </w:p>
          <w:p w:rsidR="00EF23C2" w:rsidP="00DB6639" w14:paraId="0A0EAABF" w14:textId="77777777">
            <w:pPr>
              <w:rPr>
                <w:sz w:val="24"/>
                <w:szCs w:val="24"/>
                <w:lang w:val="en-US" w:eastAsia="en-US" w:bidi="ar-SA"/>
              </w:rPr>
            </w:pPr>
          </w:p>
          <w:p w:rsidR="00EF23C2" w:rsidP="00DB6639" w14:paraId="2CC0B8AC" w14:textId="31ABD91D">
            <w:pPr>
              <w:rPr>
                <w:sz w:val="24"/>
                <w:szCs w:val="24"/>
                <w:lang w:val="en-US" w:eastAsia="en-US" w:bidi="ar-SA"/>
              </w:rPr>
            </w:pPr>
            <w:r>
              <w:rPr>
                <w:sz w:val="24"/>
                <w:szCs w:val="24"/>
                <w:lang w:val="en-US" w:eastAsia="en-US" w:bidi="ar-SA"/>
              </w:rPr>
              <w:t>Attorney Examiners:</w:t>
            </w:r>
          </w:p>
          <w:p w:rsidR="00EF23C2" w:rsidP="00DB6639" w14:paraId="3FC6EF24" w14:textId="3FBF928C">
            <w:pPr>
              <w:rPr>
                <w:sz w:val="24"/>
                <w:szCs w:val="24"/>
                <w:lang w:val="en-US" w:eastAsia="en-US" w:bidi="ar-SA"/>
              </w:rPr>
            </w:pPr>
            <w:hyperlink r:id="rId17" w:history="1">
              <w:r w:rsidRPr="00326B2B">
                <w:rPr>
                  <w:rStyle w:val="Hyperlink"/>
                  <w:color w:val="0000FF"/>
                  <w:sz w:val="24"/>
                  <w:szCs w:val="24"/>
                  <w:u w:val="single"/>
                  <w:lang w:val="en-US" w:eastAsia="en-US" w:bidi="ar-SA"/>
                </w:rPr>
                <w:t>matthew.sandor@puco.ohio.gov</w:t>
              </w:r>
            </w:hyperlink>
          </w:p>
          <w:p w:rsidR="00EF23C2" w:rsidP="00DB6639" w14:paraId="228A87C8" w14:textId="3EC26620">
            <w:pPr>
              <w:rPr>
                <w:sz w:val="24"/>
                <w:szCs w:val="24"/>
                <w:lang w:val="en-US" w:eastAsia="en-US" w:bidi="ar-SA"/>
              </w:rPr>
            </w:pPr>
            <w:hyperlink r:id="rId18" w:history="1">
              <w:r w:rsidRPr="00326B2B">
                <w:rPr>
                  <w:rStyle w:val="Hyperlink"/>
                  <w:color w:val="0000FF"/>
                  <w:sz w:val="24"/>
                  <w:szCs w:val="24"/>
                  <w:u w:val="single"/>
                  <w:lang w:val="en-US" w:eastAsia="en-US" w:bidi="ar-SA"/>
                </w:rPr>
                <w:t>nicholas.walstra@puco.ohio.gov</w:t>
              </w:r>
            </w:hyperlink>
          </w:p>
          <w:p w:rsidR="00EF23C2" w:rsidP="00DB6639" w14:paraId="04584C78" w14:textId="77777777">
            <w:pPr>
              <w:rPr>
                <w:sz w:val="24"/>
                <w:szCs w:val="24"/>
                <w:lang w:val="en-US" w:eastAsia="en-US" w:bidi="ar-SA"/>
              </w:rPr>
            </w:pPr>
          </w:p>
          <w:p w:rsidR="00EF23C2" w:rsidRPr="00BC5221" w:rsidP="00DB6639" w14:paraId="73F93B56" w14:textId="47D08FC2">
            <w:pPr>
              <w:rPr>
                <w:bCs/>
                <w:sz w:val="24"/>
                <w:szCs w:val="24"/>
                <w:lang w:val="en-US" w:eastAsia="en-US" w:bidi="ar-SA"/>
              </w:rPr>
            </w:pPr>
          </w:p>
        </w:tc>
        <w:tc>
          <w:tcPr>
            <w:tcW w:w="4320" w:type="dxa"/>
            <w:shd w:val="clear" w:color="auto" w:fill="auto"/>
          </w:tcPr>
          <w:p w:rsidR="00B16E80" w:rsidP="00B16E80" w14:paraId="67F81D87" w14:textId="7736D3A3">
            <w:pPr>
              <w:ind w:left="341"/>
              <w:rPr>
                <w:sz w:val="24"/>
                <w:szCs w:val="24"/>
                <w:lang w:val="en-US" w:eastAsia="en-US" w:bidi="ar-SA"/>
              </w:rPr>
            </w:pPr>
            <w:hyperlink r:id="rId19" w:history="1">
              <w:r w:rsidRPr="00326B2B">
                <w:rPr>
                  <w:rStyle w:val="Hyperlink"/>
                  <w:color w:val="0000FF"/>
                  <w:sz w:val="24"/>
                  <w:szCs w:val="24"/>
                  <w:u w:val="single"/>
                  <w:lang w:val="en-US" w:eastAsia="en-US" w:bidi="ar-SA"/>
                </w:rPr>
                <w:t>Rocco.DAscenzo@duke-energy.com</w:t>
              </w:r>
            </w:hyperlink>
          </w:p>
          <w:p w:rsidR="00B16E80" w:rsidP="00B16E80" w14:paraId="048A5340" w14:textId="72D1BB10">
            <w:pPr>
              <w:ind w:left="341"/>
              <w:rPr>
                <w:sz w:val="24"/>
                <w:szCs w:val="24"/>
                <w:lang w:val="en-US" w:eastAsia="en-US" w:bidi="ar-SA"/>
              </w:rPr>
            </w:pPr>
            <w:hyperlink r:id="rId20" w:history="1">
              <w:r w:rsidRPr="00326B2B">
                <w:rPr>
                  <w:rStyle w:val="Hyperlink"/>
                  <w:color w:val="0000FF"/>
                  <w:sz w:val="24"/>
                  <w:szCs w:val="24"/>
                  <w:u w:val="single"/>
                  <w:lang w:val="en-US" w:eastAsia="en-US" w:bidi="ar-SA"/>
                </w:rPr>
                <w:t>Jeanne.kingery@duke-energy.com</w:t>
              </w:r>
            </w:hyperlink>
          </w:p>
          <w:p w:rsidR="00B16E80" w:rsidP="00B16E80" w14:paraId="6F830E63" w14:textId="75D38CFC">
            <w:pPr>
              <w:ind w:left="341"/>
              <w:rPr>
                <w:sz w:val="24"/>
                <w:szCs w:val="24"/>
                <w:lang w:val="en-US" w:eastAsia="en-US" w:bidi="ar-SA"/>
              </w:rPr>
            </w:pPr>
            <w:hyperlink r:id="rId21" w:history="1">
              <w:r w:rsidRPr="00326B2B">
                <w:rPr>
                  <w:rStyle w:val="Hyperlink"/>
                  <w:color w:val="0000FF"/>
                  <w:sz w:val="24"/>
                  <w:szCs w:val="24"/>
                  <w:u w:val="single"/>
                  <w:lang w:val="en-US" w:eastAsia="en-US" w:bidi="ar-SA"/>
                </w:rPr>
                <w:t>Larisa.Vaysman@duke-energy.com</w:t>
              </w:r>
            </w:hyperlink>
          </w:p>
          <w:p w:rsidR="002C7D60" w:rsidP="00B16E80" w14:paraId="7E07A6E1" w14:textId="428EFBC2">
            <w:pPr>
              <w:ind w:left="341"/>
              <w:rPr>
                <w:sz w:val="24"/>
                <w:szCs w:val="24"/>
                <w:lang w:val="en-US" w:eastAsia="en-US" w:bidi="ar-SA"/>
              </w:rPr>
            </w:pPr>
            <w:hyperlink r:id="rId22" w:history="1">
              <w:r w:rsidRPr="00326B2B" w:rsidR="00B16E80">
                <w:rPr>
                  <w:rStyle w:val="Hyperlink"/>
                  <w:color w:val="0000FF"/>
                  <w:sz w:val="24"/>
                  <w:szCs w:val="24"/>
                  <w:u w:val="single"/>
                  <w:lang w:val="en-US" w:eastAsia="en-US" w:bidi="ar-SA"/>
                </w:rPr>
                <w:t>Elyse.Akhbari@duke-energy.com</w:t>
              </w:r>
            </w:hyperlink>
          </w:p>
          <w:p w:rsidR="00B16E80" w:rsidRPr="00BC5221" w:rsidP="00B16E80" w14:paraId="3B663D9D" w14:textId="4FD4933C">
            <w:pPr>
              <w:ind w:left="341"/>
              <w:rPr>
                <w:bCs/>
                <w:sz w:val="24"/>
                <w:szCs w:val="24"/>
                <w:lang w:val="en-US" w:eastAsia="en-US" w:bidi="ar-SA"/>
              </w:rPr>
            </w:pPr>
          </w:p>
        </w:tc>
      </w:tr>
    </w:tbl>
    <w:p w:rsidR="00A5637F" w:rsidRPr="00BC5221" w:rsidP="00DB6639" w14:paraId="00A354A7" w14:textId="77777777">
      <w:pPr>
        <w:tabs>
          <w:tab w:val="left" w:pos="4320"/>
        </w:tabs>
      </w:pPr>
    </w:p>
    <w:sectPr w:rsidSect="00F51A53">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AB3" w14:paraId="5690B1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7190339"/>
      <w:docPartObj>
        <w:docPartGallery w:val="Page Numbers (Bottom of Page)"/>
        <w:docPartUnique/>
      </w:docPartObj>
    </w:sdtPr>
    <w:sdtEndPr>
      <w:rPr>
        <w:noProof/>
      </w:rPr>
    </w:sdtEndPr>
    <w:sdtContent>
      <w:p w:rsidR="008936C2" w:rsidRPr="000F0A9C" w:rsidP="000F0A9C" w14:paraId="515FFC7A" w14:textId="18917D07">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87F" w:rsidP="00DB6639" w14:paraId="18E08110" w14:textId="3BB02CFC">
    <w:pPr>
      <w:pStyle w:val="Footer"/>
      <w:spacing w:line="240" w:lineRule="auto"/>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7DDC93F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9023565"/>
      <w:docPartObj>
        <w:docPartGallery w:val="Page Numbers (Bottom of Page)"/>
        <w:docPartUnique/>
      </w:docPartObj>
    </w:sdtPr>
    <w:sdtEndPr>
      <w:rPr>
        <w:noProof/>
      </w:rPr>
    </w:sdtEndPr>
    <w:sdtContent>
      <w:p w:rsidR="00983F12" w:rsidP="0021581F" w14:paraId="6D62D1F4" w14:textId="19E2624A">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0248183"/>
      <w:docPartObj>
        <w:docPartGallery w:val="Page Numbers (Bottom of Page)"/>
        <w:docPartUnique/>
      </w:docPartObj>
    </w:sdtPr>
    <w:sdtEndPr>
      <w:rPr>
        <w:noProof/>
      </w:rPr>
    </w:sdtEndPr>
    <w:sdtContent>
      <w:p w:rsidR="00983F12" w:rsidP="0021581F" w14:paraId="12F85826" w14:textId="10663417">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1A53" w14:paraId="126AECFD" w14:textId="77777777">
      <w:r>
        <w:separator/>
      </w:r>
    </w:p>
  </w:footnote>
  <w:footnote w:type="continuationSeparator" w:id="1">
    <w:p w:rsidR="00F51A53" w14:paraId="7A6C1797" w14:textId="77777777">
      <w:r>
        <w:continuationSeparator/>
      </w:r>
    </w:p>
  </w:footnote>
  <w:footnote w:type="continuationNotice" w:id="2">
    <w:p w:rsidR="00F51A53" w14:paraId="54978A71" w14:textId="77777777"/>
  </w:footnote>
  <w:footnote w:id="3">
    <w:p w:rsidR="00144EC4" w:rsidP="004978F3" w14:paraId="63AF05CD" w14:textId="5E10A57B">
      <w:pPr>
        <w:pStyle w:val="FootnoteText"/>
        <w:spacing w:before="0" w:after="120"/>
      </w:pPr>
      <w:r>
        <w:rPr>
          <w:rStyle w:val="FootnoteReference"/>
        </w:rPr>
        <w:footnoteRef/>
      </w:r>
      <w:r>
        <w:t xml:space="preserve"> </w:t>
      </w:r>
      <w:r w:rsidR="006E1285">
        <w:rPr>
          <w:i/>
          <w:iCs/>
        </w:rPr>
        <w:t xml:space="preserve">In the Matter of the Application of Duke Energy Ohio, Inc., for Authority to Adjust </w:t>
      </w:r>
      <w:r w:rsidR="009B4AD2">
        <w:rPr>
          <w:i/>
          <w:iCs/>
        </w:rPr>
        <w:t>I</w:t>
      </w:r>
      <w:r w:rsidR="006E1285">
        <w:rPr>
          <w:i/>
          <w:iCs/>
        </w:rPr>
        <w:t>ts Power Future Initiatives Rider</w:t>
      </w:r>
      <w:r w:rsidR="006E1285">
        <w:t>, 24-39-EL-RDR</w:t>
      </w:r>
      <w:r w:rsidR="00162FF5">
        <w:t>,</w:t>
      </w:r>
      <w:r w:rsidR="006E1285">
        <w:t xml:space="preserve"> </w:t>
      </w:r>
      <w:r w:rsidR="00496355">
        <w:t xml:space="preserve">Direct Testimony of Jay P. Brown on Behalf of Duke Energy Ohio, Inc. (Feb. 9, 2024) </w:t>
      </w:r>
      <w:r w:rsidR="006E1285">
        <w:t>at 5-7.</w:t>
      </w:r>
    </w:p>
  </w:footnote>
  <w:footnote w:id="4">
    <w:p w:rsidR="00011BDC" w:rsidRPr="00011BDC" w:rsidP="004978F3" w14:paraId="2BF59028" w14:textId="25FA0C53">
      <w:pPr>
        <w:pStyle w:val="FootnoteText"/>
        <w:spacing w:before="0" w:after="120"/>
      </w:pPr>
      <w:r>
        <w:rPr>
          <w:rStyle w:val="FootnoteReference"/>
        </w:rPr>
        <w:footnoteRef/>
      </w:r>
      <w:r>
        <w:t xml:space="preserve"> </w:t>
      </w:r>
      <w:r>
        <w:rPr>
          <w:i/>
          <w:iCs/>
        </w:rPr>
        <w:t>Id.</w:t>
      </w:r>
    </w:p>
  </w:footnote>
  <w:footnote w:id="5">
    <w:p w:rsidR="00144EC4" w:rsidP="004978F3" w14:paraId="5CC20E95" w14:textId="61E458B6">
      <w:pPr>
        <w:pStyle w:val="FootnoteText"/>
        <w:spacing w:before="0" w:after="120"/>
      </w:pPr>
      <w:r>
        <w:rPr>
          <w:rStyle w:val="FootnoteReference"/>
        </w:rPr>
        <w:footnoteRef/>
      </w:r>
      <w:r w:rsidR="00782A3C">
        <w:rPr>
          <w:i/>
          <w:iCs/>
        </w:rPr>
        <w:t xml:space="preserve"> </w:t>
      </w:r>
      <w:r w:rsidR="006E1285">
        <w:rPr>
          <w:i/>
          <w:iCs/>
        </w:rPr>
        <w:t>Id.</w:t>
      </w:r>
      <w:r w:rsidR="006E1285">
        <w:t xml:space="preserve"> at 7; </w:t>
      </w:r>
      <w:r w:rsidR="006E1285">
        <w:rPr>
          <w:i/>
          <w:iCs/>
        </w:rPr>
        <w:t xml:space="preserve">In the Matter of the Application of Duke Energy Ohio, Inc. for Authority to Adjust </w:t>
      </w:r>
      <w:r w:rsidR="0057797B">
        <w:rPr>
          <w:i/>
          <w:iCs/>
        </w:rPr>
        <w:t>I</w:t>
      </w:r>
      <w:r w:rsidR="006E1285">
        <w:rPr>
          <w:i/>
          <w:iCs/>
        </w:rPr>
        <w:t xml:space="preserve">ts Power Future Initiatives Rider, </w:t>
      </w:r>
      <w:r w:rsidR="006E1285">
        <w:t>24-39-EL-RDR</w:t>
      </w:r>
      <w:r w:rsidR="00162FF5">
        <w:t>,</w:t>
      </w:r>
      <w:r w:rsidR="006E1285">
        <w:t xml:space="preserve"> </w:t>
      </w:r>
      <w:r w:rsidR="00496355">
        <w:t>Duke</w:t>
      </w:r>
      <w:r w:rsidR="00BC5221">
        <w:t>’</w:t>
      </w:r>
      <w:r w:rsidR="00496355">
        <w:t xml:space="preserve">s Application (Feb. 9, 2024) </w:t>
      </w:r>
      <w:r w:rsidR="006E1285">
        <w:t xml:space="preserve">at </w:t>
      </w:r>
      <w:r w:rsidRPr="00751A23" w:rsidR="006E1285">
        <w:t>¶</w:t>
      </w:r>
      <w:r w:rsidRPr="00751A23" w:rsidR="00913F30">
        <w:t>¶</w:t>
      </w:r>
      <w:r w:rsidR="00913F30">
        <w:t xml:space="preserve"> </w:t>
      </w:r>
      <w:r w:rsidR="006E1285">
        <w:t>19-20.</w:t>
      </w:r>
      <w:r>
        <w:t xml:space="preserve"> </w:t>
      </w:r>
    </w:p>
  </w:footnote>
  <w:footnote w:id="6">
    <w:p w:rsidR="00011BDC" w:rsidRPr="00011BDC" w:rsidP="004978F3" w14:paraId="7B30F3CC" w14:textId="22FEC5C2">
      <w:pPr>
        <w:pStyle w:val="FootnoteText"/>
        <w:spacing w:before="0" w:after="120"/>
      </w:pPr>
      <w:r>
        <w:rPr>
          <w:rStyle w:val="FootnoteReference"/>
        </w:rPr>
        <w:footnoteRef/>
      </w:r>
      <w:r>
        <w:t xml:space="preserve"> </w:t>
      </w:r>
      <w:r w:rsidR="00671262">
        <w:t>Direct Testimony of Jay P. Brown</w:t>
      </w:r>
      <w:r>
        <w:t xml:space="preserve"> at 7.</w:t>
      </w:r>
    </w:p>
  </w:footnote>
  <w:footnote w:id="7">
    <w:p w:rsidR="0031008C" w:rsidRPr="00C448E6" w:rsidP="004978F3" w14:paraId="3090BA31" w14:textId="09B6601D">
      <w:pPr>
        <w:pStyle w:val="FootnoteText"/>
        <w:spacing w:before="0" w:after="120"/>
      </w:pPr>
      <w:r>
        <w:rPr>
          <w:rStyle w:val="FootnoteReference"/>
        </w:rPr>
        <w:footnoteRef/>
      </w:r>
      <w:r>
        <w:t xml:space="preserve"> </w:t>
      </w:r>
      <w:r w:rsidR="00671262">
        <w:t>Duke</w:t>
      </w:r>
      <w:r w:rsidR="00BC5221">
        <w:t>’</w:t>
      </w:r>
      <w:r w:rsidR="00671262">
        <w:t>s Application</w:t>
      </w:r>
      <w:r>
        <w:t xml:space="preserve"> at </w:t>
      </w:r>
      <w:r w:rsidRPr="00751A23">
        <w:t>¶¶</w:t>
      </w:r>
      <w:r>
        <w:t xml:space="preserve"> 19-20.</w:t>
      </w:r>
    </w:p>
  </w:footnote>
  <w:footnote w:id="8">
    <w:p w:rsidR="00C826DE" w:rsidP="004978F3" w14:paraId="26E889CD" w14:textId="40903704">
      <w:pPr>
        <w:pStyle w:val="FootnoteText"/>
        <w:spacing w:before="0" w:after="120"/>
      </w:pPr>
      <w:r>
        <w:rPr>
          <w:rStyle w:val="FootnoteReference"/>
        </w:rPr>
        <w:footnoteRef/>
      </w:r>
      <w:r w:rsidR="00782A3C">
        <w:t xml:space="preserve"> </w:t>
      </w:r>
      <w:r w:rsidR="00671262">
        <w:rPr>
          <w:i/>
          <w:iCs/>
        </w:rPr>
        <w:t>Id.</w:t>
      </w:r>
      <w:r w:rsidR="00A7164E">
        <w:t xml:space="preserve">; </w:t>
      </w:r>
      <w:r w:rsidRPr="003F16B4" w:rsidR="00A7164E">
        <w:rPr>
          <w:i/>
          <w:iCs/>
        </w:rPr>
        <w:t>see also</w:t>
      </w:r>
      <w:r w:rsidR="00A7164E">
        <w:t xml:space="preserve"> </w:t>
      </w:r>
      <w:r w:rsidR="00A7164E">
        <w:rPr>
          <w:i/>
          <w:iCs/>
        </w:rPr>
        <w:t xml:space="preserve">In the Matter of the Application of Duke Energy Ohio, Inc. for Authority to Adjust </w:t>
      </w:r>
      <w:r w:rsidR="002B77EC">
        <w:rPr>
          <w:i/>
          <w:iCs/>
        </w:rPr>
        <w:t>I</w:t>
      </w:r>
      <w:r w:rsidR="00A7164E">
        <w:rPr>
          <w:i/>
          <w:iCs/>
        </w:rPr>
        <w:t>ts Power Forward Rider</w:t>
      </w:r>
      <w:r w:rsidR="00A7164E">
        <w:t xml:space="preserve">, 19-1750-EL-UNC, </w:t>
      </w:r>
      <w:r w:rsidRPr="00D46897" w:rsidR="00A7164E">
        <w:t>et al.,</w:t>
      </w:r>
      <w:r w:rsidR="00A7164E">
        <w:t xml:space="preserve"> Stipulation and Recommendation (Aug. 2, 2023) at 5-7</w:t>
      </w:r>
      <w:r w:rsidR="00C448E6">
        <w:t>.</w:t>
      </w:r>
    </w:p>
  </w:footnote>
  <w:footnote w:id="9">
    <w:p w:rsidR="00C826DE" w:rsidRPr="00C448E6" w:rsidP="004978F3" w14:paraId="41FB4C99" w14:textId="537236FD">
      <w:pPr>
        <w:pStyle w:val="FootnoteText"/>
        <w:spacing w:before="0" w:after="120"/>
      </w:pPr>
      <w:r>
        <w:rPr>
          <w:rStyle w:val="FootnoteReference"/>
        </w:rPr>
        <w:footnoteRef/>
      </w:r>
      <w:r>
        <w:t xml:space="preserve"> </w:t>
      </w:r>
      <w:r w:rsidR="00C448E6">
        <w:rPr>
          <w:i/>
          <w:iCs/>
        </w:rPr>
        <w:t>Id.</w:t>
      </w:r>
      <w:r w:rsidR="00C448E6">
        <w:t xml:space="preserve"> at </w:t>
      </w:r>
      <w:r w:rsidRPr="00751A23" w:rsidR="00C448E6">
        <w:t>¶</w:t>
      </w:r>
      <w:r w:rsidR="00914DFB">
        <w:t xml:space="preserve"> </w:t>
      </w:r>
      <w:r w:rsidR="00C448E6">
        <w:t>15.</w:t>
      </w:r>
    </w:p>
  </w:footnote>
  <w:footnote w:id="10">
    <w:p w:rsidR="00981309" w:rsidRPr="00AF282D" w:rsidP="004978F3" w14:paraId="75803DCC" w14:textId="39D96094">
      <w:pPr>
        <w:pStyle w:val="FootnoteText"/>
        <w:spacing w:before="0" w:after="120"/>
      </w:pPr>
      <w:r>
        <w:rPr>
          <w:rStyle w:val="FootnoteReference"/>
        </w:rPr>
        <w:footnoteRef/>
      </w:r>
      <w:r w:rsidR="00782A3C">
        <w:t xml:space="preserve"> </w:t>
      </w:r>
      <w:r w:rsidR="00AF282D">
        <w:t>Direct Testimony of Jay P. Brown at 5.</w:t>
      </w:r>
    </w:p>
  </w:footnote>
  <w:footnote w:id="11">
    <w:p w:rsidR="00981309" w:rsidRPr="00AF282D" w:rsidP="004978F3" w14:paraId="45CC43ED" w14:textId="04FD4A83">
      <w:pPr>
        <w:pStyle w:val="FootnoteText"/>
        <w:spacing w:before="0" w:after="120"/>
      </w:pPr>
      <w:r>
        <w:rPr>
          <w:rStyle w:val="FootnoteReference"/>
        </w:rPr>
        <w:footnoteRef/>
      </w:r>
      <w:r>
        <w:t xml:space="preserve"> </w:t>
      </w:r>
      <w:r w:rsidR="00AF282D">
        <w:rPr>
          <w:i/>
          <w:iCs/>
        </w:rPr>
        <w:t>Id.</w:t>
      </w:r>
      <w:r w:rsidR="00AF282D">
        <w:t xml:space="preserve"> at 6-7.</w:t>
      </w:r>
    </w:p>
  </w:footnote>
  <w:footnote w:id="12">
    <w:p w:rsidR="00981309" w:rsidP="004978F3" w14:paraId="3B2D430B" w14:textId="79FDA4C5">
      <w:pPr>
        <w:pStyle w:val="FootnoteText"/>
        <w:spacing w:before="0" w:after="120"/>
      </w:pPr>
      <w:r>
        <w:rPr>
          <w:rStyle w:val="FootnoteReference"/>
        </w:rPr>
        <w:footnoteRef/>
      </w:r>
      <w:r w:rsidR="005D7310">
        <w:rPr>
          <w:i/>
          <w:iCs/>
        </w:rPr>
        <w:t xml:space="preserve"> </w:t>
      </w:r>
      <w:r w:rsidR="000E7AB6">
        <w:rPr>
          <w:i/>
          <w:iCs/>
        </w:rPr>
        <w:t>Id.</w:t>
      </w:r>
    </w:p>
  </w:footnote>
  <w:footnote w:id="13">
    <w:p w:rsidR="004F7170" w:rsidRPr="000E7AB6" w:rsidP="004978F3" w14:paraId="547E8342" w14:textId="12A707CA">
      <w:pPr>
        <w:pStyle w:val="FootnoteText"/>
        <w:spacing w:before="0" w:after="120"/>
      </w:pPr>
      <w:r>
        <w:rPr>
          <w:rStyle w:val="FootnoteReference"/>
        </w:rPr>
        <w:footnoteRef/>
      </w:r>
      <w:r w:rsidR="005D7310">
        <w:rPr>
          <w:i/>
          <w:iCs/>
        </w:rPr>
        <w:t xml:space="preserve"> </w:t>
      </w:r>
      <w:r w:rsidR="000E7AB6">
        <w:rPr>
          <w:i/>
          <w:iCs/>
        </w:rPr>
        <w:t>Id.</w:t>
      </w:r>
      <w:r w:rsidR="000E7AB6">
        <w:t xml:space="preserve"> at 7-8.</w:t>
      </w:r>
    </w:p>
  </w:footnote>
  <w:footnote w:id="14">
    <w:p w:rsidR="000E4702" w:rsidRPr="00046DBD" w:rsidP="004978F3" w14:paraId="1F7357D9" w14:textId="78451C1D">
      <w:pPr>
        <w:pStyle w:val="FootnoteText"/>
        <w:spacing w:before="0" w:after="120"/>
      </w:pPr>
      <w:r>
        <w:rPr>
          <w:rStyle w:val="FootnoteReference"/>
        </w:rPr>
        <w:footnoteRef/>
      </w:r>
      <w:r w:rsidR="005D7310">
        <w:rPr>
          <w:i/>
          <w:iCs/>
        </w:rPr>
        <w:t xml:space="preserve"> </w:t>
      </w:r>
      <w:r w:rsidR="00F8326B">
        <w:rPr>
          <w:i/>
          <w:iCs/>
        </w:rPr>
        <w:t xml:space="preserve">In the Matter of the Application of Duke Energy Ohio, Inc. for Authority to Adjust </w:t>
      </w:r>
      <w:r w:rsidR="00BB05DF">
        <w:rPr>
          <w:i/>
          <w:iCs/>
        </w:rPr>
        <w:t>I</w:t>
      </w:r>
      <w:r w:rsidR="00F8326B">
        <w:rPr>
          <w:i/>
          <w:iCs/>
        </w:rPr>
        <w:t>ts Power Future Initiatives Rider</w:t>
      </w:r>
      <w:r w:rsidR="00751A23">
        <w:t>, 22-163-EL-RDR</w:t>
      </w:r>
      <w:r w:rsidR="001454F5">
        <w:t>,</w:t>
      </w:r>
      <w:r w:rsidR="00751A23">
        <w:t xml:space="preserve"> </w:t>
      </w:r>
      <w:r w:rsidR="001454F5">
        <w:t xml:space="preserve">Finding and Order (Jan. 24, 2024) </w:t>
      </w:r>
      <w:r w:rsidR="00751A23">
        <w:t xml:space="preserve">at </w:t>
      </w:r>
      <w:r w:rsidRPr="00046DBD" w:rsidR="00751A23">
        <w:t>¶ 7</w:t>
      </w:r>
      <w:r w:rsidR="00751A23">
        <w:t xml:space="preserve"> (OCC intervention granted); </w:t>
      </w:r>
      <w:r w:rsidR="00751A23">
        <w:rPr>
          <w:i/>
          <w:iCs/>
        </w:rPr>
        <w:t xml:space="preserve">In the Matter of the Application of Duke Energy Ohio, Inc. for Authority to Adjust </w:t>
      </w:r>
      <w:r w:rsidR="00BB05DF">
        <w:rPr>
          <w:i/>
          <w:iCs/>
        </w:rPr>
        <w:t>I</w:t>
      </w:r>
      <w:r w:rsidR="00F8326B">
        <w:rPr>
          <w:i/>
          <w:iCs/>
        </w:rPr>
        <w:t>ts Power Future Initiatives Rider</w:t>
      </w:r>
      <w:r w:rsidR="00751A23">
        <w:t>, 21-12-EL-RDR</w:t>
      </w:r>
      <w:r w:rsidR="001454F5">
        <w:t>,</w:t>
      </w:r>
      <w:r w:rsidR="00751A23">
        <w:t xml:space="preserve"> </w:t>
      </w:r>
      <w:r w:rsidR="001454F5">
        <w:t>Attorney Examiner Entry (Mar</w:t>
      </w:r>
      <w:r w:rsidR="00BB05DF">
        <w:t>ch</w:t>
      </w:r>
      <w:r w:rsidR="001454F5">
        <w:t xml:space="preserve"> 10, 2022) </w:t>
      </w:r>
      <w:r w:rsidR="00751A23">
        <w:t xml:space="preserve">at </w:t>
      </w:r>
      <w:r w:rsidRPr="00751A23" w:rsidR="00751A23">
        <w:t>¶ 5</w:t>
      </w:r>
      <w:r w:rsidR="00751A23">
        <w:t xml:space="preserve"> (OCC intervention granted); </w:t>
      </w:r>
      <w:r w:rsidR="00F8326B">
        <w:rPr>
          <w:i/>
          <w:iCs/>
        </w:rPr>
        <w:t xml:space="preserve">In the Matter of the Application of Duke Energy Ohio, Inc. for Authority to Adjust </w:t>
      </w:r>
      <w:r w:rsidR="003756B3">
        <w:rPr>
          <w:i/>
          <w:iCs/>
        </w:rPr>
        <w:t>I</w:t>
      </w:r>
      <w:r w:rsidR="00F8326B">
        <w:rPr>
          <w:i/>
          <w:iCs/>
        </w:rPr>
        <w:t>ts Power Future Initiatives Rider</w:t>
      </w:r>
      <w:r w:rsidR="00F8326B">
        <w:t>, 20-666-EL-RDR</w:t>
      </w:r>
      <w:r w:rsidR="001454F5">
        <w:t>,</w:t>
      </w:r>
      <w:r w:rsidR="00AC23F8">
        <w:t xml:space="preserve"> Attorney Examiner</w:t>
      </w:r>
      <w:r w:rsidR="00F8326B">
        <w:t xml:space="preserve"> </w:t>
      </w:r>
      <w:r w:rsidR="001454F5">
        <w:t xml:space="preserve">Entry (Feb. 3, 2021) </w:t>
      </w:r>
      <w:r w:rsidR="00F8326B">
        <w:t xml:space="preserve">at </w:t>
      </w:r>
      <w:r w:rsidRPr="00F8326B" w:rsidR="00F8326B">
        <w:t>¶ 5</w:t>
      </w:r>
      <w:r w:rsidR="00F8326B">
        <w:t xml:space="preserve"> (OCC intervention granted);</w:t>
      </w:r>
      <w:r w:rsidR="001911DF">
        <w:t xml:space="preserve"> </w:t>
      </w:r>
      <w:r w:rsidR="001911DF">
        <w:rPr>
          <w:i/>
          <w:iCs/>
        </w:rPr>
        <w:t xml:space="preserve">In the Matter of the Application of Duke Energy Ohio, Inc. for Authority to Adjust Its </w:t>
      </w:r>
      <w:r w:rsidR="00046DBD">
        <w:rPr>
          <w:i/>
          <w:iCs/>
        </w:rPr>
        <w:t xml:space="preserve">Power Future Initiatives </w:t>
      </w:r>
      <w:r w:rsidR="001911DF">
        <w:rPr>
          <w:i/>
          <w:iCs/>
        </w:rPr>
        <w:t>Rider</w:t>
      </w:r>
      <w:r w:rsidR="001911DF">
        <w:t>, 19-1750-EL-UNC</w:t>
      </w:r>
      <w:r w:rsidR="00AC23F8">
        <w:t>,</w:t>
      </w:r>
      <w:r w:rsidR="00AB1F48">
        <w:t xml:space="preserve"> et al.,</w:t>
      </w:r>
      <w:r w:rsidR="001911DF">
        <w:t xml:space="preserve"> </w:t>
      </w:r>
      <w:r w:rsidR="00AC23F8">
        <w:t xml:space="preserve">Attorney Examiner </w:t>
      </w:r>
      <w:r w:rsidRPr="00F8326B" w:rsidR="00AC23F8">
        <w:t>Entry</w:t>
      </w:r>
      <w:r w:rsidR="00AC23F8">
        <w:t xml:space="preserve"> (Aug. 21, 2023) </w:t>
      </w:r>
      <w:r w:rsidR="00751A23">
        <w:t xml:space="preserve">at </w:t>
      </w:r>
      <w:r w:rsidRPr="001911DF" w:rsidR="00751A23">
        <w:t xml:space="preserve">¶ </w:t>
      </w:r>
      <w:r w:rsidR="00751A23">
        <w:t xml:space="preserve">5 </w:t>
      </w:r>
      <w:r w:rsidR="001911DF">
        <w:t>(OCC intervention found reasonable and granted)</w:t>
      </w:r>
      <w:r w:rsidR="00892D29">
        <w:t>.</w:t>
      </w:r>
    </w:p>
  </w:footnote>
  <w:footnote w:id="15">
    <w:p w:rsidR="004D14D4" w:rsidP="004978F3" w14:paraId="6EFC569F" w14:textId="5FAA4325">
      <w:pPr>
        <w:pStyle w:val="FootnoteText"/>
        <w:spacing w:before="0" w:after="120"/>
      </w:pPr>
      <w:r>
        <w:rPr>
          <w:rStyle w:val="FootnoteReference"/>
        </w:rPr>
        <w:footnoteRef/>
      </w:r>
      <w:r>
        <w:rPr>
          <w:i/>
        </w:rPr>
        <w:t xml:space="preserve"> </w:t>
      </w:r>
      <w:r w:rsidRPr="003756B3">
        <w:rPr>
          <w:i/>
        </w:rPr>
        <w:t>See</w:t>
      </w:r>
      <w:r>
        <w:rPr>
          <w:i/>
        </w:rPr>
        <w:t xml:space="preserve"> Ohio Consumers</w:t>
      </w:r>
      <w:r w:rsidR="00BC5221">
        <w:rPr>
          <w:i/>
        </w:rPr>
        <w:t>’</w:t>
      </w:r>
      <w:r>
        <w:rPr>
          <w:i/>
        </w:rPr>
        <w:t xml:space="preserve"> Counsel v. Pub. Util. Comm</w:t>
      </w:r>
      <w:r>
        <w:t>., 111 Ohio St.3d 384, 2006-Ohio-5853, ¶¶</w:t>
      </w:r>
      <w:r w:rsidR="00B64BA9">
        <w:t xml:space="preserve"> </w:t>
      </w:r>
      <w:r>
        <w:t>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AB3" w14:paraId="7255FC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AB3" w14:paraId="0573B7D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06F7" w:rsidP="00BE06F7" w14:paraId="56387751" w14:textId="77777777">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12BEB48A" w14:textId="3DF9FB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3832EFE4" w14:textId="24ED17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6504398C" w14:textId="702A1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853B8"/>
    <w:multiLevelType w:val="hybridMultilevel"/>
    <w:tmpl w:val="CE24F0F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265E"/>
    <w:multiLevelType w:val="hybridMultilevel"/>
    <w:tmpl w:val="F9D04498"/>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2178CF"/>
    <w:multiLevelType w:val="hybridMultilevel"/>
    <w:tmpl w:val="FF04E49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5B4443"/>
    <w:multiLevelType w:val="hybridMultilevel"/>
    <w:tmpl w:val="EBA2656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22F00834"/>
    <w:multiLevelType w:val="hybridMultilevel"/>
    <w:tmpl w:val="48CC0796"/>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47C5BE3"/>
    <w:multiLevelType w:val="hybridMultilevel"/>
    <w:tmpl w:val="C3D2DADA"/>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2BDD7EEB"/>
    <w:multiLevelType w:val="hybridMultilevel"/>
    <w:tmpl w:val="8E5490F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2C8055A1"/>
    <w:multiLevelType w:val="hybridMultilevel"/>
    <w:tmpl w:val="FB72E85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7B72D01"/>
    <w:multiLevelType w:val="hybridMultilevel"/>
    <w:tmpl w:val="69DA3EF2"/>
    <w:lvl w:ilvl="0">
      <w:start w:val="4"/>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88F51B5"/>
    <w:multiLevelType w:val="hybridMultilevel"/>
    <w:tmpl w:val="9892C3C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9B32278"/>
    <w:multiLevelType w:val="hybridMultilevel"/>
    <w:tmpl w:val="53CE7B0C"/>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B8616F9"/>
    <w:multiLevelType w:val="hybridMultilevel"/>
    <w:tmpl w:val="C598D7F6"/>
    <w:lvl w:ilvl="0">
      <w:start w:val="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EEA2B4A"/>
    <w:multiLevelType w:val="hybridMultilevel"/>
    <w:tmpl w:val="0868E8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61636F23"/>
    <w:multiLevelType w:val="hybridMultilevel"/>
    <w:tmpl w:val="C2F0022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5077CD2"/>
    <w:multiLevelType w:val="hybridMultilevel"/>
    <w:tmpl w:val="1DFA6CC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nsid w:val="66547110"/>
    <w:multiLevelType w:val="hybridMultilevel"/>
    <w:tmpl w:val="872E893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7035615A"/>
    <w:multiLevelType w:val="hybridMultilevel"/>
    <w:tmpl w:val="2B84AE2E"/>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cs="Microsoft Sans Serif"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cs="Microsoft Sans Serif"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Microsoft Sans Serif"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23">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
    <w:nsid w:val="7A1307C2"/>
    <w:multiLevelType w:val="hybridMultilevel"/>
    <w:tmpl w:val="C0D2AD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7D394F2C"/>
    <w:multiLevelType w:val="hybridMultilevel"/>
    <w:tmpl w:val="7B82BC94"/>
    <w:lvl w:ilvl="0">
      <w:start w:val="3"/>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6"/>
  </w:num>
  <w:num w:numId="4">
    <w:abstractNumId w:val="2"/>
  </w:num>
  <w:num w:numId="5">
    <w:abstractNumId w:val="13"/>
  </w:num>
  <w:num w:numId="6">
    <w:abstractNumId w:val="12"/>
  </w:num>
  <w:num w:numId="7">
    <w:abstractNumId w:val="3"/>
  </w:num>
  <w:num w:numId="8">
    <w:abstractNumId w:val="7"/>
  </w:num>
  <w:num w:numId="9">
    <w:abstractNumId w:val="5"/>
  </w:num>
  <w:num w:numId="10">
    <w:abstractNumId w:val="21"/>
  </w:num>
  <w:num w:numId="11">
    <w:abstractNumId w:val="0"/>
  </w:num>
  <w:num w:numId="12">
    <w:abstractNumId w:val="18"/>
  </w:num>
  <w:num w:numId="13">
    <w:abstractNumId w:val="25"/>
  </w:num>
  <w:num w:numId="14">
    <w:abstractNumId w:val="10"/>
  </w:num>
  <w:num w:numId="15">
    <w:abstractNumId w:val="22"/>
  </w:num>
  <w:num w:numId="16">
    <w:abstractNumId w:val="24"/>
  </w:num>
  <w:num w:numId="17">
    <w:abstractNumId w:val="8"/>
  </w:num>
  <w:num w:numId="18">
    <w:abstractNumId w:val="11"/>
  </w:num>
  <w:num w:numId="19">
    <w:abstractNumId w:val="19"/>
  </w:num>
  <w:num w:numId="20">
    <w:abstractNumId w:val="4"/>
  </w:num>
  <w:num w:numId="21">
    <w:abstractNumId w:val="16"/>
  </w:num>
  <w:num w:numId="22">
    <w:abstractNumId w:val="15"/>
  </w:num>
  <w:num w:numId="23">
    <w:abstractNumId w:val="20"/>
  </w:num>
  <w:num w:numId="24">
    <w:abstractNumId w:val="17"/>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doNotEmbedSmartTag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DE"/>
    <w:rsid w:val="000020FF"/>
    <w:rsid w:val="0000380B"/>
    <w:rsid w:val="00011BDC"/>
    <w:rsid w:val="00015508"/>
    <w:rsid w:val="000277A9"/>
    <w:rsid w:val="000330D3"/>
    <w:rsid w:val="000457B7"/>
    <w:rsid w:val="00046DBD"/>
    <w:rsid w:val="0005101E"/>
    <w:rsid w:val="000511D6"/>
    <w:rsid w:val="00054998"/>
    <w:rsid w:val="00067A34"/>
    <w:rsid w:val="00082870"/>
    <w:rsid w:val="00087A0A"/>
    <w:rsid w:val="00090C9A"/>
    <w:rsid w:val="00094959"/>
    <w:rsid w:val="000A1059"/>
    <w:rsid w:val="000A35C6"/>
    <w:rsid w:val="000C20F7"/>
    <w:rsid w:val="000C4282"/>
    <w:rsid w:val="000D15A6"/>
    <w:rsid w:val="000D587F"/>
    <w:rsid w:val="000E0D5C"/>
    <w:rsid w:val="000E1935"/>
    <w:rsid w:val="000E4702"/>
    <w:rsid w:val="000E7AB6"/>
    <w:rsid w:val="000F0A9C"/>
    <w:rsid w:val="001075A8"/>
    <w:rsid w:val="001107BE"/>
    <w:rsid w:val="0011134C"/>
    <w:rsid w:val="00112E29"/>
    <w:rsid w:val="00114B63"/>
    <w:rsid w:val="0012231D"/>
    <w:rsid w:val="00133319"/>
    <w:rsid w:val="00136CD8"/>
    <w:rsid w:val="00136E3A"/>
    <w:rsid w:val="00142EBC"/>
    <w:rsid w:val="00144EC4"/>
    <w:rsid w:val="001454F5"/>
    <w:rsid w:val="00151BEF"/>
    <w:rsid w:val="00151D3D"/>
    <w:rsid w:val="00162FF5"/>
    <w:rsid w:val="00165484"/>
    <w:rsid w:val="00180197"/>
    <w:rsid w:val="001850AE"/>
    <w:rsid w:val="001911DF"/>
    <w:rsid w:val="0019554F"/>
    <w:rsid w:val="001B4F98"/>
    <w:rsid w:val="001C0912"/>
    <w:rsid w:val="001D0897"/>
    <w:rsid w:val="001D6BA8"/>
    <w:rsid w:val="001E3D52"/>
    <w:rsid w:val="001E5F3C"/>
    <w:rsid w:val="001F46B8"/>
    <w:rsid w:val="001F4DF1"/>
    <w:rsid w:val="001F5C86"/>
    <w:rsid w:val="0021467E"/>
    <w:rsid w:val="0021581F"/>
    <w:rsid w:val="00231B51"/>
    <w:rsid w:val="00236255"/>
    <w:rsid w:val="00240F08"/>
    <w:rsid w:val="002423F2"/>
    <w:rsid w:val="0024284C"/>
    <w:rsid w:val="00251300"/>
    <w:rsid w:val="00254476"/>
    <w:rsid w:val="00255A79"/>
    <w:rsid w:val="00270856"/>
    <w:rsid w:val="0027171F"/>
    <w:rsid w:val="00273CEA"/>
    <w:rsid w:val="0027466D"/>
    <w:rsid w:val="00282DD0"/>
    <w:rsid w:val="0028384C"/>
    <w:rsid w:val="002838C9"/>
    <w:rsid w:val="00292131"/>
    <w:rsid w:val="00292B26"/>
    <w:rsid w:val="002A4912"/>
    <w:rsid w:val="002A4D23"/>
    <w:rsid w:val="002B028A"/>
    <w:rsid w:val="002B77EC"/>
    <w:rsid w:val="002C20F3"/>
    <w:rsid w:val="002C48DC"/>
    <w:rsid w:val="002C7D60"/>
    <w:rsid w:val="002D1902"/>
    <w:rsid w:val="002D29C3"/>
    <w:rsid w:val="002D3482"/>
    <w:rsid w:val="002E21B0"/>
    <w:rsid w:val="002E61B7"/>
    <w:rsid w:val="002F205E"/>
    <w:rsid w:val="003026A8"/>
    <w:rsid w:val="00302790"/>
    <w:rsid w:val="003042D1"/>
    <w:rsid w:val="0031008C"/>
    <w:rsid w:val="00311285"/>
    <w:rsid w:val="0031242C"/>
    <w:rsid w:val="00315C60"/>
    <w:rsid w:val="00320F5D"/>
    <w:rsid w:val="003258C2"/>
    <w:rsid w:val="0032619A"/>
    <w:rsid w:val="00326B2B"/>
    <w:rsid w:val="003418A8"/>
    <w:rsid w:val="00343FD2"/>
    <w:rsid w:val="003558EF"/>
    <w:rsid w:val="00372776"/>
    <w:rsid w:val="003756B3"/>
    <w:rsid w:val="0037614B"/>
    <w:rsid w:val="003801D3"/>
    <w:rsid w:val="0038311C"/>
    <w:rsid w:val="003864B5"/>
    <w:rsid w:val="00387C2C"/>
    <w:rsid w:val="00392196"/>
    <w:rsid w:val="003943B4"/>
    <w:rsid w:val="00397C34"/>
    <w:rsid w:val="003A2BCE"/>
    <w:rsid w:val="003B2653"/>
    <w:rsid w:val="003B3BA0"/>
    <w:rsid w:val="003B5A65"/>
    <w:rsid w:val="003B7CA8"/>
    <w:rsid w:val="003C0A1B"/>
    <w:rsid w:val="003C1DCE"/>
    <w:rsid w:val="003C240A"/>
    <w:rsid w:val="003C2E55"/>
    <w:rsid w:val="003D1A04"/>
    <w:rsid w:val="003D23A5"/>
    <w:rsid w:val="003D4F9A"/>
    <w:rsid w:val="003D7A0C"/>
    <w:rsid w:val="003E41D6"/>
    <w:rsid w:val="003E6509"/>
    <w:rsid w:val="003E6D05"/>
    <w:rsid w:val="003E7261"/>
    <w:rsid w:val="003F0FBF"/>
    <w:rsid w:val="003F16B4"/>
    <w:rsid w:val="003F52E7"/>
    <w:rsid w:val="003F6E1A"/>
    <w:rsid w:val="004015F8"/>
    <w:rsid w:val="0041309D"/>
    <w:rsid w:val="00415A83"/>
    <w:rsid w:val="004256EA"/>
    <w:rsid w:val="004306B9"/>
    <w:rsid w:val="00437A5C"/>
    <w:rsid w:val="004417B3"/>
    <w:rsid w:val="004532BE"/>
    <w:rsid w:val="004569A0"/>
    <w:rsid w:val="00465278"/>
    <w:rsid w:val="0047251D"/>
    <w:rsid w:val="00476981"/>
    <w:rsid w:val="00492D19"/>
    <w:rsid w:val="00493B5B"/>
    <w:rsid w:val="00496355"/>
    <w:rsid w:val="00496E1F"/>
    <w:rsid w:val="004978F3"/>
    <w:rsid w:val="00497B9F"/>
    <w:rsid w:val="004A330E"/>
    <w:rsid w:val="004A3C94"/>
    <w:rsid w:val="004A7AF2"/>
    <w:rsid w:val="004B7158"/>
    <w:rsid w:val="004C1ACE"/>
    <w:rsid w:val="004C3F8D"/>
    <w:rsid w:val="004C5420"/>
    <w:rsid w:val="004C5A66"/>
    <w:rsid w:val="004D14D4"/>
    <w:rsid w:val="004D2087"/>
    <w:rsid w:val="004D2153"/>
    <w:rsid w:val="004E21A1"/>
    <w:rsid w:val="004E40A2"/>
    <w:rsid w:val="004E78F9"/>
    <w:rsid w:val="004F20DA"/>
    <w:rsid w:val="004F2E70"/>
    <w:rsid w:val="004F7170"/>
    <w:rsid w:val="00502946"/>
    <w:rsid w:val="00502B03"/>
    <w:rsid w:val="00503587"/>
    <w:rsid w:val="00504C2E"/>
    <w:rsid w:val="005075C1"/>
    <w:rsid w:val="00512B71"/>
    <w:rsid w:val="0051520D"/>
    <w:rsid w:val="005234CD"/>
    <w:rsid w:val="00526491"/>
    <w:rsid w:val="00526A48"/>
    <w:rsid w:val="005270F0"/>
    <w:rsid w:val="00527999"/>
    <w:rsid w:val="00533B8A"/>
    <w:rsid w:val="00534756"/>
    <w:rsid w:val="00546956"/>
    <w:rsid w:val="0055107B"/>
    <w:rsid w:val="0055143F"/>
    <w:rsid w:val="00555315"/>
    <w:rsid w:val="00557F89"/>
    <w:rsid w:val="00561894"/>
    <w:rsid w:val="00576439"/>
    <w:rsid w:val="0057797B"/>
    <w:rsid w:val="00580E1B"/>
    <w:rsid w:val="00583AEF"/>
    <w:rsid w:val="00586E3F"/>
    <w:rsid w:val="0059543B"/>
    <w:rsid w:val="005959CA"/>
    <w:rsid w:val="005A6744"/>
    <w:rsid w:val="005A6D15"/>
    <w:rsid w:val="005B0D8C"/>
    <w:rsid w:val="005B209C"/>
    <w:rsid w:val="005B4B0A"/>
    <w:rsid w:val="005C33FF"/>
    <w:rsid w:val="005D08D2"/>
    <w:rsid w:val="005D7310"/>
    <w:rsid w:val="005D7433"/>
    <w:rsid w:val="005E6DAD"/>
    <w:rsid w:val="005F1D3B"/>
    <w:rsid w:val="005F7781"/>
    <w:rsid w:val="005F7E7D"/>
    <w:rsid w:val="00600468"/>
    <w:rsid w:val="00601A67"/>
    <w:rsid w:val="00604F8E"/>
    <w:rsid w:val="0062108F"/>
    <w:rsid w:val="00622E09"/>
    <w:rsid w:val="00624184"/>
    <w:rsid w:val="0063027F"/>
    <w:rsid w:val="00631CC7"/>
    <w:rsid w:val="00633A6B"/>
    <w:rsid w:val="00637ED7"/>
    <w:rsid w:val="00641070"/>
    <w:rsid w:val="00641BAF"/>
    <w:rsid w:val="0064211D"/>
    <w:rsid w:val="0064262C"/>
    <w:rsid w:val="00644835"/>
    <w:rsid w:val="00650CFA"/>
    <w:rsid w:val="0065100A"/>
    <w:rsid w:val="0065217E"/>
    <w:rsid w:val="0066433D"/>
    <w:rsid w:val="00665EE2"/>
    <w:rsid w:val="00667426"/>
    <w:rsid w:val="00671262"/>
    <w:rsid w:val="00673F15"/>
    <w:rsid w:val="006755BB"/>
    <w:rsid w:val="00675EB5"/>
    <w:rsid w:val="00692036"/>
    <w:rsid w:val="0069241E"/>
    <w:rsid w:val="0069449A"/>
    <w:rsid w:val="006B3D4D"/>
    <w:rsid w:val="006C522E"/>
    <w:rsid w:val="006C5841"/>
    <w:rsid w:val="006C5A50"/>
    <w:rsid w:val="006D2F15"/>
    <w:rsid w:val="006E1285"/>
    <w:rsid w:val="006E1293"/>
    <w:rsid w:val="006E3A5C"/>
    <w:rsid w:val="006E3B64"/>
    <w:rsid w:val="006E6967"/>
    <w:rsid w:val="006E7561"/>
    <w:rsid w:val="006F6268"/>
    <w:rsid w:val="006F6C88"/>
    <w:rsid w:val="00705DD2"/>
    <w:rsid w:val="00711444"/>
    <w:rsid w:val="00714F95"/>
    <w:rsid w:val="0072721B"/>
    <w:rsid w:val="00730C0C"/>
    <w:rsid w:val="007460EA"/>
    <w:rsid w:val="00751A23"/>
    <w:rsid w:val="00760606"/>
    <w:rsid w:val="00760DE9"/>
    <w:rsid w:val="00764DB5"/>
    <w:rsid w:val="0076652C"/>
    <w:rsid w:val="00776BC1"/>
    <w:rsid w:val="00782A3C"/>
    <w:rsid w:val="00783CE2"/>
    <w:rsid w:val="00784859"/>
    <w:rsid w:val="00784D8A"/>
    <w:rsid w:val="0078718F"/>
    <w:rsid w:val="007B5A27"/>
    <w:rsid w:val="007B6430"/>
    <w:rsid w:val="007C5DF4"/>
    <w:rsid w:val="007C7551"/>
    <w:rsid w:val="007D076D"/>
    <w:rsid w:val="007D5685"/>
    <w:rsid w:val="007E000E"/>
    <w:rsid w:val="007E0329"/>
    <w:rsid w:val="007E0B3F"/>
    <w:rsid w:val="007E417E"/>
    <w:rsid w:val="007F18AC"/>
    <w:rsid w:val="00806351"/>
    <w:rsid w:val="00806B12"/>
    <w:rsid w:val="008130C9"/>
    <w:rsid w:val="00827211"/>
    <w:rsid w:val="00830862"/>
    <w:rsid w:val="008318BD"/>
    <w:rsid w:val="0083578A"/>
    <w:rsid w:val="00837736"/>
    <w:rsid w:val="00837FCB"/>
    <w:rsid w:val="0084217B"/>
    <w:rsid w:val="00843D9A"/>
    <w:rsid w:val="00844294"/>
    <w:rsid w:val="00845A5D"/>
    <w:rsid w:val="008471F8"/>
    <w:rsid w:val="00852654"/>
    <w:rsid w:val="00857EE9"/>
    <w:rsid w:val="00865E16"/>
    <w:rsid w:val="008663A9"/>
    <w:rsid w:val="00875D6B"/>
    <w:rsid w:val="00883415"/>
    <w:rsid w:val="008846DD"/>
    <w:rsid w:val="00891076"/>
    <w:rsid w:val="00891DF4"/>
    <w:rsid w:val="00892D29"/>
    <w:rsid w:val="008936C2"/>
    <w:rsid w:val="008A1894"/>
    <w:rsid w:val="008A5E2E"/>
    <w:rsid w:val="008A7BF2"/>
    <w:rsid w:val="008B0351"/>
    <w:rsid w:val="008B0AFF"/>
    <w:rsid w:val="008B1879"/>
    <w:rsid w:val="008B1FAA"/>
    <w:rsid w:val="008B571A"/>
    <w:rsid w:val="008B5EEF"/>
    <w:rsid w:val="008C24FE"/>
    <w:rsid w:val="008C3DAE"/>
    <w:rsid w:val="008D33C8"/>
    <w:rsid w:val="008D3A4F"/>
    <w:rsid w:val="008E5698"/>
    <w:rsid w:val="008E5CF6"/>
    <w:rsid w:val="008F2320"/>
    <w:rsid w:val="008F2C24"/>
    <w:rsid w:val="008F4272"/>
    <w:rsid w:val="009119FC"/>
    <w:rsid w:val="00913F30"/>
    <w:rsid w:val="00914DFB"/>
    <w:rsid w:val="00925488"/>
    <w:rsid w:val="00931325"/>
    <w:rsid w:val="00933D87"/>
    <w:rsid w:val="00934A3F"/>
    <w:rsid w:val="00936A26"/>
    <w:rsid w:val="009406D1"/>
    <w:rsid w:val="00943AF2"/>
    <w:rsid w:val="009512E6"/>
    <w:rsid w:val="00955472"/>
    <w:rsid w:val="00956600"/>
    <w:rsid w:val="00957838"/>
    <w:rsid w:val="00961D96"/>
    <w:rsid w:val="00971D8D"/>
    <w:rsid w:val="00981309"/>
    <w:rsid w:val="00982990"/>
    <w:rsid w:val="00983F12"/>
    <w:rsid w:val="009870CF"/>
    <w:rsid w:val="0099127C"/>
    <w:rsid w:val="00991F7B"/>
    <w:rsid w:val="00992355"/>
    <w:rsid w:val="00992E47"/>
    <w:rsid w:val="009A775D"/>
    <w:rsid w:val="009B246C"/>
    <w:rsid w:val="009B4AD2"/>
    <w:rsid w:val="009B6D8B"/>
    <w:rsid w:val="009B72F6"/>
    <w:rsid w:val="009B79D5"/>
    <w:rsid w:val="009C0BC9"/>
    <w:rsid w:val="009C3DA4"/>
    <w:rsid w:val="009C40B1"/>
    <w:rsid w:val="009C58E6"/>
    <w:rsid w:val="009C7DC9"/>
    <w:rsid w:val="009D31FF"/>
    <w:rsid w:val="009D468C"/>
    <w:rsid w:val="009E4448"/>
    <w:rsid w:val="009E706C"/>
    <w:rsid w:val="009F067A"/>
    <w:rsid w:val="009F144B"/>
    <w:rsid w:val="009F553E"/>
    <w:rsid w:val="009F73C2"/>
    <w:rsid w:val="00A044B5"/>
    <w:rsid w:val="00A0729B"/>
    <w:rsid w:val="00A12ADC"/>
    <w:rsid w:val="00A1370F"/>
    <w:rsid w:val="00A13D5B"/>
    <w:rsid w:val="00A14281"/>
    <w:rsid w:val="00A310BA"/>
    <w:rsid w:val="00A367E7"/>
    <w:rsid w:val="00A410DE"/>
    <w:rsid w:val="00A46DBC"/>
    <w:rsid w:val="00A47CD2"/>
    <w:rsid w:val="00A501F7"/>
    <w:rsid w:val="00A51347"/>
    <w:rsid w:val="00A5231A"/>
    <w:rsid w:val="00A5514C"/>
    <w:rsid w:val="00A555B5"/>
    <w:rsid w:val="00A5637F"/>
    <w:rsid w:val="00A62965"/>
    <w:rsid w:val="00A7164E"/>
    <w:rsid w:val="00A72885"/>
    <w:rsid w:val="00A858A6"/>
    <w:rsid w:val="00A92D24"/>
    <w:rsid w:val="00AA7682"/>
    <w:rsid w:val="00AB1F48"/>
    <w:rsid w:val="00AB5851"/>
    <w:rsid w:val="00AB76EC"/>
    <w:rsid w:val="00AC05F4"/>
    <w:rsid w:val="00AC0C27"/>
    <w:rsid w:val="00AC102B"/>
    <w:rsid w:val="00AC23F8"/>
    <w:rsid w:val="00AC29E2"/>
    <w:rsid w:val="00AC6668"/>
    <w:rsid w:val="00AD135E"/>
    <w:rsid w:val="00AD3AB3"/>
    <w:rsid w:val="00AE0747"/>
    <w:rsid w:val="00AE2BF5"/>
    <w:rsid w:val="00AE437E"/>
    <w:rsid w:val="00AF282D"/>
    <w:rsid w:val="00AF30A3"/>
    <w:rsid w:val="00B00F18"/>
    <w:rsid w:val="00B02598"/>
    <w:rsid w:val="00B1108C"/>
    <w:rsid w:val="00B12E33"/>
    <w:rsid w:val="00B16E80"/>
    <w:rsid w:val="00B178E3"/>
    <w:rsid w:val="00B41BAE"/>
    <w:rsid w:val="00B446B3"/>
    <w:rsid w:val="00B5044A"/>
    <w:rsid w:val="00B560F2"/>
    <w:rsid w:val="00B56EF6"/>
    <w:rsid w:val="00B61BA0"/>
    <w:rsid w:val="00B64BA9"/>
    <w:rsid w:val="00B65BFA"/>
    <w:rsid w:val="00B7380A"/>
    <w:rsid w:val="00B742C1"/>
    <w:rsid w:val="00B75F55"/>
    <w:rsid w:val="00B773D6"/>
    <w:rsid w:val="00B77B93"/>
    <w:rsid w:val="00B8429C"/>
    <w:rsid w:val="00B85BF4"/>
    <w:rsid w:val="00B9127F"/>
    <w:rsid w:val="00B94A06"/>
    <w:rsid w:val="00B96A88"/>
    <w:rsid w:val="00BA335C"/>
    <w:rsid w:val="00BA5213"/>
    <w:rsid w:val="00BA703F"/>
    <w:rsid w:val="00BB05DF"/>
    <w:rsid w:val="00BB208D"/>
    <w:rsid w:val="00BB4C86"/>
    <w:rsid w:val="00BB77DD"/>
    <w:rsid w:val="00BC08B2"/>
    <w:rsid w:val="00BC0B1E"/>
    <w:rsid w:val="00BC5221"/>
    <w:rsid w:val="00BC7A39"/>
    <w:rsid w:val="00BC7AB9"/>
    <w:rsid w:val="00BD41FA"/>
    <w:rsid w:val="00BD6C32"/>
    <w:rsid w:val="00BE06F7"/>
    <w:rsid w:val="00BE209C"/>
    <w:rsid w:val="00BF0449"/>
    <w:rsid w:val="00C14D59"/>
    <w:rsid w:val="00C233E1"/>
    <w:rsid w:val="00C3282B"/>
    <w:rsid w:val="00C371CD"/>
    <w:rsid w:val="00C377D2"/>
    <w:rsid w:val="00C37973"/>
    <w:rsid w:val="00C4142F"/>
    <w:rsid w:val="00C417A5"/>
    <w:rsid w:val="00C448E6"/>
    <w:rsid w:val="00C4744B"/>
    <w:rsid w:val="00C52461"/>
    <w:rsid w:val="00C55795"/>
    <w:rsid w:val="00C6286A"/>
    <w:rsid w:val="00C7183B"/>
    <w:rsid w:val="00C80F09"/>
    <w:rsid w:val="00C826DE"/>
    <w:rsid w:val="00C85D4D"/>
    <w:rsid w:val="00C864EE"/>
    <w:rsid w:val="00C87062"/>
    <w:rsid w:val="00C90305"/>
    <w:rsid w:val="00C910AC"/>
    <w:rsid w:val="00CA16E1"/>
    <w:rsid w:val="00CA3F81"/>
    <w:rsid w:val="00CB48FC"/>
    <w:rsid w:val="00CB5C31"/>
    <w:rsid w:val="00CB7047"/>
    <w:rsid w:val="00CC1E21"/>
    <w:rsid w:val="00CD22A1"/>
    <w:rsid w:val="00CD40A1"/>
    <w:rsid w:val="00CE04EA"/>
    <w:rsid w:val="00CE0EBD"/>
    <w:rsid w:val="00CE2C72"/>
    <w:rsid w:val="00CE3699"/>
    <w:rsid w:val="00CE38C7"/>
    <w:rsid w:val="00CF2632"/>
    <w:rsid w:val="00CF2964"/>
    <w:rsid w:val="00CF4480"/>
    <w:rsid w:val="00D0222B"/>
    <w:rsid w:val="00D037AC"/>
    <w:rsid w:val="00D05F82"/>
    <w:rsid w:val="00D1405D"/>
    <w:rsid w:val="00D14189"/>
    <w:rsid w:val="00D14B97"/>
    <w:rsid w:val="00D23A6B"/>
    <w:rsid w:val="00D2484F"/>
    <w:rsid w:val="00D264A9"/>
    <w:rsid w:val="00D412F3"/>
    <w:rsid w:val="00D4179C"/>
    <w:rsid w:val="00D417AA"/>
    <w:rsid w:val="00D42952"/>
    <w:rsid w:val="00D46897"/>
    <w:rsid w:val="00D55177"/>
    <w:rsid w:val="00D57504"/>
    <w:rsid w:val="00D67F6C"/>
    <w:rsid w:val="00D71790"/>
    <w:rsid w:val="00D71D52"/>
    <w:rsid w:val="00D73160"/>
    <w:rsid w:val="00D74838"/>
    <w:rsid w:val="00D74BAB"/>
    <w:rsid w:val="00D761A4"/>
    <w:rsid w:val="00D865A5"/>
    <w:rsid w:val="00D867B4"/>
    <w:rsid w:val="00D93D5B"/>
    <w:rsid w:val="00DA489A"/>
    <w:rsid w:val="00DA6AE4"/>
    <w:rsid w:val="00DB6639"/>
    <w:rsid w:val="00DB6E66"/>
    <w:rsid w:val="00DC3A98"/>
    <w:rsid w:val="00DC517F"/>
    <w:rsid w:val="00DD72A3"/>
    <w:rsid w:val="00DE2B27"/>
    <w:rsid w:val="00DE3BDA"/>
    <w:rsid w:val="00DF2D72"/>
    <w:rsid w:val="00E03228"/>
    <w:rsid w:val="00E149D7"/>
    <w:rsid w:val="00E2102F"/>
    <w:rsid w:val="00E236BD"/>
    <w:rsid w:val="00E33698"/>
    <w:rsid w:val="00E336D8"/>
    <w:rsid w:val="00E372F2"/>
    <w:rsid w:val="00E444D2"/>
    <w:rsid w:val="00E4538D"/>
    <w:rsid w:val="00E47615"/>
    <w:rsid w:val="00E50AD8"/>
    <w:rsid w:val="00E511B4"/>
    <w:rsid w:val="00E559CE"/>
    <w:rsid w:val="00E571C5"/>
    <w:rsid w:val="00E668F3"/>
    <w:rsid w:val="00E71EB8"/>
    <w:rsid w:val="00E75D2C"/>
    <w:rsid w:val="00E80601"/>
    <w:rsid w:val="00E80AB7"/>
    <w:rsid w:val="00E85FF4"/>
    <w:rsid w:val="00E91E1E"/>
    <w:rsid w:val="00E93A2E"/>
    <w:rsid w:val="00E94038"/>
    <w:rsid w:val="00EA7F2D"/>
    <w:rsid w:val="00EC368A"/>
    <w:rsid w:val="00EC4963"/>
    <w:rsid w:val="00EC610B"/>
    <w:rsid w:val="00ED0987"/>
    <w:rsid w:val="00ED4464"/>
    <w:rsid w:val="00ED4A50"/>
    <w:rsid w:val="00ED606A"/>
    <w:rsid w:val="00EE0768"/>
    <w:rsid w:val="00EF0215"/>
    <w:rsid w:val="00EF23C2"/>
    <w:rsid w:val="00EF3AD6"/>
    <w:rsid w:val="00F017A2"/>
    <w:rsid w:val="00F02C6C"/>
    <w:rsid w:val="00F036E7"/>
    <w:rsid w:val="00F0404C"/>
    <w:rsid w:val="00F0417E"/>
    <w:rsid w:val="00F04FC3"/>
    <w:rsid w:val="00F1341B"/>
    <w:rsid w:val="00F1450F"/>
    <w:rsid w:val="00F16812"/>
    <w:rsid w:val="00F21D4C"/>
    <w:rsid w:val="00F24D02"/>
    <w:rsid w:val="00F30A6C"/>
    <w:rsid w:val="00F323D6"/>
    <w:rsid w:val="00F348AA"/>
    <w:rsid w:val="00F46148"/>
    <w:rsid w:val="00F51A53"/>
    <w:rsid w:val="00F523BB"/>
    <w:rsid w:val="00F56D26"/>
    <w:rsid w:val="00F620D7"/>
    <w:rsid w:val="00F64D8F"/>
    <w:rsid w:val="00F661B9"/>
    <w:rsid w:val="00F8326B"/>
    <w:rsid w:val="00F83B55"/>
    <w:rsid w:val="00F83F48"/>
    <w:rsid w:val="00F8420C"/>
    <w:rsid w:val="00F87474"/>
    <w:rsid w:val="00F92877"/>
    <w:rsid w:val="00F93508"/>
    <w:rsid w:val="00F95917"/>
    <w:rsid w:val="00FA0B06"/>
    <w:rsid w:val="00FA5B9C"/>
    <w:rsid w:val="00FA5ED8"/>
    <w:rsid w:val="00FB5C69"/>
    <w:rsid w:val="00FC1A7D"/>
    <w:rsid w:val="00FD12B3"/>
    <w:rsid w:val="00FE05A8"/>
    <w:rsid w:val="00FE0B88"/>
    <w:rsid w:val="00FE22D1"/>
    <w:rsid w:val="00FF2A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4:docId w14:val="08A84B82"/>
  <w15:chartTrackingRefBased/>
  <w15:docId w15:val="{11E462BC-5A0C-4221-9E28-DFE89943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A0"/>
    <w:rPr>
      <w:sz w:val="24"/>
      <w:szCs w:val="24"/>
    </w:rPr>
  </w:style>
  <w:style w:type="paragraph" w:styleId="Heading1">
    <w:name w:val="heading 1"/>
    <w:basedOn w:val="Normal"/>
    <w:next w:val="Normal"/>
    <w:qFormat/>
    <w:rsid w:val="000F0A9C"/>
    <w:pPr>
      <w:keepNext/>
      <w:spacing w:after="240"/>
      <w:outlineLvl w:val="0"/>
    </w:pPr>
    <w:rPr>
      <w:b/>
      <w:bCs/>
    </w:rPr>
  </w:style>
  <w:style w:type="paragraph" w:styleId="Heading2">
    <w:name w:val="heading 2"/>
    <w:basedOn w:val="Normal"/>
    <w:next w:val="Normal"/>
    <w:qFormat/>
    <w:rsid w:val="000F0A9C"/>
    <w:pPr>
      <w:keepNext/>
      <w:tabs>
        <w:tab w:val="left" w:pos="0"/>
        <w:tab w:val="left" w:pos="720"/>
      </w:tabs>
      <w:spacing w:after="240"/>
      <w:ind w:left="1440" w:hanging="720"/>
      <w:outlineLvl w:val="1"/>
    </w:pPr>
    <w:rPr>
      <w:b/>
      <w:bCs/>
    </w:rPr>
  </w:style>
  <w:style w:type="paragraph" w:styleId="Heading3">
    <w:name w:val="heading 3"/>
    <w:basedOn w:val="Normal"/>
    <w:next w:val="Normal"/>
    <w:qFormat/>
    <w:rsid w:val="000F0A9C"/>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rsid w:val="000F0A9C"/>
    <w:pPr>
      <w:tabs>
        <w:tab w:val="left" w:pos="0"/>
        <w:tab w:val="left" w:pos="720"/>
        <w:tab w:val="center" w:pos="4320"/>
        <w:tab w:val="right" w:pos="8640"/>
      </w:tabs>
      <w:spacing w:line="480" w:lineRule="auto"/>
    </w:pPr>
  </w:style>
  <w:style w:type="paragraph" w:styleId="BodyText">
    <w:name w:val="Body Text"/>
    <w:basedOn w:val="Normal"/>
    <w:rsid w:val="000F0A9C"/>
    <w:pPr>
      <w:tabs>
        <w:tab w:val="left" w:pos="0"/>
        <w:tab w:val="left" w:pos="720"/>
      </w:tabs>
      <w:spacing w:line="480" w:lineRule="auto"/>
      <w:ind w:firstLine="720"/>
    </w:pPr>
    <w:rPr>
      <w:szCs w:val="20"/>
    </w:rPr>
  </w:style>
  <w:style w:type="paragraph" w:styleId="FootnoteText">
    <w:name w:val="footnote text"/>
    <w:basedOn w:val="Normal"/>
    <w:link w:val="FootnoteTextChar"/>
    <w:semiHidden/>
    <w:rsid w:val="000F0A9C"/>
    <w:pPr>
      <w:spacing w:before="120"/>
    </w:pPr>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0F0A9C"/>
    <w:pPr>
      <w:spacing w:line="480" w:lineRule="auto"/>
      <w:ind w:firstLine="720"/>
    </w:pPr>
    <w:rPr>
      <w:szCs w:val="20"/>
    </w:rPr>
  </w:style>
  <w:style w:type="paragraph" w:styleId="BodyTextIndent3">
    <w:name w:val="Body Text Indent 3"/>
    <w:basedOn w:val="Normal"/>
    <w:link w:val="BodyTextIndent3Char"/>
    <w:rsid w:val="000F0A9C"/>
    <w:pPr>
      <w:spacing w:line="480" w:lineRule="atLeast"/>
      <w:ind w:firstLine="720"/>
    </w:pPr>
    <w:rPr>
      <w:szCs w:val="20"/>
    </w:rPr>
  </w:style>
  <w:style w:type="paragraph" w:customStyle="1" w:styleId="Quote1">
    <w:name w:val="Quote1"/>
    <w:basedOn w:val="Normal"/>
    <w:autoRedefine/>
    <w:pPr>
      <w:spacing w:after="240"/>
      <w:ind w:left="720" w:right="720"/>
    </w:pPr>
    <w:rPr>
      <w:bCs/>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rsid w:val="000F0A9C"/>
  </w:style>
  <w:style w:type="paragraph" w:styleId="CommentSubject">
    <w:name w:val="annotation subject"/>
    <w:basedOn w:val="CommentText"/>
    <w:next w:val="CommentText"/>
    <w:semiHidden/>
    <w:rsid w:val="000F0A9C"/>
  </w:style>
  <w:style w:type="paragraph" w:styleId="BodyTextIndent2">
    <w:name w:val="Body Text Indent 2"/>
    <w:basedOn w:val="Normal"/>
    <w:rsid w:val="000F0A9C"/>
    <w:pPr>
      <w:spacing w:after="240"/>
      <w:ind w:left="2160" w:hanging="720"/>
    </w:pPr>
    <w:rPr>
      <w:b/>
      <w:bCs/>
    </w:rPr>
  </w:style>
  <w:style w:type="character" w:styleId="Hyperlink">
    <w:name w:val="Hyperlink"/>
    <w:rPr>
      <w:color w:val="0000FF"/>
      <w:u w:val="single"/>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semiHidden/>
    <w:rsid w:val="000F0A9C"/>
    <w:pPr>
      <w:widowControl w:val="0"/>
    </w:pPr>
    <w:rPr>
      <w:rFonts w:ascii="Courier New" w:hAnsi="Courier New"/>
      <w:snapToGrid w:val="0"/>
      <w:szCs w:val="20"/>
    </w:rPr>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
    <w:link w:val="Footer"/>
    <w:locked/>
    <w:rPr>
      <w:sz w:val="24"/>
      <w:szCs w:val="24"/>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
    <w:link w:val="HTMLPreformatted"/>
    <w:locked/>
    <w:rPr>
      <w:rFonts w:ascii="Courier New" w:eastAsia="Courier New" w:hAnsi="Courier New" w:cs="Courier New"/>
      <w:lang w:val="en-US" w:eastAsia="en-US" w:bidi="ar-SA"/>
    </w:rPr>
  </w:style>
  <w:style w:type="character" w:customStyle="1" w:styleId="CharChar0">
    <w:name w:val="Char Char"/>
    <w:semiHidden/>
    <w:locked/>
    <w:rPr>
      <w:rFonts w:ascii="Courier New" w:eastAsia="Courier New" w:hAnsi="Courier New" w:cs="Courier New"/>
      <w:lang w:val="en-US" w:eastAsia="en-US" w:bidi="ar-SA"/>
    </w:rPr>
  </w:style>
  <w:style w:type="character" w:customStyle="1" w:styleId="ssleftalign">
    <w:name w:val="ss_leftalign"/>
    <w:rsid w:val="00424902"/>
  </w:style>
  <w:style w:type="character" w:customStyle="1" w:styleId="sssh">
    <w:name w:val="ss_sh"/>
    <w:rsid w:val="00424902"/>
  </w:style>
  <w:style w:type="character" w:customStyle="1" w:styleId="ssit">
    <w:name w:val="ss_it"/>
    <w:rsid w:val="00424902"/>
  </w:style>
  <w:style w:type="character" w:customStyle="1" w:styleId="CommentTextChar">
    <w:name w:val="Comment Text Char"/>
    <w:link w:val="CommentText"/>
    <w:uiPriority w:val="99"/>
    <w:rsid w:val="002C7D60"/>
    <w:rPr>
      <w:sz w:val="24"/>
      <w:szCs w:val="24"/>
    </w:rPr>
  </w:style>
  <w:style w:type="character" w:customStyle="1" w:styleId="UnresolvedMention1">
    <w:name w:val="Unresolved Mention1"/>
    <w:uiPriority w:val="99"/>
    <w:semiHidden/>
    <w:unhideWhenUsed/>
    <w:rsid w:val="003026A8"/>
    <w:rPr>
      <w:color w:val="605E5C"/>
      <w:shd w:val="clear" w:color="auto" w:fill="E1DFDD"/>
    </w:rPr>
  </w:style>
  <w:style w:type="character" w:customStyle="1" w:styleId="BodyTextIndent3Char">
    <w:name w:val="Body Text Indent 3 Char"/>
    <w:basedOn w:val="DefaultParagraphFont"/>
    <w:link w:val="BodyTextIndent3"/>
    <w:rsid w:val="00600468"/>
    <w:rPr>
      <w:sz w:val="24"/>
    </w:rPr>
  </w:style>
  <w:style w:type="paragraph" w:styleId="ListParagraph">
    <w:name w:val="List Paragraph"/>
    <w:basedOn w:val="Normal"/>
    <w:uiPriority w:val="34"/>
    <w:qFormat/>
    <w:rsid w:val="00600468"/>
    <w:pPr>
      <w:ind w:left="720"/>
      <w:contextualSpacing/>
    </w:pPr>
    <w:rPr>
      <w:rFonts w:eastAsiaTheme="minorHAnsi"/>
      <w:bCs/>
      <w:color w:val="000000"/>
      <w:szCs w:val="19"/>
    </w:rPr>
  </w:style>
  <w:style w:type="character" w:customStyle="1" w:styleId="FootnoteTextChar">
    <w:name w:val="Footnote Text Char"/>
    <w:basedOn w:val="DefaultParagraphFont"/>
    <w:link w:val="FootnoteText"/>
    <w:semiHidden/>
    <w:rsid w:val="00BC7A39"/>
  </w:style>
  <w:style w:type="paragraph" w:customStyle="1" w:styleId="WW-BodyTextIndent3">
    <w:name w:val="WW-Body Text Indent 3"/>
    <w:basedOn w:val="Normal"/>
    <w:rsid w:val="000F0A9C"/>
    <w:pPr>
      <w:suppressAutoHyphens/>
      <w:spacing w:line="480" w:lineRule="atLeast"/>
      <w:ind w:firstLine="720"/>
    </w:pPr>
    <w:rPr>
      <w:szCs w:val="20"/>
      <w:lang w:eastAsia="ar-SA"/>
    </w:rPr>
  </w:style>
  <w:style w:type="character" w:customStyle="1" w:styleId="UnresolvedMention2">
    <w:name w:val="Unresolved Mention2"/>
    <w:basedOn w:val="DefaultParagraphFont"/>
    <w:rsid w:val="002E21B0"/>
    <w:rPr>
      <w:color w:val="605E5C"/>
      <w:shd w:val="clear" w:color="auto" w:fill="E1DFDD"/>
    </w:rPr>
  </w:style>
  <w:style w:type="paragraph" w:styleId="Revision">
    <w:name w:val="Revision"/>
    <w:hidden/>
    <w:uiPriority w:val="99"/>
    <w:rsid w:val="000F0A9C"/>
    <w:rPr>
      <w:sz w:val="24"/>
      <w:szCs w:val="24"/>
    </w:rPr>
  </w:style>
  <w:style w:type="character" w:customStyle="1" w:styleId="UnresolvedMention3">
    <w:name w:val="Unresolved Mention3"/>
    <w:basedOn w:val="DefaultParagraphFont"/>
    <w:rsid w:val="009119FC"/>
    <w:rPr>
      <w:color w:val="605E5C"/>
      <w:shd w:val="clear" w:color="auto" w:fill="E1DFDD"/>
    </w:rPr>
  </w:style>
  <w:style w:type="character" w:customStyle="1" w:styleId="UnresolvedMention4">
    <w:name w:val="Unresolved Mention4"/>
    <w:basedOn w:val="DefaultParagraphFont"/>
    <w:rsid w:val="00B41BAE"/>
    <w:rPr>
      <w:color w:val="605E5C"/>
      <w:shd w:val="clear" w:color="auto" w:fill="E1DFDD"/>
    </w:rPr>
  </w:style>
  <w:style w:type="paragraph" w:styleId="BlockText">
    <w:name w:val="Block Text"/>
    <w:basedOn w:val="Normal"/>
    <w:rsid w:val="000F0A9C"/>
    <w:pPr>
      <w:ind w:left="1440" w:right="720"/>
    </w:pPr>
    <w:rPr>
      <w:szCs w:val="20"/>
    </w:rPr>
  </w:style>
  <w:style w:type="character" w:styleId="EndnoteReference">
    <w:name w:val="endnote reference"/>
    <w:rsid w:val="000F0A9C"/>
    <w:rPr>
      <w:vertAlign w:val="superscript"/>
    </w:rPr>
  </w:style>
  <w:style w:type="paragraph" w:styleId="BodyText2">
    <w:name w:val="Body Text 2"/>
    <w:basedOn w:val="Normal"/>
    <w:link w:val="BodyText2Char"/>
    <w:rsid w:val="000F0A9C"/>
    <w:pPr>
      <w:spacing w:line="480" w:lineRule="auto"/>
      <w:ind w:right="1440"/>
    </w:pPr>
    <w:rPr>
      <w:szCs w:val="20"/>
    </w:rPr>
  </w:style>
  <w:style w:type="character" w:customStyle="1" w:styleId="BodyText2Char">
    <w:name w:val="Body Text 2 Char"/>
    <w:basedOn w:val="DefaultParagraphFont"/>
    <w:link w:val="BodyText2"/>
    <w:rsid w:val="000F0A9C"/>
    <w:rPr>
      <w:sz w:val="24"/>
    </w:rPr>
  </w:style>
  <w:style w:type="character" w:styleId="FollowedHyperlink">
    <w:name w:val="FollowedHyperlink"/>
    <w:rsid w:val="000F0A9C"/>
    <w:rPr>
      <w:color w:val="800080"/>
      <w:u w:val="single"/>
    </w:rPr>
  </w:style>
  <w:style w:type="character" w:customStyle="1" w:styleId="term1">
    <w:name w:val="term1"/>
    <w:rsid w:val="000F0A9C"/>
    <w:rPr>
      <w:b/>
      <w:bCs/>
    </w:rPr>
  </w:style>
  <w:style w:type="character" w:customStyle="1" w:styleId="UnresolvedMention">
    <w:name w:val="Unresolved Mention"/>
    <w:basedOn w:val="DefaultParagraphFont"/>
    <w:rsid w:val="00957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ailto:john.jones@ohioago.gov" TargetMode="External" /><Relationship Id="rId15" Type="http://schemas.openxmlformats.org/officeDocument/2006/relationships/hyperlink" Target="mailto:mkurtz@BKLlawfirm.com" TargetMode="External" /><Relationship Id="rId16" Type="http://schemas.openxmlformats.org/officeDocument/2006/relationships/hyperlink" Target="mailto:jkylercohn@BKLlawfirm.com" TargetMode="External" /><Relationship Id="rId17" Type="http://schemas.openxmlformats.org/officeDocument/2006/relationships/hyperlink" Target="mailto:matthew.sandor@puco.ohio.gov" TargetMode="External" /><Relationship Id="rId18" Type="http://schemas.openxmlformats.org/officeDocument/2006/relationships/hyperlink" Target="mailto:nicholas.walstra@puco.ohio.gov" TargetMode="External" /><Relationship Id="rId19" Type="http://schemas.openxmlformats.org/officeDocument/2006/relationships/hyperlink" Target="mailto:Rocco.DAscenzo@duke-energy.com" TargetMode="External" /><Relationship Id="rId2" Type="http://schemas.openxmlformats.org/officeDocument/2006/relationships/settings" Target="settings.xml" /><Relationship Id="rId20" Type="http://schemas.openxmlformats.org/officeDocument/2006/relationships/hyperlink" Target="mailto:Jeanne.kingery@duke-energy.com" TargetMode="External" /><Relationship Id="rId21" Type="http://schemas.openxmlformats.org/officeDocument/2006/relationships/hyperlink" Target="mailto:Larisa.Vaysman@duke-energy.com" TargetMode="External" /><Relationship Id="rId22" Type="http://schemas.openxmlformats.org/officeDocument/2006/relationships/hyperlink" Target="mailto:Elyse.Akhbari@duke-energy.com" TargetMode="External" /><Relationship Id="rId23" Type="http://schemas.openxmlformats.org/officeDocument/2006/relationships/header" Target="header4.xml" /><Relationship Id="rId24" Type="http://schemas.openxmlformats.org/officeDocument/2006/relationships/header" Target="header5.xml" /><Relationship Id="rId25" Type="http://schemas.openxmlformats.org/officeDocument/2006/relationships/footer" Target="footer4.xml" /><Relationship Id="rId26" Type="http://schemas.openxmlformats.org/officeDocument/2006/relationships/footer" Target="footer5.xml" /><Relationship Id="rId27" Type="http://schemas.openxmlformats.org/officeDocument/2006/relationships/header" Target="header6.xml" /><Relationship Id="rId28" Type="http://schemas.openxmlformats.org/officeDocument/2006/relationships/footer" Target="footer6.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thomas.brodbeck@occ.ohio.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5C40-AFBA-4F2A-A6DB-C8C7C71B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2024-03-06T21:19:52Z</dcterms:created>
  <dcterms:modified xsi:type="dcterms:W3CDTF">2024-03-06T21:19:52Z</dcterms:modified>
</cp:coreProperties>
</file>