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62" w:rsidRPr="00795574" w:rsidRDefault="001A7562" w:rsidP="001A7562">
      <w:pPr>
        <w:spacing w:after="0" w:line="240" w:lineRule="auto"/>
        <w:jc w:val="center"/>
        <w:rPr>
          <w:rFonts w:ascii="Times New Roman" w:hAnsi="Times New Roman"/>
          <w:bCs/>
          <w:sz w:val="24"/>
          <w:szCs w:val="24"/>
        </w:rPr>
      </w:pPr>
      <w:r w:rsidRPr="00795574">
        <w:rPr>
          <w:rFonts w:ascii="Times New Roman" w:hAnsi="Times New Roman"/>
          <w:bCs/>
          <w:sz w:val="24"/>
          <w:szCs w:val="24"/>
        </w:rPr>
        <w:t xml:space="preserve">BEFORE </w:t>
      </w:r>
    </w:p>
    <w:p w:rsidR="001A7562" w:rsidRPr="00795574" w:rsidRDefault="001A7562" w:rsidP="001A7562">
      <w:pPr>
        <w:spacing w:after="0" w:line="240" w:lineRule="auto"/>
        <w:jc w:val="center"/>
        <w:rPr>
          <w:rFonts w:ascii="Times New Roman" w:hAnsi="Times New Roman"/>
          <w:bCs/>
          <w:sz w:val="24"/>
          <w:szCs w:val="24"/>
        </w:rPr>
      </w:pPr>
      <w:r w:rsidRPr="00795574">
        <w:rPr>
          <w:rFonts w:ascii="Times New Roman" w:hAnsi="Times New Roman"/>
          <w:bCs/>
          <w:sz w:val="24"/>
          <w:szCs w:val="24"/>
        </w:rPr>
        <w:t>THE PUBLIC UTILITIES COMMISSION OF OHIO</w:t>
      </w:r>
    </w:p>
    <w:p w:rsidR="001A7562" w:rsidRPr="00795574" w:rsidRDefault="001A7562" w:rsidP="001A7562">
      <w:pPr>
        <w:spacing w:after="0" w:line="240" w:lineRule="auto"/>
        <w:rPr>
          <w:rFonts w:ascii="Times New Roman" w:hAnsi="Times New Roman"/>
          <w:bCs/>
          <w:sz w:val="24"/>
          <w:szCs w:val="24"/>
        </w:rPr>
      </w:pP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 xml:space="preserve">In the Matter of the Joint Motion to Modify the </w:t>
      </w:r>
      <w:r w:rsidRPr="00795574">
        <w:rPr>
          <w:rFonts w:ascii="Times New Roman" w:hAnsi="Times New Roman"/>
          <w:bCs/>
          <w:sz w:val="24"/>
          <w:szCs w:val="24"/>
        </w:rPr>
        <w:tab/>
      </w:r>
      <w:r w:rsidRPr="00795574">
        <w:rPr>
          <w:rFonts w:ascii="Times New Roman" w:hAnsi="Times New Roman"/>
          <w:bCs/>
          <w:sz w:val="24"/>
          <w:szCs w:val="24"/>
        </w:rPr>
        <w:tab/>
        <w:t>)</w:t>
      </w: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 xml:space="preserve">December 2, 2009 Opinion and Order and the </w:t>
      </w:r>
      <w:r w:rsidRPr="00795574">
        <w:rPr>
          <w:rFonts w:ascii="Times New Roman" w:hAnsi="Times New Roman"/>
          <w:bCs/>
          <w:sz w:val="24"/>
          <w:szCs w:val="24"/>
        </w:rPr>
        <w:tab/>
      </w:r>
      <w:r w:rsidRPr="00795574">
        <w:rPr>
          <w:rFonts w:ascii="Times New Roman" w:hAnsi="Times New Roman"/>
          <w:bCs/>
          <w:sz w:val="24"/>
          <w:szCs w:val="24"/>
        </w:rPr>
        <w:tab/>
        <w:t>)     Case No. 12-2637-GA-EXM</w:t>
      </w: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September 7, 2011 Second Opinion and Order in</w:t>
      </w:r>
      <w:r w:rsidRPr="00795574">
        <w:rPr>
          <w:rFonts w:ascii="Times New Roman" w:hAnsi="Times New Roman"/>
          <w:bCs/>
          <w:sz w:val="24"/>
          <w:szCs w:val="24"/>
        </w:rPr>
        <w:tab/>
      </w:r>
      <w:r w:rsidRPr="00795574">
        <w:rPr>
          <w:rFonts w:ascii="Times New Roman" w:hAnsi="Times New Roman"/>
          <w:bCs/>
          <w:sz w:val="24"/>
          <w:szCs w:val="24"/>
        </w:rPr>
        <w:tab/>
        <w:t>)</w:t>
      </w:r>
    </w:p>
    <w:p w:rsidR="001A7562" w:rsidRPr="00795574" w:rsidRDefault="001A7562" w:rsidP="001A7562">
      <w:pPr>
        <w:spacing w:after="0" w:line="240" w:lineRule="auto"/>
        <w:rPr>
          <w:rFonts w:ascii="Times New Roman" w:hAnsi="Times New Roman"/>
          <w:sz w:val="24"/>
          <w:szCs w:val="24"/>
        </w:rPr>
      </w:pPr>
      <w:r w:rsidRPr="00795574">
        <w:rPr>
          <w:rFonts w:ascii="Times New Roman" w:hAnsi="Times New Roman"/>
          <w:sz w:val="24"/>
          <w:szCs w:val="24"/>
        </w:rPr>
        <w:t>Case No. 08-1344-GA-EXM</w:t>
      </w:r>
      <w:r>
        <w:rPr>
          <w:rFonts w:ascii="Times New Roman" w:hAnsi="Times New Roman"/>
          <w:sz w:val="24"/>
          <w:szCs w:val="24"/>
        </w:rPr>
        <w:t>.</w:t>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t>)</w:t>
      </w:r>
    </w:p>
    <w:p w:rsidR="001A7562" w:rsidRPr="00FE4225" w:rsidRDefault="001A7562" w:rsidP="001A7562">
      <w:pPr>
        <w:spacing w:after="0" w:line="240" w:lineRule="auto"/>
        <w:rPr>
          <w:rFonts w:ascii="Times New Roman" w:hAnsi="Times New Roman"/>
          <w:b/>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spacing w:after="0"/>
        <w:rPr>
          <w:rFonts w:ascii="Times New Roman" w:hAnsi="Times New Roman"/>
          <w:b/>
          <w:sz w:val="24"/>
          <w:szCs w:val="24"/>
        </w:rPr>
      </w:pPr>
    </w:p>
    <w:p w:rsidR="001A7562" w:rsidRDefault="001A7562" w:rsidP="001A7562">
      <w:pPr>
        <w:spacing w:after="0"/>
        <w:jc w:val="center"/>
        <w:rPr>
          <w:rFonts w:ascii="Times New Roman" w:hAnsi="Times New Roman"/>
          <w:b/>
          <w:sz w:val="24"/>
          <w:szCs w:val="24"/>
        </w:rPr>
      </w:pPr>
      <w:r>
        <w:rPr>
          <w:rFonts w:ascii="Times New Roman" w:hAnsi="Times New Roman"/>
          <w:b/>
          <w:sz w:val="24"/>
          <w:szCs w:val="24"/>
        </w:rPr>
        <w:t>HESS CORPORATION’S APPLICATION FOR REHEARING</w:t>
      </w: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pPr>
        <w:rPr>
          <w:rFonts w:ascii="Times New Roman" w:hAnsi="Times New Roman"/>
          <w:bCs/>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Pr="009F051D" w:rsidRDefault="001023BA" w:rsidP="001A7562">
      <w:pPr>
        <w:tabs>
          <w:tab w:val="left" w:pos="342"/>
        </w:tabs>
        <w:spacing w:after="0" w:line="240" w:lineRule="auto"/>
        <w:ind w:left="4770" w:right="-360"/>
        <w:rPr>
          <w:rFonts w:ascii="Times New Roman" w:hAnsi="Times New Roman" w:cs="Times New Roman"/>
          <w:sz w:val="24"/>
          <w:szCs w:val="24"/>
        </w:rPr>
      </w:pPr>
      <w:r>
        <w:rPr>
          <w:rFonts w:ascii="Times New Roman" w:hAnsi="Times New Roman" w:cs="Times New Roman"/>
          <w:sz w:val="24"/>
          <w:szCs w:val="24"/>
        </w:rPr>
        <w:t>Dane Stinson</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BAILEY CAVALIERI LLC</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10 West Broad Street, Suite 2100</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Columbus, Ohio 43215</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221-3155 (telephone)</w:t>
      </w:r>
      <w:r w:rsidRPr="009F051D">
        <w:rPr>
          <w:rFonts w:ascii="Times New Roman" w:hAnsi="Times New Roman" w:cs="Times New Roman"/>
          <w:sz w:val="24"/>
          <w:szCs w:val="24"/>
        </w:rPr>
        <w:tab/>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221-0479 (fax)</w:t>
      </w:r>
    </w:p>
    <w:p w:rsidR="001A7562" w:rsidRPr="009F051D" w:rsidRDefault="001A7562" w:rsidP="001A7562">
      <w:pPr>
        <w:pStyle w:val="TxBrp12"/>
        <w:spacing w:line="240" w:lineRule="auto"/>
        <w:ind w:left="4766" w:right="-360" w:firstLine="0"/>
      </w:pPr>
      <w:r w:rsidRPr="009F051D">
        <w:t>Dane.Stinson@BaileyCavalieri.com</w:t>
      </w:r>
    </w:p>
    <w:p w:rsidR="001A7562" w:rsidRDefault="001A7562" w:rsidP="001A7562">
      <w:pPr>
        <w:pStyle w:val="BodyText"/>
        <w:spacing w:before="120" w:after="0"/>
        <w:ind w:left="4766" w:right="-360" w:firstLine="0"/>
        <w:rPr>
          <w:szCs w:val="24"/>
        </w:rPr>
      </w:pPr>
      <w:r w:rsidRPr="009F051D">
        <w:rPr>
          <w:szCs w:val="24"/>
        </w:rPr>
        <w:t>Attorney for Hess Corporation</w:t>
      </w:r>
    </w:p>
    <w:p w:rsidR="00E145D6" w:rsidRDefault="00E145D6">
      <w:pPr>
        <w:rPr>
          <w:rFonts w:ascii="Times New Roman" w:hAnsi="Times New Roman"/>
          <w:bCs/>
          <w:sz w:val="24"/>
          <w:szCs w:val="24"/>
        </w:rPr>
        <w:sectPr w:rsidR="00E145D6" w:rsidSect="00A674F9">
          <w:footerReference w:type="even" r:id="rId8"/>
          <w:footerReference w:type="default" r:id="rId9"/>
          <w:headerReference w:type="first" r:id="rId10"/>
          <w:footerReference w:type="first" r:id="rId11"/>
          <w:pgSz w:w="12240" w:h="15840"/>
          <w:pgMar w:top="1440" w:right="1530" w:bottom="1440" w:left="1440" w:header="720" w:footer="720" w:gutter="0"/>
          <w:cols w:space="720"/>
          <w:titlePg/>
          <w:docGrid w:linePitch="360"/>
        </w:sectPr>
      </w:pPr>
    </w:p>
    <w:p w:rsidR="005322A4" w:rsidRPr="005322A4" w:rsidRDefault="005322A4" w:rsidP="005322A4">
      <w:pPr>
        <w:jc w:val="center"/>
        <w:rPr>
          <w:rFonts w:ascii="Times New Roman" w:hAnsi="Times New Roman" w:cs="Times New Roman"/>
          <w:b/>
          <w:sz w:val="24"/>
          <w:szCs w:val="24"/>
          <w:u w:val="single"/>
        </w:rPr>
      </w:pPr>
      <w:r w:rsidRPr="005322A4">
        <w:rPr>
          <w:rFonts w:ascii="Times New Roman" w:hAnsi="Times New Roman" w:cs="Times New Roman"/>
          <w:b/>
          <w:sz w:val="24"/>
          <w:szCs w:val="24"/>
          <w:u w:val="single"/>
        </w:rPr>
        <w:lastRenderedPageBreak/>
        <w:t>TABLE OF CONTENTS</w:t>
      </w:r>
    </w:p>
    <w:p w:rsidR="005322A4" w:rsidRDefault="005322A4" w:rsidP="005322A4">
      <w:pPr>
        <w:rPr>
          <w:rFonts w:ascii="Times New Roman" w:hAnsi="Times New Roman" w:cs="Times New Roman"/>
          <w:sz w:val="24"/>
          <w:szCs w:val="24"/>
        </w:rPr>
      </w:pPr>
      <w:r>
        <w:rPr>
          <w:rFonts w:ascii="Times New Roman" w:hAnsi="Times New Roman" w:cs="Times New Roman"/>
          <w:sz w:val="24"/>
          <w:szCs w:val="24"/>
        </w:rPr>
        <w:t>APPLICATION FOR REHEARING</w:t>
      </w:r>
      <w:r w:rsidRPr="005322A4">
        <w:rPr>
          <w:rFonts w:ascii="Times New Roman" w:hAnsi="Times New Roman" w:cs="Times New Roman"/>
          <w:sz w:val="24"/>
          <w:szCs w:val="24"/>
        </w:rPr>
        <w:t>………………………………………………...</w:t>
      </w:r>
      <w:r>
        <w:rPr>
          <w:rFonts w:ascii="Times New Roman" w:hAnsi="Times New Roman" w:cs="Times New Roman"/>
          <w:sz w:val="24"/>
          <w:szCs w:val="24"/>
        </w:rPr>
        <w:t xml:space="preserve">         1</w:t>
      </w:r>
    </w:p>
    <w:p w:rsidR="005322A4" w:rsidRPr="005322A4" w:rsidRDefault="005322A4" w:rsidP="005322A4">
      <w:pPr>
        <w:rPr>
          <w:rFonts w:ascii="Times New Roman" w:hAnsi="Times New Roman" w:cs="Times New Roman"/>
          <w:sz w:val="24"/>
          <w:szCs w:val="24"/>
        </w:rPr>
      </w:pPr>
      <w:r>
        <w:rPr>
          <w:rFonts w:ascii="Times New Roman" w:hAnsi="Times New Roman" w:cs="Times New Roman"/>
          <w:sz w:val="24"/>
          <w:szCs w:val="24"/>
        </w:rPr>
        <w:t>MEMORANDUM IN SUPPORT</w:t>
      </w:r>
      <w:r w:rsidRPr="005322A4">
        <w:rPr>
          <w:rFonts w:ascii="Times New Roman" w:hAnsi="Times New Roman" w:cs="Times New Roman"/>
          <w:sz w:val="24"/>
          <w:szCs w:val="24"/>
        </w:rPr>
        <w:t>………</w:t>
      </w:r>
      <w:r>
        <w:rPr>
          <w:rFonts w:ascii="Times New Roman" w:hAnsi="Times New Roman" w:cs="Times New Roman"/>
          <w:sz w:val="24"/>
          <w:szCs w:val="24"/>
        </w:rPr>
        <w:t>….</w:t>
      </w:r>
      <w:r w:rsidRPr="005322A4">
        <w:rPr>
          <w:rFonts w:ascii="Times New Roman" w:hAnsi="Times New Roman" w:cs="Times New Roman"/>
          <w:sz w:val="24"/>
          <w:szCs w:val="24"/>
        </w:rPr>
        <w:t>………………………………………...</w:t>
      </w:r>
      <w:r w:rsidR="007A4783">
        <w:rPr>
          <w:rFonts w:ascii="Times New Roman" w:hAnsi="Times New Roman" w:cs="Times New Roman"/>
          <w:sz w:val="24"/>
          <w:szCs w:val="24"/>
        </w:rPr>
        <w:t xml:space="preserv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gridCol w:w="900"/>
      </w:tblGrid>
      <w:tr w:rsidR="005322A4" w:rsidRPr="005322A4" w:rsidTr="002506DD">
        <w:tc>
          <w:tcPr>
            <w:tcW w:w="8568" w:type="dxa"/>
          </w:tcPr>
          <w:p w:rsidR="005322A4" w:rsidRPr="005322A4" w:rsidRDefault="005322A4" w:rsidP="001E77D0">
            <w:pPr>
              <w:rPr>
                <w:sz w:val="24"/>
                <w:szCs w:val="24"/>
              </w:rPr>
            </w:pPr>
            <w:r w:rsidRPr="005322A4">
              <w:rPr>
                <w:sz w:val="24"/>
                <w:szCs w:val="24"/>
              </w:rPr>
              <w:t>I.</w:t>
            </w:r>
            <w:r w:rsidRPr="005322A4">
              <w:rPr>
                <w:sz w:val="24"/>
                <w:szCs w:val="24"/>
              </w:rPr>
              <w:tab/>
            </w:r>
            <w:r>
              <w:rPr>
                <w:sz w:val="24"/>
                <w:szCs w:val="24"/>
              </w:rPr>
              <w:t>INTRODUCTION………………...</w:t>
            </w:r>
            <w:r w:rsidRPr="005322A4">
              <w:rPr>
                <w:sz w:val="24"/>
                <w:szCs w:val="24"/>
              </w:rPr>
              <w:t>…………………………………</w:t>
            </w:r>
            <w:r w:rsidR="00AE44FA">
              <w:rPr>
                <w:sz w:val="24"/>
                <w:szCs w:val="24"/>
              </w:rPr>
              <w:t>……….</w:t>
            </w:r>
          </w:p>
          <w:p w:rsidR="00AE44FA" w:rsidRDefault="00AE44FA">
            <w:pPr>
              <w:ind w:left="720"/>
              <w:rPr>
                <w:rFonts w:asciiTheme="minorHAnsi" w:eastAsiaTheme="minorEastAsia" w:hAnsiTheme="minorHAnsi" w:cstheme="minorBidi"/>
                <w:sz w:val="24"/>
                <w:szCs w:val="24"/>
                <w:lang w:eastAsia="zh-CN"/>
              </w:rPr>
            </w:pPr>
          </w:p>
        </w:tc>
        <w:tc>
          <w:tcPr>
            <w:tcW w:w="900" w:type="dxa"/>
            <w:shd w:val="clear" w:color="auto" w:fill="auto"/>
          </w:tcPr>
          <w:p w:rsidR="005322A4" w:rsidRPr="005322A4" w:rsidRDefault="007A4783" w:rsidP="002506DD">
            <w:pPr>
              <w:rPr>
                <w:sz w:val="24"/>
                <w:szCs w:val="24"/>
              </w:rPr>
            </w:pPr>
            <w:r>
              <w:rPr>
                <w:sz w:val="24"/>
                <w:szCs w:val="24"/>
              </w:rPr>
              <w:t>3</w:t>
            </w:r>
          </w:p>
        </w:tc>
      </w:tr>
      <w:tr w:rsidR="005322A4" w:rsidRPr="005322A4" w:rsidTr="002506DD">
        <w:tc>
          <w:tcPr>
            <w:tcW w:w="8568" w:type="dxa"/>
          </w:tcPr>
          <w:p w:rsidR="005322A4" w:rsidRPr="005322A4" w:rsidRDefault="005322A4" w:rsidP="001E77D0">
            <w:pPr>
              <w:rPr>
                <w:sz w:val="24"/>
                <w:szCs w:val="24"/>
              </w:rPr>
            </w:pPr>
            <w:r w:rsidRPr="005322A4">
              <w:rPr>
                <w:sz w:val="24"/>
                <w:szCs w:val="24"/>
              </w:rPr>
              <w:t>II.</w:t>
            </w:r>
            <w:r w:rsidRPr="005322A4">
              <w:rPr>
                <w:sz w:val="24"/>
                <w:szCs w:val="24"/>
              </w:rPr>
              <w:tab/>
            </w:r>
            <w:r w:rsidR="00DE390C">
              <w:rPr>
                <w:sz w:val="24"/>
                <w:szCs w:val="24"/>
              </w:rPr>
              <w:t>GROUND</w:t>
            </w:r>
            <w:r w:rsidR="00AE44FA">
              <w:rPr>
                <w:sz w:val="24"/>
                <w:szCs w:val="24"/>
              </w:rPr>
              <w:t>S</w:t>
            </w:r>
            <w:r w:rsidR="00DE390C">
              <w:rPr>
                <w:sz w:val="24"/>
                <w:szCs w:val="24"/>
              </w:rPr>
              <w:t xml:space="preserve"> FOR REHEA</w:t>
            </w:r>
            <w:r w:rsidR="001023BA">
              <w:rPr>
                <w:sz w:val="24"/>
                <w:szCs w:val="24"/>
              </w:rPr>
              <w:t>R</w:t>
            </w:r>
            <w:r w:rsidR="00DE390C">
              <w:rPr>
                <w:sz w:val="24"/>
                <w:szCs w:val="24"/>
              </w:rPr>
              <w:t xml:space="preserve">ING </w:t>
            </w:r>
            <w:r w:rsidRPr="005322A4">
              <w:rPr>
                <w:sz w:val="24"/>
                <w:szCs w:val="24"/>
              </w:rPr>
              <w:t>……………………………</w:t>
            </w:r>
            <w:r>
              <w:rPr>
                <w:sz w:val="24"/>
                <w:szCs w:val="24"/>
              </w:rPr>
              <w:t>.</w:t>
            </w:r>
            <w:r w:rsidRPr="005322A4">
              <w:rPr>
                <w:sz w:val="24"/>
                <w:szCs w:val="24"/>
              </w:rPr>
              <w:t>………...</w:t>
            </w:r>
            <w:r w:rsidR="00AE44FA">
              <w:rPr>
                <w:sz w:val="24"/>
                <w:szCs w:val="24"/>
              </w:rPr>
              <w:t>...........</w:t>
            </w:r>
          </w:p>
          <w:p w:rsidR="00AE44FA" w:rsidRDefault="00AE44FA">
            <w:pPr>
              <w:ind w:left="720"/>
              <w:rPr>
                <w:rFonts w:asciiTheme="minorHAnsi" w:eastAsiaTheme="minorEastAsia" w:hAnsiTheme="minorHAnsi" w:cstheme="minorBidi"/>
                <w:sz w:val="24"/>
                <w:szCs w:val="24"/>
                <w:lang w:eastAsia="zh-CN"/>
              </w:rPr>
            </w:pPr>
          </w:p>
        </w:tc>
        <w:tc>
          <w:tcPr>
            <w:tcW w:w="900" w:type="dxa"/>
            <w:shd w:val="clear" w:color="auto" w:fill="auto"/>
          </w:tcPr>
          <w:p w:rsidR="005322A4" w:rsidRPr="005322A4" w:rsidRDefault="007A4783" w:rsidP="002506DD">
            <w:pPr>
              <w:rPr>
                <w:sz w:val="24"/>
                <w:szCs w:val="24"/>
              </w:rPr>
            </w:pPr>
            <w:r>
              <w:rPr>
                <w:sz w:val="24"/>
                <w:szCs w:val="24"/>
              </w:rPr>
              <w:t>5</w:t>
            </w:r>
          </w:p>
        </w:tc>
      </w:tr>
      <w:tr w:rsidR="005322A4" w:rsidRPr="005322A4" w:rsidTr="002506DD">
        <w:tc>
          <w:tcPr>
            <w:tcW w:w="8568" w:type="dxa"/>
          </w:tcPr>
          <w:p w:rsidR="00AE44FA" w:rsidRDefault="000445FE" w:rsidP="001023BA">
            <w:pPr>
              <w:ind w:left="1350" w:right="252" w:hanging="630"/>
              <w:jc w:val="both"/>
              <w:rPr>
                <w:rFonts w:asciiTheme="minorHAnsi" w:eastAsiaTheme="minorEastAsia" w:hAnsiTheme="minorHAnsi" w:cstheme="minorBidi"/>
                <w:sz w:val="24"/>
                <w:szCs w:val="24"/>
                <w:lang w:eastAsia="zh-CN"/>
              </w:rPr>
            </w:pPr>
            <w:r w:rsidRPr="000445FE">
              <w:rPr>
                <w:sz w:val="24"/>
                <w:szCs w:val="24"/>
              </w:rPr>
              <w:t>A.</w:t>
            </w:r>
            <w:r w:rsidR="00DE390C" w:rsidRPr="003E1574">
              <w:rPr>
                <w:sz w:val="24"/>
                <w:szCs w:val="24"/>
              </w:rPr>
              <w:tab/>
            </w:r>
            <w:r w:rsidRPr="000445FE">
              <w:rPr>
                <w:caps/>
                <w:sz w:val="24"/>
                <w:szCs w:val="24"/>
              </w:rPr>
              <w:t>The Commission’s Order</w:t>
            </w:r>
            <w:r w:rsidR="00DE390C">
              <w:rPr>
                <w:caps/>
                <w:sz w:val="24"/>
                <w:szCs w:val="24"/>
              </w:rPr>
              <w:t xml:space="preserve"> APPROVING THE SCO SECURITY DEPOSIT </w:t>
            </w:r>
            <w:r w:rsidRPr="000445FE">
              <w:rPr>
                <w:caps/>
                <w:sz w:val="24"/>
                <w:szCs w:val="24"/>
              </w:rPr>
              <w:t xml:space="preserve">Violates Section 4903.09, Ohio Rev. Code, Because it Fails to Set Forth the Findings of Fact and Reasoning Based Thereon.  </w:t>
            </w:r>
            <w:r w:rsidRPr="000445FE">
              <w:rPr>
                <w:rFonts w:eastAsia="Calibri"/>
                <w:i/>
                <w:caps/>
                <w:sz w:val="24"/>
                <w:szCs w:val="24"/>
              </w:rPr>
              <w:t>Ideal Transp. Co.</w:t>
            </w:r>
            <w:r w:rsidR="00AE44FA">
              <w:rPr>
                <w:rFonts w:eastAsia="Calibri"/>
                <w:i/>
                <w:caps/>
                <w:sz w:val="24"/>
                <w:szCs w:val="24"/>
              </w:rPr>
              <w:t xml:space="preserve"> </w:t>
            </w:r>
            <w:r w:rsidR="00AE44FA" w:rsidRPr="00AE44FA">
              <w:rPr>
                <w:rFonts w:eastAsia="Calibri"/>
                <w:i/>
                <w:sz w:val="24"/>
                <w:szCs w:val="24"/>
              </w:rPr>
              <w:t>v</w:t>
            </w:r>
            <w:r w:rsidR="00AE44FA">
              <w:rPr>
                <w:rFonts w:eastAsia="Calibri"/>
                <w:i/>
                <w:caps/>
                <w:sz w:val="24"/>
                <w:szCs w:val="24"/>
              </w:rPr>
              <w:t>.</w:t>
            </w:r>
            <w:r w:rsidRPr="000445FE">
              <w:rPr>
                <w:rFonts w:eastAsia="Calibri"/>
                <w:i/>
                <w:caps/>
                <w:sz w:val="24"/>
                <w:szCs w:val="24"/>
              </w:rPr>
              <w:t xml:space="preserve"> Pub. Util. Comm</w:t>
            </w:r>
            <w:r w:rsidRPr="000445FE">
              <w:rPr>
                <w:rFonts w:eastAsia="Calibri"/>
                <w:caps/>
                <w:sz w:val="24"/>
                <w:szCs w:val="24"/>
              </w:rPr>
              <w:t>. (1975), 42 Ohio St.</w:t>
            </w:r>
            <w:r w:rsidR="00531BFB">
              <w:rPr>
                <w:rFonts w:eastAsia="Calibri"/>
                <w:caps/>
                <w:sz w:val="24"/>
                <w:szCs w:val="24"/>
              </w:rPr>
              <w:t xml:space="preserve"> 2</w:t>
            </w:r>
            <w:r w:rsidR="00531BFB" w:rsidRPr="00531BFB">
              <w:rPr>
                <w:rFonts w:eastAsia="Calibri"/>
                <w:sz w:val="24"/>
                <w:szCs w:val="24"/>
              </w:rPr>
              <w:t>d</w:t>
            </w:r>
            <w:r w:rsidR="00531BFB">
              <w:rPr>
                <w:rFonts w:eastAsia="Calibri"/>
                <w:caps/>
                <w:sz w:val="24"/>
                <w:szCs w:val="24"/>
              </w:rPr>
              <w:t xml:space="preserve"> </w:t>
            </w:r>
            <w:r w:rsidRPr="000445FE">
              <w:rPr>
                <w:rFonts w:eastAsia="Calibri"/>
                <w:caps/>
                <w:sz w:val="24"/>
                <w:szCs w:val="24"/>
              </w:rPr>
              <w:t xml:space="preserve">195, paragraph one of the syllabus; </w:t>
            </w:r>
            <w:r w:rsidRPr="000445FE">
              <w:rPr>
                <w:rFonts w:eastAsia="Calibri"/>
                <w:i/>
                <w:caps/>
                <w:sz w:val="24"/>
                <w:szCs w:val="24"/>
              </w:rPr>
              <w:t>Tongren</w:t>
            </w:r>
            <w:r w:rsidR="00AE44FA">
              <w:rPr>
                <w:rFonts w:eastAsia="Calibri"/>
                <w:i/>
                <w:caps/>
                <w:sz w:val="24"/>
                <w:szCs w:val="24"/>
              </w:rPr>
              <w:t xml:space="preserve"> </w:t>
            </w:r>
            <w:r w:rsidR="00AE44FA" w:rsidRPr="00AE44FA">
              <w:rPr>
                <w:rFonts w:eastAsia="Calibri"/>
                <w:i/>
                <w:sz w:val="24"/>
                <w:szCs w:val="24"/>
              </w:rPr>
              <w:t>v.</w:t>
            </w:r>
            <w:r w:rsidR="00AE44FA">
              <w:rPr>
                <w:rFonts w:eastAsia="Calibri"/>
                <w:i/>
                <w:caps/>
                <w:sz w:val="24"/>
                <w:szCs w:val="24"/>
              </w:rPr>
              <w:t xml:space="preserve"> </w:t>
            </w:r>
            <w:r w:rsidRPr="000445FE">
              <w:rPr>
                <w:rFonts w:eastAsia="Calibri"/>
                <w:i/>
                <w:caps/>
                <w:sz w:val="24"/>
                <w:szCs w:val="24"/>
              </w:rPr>
              <w:t>Pub. Util. Comm</w:t>
            </w:r>
            <w:r w:rsidRPr="000445FE">
              <w:rPr>
                <w:rFonts w:eastAsia="Calibri"/>
                <w:i/>
                <w:sz w:val="24"/>
                <w:szCs w:val="24"/>
              </w:rPr>
              <w:t>.</w:t>
            </w:r>
            <w:r w:rsidRPr="000445FE">
              <w:rPr>
                <w:rFonts w:eastAsia="Calibri"/>
                <w:sz w:val="24"/>
                <w:szCs w:val="24"/>
              </w:rPr>
              <w:t xml:space="preserve"> (1999), 85</w:t>
            </w:r>
            <w:r w:rsidR="00DE390C">
              <w:rPr>
                <w:rFonts w:eastAsia="Calibri"/>
                <w:sz w:val="24"/>
                <w:szCs w:val="24"/>
              </w:rPr>
              <w:t xml:space="preserve"> OHIO ST. </w:t>
            </w:r>
            <w:r w:rsidRPr="000445FE">
              <w:rPr>
                <w:rFonts w:eastAsia="Calibri"/>
                <w:sz w:val="24"/>
                <w:szCs w:val="24"/>
              </w:rPr>
              <w:t>3d 87.</w:t>
            </w:r>
            <w:r w:rsidR="005322A4" w:rsidRPr="005322A4">
              <w:rPr>
                <w:sz w:val="24"/>
                <w:szCs w:val="24"/>
              </w:rPr>
              <w:t>…………</w:t>
            </w:r>
            <w:r w:rsidR="00DE390C">
              <w:rPr>
                <w:sz w:val="24"/>
                <w:szCs w:val="24"/>
              </w:rPr>
              <w:t>……</w:t>
            </w:r>
            <w:r w:rsidR="001023BA">
              <w:rPr>
                <w:sz w:val="24"/>
                <w:szCs w:val="24"/>
              </w:rPr>
              <w:t>………</w:t>
            </w:r>
            <w:r w:rsidR="00DE390C">
              <w:rPr>
                <w:sz w:val="24"/>
                <w:szCs w:val="24"/>
              </w:rPr>
              <w:t>…</w:t>
            </w:r>
            <w:r w:rsidR="00AE44FA">
              <w:rPr>
                <w:sz w:val="24"/>
                <w:szCs w:val="24"/>
              </w:rPr>
              <w:t>.</w:t>
            </w:r>
            <w:r w:rsidR="005322A4" w:rsidRPr="005322A4">
              <w:rPr>
                <w:sz w:val="24"/>
                <w:szCs w:val="24"/>
              </w:rPr>
              <w:t>.</w:t>
            </w:r>
          </w:p>
          <w:p w:rsidR="005322A4" w:rsidRPr="005322A4" w:rsidRDefault="005322A4" w:rsidP="002506DD">
            <w:pPr>
              <w:tabs>
                <w:tab w:val="left" w:pos="1425"/>
              </w:tabs>
              <w:ind w:left="720"/>
              <w:rPr>
                <w:sz w:val="24"/>
                <w:szCs w:val="24"/>
              </w:rPr>
            </w:pPr>
          </w:p>
        </w:tc>
        <w:tc>
          <w:tcPr>
            <w:tcW w:w="900" w:type="dxa"/>
            <w:shd w:val="clear" w:color="auto" w:fill="auto"/>
          </w:tcPr>
          <w:p w:rsidR="005322A4" w:rsidRPr="005322A4" w:rsidRDefault="005322A4" w:rsidP="002506DD">
            <w:pPr>
              <w:rPr>
                <w:sz w:val="24"/>
                <w:szCs w:val="24"/>
              </w:rPr>
            </w:pPr>
          </w:p>
          <w:p w:rsidR="005322A4" w:rsidRPr="005322A4" w:rsidRDefault="005322A4" w:rsidP="002506DD">
            <w:pPr>
              <w:rPr>
                <w:sz w:val="24"/>
                <w:szCs w:val="24"/>
              </w:rPr>
            </w:pPr>
          </w:p>
          <w:p w:rsidR="005322A4" w:rsidRPr="005322A4" w:rsidRDefault="005322A4" w:rsidP="002506DD">
            <w:pPr>
              <w:rPr>
                <w:sz w:val="24"/>
                <w:szCs w:val="24"/>
              </w:rPr>
            </w:pPr>
          </w:p>
          <w:p w:rsidR="005322A4" w:rsidRPr="005322A4" w:rsidRDefault="005322A4" w:rsidP="002506DD">
            <w:pPr>
              <w:rPr>
                <w:sz w:val="24"/>
                <w:szCs w:val="24"/>
              </w:rPr>
            </w:pPr>
          </w:p>
          <w:p w:rsidR="005322A4" w:rsidRPr="005322A4" w:rsidRDefault="005322A4" w:rsidP="002506DD">
            <w:pPr>
              <w:rPr>
                <w:sz w:val="24"/>
                <w:szCs w:val="24"/>
              </w:rPr>
            </w:pPr>
          </w:p>
          <w:p w:rsidR="005322A4" w:rsidRDefault="005322A4" w:rsidP="002506DD">
            <w:pPr>
              <w:rPr>
                <w:sz w:val="24"/>
                <w:szCs w:val="24"/>
              </w:rPr>
            </w:pPr>
          </w:p>
          <w:p w:rsidR="00DE390C" w:rsidRPr="005322A4" w:rsidRDefault="007A4783" w:rsidP="002506DD">
            <w:pPr>
              <w:rPr>
                <w:sz w:val="24"/>
                <w:szCs w:val="24"/>
              </w:rPr>
            </w:pPr>
            <w:r>
              <w:rPr>
                <w:sz w:val="24"/>
                <w:szCs w:val="24"/>
              </w:rPr>
              <w:t>5</w:t>
            </w:r>
          </w:p>
          <w:p w:rsidR="005322A4" w:rsidRPr="005322A4" w:rsidRDefault="005322A4" w:rsidP="002506DD">
            <w:pPr>
              <w:rPr>
                <w:sz w:val="24"/>
                <w:szCs w:val="24"/>
              </w:rPr>
            </w:pPr>
          </w:p>
        </w:tc>
      </w:tr>
      <w:tr w:rsidR="005322A4" w:rsidRPr="005322A4" w:rsidTr="002506DD">
        <w:tc>
          <w:tcPr>
            <w:tcW w:w="8568" w:type="dxa"/>
          </w:tcPr>
          <w:p w:rsidR="005322A4" w:rsidRPr="005322A4" w:rsidRDefault="001E77D0" w:rsidP="001023BA">
            <w:pPr>
              <w:ind w:left="1350" w:right="162" w:hanging="630"/>
              <w:jc w:val="both"/>
              <w:rPr>
                <w:sz w:val="24"/>
                <w:szCs w:val="24"/>
              </w:rPr>
            </w:pPr>
            <w:r>
              <w:rPr>
                <w:sz w:val="24"/>
                <w:szCs w:val="24"/>
              </w:rPr>
              <w:t>B.      T</w:t>
            </w:r>
            <w:r w:rsidR="000445FE" w:rsidRPr="000445FE">
              <w:rPr>
                <w:caps/>
                <w:sz w:val="24"/>
                <w:szCs w:val="24"/>
              </w:rPr>
              <w:t>he Commission’s Order</w:t>
            </w:r>
            <w:r>
              <w:rPr>
                <w:caps/>
                <w:sz w:val="24"/>
                <w:szCs w:val="24"/>
              </w:rPr>
              <w:t xml:space="preserve"> APPROVING THE SCO SECURITY</w:t>
            </w:r>
            <w:r w:rsidR="001023BA">
              <w:rPr>
                <w:caps/>
                <w:sz w:val="24"/>
                <w:szCs w:val="24"/>
              </w:rPr>
              <w:t xml:space="preserve">     </w:t>
            </w:r>
            <w:r>
              <w:rPr>
                <w:caps/>
                <w:sz w:val="24"/>
                <w:szCs w:val="24"/>
              </w:rPr>
              <w:t xml:space="preserve">DEPOSIT </w:t>
            </w:r>
            <w:r w:rsidR="000445FE" w:rsidRPr="000445FE">
              <w:rPr>
                <w:caps/>
                <w:sz w:val="24"/>
                <w:szCs w:val="24"/>
              </w:rPr>
              <w:t>is Against the Manifest Weight of the Evidence (</w:t>
            </w:r>
            <w:r w:rsidRPr="00AE44FA">
              <w:rPr>
                <w:i/>
                <w:caps/>
                <w:sz w:val="24"/>
                <w:szCs w:val="24"/>
              </w:rPr>
              <w:t xml:space="preserve">CLEVELAND ELEC. ILLUM. CO. </w:t>
            </w:r>
            <w:r w:rsidR="000445FE" w:rsidRPr="00AE44FA">
              <w:rPr>
                <w:i/>
                <w:sz w:val="24"/>
                <w:szCs w:val="24"/>
              </w:rPr>
              <w:t>v.</w:t>
            </w:r>
            <w:r w:rsidRPr="00AE44FA">
              <w:rPr>
                <w:i/>
                <w:sz w:val="24"/>
                <w:szCs w:val="24"/>
              </w:rPr>
              <w:t xml:space="preserve"> PUB. UTIL</w:t>
            </w:r>
            <w:r>
              <w:rPr>
                <w:i/>
                <w:sz w:val="24"/>
                <w:szCs w:val="24"/>
              </w:rPr>
              <w:t xml:space="preserve">. COMM. </w:t>
            </w:r>
            <w:r w:rsidR="000445FE" w:rsidRPr="000445FE">
              <w:rPr>
                <w:sz w:val="24"/>
                <w:szCs w:val="24"/>
              </w:rPr>
              <w:t>(1975), 42 O</w:t>
            </w:r>
            <w:r w:rsidR="001023BA">
              <w:rPr>
                <w:sz w:val="24"/>
                <w:szCs w:val="24"/>
              </w:rPr>
              <w:t>HIO ST</w:t>
            </w:r>
            <w:r w:rsidR="000445FE" w:rsidRPr="000445FE">
              <w:rPr>
                <w:sz w:val="24"/>
                <w:szCs w:val="24"/>
              </w:rPr>
              <w:t>. 2d 403</w:t>
            </w:r>
            <w:r w:rsidR="000445FE" w:rsidRPr="000445FE">
              <w:rPr>
                <w:caps/>
                <w:sz w:val="24"/>
                <w:szCs w:val="24"/>
              </w:rPr>
              <w:t>), and Unlawfully Relies on the Amended Stipulation in Lieu of the Evidence of Record.</w:t>
            </w:r>
            <w:r w:rsidRPr="001E77D0">
              <w:rPr>
                <w:caps/>
                <w:sz w:val="24"/>
                <w:szCs w:val="24"/>
              </w:rPr>
              <w:t xml:space="preserve">  </w:t>
            </w:r>
            <w:r w:rsidR="000445FE" w:rsidRPr="000445FE">
              <w:rPr>
                <w:i/>
                <w:caps/>
                <w:sz w:val="24"/>
                <w:szCs w:val="24"/>
              </w:rPr>
              <w:t>In re Columbus Southern Power Co. (2011)</w:t>
            </w:r>
            <w:r w:rsidR="000445FE" w:rsidRPr="000445FE">
              <w:rPr>
                <w:caps/>
                <w:sz w:val="24"/>
                <w:szCs w:val="24"/>
              </w:rPr>
              <w:t>, 129 Ohio St</w:t>
            </w:r>
            <w:r w:rsidR="000445FE" w:rsidRPr="000445FE">
              <w:rPr>
                <w:sz w:val="24"/>
                <w:szCs w:val="24"/>
              </w:rPr>
              <w:t>.</w:t>
            </w:r>
            <w:r w:rsidR="001023BA">
              <w:rPr>
                <w:sz w:val="24"/>
                <w:szCs w:val="24"/>
              </w:rPr>
              <w:t xml:space="preserve"> </w:t>
            </w:r>
            <w:r w:rsidR="000445FE" w:rsidRPr="000445FE">
              <w:rPr>
                <w:sz w:val="24"/>
                <w:szCs w:val="24"/>
              </w:rPr>
              <w:t>3d 46</w:t>
            </w:r>
            <w:r w:rsidR="00AE44FA">
              <w:rPr>
                <w:sz w:val="24"/>
                <w:szCs w:val="24"/>
              </w:rPr>
              <w:t>……………………</w:t>
            </w:r>
            <w:r w:rsidR="001023BA">
              <w:rPr>
                <w:sz w:val="24"/>
                <w:szCs w:val="24"/>
              </w:rPr>
              <w:t>.............</w:t>
            </w:r>
          </w:p>
          <w:p w:rsidR="005322A4" w:rsidRPr="005322A4" w:rsidRDefault="005322A4" w:rsidP="002506DD">
            <w:pPr>
              <w:ind w:left="2160" w:hanging="720"/>
              <w:rPr>
                <w:sz w:val="24"/>
                <w:szCs w:val="24"/>
              </w:rPr>
            </w:pPr>
          </w:p>
        </w:tc>
        <w:tc>
          <w:tcPr>
            <w:tcW w:w="900" w:type="dxa"/>
            <w:shd w:val="clear" w:color="auto" w:fill="auto"/>
          </w:tcPr>
          <w:p w:rsidR="005322A4" w:rsidRPr="005322A4" w:rsidRDefault="005322A4" w:rsidP="002506DD">
            <w:pPr>
              <w:rPr>
                <w:sz w:val="24"/>
                <w:szCs w:val="24"/>
              </w:rPr>
            </w:pPr>
            <w:r w:rsidRPr="005322A4">
              <w:rPr>
                <w:sz w:val="24"/>
                <w:szCs w:val="24"/>
              </w:rPr>
              <w:t xml:space="preserve">  </w:t>
            </w:r>
          </w:p>
          <w:p w:rsidR="005322A4" w:rsidRPr="005322A4" w:rsidRDefault="005322A4" w:rsidP="002506DD">
            <w:pPr>
              <w:rPr>
                <w:sz w:val="24"/>
                <w:szCs w:val="24"/>
              </w:rPr>
            </w:pPr>
          </w:p>
          <w:p w:rsidR="005322A4" w:rsidRPr="005322A4" w:rsidRDefault="005322A4" w:rsidP="002506DD">
            <w:pPr>
              <w:rPr>
                <w:sz w:val="24"/>
                <w:szCs w:val="24"/>
              </w:rPr>
            </w:pPr>
          </w:p>
          <w:p w:rsidR="005322A4" w:rsidRDefault="005322A4" w:rsidP="002506DD">
            <w:pPr>
              <w:rPr>
                <w:sz w:val="24"/>
                <w:szCs w:val="24"/>
              </w:rPr>
            </w:pPr>
            <w:r w:rsidRPr="005322A4">
              <w:rPr>
                <w:sz w:val="24"/>
                <w:szCs w:val="24"/>
              </w:rPr>
              <w:t xml:space="preserve"> </w:t>
            </w:r>
          </w:p>
          <w:p w:rsidR="007A4783" w:rsidRDefault="007A4783" w:rsidP="002506DD">
            <w:pPr>
              <w:rPr>
                <w:sz w:val="24"/>
                <w:szCs w:val="24"/>
              </w:rPr>
            </w:pPr>
          </w:p>
          <w:p w:rsidR="007A4783" w:rsidRDefault="007A4783" w:rsidP="002506DD">
            <w:pPr>
              <w:rPr>
                <w:sz w:val="24"/>
                <w:szCs w:val="24"/>
              </w:rPr>
            </w:pPr>
          </w:p>
          <w:p w:rsidR="007A4783" w:rsidRPr="005322A4" w:rsidRDefault="007A4783" w:rsidP="002506DD">
            <w:pPr>
              <w:rPr>
                <w:sz w:val="24"/>
                <w:szCs w:val="24"/>
              </w:rPr>
            </w:pPr>
            <w:r>
              <w:rPr>
                <w:sz w:val="24"/>
                <w:szCs w:val="24"/>
              </w:rPr>
              <w:t>7</w:t>
            </w:r>
          </w:p>
        </w:tc>
      </w:tr>
      <w:tr w:rsidR="005322A4" w:rsidRPr="005322A4" w:rsidTr="002506DD">
        <w:tc>
          <w:tcPr>
            <w:tcW w:w="8568" w:type="dxa"/>
          </w:tcPr>
          <w:p w:rsidR="00AE44FA" w:rsidRDefault="000445FE">
            <w:pPr>
              <w:pStyle w:val="ListParagraph"/>
              <w:numPr>
                <w:ilvl w:val="0"/>
                <w:numId w:val="21"/>
              </w:numPr>
              <w:tabs>
                <w:tab w:val="left" w:pos="2160"/>
              </w:tabs>
              <w:ind w:left="2160" w:right="162" w:hanging="720"/>
              <w:jc w:val="both"/>
              <w:rPr>
                <w:rFonts w:asciiTheme="minorHAnsi" w:eastAsiaTheme="minorEastAsia" w:hAnsiTheme="minorHAnsi" w:cstheme="minorBidi"/>
                <w:sz w:val="24"/>
                <w:szCs w:val="24"/>
                <w:lang w:eastAsia="zh-CN"/>
              </w:rPr>
            </w:pPr>
            <w:r w:rsidRPr="000445FE">
              <w:rPr>
                <w:sz w:val="24"/>
                <w:szCs w:val="24"/>
              </w:rPr>
              <w:t>Any Finding that Columbia Needs the SCO Security Deposit as a Liquid Account is Unlawful, Unreasonable, and Against the Manifest Weight of the Evidence, as Columbia Already has the Authority to Impose Cash Security Deposits on SCO Suppliers.  Second Revised Program Outline (Columbia Ex. 2, at 16-20)</w:t>
            </w:r>
            <w:r w:rsidR="00AE44FA">
              <w:rPr>
                <w:sz w:val="24"/>
                <w:szCs w:val="24"/>
              </w:rPr>
              <w:t>……………………………</w:t>
            </w:r>
            <w:r w:rsidR="005322A4" w:rsidRPr="001E77D0">
              <w:rPr>
                <w:sz w:val="24"/>
                <w:szCs w:val="24"/>
              </w:rPr>
              <w:t>………………..………...</w:t>
            </w:r>
          </w:p>
          <w:p w:rsidR="005322A4" w:rsidRPr="005322A4" w:rsidRDefault="005322A4" w:rsidP="002506DD">
            <w:pPr>
              <w:ind w:left="1440" w:hanging="720"/>
              <w:rPr>
                <w:sz w:val="24"/>
                <w:szCs w:val="24"/>
              </w:rPr>
            </w:pPr>
          </w:p>
        </w:tc>
        <w:tc>
          <w:tcPr>
            <w:tcW w:w="900" w:type="dxa"/>
            <w:shd w:val="clear" w:color="auto" w:fill="auto"/>
          </w:tcPr>
          <w:p w:rsidR="005322A4" w:rsidRPr="005322A4" w:rsidRDefault="005322A4" w:rsidP="002506DD">
            <w:pPr>
              <w:rPr>
                <w:sz w:val="24"/>
                <w:szCs w:val="24"/>
              </w:rPr>
            </w:pPr>
          </w:p>
          <w:p w:rsidR="005322A4" w:rsidRDefault="005322A4"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Pr="005322A4" w:rsidRDefault="007A4783" w:rsidP="002506DD">
            <w:pPr>
              <w:rPr>
                <w:sz w:val="24"/>
                <w:szCs w:val="24"/>
              </w:rPr>
            </w:pPr>
            <w:r>
              <w:rPr>
                <w:sz w:val="24"/>
                <w:szCs w:val="24"/>
              </w:rPr>
              <w:t>8</w:t>
            </w:r>
          </w:p>
        </w:tc>
      </w:tr>
      <w:tr w:rsidR="005322A4" w:rsidRPr="005322A4" w:rsidTr="002506DD">
        <w:tc>
          <w:tcPr>
            <w:tcW w:w="8568" w:type="dxa"/>
          </w:tcPr>
          <w:p w:rsidR="00AE44FA" w:rsidRDefault="000445FE">
            <w:pPr>
              <w:pStyle w:val="ListParagraph"/>
              <w:numPr>
                <w:ilvl w:val="0"/>
                <w:numId w:val="21"/>
              </w:numPr>
              <w:tabs>
                <w:tab w:val="left" w:pos="2160"/>
              </w:tabs>
              <w:ind w:left="2160" w:right="162" w:hanging="720"/>
              <w:jc w:val="both"/>
              <w:rPr>
                <w:rFonts w:asciiTheme="minorHAnsi" w:eastAsiaTheme="minorEastAsia" w:hAnsiTheme="minorHAnsi" w:cstheme="minorBidi"/>
                <w:sz w:val="24"/>
                <w:szCs w:val="24"/>
                <w:lang w:eastAsia="zh-CN"/>
              </w:rPr>
            </w:pPr>
            <w:r w:rsidRPr="000445FE">
              <w:rPr>
                <w:sz w:val="24"/>
                <w:szCs w:val="24"/>
              </w:rPr>
              <w:t>Any Finding that the $.06/Mcf SCO Security Deposit is Required to Remedy the Subsidization of SCO Service is Unlawful, Unreasonable, and Against the Manifest Weight of the Evidence, as the Evidence of Record Does Not Support the Level of the Charge, if Any</w:t>
            </w:r>
            <w:r w:rsidR="00E36622">
              <w:rPr>
                <w:sz w:val="24"/>
                <w:szCs w:val="24"/>
              </w:rPr>
              <w:t>……………………...</w:t>
            </w:r>
            <w:r w:rsidR="005322A4" w:rsidRPr="00E36622">
              <w:rPr>
                <w:sz w:val="24"/>
                <w:szCs w:val="24"/>
              </w:rPr>
              <w:t>………...</w:t>
            </w:r>
          </w:p>
          <w:p w:rsidR="00AE44FA" w:rsidRDefault="000445FE">
            <w:pPr>
              <w:pStyle w:val="ListParagraph"/>
              <w:numPr>
                <w:ilvl w:val="0"/>
                <w:numId w:val="21"/>
              </w:numPr>
              <w:tabs>
                <w:tab w:val="left" w:pos="2160"/>
              </w:tabs>
              <w:spacing w:before="240"/>
              <w:ind w:left="2160" w:right="158" w:hanging="720"/>
              <w:contextualSpacing w:val="0"/>
              <w:jc w:val="both"/>
              <w:rPr>
                <w:rFonts w:asciiTheme="minorHAnsi" w:eastAsiaTheme="minorEastAsia" w:hAnsiTheme="minorHAnsi" w:cstheme="minorBidi"/>
                <w:sz w:val="24"/>
                <w:szCs w:val="24"/>
                <w:lang w:eastAsia="zh-CN"/>
              </w:rPr>
            </w:pPr>
            <w:r w:rsidRPr="000445FE">
              <w:rPr>
                <w:sz w:val="24"/>
                <w:szCs w:val="24"/>
              </w:rPr>
              <w:t xml:space="preserve">In Approving the SCO Security Deposit, the Order Unlawfully Relies on the Amended Stipulation in Lieu of the Evidence of Record.  </w:t>
            </w:r>
            <w:r w:rsidRPr="00AE44FA">
              <w:rPr>
                <w:i/>
                <w:sz w:val="24"/>
                <w:szCs w:val="24"/>
              </w:rPr>
              <w:t>In re Columbus Southern Power Co</w:t>
            </w:r>
            <w:r w:rsidRPr="000445FE">
              <w:rPr>
                <w:sz w:val="24"/>
                <w:szCs w:val="24"/>
              </w:rPr>
              <w:t>. (2011), 129 Ohio St. 3d 46</w:t>
            </w:r>
            <w:r w:rsidR="00E36622">
              <w:rPr>
                <w:sz w:val="24"/>
                <w:szCs w:val="24"/>
              </w:rPr>
              <w:t>…………………………………</w:t>
            </w:r>
            <w:r w:rsidR="00AE44FA">
              <w:rPr>
                <w:sz w:val="24"/>
                <w:szCs w:val="24"/>
              </w:rPr>
              <w:t>...</w:t>
            </w:r>
            <w:r w:rsidR="00E36622">
              <w:rPr>
                <w:sz w:val="24"/>
                <w:szCs w:val="24"/>
              </w:rPr>
              <w:t>……………..</w:t>
            </w:r>
            <w:r w:rsidR="007A4783">
              <w:rPr>
                <w:sz w:val="24"/>
                <w:szCs w:val="24"/>
              </w:rPr>
              <w:t xml:space="preserve">    </w:t>
            </w:r>
          </w:p>
          <w:p w:rsidR="005322A4" w:rsidRPr="005322A4" w:rsidRDefault="005322A4" w:rsidP="002506DD">
            <w:pPr>
              <w:ind w:left="1440" w:hanging="720"/>
              <w:rPr>
                <w:sz w:val="24"/>
                <w:szCs w:val="24"/>
              </w:rPr>
            </w:pPr>
          </w:p>
        </w:tc>
        <w:tc>
          <w:tcPr>
            <w:tcW w:w="900" w:type="dxa"/>
            <w:shd w:val="clear" w:color="auto" w:fill="auto"/>
          </w:tcPr>
          <w:p w:rsidR="005322A4" w:rsidRPr="005322A4" w:rsidRDefault="005322A4" w:rsidP="002506DD">
            <w:pPr>
              <w:rPr>
                <w:sz w:val="24"/>
                <w:szCs w:val="24"/>
              </w:rPr>
            </w:pPr>
          </w:p>
          <w:p w:rsidR="005322A4" w:rsidRDefault="005322A4"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r>
              <w:rPr>
                <w:sz w:val="24"/>
                <w:szCs w:val="24"/>
              </w:rPr>
              <w:t>9</w:t>
            </w: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Pr="005322A4" w:rsidRDefault="007A4783" w:rsidP="002506DD">
            <w:pPr>
              <w:rPr>
                <w:sz w:val="24"/>
                <w:szCs w:val="24"/>
              </w:rPr>
            </w:pPr>
            <w:r>
              <w:rPr>
                <w:sz w:val="24"/>
                <w:szCs w:val="24"/>
              </w:rPr>
              <w:t>11</w:t>
            </w:r>
          </w:p>
        </w:tc>
      </w:tr>
    </w:tbl>
    <w:p w:rsidR="00AE44FA" w:rsidRDefault="00AE44FA"/>
    <w:p w:rsidR="00E145D6" w:rsidRDefault="00E145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68"/>
        <w:gridCol w:w="900"/>
      </w:tblGrid>
      <w:tr w:rsidR="005322A4" w:rsidRPr="005322A4" w:rsidTr="002506DD">
        <w:tc>
          <w:tcPr>
            <w:tcW w:w="8568" w:type="dxa"/>
          </w:tcPr>
          <w:p w:rsidR="00AE44FA" w:rsidRDefault="00E36622">
            <w:pPr>
              <w:ind w:left="1440" w:right="162" w:hanging="720"/>
              <w:jc w:val="both"/>
              <w:rPr>
                <w:rFonts w:asciiTheme="minorHAnsi" w:eastAsiaTheme="minorEastAsia" w:hAnsiTheme="minorHAnsi" w:cstheme="minorBidi"/>
                <w:sz w:val="24"/>
                <w:szCs w:val="24"/>
                <w:lang w:eastAsia="zh-CN"/>
              </w:rPr>
            </w:pPr>
            <w:r>
              <w:rPr>
                <w:sz w:val="24"/>
                <w:szCs w:val="24"/>
              </w:rPr>
              <w:lastRenderedPageBreak/>
              <w:t>C</w:t>
            </w:r>
            <w:r w:rsidR="005322A4" w:rsidRPr="005322A4">
              <w:rPr>
                <w:sz w:val="24"/>
                <w:szCs w:val="24"/>
              </w:rPr>
              <w:t>.</w:t>
            </w:r>
            <w:r w:rsidR="005322A4" w:rsidRPr="005322A4">
              <w:rPr>
                <w:b/>
                <w:i/>
                <w:sz w:val="24"/>
                <w:szCs w:val="24"/>
              </w:rPr>
              <w:t xml:space="preserve"> </w:t>
            </w:r>
            <w:r w:rsidR="005322A4" w:rsidRPr="005322A4">
              <w:rPr>
                <w:b/>
                <w:i/>
                <w:sz w:val="24"/>
                <w:szCs w:val="24"/>
              </w:rPr>
              <w:tab/>
            </w:r>
            <w:r w:rsidR="005322A4" w:rsidRPr="005322A4">
              <w:rPr>
                <w:sz w:val="24"/>
                <w:szCs w:val="24"/>
              </w:rPr>
              <w:t xml:space="preserve">THE </w:t>
            </w:r>
            <w:r>
              <w:rPr>
                <w:sz w:val="24"/>
                <w:szCs w:val="24"/>
              </w:rPr>
              <w:t>COMMISSION’S ORDER APPROVING THE SCO SECURITY DEPOSIT VIOLATES COLUMBIA GA</w:t>
            </w:r>
            <w:r w:rsidR="00AE44FA">
              <w:rPr>
                <w:sz w:val="24"/>
                <w:szCs w:val="24"/>
              </w:rPr>
              <w:t>S</w:t>
            </w:r>
            <w:r>
              <w:rPr>
                <w:sz w:val="24"/>
                <w:szCs w:val="24"/>
              </w:rPr>
              <w:t xml:space="preserve"> OF OHIO’S CODE OF CONDUCT AND SE</w:t>
            </w:r>
            <w:r w:rsidR="00AE44FA">
              <w:rPr>
                <w:sz w:val="24"/>
                <w:szCs w:val="24"/>
              </w:rPr>
              <w:t>C</w:t>
            </w:r>
            <w:r>
              <w:rPr>
                <w:sz w:val="24"/>
                <w:szCs w:val="24"/>
              </w:rPr>
              <w:t xml:space="preserve">TION 4929.02, OHIO REV. CODE, BECAUE IT UNDULY DISCRIMINATES AGAINST SCO SUPPLIERS AND </w:t>
            </w:r>
            <w:r w:rsidR="00AE44FA">
              <w:rPr>
                <w:sz w:val="24"/>
                <w:szCs w:val="24"/>
              </w:rPr>
              <w:t xml:space="preserve">SCO </w:t>
            </w:r>
            <w:r>
              <w:rPr>
                <w:sz w:val="24"/>
                <w:szCs w:val="24"/>
              </w:rPr>
              <w:t>CUSTOMERS…..</w:t>
            </w:r>
            <w:r w:rsidR="005322A4" w:rsidRPr="005322A4">
              <w:rPr>
                <w:sz w:val="24"/>
                <w:szCs w:val="24"/>
              </w:rPr>
              <w:t xml:space="preserve">…………………………..   </w:t>
            </w:r>
          </w:p>
          <w:p w:rsidR="00AE44FA" w:rsidRDefault="00AE44FA">
            <w:pPr>
              <w:ind w:left="1440" w:right="630" w:hanging="720"/>
              <w:jc w:val="both"/>
              <w:rPr>
                <w:rFonts w:asciiTheme="minorHAnsi" w:eastAsiaTheme="minorEastAsia" w:hAnsiTheme="minorHAnsi" w:cstheme="minorBidi"/>
                <w:sz w:val="24"/>
                <w:szCs w:val="24"/>
                <w:lang w:eastAsia="zh-CN"/>
              </w:rPr>
            </w:pPr>
          </w:p>
          <w:p w:rsidR="00AE44FA" w:rsidRDefault="000445FE">
            <w:pPr>
              <w:pStyle w:val="ListParagraph"/>
              <w:numPr>
                <w:ilvl w:val="0"/>
                <w:numId w:val="4"/>
              </w:numPr>
              <w:tabs>
                <w:tab w:val="left" w:pos="8100"/>
              </w:tabs>
              <w:ind w:left="2160" w:right="162" w:hanging="720"/>
              <w:jc w:val="both"/>
              <w:rPr>
                <w:rFonts w:asciiTheme="minorHAnsi" w:eastAsiaTheme="minorEastAsia" w:hAnsiTheme="minorHAnsi" w:cstheme="minorBidi"/>
                <w:sz w:val="24"/>
                <w:szCs w:val="24"/>
                <w:lang w:eastAsia="zh-CN"/>
              </w:rPr>
            </w:pPr>
            <w:r w:rsidRPr="000445FE">
              <w:rPr>
                <w:sz w:val="24"/>
                <w:szCs w:val="24"/>
              </w:rPr>
              <w:t>The Risk, or Potential Costs, of Default is Not Significantly Greater for SCO Suppliers</w:t>
            </w:r>
            <w:r w:rsidR="00E36622">
              <w:rPr>
                <w:sz w:val="24"/>
                <w:szCs w:val="24"/>
              </w:rPr>
              <w:t>…………………………………...</w:t>
            </w:r>
            <w:r w:rsidRPr="000445FE">
              <w:rPr>
                <w:sz w:val="24"/>
                <w:szCs w:val="24"/>
              </w:rPr>
              <w:t>.</w:t>
            </w:r>
          </w:p>
          <w:p w:rsidR="00AE44FA" w:rsidRDefault="000445FE">
            <w:pPr>
              <w:pStyle w:val="ListParagraph"/>
              <w:numPr>
                <w:ilvl w:val="0"/>
                <w:numId w:val="4"/>
              </w:numPr>
              <w:spacing w:before="240"/>
              <w:ind w:left="2160" w:right="162" w:hanging="720"/>
              <w:contextualSpacing w:val="0"/>
              <w:jc w:val="both"/>
              <w:rPr>
                <w:rFonts w:asciiTheme="minorHAnsi" w:eastAsiaTheme="minorEastAsia" w:hAnsiTheme="minorHAnsi" w:cstheme="minorBidi"/>
                <w:sz w:val="24"/>
                <w:szCs w:val="24"/>
                <w:lang w:eastAsia="zh-CN"/>
              </w:rPr>
            </w:pPr>
            <w:r w:rsidRPr="000445FE">
              <w:rPr>
                <w:sz w:val="24"/>
                <w:szCs w:val="24"/>
              </w:rPr>
              <w:t>The Risk of a Default by an SCO Supplier is Not More Immediate than the Risk of Default by a Choice Supplier</w:t>
            </w:r>
            <w:r w:rsidR="00E36622">
              <w:rPr>
                <w:sz w:val="24"/>
                <w:szCs w:val="24"/>
              </w:rPr>
              <w:t>……………………………………………………...</w:t>
            </w:r>
          </w:p>
          <w:p w:rsidR="009878EC" w:rsidRDefault="009878EC" w:rsidP="009878EC">
            <w:pPr>
              <w:spacing w:before="240"/>
              <w:ind w:left="1440" w:right="162" w:hanging="720"/>
              <w:jc w:val="both"/>
              <w:rPr>
                <w:sz w:val="24"/>
                <w:szCs w:val="24"/>
              </w:rPr>
            </w:pPr>
            <w:r>
              <w:rPr>
                <w:sz w:val="24"/>
                <w:szCs w:val="24"/>
              </w:rPr>
              <w:t>D.      THE COMMISSION’S ORDER UNREASONABLY REQUIRES A MINIMUM MVR ALLOCATION OF ONE PERCENT TO EACH MVR SUPPLIER……………………………………………………...</w:t>
            </w:r>
          </w:p>
          <w:p w:rsidR="009878EC" w:rsidRDefault="009878EC" w:rsidP="009878EC">
            <w:pPr>
              <w:spacing w:before="240"/>
              <w:ind w:left="1440" w:right="162" w:hanging="720"/>
              <w:jc w:val="both"/>
              <w:rPr>
                <w:sz w:val="24"/>
                <w:szCs w:val="24"/>
              </w:rPr>
            </w:pPr>
            <w:r>
              <w:rPr>
                <w:sz w:val="24"/>
                <w:szCs w:val="24"/>
              </w:rPr>
              <w:t>E.      REHEARING SHOULD BE GRANTED TO CLARIFY CERTAIN ASPECTS OF THE MVR ALLOCATION METHODOLOGY……..</w:t>
            </w:r>
          </w:p>
          <w:p w:rsidR="00AE44FA" w:rsidRPr="00531BFB" w:rsidRDefault="000445FE">
            <w:pPr>
              <w:pStyle w:val="ListParagraph"/>
              <w:numPr>
                <w:ilvl w:val="0"/>
                <w:numId w:val="23"/>
              </w:numPr>
              <w:tabs>
                <w:tab w:val="left" w:pos="8640"/>
              </w:tabs>
              <w:spacing w:before="240"/>
              <w:ind w:left="2160" w:right="162" w:hanging="720"/>
              <w:contextualSpacing w:val="0"/>
              <w:jc w:val="both"/>
              <w:rPr>
                <w:sz w:val="24"/>
                <w:szCs w:val="24"/>
              </w:rPr>
            </w:pPr>
            <w:r w:rsidRPr="00531BFB">
              <w:rPr>
                <w:sz w:val="24"/>
                <w:szCs w:val="24"/>
              </w:rPr>
              <w:t>To Determine an MVR Supplier’s Proportional Market Share at the Non-residential Exit, the Supplier’s Allocation Should be Calculated Based on its Market Share of Non-Residential Shopping Customers</w:t>
            </w:r>
            <w:r w:rsidR="009878EC" w:rsidRPr="00531BFB">
              <w:rPr>
                <w:sz w:val="24"/>
                <w:szCs w:val="24"/>
              </w:rPr>
              <w:t>…………………………………………...</w:t>
            </w:r>
          </w:p>
          <w:p w:rsidR="00AE44FA" w:rsidRPr="00531BFB" w:rsidRDefault="000445FE">
            <w:pPr>
              <w:pStyle w:val="ListParagraph"/>
              <w:numPr>
                <w:ilvl w:val="0"/>
                <w:numId w:val="23"/>
              </w:numPr>
              <w:autoSpaceDE w:val="0"/>
              <w:autoSpaceDN w:val="0"/>
              <w:adjustRightInd w:val="0"/>
              <w:spacing w:before="240"/>
              <w:ind w:left="2160" w:right="162" w:hanging="720"/>
              <w:contextualSpacing w:val="0"/>
              <w:jc w:val="both"/>
              <w:rPr>
                <w:rFonts w:asciiTheme="minorHAnsi" w:eastAsiaTheme="minorEastAsia" w:hAnsiTheme="minorHAnsi" w:cstheme="minorBidi"/>
                <w:sz w:val="24"/>
                <w:szCs w:val="24"/>
                <w:lang w:eastAsia="zh-CN"/>
              </w:rPr>
            </w:pPr>
            <w:r w:rsidRPr="00531BFB">
              <w:rPr>
                <w:sz w:val="24"/>
                <w:szCs w:val="24"/>
              </w:rPr>
              <w:t>The Commission Should Explicitly State that Historical SSO and SCO Tranche Ownership Accounting Begins This SCO Program Year</w:t>
            </w:r>
            <w:r w:rsidR="009878EC" w:rsidRPr="00531BFB">
              <w:rPr>
                <w:sz w:val="24"/>
                <w:szCs w:val="24"/>
              </w:rPr>
              <w:t>………………………………………………….</w:t>
            </w:r>
          </w:p>
          <w:p w:rsidR="00AE44FA" w:rsidRPr="00531BFB" w:rsidRDefault="000445FE">
            <w:pPr>
              <w:pStyle w:val="ListParagraph"/>
              <w:numPr>
                <w:ilvl w:val="0"/>
                <w:numId w:val="23"/>
              </w:numPr>
              <w:autoSpaceDE w:val="0"/>
              <w:autoSpaceDN w:val="0"/>
              <w:adjustRightInd w:val="0"/>
              <w:spacing w:before="240"/>
              <w:ind w:left="2160" w:right="162" w:hanging="720"/>
              <w:contextualSpacing w:val="0"/>
              <w:jc w:val="both"/>
              <w:rPr>
                <w:sz w:val="24"/>
                <w:szCs w:val="24"/>
              </w:rPr>
            </w:pPr>
            <w:r w:rsidRPr="00531BFB">
              <w:rPr>
                <w:sz w:val="24"/>
                <w:szCs w:val="24"/>
              </w:rPr>
              <w:t>In Adopting Hess’ Initial MVR Allocation Methodology, the Commission Should Clarify that Columbia Must Use Hess’ Proposed Formula to Calculate Average Historical SCO Tranche Ownership</w:t>
            </w:r>
            <w:r w:rsidR="009878EC" w:rsidRPr="00531BFB">
              <w:rPr>
                <w:sz w:val="24"/>
                <w:szCs w:val="24"/>
              </w:rPr>
              <w:t>…………………………………………..</w:t>
            </w:r>
            <w:r w:rsidRPr="00531BFB">
              <w:rPr>
                <w:sz w:val="24"/>
                <w:szCs w:val="24"/>
              </w:rPr>
              <w:t>.</w:t>
            </w:r>
          </w:p>
          <w:p w:rsidR="00AE44FA" w:rsidRPr="00531BFB" w:rsidRDefault="000445FE">
            <w:pPr>
              <w:pStyle w:val="ListParagraph"/>
              <w:numPr>
                <w:ilvl w:val="0"/>
                <w:numId w:val="23"/>
              </w:numPr>
              <w:tabs>
                <w:tab w:val="left" w:pos="8640"/>
              </w:tabs>
              <w:autoSpaceDE w:val="0"/>
              <w:autoSpaceDN w:val="0"/>
              <w:adjustRightInd w:val="0"/>
              <w:spacing w:before="240"/>
              <w:ind w:left="2160" w:right="162" w:hanging="720"/>
              <w:contextualSpacing w:val="0"/>
              <w:jc w:val="both"/>
              <w:rPr>
                <w:rFonts w:asciiTheme="minorHAnsi" w:eastAsiaTheme="minorEastAsia" w:hAnsiTheme="minorHAnsi" w:cstheme="minorBidi"/>
                <w:sz w:val="24"/>
                <w:szCs w:val="24"/>
                <w:lang w:eastAsia="zh-CN"/>
              </w:rPr>
            </w:pPr>
            <w:r w:rsidRPr="00531BFB">
              <w:rPr>
                <w:sz w:val="24"/>
                <w:szCs w:val="24"/>
              </w:rPr>
              <w:t>The Commission Should Clarify That If a SCO Supplier Rejects its Initial MVR Allocation, the “Rejected” Customers Should be Reallocated to the Other SCO Suppliers</w:t>
            </w:r>
            <w:r w:rsidR="009878EC" w:rsidRPr="00531BFB">
              <w:rPr>
                <w:sz w:val="24"/>
                <w:szCs w:val="24"/>
              </w:rPr>
              <w:t>……</w:t>
            </w:r>
            <w:r w:rsidR="00AE44FA" w:rsidRPr="00531BFB">
              <w:rPr>
                <w:sz w:val="24"/>
                <w:szCs w:val="24"/>
              </w:rPr>
              <w:t>……</w:t>
            </w:r>
            <w:r w:rsidR="009878EC" w:rsidRPr="00531BFB">
              <w:rPr>
                <w:sz w:val="24"/>
                <w:szCs w:val="24"/>
              </w:rPr>
              <w:t>...</w:t>
            </w:r>
          </w:p>
          <w:p w:rsidR="00AE44FA" w:rsidRPr="00531BFB" w:rsidRDefault="009878EC">
            <w:pPr>
              <w:pStyle w:val="ListParagraph"/>
              <w:numPr>
                <w:ilvl w:val="0"/>
                <w:numId w:val="23"/>
              </w:numPr>
              <w:autoSpaceDE w:val="0"/>
              <w:autoSpaceDN w:val="0"/>
              <w:adjustRightInd w:val="0"/>
              <w:spacing w:before="240"/>
              <w:ind w:left="2160" w:right="162" w:hanging="720"/>
              <w:contextualSpacing w:val="0"/>
              <w:jc w:val="both"/>
              <w:rPr>
                <w:rFonts w:asciiTheme="minorHAnsi" w:eastAsiaTheme="minorEastAsia" w:hAnsiTheme="minorHAnsi" w:cstheme="minorBidi"/>
                <w:sz w:val="24"/>
                <w:szCs w:val="24"/>
                <w:lang w:eastAsia="zh-CN"/>
              </w:rPr>
            </w:pPr>
            <w:r w:rsidRPr="00531BFB">
              <w:rPr>
                <w:sz w:val="24"/>
                <w:szCs w:val="24"/>
              </w:rPr>
              <w:t>The Commission Should Clarify that an SCO Supplier that is Awarded an MVR Allocation Will be Able to Transfer its Allocated Customers to a Properly Registered Choice CRNGS Supplier Affiliate Immediately………………………………...</w:t>
            </w:r>
          </w:p>
          <w:p w:rsidR="005322A4" w:rsidRPr="005322A4" w:rsidRDefault="005322A4" w:rsidP="002506DD">
            <w:pPr>
              <w:rPr>
                <w:sz w:val="24"/>
                <w:szCs w:val="24"/>
              </w:rPr>
            </w:pPr>
          </w:p>
        </w:tc>
        <w:tc>
          <w:tcPr>
            <w:tcW w:w="900" w:type="dxa"/>
            <w:shd w:val="clear" w:color="auto" w:fill="auto"/>
          </w:tcPr>
          <w:p w:rsidR="005322A4" w:rsidRPr="005322A4" w:rsidRDefault="00E36622" w:rsidP="002506DD">
            <w:pPr>
              <w:rPr>
                <w:sz w:val="24"/>
                <w:szCs w:val="24"/>
              </w:rPr>
            </w:pPr>
            <w:r>
              <w:rPr>
                <w:sz w:val="24"/>
                <w:szCs w:val="24"/>
              </w:rPr>
              <w:t xml:space="preserve">  </w:t>
            </w:r>
          </w:p>
          <w:p w:rsidR="005322A4" w:rsidRDefault="005322A4"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r>
              <w:rPr>
                <w:sz w:val="24"/>
                <w:szCs w:val="24"/>
              </w:rPr>
              <w:t>13</w:t>
            </w: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r>
              <w:rPr>
                <w:sz w:val="24"/>
                <w:szCs w:val="24"/>
              </w:rPr>
              <w:t>15</w:t>
            </w: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p>
          <w:p w:rsidR="007A4783" w:rsidRDefault="007A4783" w:rsidP="002506DD">
            <w:pPr>
              <w:rPr>
                <w:sz w:val="24"/>
                <w:szCs w:val="24"/>
              </w:rPr>
            </w:pPr>
            <w:r>
              <w:rPr>
                <w:sz w:val="24"/>
                <w:szCs w:val="24"/>
              </w:rPr>
              <w:t>16</w:t>
            </w:r>
          </w:p>
          <w:p w:rsidR="007A4783" w:rsidRDefault="007A4783" w:rsidP="002506DD">
            <w:pPr>
              <w:rPr>
                <w:sz w:val="24"/>
                <w:szCs w:val="24"/>
              </w:rPr>
            </w:pPr>
          </w:p>
          <w:p w:rsidR="007A4783" w:rsidRDefault="007A4783" w:rsidP="002506DD">
            <w:pPr>
              <w:rPr>
                <w:sz w:val="24"/>
                <w:szCs w:val="24"/>
              </w:rPr>
            </w:pPr>
          </w:p>
          <w:p w:rsidR="007A4783" w:rsidRDefault="007A4783" w:rsidP="007A4783">
            <w:pPr>
              <w:spacing w:before="120"/>
              <w:rPr>
                <w:sz w:val="24"/>
                <w:szCs w:val="24"/>
              </w:rPr>
            </w:pPr>
            <w:r>
              <w:rPr>
                <w:sz w:val="24"/>
                <w:szCs w:val="24"/>
              </w:rPr>
              <w:t>16</w:t>
            </w:r>
          </w:p>
          <w:p w:rsidR="007A4783" w:rsidRDefault="007A4783" w:rsidP="007A4783">
            <w:pPr>
              <w:spacing w:before="120"/>
              <w:rPr>
                <w:sz w:val="24"/>
                <w:szCs w:val="24"/>
              </w:rPr>
            </w:pPr>
          </w:p>
          <w:p w:rsidR="007A4783" w:rsidRDefault="007A4783" w:rsidP="007A4783">
            <w:pPr>
              <w:spacing w:before="240"/>
              <w:rPr>
                <w:sz w:val="24"/>
                <w:szCs w:val="24"/>
              </w:rPr>
            </w:pPr>
            <w:r>
              <w:rPr>
                <w:sz w:val="24"/>
                <w:szCs w:val="24"/>
              </w:rPr>
              <w:t>18</w:t>
            </w:r>
          </w:p>
          <w:p w:rsidR="007A4783" w:rsidRDefault="007A4783" w:rsidP="007A4783">
            <w:pPr>
              <w:spacing w:before="120"/>
              <w:rPr>
                <w:sz w:val="24"/>
                <w:szCs w:val="24"/>
              </w:rPr>
            </w:pPr>
          </w:p>
          <w:p w:rsidR="007A4783" w:rsidRDefault="007A4783" w:rsidP="007A4783">
            <w:pPr>
              <w:spacing w:before="120"/>
              <w:rPr>
                <w:sz w:val="24"/>
                <w:szCs w:val="24"/>
              </w:rPr>
            </w:pPr>
          </w:p>
          <w:p w:rsidR="007A4783" w:rsidRDefault="007A4783" w:rsidP="007A4783">
            <w:pPr>
              <w:spacing w:before="240"/>
              <w:rPr>
                <w:sz w:val="24"/>
                <w:szCs w:val="24"/>
              </w:rPr>
            </w:pPr>
            <w:r>
              <w:rPr>
                <w:sz w:val="24"/>
                <w:szCs w:val="24"/>
              </w:rPr>
              <w:t>18</w:t>
            </w:r>
          </w:p>
          <w:p w:rsidR="007A4783" w:rsidRDefault="007A4783" w:rsidP="007A4783">
            <w:pPr>
              <w:spacing w:before="240"/>
              <w:rPr>
                <w:sz w:val="24"/>
                <w:szCs w:val="24"/>
              </w:rPr>
            </w:pPr>
          </w:p>
          <w:p w:rsidR="007A4783" w:rsidRDefault="007A4783" w:rsidP="007A4783">
            <w:pPr>
              <w:spacing w:before="240"/>
              <w:rPr>
                <w:sz w:val="24"/>
                <w:szCs w:val="24"/>
              </w:rPr>
            </w:pPr>
            <w:r>
              <w:rPr>
                <w:sz w:val="24"/>
                <w:szCs w:val="24"/>
              </w:rPr>
              <w:t>22</w:t>
            </w:r>
          </w:p>
          <w:p w:rsidR="007A4783" w:rsidRDefault="007A4783" w:rsidP="007A4783">
            <w:pPr>
              <w:spacing w:before="240"/>
              <w:rPr>
                <w:sz w:val="24"/>
                <w:szCs w:val="24"/>
              </w:rPr>
            </w:pPr>
          </w:p>
          <w:p w:rsidR="007A4783" w:rsidRDefault="007A4783" w:rsidP="007A4783">
            <w:pPr>
              <w:spacing w:before="600"/>
              <w:rPr>
                <w:sz w:val="24"/>
                <w:szCs w:val="24"/>
              </w:rPr>
            </w:pPr>
            <w:r>
              <w:rPr>
                <w:sz w:val="24"/>
                <w:szCs w:val="24"/>
              </w:rPr>
              <w:t>22</w:t>
            </w:r>
          </w:p>
          <w:p w:rsidR="007A4783" w:rsidRDefault="007A4783" w:rsidP="007A4783">
            <w:pPr>
              <w:spacing w:before="720"/>
              <w:rPr>
                <w:sz w:val="24"/>
                <w:szCs w:val="24"/>
              </w:rPr>
            </w:pPr>
            <w:r>
              <w:rPr>
                <w:sz w:val="24"/>
                <w:szCs w:val="24"/>
              </w:rPr>
              <w:t>23</w:t>
            </w:r>
          </w:p>
          <w:p w:rsidR="007A4783" w:rsidRPr="005322A4" w:rsidRDefault="007A4783" w:rsidP="007A4783">
            <w:pPr>
              <w:spacing w:before="1080"/>
              <w:rPr>
                <w:sz w:val="24"/>
                <w:szCs w:val="24"/>
              </w:rPr>
            </w:pPr>
            <w:r>
              <w:rPr>
                <w:sz w:val="24"/>
                <w:szCs w:val="24"/>
              </w:rPr>
              <w:t>24</w:t>
            </w:r>
          </w:p>
        </w:tc>
      </w:tr>
    </w:tbl>
    <w:p w:rsidR="005322A4" w:rsidRPr="005322A4" w:rsidRDefault="000445FE" w:rsidP="005322A4">
      <w:pPr>
        <w:rPr>
          <w:rFonts w:ascii="Times New Roman" w:hAnsi="Times New Roman" w:cs="Times New Roman"/>
          <w:sz w:val="24"/>
          <w:szCs w:val="24"/>
        </w:rPr>
      </w:pPr>
      <w:r w:rsidRPr="000445FE">
        <w:rPr>
          <w:rFonts w:ascii="Times New Roman" w:hAnsi="Times New Roman" w:cs="Times New Roman"/>
          <w:sz w:val="24"/>
          <w:szCs w:val="24"/>
        </w:rPr>
        <w:t>I</w:t>
      </w:r>
      <w:r w:rsidR="009878EC">
        <w:rPr>
          <w:rFonts w:ascii="Times New Roman" w:hAnsi="Times New Roman" w:cs="Times New Roman"/>
          <w:sz w:val="24"/>
          <w:szCs w:val="24"/>
        </w:rPr>
        <w:t>II</w:t>
      </w:r>
      <w:r w:rsidRPr="000445FE">
        <w:rPr>
          <w:rFonts w:ascii="Times New Roman" w:hAnsi="Times New Roman" w:cs="Times New Roman"/>
          <w:sz w:val="24"/>
          <w:szCs w:val="24"/>
        </w:rPr>
        <w:t>.</w:t>
      </w:r>
      <w:r w:rsidRPr="000445FE">
        <w:rPr>
          <w:rFonts w:ascii="Times New Roman" w:hAnsi="Times New Roman" w:cs="Times New Roman"/>
          <w:sz w:val="24"/>
          <w:szCs w:val="24"/>
        </w:rPr>
        <w:tab/>
        <w:t xml:space="preserve">CONCLUSION…………………………………………………………………     </w:t>
      </w:r>
      <w:r w:rsidR="007A4783">
        <w:rPr>
          <w:rFonts w:ascii="Times New Roman" w:hAnsi="Times New Roman" w:cs="Times New Roman"/>
          <w:sz w:val="24"/>
          <w:szCs w:val="24"/>
        </w:rPr>
        <w:t>25</w:t>
      </w:r>
    </w:p>
    <w:p w:rsidR="005322A4" w:rsidRDefault="005322A4" w:rsidP="005322A4"/>
    <w:p w:rsidR="00E145D6" w:rsidRDefault="00E145D6">
      <w:pPr>
        <w:rPr>
          <w:rFonts w:ascii="Times New Roman" w:hAnsi="Times New Roman"/>
          <w:bCs/>
          <w:sz w:val="24"/>
          <w:szCs w:val="24"/>
        </w:rPr>
        <w:sectPr w:rsidR="00E145D6" w:rsidSect="00E145D6">
          <w:footerReference w:type="first" r:id="rId12"/>
          <w:pgSz w:w="12240" w:h="15840"/>
          <w:pgMar w:top="1440" w:right="1530" w:bottom="1440" w:left="1440" w:header="720" w:footer="720" w:gutter="0"/>
          <w:pgNumType w:fmt="lowerRoman" w:start="1"/>
          <w:cols w:space="720"/>
          <w:titlePg/>
          <w:docGrid w:linePitch="360"/>
        </w:sectPr>
      </w:pPr>
    </w:p>
    <w:p w:rsidR="00C77DCF" w:rsidRPr="00795574" w:rsidRDefault="00C77DCF" w:rsidP="00C77DCF">
      <w:pPr>
        <w:spacing w:after="0" w:line="240" w:lineRule="auto"/>
        <w:jc w:val="center"/>
        <w:rPr>
          <w:rFonts w:ascii="Times New Roman" w:hAnsi="Times New Roman"/>
          <w:bCs/>
          <w:sz w:val="24"/>
          <w:szCs w:val="24"/>
        </w:rPr>
      </w:pPr>
      <w:r w:rsidRPr="00795574">
        <w:rPr>
          <w:rFonts w:ascii="Times New Roman" w:hAnsi="Times New Roman"/>
          <w:bCs/>
          <w:sz w:val="24"/>
          <w:szCs w:val="24"/>
        </w:rPr>
        <w:lastRenderedPageBreak/>
        <w:t xml:space="preserve">BEFORE </w:t>
      </w:r>
    </w:p>
    <w:p w:rsidR="00C77DCF" w:rsidRPr="00795574" w:rsidRDefault="00C77DCF" w:rsidP="00C77DCF">
      <w:pPr>
        <w:spacing w:after="0" w:line="240" w:lineRule="auto"/>
        <w:jc w:val="center"/>
        <w:rPr>
          <w:rFonts w:ascii="Times New Roman" w:hAnsi="Times New Roman"/>
          <w:bCs/>
          <w:sz w:val="24"/>
          <w:szCs w:val="24"/>
        </w:rPr>
      </w:pPr>
      <w:r w:rsidRPr="00795574">
        <w:rPr>
          <w:rFonts w:ascii="Times New Roman" w:hAnsi="Times New Roman"/>
          <w:bCs/>
          <w:sz w:val="24"/>
          <w:szCs w:val="24"/>
        </w:rPr>
        <w:t>THE PUBLIC UTILITIES COMMISSION OF OHIO</w:t>
      </w:r>
    </w:p>
    <w:p w:rsidR="00C77DCF" w:rsidRPr="00795574" w:rsidRDefault="00C77DCF" w:rsidP="00C77DCF">
      <w:pPr>
        <w:spacing w:after="0" w:line="240" w:lineRule="auto"/>
        <w:rPr>
          <w:rFonts w:ascii="Times New Roman" w:hAnsi="Times New Roman"/>
          <w:bCs/>
          <w:sz w:val="24"/>
          <w:szCs w:val="24"/>
        </w:rPr>
      </w:pP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 xml:space="preserve">In the Matter of the Joint Motion to Modify the </w:t>
      </w:r>
      <w:r w:rsidRPr="00795574">
        <w:rPr>
          <w:rFonts w:ascii="Times New Roman" w:hAnsi="Times New Roman"/>
          <w:bCs/>
          <w:sz w:val="24"/>
          <w:szCs w:val="24"/>
        </w:rPr>
        <w:tab/>
      </w:r>
      <w:r w:rsidRPr="00795574">
        <w:rPr>
          <w:rFonts w:ascii="Times New Roman" w:hAnsi="Times New Roman"/>
          <w:bCs/>
          <w:sz w:val="24"/>
          <w:szCs w:val="24"/>
        </w:rPr>
        <w:tab/>
        <w:t>)</w:t>
      </w: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 xml:space="preserve">December 2, 2009 Opinion and Order and the </w:t>
      </w:r>
      <w:r w:rsidRPr="00795574">
        <w:rPr>
          <w:rFonts w:ascii="Times New Roman" w:hAnsi="Times New Roman"/>
          <w:bCs/>
          <w:sz w:val="24"/>
          <w:szCs w:val="24"/>
        </w:rPr>
        <w:tab/>
      </w:r>
      <w:r w:rsidRPr="00795574">
        <w:rPr>
          <w:rFonts w:ascii="Times New Roman" w:hAnsi="Times New Roman"/>
          <w:bCs/>
          <w:sz w:val="24"/>
          <w:szCs w:val="24"/>
        </w:rPr>
        <w:tab/>
        <w:t>)     Case No. 12-2637-GA-EXM</w:t>
      </w: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September 7, 2011 Second Opinion and Order in</w:t>
      </w:r>
      <w:r w:rsidRPr="00795574">
        <w:rPr>
          <w:rFonts w:ascii="Times New Roman" w:hAnsi="Times New Roman"/>
          <w:bCs/>
          <w:sz w:val="24"/>
          <w:szCs w:val="24"/>
        </w:rPr>
        <w:tab/>
      </w:r>
      <w:r w:rsidRPr="00795574">
        <w:rPr>
          <w:rFonts w:ascii="Times New Roman" w:hAnsi="Times New Roman"/>
          <w:bCs/>
          <w:sz w:val="24"/>
          <w:szCs w:val="24"/>
        </w:rPr>
        <w:tab/>
        <w:t>)</w:t>
      </w:r>
    </w:p>
    <w:p w:rsidR="00C77DCF" w:rsidRPr="00795574" w:rsidRDefault="00C77DCF" w:rsidP="00C77DCF">
      <w:pPr>
        <w:spacing w:after="0" w:line="240" w:lineRule="auto"/>
        <w:rPr>
          <w:rFonts w:ascii="Times New Roman" w:hAnsi="Times New Roman"/>
          <w:sz w:val="24"/>
          <w:szCs w:val="24"/>
        </w:rPr>
      </w:pPr>
      <w:r w:rsidRPr="00795574">
        <w:rPr>
          <w:rFonts w:ascii="Times New Roman" w:hAnsi="Times New Roman"/>
          <w:sz w:val="24"/>
          <w:szCs w:val="24"/>
        </w:rPr>
        <w:t>Case No. 08-1344-GA-EXM</w:t>
      </w:r>
      <w:r w:rsidR="001023BA">
        <w:rPr>
          <w:rFonts w:ascii="Times New Roman" w:hAnsi="Times New Roman"/>
          <w:sz w:val="24"/>
          <w:szCs w:val="24"/>
        </w:rPr>
        <w:t>.</w:t>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t>)</w:t>
      </w:r>
    </w:p>
    <w:p w:rsidR="00795574" w:rsidRPr="00FE4225" w:rsidRDefault="00795574" w:rsidP="00C77DCF">
      <w:pPr>
        <w:spacing w:after="0" w:line="240" w:lineRule="auto"/>
        <w:rPr>
          <w:rFonts w:ascii="Times New Roman" w:hAnsi="Times New Roman"/>
          <w:b/>
          <w:sz w:val="24"/>
          <w:szCs w:val="24"/>
        </w:rPr>
      </w:pPr>
    </w:p>
    <w:p w:rsidR="00C77DCF" w:rsidRDefault="00C77DCF" w:rsidP="00C77DCF">
      <w:pPr>
        <w:pBdr>
          <w:bottom w:val="single" w:sz="12" w:space="1" w:color="auto"/>
        </w:pBdr>
        <w:spacing w:after="0" w:line="240" w:lineRule="auto"/>
        <w:rPr>
          <w:rFonts w:ascii="Times New Roman" w:hAnsi="Times New Roman"/>
          <w:sz w:val="24"/>
          <w:szCs w:val="24"/>
        </w:rPr>
      </w:pPr>
    </w:p>
    <w:p w:rsidR="00795574" w:rsidRDefault="00795574" w:rsidP="00795574">
      <w:pPr>
        <w:spacing w:after="0"/>
        <w:rPr>
          <w:rFonts w:ascii="Times New Roman" w:hAnsi="Times New Roman"/>
          <w:b/>
          <w:sz w:val="24"/>
          <w:szCs w:val="24"/>
        </w:rPr>
      </w:pPr>
    </w:p>
    <w:p w:rsidR="00E41FAB" w:rsidRDefault="00795574" w:rsidP="00E41FAB">
      <w:pPr>
        <w:spacing w:after="0"/>
        <w:jc w:val="center"/>
        <w:rPr>
          <w:rFonts w:ascii="Times New Roman" w:hAnsi="Times New Roman"/>
          <w:b/>
          <w:sz w:val="24"/>
          <w:szCs w:val="24"/>
        </w:rPr>
      </w:pPr>
      <w:r>
        <w:rPr>
          <w:rFonts w:ascii="Times New Roman" w:hAnsi="Times New Roman"/>
          <w:b/>
          <w:sz w:val="24"/>
          <w:szCs w:val="24"/>
        </w:rPr>
        <w:t>H</w:t>
      </w:r>
      <w:r w:rsidR="00E41FAB">
        <w:rPr>
          <w:rFonts w:ascii="Times New Roman" w:hAnsi="Times New Roman"/>
          <w:b/>
          <w:sz w:val="24"/>
          <w:szCs w:val="24"/>
        </w:rPr>
        <w:t>ESS CORPORATION’S APPLICATION FOR REHEARING</w:t>
      </w:r>
    </w:p>
    <w:p w:rsidR="00795574" w:rsidRDefault="00795574" w:rsidP="00795574">
      <w:pPr>
        <w:pBdr>
          <w:bottom w:val="single" w:sz="12" w:space="1" w:color="auto"/>
        </w:pBdr>
        <w:spacing w:after="0" w:line="240" w:lineRule="auto"/>
        <w:rPr>
          <w:rFonts w:ascii="Times New Roman" w:hAnsi="Times New Roman"/>
          <w:sz w:val="24"/>
          <w:szCs w:val="24"/>
        </w:rPr>
      </w:pPr>
    </w:p>
    <w:p w:rsidR="00FE57EF" w:rsidRDefault="00E41FAB">
      <w:pPr>
        <w:spacing w:before="240"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Hess Corporation (“Hess”), by counsel and pursua</w:t>
      </w:r>
      <w:r w:rsidR="00E97DBF">
        <w:rPr>
          <w:rFonts w:ascii="Times New Roman" w:hAnsi="Times New Roman"/>
          <w:sz w:val="24"/>
          <w:szCs w:val="24"/>
        </w:rPr>
        <w:t>nt to Section 4903.10, Ohio Rev</w:t>
      </w:r>
      <w:r w:rsidR="00795574">
        <w:rPr>
          <w:rFonts w:ascii="Times New Roman" w:hAnsi="Times New Roman"/>
          <w:sz w:val="24"/>
          <w:szCs w:val="24"/>
        </w:rPr>
        <w:t>.</w:t>
      </w:r>
      <w:r>
        <w:rPr>
          <w:rFonts w:ascii="Times New Roman" w:hAnsi="Times New Roman"/>
          <w:sz w:val="24"/>
          <w:szCs w:val="24"/>
        </w:rPr>
        <w:t xml:space="preserve"> Code,</w:t>
      </w:r>
      <w:r w:rsidR="00E97DBF">
        <w:rPr>
          <w:rFonts w:ascii="Times New Roman" w:hAnsi="Times New Roman"/>
          <w:sz w:val="24"/>
          <w:szCs w:val="24"/>
        </w:rPr>
        <w:t xml:space="preserve"> and Rule 4901-1-35, Ohio Admin</w:t>
      </w:r>
      <w:r w:rsidR="00795574">
        <w:rPr>
          <w:rFonts w:ascii="Times New Roman" w:hAnsi="Times New Roman"/>
          <w:sz w:val="24"/>
          <w:szCs w:val="24"/>
        </w:rPr>
        <w:t>.</w:t>
      </w:r>
      <w:r>
        <w:rPr>
          <w:rFonts w:ascii="Times New Roman" w:hAnsi="Times New Roman"/>
          <w:sz w:val="24"/>
          <w:szCs w:val="24"/>
        </w:rPr>
        <w:t xml:space="preserve"> Code, hereby requests rehearing o</w:t>
      </w:r>
      <w:r w:rsidR="000D29AC">
        <w:rPr>
          <w:rFonts w:ascii="Times New Roman" w:hAnsi="Times New Roman"/>
          <w:sz w:val="24"/>
          <w:szCs w:val="24"/>
        </w:rPr>
        <w:t>f</w:t>
      </w:r>
      <w:r>
        <w:rPr>
          <w:rFonts w:ascii="Times New Roman" w:hAnsi="Times New Roman"/>
          <w:sz w:val="24"/>
          <w:szCs w:val="24"/>
        </w:rPr>
        <w:t xml:space="preserve"> the Opinion and Order issued by the Public Utilities Commission of Ohio (“Commission”) in this proceeding on January 9, 2013 (“Order”).  Hess</w:t>
      </w:r>
      <w:r w:rsidR="00795574">
        <w:rPr>
          <w:rFonts w:ascii="Times New Roman" w:hAnsi="Times New Roman"/>
          <w:sz w:val="24"/>
          <w:szCs w:val="24"/>
        </w:rPr>
        <w:t xml:space="preserve"> requests rehearing of the Order as it relates to </w:t>
      </w:r>
      <w:r w:rsidR="00E72142">
        <w:rPr>
          <w:rFonts w:ascii="Times New Roman" w:hAnsi="Times New Roman"/>
          <w:sz w:val="24"/>
          <w:szCs w:val="24"/>
        </w:rPr>
        <w:t xml:space="preserve">the Commission’s approval of </w:t>
      </w:r>
      <w:r w:rsidR="00795574">
        <w:rPr>
          <w:rFonts w:ascii="Times New Roman" w:hAnsi="Times New Roman"/>
          <w:sz w:val="24"/>
          <w:szCs w:val="24"/>
        </w:rPr>
        <w:t>the Amended Stipulation’s proposed Standard Choice Offer (“SCO”) Security Deposit</w:t>
      </w:r>
      <w:r w:rsidR="00253FA2">
        <w:rPr>
          <w:rFonts w:ascii="Times New Roman" w:hAnsi="Times New Roman"/>
          <w:sz w:val="24"/>
          <w:szCs w:val="24"/>
        </w:rPr>
        <w:t xml:space="preserve">, and the Monthly Variable Rate (“MVR”) allocation </w:t>
      </w:r>
      <w:r w:rsidR="00E72142">
        <w:rPr>
          <w:rFonts w:ascii="Times New Roman" w:hAnsi="Times New Roman"/>
          <w:sz w:val="24"/>
          <w:szCs w:val="24"/>
        </w:rPr>
        <w:t>methodology</w:t>
      </w:r>
      <w:r w:rsidR="00795574">
        <w:rPr>
          <w:rFonts w:ascii="Times New Roman" w:hAnsi="Times New Roman"/>
          <w:sz w:val="24"/>
          <w:szCs w:val="24"/>
        </w:rPr>
        <w:t>.  Specifically, Hess</w:t>
      </w:r>
      <w:r>
        <w:rPr>
          <w:rFonts w:ascii="Times New Roman" w:hAnsi="Times New Roman"/>
          <w:sz w:val="24"/>
          <w:szCs w:val="24"/>
        </w:rPr>
        <w:t xml:space="preserve"> respectfully submits that the Commission’s Order is unlawful and unreasonable </w:t>
      </w:r>
      <w:r w:rsidR="00253FA2">
        <w:rPr>
          <w:rFonts w:ascii="Times New Roman" w:hAnsi="Times New Roman"/>
          <w:sz w:val="24"/>
          <w:szCs w:val="24"/>
        </w:rPr>
        <w:t xml:space="preserve">based </w:t>
      </w:r>
      <w:r w:rsidR="00795574">
        <w:rPr>
          <w:rFonts w:ascii="Times New Roman" w:hAnsi="Times New Roman"/>
          <w:sz w:val="24"/>
          <w:szCs w:val="24"/>
        </w:rPr>
        <w:t>o</w:t>
      </w:r>
      <w:r>
        <w:rPr>
          <w:rFonts w:ascii="Times New Roman" w:hAnsi="Times New Roman"/>
          <w:sz w:val="24"/>
          <w:szCs w:val="24"/>
        </w:rPr>
        <w:t>n the following</w:t>
      </w:r>
      <w:r w:rsidR="00795574">
        <w:rPr>
          <w:rFonts w:ascii="Times New Roman" w:hAnsi="Times New Roman"/>
          <w:sz w:val="24"/>
          <w:szCs w:val="24"/>
        </w:rPr>
        <w:t xml:space="preserve"> grounds</w:t>
      </w:r>
      <w:r>
        <w:rPr>
          <w:rFonts w:ascii="Times New Roman" w:hAnsi="Times New Roman"/>
          <w:sz w:val="24"/>
          <w:szCs w:val="24"/>
        </w:rPr>
        <w:t>:</w:t>
      </w:r>
    </w:p>
    <w:p w:rsidR="00FE57EF" w:rsidRDefault="00795574">
      <w:pPr>
        <w:pStyle w:val="ListParagraph"/>
        <w:numPr>
          <w:ilvl w:val="0"/>
          <w:numId w:val="17"/>
        </w:numPr>
        <w:spacing w:after="0" w:line="240" w:lineRule="auto"/>
        <w:ind w:left="1440" w:right="1350" w:hanging="720"/>
        <w:jc w:val="both"/>
        <w:rPr>
          <w:rFonts w:ascii="Times New Roman" w:hAnsi="Times New Roman" w:cs="Times New Roman"/>
          <w:sz w:val="24"/>
          <w:szCs w:val="24"/>
        </w:rPr>
      </w:pPr>
      <w:r w:rsidRPr="00A206D5">
        <w:rPr>
          <w:rFonts w:ascii="Times New Roman" w:hAnsi="Times New Roman" w:cs="Times New Roman"/>
          <w:b/>
          <w:sz w:val="24"/>
          <w:szCs w:val="24"/>
        </w:rPr>
        <w:t xml:space="preserve">The Commission’s Order </w:t>
      </w:r>
      <w:r w:rsidR="002127EE">
        <w:rPr>
          <w:rFonts w:ascii="Times New Roman" w:hAnsi="Times New Roman" w:cs="Times New Roman"/>
          <w:b/>
          <w:sz w:val="24"/>
          <w:szCs w:val="24"/>
        </w:rPr>
        <w:t xml:space="preserve">Approving the SCO Security Deposit </w:t>
      </w:r>
      <w:r w:rsidRPr="00A206D5">
        <w:rPr>
          <w:rFonts w:ascii="Times New Roman" w:hAnsi="Times New Roman" w:cs="Times New Roman"/>
          <w:b/>
          <w:sz w:val="24"/>
          <w:szCs w:val="24"/>
        </w:rPr>
        <w:t xml:space="preserve">Violates Section 4903.09, </w:t>
      </w:r>
      <w:r>
        <w:rPr>
          <w:rFonts w:ascii="Times New Roman" w:hAnsi="Times New Roman" w:cs="Times New Roman"/>
          <w:b/>
          <w:sz w:val="24"/>
          <w:szCs w:val="24"/>
        </w:rPr>
        <w:t>O</w:t>
      </w:r>
      <w:r w:rsidRPr="00A206D5">
        <w:rPr>
          <w:rFonts w:ascii="Times New Roman" w:hAnsi="Times New Roman" w:cs="Times New Roman"/>
          <w:b/>
          <w:sz w:val="24"/>
          <w:szCs w:val="24"/>
        </w:rPr>
        <w:t xml:space="preserve">hio Rev. Code, Because it Fails to Set Forth the </w:t>
      </w:r>
      <w:r w:rsidR="000D29AC">
        <w:rPr>
          <w:rFonts w:ascii="Times New Roman" w:hAnsi="Times New Roman" w:cs="Times New Roman"/>
          <w:b/>
          <w:sz w:val="24"/>
          <w:szCs w:val="24"/>
        </w:rPr>
        <w:t xml:space="preserve">Findings of Fact and Reasoning Based Thereon.  </w:t>
      </w:r>
      <w:r w:rsidR="00DD65A3" w:rsidRPr="00DD65A3">
        <w:rPr>
          <w:rFonts w:ascii="Times New Roman" w:eastAsia="Calibri" w:hAnsi="Times New Roman" w:cs="Times New Roman"/>
          <w:b/>
          <w:i/>
          <w:sz w:val="24"/>
          <w:szCs w:val="24"/>
        </w:rPr>
        <w:t>Ideal Transp. Co. v. Pub. Util. Comm</w:t>
      </w:r>
      <w:r w:rsidR="00DD65A3" w:rsidRPr="00DD65A3">
        <w:rPr>
          <w:rFonts w:ascii="Times New Roman" w:eastAsia="Calibri" w:hAnsi="Times New Roman" w:cs="Times New Roman"/>
          <w:b/>
          <w:sz w:val="24"/>
          <w:szCs w:val="24"/>
        </w:rPr>
        <w:t>. (1975), 42 Ohio St. 2d 195, paragraph one of the syllabus;</w:t>
      </w:r>
      <w:r w:rsidR="00157D7C">
        <w:rPr>
          <w:rFonts w:ascii="Times New Roman" w:eastAsia="Calibri" w:hAnsi="Times New Roman" w:cs="Times New Roman"/>
          <w:sz w:val="24"/>
          <w:szCs w:val="24"/>
        </w:rPr>
        <w:t xml:space="preserve"> </w:t>
      </w:r>
      <w:r w:rsidR="00DD65A3" w:rsidRPr="00DD65A3">
        <w:rPr>
          <w:rFonts w:ascii="Times New Roman" w:eastAsia="Calibri" w:hAnsi="Times New Roman" w:cs="Times New Roman"/>
          <w:b/>
          <w:i/>
          <w:sz w:val="24"/>
          <w:szCs w:val="24"/>
        </w:rPr>
        <w:t>Tongren v. Pub. Util. Comm.</w:t>
      </w:r>
      <w:r w:rsidR="00DD65A3" w:rsidRPr="00DD65A3">
        <w:rPr>
          <w:rFonts w:ascii="Times New Roman" w:eastAsia="Calibri" w:hAnsi="Times New Roman" w:cs="Times New Roman"/>
          <w:b/>
          <w:sz w:val="24"/>
          <w:szCs w:val="24"/>
        </w:rPr>
        <w:t xml:space="preserve"> </w:t>
      </w:r>
      <w:r w:rsidR="00DD65A3" w:rsidRPr="00611D91">
        <w:rPr>
          <w:rFonts w:ascii="Times New Roman" w:eastAsia="Calibri" w:hAnsi="Times New Roman" w:cs="Times New Roman"/>
          <w:b/>
          <w:sz w:val="24"/>
          <w:szCs w:val="24"/>
        </w:rPr>
        <w:t>(1999),</w:t>
      </w:r>
      <w:r w:rsidR="00DD65A3" w:rsidRPr="00DD65A3">
        <w:rPr>
          <w:rFonts w:ascii="Times New Roman" w:eastAsia="Calibri" w:hAnsi="Times New Roman" w:cs="Times New Roman"/>
          <w:b/>
          <w:sz w:val="24"/>
          <w:szCs w:val="24"/>
        </w:rPr>
        <w:t xml:space="preserve"> 85 Ohio St. 3d 87</w:t>
      </w:r>
      <w:r w:rsidR="00157D7C">
        <w:rPr>
          <w:rFonts w:ascii="Times New Roman" w:eastAsia="Calibri" w:hAnsi="Times New Roman" w:cs="Times New Roman"/>
          <w:b/>
          <w:sz w:val="24"/>
          <w:szCs w:val="24"/>
        </w:rPr>
        <w:t>.</w:t>
      </w:r>
      <w:r w:rsidR="00157D7C">
        <w:rPr>
          <w:rFonts w:ascii="Times New Roman" w:hAnsi="Times New Roman" w:cs="Times New Roman"/>
          <w:sz w:val="24"/>
          <w:szCs w:val="24"/>
        </w:rPr>
        <w:t xml:space="preserve"> </w:t>
      </w:r>
      <w:r w:rsidR="00157D7C" w:rsidRPr="009D2341">
        <w:rPr>
          <w:rFonts w:ascii="Times New Roman" w:eastAsia="Calibri" w:hAnsi="Times New Roman" w:cs="Times New Roman"/>
          <w:sz w:val="24"/>
          <w:szCs w:val="24"/>
        </w:rPr>
        <w:t xml:space="preserve"> </w:t>
      </w:r>
    </w:p>
    <w:p w:rsidR="00870014" w:rsidRDefault="00870014" w:rsidP="00870014">
      <w:pPr>
        <w:pStyle w:val="ListParagraph"/>
        <w:spacing w:after="0" w:line="240" w:lineRule="auto"/>
        <w:rPr>
          <w:rFonts w:ascii="Times New Roman" w:hAnsi="Times New Roman" w:cs="Times New Roman"/>
          <w:sz w:val="24"/>
          <w:szCs w:val="24"/>
        </w:rPr>
      </w:pPr>
    </w:p>
    <w:p w:rsidR="00FE57EF" w:rsidRDefault="00DD65A3">
      <w:pPr>
        <w:pStyle w:val="ListParagraph"/>
        <w:numPr>
          <w:ilvl w:val="0"/>
          <w:numId w:val="17"/>
        </w:numPr>
        <w:spacing w:after="0" w:line="240" w:lineRule="auto"/>
        <w:ind w:left="1440" w:right="1350" w:hanging="720"/>
        <w:jc w:val="both"/>
        <w:rPr>
          <w:rFonts w:ascii="Times New Roman" w:hAnsi="Times New Roman" w:cs="Times New Roman"/>
          <w:sz w:val="24"/>
          <w:szCs w:val="24"/>
        </w:rPr>
      </w:pPr>
      <w:r w:rsidRPr="00DD65A3">
        <w:rPr>
          <w:rFonts w:ascii="Times New Roman" w:hAnsi="Times New Roman" w:cs="Times New Roman"/>
          <w:b/>
          <w:sz w:val="24"/>
          <w:szCs w:val="24"/>
        </w:rPr>
        <w:t>The Commission</w:t>
      </w:r>
      <w:r w:rsidR="00611D91">
        <w:rPr>
          <w:rFonts w:ascii="Times New Roman" w:hAnsi="Times New Roman" w:cs="Times New Roman"/>
          <w:b/>
          <w:sz w:val="24"/>
          <w:szCs w:val="24"/>
        </w:rPr>
        <w:t>’s O</w:t>
      </w:r>
      <w:r w:rsidRPr="00DD65A3">
        <w:rPr>
          <w:rFonts w:ascii="Times New Roman" w:hAnsi="Times New Roman" w:cs="Times New Roman"/>
          <w:b/>
          <w:sz w:val="24"/>
          <w:szCs w:val="24"/>
        </w:rPr>
        <w:t xml:space="preserve">rder </w:t>
      </w:r>
      <w:r w:rsidR="002127EE">
        <w:rPr>
          <w:rFonts w:ascii="Times New Roman" w:hAnsi="Times New Roman" w:cs="Times New Roman"/>
          <w:b/>
          <w:sz w:val="24"/>
          <w:szCs w:val="24"/>
        </w:rPr>
        <w:t xml:space="preserve">Approving the SCO Security Deposit </w:t>
      </w:r>
      <w:r w:rsidR="00611D91">
        <w:rPr>
          <w:rFonts w:ascii="Times New Roman" w:hAnsi="Times New Roman" w:cs="Times New Roman"/>
          <w:b/>
          <w:sz w:val="24"/>
          <w:szCs w:val="24"/>
        </w:rPr>
        <w:t xml:space="preserve">is </w:t>
      </w:r>
      <w:r w:rsidRPr="00DD65A3">
        <w:rPr>
          <w:rFonts w:ascii="Times New Roman" w:hAnsi="Times New Roman" w:cs="Times New Roman"/>
          <w:b/>
          <w:sz w:val="24"/>
          <w:szCs w:val="24"/>
        </w:rPr>
        <w:t>Against the Manifest Weight of the Evidence</w:t>
      </w:r>
      <w:r w:rsidR="00157D7C">
        <w:rPr>
          <w:rFonts w:ascii="Times New Roman" w:hAnsi="Times New Roman" w:cs="Times New Roman"/>
          <w:b/>
          <w:sz w:val="24"/>
          <w:szCs w:val="24"/>
        </w:rPr>
        <w:t xml:space="preserve"> </w:t>
      </w:r>
      <w:r w:rsidR="00157D7C" w:rsidRPr="00AB2E19">
        <w:rPr>
          <w:rFonts w:ascii="Times New Roman" w:hAnsi="Times New Roman" w:cs="Times New Roman"/>
          <w:b/>
          <w:sz w:val="24"/>
          <w:szCs w:val="24"/>
        </w:rPr>
        <w:t>(</w:t>
      </w:r>
      <w:r w:rsidR="00E72142" w:rsidRPr="00E72142">
        <w:rPr>
          <w:rFonts w:ascii="Times New Roman" w:hAnsi="Times New Roman" w:cs="Times New Roman"/>
          <w:b/>
          <w:i/>
          <w:sz w:val="24"/>
          <w:szCs w:val="24"/>
        </w:rPr>
        <w:t>Cleveland Elec. Illum. Co v. Pub. Util. Comm.</w:t>
      </w:r>
      <w:r w:rsidR="00E72142">
        <w:rPr>
          <w:rFonts w:ascii="Times New Roman" w:hAnsi="Times New Roman" w:cs="Times New Roman"/>
          <w:b/>
          <w:sz w:val="24"/>
          <w:szCs w:val="24"/>
        </w:rPr>
        <w:t xml:space="preserve"> (1975), 42 Ohio St. 2d 403</w:t>
      </w:r>
      <w:r w:rsidRPr="00DD65A3">
        <w:rPr>
          <w:rFonts w:ascii="Times New Roman" w:hAnsi="Times New Roman" w:cs="Times New Roman"/>
          <w:b/>
          <w:sz w:val="24"/>
          <w:szCs w:val="24"/>
        </w:rPr>
        <w:t>), and</w:t>
      </w:r>
      <w:r w:rsidR="008871BB">
        <w:rPr>
          <w:rFonts w:ascii="Times New Roman" w:hAnsi="Times New Roman" w:cs="Times New Roman"/>
          <w:b/>
          <w:sz w:val="24"/>
          <w:szCs w:val="24"/>
        </w:rPr>
        <w:t xml:space="preserve"> Unlawfully </w:t>
      </w:r>
      <w:r w:rsidRPr="00DD65A3">
        <w:rPr>
          <w:rFonts w:ascii="Times New Roman" w:hAnsi="Times New Roman" w:cs="Times New Roman"/>
          <w:b/>
          <w:sz w:val="24"/>
          <w:szCs w:val="24"/>
        </w:rPr>
        <w:t>Relies on the Amended Stipulation in Lieu of the Evidence of Record.</w:t>
      </w:r>
      <w:r w:rsidR="00AB2E19">
        <w:rPr>
          <w:rFonts w:ascii="Times New Roman" w:hAnsi="Times New Roman" w:cs="Times New Roman"/>
          <w:sz w:val="24"/>
          <w:szCs w:val="24"/>
        </w:rPr>
        <w:t xml:space="preserve">  </w:t>
      </w:r>
      <w:r w:rsidRPr="00DD65A3">
        <w:rPr>
          <w:rFonts w:ascii="Times New Roman" w:hAnsi="Times New Roman" w:cs="Times New Roman"/>
          <w:b/>
          <w:i/>
          <w:sz w:val="24"/>
          <w:szCs w:val="24"/>
        </w:rPr>
        <w:t>See In re Columbus Southern Power Co.</w:t>
      </w:r>
      <w:r w:rsidR="00611D91" w:rsidRPr="00611D91">
        <w:rPr>
          <w:rFonts w:ascii="Times New Roman" w:hAnsi="Times New Roman" w:cs="Times New Roman"/>
          <w:b/>
          <w:sz w:val="24"/>
          <w:szCs w:val="24"/>
        </w:rPr>
        <w:t xml:space="preserve"> (2011)</w:t>
      </w:r>
      <w:r w:rsidRPr="00DD65A3">
        <w:rPr>
          <w:rFonts w:ascii="Times New Roman" w:hAnsi="Times New Roman" w:cs="Times New Roman"/>
          <w:b/>
          <w:sz w:val="24"/>
          <w:szCs w:val="24"/>
        </w:rPr>
        <w:t>, 129 Ohio St.</w:t>
      </w:r>
      <w:r w:rsidR="00E72142">
        <w:rPr>
          <w:rFonts w:ascii="Times New Roman" w:hAnsi="Times New Roman" w:cs="Times New Roman"/>
          <w:b/>
          <w:sz w:val="24"/>
          <w:szCs w:val="24"/>
        </w:rPr>
        <w:t xml:space="preserve"> </w:t>
      </w:r>
      <w:r w:rsidRPr="00DD65A3">
        <w:rPr>
          <w:rFonts w:ascii="Times New Roman" w:hAnsi="Times New Roman" w:cs="Times New Roman"/>
          <w:b/>
          <w:sz w:val="24"/>
          <w:szCs w:val="24"/>
        </w:rPr>
        <w:t>3d 46</w:t>
      </w:r>
      <w:r w:rsidRPr="00611D91">
        <w:rPr>
          <w:rFonts w:ascii="Times New Roman" w:hAnsi="Times New Roman" w:cs="Times New Roman"/>
          <w:b/>
          <w:sz w:val="24"/>
          <w:szCs w:val="24"/>
        </w:rPr>
        <w:t>.</w:t>
      </w:r>
      <w:r w:rsidR="00AB2E19">
        <w:rPr>
          <w:rFonts w:ascii="Times New Roman" w:hAnsi="Times New Roman" w:cs="Times New Roman"/>
          <w:sz w:val="24"/>
          <w:szCs w:val="24"/>
        </w:rPr>
        <w:t xml:space="preserve">  </w:t>
      </w:r>
    </w:p>
    <w:p w:rsidR="00870014" w:rsidRDefault="00870014" w:rsidP="00870014">
      <w:pPr>
        <w:pStyle w:val="ListParagraph"/>
        <w:spacing w:after="0" w:line="240" w:lineRule="auto"/>
        <w:rPr>
          <w:rFonts w:ascii="Times New Roman" w:hAnsi="Times New Roman" w:cs="Times New Roman"/>
          <w:sz w:val="24"/>
          <w:szCs w:val="24"/>
        </w:rPr>
      </w:pPr>
    </w:p>
    <w:p w:rsidR="00AE44FA" w:rsidRDefault="00AE44FA">
      <w:pPr>
        <w:rPr>
          <w:rFonts w:ascii="Times New Roman" w:hAnsi="Times New Roman" w:cs="Times New Roman"/>
          <w:b/>
          <w:sz w:val="24"/>
          <w:szCs w:val="24"/>
        </w:rPr>
      </w:pPr>
      <w:r>
        <w:rPr>
          <w:rFonts w:ascii="Times New Roman" w:hAnsi="Times New Roman" w:cs="Times New Roman"/>
          <w:b/>
          <w:sz w:val="24"/>
          <w:szCs w:val="24"/>
        </w:rPr>
        <w:br w:type="page"/>
      </w:r>
    </w:p>
    <w:p w:rsidR="00FE57EF" w:rsidRDefault="00DD65A3">
      <w:pPr>
        <w:pStyle w:val="ListParagraph"/>
        <w:numPr>
          <w:ilvl w:val="0"/>
          <w:numId w:val="17"/>
        </w:numPr>
        <w:spacing w:after="0" w:line="240" w:lineRule="auto"/>
        <w:ind w:left="1440" w:right="1350" w:hanging="720"/>
        <w:jc w:val="both"/>
        <w:rPr>
          <w:rFonts w:ascii="Times New Roman" w:hAnsi="Times New Roman" w:cs="Times New Roman"/>
          <w:sz w:val="24"/>
          <w:szCs w:val="24"/>
        </w:rPr>
      </w:pPr>
      <w:r w:rsidRPr="00DD65A3">
        <w:rPr>
          <w:rFonts w:ascii="Times New Roman" w:hAnsi="Times New Roman" w:cs="Times New Roman"/>
          <w:b/>
          <w:sz w:val="24"/>
          <w:szCs w:val="24"/>
        </w:rPr>
        <w:lastRenderedPageBreak/>
        <w:t xml:space="preserve">The Commission’s </w:t>
      </w:r>
      <w:r w:rsidR="00253FA2" w:rsidRPr="00CE1028">
        <w:rPr>
          <w:rFonts w:ascii="Times New Roman" w:hAnsi="Times New Roman" w:cs="Times New Roman"/>
          <w:b/>
          <w:sz w:val="24"/>
          <w:szCs w:val="24"/>
        </w:rPr>
        <w:t xml:space="preserve">Order </w:t>
      </w:r>
      <w:r w:rsidR="002127EE">
        <w:rPr>
          <w:rFonts w:ascii="Times New Roman" w:hAnsi="Times New Roman" w:cs="Times New Roman"/>
          <w:b/>
          <w:sz w:val="24"/>
          <w:szCs w:val="24"/>
        </w:rPr>
        <w:t xml:space="preserve">Approving the SCO Security Deposit </w:t>
      </w:r>
      <w:r w:rsidR="00253FA2" w:rsidRPr="00CE1028">
        <w:rPr>
          <w:rFonts w:ascii="Times New Roman" w:hAnsi="Times New Roman" w:cs="Times New Roman"/>
          <w:b/>
          <w:sz w:val="24"/>
          <w:szCs w:val="24"/>
        </w:rPr>
        <w:t>Violates Columbia Gas of Ohio’s Code of Conduct</w:t>
      </w:r>
      <w:r w:rsidR="00253FA2">
        <w:rPr>
          <w:rFonts w:ascii="Times New Roman" w:hAnsi="Times New Roman" w:cs="Times New Roman"/>
          <w:b/>
          <w:sz w:val="24"/>
          <w:szCs w:val="24"/>
        </w:rPr>
        <w:t xml:space="preserve"> and Section 4929.02, Ohio Rev. Code,</w:t>
      </w:r>
      <w:r w:rsidRPr="00DD65A3">
        <w:rPr>
          <w:rFonts w:ascii="Times New Roman" w:hAnsi="Times New Roman" w:cs="Times New Roman"/>
          <w:b/>
          <w:sz w:val="24"/>
          <w:szCs w:val="24"/>
        </w:rPr>
        <w:t xml:space="preserve"> Because it Unduly Discriminates Against SCO Suppliers</w:t>
      </w:r>
      <w:r w:rsidR="00E72142">
        <w:rPr>
          <w:rFonts w:ascii="Times New Roman" w:hAnsi="Times New Roman" w:cs="Times New Roman"/>
          <w:b/>
          <w:sz w:val="24"/>
          <w:szCs w:val="24"/>
        </w:rPr>
        <w:t xml:space="preserve"> and SCO Customers</w:t>
      </w:r>
      <w:r w:rsidRPr="00DD65A3">
        <w:rPr>
          <w:rFonts w:ascii="Times New Roman" w:hAnsi="Times New Roman" w:cs="Times New Roman"/>
          <w:b/>
          <w:sz w:val="24"/>
          <w:szCs w:val="24"/>
        </w:rPr>
        <w:t xml:space="preserve">.  </w:t>
      </w:r>
    </w:p>
    <w:p w:rsidR="00FE57EF" w:rsidRPr="00FE57EF" w:rsidRDefault="00FE57EF" w:rsidP="00FE57EF">
      <w:pPr>
        <w:pStyle w:val="ListParagraph"/>
        <w:rPr>
          <w:rFonts w:ascii="Times New Roman" w:hAnsi="Times New Roman" w:cs="Times New Roman"/>
          <w:sz w:val="24"/>
          <w:szCs w:val="24"/>
        </w:rPr>
      </w:pPr>
    </w:p>
    <w:p w:rsidR="00FE57EF" w:rsidRPr="00253FA2" w:rsidRDefault="00253FA2">
      <w:pPr>
        <w:pStyle w:val="ListParagraph"/>
        <w:numPr>
          <w:ilvl w:val="0"/>
          <w:numId w:val="17"/>
        </w:numPr>
        <w:spacing w:after="0" w:line="240" w:lineRule="auto"/>
        <w:ind w:left="1440" w:right="1350" w:hanging="720"/>
        <w:jc w:val="both"/>
        <w:rPr>
          <w:rFonts w:ascii="Times New Roman" w:hAnsi="Times New Roman" w:cs="Times New Roman"/>
          <w:b/>
          <w:sz w:val="24"/>
          <w:szCs w:val="24"/>
        </w:rPr>
      </w:pPr>
      <w:r>
        <w:rPr>
          <w:rFonts w:ascii="Times New Roman" w:hAnsi="Times New Roman" w:cs="Times New Roman"/>
          <w:b/>
          <w:sz w:val="24"/>
          <w:szCs w:val="24"/>
        </w:rPr>
        <w:t xml:space="preserve">The Commission’s Order Unreasonably Requires a </w:t>
      </w:r>
      <w:r w:rsidR="00FE57EF" w:rsidRPr="00253FA2">
        <w:rPr>
          <w:rFonts w:ascii="Times New Roman" w:hAnsi="Times New Roman" w:cs="Times New Roman"/>
          <w:b/>
          <w:sz w:val="24"/>
          <w:szCs w:val="24"/>
        </w:rPr>
        <w:t>Minimum MVR Allocation of One Percent to Each MVR Supplier.</w:t>
      </w:r>
    </w:p>
    <w:p w:rsidR="00FE57EF" w:rsidRPr="00FE57EF" w:rsidRDefault="00FE57EF" w:rsidP="00FE57EF">
      <w:pPr>
        <w:pStyle w:val="ListParagraph"/>
        <w:rPr>
          <w:rFonts w:ascii="Times New Roman" w:hAnsi="Times New Roman" w:cs="Times New Roman"/>
          <w:sz w:val="24"/>
          <w:szCs w:val="24"/>
        </w:rPr>
      </w:pPr>
    </w:p>
    <w:p w:rsidR="00FE57EF" w:rsidRPr="00253FA2" w:rsidRDefault="00FE57EF">
      <w:pPr>
        <w:pStyle w:val="ListParagraph"/>
        <w:numPr>
          <w:ilvl w:val="0"/>
          <w:numId w:val="17"/>
        </w:numPr>
        <w:spacing w:after="0" w:line="240" w:lineRule="auto"/>
        <w:ind w:left="1440" w:right="1350" w:hanging="720"/>
        <w:jc w:val="both"/>
        <w:rPr>
          <w:rFonts w:ascii="Times New Roman" w:hAnsi="Times New Roman" w:cs="Times New Roman"/>
          <w:b/>
          <w:sz w:val="24"/>
          <w:szCs w:val="24"/>
        </w:rPr>
      </w:pPr>
      <w:r w:rsidRPr="00253FA2">
        <w:rPr>
          <w:rFonts w:ascii="Times New Roman" w:hAnsi="Times New Roman" w:cs="Times New Roman"/>
          <w:b/>
          <w:sz w:val="24"/>
          <w:szCs w:val="24"/>
        </w:rPr>
        <w:t xml:space="preserve">Rehearing Should be Granted to Clarify </w:t>
      </w:r>
      <w:r w:rsidR="00253FA2">
        <w:rPr>
          <w:rFonts w:ascii="Times New Roman" w:hAnsi="Times New Roman" w:cs="Times New Roman"/>
          <w:b/>
          <w:sz w:val="24"/>
          <w:szCs w:val="24"/>
        </w:rPr>
        <w:t xml:space="preserve">Certain Aspects of </w:t>
      </w:r>
      <w:r w:rsidRPr="00253FA2">
        <w:rPr>
          <w:rFonts w:ascii="Times New Roman" w:hAnsi="Times New Roman" w:cs="Times New Roman"/>
          <w:b/>
          <w:sz w:val="24"/>
          <w:szCs w:val="24"/>
        </w:rPr>
        <w:t xml:space="preserve">the MVR Allocation Methodology.  </w:t>
      </w:r>
    </w:p>
    <w:p w:rsidR="00870014" w:rsidRDefault="00870014" w:rsidP="00EB6F5C">
      <w:pPr>
        <w:spacing w:after="0" w:line="240" w:lineRule="auto"/>
        <w:ind w:firstLine="720"/>
        <w:rPr>
          <w:rFonts w:ascii="Times New Roman" w:hAnsi="Times New Roman"/>
          <w:sz w:val="24"/>
          <w:szCs w:val="24"/>
        </w:rPr>
      </w:pPr>
    </w:p>
    <w:p w:rsidR="00FE57EF" w:rsidRDefault="00E41FAB">
      <w:pPr>
        <w:spacing w:after="0" w:line="480" w:lineRule="auto"/>
        <w:ind w:firstLine="720"/>
        <w:jc w:val="both"/>
        <w:rPr>
          <w:rFonts w:ascii="Times New Roman" w:hAnsi="Times New Roman"/>
          <w:sz w:val="24"/>
          <w:szCs w:val="24"/>
        </w:rPr>
      </w:pPr>
      <w:r>
        <w:rPr>
          <w:rFonts w:ascii="Times New Roman" w:hAnsi="Times New Roman"/>
          <w:sz w:val="24"/>
          <w:szCs w:val="24"/>
        </w:rPr>
        <w:t>Wherefore, for the reasons more fully set forth in the accompanying Memorandum in Support, Hess respectfully requests that the Commission grant rehearing of its Order and, specifically:</w:t>
      </w:r>
    </w:p>
    <w:p w:rsidR="00FE57EF" w:rsidRDefault="005E70F9" w:rsidP="00FE57EF">
      <w:pPr>
        <w:pStyle w:val="ListParagraph"/>
        <w:numPr>
          <w:ilvl w:val="0"/>
          <w:numId w:val="18"/>
        </w:numPr>
        <w:spacing w:after="0" w:line="240" w:lineRule="auto"/>
        <w:ind w:left="1440" w:right="1350" w:hanging="720"/>
        <w:jc w:val="both"/>
        <w:rPr>
          <w:rFonts w:ascii="Times New Roman" w:hAnsi="Times New Roman"/>
          <w:sz w:val="24"/>
          <w:szCs w:val="24"/>
        </w:rPr>
      </w:pPr>
      <w:r w:rsidRPr="00FE57EF">
        <w:rPr>
          <w:rFonts w:ascii="Times New Roman" w:hAnsi="Times New Roman"/>
          <w:sz w:val="24"/>
          <w:szCs w:val="24"/>
        </w:rPr>
        <w:t>R</w:t>
      </w:r>
      <w:r w:rsidR="00E41FAB" w:rsidRPr="00FE57EF">
        <w:rPr>
          <w:rFonts w:ascii="Times New Roman" w:hAnsi="Times New Roman"/>
          <w:sz w:val="24"/>
          <w:szCs w:val="24"/>
        </w:rPr>
        <w:t xml:space="preserve">eject the $0.06/Mcf SCO </w:t>
      </w:r>
      <w:r w:rsidR="00E17509" w:rsidRPr="00FE57EF">
        <w:rPr>
          <w:rFonts w:ascii="Times New Roman" w:hAnsi="Times New Roman"/>
          <w:sz w:val="24"/>
          <w:szCs w:val="24"/>
        </w:rPr>
        <w:t>S</w:t>
      </w:r>
      <w:r w:rsidR="00E41FAB" w:rsidRPr="00FE57EF">
        <w:rPr>
          <w:rFonts w:ascii="Times New Roman" w:hAnsi="Times New Roman"/>
          <w:sz w:val="24"/>
          <w:szCs w:val="24"/>
        </w:rPr>
        <w:t xml:space="preserve">ecurity </w:t>
      </w:r>
      <w:r w:rsidR="00E17509" w:rsidRPr="00FE57EF">
        <w:rPr>
          <w:rFonts w:ascii="Times New Roman" w:hAnsi="Times New Roman"/>
          <w:sz w:val="24"/>
          <w:szCs w:val="24"/>
        </w:rPr>
        <w:t xml:space="preserve">Deposit; or </w:t>
      </w:r>
      <w:r w:rsidR="00FE57EF">
        <w:rPr>
          <w:rFonts w:ascii="Times New Roman" w:hAnsi="Times New Roman"/>
          <w:sz w:val="24"/>
          <w:szCs w:val="24"/>
        </w:rPr>
        <w:t>a</w:t>
      </w:r>
      <w:r w:rsidR="00E41FAB" w:rsidRPr="00FE57EF">
        <w:rPr>
          <w:rFonts w:ascii="Times New Roman" w:hAnsi="Times New Roman"/>
          <w:sz w:val="24"/>
          <w:szCs w:val="24"/>
        </w:rPr>
        <w:t xml:space="preserve">lternatively, </w:t>
      </w:r>
      <w:r w:rsidR="00E17509" w:rsidRPr="00FE57EF">
        <w:rPr>
          <w:rFonts w:ascii="Times New Roman" w:hAnsi="Times New Roman"/>
          <w:sz w:val="24"/>
          <w:szCs w:val="24"/>
        </w:rPr>
        <w:t xml:space="preserve">make </w:t>
      </w:r>
      <w:r w:rsidR="00E41FAB" w:rsidRPr="00FE57EF">
        <w:rPr>
          <w:rFonts w:ascii="Times New Roman" w:hAnsi="Times New Roman"/>
          <w:sz w:val="24"/>
          <w:szCs w:val="24"/>
        </w:rPr>
        <w:t xml:space="preserve">the $0.06/Mcf SCO </w:t>
      </w:r>
      <w:r w:rsidR="00E17509" w:rsidRPr="00FE57EF">
        <w:rPr>
          <w:rFonts w:ascii="Times New Roman" w:hAnsi="Times New Roman"/>
          <w:sz w:val="24"/>
          <w:szCs w:val="24"/>
        </w:rPr>
        <w:t>S</w:t>
      </w:r>
      <w:r w:rsidR="00E41FAB" w:rsidRPr="00FE57EF">
        <w:rPr>
          <w:rFonts w:ascii="Times New Roman" w:hAnsi="Times New Roman"/>
          <w:sz w:val="24"/>
          <w:szCs w:val="24"/>
        </w:rPr>
        <w:t xml:space="preserve">ecurity </w:t>
      </w:r>
      <w:r w:rsidR="00E17509" w:rsidRPr="00FE57EF">
        <w:rPr>
          <w:rFonts w:ascii="Times New Roman" w:hAnsi="Times New Roman"/>
          <w:sz w:val="24"/>
          <w:szCs w:val="24"/>
        </w:rPr>
        <w:t xml:space="preserve">Deposit </w:t>
      </w:r>
      <w:r w:rsidR="00E41FAB" w:rsidRPr="00FE57EF">
        <w:rPr>
          <w:rFonts w:ascii="Times New Roman" w:hAnsi="Times New Roman"/>
          <w:sz w:val="24"/>
          <w:szCs w:val="24"/>
        </w:rPr>
        <w:t xml:space="preserve">refundable </w:t>
      </w:r>
      <w:r w:rsidR="00E17509" w:rsidRPr="00FE57EF">
        <w:rPr>
          <w:rFonts w:ascii="Times New Roman" w:hAnsi="Times New Roman"/>
          <w:sz w:val="24"/>
          <w:szCs w:val="24"/>
        </w:rPr>
        <w:t xml:space="preserve">and </w:t>
      </w:r>
      <w:r w:rsidR="00E41FAB" w:rsidRPr="00FE57EF">
        <w:rPr>
          <w:rFonts w:ascii="Times New Roman" w:hAnsi="Times New Roman"/>
          <w:sz w:val="24"/>
          <w:szCs w:val="24"/>
        </w:rPr>
        <w:t>return</w:t>
      </w:r>
      <w:r w:rsidR="00985FE2" w:rsidRPr="00FE57EF">
        <w:rPr>
          <w:rFonts w:ascii="Times New Roman" w:hAnsi="Times New Roman"/>
          <w:sz w:val="24"/>
          <w:szCs w:val="24"/>
        </w:rPr>
        <w:t xml:space="preserve"> </w:t>
      </w:r>
      <w:r w:rsidR="00E41FAB" w:rsidRPr="00FE57EF">
        <w:rPr>
          <w:rFonts w:ascii="Times New Roman" w:hAnsi="Times New Roman"/>
          <w:sz w:val="24"/>
          <w:szCs w:val="24"/>
        </w:rPr>
        <w:t>to SCO suppliers</w:t>
      </w:r>
      <w:r w:rsidR="00611D91" w:rsidRPr="00FE57EF">
        <w:rPr>
          <w:rFonts w:ascii="Times New Roman" w:hAnsi="Times New Roman"/>
          <w:sz w:val="24"/>
          <w:szCs w:val="24"/>
        </w:rPr>
        <w:t>, with interest,</w:t>
      </w:r>
      <w:r w:rsidR="00E41FAB" w:rsidRPr="00FE57EF">
        <w:rPr>
          <w:rFonts w:ascii="Times New Roman" w:hAnsi="Times New Roman"/>
          <w:sz w:val="24"/>
          <w:szCs w:val="24"/>
        </w:rPr>
        <w:t xml:space="preserve"> </w:t>
      </w:r>
      <w:r w:rsidR="00985FE2" w:rsidRPr="00FE57EF">
        <w:rPr>
          <w:rFonts w:ascii="Times New Roman" w:hAnsi="Times New Roman"/>
          <w:sz w:val="24"/>
          <w:szCs w:val="24"/>
        </w:rPr>
        <w:t xml:space="preserve">all balances not used for purposes of </w:t>
      </w:r>
      <w:r w:rsidR="00E41FAB" w:rsidRPr="00FE57EF">
        <w:rPr>
          <w:rFonts w:ascii="Times New Roman" w:hAnsi="Times New Roman"/>
          <w:sz w:val="24"/>
          <w:szCs w:val="24"/>
        </w:rPr>
        <w:t>SCO supplier default during the course of the SCO Program Year.</w:t>
      </w:r>
    </w:p>
    <w:p w:rsidR="00FE57EF" w:rsidRDefault="00FE57EF" w:rsidP="00FE57EF">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 xml:space="preserve">Adopt a 0.5 Percent </w:t>
      </w:r>
      <w:r w:rsidR="00614CB8">
        <w:rPr>
          <w:rFonts w:ascii="Times New Roman" w:hAnsi="Times New Roman"/>
          <w:sz w:val="24"/>
          <w:szCs w:val="24"/>
        </w:rPr>
        <w:t xml:space="preserve">MVR </w:t>
      </w:r>
      <w:r>
        <w:rPr>
          <w:rFonts w:ascii="Times New Roman" w:hAnsi="Times New Roman"/>
          <w:sz w:val="24"/>
          <w:szCs w:val="24"/>
        </w:rPr>
        <w:t>Allocation Threshold Consistent with this Application for Rehearing.</w:t>
      </w:r>
    </w:p>
    <w:p w:rsidR="00FE57EF" w:rsidRPr="00FE57EF" w:rsidRDefault="00FE57EF" w:rsidP="00FE57EF">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 xml:space="preserve">Clarify </w:t>
      </w:r>
      <w:r w:rsidR="00253FA2">
        <w:rPr>
          <w:rFonts w:ascii="Times New Roman" w:hAnsi="Times New Roman"/>
          <w:sz w:val="24"/>
          <w:szCs w:val="24"/>
        </w:rPr>
        <w:t xml:space="preserve">Certain Aspects of </w:t>
      </w:r>
      <w:r>
        <w:rPr>
          <w:rFonts w:ascii="Times New Roman" w:hAnsi="Times New Roman"/>
          <w:sz w:val="24"/>
          <w:szCs w:val="24"/>
        </w:rPr>
        <w:t xml:space="preserve">the MVR Allocation Methodology Consistent with this Application for Rehearing. </w:t>
      </w:r>
    </w:p>
    <w:p w:rsidR="00FE57EF" w:rsidRDefault="00FE57EF">
      <w:pPr>
        <w:spacing w:after="0"/>
        <w:ind w:left="1440" w:right="1350" w:hanging="720"/>
        <w:jc w:val="both"/>
        <w:rPr>
          <w:rFonts w:ascii="Times New Roman" w:hAnsi="Times New Roman"/>
          <w:sz w:val="24"/>
          <w:szCs w:val="24"/>
        </w:rPr>
      </w:pPr>
    </w:p>
    <w:p w:rsidR="00E41FAB" w:rsidRPr="00E41FAB" w:rsidRDefault="00E41FAB" w:rsidP="00E41FAB">
      <w:pPr>
        <w:spacing w:after="0"/>
        <w:ind w:left="360"/>
        <w:rPr>
          <w:rFonts w:ascii="Times New Roman" w:hAnsi="Times New Roman"/>
          <w:sz w:val="24"/>
          <w:szCs w:val="24"/>
        </w:rPr>
      </w:pPr>
    </w:p>
    <w:p w:rsidR="00870014" w:rsidRPr="009F051D" w:rsidRDefault="00870014" w:rsidP="00870014">
      <w:pPr>
        <w:widowControl w:val="0"/>
        <w:spacing w:line="240" w:lineRule="auto"/>
        <w:ind w:firstLine="4770"/>
        <w:jc w:val="both"/>
        <w:rPr>
          <w:rFonts w:ascii="Times New Roman" w:hAnsi="Times New Roman" w:cs="Times New Roman"/>
          <w:sz w:val="24"/>
          <w:szCs w:val="24"/>
        </w:rPr>
      </w:pPr>
      <w:r w:rsidRPr="009F051D">
        <w:rPr>
          <w:rFonts w:ascii="Times New Roman" w:hAnsi="Times New Roman" w:cs="Times New Roman"/>
          <w:sz w:val="24"/>
          <w:szCs w:val="24"/>
        </w:rPr>
        <w:t>Respectfully submitted,</w:t>
      </w:r>
    </w:p>
    <w:p w:rsidR="00870014" w:rsidRPr="009F051D" w:rsidRDefault="00870014" w:rsidP="00870014">
      <w:pPr>
        <w:widowControl w:val="0"/>
        <w:spacing w:line="240" w:lineRule="auto"/>
        <w:ind w:firstLine="4770"/>
        <w:jc w:val="both"/>
        <w:rPr>
          <w:rFonts w:ascii="Times New Roman" w:hAnsi="Times New Roman" w:cs="Times New Roman"/>
          <w:sz w:val="24"/>
          <w:szCs w:val="24"/>
        </w:rPr>
      </w:pPr>
    </w:p>
    <w:p w:rsidR="00FE57EF" w:rsidRPr="00A96B58" w:rsidRDefault="00A96B58">
      <w:pPr>
        <w:tabs>
          <w:tab w:val="left" w:pos="342"/>
        </w:tabs>
        <w:spacing w:after="0" w:line="240" w:lineRule="auto"/>
        <w:ind w:left="4766" w:right="-360"/>
        <w:rPr>
          <w:rFonts w:ascii="Times New Roman" w:hAnsi="Times New Roman" w:cs="Times New Roman"/>
          <w:sz w:val="24"/>
          <w:szCs w:val="24"/>
          <w:u w:val="single"/>
        </w:rPr>
      </w:pPr>
      <w:r w:rsidRPr="00A96B58">
        <w:rPr>
          <w:rFonts w:ascii="Times New Roman" w:hAnsi="Times New Roman" w:cs="Times New Roman"/>
          <w:sz w:val="24"/>
          <w:szCs w:val="24"/>
          <w:u w:val="single"/>
        </w:rPr>
        <w:t>/s/ Dane Stinson</w:t>
      </w:r>
      <w:r w:rsidRPr="00A96B58">
        <w:rPr>
          <w:rFonts w:ascii="Times New Roman" w:hAnsi="Times New Roman" w:cs="Times New Roman"/>
          <w:b/>
          <w:sz w:val="24"/>
          <w:szCs w:val="24"/>
          <w:u w:val="single"/>
        </w:rPr>
        <w:t>_______________</w:t>
      </w:r>
    </w:p>
    <w:p w:rsidR="00870014" w:rsidRPr="009F051D" w:rsidRDefault="00870014" w:rsidP="00985FE2">
      <w:pPr>
        <w:tabs>
          <w:tab w:val="left" w:pos="342"/>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Dane Stinson</w:t>
      </w:r>
    </w:p>
    <w:p w:rsidR="00870014" w:rsidRPr="009F051D" w:rsidRDefault="00870014" w:rsidP="00985FE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BAILEY CAVALIERI LLC</w:t>
      </w:r>
    </w:p>
    <w:p w:rsidR="00870014" w:rsidRPr="009F051D" w:rsidRDefault="00870014" w:rsidP="00985FE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10 West Broad Street, Suite 2100</w:t>
      </w:r>
    </w:p>
    <w:p w:rsidR="00870014" w:rsidRPr="009F051D" w:rsidRDefault="00870014" w:rsidP="00985FE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Columbus, Ohio 43215</w:t>
      </w:r>
    </w:p>
    <w:p w:rsidR="00870014" w:rsidRPr="009F051D" w:rsidRDefault="00870014" w:rsidP="00985FE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221-3155 (telephone)</w:t>
      </w:r>
      <w:r w:rsidRPr="009F051D">
        <w:rPr>
          <w:rFonts w:ascii="Times New Roman" w:hAnsi="Times New Roman" w:cs="Times New Roman"/>
          <w:sz w:val="24"/>
          <w:szCs w:val="24"/>
        </w:rPr>
        <w:tab/>
      </w:r>
    </w:p>
    <w:p w:rsidR="00870014" w:rsidRPr="009F051D" w:rsidRDefault="00870014" w:rsidP="00985FE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221-0479 (fax)</w:t>
      </w:r>
    </w:p>
    <w:p w:rsidR="00870014" w:rsidRPr="009F051D" w:rsidRDefault="00870014" w:rsidP="00985FE2">
      <w:pPr>
        <w:pStyle w:val="TxBrp12"/>
        <w:spacing w:line="240" w:lineRule="auto"/>
        <w:ind w:left="4766" w:right="-360" w:firstLine="0"/>
      </w:pPr>
      <w:r w:rsidRPr="009F051D">
        <w:t>Dane.Stinson@BaileyCavalieri.com</w:t>
      </w:r>
    </w:p>
    <w:p w:rsidR="00FE57EF" w:rsidRDefault="00870014">
      <w:pPr>
        <w:pStyle w:val="BodyText"/>
        <w:spacing w:before="120" w:after="0"/>
        <w:ind w:left="4766" w:right="-360" w:firstLine="0"/>
        <w:rPr>
          <w:szCs w:val="24"/>
        </w:rPr>
      </w:pPr>
      <w:r w:rsidRPr="009F051D">
        <w:rPr>
          <w:szCs w:val="24"/>
        </w:rPr>
        <w:t>Attorney for Hess Corporation</w:t>
      </w:r>
    </w:p>
    <w:p w:rsidR="00614CB8" w:rsidRDefault="00614CB8">
      <w:pPr>
        <w:rPr>
          <w:rFonts w:ascii="Times New Roman" w:hAnsi="Times New Roman"/>
          <w:b/>
          <w:sz w:val="24"/>
          <w:szCs w:val="24"/>
          <w:u w:val="single"/>
        </w:rPr>
      </w:pPr>
      <w:r>
        <w:rPr>
          <w:rFonts w:ascii="Times New Roman" w:hAnsi="Times New Roman"/>
          <w:b/>
          <w:sz w:val="24"/>
          <w:szCs w:val="24"/>
          <w:u w:val="single"/>
        </w:rPr>
        <w:br w:type="page"/>
      </w:r>
    </w:p>
    <w:p w:rsidR="00C77DCF" w:rsidRPr="00E41FAB" w:rsidRDefault="00E41FAB" w:rsidP="00E41FAB">
      <w:pPr>
        <w:jc w:val="center"/>
        <w:rPr>
          <w:rFonts w:ascii="Times New Roman" w:hAnsi="Times New Roman"/>
          <w:b/>
          <w:sz w:val="24"/>
          <w:szCs w:val="24"/>
          <w:u w:val="single"/>
        </w:rPr>
      </w:pPr>
      <w:r>
        <w:rPr>
          <w:rFonts w:ascii="Times New Roman" w:hAnsi="Times New Roman"/>
          <w:b/>
          <w:sz w:val="24"/>
          <w:szCs w:val="24"/>
          <w:u w:val="single"/>
        </w:rPr>
        <w:lastRenderedPageBreak/>
        <w:t>MEMORANDUM IN SUPPORT</w:t>
      </w:r>
    </w:p>
    <w:p w:rsidR="000520D4" w:rsidRPr="00985FE2" w:rsidRDefault="00DD65A3" w:rsidP="00B82C80">
      <w:pPr>
        <w:pStyle w:val="ListParagraph"/>
        <w:numPr>
          <w:ilvl w:val="0"/>
          <w:numId w:val="9"/>
        </w:numPr>
        <w:spacing w:after="0" w:line="480" w:lineRule="auto"/>
        <w:ind w:left="720"/>
        <w:rPr>
          <w:rFonts w:ascii="Times New Roman" w:hAnsi="Times New Roman" w:cs="Times New Roman"/>
          <w:b/>
          <w:i/>
          <w:sz w:val="24"/>
          <w:szCs w:val="24"/>
        </w:rPr>
      </w:pPr>
      <w:r w:rsidRPr="00DD65A3">
        <w:rPr>
          <w:rFonts w:ascii="Times New Roman" w:hAnsi="Times New Roman" w:cs="Times New Roman"/>
          <w:b/>
          <w:i/>
          <w:sz w:val="24"/>
          <w:szCs w:val="24"/>
        </w:rPr>
        <w:t>INTRODUCTION</w:t>
      </w:r>
    </w:p>
    <w:p w:rsidR="00FE57EF" w:rsidRDefault="003531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November 27, 2012, </w:t>
      </w:r>
      <w:r w:rsidR="008871BB">
        <w:rPr>
          <w:rFonts w:ascii="Times New Roman" w:hAnsi="Times New Roman" w:cs="Times New Roman"/>
          <w:sz w:val="24"/>
          <w:szCs w:val="24"/>
        </w:rPr>
        <w:t>Columbia</w:t>
      </w:r>
      <w:r>
        <w:rPr>
          <w:rFonts w:ascii="Times New Roman" w:hAnsi="Times New Roman" w:cs="Times New Roman"/>
          <w:sz w:val="24"/>
          <w:szCs w:val="24"/>
        </w:rPr>
        <w:t xml:space="preserve"> Gas of Ohio, Inc. (“Columbia”), Ohio Gas Marketers Group (“OGMG”), Retail Energy Supply </w:t>
      </w:r>
      <w:r w:rsidR="008871BB">
        <w:rPr>
          <w:rFonts w:ascii="Times New Roman" w:hAnsi="Times New Roman" w:cs="Times New Roman"/>
          <w:sz w:val="24"/>
          <w:szCs w:val="24"/>
        </w:rPr>
        <w:t>Association</w:t>
      </w:r>
      <w:r>
        <w:rPr>
          <w:rFonts w:ascii="Times New Roman" w:hAnsi="Times New Roman" w:cs="Times New Roman"/>
          <w:sz w:val="24"/>
          <w:szCs w:val="24"/>
        </w:rPr>
        <w:t xml:space="preserve"> (“RESA”), Dominion Retail, Inc.</w:t>
      </w:r>
      <w:r w:rsidR="00253FA2">
        <w:rPr>
          <w:rFonts w:ascii="Times New Roman" w:hAnsi="Times New Roman" w:cs="Times New Roman"/>
          <w:sz w:val="24"/>
          <w:szCs w:val="24"/>
        </w:rPr>
        <w:t>,</w:t>
      </w:r>
      <w:r>
        <w:rPr>
          <w:rFonts w:ascii="Times New Roman" w:hAnsi="Times New Roman" w:cs="Times New Roman"/>
          <w:sz w:val="24"/>
          <w:szCs w:val="24"/>
        </w:rPr>
        <w:t xml:space="preserve"> Commission Staff, and the Ohio Consumers’ Counsel </w:t>
      </w:r>
      <w:r w:rsidR="00EE2717">
        <w:rPr>
          <w:rFonts w:ascii="Times New Roman" w:hAnsi="Times New Roman" w:cs="Times New Roman"/>
          <w:sz w:val="24"/>
          <w:szCs w:val="24"/>
        </w:rPr>
        <w:t xml:space="preserve">(collectively, the “Stipulating Parties”) </w:t>
      </w:r>
      <w:r>
        <w:rPr>
          <w:rFonts w:ascii="Times New Roman" w:hAnsi="Times New Roman" w:cs="Times New Roman"/>
          <w:sz w:val="24"/>
          <w:szCs w:val="24"/>
        </w:rPr>
        <w:t xml:space="preserve">filed an amended stipulation (“Amended Stipulation”) in this proceeding that, if adopted, would institute significant program changes to Columbia’s Standard Choice Offer (“SCO”) program.  </w:t>
      </w:r>
      <w:r w:rsidRPr="0035313B">
        <w:rPr>
          <w:rFonts w:ascii="Times New Roman" w:hAnsi="Times New Roman" w:cs="Times New Roman"/>
          <w:sz w:val="24"/>
          <w:szCs w:val="24"/>
        </w:rPr>
        <w:t xml:space="preserve">The </w:t>
      </w:r>
      <w:r>
        <w:rPr>
          <w:rFonts w:ascii="Times New Roman" w:hAnsi="Times New Roman" w:cs="Times New Roman"/>
          <w:sz w:val="24"/>
          <w:szCs w:val="24"/>
        </w:rPr>
        <w:t xml:space="preserve">Amended Stipulation, among other things, </w:t>
      </w:r>
      <w:r w:rsidRPr="0035313B">
        <w:rPr>
          <w:rFonts w:ascii="Times New Roman" w:hAnsi="Times New Roman" w:cs="Times New Roman"/>
          <w:sz w:val="24"/>
          <w:szCs w:val="24"/>
        </w:rPr>
        <w:t xml:space="preserve">provides that only SCO suppliers, and not Choice suppliers, will be required to provide Columbia with a </w:t>
      </w:r>
      <w:r w:rsidR="00EE2717">
        <w:rPr>
          <w:rFonts w:ascii="Times New Roman" w:hAnsi="Times New Roman" w:cs="Times New Roman"/>
          <w:sz w:val="24"/>
          <w:szCs w:val="24"/>
        </w:rPr>
        <w:t xml:space="preserve">new </w:t>
      </w:r>
      <w:r w:rsidRPr="0035313B">
        <w:rPr>
          <w:rFonts w:ascii="Times New Roman" w:hAnsi="Times New Roman" w:cs="Times New Roman"/>
          <w:sz w:val="24"/>
          <w:szCs w:val="24"/>
        </w:rPr>
        <w:t>cash “deposit</w:t>
      </w:r>
      <w:r w:rsidR="009164F2">
        <w:rPr>
          <w:rFonts w:ascii="Times New Roman" w:hAnsi="Times New Roman" w:cs="Times New Roman"/>
          <w:sz w:val="24"/>
          <w:szCs w:val="24"/>
        </w:rPr>
        <w:t>,</w:t>
      </w:r>
      <w:r w:rsidRPr="0035313B">
        <w:rPr>
          <w:rFonts w:ascii="Times New Roman" w:hAnsi="Times New Roman" w:cs="Times New Roman"/>
          <w:sz w:val="24"/>
          <w:szCs w:val="24"/>
        </w:rPr>
        <w:t>”</w:t>
      </w:r>
      <w:r w:rsidR="00022F56">
        <w:rPr>
          <w:rFonts w:ascii="Times New Roman" w:hAnsi="Times New Roman" w:cs="Times New Roman"/>
          <w:sz w:val="24"/>
          <w:szCs w:val="24"/>
        </w:rPr>
        <w:t xml:space="preserve"> ostensibly</w:t>
      </w:r>
      <w:r w:rsidRPr="0035313B">
        <w:rPr>
          <w:rFonts w:ascii="Times New Roman" w:hAnsi="Times New Roman" w:cs="Times New Roman"/>
          <w:sz w:val="24"/>
          <w:szCs w:val="24"/>
        </w:rPr>
        <w:t xml:space="preserve"> </w:t>
      </w:r>
      <w:r w:rsidR="008871BB">
        <w:rPr>
          <w:rFonts w:ascii="Times New Roman" w:hAnsi="Times New Roman" w:cs="Times New Roman"/>
          <w:sz w:val="24"/>
          <w:szCs w:val="24"/>
        </w:rPr>
        <w:t xml:space="preserve">to </w:t>
      </w:r>
      <w:r w:rsidR="00A10D33">
        <w:rPr>
          <w:rFonts w:ascii="Times New Roman" w:hAnsi="Times New Roman" w:cs="Times New Roman"/>
          <w:sz w:val="24"/>
          <w:szCs w:val="24"/>
        </w:rPr>
        <w:t xml:space="preserve">provide a “liquid account” to </w:t>
      </w:r>
      <w:r w:rsidR="008871BB">
        <w:rPr>
          <w:rFonts w:ascii="Times New Roman" w:hAnsi="Times New Roman" w:cs="Times New Roman"/>
          <w:sz w:val="24"/>
          <w:szCs w:val="24"/>
        </w:rPr>
        <w:t xml:space="preserve">help protect </w:t>
      </w:r>
      <w:r w:rsidR="00022F56">
        <w:rPr>
          <w:rFonts w:ascii="Times New Roman" w:hAnsi="Times New Roman" w:cs="Times New Roman"/>
          <w:sz w:val="24"/>
          <w:szCs w:val="24"/>
        </w:rPr>
        <w:t xml:space="preserve">Columbia </w:t>
      </w:r>
      <w:r w:rsidR="008871BB">
        <w:rPr>
          <w:rFonts w:ascii="Times New Roman" w:hAnsi="Times New Roman" w:cs="Times New Roman"/>
          <w:sz w:val="24"/>
          <w:szCs w:val="24"/>
        </w:rPr>
        <w:t xml:space="preserve">against supplier default.  </w:t>
      </w:r>
      <w:r w:rsidR="00EC1CDC" w:rsidRPr="0035313B">
        <w:rPr>
          <w:rFonts w:ascii="Times New Roman" w:hAnsi="Times New Roman" w:cs="Times New Roman"/>
          <w:sz w:val="24"/>
          <w:szCs w:val="24"/>
        </w:rPr>
        <w:t>Jt. Ex. 1, at 4.</w:t>
      </w:r>
      <w:r w:rsidR="00EC1CDC">
        <w:rPr>
          <w:rFonts w:ascii="Times New Roman" w:hAnsi="Times New Roman" w:cs="Times New Roman"/>
          <w:sz w:val="24"/>
          <w:szCs w:val="24"/>
        </w:rPr>
        <w:t xml:space="preserve">  </w:t>
      </w:r>
      <w:r w:rsidR="00611D91">
        <w:rPr>
          <w:rFonts w:ascii="Times New Roman" w:hAnsi="Times New Roman" w:cs="Times New Roman"/>
          <w:sz w:val="24"/>
          <w:szCs w:val="24"/>
        </w:rPr>
        <w:t>H</w:t>
      </w:r>
      <w:r w:rsidR="00022F56">
        <w:rPr>
          <w:rFonts w:ascii="Times New Roman" w:hAnsi="Times New Roman" w:cs="Times New Roman"/>
          <w:sz w:val="24"/>
          <w:szCs w:val="24"/>
        </w:rPr>
        <w:t xml:space="preserve">owever, </w:t>
      </w:r>
      <w:r w:rsidR="00CC542A">
        <w:rPr>
          <w:rFonts w:ascii="Times New Roman" w:hAnsi="Times New Roman" w:cs="Times New Roman"/>
          <w:sz w:val="24"/>
          <w:szCs w:val="24"/>
        </w:rPr>
        <w:t xml:space="preserve">if no </w:t>
      </w:r>
      <w:r w:rsidR="00611D91">
        <w:rPr>
          <w:rFonts w:ascii="Times New Roman" w:hAnsi="Times New Roman" w:cs="Times New Roman"/>
          <w:sz w:val="24"/>
          <w:szCs w:val="24"/>
        </w:rPr>
        <w:t xml:space="preserve">SCO </w:t>
      </w:r>
      <w:r w:rsidR="00CC542A">
        <w:rPr>
          <w:rFonts w:ascii="Times New Roman" w:hAnsi="Times New Roman" w:cs="Times New Roman"/>
          <w:sz w:val="24"/>
          <w:szCs w:val="24"/>
        </w:rPr>
        <w:t>supplier default occurred during the Program Year, the “deposit” would not be returned to the supplier</w:t>
      </w:r>
      <w:r w:rsidR="00EC1CDC">
        <w:rPr>
          <w:rFonts w:ascii="Times New Roman" w:hAnsi="Times New Roman" w:cs="Times New Roman"/>
          <w:sz w:val="24"/>
          <w:szCs w:val="24"/>
        </w:rPr>
        <w:t>;</w:t>
      </w:r>
      <w:r w:rsidR="009164F2">
        <w:rPr>
          <w:rFonts w:ascii="Times New Roman" w:hAnsi="Times New Roman" w:cs="Times New Roman"/>
          <w:sz w:val="24"/>
          <w:szCs w:val="24"/>
        </w:rPr>
        <w:t xml:space="preserve"> </w:t>
      </w:r>
      <w:r w:rsidR="00EC1CDC">
        <w:rPr>
          <w:rFonts w:ascii="Times New Roman" w:hAnsi="Times New Roman" w:cs="Times New Roman"/>
          <w:sz w:val="24"/>
          <w:szCs w:val="24"/>
        </w:rPr>
        <w:t>r</w:t>
      </w:r>
      <w:r w:rsidR="00CC542A">
        <w:rPr>
          <w:rFonts w:ascii="Times New Roman" w:hAnsi="Times New Roman" w:cs="Times New Roman"/>
          <w:sz w:val="24"/>
          <w:szCs w:val="24"/>
        </w:rPr>
        <w:t xml:space="preserve">ather, it would be credited to the </w:t>
      </w:r>
      <w:r w:rsidR="009164F2">
        <w:rPr>
          <w:rFonts w:ascii="Times New Roman" w:hAnsi="Times New Roman" w:cs="Times New Roman"/>
          <w:sz w:val="24"/>
          <w:szCs w:val="24"/>
        </w:rPr>
        <w:t>Choice/SCO Supplier Reconciliation Rider (“</w:t>
      </w:r>
      <w:r w:rsidR="00CC542A">
        <w:rPr>
          <w:rFonts w:ascii="Times New Roman" w:hAnsi="Times New Roman" w:cs="Times New Roman"/>
          <w:sz w:val="24"/>
          <w:szCs w:val="24"/>
        </w:rPr>
        <w:t>CSRR</w:t>
      </w:r>
      <w:r w:rsidR="009164F2">
        <w:rPr>
          <w:rFonts w:ascii="Times New Roman" w:hAnsi="Times New Roman" w:cs="Times New Roman"/>
          <w:sz w:val="24"/>
          <w:szCs w:val="24"/>
        </w:rPr>
        <w:t>”) to remedy what OGMG/RESA allege</w:t>
      </w:r>
      <w:r w:rsidR="001A42DD">
        <w:rPr>
          <w:rFonts w:ascii="Times New Roman" w:hAnsi="Times New Roman" w:cs="Times New Roman"/>
          <w:sz w:val="24"/>
          <w:szCs w:val="24"/>
        </w:rPr>
        <w:t>s</w:t>
      </w:r>
      <w:r w:rsidR="009164F2">
        <w:rPr>
          <w:rFonts w:ascii="Times New Roman" w:hAnsi="Times New Roman" w:cs="Times New Roman"/>
          <w:sz w:val="24"/>
          <w:szCs w:val="24"/>
        </w:rPr>
        <w:t xml:space="preserve"> to be the subsidization of SCO service by all customers.  </w:t>
      </w:r>
      <w:r w:rsidR="00EC1CDC">
        <w:rPr>
          <w:rFonts w:ascii="Times New Roman" w:hAnsi="Times New Roman" w:cs="Times New Roman"/>
          <w:sz w:val="24"/>
          <w:szCs w:val="24"/>
        </w:rPr>
        <w:t xml:space="preserve">Jt. Ex. 1, at 4,  </w:t>
      </w:r>
      <w:r w:rsidR="009164F2">
        <w:rPr>
          <w:rFonts w:ascii="Times New Roman" w:hAnsi="Times New Roman" w:cs="Times New Roman"/>
          <w:sz w:val="24"/>
          <w:szCs w:val="24"/>
        </w:rPr>
        <w:t xml:space="preserve">OGMG/RESA Exhibit 3, at 22.   </w:t>
      </w:r>
      <w:r w:rsidR="00EE2717">
        <w:rPr>
          <w:rFonts w:ascii="Times New Roman" w:hAnsi="Times New Roman" w:cs="Times New Roman"/>
          <w:sz w:val="24"/>
          <w:szCs w:val="24"/>
        </w:rPr>
        <w:t xml:space="preserve">Neither Columbia nor the </w:t>
      </w:r>
      <w:r w:rsidR="00611D91">
        <w:rPr>
          <w:rFonts w:ascii="Times New Roman" w:hAnsi="Times New Roman" w:cs="Times New Roman"/>
          <w:sz w:val="24"/>
          <w:szCs w:val="24"/>
        </w:rPr>
        <w:t xml:space="preserve">other </w:t>
      </w:r>
      <w:r w:rsidR="00EE2717">
        <w:rPr>
          <w:rFonts w:ascii="Times New Roman" w:hAnsi="Times New Roman" w:cs="Times New Roman"/>
          <w:sz w:val="24"/>
          <w:szCs w:val="24"/>
        </w:rPr>
        <w:t>Signatory Parties performed a cost analysis to determine the appropriate level of the deposit</w:t>
      </w:r>
      <w:r w:rsidR="00EC1CDC">
        <w:rPr>
          <w:rFonts w:ascii="Times New Roman" w:hAnsi="Times New Roman" w:cs="Times New Roman"/>
          <w:sz w:val="24"/>
          <w:szCs w:val="24"/>
        </w:rPr>
        <w:t xml:space="preserve"> (if any)</w:t>
      </w:r>
      <w:r w:rsidR="009164F2">
        <w:rPr>
          <w:rFonts w:ascii="Times New Roman" w:hAnsi="Times New Roman" w:cs="Times New Roman"/>
          <w:sz w:val="24"/>
          <w:szCs w:val="24"/>
        </w:rPr>
        <w:t xml:space="preserve">, or the level of subsidization of SCO service.  </w:t>
      </w:r>
      <w:r w:rsidR="0021780D">
        <w:rPr>
          <w:rFonts w:ascii="Times New Roman" w:hAnsi="Times New Roman" w:cs="Times New Roman"/>
          <w:sz w:val="24"/>
          <w:szCs w:val="24"/>
        </w:rPr>
        <w:t>Tr. II, at 41, Tr. III., at 215</w:t>
      </w:r>
      <w:r w:rsidR="001023BA">
        <w:rPr>
          <w:rFonts w:ascii="Times New Roman" w:hAnsi="Times New Roman" w:cs="Times New Roman"/>
          <w:sz w:val="24"/>
          <w:szCs w:val="24"/>
        </w:rPr>
        <w:t>;</w:t>
      </w:r>
      <w:r w:rsidR="00EC1CDC">
        <w:rPr>
          <w:rFonts w:ascii="Times New Roman" w:hAnsi="Times New Roman" w:cs="Times New Roman"/>
          <w:sz w:val="24"/>
          <w:szCs w:val="24"/>
        </w:rPr>
        <w:t xml:space="preserve"> OGMG/RESA Post Hearing Brief, at </w:t>
      </w:r>
      <w:r w:rsidR="00954A19">
        <w:rPr>
          <w:rFonts w:ascii="Times New Roman" w:hAnsi="Times New Roman" w:cs="Times New Roman"/>
          <w:sz w:val="24"/>
          <w:szCs w:val="24"/>
        </w:rPr>
        <w:t>29</w:t>
      </w:r>
      <w:r w:rsidR="0021780D">
        <w:rPr>
          <w:rFonts w:ascii="Times New Roman" w:hAnsi="Times New Roman" w:cs="Times New Roman"/>
          <w:sz w:val="24"/>
          <w:szCs w:val="24"/>
        </w:rPr>
        <w:t xml:space="preserve">.  </w:t>
      </w:r>
      <w:r w:rsidR="009164F2">
        <w:rPr>
          <w:rFonts w:ascii="Times New Roman" w:hAnsi="Times New Roman" w:cs="Times New Roman"/>
          <w:sz w:val="24"/>
          <w:szCs w:val="24"/>
        </w:rPr>
        <w:t>R</w:t>
      </w:r>
      <w:r w:rsidR="00EE2717">
        <w:rPr>
          <w:rFonts w:ascii="Times New Roman" w:hAnsi="Times New Roman" w:cs="Times New Roman"/>
          <w:sz w:val="24"/>
          <w:szCs w:val="24"/>
        </w:rPr>
        <w:t xml:space="preserve">ather, the level was a “negotiated amount” </w:t>
      </w:r>
      <w:r w:rsidR="00022F56">
        <w:rPr>
          <w:rFonts w:ascii="Times New Roman" w:hAnsi="Times New Roman" w:cs="Times New Roman"/>
          <w:sz w:val="24"/>
          <w:szCs w:val="24"/>
        </w:rPr>
        <w:t xml:space="preserve">agreed to by the Signatory Parties in the amount </w:t>
      </w:r>
      <w:r w:rsidRPr="0035313B">
        <w:rPr>
          <w:rFonts w:ascii="Times New Roman" w:hAnsi="Times New Roman" w:cs="Times New Roman"/>
          <w:sz w:val="24"/>
          <w:szCs w:val="24"/>
        </w:rPr>
        <w:t>of $0.06/Mcf of the annual delivery requirements for the SCO Program Year of the tranches won by that SCO supplier.  Jt. Ex. 1, at 4</w:t>
      </w:r>
      <w:r w:rsidR="00954A19">
        <w:rPr>
          <w:rFonts w:ascii="Times New Roman" w:hAnsi="Times New Roman" w:cs="Times New Roman"/>
          <w:sz w:val="24"/>
          <w:szCs w:val="24"/>
        </w:rPr>
        <w:t>; Tr. II, at 41-42.</w:t>
      </w:r>
      <w:r w:rsidRPr="0035313B">
        <w:rPr>
          <w:rFonts w:ascii="Times New Roman" w:hAnsi="Times New Roman" w:cs="Times New Roman"/>
          <w:sz w:val="24"/>
          <w:szCs w:val="24"/>
        </w:rPr>
        <w:t xml:space="preserve">  </w:t>
      </w:r>
      <w:r>
        <w:rPr>
          <w:rFonts w:ascii="Times New Roman" w:hAnsi="Times New Roman" w:cs="Times New Roman"/>
          <w:sz w:val="24"/>
          <w:szCs w:val="24"/>
        </w:rPr>
        <w:t>In its January 9, 2013</w:t>
      </w:r>
      <w:r w:rsidR="001023BA">
        <w:rPr>
          <w:rFonts w:ascii="Times New Roman" w:hAnsi="Times New Roman" w:cs="Times New Roman"/>
          <w:sz w:val="24"/>
          <w:szCs w:val="24"/>
        </w:rPr>
        <w:t>,</w:t>
      </w:r>
      <w:r>
        <w:rPr>
          <w:rFonts w:ascii="Times New Roman" w:hAnsi="Times New Roman" w:cs="Times New Roman"/>
          <w:sz w:val="24"/>
          <w:szCs w:val="24"/>
        </w:rPr>
        <w:t xml:space="preserve"> Opinion and Order (“Order”), the Commission approved the SCO security </w:t>
      </w:r>
      <w:r w:rsidR="001023BA">
        <w:rPr>
          <w:rFonts w:ascii="Times New Roman" w:hAnsi="Times New Roman" w:cs="Times New Roman"/>
          <w:sz w:val="24"/>
          <w:szCs w:val="24"/>
        </w:rPr>
        <w:t xml:space="preserve">deposit </w:t>
      </w:r>
      <w:r>
        <w:rPr>
          <w:rFonts w:ascii="Times New Roman" w:hAnsi="Times New Roman" w:cs="Times New Roman"/>
          <w:sz w:val="24"/>
          <w:szCs w:val="24"/>
        </w:rPr>
        <w:t>as proposed in the Amended Stipulation.</w:t>
      </w:r>
    </w:p>
    <w:p w:rsidR="001B0EF3" w:rsidRPr="00A6034A" w:rsidRDefault="00A10D33" w:rsidP="001B0EF3">
      <w:pPr>
        <w:spacing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Because </w:t>
      </w:r>
      <w:r w:rsidR="001B0EF3">
        <w:rPr>
          <w:rFonts w:ascii="Times New Roman" w:hAnsi="Times New Roman" w:cs="Times New Roman"/>
          <w:sz w:val="24"/>
          <w:szCs w:val="24"/>
        </w:rPr>
        <w:t>the SCO security charge is not returned to SCO suppliers if there is no SCO supplier default</w:t>
      </w:r>
      <w:r w:rsidR="00023FDC">
        <w:rPr>
          <w:rFonts w:ascii="Times New Roman" w:hAnsi="Times New Roman" w:cs="Times New Roman"/>
          <w:sz w:val="24"/>
          <w:szCs w:val="24"/>
        </w:rPr>
        <w:t xml:space="preserve"> during the SCO Program Year</w:t>
      </w:r>
      <w:r w:rsidR="001B0EF3">
        <w:rPr>
          <w:rFonts w:ascii="Times New Roman" w:hAnsi="Times New Roman" w:cs="Times New Roman"/>
          <w:sz w:val="24"/>
          <w:szCs w:val="24"/>
        </w:rPr>
        <w:t xml:space="preserve">, the charge is not a deposit, but actually a tax on SCO suppliers.  As Hess </w:t>
      </w:r>
      <w:r w:rsidR="00023FDC">
        <w:rPr>
          <w:rFonts w:ascii="Times New Roman" w:hAnsi="Times New Roman" w:cs="Times New Roman"/>
          <w:sz w:val="24"/>
          <w:szCs w:val="24"/>
        </w:rPr>
        <w:t xml:space="preserve">Corporation (“Hess”) </w:t>
      </w:r>
      <w:r w:rsidR="001B0EF3">
        <w:rPr>
          <w:rFonts w:ascii="Times New Roman" w:hAnsi="Times New Roman" w:cs="Times New Roman"/>
          <w:sz w:val="24"/>
          <w:szCs w:val="24"/>
        </w:rPr>
        <w:t>explained in detail during the proceeding, t</w:t>
      </w:r>
      <w:r w:rsidR="001B0EF3" w:rsidRPr="00A6034A">
        <w:rPr>
          <w:rFonts w:ascii="Times New Roman" w:hAnsi="Times New Roman"/>
          <w:sz w:val="24"/>
          <w:szCs w:val="24"/>
        </w:rPr>
        <w:t xml:space="preserve">he </w:t>
      </w:r>
      <w:r w:rsidR="001B0EF3" w:rsidRPr="00A6034A">
        <w:rPr>
          <w:rFonts w:ascii="Times New Roman" w:hAnsi="Times New Roman"/>
          <w:sz w:val="24"/>
          <w:szCs w:val="24"/>
        </w:rPr>
        <w:lastRenderedPageBreak/>
        <w:t xml:space="preserve">SCO security charge is nothing more than an administrative mechanism designed to artificially bolster the competitive position of </w:t>
      </w:r>
      <w:r>
        <w:rPr>
          <w:rFonts w:ascii="Times New Roman" w:hAnsi="Times New Roman"/>
          <w:sz w:val="24"/>
          <w:szCs w:val="24"/>
        </w:rPr>
        <w:t xml:space="preserve">Choice </w:t>
      </w:r>
      <w:r w:rsidR="001B0EF3" w:rsidRPr="00A6034A">
        <w:rPr>
          <w:rFonts w:ascii="Times New Roman" w:hAnsi="Times New Roman"/>
          <w:sz w:val="24"/>
          <w:szCs w:val="24"/>
        </w:rPr>
        <w:t xml:space="preserve">suppliers compared with the SCO price.  If approved, SCO suppliers will have to build this $0.06 per Mcf charge into their SCO bids each year because they will be unable to recover it at the end of the </w:t>
      </w:r>
      <w:r>
        <w:rPr>
          <w:rFonts w:ascii="Times New Roman" w:hAnsi="Times New Roman"/>
          <w:sz w:val="24"/>
          <w:szCs w:val="24"/>
        </w:rPr>
        <w:t>P</w:t>
      </w:r>
      <w:r w:rsidR="001B0EF3" w:rsidRPr="00A6034A">
        <w:rPr>
          <w:rFonts w:ascii="Times New Roman" w:hAnsi="Times New Roman"/>
          <w:sz w:val="24"/>
          <w:szCs w:val="24"/>
        </w:rPr>
        <w:t xml:space="preserve">rogram </w:t>
      </w:r>
      <w:r>
        <w:rPr>
          <w:rFonts w:ascii="Times New Roman" w:hAnsi="Times New Roman"/>
          <w:sz w:val="24"/>
          <w:szCs w:val="24"/>
        </w:rPr>
        <w:t>Y</w:t>
      </w:r>
      <w:r w:rsidR="001B0EF3" w:rsidRPr="00A6034A">
        <w:rPr>
          <w:rFonts w:ascii="Times New Roman" w:hAnsi="Times New Roman"/>
          <w:sz w:val="24"/>
          <w:szCs w:val="24"/>
        </w:rPr>
        <w:t xml:space="preserve">ear.   </w:t>
      </w:r>
      <w:r w:rsidR="001B0EF3">
        <w:rPr>
          <w:rFonts w:ascii="Times New Roman" w:hAnsi="Times New Roman"/>
          <w:sz w:val="24"/>
          <w:szCs w:val="24"/>
        </w:rPr>
        <w:t>Choice</w:t>
      </w:r>
      <w:r w:rsidR="001B0EF3" w:rsidRPr="00A6034A">
        <w:rPr>
          <w:rFonts w:ascii="Times New Roman" w:hAnsi="Times New Roman"/>
          <w:sz w:val="24"/>
          <w:szCs w:val="24"/>
        </w:rPr>
        <w:t xml:space="preserve"> suppliers, on the other hand, will not be assessed this charge and will not need to account for the charge in their offers to Choice customers.  Such</w:t>
      </w:r>
      <w:r w:rsidR="001B0EF3">
        <w:rPr>
          <w:rFonts w:ascii="Times New Roman" w:hAnsi="Times New Roman"/>
          <w:sz w:val="24"/>
          <w:szCs w:val="24"/>
        </w:rPr>
        <w:t xml:space="preserve"> a construct would</w:t>
      </w:r>
      <w:r w:rsidR="002127EE">
        <w:rPr>
          <w:rFonts w:ascii="Times New Roman" w:hAnsi="Times New Roman"/>
          <w:sz w:val="24"/>
          <w:szCs w:val="24"/>
        </w:rPr>
        <w:t xml:space="preserve"> unduly advantage</w:t>
      </w:r>
      <w:r w:rsidR="001B0EF3">
        <w:rPr>
          <w:rFonts w:ascii="Times New Roman" w:hAnsi="Times New Roman"/>
          <w:sz w:val="24"/>
          <w:szCs w:val="24"/>
        </w:rPr>
        <w:t xml:space="preserve"> Choice</w:t>
      </w:r>
      <w:r w:rsidR="001B0EF3" w:rsidRPr="00A6034A">
        <w:rPr>
          <w:rFonts w:ascii="Times New Roman" w:hAnsi="Times New Roman"/>
          <w:sz w:val="24"/>
          <w:szCs w:val="24"/>
        </w:rPr>
        <w:t xml:space="preserve"> suppliers’ offers </w:t>
      </w:r>
      <w:r w:rsidR="002127EE">
        <w:rPr>
          <w:rFonts w:ascii="Times New Roman" w:hAnsi="Times New Roman"/>
          <w:sz w:val="24"/>
          <w:szCs w:val="24"/>
        </w:rPr>
        <w:t xml:space="preserve">making them </w:t>
      </w:r>
      <w:r w:rsidR="001B0EF3" w:rsidRPr="00A6034A">
        <w:rPr>
          <w:rFonts w:ascii="Times New Roman" w:hAnsi="Times New Roman"/>
          <w:sz w:val="24"/>
          <w:szCs w:val="24"/>
        </w:rPr>
        <w:t>more competitive to Choice-eligible customers</w:t>
      </w:r>
      <w:r w:rsidR="002127EE">
        <w:rPr>
          <w:rFonts w:ascii="Times New Roman" w:hAnsi="Times New Roman"/>
          <w:sz w:val="24"/>
          <w:szCs w:val="24"/>
        </w:rPr>
        <w:t xml:space="preserve"> vis-à-vis SCO supply</w:t>
      </w:r>
      <w:r w:rsidR="001B0EF3" w:rsidRPr="00A6034A">
        <w:rPr>
          <w:rFonts w:ascii="Times New Roman" w:hAnsi="Times New Roman"/>
          <w:sz w:val="24"/>
          <w:szCs w:val="24"/>
        </w:rPr>
        <w:t xml:space="preserve">.  </w:t>
      </w:r>
      <w:r w:rsidR="001A42DD">
        <w:rPr>
          <w:rFonts w:ascii="Times New Roman" w:hAnsi="Times New Roman"/>
          <w:sz w:val="24"/>
          <w:szCs w:val="24"/>
        </w:rPr>
        <w:t xml:space="preserve">Hess Ex. 1, at 19-20.  </w:t>
      </w:r>
    </w:p>
    <w:p w:rsidR="001B0EF3" w:rsidRPr="00A6034A" w:rsidRDefault="001B0EF3" w:rsidP="00611D91">
      <w:pPr>
        <w:spacing w:after="0" w:line="480" w:lineRule="auto"/>
        <w:ind w:firstLine="720"/>
        <w:jc w:val="both"/>
        <w:rPr>
          <w:rFonts w:ascii="Times New Roman" w:hAnsi="Times New Roman"/>
          <w:sz w:val="24"/>
          <w:szCs w:val="24"/>
        </w:rPr>
      </w:pPr>
      <w:r w:rsidRPr="00A6034A">
        <w:rPr>
          <w:rFonts w:ascii="Times New Roman" w:hAnsi="Times New Roman"/>
          <w:sz w:val="24"/>
          <w:szCs w:val="24"/>
        </w:rPr>
        <w:t>Further, since SCO suppliers will be forced to increase their SCO bids by $0.06 per Mcf, the proposed SCO security charge w</w:t>
      </w:r>
      <w:r w:rsidR="00611D91">
        <w:rPr>
          <w:rFonts w:ascii="Times New Roman" w:hAnsi="Times New Roman"/>
          <w:sz w:val="24"/>
          <w:szCs w:val="24"/>
        </w:rPr>
        <w:t xml:space="preserve">ould </w:t>
      </w:r>
      <w:r w:rsidRPr="00A6034A">
        <w:rPr>
          <w:rFonts w:ascii="Times New Roman" w:hAnsi="Times New Roman"/>
          <w:sz w:val="24"/>
          <w:szCs w:val="24"/>
        </w:rPr>
        <w:t xml:space="preserve">penalize SCO customers by subjecting them to higher prices.  Even though SCO customers will be paying all costs associated with the SCO security charge (via the SCO clearing price), the unused funds will be returned to </w:t>
      </w:r>
      <w:r w:rsidRPr="00A6034A">
        <w:rPr>
          <w:rFonts w:ascii="Times New Roman" w:hAnsi="Times New Roman"/>
          <w:sz w:val="24"/>
          <w:szCs w:val="24"/>
          <w:u w:val="single"/>
        </w:rPr>
        <w:t>all</w:t>
      </w:r>
      <w:r w:rsidRPr="00A6034A">
        <w:rPr>
          <w:rFonts w:ascii="Times New Roman" w:hAnsi="Times New Roman"/>
          <w:sz w:val="24"/>
          <w:szCs w:val="24"/>
        </w:rPr>
        <w:t xml:space="preserve"> customers (</w:t>
      </w:r>
      <w:r w:rsidRPr="00A06705">
        <w:rPr>
          <w:rFonts w:ascii="Times New Roman" w:hAnsi="Times New Roman"/>
          <w:sz w:val="24"/>
          <w:szCs w:val="24"/>
        </w:rPr>
        <w:t>i.e.,</w:t>
      </w:r>
      <w:r w:rsidRPr="00A6034A">
        <w:rPr>
          <w:rFonts w:ascii="Times New Roman" w:hAnsi="Times New Roman"/>
          <w:sz w:val="24"/>
          <w:szCs w:val="24"/>
        </w:rPr>
        <w:t xml:space="preserve"> SCO and Choice customers).  Thus, only a portion of the unused funds will be returning to SCO customers.  As a result, SCO customers w</w:t>
      </w:r>
      <w:r w:rsidR="001A42DD">
        <w:rPr>
          <w:rFonts w:ascii="Times New Roman" w:hAnsi="Times New Roman"/>
          <w:sz w:val="24"/>
          <w:szCs w:val="24"/>
        </w:rPr>
        <w:t xml:space="preserve">ould </w:t>
      </w:r>
      <w:r w:rsidRPr="00A6034A">
        <w:rPr>
          <w:rFonts w:ascii="Times New Roman" w:hAnsi="Times New Roman"/>
          <w:sz w:val="24"/>
          <w:szCs w:val="24"/>
        </w:rPr>
        <w:t xml:space="preserve">be </w:t>
      </w:r>
      <w:r w:rsidR="001A42DD">
        <w:rPr>
          <w:rFonts w:ascii="Times New Roman" w:hAnsi="Times New Roman"/>
          <w:sz w:val="24"/>
          <w:szCs w:val="24"/>
        </w:rPr>
        <w:t xml:space="preserve">unduly disadvantaged </w:t>
      </w:r>
      <w:r w:rsidRPr="00A6034A">
        <w:rPr>
          <w:rFonts w:ascii="Times New Roman" w:hAnsi="Times New Roman"/>
          <w:sz w:val="24"/>
          <w:szCs w:val="24"/>
        </w:rPr>
        <w:t xml:space="preserve">compared to </w:t>
      </w:r>
      <w:r w:rsidR="001A42DD">
        <w:rPr>
          <w:rFonts w:ascii="Times New Roman" w:hAnsi="Times New Roman"/>
          <w:sz w:val="24"/>
          <w:szCs w:val="24"/>
        </w:rPr>
        <w:t xml:space="preserve">Choice </w:t>
      </w:r>
      <w:r w:rsidRPr="00A6034A">
        <w:rPr>
          <w:rFonts w:ascii="Times New Roman" w:hAnsi="Times New Roman"/>
          <w:sz w:val="24"/>
          <w:szCs w:val="24"/>
        </w:rPr>
        <w:t xml:space="preserve">customers.  </w:t>
      </w:r>
      <w:r w:rsidR="001A42DD">
        <w:rPr>
          <w:rFonts w:ascii="Times New Roman" w:hAnsi="Times New Roman"/>
          <w:sz w:val="24"/>
          <w:szCs w:val="24"/>
        </w:rPr>
        <w:t xml:space="preserve">Hess Ex. 1, at 20.  </w:t>
      </w:r>
    </w:p>
    <w:p w:rsidR="00614CB8" w:rsidRDefault="00DD65A3" w:rsidP="00614CB8">
      <w:pPr>
        <w:spacing w:before="120" w:after="0" w:line="480" w:lineRule="auto"/>
        <w:ind w:firstLine="720"/>
        <w:jc w:val="both"/>
        <w:rPr>
          <w:rFonts w:ascii="Times New Roman" w:hAnsi="Times New Roman"/>
          <w:sz w:val="24"/>
          <w:szCs w:val="24"/>
        </w:rPr>
      </w:pPr>
      <w:r w:rsidRPr="00614CB8">
        <w:rPr>
          <w:rFonts w:ascii="Times New Roman" w:hAnsi="Times New Roman"/>
          <w:sz w:val="24"/>
          <w:szCs w:val="24"/>
        </w:rPr>
        <w:t xml:space="preserve">In the Order, the Commission noted that “it has taken reasonable and carefully measured steps toward the provision of commodity supplies via the fully-competitive market envisioned in Section 4929.02, Revised Code.”  Order, at 45.  Yet, the approval of the Amended Stipulation’s SCO security charge represents a significant step backward in the Commission’s mission.  The existence of the charge violates the most fundamental of competitive market principles by taxing only one subset of competitors and purposefully creating an unleveled playing field in the market.  If it approves the SCO security charge, the Commission will be endorsing an unprecedented market interference for no legitimate reason other than to “tip the </w:t>
      </w:r>
      <w:r w:rsidRPr="00614CB8">
        <w:rPr>
          <w:rFonts w:ascii="Times New Roman" w:hAnsi="Times New Roman"/>
          <w:sz w:val="24"/>
          <w:szCs w:val="24"/>
        </w:rPr>
        <w:lastRenderedPageBreak/>
        <w:t>scales” in the Choice suppliers’ favor.  Artificially inflating the SCO price just to make retail suppliers’ offerings more competitive on a cost basis is clearly inconsistent with prevailing state policy to “achieve effective competition” in Ohio’s retail natural gas market</w:t>
      </w:r>
      <w:r w:rsidR="00A615A2" w:rsidRPr="00614CB8">
        <w:rPr>
          <w:rFonts w:ascii="Times New Roman" w:hAnsi="Times New Roman"/>
          <w:sz w:val="24"/>
          <w:szCs w:val="24"/>
        </w:rPr>
        <w:t>, in violation of Section 4929.02(A)(7), Ohio Rev. Code</w:t>
      </w:r>
      <w:r w:rsidRPr="00614CB8">
        <w:rPr>
          <w:rFonts w:ascii="Times New Roman" w:hAnsi="Times New Roman"/>
          <w:sz w:val="24"/>
          <w:szCs w:val="24"/>
        </w:rPr>
        <w:t>.</w:t>
      </w:r>
      <w:r w:rsidR="001B0EF3" w:rsidRPr="00A6034A">
        <w:rPr>
          <w:rFonts w:ascii="Times New Roman" w:hAnsi="Times New Roman"/>
          <w:sz w:val="24"/>
          <w:szCs w:val="24"/>
        </w:rPr>
        <w:t xml:space="preserve">  </w:t>
      </w:r>
    </w:p>
    <w:p w:rsidR="00AE44FA" w:rsidRDefault="00A06705">
      <w:pPr>
        <w:spacing w:after="0" w:line="480" w:lineRule="auto"/>
        <w:ind w:firstLine="720"/>
        <w:jc w:val="both"/>
        <w:rPr>
          <w:rFonts w:ascii="Times New Roman" w:hAnsi="Times New Roman"/>
          <w:sz w:val="24"/>
          <w:szCs w:val="24"/>
        </w:rPr>
      </w:pPr>
      <w:r>
        <w:rPr>
          <w:rFonts w:ascii="Times New Roman" w:hAnsi="Times New Roman"/>
          <w:sz w:val="24"/>
          <w:szCs w:val="24"/>
        </w:rPr>
        <w:t>Hess is pleased that the Commission adopted, in large part, Hess’ proposed Monthly Variable Rate (“MVR”) allocation methodology.  However, Hess believes that the one percent minimum allocation is u</w:t>
      </w:r>
      <w:r w:rsidR="003D1FF7">
        <w:rPr>
          <w:rFonts w:ascii="Times New Roman" w:hAnsi="Times New Roman"/>
          <w:sz w:val="24"/>
          <w:szCs w:val="24"/>
        </w:rPr>
        <w:t>n</w:t>
      </w:r>
      <w:r>
        <w:rPr>
          <w:rFonts w:ascii="Times New Roman" w:hAnsi="Times New Roman"/>
          <w:sz w:val="24"/>
          <w:szCs w:val="24"/>
        </w:rPr>
        <w:t xml:space="preserve">workable and further seeks rehearing </w:t>
      </w:r>
      <w:r w:rsidR="003D1FF7">
        <w:rPr>
          <w:rFonts w:ascii="Times New Roman" w:hAnsi="Times New Roman"/>
          <w:sz w:val="24"/>
          <w:szCs w:val="24"/>
        </w:rPr>
        <w:t xml:space="preserve">in order </w:t>
      </w:r>
      <w:r>
        <w:rPr>
          <w:rFonts w:ascii="Times New Roman" w:hAnsi="Times New Roman"/>
          <w:sz w:val="24"/>
          <w:szCs w:val="24"/>
        </w:rPr>
        <w:t xml:space="preserve">for the Commission to clarify various aspects of the methodology.  </w:t>
      </w:r>
    </w:p>
    <w:p w:rsidR="001F4B9A" w:rsidRPr="00614CB8" w:rsidRDefault="00DD65A3" w:rsidP="00614CB8">
      <w:pPr>
        <w:spacing w:after="0" w:line="480" w:lineRule="auto"/>
        <w:ind w:firstLine="720"/>
        <w:jc w:val="both"/>
        <w:rPr>
          <w:rFonts w:ascii="Times New Roman" w:hAnsi="Times New Roman"/>
          <w:sz w:val="24"/>
          <w:szCs w:val="24"/>
        </w:rPr>
      </w:pPr>
      <w:r w:rsidRPr="00614CB8">
        <w:rPr>
          <w:rFonts w:ascii="Times New Roman" w:hAnsi="Times New Roman" w:cs="Times New Roman"/>
          <w:sz w:val="24"/>
          <w:szCs w:val="24"/>
        </w:rPr>
        <w:t xml:space="preserve">Pursuant to </w:t>
      </w:r>
      <w:r w:rsidR="00A06705">
        <w:rPr>
          <w:rFonts w:ascii="Times New Roman" w:hAnsi="Times New Roman" w:cs="Times New Roman"/>
          <w:sz w:val="24"/>
          <w:szCs w:val="24"/>
        </w:rPr>
        <w:t>Section</w:t>
      </w:r>
      <w:r w:rsidRPr="00614CB8">
        <w:rPr>
          <w:rFonts w:ascii="Times New Roman" w:hAnsi="Times New Roman" w:cs="Times New Roman"/>
          <w:sz w:val="24"/>
          <w:szCs w:val="24"/>
        </w:rPr>
        <w:t xml:space="preserve"> 4903.10, Ohio Rev. Code, Hess files </w:t>
      </w:r>
      <w:r w:rsidR="00A615A2" w:rsidRPr="00614CB8">
        <w:rPr>
          <w:rFonts w:ascii="Times New Roman" w:hAnsi="Times New Roman" w:cs="Times New Roman"/>
          <w:sz w:val="24"/>
          <w:szCs w:val="24"/>
        </w:rPr>
        <w:t xml:space="preserve">this </w:t>
      </w:r>
      <w:r w:rsidRPr="00614CB8">
        <w:rPr>
          <w:rFonts w:ascii="Times New Roman" w:hAnsi="Times New Roman" w:cs="Times New Roman"/>
          <w:sz w:val="24"/>
          <w:szCs w:val="24"/>
        </w:rPr>
        <w:t>Application for Rehearing of the Commission’s Order on the</w:t>
      </w:r>
      <w:r w:rsidR="00A615A2" w:rsidRPr="00614CB8">
        <w:rPr>
          <w:rFonts w:ascii="Times New Roman" w:hAnsi="Times New Roman" w:cs="Times New Roman"/>
          <w:sz w:val="24"/>
          <w:szCs w:val="24"/>
        </w:rPr>
        <w:t xml:space="preserve"> following </w:t>
      </w:r>
      <w:r w:rsidRPr="00614CB8">
        <w:rPr>
          <w:rFonts w:ascii="Times New Roman" w:hAnsi="Times New Roman" w:cs="Times New Roman"/>
          <w:sz w:val="24"/>
          <w:szCs w:val="24"/>
        </w:rPr>
        <w:t xml:space="preserve"> grounds</w:t>
      </w:r>
      <w:r w:rsidR="00A615A2" w:rsidRPr="00614CB8">
        <w:rPr>
          <w:rFonts w:ascii="Times New Roman" w:hAnsi="Times New Roman" w:cs="Times New Roman"/>
          <w:sz w:val="24"/>
          <w:szCs w:val="24"/>
        </w:rPr>
        <w:t>:</w:t>
      </w:r>
    </w:p>
    <w:p w:rsidR="00614CB8" w:rsidRPr="00614CB8" w:rsidRDefault="00A615A2" w:rsidP="00614CB8">
      <w:pPr>
        <w:pStyle w:val="ListParagraph"/>
        <w:numPr>
          <w:ilvl w:val="0"/>
          <w:numId w:val="9"/>
        </w:numPr>
        <w:spacing w:before="120" w:after="0" w:line="240" w:lineRule="auto"/>
        <w:ind w:left="720"/>
        <w:rPr>
          <w:rFonts w:ascii="Times New Roman" w:hAnsi="Times New Roman" w:cs="Times New Roman"/>
          <w:b/>
          <w:i/>
          <w:sz w:val="24"/>
          <w:szCs w:val="24"/>
        </w:rPr>
      </w:pPr>
      <w:r w:rsidRPr="00614CB8">
        <w:rPr>
          <w:rFonts w:ascii="Times New Roman" w:hAnsi="Times New Roman" w:cs="Times New Roman"/>
          <w:b/>
          <w:i/>
          <w:sz w:val="24"/>
          <w:szCs w:val="24"/>
        </w:rPr>
        <w:t>GROUNDS FOR HEARING</w:t>
      </w:r>
    </w:p>
    <w:p w:rsidR="00614CB8" w:rsidRDefault="00614CB8" w:rsidP="005A3F4B">
      <w:pPr>
        <w:spacing w:after="0" w:line="240" w:lineRule="auto"/>
        <w:rPr>
          <w:rFonts w:ascii="Times New Roman" w:hAnsi="Times New Roman" w:cs="Times New Roman"/>
          <w:b/>
          <w:sz w:val="24"/>
          <w:szCs w:val="24"/>
        </w:rPr>
      </w:pPr>
    </w:p>
    <w:p w:rsidR="001F4B9A" w:rsidRPr="005A3F4B" w:rsidRDefault="003E1574" w:rsidP="00614CB8">
      <w:pPr>
        <w:spacing w:after="0" w:line="240" w:lineRule="auto"/>
        <w:ind w:left="1440" w:right="634" w:hanging="720"/>
        <w:jc w:val="both"/>
        <w:rPr>
          <w:rFonts w:ascii="Times New Roman" w:hAnsi="Times New Roman" w:cs="Times New Roman"/>
          <w:sz w:val="24"/>
          <w:szCs w:val="24"/>
        </w:rPr>
      </w:pPr>
      <w:r w:rsidRPr="003E1574">
        <w:rPr>
          <w:rFonts w:ascii="Times New Roman" w:hAnsi="Times New Roman" w:cs="Times New Roman"/>
          <w:b/>
          <w:sz w:val="24"/>
          <w:szCs w:val="24"/>
        </w:rPr>
        <w:t>A.</w:t>
      </w:r>
      <w:r w:rsidRPr="003E1574">
        <w:rPr>
          <w:rFonts w:ascii="Times New Roman" w:hAnsi="Times New Roman" w:cs="Times New Roman"/>
          <w:sz w:val="24"/>
          <w:szCs w:val="24"/>
        </w:rPr>
        <w:tab/>
      </w:r>
      <w:r w:rsidR="005A3F4B" w:rsidRPr="00614CB8">
        <w:rPr>
          <w:rFonts w:ascii="Times New Roman" w:hAnsi="Times New Roman" w:cs="Times New Roman"/>
          <w:b/>
          <w:caps/>
          <w:sz w:val="24"/>
          <w:szCs w:val="24"/>
        </w:rPr>
        <w:t xml:space="preserve">The Commission’s Order </w:t>
      </w:r>
      <w:r w:rsidR="002127EE" w:rsidRPr="002127EE">
        <w:rPr>
          <w:rFonts w:ascii="Times New Roman Bold" w:hAnsi="Times New Roman Bold" w:cs="Times New Roman"/>
          <w:b/>
          <w:caps/>
          <w:sz w:val="24"/>
          <w:szCs w:val="24"/>
        </w:rPr>
        <w:t>Approving the SCO Security Deposit</w:t>
      </w:r>
      <w:r w:rsidR="002127EE">
        <w:rPr>
          <w:rFonts w:ascii="Times New Roman" w:hAnsi="Times New Roman" w:cs="Times New Roman"/>
          <w:b/>
          <w:sz w:val="24"/>
          <w:szCs w:val="24"/>
        </w:rPr>
        <w:t xml:space="preserve"> </w:t>
      </w:r>
      <w:r w:rsidR="005A3F4B" w:rsidRPr="00614CB8">
        <w:rPr>
          <w:rFonts w:ascii="Times New Roman" w:hAnsi="Times New Roman" w:cs="Times New Roman"/>
          <w:b/>
          <w:caps/>
          <w:sz w:val="24"/>
          <w:szCs w:val="24"/>
        </w:rPr>
        <w:t xml:space="preserve">Violates Section 4903.09, Ohio Rev. Code, Because it Fails to Set Forth the Findings of Fact and Reasoning Based Thereon.  </w:t>
      </w:r>
      <w:r w:rsidR="005A3F4B" w:rsidRPr="00614CB8">
        <w:rPr>
          <w:rFonts w:ascii="Times New Roman" w:eastAsia="Calibri" w:hAnsi="Times New Roman" w:cs="Times New Roman"/>
          <w:b/>
          <w:i/>
          <w:caps/>
          <w:sz w:val="24"/>
          <w:szCs w:val="24"/>
        </w:rPr>
        <w:t xml:space="preserve">Ideal Transp. Co. </w:t>
      </w:r>
      <w:r w:rsidR="000445FE" w:rsidRPr="000445FE">
        <w:rPr>
          <w:rFonts w:ascii="Times New Roman Bold" w:eastAsia="Calibri" w:hAnsi="Times New Roman Bold" w:cs="Times New Roman"/>
          <w:b/>
          <w:i/>
          <w:sz w:val="24"/>
          <w:szCs w:val="24"/>
        </w:rPr>
        <w:t>v.</w:t>
      </w:r>
      <w:r w:rsidR="005A3F4B" w:rsidRPr="00614CB8">
        <w:rPr>
          <w:rFonts w:ascii="Times New Roman" w:eastAsia="Calibri" w:hAnsi="Times New Roman" w:cs="Times New Roman"/>
          <w:b/>
          <w:i/>
          <w:caps/>
          <w:sz w:val="24"/>
          <w:szCs w:val="24"/>
        </w:rPr>
        <w:t xml:space="preserve"> Pub. Util. Comm</w:t>
      </w:r>
      <w:r w:rsidR="005A3F4B" w:rsidRPr="00614CB8">
        <w:rPr>
          <w:rFonts w:ascii="Times New Roman" w:eastAsia="Calibri" w:hAnsi="Times New Roman" w:cs="Times New Roman"/>
          <w:b/>
          <w:caps/>
          <w:sz w:val="24"/>
          <w:szCs w:val="24"/>
        </w:rPr>
        <w:t>. (1975), 42 Ohio St. 2</w:t>
      </w:r>
      <w:r w:rsidR="000445FE" w:rsidRPr="000445FE">
        <w:rPr>
          <w:rFonts w:ascii="Times New Roman Bold" w:eastAsia="Calibri" w:hAnsi="Times New Roman Bold" w:cs="Times New Roman"/>
          <w:b/>
          <w:sz w:val="24"/>
          <w:szCs w:val="24"/>
        </w:rPr>
        <w:t>d</w:t>
      </w:r>
      <w:r w:rsidR="005A3F4B" w:rsidRPr="00614CB8">
        <w:rPr>
          <w:rFonts w:ascii="Times New Roman" w:eastAsia="Calibri" w:hAnsi="Times New Roman" w:cs="Times New Roman"/>
          <w:b/>
          <w:caps/>
          <w:sz w:val="24"/>
          <w:szCs w:val="24"/>
        </w:rPr>
        <w:t xml:space="preserve"> 195, paragraph one of the syllabus; </w:t>
      </w:r>
      <w:r w:rsidR="005A3F4B" w:rsidRPr="00614CB8">
        <w:rPr>
          <w:rFonts w:ascii="Times New Roman" w:eastAsia="Calibri" w:hAnsi="Times New Roman" w:cs="Times New Roman"/>
          <w:b/>
          <w:i/>
          <w:caps/>
          <w:sz w:val="24"/>
          <w:szCs w:val="24"/>
        </w:rPr>
        <w:t xml:space="preserve">Tongren </w:t>
      </w:r>
      <w:r w:rsidR="000445FE" w:rsidRPr="000445FE">
        <w:rPr>
          <w:rFonts w:ascii="Times New Roman Bold" w:eastAsia="Calibri" w:hAnsi="Times New Roman Bold" w:cs="Times New Roman"/>
          <w:b/>
          <w:i/>
          <w:sz w:val="24"/>
          <w:szCs w:val="24"/>
        </w:rPr>
        <w:t>v</w:t>
      </w:r>
      <w:r w:rsidR="005A3F4B" w:rsidRPr="00614CB8">
        <w:rPr>
          <w:rFonts w:ascii="Times New Roman" w:eastAsia="Calibri" w:hAnsi="Times New Roman" w:cs="Times New Roman"/>
          <w:b/>
          <w:i/>
          <w:caps/>
          <w:sz w:val="24"/>
          <w:szCs w:val="24"/>
        </w:rPr>
        <w:t>. Pub. Util. Comm</w:t>
      </w:r>
      <w:r w:rsidR="005A3F4B" w:rsidRPr="003E1574">
        <w:rPr>
          <w:rFonts w:ascii="Times New Roman" w:eastAsia="Calibri" w:hAnsi="Times New Roman" w:cs="Times New Roman"/>
          <w:b/>
          <w:i/>
          <w:sz w:val="24"/>
          <w:szCs w:val="24"/>
        </w:rPr>
        <w:t>.</w:t>
      </w:r>
      <w:r w:rsidR="005A3F4B" w:rsidRPr="003E1574">
        <w:rPr>
          <w:rFonts w:ascii="Times New Roman" w:eastAsia="Calibri" w:hAnsi="Times New Roman" w:cs="Times New Roman"/>
          <w:b/>
          <w:sz w:val="24"/>
          <w:szCs w:val="24"/>
        </w:rPr>
        <w:t xml:space="preserve"> </w:t>
      </w:r>
      <w:r w:rsidR="005A3F4B" w:rsidRPr="00A615A2">
        <w:rPr>
          <w:rFonts w:ascii="Times New Roman" w:eastAsia="Calibri" w:hAnsi="Times New Roman" w:cs="Times New Roman"/>
          <w:b/>
          <w:sz w:val="24"/>
          <w:szCs w:val="24"/>
        </w:rPr>
        <w:t>(1999),</w:t>
      </w:r>
      <w:r w:rsidR="005A3F4B" w:rsidRPr="003E1574">
        <w:rPr>
          <w:rFonts w:ascii="Times New Roman" w:eastAsia="Calibri" w:hAnsi="Times New Roman" w:cs="Times New Roman"/>
          <w:b/>
          <w:sz w:val="24"/>
          <w:szCs w:val="24"/>
        </w:rPr>
        <w:t xml:space="preserve"> 85 </w:t>
      </w:r>
      <w:r w:rsidR="005A3F4B" w:rsidRPr="00614CB8">
        <w:rPr>
          <w:rFonts w:ascii="Times New Roman Bold" w:eastAsia="Calibri" w:hAnsi="Times New Roman Bold" w:cs="Times New Roman"/>
          <w:b/>
          <w:caps/>
          <w:sz w:val="24"/>
          <w:szCs w:val="24"/>
        </w:rPr>
        <w:t>Ohio St</w:t>
      </w:r>
      <w:r w:rsidR="005A3F4B" w:rsidRPr="003E1574">
        <w:rPr>
          <w:rFonts w:ascii="Times New Roman" w:eastAsia="Calibri" w:hAnsi="Times New Roman" w:cs="Times New Roman"/>
          <w:b/>
          <w:sz w:val="24"/>
          <w:szCs w:val="24"/>
        </w:rPr>
        <w:t>. 3d 87.</w:t>
      </w:r>
      <w:r w:rsidR="005A3F4B" w:rsidRPr="003E1574">
        <w:rPr>
          <w:rFonts w:ascii="Times New Roman" w:hAnsi="Times New Roman" w:cs="Times New Roman"/>
          <w:sz w:val="24"/>
          <w:szCs w:val="24"/>
        </w:rPr>
        <w:t xml:space="preserve"> </w:t>
      </w:r>
      <w:r w:rsidR="005A3F4B" w:rsidRPr="003E1574">
        <w:rPr>
          <w:rFonts w:ascii="Times New Roman" w:eastAsia="Calibri" w:hAnsi="Times New Roman" w:cs="Times New Roman"/>
          <w:sz w:val="24"/>
          <w:szCs w:val="24"/>
        </w:rPr>
        <w:t xml:space="preserve"> </w:t>
      </w:r>
    </w:p>
    <w:p w:rsidR="00FE57EF" w:rsidRDefault="00C8725B" w:rsidP="00614CB8">
      <w:pPr>
        <w:spacing w:before="240" w:after="0" w:line="480" w:lineRule="auto"/>
        <w:ind w:firstLine="720"/>
        <w:jc w:val="both"/>
        <w:rPr>
          <w:rFonts w:ascii="Times New Roman" w:hAnsi="Times New Roman" w:cs="Times New Roman"/>
          <w:sz w:val="24"/>
          <w:szCs w:val="24"/>
        </w:rPr>
      </w:pPr>
      <w:r w:rsidRPr="005A3F4B">
        <w:rPr>
          <w:rFonts w:ascii="Times New Roman" w:hAnsi="Times New Roman" w:cs="Times New Roman"/>
          <w:sz w:val="24"/>
          <w:szCs w:val="24"/>
        </w:rPr>
        <w:t xml:space="preserve">In quasi-judicial cases such as this, the Commission is required to make a complete record of the proceedings, including a transcript of all testimony and exhibits, and to make findings of fact and written opinions setting forth the reasons for the decisions arrived at, based upon said findings of fact.  </w:t>
      </w:r>
      <w:r w:rsidRPr="005A3F4B">
        <w:rPr>
          <w:rFonts w:ascii="Times New Roman" w:hAnsi="Times New Roman" w:cs="Times New Roman"/>
          <w:i/>
          <w:sz w:val="24"/>
          <w:szCs w:val="24"/>
        </w:rPr>
        <w:t>See</w:t>
      </w:r>
      <w:r w:rsidRPr="005A3F4B">
        <w:rPr>
          <w:rFonts w:ascii="Times New Roman" w:hAnsi="Times New Roman" w:cs="Times New Roman"/>
          <w:sz w:val="24"/>
          <w:szCs w:val="24"/>
        </w:rPr>
        <w:t xml:space="preserve"> </w:t>
      </w:r>
      <w:r w:rsidR="00870014" w:rsidRPr="005A3F4B">
        <w:rPr>
          <w:rFonts w:ascii="Times New Roman" w:hAnsi="Times New Roman" w:cs="Times New Roman"/>
          <w:sz w:val="24"/>
          <w:szCs w:val="24"/>
        </w:rPr>
        <w:t>S</w:t>
      </w:r>
      <w:r w:rsidRPr="005A3F4B">
        <w:rPr>
          <w:rFonts w:ascii="Times New Roman" w:hAnsi="Times New Roman" w:cs="Times New Roman"/>
          <w:sz w:val="24"/>
          <w:szCs w:val="24"/>
        </w:rPr>
        <w:t>ection 49</w:t>
      </w:r>
      <w:r>
        <w:rPr>
          <w:rFonts w:ascii="Times New Roman" w:hAnsi="Times New Roman" w:cs="Times New Roman"/>
          <w:sz w:val="24"/>
          <w:szCs w:val="24"/>
        </w:rPr>
        <w:t xml:space="preserve">03.09, Ohio Revised Code; </w:t>
      </w:r>
      <w:r>
        <w:rPr>
          <w:rFonts w:ascii="Times New Roman" w:hAnsi="Times New Roman" w:cs="Times New Roman"/>
          <w:i/>
          <w:sz w:val="24"/>
          <w:szCs w:val="24"/>
        </w:rPr>
        <w:t xml:space="preserve">Ideal Transp. Co. v. Pub. Util. Comm. </w:t>
      </w:r>
      <w:r>
        <w:rPr>
          <w:rFonts w:ascii="Times New Roman" w:hAnsi="Times New Roman" w:cs="Times New Roman"/>
          <w:sz w:val="24"/>
          <w:szCs w:val="24"/>
        </w:rPr>
        <w:t>(1975), 42 Ohio St.</w:t>
      </w:r>
      <w:r w:rsidR="001023BA">
        <w:rPr>
          <w:rFonts w:ascii="Times New Roman" w:hAnsi="Times New Roman" w:cs="Times New Roman"/>
          <w:sz w:val="24"/>
          <w:szCs w:val="24"/>
        </w:rPr>
        <w:t xml:space="preserve"> </w:t>
      </w:r>
      <w:r>
        <w:rPr>
          <w:rFonts w:ascii="Times New Roman" w:hAnsi="Times New Roman" w:cs="Times New Roman"/>
          <w:sz w:val="24"/>
          <w:szCs w:val="24"/>
        </w:rPr>
        <w:t xml:space="preserve">2d 195, paragraph one of the syllabus (“Where an opinion and order of the Public Utilities Commission fails to state specific findings of fact, supported by the record, and fails to state the reasons upon which </w:t>
      </w:r>
      <w:r w:rsidR="007764E6">
        <w:rPr>
          <w:rFonts w:ascii="Times New Roman" w:hAnsi="Times New Roman" w:cs="Times New Roman"/>
          <w:sz w:val="24"/>
          <w:szCs w:val="24"/>
        </w:rPr>
        <w:t xml:space="preserve">the </w:t>
      </w:r>
      <w:r>
        <w:rPr>
          <w:rFonts w:ascii="Times New Roman" w:hAnsi="Times New Roman" w:cs="Times New Roman"/>
          <w:sz w:val="24"/>
          <w:szCs w:val="24"/>
        </w:rPr>
        <w:t xml:space="preserve">conclusions in the </w:t>
      </w:r>
      <w:r w:rsidR="007764E6">
        <w:rPr>
          <w:rFonts w:ascii="Times New Roman" w:hAnsi="Times New Roman" w:cs="Times New Roman"/>
          <w:sz w:val="24"/>
          <w:szCs w:val="24"/>
        </w:rPr>
        <w:t>c</w:t>
      </w:r>
      <w:r>
        <w:rPr>
          <w:rFonts w:ascii="Times New Roman" w:hAnsi="Times New Roman" w:cs="Times New Roman"/>
          <w:sz w:val="24"/>
          <w:szCs w:val="24"/>
        </w:rPr>
        <w:t xml:space="preserve">ommission’s opinion and order were based, such order fails to comply with the requirements of </w:t>
      </w:r>
      <w:r w:rsidR="007764E6">
        <w:rPr>
          <w:rFonts w:ascii="Times New Roman" w:hAnsi="Times New Roman" w:cs="Times New Roman"/>
          <w:sz w:val="24"/>
          <w:szCs w:val="24"/>
        </w:rPr>
        <w:t>R.C.</w:t>
      </w:r>
      <w:r>
        <w:rPr>
          <w:rFonts w:ascii="Times New Roman" w:hAnsi="Times New Roman" w:cs="Times New Roman"/>
          <w:sz w:val="24"/>
          <w:szCs w:val="24"/>
        </w:rPr>
        <w:t xml:space="preserve"> 4309.09, and is, </w:t>
      </w:r>
      <w:r>
        <w:rPr>
          <w:rFonts w:ascii="Times New Roman" w:hAnsi="Times New Roman" w:cs="Times New Roman"/>
          <w:sz w:val="24"/>
          <w:szCs w:val="24"/>
        </w:rPr>
        <w:lastRenderedPageBreak/>
        <w:t xml:space="preserve">therefore, unlawful.”); Accord: </w:t>
      </w:r>
      <w:r w:rsidRPr="00C8725B">
        <w:rPr>
          <w:rFonts w:ascii="Times New Roman" w:hAnsi="Times New Roman" w:cs="Times New Roman"/>
          <w:i/>
          <w:sz w:val="24"/>
          <w:szCs w:val="24"/>
        </w:rPr>
        <w:t>Tongren v. Pub. Util. Comm</w:t>
      </w:r>
      <w:r>
        <w:rPr>
          <w:rFonts w:ascii="Times New Roman" w:hAnsi="Times New Roman" w:cs="Times New Roman"/>
          <w:sz w:val="24"/>
          <w:szCs w:val="24"/>
        </w:rPr>
        <w:t>. (1999), 85 Ohio St.</w:t>
      </w:r>
      <w:r w:rsidR="007764E6">
        <w:rPr>
          <w:rFonts w:ascii="Times New Roman" w:hAnsi="Times New Roman" w:cs="Times New Roman"/>
          <w:sz w:val="24"/>
          <w:szCs w:val="24"/>
        </w:rPr>
        <w:t xml:space="preserve"> </w:t>
      </w:r>
      <w:r>
        <w:rPr>
          <w:rFonts w:ascii="Times New Roman" w:hAnsi="Times New Roman" w:cs="Times New Roman"/>
          <w:sz w:val="24"/>
          <w:szCs w:val="24"/>
        </w:rPr>
        <w:t>3d 87 (“</w:t>
      </w:r>
      <w:r w:rsidRPr="00C8725B">
        <w:rPr>
          <w:rFonts w:ascii="Times New Roman" w:hAnsi="Times New Roman" w:cs="Times New Roman"/>
          <w:i/>
          <w:sz w:val="24"/>
          <w:szCs w:val="24"/>
        </w:rPr>
        <w:t>Tongren</w:t>
      </w:r>
      <w:r>
        <w:rPr>
          <w:rFonts w:ascii="Times New Roman" w:hAnsi="Times New Roman" w:cs="Times New Roman"/>
          <w:sz w:val="24"/>
          <w:szCs w:val="24"/>
        </w:rPr>
        <w:t xml:space="preserve">”).  </w:t>
      </w:r>
    </w:p>
    <w:p w:rsidR="00FE57EF" w:rsidRDefault="007C72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BE31AC">
        <w:rPr>
          <w:rFonts w:ascii="Times New Roman" w:hAnsi="Times New Roman" w:cs="Times New Roman"/>
          <w:sz w:val="24"/>
          <w:szCs w:val="24"/>
        </w:rPr>
        <w:t xml:space="preserve">its </w:t>
      </w:r>
      <w:r>
        <w:rPr>
          <w:rFonts w:ascii="Times New Roman" w:hAnsi="Times New Roman" w:cs="Times New Roman"/>
          <w:sz w:val="24"/>
          <w:szCs w:val="24"/>
        </w:rPr>
        <w:t xml:space="preserve">Order, </w:t>
      </w:r>
      <w:r w:rsidR="00DE666B">
        <w:rPr>
          <w:rFonts w:ascii="Times New Roman" w:hAnsi="Times New Roman" w:cs="Times New Roman"/>
          <w:sz w:val="24"/>
          <w:szCs w:val="24"/>
        </w:rPr>
        <w:t xml:space="preserve">after merely reciting the parties’ arguments (Order, at 12-15), </w:t>
      </w:r>
      <w:r>
        <w:rPr>
          <w:rFonts w:ascii="Times New Roman" w:hAnsi="Times New Roman" w:cs="Times New Roman"/>
          <w:sz w:val="24"/>
          <w:szCs w:val="24"/>
        </w:rPr>
        <w:t xml:space="preserve">the Commission approved the SCO </w:t>
      </w:r>
      <w:r w:rsidR="00DE666B">
        <w:rPr>
          <w:rFonts w:ascii="Times New Roman" w:hAnsi="Times New Roman" w:cs="Times New Roman"/>
          <w:sz w:val="24"/>
          <w:szCs w:val="24"/>
        </w:rPr>
        <w:t>S</w:t>
      </w:r>
      <w:r>
        <w:rPr>
          <w:rFonts w:ascii="Times New Roman" w:hAnsi="Times New Roman" w:cs="Times New Roman"/>
          <w:sz w:val="24"/>
          <w:szCs w:val="24"/>
        </w:rPr>
        <w:t>ecurity</w:t>
      </w:r>
      <w:r w:rsidR="008E02EF">
        <w:rPr>
          <w:rFonts w:ascii="Times New Roman" w:hAnsi="Times New Roman" w:cs="Times New Roman"/>
          <w:sz w:val="24"/>
          <w:szCs w:val="24"/>
        </w:rPr>
        <w:t xml:space="preserve"> </w:t>
      </w:r>
      <w:r w:rsidR="002127EE">
        <w:rPr>
          <w:rFonts w:ascii="Times New Roman" w:hAnsi="Times New Roman" w:cs="Times New Roman"/>
          <w:sz w:val="24"/>
          <w:szCs w:val="24"/>
        </w:rPr>
        <w:t>Deposit without</w:t>
      </w:r>
      <w:r w:rsidR="00A615A2">
        <w:rPr>
          <w:rFonts w:ascii="Times New Roman" w:hAnsi="Times New Roman" w:cs="Times New Roman"/>
          <w:sz w:val="24"/>
          <w:szCs w:val="24"/>
        </w:rPr>
        <w:t xml:space="preserve"> making findings of fact</w:t>
      </w:r>
      <w:r w:rsidR="007764E6">
        <w:rPr>
          <w:rFonts w:ascii="Times New Roman" w:hAnsi="Times New Roman" w:cs="Times New Roman"/>
          <w:sz w:val="24"/>
          <w:szCs w:val="24"/>
        </w:rPr>
        <w:t xml:space="preserve"> or detailing its reasoning, </w:t>
      </w:r>
      <w:r w:rsidR="00A615A2">
        <w:rPr>
          <w:rFonts w:ascii="Times New Roman" w:hAnsi="Times New Roman" w:cs="Times New Roman"/>
          <w:sz w:val="24"/>
          <w:szCs w:val="24"/>
        </w:rPr>
        <w:t>providing only the f</w:t>
      </w:r>
      <w:r w:rsidR="00207C44">
        <w:rPr>
          <w:rFonts w:ascii="Times New Roman" w:hAnsi="Times New Roman" w:cs="Times New Roman"/>
          <w:sz w:val="24"/>
          <w:szCs w:val="24"/>
        </w:rPr>
        <w:t>ollow</w:t>
      </w:r>
      <w:r w:rsidR="00F82E5D">
        <w:rPr>
          <w:rFonts w:ascii="Times New Roman" w:hAnsi="Times New Roman" w:cs="Times New Roman"/>
          <w:sz w:val="24"/>
          <w:szCs w:val="24"/>
        </w:rPr>
        <w:t>ing</w:t>
      </w:r>
      <w:r w:rsidR="00207C44">
        <w:rPr>
          <w:rFonts w:ascii="Times New Roman" w:hAnsi="Times New Roman" w:cs="Times New Roman"/>
          <w:sz w:val="24"/>
          <w:szCs w:val="24"/>
        </w:rPr>
        <w:t xml:space="preserve"> </w:t>
      </w:r>
      <w:r w:rsidR="00BE31AC">
        <w:rPr>
          <w:rFonts w:ascii="Times New Roman" w:hAnsi="Times New Roman" w:cs="Times New Roman"/>
          <w:sz w:val="24"/>
          <w:szCs w:val="24"/>
        </w:rPr>
        <w:t>conclu</w:t>
      </w:r>
      <w:r w:rsidR="00207C44">
        <w:rPr>
          <w:rFonts w:ascii="Times New Roman" w:hAnsi="Times New Roman" w:cs="Times New Roman"/>
          <w:sz w:val="24"/>
          <w:szCs w:val="24"/>
        </w:rPr>
        <w:t xml:space="preserve">sory remarks:  </w:t>
      </w:r>
    </w:p>
    <w:p w:rsidR="00FE57EF" w:rsidRDefault="007C728D" w:rsidP="00614CB8">
      <w:pPr>
        <w:autoSpaceDE w:val="0"/>
        <w:autoSpaceDN w:val="0"/>
        <w:adjustRightInd w:val="0"/>
        <w:spacing w:after="0" w:line="240" w:lineRule="auto"/>
        <w:ind w:left="1440" w:right="1350" w:firstLine="720"/>
        <w:jc w:val="both"/>
        <w:rPr>
          <w:rFonts w:ascii="Times New Roman" w:hAnsi="Times New Roman" w:cs="Times New Roman"/>
          <w:sz w:val="24"/>
          <w:szCs w:val="24"/>
        </w:rPr>
      </w:pPr>
      <w:r>
        <w:rPr>
          <w:rFonts w:ascii="Times New Roman" w:hAnsi="Times New Roman" w:cs="Times New Roman"/>
          <w:sz w:val="24"/>
          <w:szCs w:val="24"/>
        </w:rPr>
        <w:t>Upon consideration of the arguments raised by the parties, the Commission finds</w:t>
      </w:r>
      <w:r w:rsidR="009F051D">
        <w:rPr>
          <w:rFonts w:ascii="Times New Roman" w:hAnsi="Times New Roman" w:cs="Times New Roman"/>
          <w:sz w:val="24"/>
          <w:szCs w:val="24"/>
        </w:rPr>
        <w:t xml:space="preserve"> </w:t>
      </w:r>
      <w:r>
        <w:rPr>
          <w:rFonts w:ascii="Times New Roman" w:hAnsi="Times New Roman" w:cs="Times New Roman"/>
          <w:sz w:val="24"/>
          <w:szCs w:val="24"/>
        </w:rPr>
        <w:t>that the proposed SCO security requirement provision set f</w:t>
      </w:r>
      <w:r w:rsidR="009F051D">
        <w:rPr>
          <w:rFonts w:ascii="Times New Roman" w:hAnsi="Times New Roman" w:cs="Times New Roman"/>
          <w:sz w:val="24"/>
          <w:szCs w:val="24"/>
        </w:rPr>
        <w:t xml:space="preserve">orth in the amended stipulation </w:t>
      </w:r>
      <w:r>
        <w:rPr>
          <w:rFonts w:ascii="Times New Roman" w:hAnsi="Times New Roman" w:cs="Times New Roman"/>
          <w:sz w:val="24"/>
          <w:szCs w:val="24"/>
        </w:rPr>
        <w:t xml:space="preserve">is reasonable. The Commission finds the </w:t>
      </w:r>
      <w:r w:rsidR="00DD65A3" w:rsidRPr="00DD65A3">
        <w:rPr>
          <w:rFonts w:ascii="Times New Roman" w:hAnsi="Times New Roman" w:cs="Times New Roman"/>
          <w:b/>
          <w:i/>
          <w:sz w:val="24"/>
          <w:szCs w:val="24"/>
        </w:rPr>
        <w:t>arguments</w:t>
      </w:r>
      <w:r w:rsidR="009F051D">
        <w:rPr>
          <w:rFonts w:ascii="Times New Roman" w:hAnsi="Times New Roman" w:cs="Times New Roman"/>
          <w:sz w:val="24"/>
          <w:szCs w:val="24"/>
        </w:rPr>
        <w:t xml:space="preserve"> presented by OGMG/RESA to be </w:t>
      </w:r>
      <w:r w:rsidR="00DD65A3" w:rsidRPr="00DD65A3">
        <w:rPr>
          <w:rFonts w:ascii="Times New Roman" w:hAnsi="Times New Roman" w:cs="Times New Roman"/>
          <w:b/>
          <w:i/>
          <w:sz w:val="24"/>
          <w:szCs w:val="24"/>
        </w:rPr>
        <w:t>persuasive</w:t>
      </w:r>
      <w:r>
        <w:rPr>
          <w:rFonts w:ascii="Times New Roman" w:hAnsi="Times New Roman" w:cs="Times New Roman"/>
          <w:sz w:val="24"/>
          <w:szCs w:val="24"/>
        </w:rPr>
        <w:t xml:space="preserve">. Furthermore, we </w:t>
      </w:r>
      <w:r w:rsidR="00DD65A3" w:rsidRPr="00DD65A3">
        <w:rPr>
          <w:rFonts w:ascii="Times New Roman" w:hAnsi="Times New Roman" w:cs="Times New Roman"/>
          <w:b/>
          <w:i/>
          <w:sz w:val="24"/>
          <w:szCs w:val="24"/>
        </w:rPr>
        <w:t>recognize the importance</w:t>
      </w:r>
      <w:r>
        <w:rPr>
          <w:rFonts w:ascii="Times New Roman" w:hAnsi="Times New Roman" w:cs="Times New Roman"/>
          <w:sz w:val="24"/>
          <w:szCs w:val="24"/>
        </w:rPr>
        <w:t xml:space="preserve"> of ensuring that there are adequate</w:t>
      </w:r>
      <w:r w:rsidR="009F051D">
        <w:rPr>
          <w:rFonts w:ascii="Times New Roman" w:hAnsi="Times New Roman" w:cs="Times New Roman"/>
          <w:sz w:val="24"/>
          <w:szCs w:val="24"/>
        </w:rPr>
        <w:t xml:space="preserve"> liquid accounts </w:t>
      </w:r>
      <w:r>
        <w:rPr>
          <w:rFonts w:ascii="Times New Roman" w:hAnsi="Times New Roman" w:cs="Times New Roman"/>
          <w:sz w:val="24"/>
          <w:szCs w:val="24"/>
        </w:rPr>
        <w:t>available, in the event of a default. The point that, to date, there has</w:t>
      </w:r>
      <w:r w:rsidR="009F051D">
        <w:rPr>
          <w:rFonts w:ascii="Times New Roman" w:hAnsi="Times New Roman" w:cs="Times New Roman"/>
          <w:sz w:val="24"/>
          <w:szCs w:val="24"/>
        </w:rPr>
        <w:t xml:space="preserve"> been </w:t>
      </w:r>
      <w:r>
        <w:rPr>
          <w:rFonts w:ascii="Times New Roman" w:hAnsi="Times New Roman" w:cs="Times New Roman"/>
          <w:sz w:val="24"/>
          <w:szCs w:val="24"/>
        </w:rPr>
        <w:t>no supplier default in Columbia's service territory is not r</w:t>
      </w:r>
      <w:r w:rsidR="009F051D">
        <w:rPr>
          <w:rFonts w:ascii="Times New Roman" w:hAnsi="Times New Roman" w:cs="Times New Roman"/>
          <w:sz w:val="24"/>
          <w:szCs w:val="24"/>
        </w:rPr>
        <w:t xml:space="preserve">eason enough to ignore the need to ensure that, if such an </w:t>
      </w:r>
      <w:r>
        <w:rPr>
          <w:rFonts w:ascii="Times New Roman" w:hAnsi="Times New Roman" w:cs="Times New Roman"/>
          <w:sz w:val="24"/>
          <w:szCs w:val="24"/>
        </w:rPr>
        <w:t xml:space="preserve">event happens in the future, </w:t>
      </w:r>
      <w:r w:rsidR="009F051D">
        <w:rPr>
          <w:rFonts w:ascii="Times New Roman" w:hAnsi="Times New Roman" w:cs="Times New Roman"/>
          <w:sz w:val="24"/>
          <w:szCs w:val="24"/>
        </w:rPr>
        <w:t xml:space="preserve">customers are protected and the </w:t>
      </w:r>
      <w:r>
        <w:rPr>
          <w:rFonts w:ascii="Times New Roman" w:hAnsi="Times New Roman" w:cs="Times New Roman"/>
          <w:sz w:val="24"/>
          <w:szCs w:val="24"/>
        </w:rPr>
        <w:t>public interest is pre</w:t>
      </w:r>
      <w:r w:rsidR="002B7C96">
        <w:rPr>
          <w:rFonts w:ascii="Times New Roman" w:hAnsi="Times New Roman" w:cs="Times New Roman"/>
          <w:sz w:val="24"/>
          <w:szCs w:val="24"/>
        </w:rPr>
        <w:t>served. We also agree that the t</w:t>
      </w:r>
      <w:r>
        <w:rPr>
          <w:rFonts w:ascii="Times New Roman" w:hAnsi="Times New Roman" w:cs="Times New Roman"/>
          <w:sz w:val="24"/>
          <w:szCs w:val="24"/>
        </w:rPr>
        <w:t>ransfer of any r</w:t>
      </w:r>
      <w:r w:rsidR="009F051D">
        <w:rPr>
          <w:rFonts w:ascii="Times New Roman" w:hAnsi="Times New Roman" w:cs="Times New Roman"/>
          <w:sz w:val="24"/>
          <w:szCs w:val="24"/>
        </w:rPr>
        <w:t xml:space="preserve">emaining funds to the </w:t>
      </w:r>
      <w:r>
        <w:rPr>
          <w:rFonts w:ascii="Times New Roman" w:hAnsi="Times New Roman" w:cs="Times New Roman"/>
          <w:sz w:val="24"/>
          <w:szCs w:val="24"/>
        </w:rPr>
        <w:t xml:space="preserve">CSRR </w:t>
      </w:r>
      <w:r w:rsidR="00DD65A3" w:rsidRPr="00DD65A3">
        <w:rPr>
          <w:rFonts w:ascii="Times New Roman" w:hAnsi="Times New Roman" w:cs="Times New Roman"/>
          <w:b/>
          <w:i/>
          <w:sz w:val="24"/>
          <w:szCs w:val="24"/>
        </w:rPr>
        <w:t>is acceptable</w:t>
      </w:r>
      <w:r>
        <w:rPr>
          <w:rFonts w:ascii="Times New Roman" w:hAnsi="Times New Roman" w:cs="Times New Roman"/>
          <w:sz w:val="24"/>
          <w:szCs w:val="24"/>
        </w:rPr>
        <w:t xml:space="preserve"> and a </w:t>
      </w:r>
      <w:r w:rsidR="00DD65A3" w:rsidRPr="00DD65A3">
        <w:rPr>
          <w:rFonts w:ascii="Times New Roman" w:hAnsi="Times New Roman" w:cs="Times New Roman"/>
          <w:b/>
          <w:i/>
          <w:sz w:val="24"/>
          <w:szCs w:val="24"/>
        </w:rPr>
        <w:t>reasonable compromise</w:t>
      </w:r>
      <w:r>
        <w:rPr>
          <w:rFonts w:ascii="Times New Roman" w:hAnsi="Times New Roman" w:cs="Times New Roman"/>
          <w:sz w:val="24"/>
          <w:szCs w:val="24"/>
        </w:rPr>
        <w:t>.</w:t>
      </w:r>
      <w:r w:rsidR="00E93EEF">
        <w:rPr>
          <w:rFonts w:ascii="Times New Roman" w:hAnsi="Times New Roman" w:cs="Times New Roman"/>
          <w:sz w:val="24"/>
          <w:szCs w:val="24"/>
        </w:rPr>
        <w:t xml:space="preserve">  (Order, at 15</w:t>
      </w:r>
      <w:r w:rsidR="00A615A2">
        <w:rPr>
          <w:rFonts w:ascii="Times New Roman" w:hAnsi="Times New Roman" w:cs="Times New Roman"/>
          <w:sz w:val="24"/>
          <w:szCs w:val="24"/>
        </w:rPr>
        <w:t>,</w:t>
      </w:r>
      <w:r w:rsidR="00614CB8">
        <w:rPr>
          <w:rFonts w:ascii="Times New Roman" w:hAnsi="Times New Roman" w:cs="Times New Roman"/>
          <w:sz w:val="24"/>
          <w:szCs w:val="24"/>
        </w:rPr>
        <w:t xml:space="preserve"> </w:t>
      </w:r>
      <w:r w:rsidR="00A615A2">
        <w:rPr>
          <w:rFonts w:ascii="Times New Roman" w:hAnsi="Times New Roman" w:cs="Times New Roman"/>
          <w:sz w:val="24"/>
          <w:szCs w:val="24"/>
        </w:rPr>
        <w:t>emphasis supplied</w:t>
      </w:r>
      <w:r w:rsidR="00E93EEF">
        <w:rPr>
          <w:rFonts w:ascii="Times New Roman" w:hAnsi="Times New Roman" w:cs="Times New Roman"/>
          <w:sz w:val="24"/>
          <w:szCs w:val="24"/>
        </w:rPr>
        <w:t>.)</w:t>
      </w:r>
    </w:p>
    <w:p w:rsidR="002B7C96" w:rsidRDefault="002B7C96" w:rsidP="002B7C96">
      <w:pPr>
        <w:spacing w:after="0" w:line="240" w:lineRule="auto"/>
        <w:rPr>
          <w:rFonts w:ascii="Times New Roman" w:hAnsi="Times New Roman" w:cs="Times New Roman"/>
          <w:sz w:val="24"/>
          <w:szCs w:val="24"/>
        </w:rPr>
      </w:pPr>
    </w:p>
    <w:p w:rsidR="00FE57EF" w:rsidRDefault="002B7C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966EB">
        <w:rPr>
          <w:rFonts w:ascii="Times New Roman" w:hAnsi="Times New Roman" w:cs="Times New Roman"/>
          <w:sz w:val="24"/>
          <w:szCs w:val="24"/>
        </w:rPr>
        <w:t>As discussed further below, t</w:t>
      </w:r>
      <w:r w:rsidR="00207C44">
        <w:rPr>
          <w:rFonts w:ascii="Times New Roman" w:hAnsi="Times New Roman" w:cs="Times New Roman"/>
          <w:sz w:val="24"/>
          <w:szCs w:val="24"/>
        </w:rPr>
        <w:t>he</w:t>
      </w:r>
      <w:r w:rsidR="008E02EF">
        <w:rPr>
          <w:rFonts w:ascii="Times New Roman" w:hAnsi="Times New Roman" w:cs="Times New Roman"/>
          <w:sz w:val="24"/>
          <w:szCs w:val="24"/>
        </w:rPr>
        <w:t xml:space="preserve"> issues presented for the Commission’s consideration with respect to the </w:t>
      </w:r>
      <w:r w:rsidR="00336E3E">
        <w:rPr>
          <w:rFonts w:ascii="Times New Roman" w:hAnsi="Times New Roman" w:cs="Times New Roman"/>
          <w:sz w:val="24"/>
          <w:szCs w:val="24"/>
        </w:rPr>
        <w:t>SCO S</w:t>
      </w:r>
      <w:r w:rsidR="008E02EF">
        <w:rPr>
          <w:rFonts w:ascii="Times New Roman" w:hAnsi="Times New Roman" w:cs="Times New Roman"/>
          <w:sz w:val="24"/>
          <w:szCs w:val="24"/>
        </w:rPr>
        <w:t xml:space="preserve">ecurity </w:t>
      </w:r>
      <w:r w:rsidR="00336E3E">
        <w:rPr>
          <w:rFonts w:ascii="Times New Roman" w:hAnsi="Times New Roman" w:cs="Times New Roman"/>
          <w:sz w:val="24"/>
          <w:szCs w:val="24"/>
        </w:rPr>
        <w:t>D</w:t>
      </w:r>
      <w:r w:rsidR="008E02EF">
        <w:rPr>
          <w:rFonts w:ascii="Times New Roman" w:hAnsi="Times New Roman" w:cs="Times New Roman"/>
          <w:sz w:val="24"/>
          <w:szCs w:val="24"/>
        </w:rPr>
        <w:t>eposit</w:t>
      </w:r>
      <w:r w:rsidR="005A3F4B">
        <w:rPr>
          <w:rFonts w:ascii="Times New Roman" w:hAnsi="Times New Roman" w:cs="Times New Roman"/>
          <w:sz w:val="24"/>
          <w:szCs w:val="24"/>
        </w:rPr>
        <w:t xml:space="preserve"> proposal</w:t>
      </w:r>
      <w:r w:rsidR="008E02EF">
        <w:rPr>
          <w:rFonts w:ascii="Times New Roman" w:hAnsi="Times New Roman" w:cs="Times New Roman"/>
          <w:sz w:val="24"/>
          <w:szCs w:val="24"/>
        </w:rPr>
        <w:t xml:space="preserve"> were: (1) the necessity </w:t>
      </w:r>
      <w:r w:rsidR="00F82E5D">
        <w:rPr>
          <w:rFonts w:ascii="Times New Roman" w:hAnsi="Times New Roman" w:cs="Times New Roman"/>
          <w:sz w:val="24"/>
          <w:szCs w:val="24"/>
        </w:rPr>
        <w:t xml:space="preserve">for the additional </w:t>
      </w:r>
      <w:r w:rsidR="00336E3E">
        <w:rPr>
          <w:rFonts w:ascii="Times New Roman" w:hAnsi="Times New Roman" w:cs="Times New Roman"/>
          <w:sz w:val="24"/>
          <w:szCs w:val="24"/>
        </w:rPr>
        <w:t xml:space="preserve">cash </w:t>
      </w:r>
      <w:r w:rsidR="008E02EF">
        <w:rPr>
          <w:rFonts w:ascii="Times New Roman" w:hAnsi="Times New Roman" w:cs="Times New Roman"/>
          <w:sz w:val="24"/>
          <w:szCs w:val="24"/>
        </w:rPr>
        <w:t>deposit</w:t>
      </w:r>
      <w:r w:rsidR="00F82E5D">
        <w:rPr>
          <w:rFonts w:ascii="Times New Roman" w:hAnsi="Times New Roman" w:cs="Times New Roman"/>
          <w:sz w:val="24"/>
          <w:szCs w:val="24"/>
        </w:rPr>
        <w:t>, considering that the Second Revised Program Outline already provide</w:t>
      </w:r>
      <w:r w:rsidR="003E1574">
        <w:rPr>
          <w:rFonts w:ascii="Times New Roman" w:hAnsi="Times New Roman" w:cs="Times New Roman"/>
          <w:sz w:val="24"/>
          <w:szCs w:val="24"/>
        </w:rPr>
        <w:t>s Columbia</w:t>
      </w:r>
      <w:r w:rsidR="00336E3E">
        <w:rPr>
          <w:rFonts w:ascii="Times New Roman" w:hAnsi="Times New Roman" w:cs="Times New Roman"/>
          <w:sz w:val="24"/>
          <w:szCs w:val="24"/>
        </w:rPr>
        <w:t xml:space="preserve"> with </w:t>
      </w:r>
      <w:r w:rsidR="00F82E5D">
        <w:rPr>
          <w:rFonts w:ascii="Times New Roman" w:hAnsi="Times New Roman" w:cs="Times New Roman"/>
          <w:sz w:val="24"/>
          <w:szCs w:val="24"/>
        </w:rPr>
        <w:t>the authority to require a cash deposit</w:t>
      </w:r>
      <w:r w:rsidR="002127EE">
        <w:rPr>
          <w:rFonts w:ascii="Times New Roman" w:hAnsi="Times New Roman" w:cs="Times New Roman"/>
          <w:sz w:val="24"/>
          <w:szCs w:val="24"/>
        </w:rPr>
        <w:t xml:space="preserve"> of SCO suppliers</w:t>
      </w:r>
      <w:r w:rsidR="00A848C4">
        <w:rPr>
          <w:rFonts w:ascii="Times New Roman" w:hAnsi="Times New Roman" w:cs="Times New Roman"/>
          <w:sz w:val="24"/>
          <w:szCs w:val="24"/>
        </w:rPr>
        <w:t>;</w:t>
      </w:r>
      <w:r w:rsidR="00A848C4">
        <w:rPr>
          <w:rStyle w:val="FootnoteReference"/>
          <w:rFonts w:ascii="Times New Roman" w:hAnsi="Times New Roman" w:cs="Times New Roman"/>
          <w:sz w:val="24"/>
          <w:szCs w:val="24"/>
        </w:rPr>
        <w:footnoteReference w:id="1"/>
      </w:r>
      <w:r w:rsidR="008E02EF">
        <w:rPr>
          <w:rFonts w:ascii="Times New Roman" w:hAnsi="Times New Roman" w:cs="Times New Roman"/>
          <w:sz w:val="24"/>
          <w:szCs w:val="24"/>
        </w:rPr>
        <w:t xml:space="preserve"> (2) the </w:t>
      </w:r>
      <w:r w:rsidR="00A848C4">
        <w:rPr>
          <w:rFonts w:ascii="Times New Roman" w:hAnsi="Times New Roman" w:cs="Times New Roman"/>
          <w:sz w:val="24"/>
          <w:szCs w:val="24"/>
        </w:rPr>
        <w:t xml:space="preserve">lack </w:t>
      </w:r>
      <w:r w:rsidR="005A3F4B">
        <w:rPr>
          <w:rFonts w:ascii="Times New Roman" w:hAnsi="Times New Roman" w:cs="Times New Roman"/>
          <w:sz w:val="24"/>
          <w:szCs w:val="24"/>
        </w:rPr>
        <w:t xml:space="preserve">of </w:t>
      </w:r>
      <w:r w:rsidR="004E1D22">
        <w:rPr>
          <w:rFonts w:ascii="Times New Roman" w:hAnsi="Times New Roman" w:cs="Times New Roman"/>
          <w:sz w:val="24"/>
          <w:szCs w:val="24"/>
        </w:rPr>
        <w:t xml:space="preserve">record support </w:t>
      </w:r>
      <w:r w:rsidR="008E02EF">
        <w:rPr>
          <w:rFonts w:ascii="Times New Roman" w:hAnsi="Times New Roman" w:cs="Times New Roman"/>
          <w:sz w:val="24"/>
          <w:szCs w:val="24"/>
        </w:rPr>
        <w:t>for the level of the deposit</w:t>
      </w:r>
      <w:r w:rsidR="00A848C4">
        <w:rPr>
          <w:rFonts w:ascii="Times New Roman" w:hAnsi="Times New Roman" w:cs="Times New Roman"/>
          <w:sz w:val="24"/>
          <w:szCs w:val="24"/>
        </w:rPr>
        <w:t>;</w:t>
      </w:r>
      <w:r w:rsidR="00A848C4">
        <w:rPr>
          <w:rStyle w:val="FootnoteReference"/>
          <w:rFonts w:ascii="Times New Roman" w:hAnsi="Times New Roman" w:cs="Times New Roman"/>
          <w:sz w:val="24"/>
          <w:szCs w:val="24"/>
        </w:rPr>
        <w:footnoteReference w:id="2"/>
      </w:r>
      <w:r w:rsidR="008E02EF">
        <w:rPr>
          <w:rFonts w:ascii="Times New Roman" w:hAnsi="Times New Roman" w:cs="Times New Roman"/>
          <w:sz w:val="24"/>
          <w:szCs w:val="24"/>
        </w:rPr>
        <w:t xml:space="preserve"> and (3) the discriminatory nature of the deposit.</w:t>
      </w:r>
      <w:r w:rsidR="00A848C4">
        <w:rPr>
          <w:rStyle w:val="FootnoteReference"/>
          <w:rFonts w:ascii="Times New Roman" w:hAnsi="Times New Roman" w:cs="Times New Roman"/>
          <w:sz w:val="24"/>
          <w:szCs w:val="24"/>
        </w:rPr>
        <w:footnoteReference w:id="3"/>
      </w:r>
      <w:r w:rsidR="00E966EB">
        <w:rPr>
          <w:rFonts w:ascii="Times New Roman" w:hAnsi="Times New Roman" w:cs="Times New Roman"/>
          <w:sz w:val="24"/>
          <w:szCs w:val="24"/>
        </w:rPr>
        <w:t xml:space="preserve">  The Commission made no findings of fact </w:t>
      </w:r>
      <w:r w:rsidR="006D3CE2">
        <w:rPr>
          <w:rFonts w:ascii="Times New Roman" w:hAnsi="Times New Roman" w:cs="Times New Roman"/>
          <w:sz w:val="24"/>
          <w:szCs w:val="24"/>
        </w:rPr>
        <w:t>n</w:t>
      </w:r>
      <w:r w:rsidR="00E966EB">
        <w:rPr>
          <w:rFonts w:ascii="Times New Roman" w:hAnsi="Times New Roman" w:cs="Times New Roman"/>
          <w:sz w:val="24"/>
          <w:szCs w:val="24"/>
        </w:rPr>
        <w:t>or provided reasoning based thereon in arriving at its decision</w:t>
      </w:r>
      <w:r w:rsidR="00BF6C47">
        <w:rPr>
          <w:rFonts w:ascii="Times New Roman" w:hAnsi="Times New Roman" w:cs="Times New Roman"/>
          <w:sz w:val="24"/>
          <w:szCs w:val="24"/>
        </w:rPr>
        <w:t xml:space="preserve"> to approve the SCO Security Deposit</w:t>
      </w:r>
      <w:r w:rsidR="00E966EB">
        <w:rPr>
          <w:rFonts w:ascii="Times New Roman" w:hAnsi="Times New Roman" w:cs="Times New Roman"/>
          <w:sz w:val="24"/>
          <w:szCs w:val="24"/>
        </w:rPr>
        <w:t xml:space="preserve">.  </w:t>
      </w:r>
      <w:r w:rsidR="003E1574">
        <w:rPr>
          <w:rFonts w:ascii="Times New Roman" w:hAnsi="Times New Roman" w:cs="Times New Roman"/>
          <w:sz w:val="24"/>
          <w:szCs w:val="24"/>
        </w:rPr>
        <w:t>Specifically, a</w:t>
      </w:r>
      <w:r w:rsidR="00E966EB">
        <w:rPr>
          <w:rFonts w:ascii="Times New Roman" w:hAnsi="Times New Roman" w:cs="Times New Roman"/>
          <w:sz w:val="24"/>
          <w:szCs w:val="24"/>
        </w:rPr>
        <w:t xml:space="preserve">s to the first issue, </w:t>
      </w:r>
      <w:r w:rsidR="005A3F4B">
        <w:rPr>
          <w:rFonts w:ascii="Times New Roman" w:hAnsi="Times New Roman" w:cs="Times New Roman"/>
          <w:sz w:val="24"/>
          <w:szCs w:val="24"/>
        </w:rPr>
        <w:t>without making findings or providing reasoning</w:t>
      </w:r>
      <w:r w:rsidR="00336E3E">
        <w:rPr>
          <w:rFonts w:ascii="Times New Roman" w:hAnsi="Times New Roman" w:cs="Times New Roman"/>
          <w:sz w:val="24"/>
          <w:szCs w:val="24"/>
        </w:rPr>
        <w:t xml:space="preserve"> that additional authority to impose a cash deposit was </w:t>
      </w:r>
      <w:r w:rsidR="00BF6C47">
        <w:rPr>
          <w:rFonts w:ascii="Times New Roman" w:hAnsi="Times New Roman" w:cs="Times New Roman"/>
          <w:sz w:val="24"/>
          <w:szCs w:val="24"/>
        </w:rPr>
        <w:t>necessary</w:t>
      </w:r>
      <w:r w:rsidR="005A3F4B">
        <w:rPr>
          <w:rFonts w:ascii="Times New Roman" w:hAnsi="Times New Roman" w:cs="Times New Roman"/>
          <w:sz w:val="24"/>
          <w:szCs w:val="24"/>
        </w:rPr>
        <w:t>, the Order m</w:t>
      </w:r>
      <w:r w:rsidR="00E966EB">
        <w:rPr>
          <w:rFonts w:ascii="Times New Roman" w:hAnsi="Times New Roman" w:cs="Times New Roman"/>
          <w:sz w:val="24"/>
          <w:szCs w:val="24"/>
        </w:rPr>
        <w:t xml:space="preserve">erely “recognize[d] the importance of ensuring that there are adequate liquid assets </w:t>
      </w:r>
      <w:r w:rsidR="00E966EB">
        <w:rPr>
          <w:rFonts w:ascii="Times New Roman" w:hAnsi="Times New Roman" w:cs="Times New Roman"/>
          <w:sz w:val="24"/>
          <w:szCs w:val="24"/>
        </w:rPr>
        <w:lastRenderedPageBreak/>
        <w:t xml:space="preserve">available.”  </w:t>
      </w:r>
      <w:r w:rsidR="007764E6">
        <w:rPr>
          <w:rFonts w:ascii="Times New Roman" w:hAnsi="Times New Roman" w:cs="Times New Roman"/>
          <w:sz w:val="24"/>
          <w:szCs w:val="24"/>
        </w:rPr>
        <w:t xml:space="preserve">Order, at 15.  </w:t>
      </w:r>
      <w:r w:rsidR="00932851">
        <w:rPr>
          <w:rFonts w:ascii="Times New Roman" w:hAnsi="Times New Roman" w:cs="Times New Roman"/>
          <w:sz w:val="24"/>
          <w:szCs w:val="24"/>
        </w:rPr>
        <w:t>As to the second issue, without making findings</w:t>
      </w:r>
      <w:r w:rsidR="005A3F4B">
        <w:rPr>
          <w:rFonts w:ascii="Times New Roman" w:hAnsi="Times New Roman" w:cs="Times New Roman"/>
          <w:sz w:val="24"/>
          <w:szCs w:val="24"/>
        </w:rPr>
        <w:t xml:space="preserve"> or providing reasoning</w:t>
      </w:r>
      <w:r w:rsidR="00336E3E">
        <w:rPr>
          <w:rFonts w:ascii="Times New Roman" w:hAnsi="Times New Roman" w:cs="Times New Roman"/>
          <w:sz w:val="24"/>
          <w:szCs w:val="24"/>
        </w:rPr>
        <w:t xml:space="preserve"> as to the reasonable level of the deposit, </w:t>
      </w:r>
      <w:r w:rsidR="005A3F4B">
        <w:rPr>
          <w:rFonts w:ascii="Times New Roman" w:hAnsi="Times New Roman" w:cs="Times New Roman"/>
          <w:sz w:val="24"/>
          <w:szCs w:val="24"/>
        </w:rPr>
        <w:t xml:space="preserve">the Order </w:t>
      </w:r>
      <w:r w:rsidR="00932851">
        <w:rPr>
          <w:rFonts w:ascii="Times New Roman" w:hAnsi="Times New Roman" w:cs="Times New Roman"/>
          <w:sz w:val="24"/>
          <w:szCs w:val="24"/>
        </w:rPr>
        <w:t>noted only that it found OGM</w:t>
      </w:r>
      <w:r w:rsidR="003E1574">
        <w:rPr>
          <w:rFonts w:ascii="Times New Roman" w:hAnsi="Times New Roman" w:cs="Times New Roman"/>
          <w:sz w:val="24"/>
          <w:szCs w:val="24"/>
        </w:rPr>
        <w:t>G</w:t>
      </w:r>
      <w:r w:rsidR="00932851">
        <w:rPr>
          <w:rFonts w:ascii="Times New Roman" w:hAnsi="Times New Roman" w:cs="Times New Roman"/>
          <w:sz w:val="24"/>
          <w:szCs w:val="24"/>
        </w:rPr>
        <w:t>/RESA’s “arguments” to be “persu</w:t>
      </w:r>
      <w:r w:rsidR="006D3CE2">
        <w:rPr>
          <w:rFonts w:ascii="Times New Roman" w:hAnsi="Times New Roman" w:cs="Times New Roman"/>
          <w:sz w:val="24"/>
          <w:szCs w:val="24"/>
        </w:rPr>
        <w:t>a</w:t>
      </w:r>
      <w:r w:rsidR="00932851">
        <w:rPr>
          <w:rFonts w:ascii="Times New Roman" w:hAnsi="Times New Roman" w:cs="Times New Roman"/>
          <w:sz w:val="24"/>
          <w:szCs w:val="24"/>
        </w:rPr>
        <w:t xml:space="preserve">sive.”  </w:t>
      </w:r>
      <w:r w:rsidR="007764E6">
        <w:rPr>
          <w:rFonts w:ascii="Times New Roman" w:hAnsi="Times New Roman" w:cs="Times New Roman"/>
          <w:sz w:val="24"/>
          <w:szCs w:val="24"/>
        </w:rPr>
        <w:t xml:space="preserve">Id.  </w:t>
      </w:r>
      <w:r w:rsidR="00932851">
        <w:rPr>
          <w:rFonts w:ascii="Times New Roman" w:hAnsi="Times New Roman" w:cs="Times New Roman"/>
          <w:sz w:val="24"/>
          <w:szCs w:val="24"/>
        </w:rPr>
        <w:t xml:space="preserve">Finally, as to the third issue, rather than providing findings and reasoning as to </w:t>
      </w:r>
      <w:r w:rsidR="00995348">
        <w:rPr>
          <w:rFonts w:ascii="Times New Roman" w:hAnsi="Times New Roman" w:cs="Times New Roman"/>
          <w:sz w:val="24"/>
          <w:szCs w:val="24"/>
        </w:rPr>
        <w:t>why i</w:t>
      </w:r>
      <w:r w:rsidR="00336E3E">
        <w:rPr>
          <w:rFonts w:ascii="Times New Roman" w:hAnsi="Times New Roman" w:cs="Times New Roman"/>
          <w:sz w:val="24"/>
          <w:szCs w:val="24"/>
        </w:rPr>
        <w:t>t</w:t>
      </w:r>
      <w:r w:rsidR="00995348">
        <w:rPr>
          <w:rFonts w:ascii="Times New Roman" w:hAnsi="Times New Roman" w:cs="Times New Roman"/>
          <w:sz w:val="24"/>
          <w:szCs w:val="24"/>
        </w:rPr>
        <w:t xml:space="preserve"> is not </w:t>
      </w:r>
      <w:r w:rsidR="00932851">
        <w:rPr>
          <w:rFonts w:ascii="Times New Roman" w:hAnsi="Times New Roman" w:cs="Times New Roman"/>
          <w:sz w:val="24"/>
          <w:szCs w:val="24"/>
        </w:rPr>
        <w:t xml:space="preserve">discriminatory </w:t>
      </w:r>
      <w:r w:rsidR="00995348">
        <w:rPr>
          <w:rFonts w:ascii="Times New Roman" w:hAnsi="Times New Roman" w:cs="Times New Roman"/>
          <w:sz w:val="24"/>
          <w:szCs w:val="24"/>
        </w:rPr>
        <w:t xml:space="preserve">to flow </w:t>
      </w:r>
      <w:r w:rsidR="003E1574">
        <w:rPr>
          <w:rFonts w:ascii="Times New Roman" w:hAnsi="Times New Roman" w:cs="Times New Roman"/>
          <w:sz w:val="24"/>
          <w:szCs w:val="24"/>
        </w:rPr>
        <w:t xml:space="preserve">remaining </w:t>
      </w:r>
      <w:r w:rsidR="002127EE">
        <w:rPr>
          <w:rFonts w:ascii="Times New Roman" w:hAnsi="Times New Roman" w:cs="Times New Roman"/>
          <w:sz w:val="24"/>
          <w:szCs w:val="24"/>
        </w:rPr>
        <w:t xml:space="preserve">SCO </w:t>
      </w:r>
      <w:r w:rsidR="00336E3E">
        <w:rPr>
          <w:rFonts w:ascii="Times New Roman" w:hAnsi="Times New Roman" w:cs="Times New Roman"/>
          <w:sz w:val="24"/>
          <w:szCs w:val="24"/>
        </w:rPr>
        <w:t>Security Dep</w:t>
      </w:r>
      <w:r w:rsidR="003E1574">
        <w:rPr>
          <w:rFonts w:ascii="Times New Roman" w:hAnsi="Times New Roman" w:cs="Times New Roman"/>
          <w:sz w:val="24"/>
          <w:szCs w:val="24"/>
        </w:rPr>
        <w:t>os</w:t>
      </w:r>
      <w:r w:rsidR="00932851">
        <w:rPr>
          <w:rFonts w:ascii="Times New Roman" w:hAnsi="Times New Roman" w:cs="Times New Roman"/>
          <w:sz w:val="24"/>
          <w:szCs w:val="24"/>
        </w:rPr>
        <w:t xml:space="preserve">it </w:t>
      </w:r>
      <w:r w:rsidR="003E1574">
        <w:rPr>
          <w:rFonts w:ascii="Times New Roman" w:hAnsi="Times New Roman" w:cs="Times New Roman"/>
          <w:sz w:val="24"/>
          <w:szCs w:val="24"/>
        </w:rPr>
        <w:t xml:space="preserve">sums </w:t>
      </w:r>
      <w:r w:rsidR="00932851">
        <w:rPr>
          <w:rFonts w:ascii="Times New Roman" w:hAnsi="Times New Roman" w:cs="Times New Roman"/>
          <w:sz w:val="24"/>
          <w:szCs w:val="24"/>
        </w:rPr>
        <w:t xml:space="preserve">through the CSRR, the Commission merely found that “the transfer of any remaining funds to the CSRR </w:t>
      </w:r>
      <w:r w:rsidR="00932851" w:rsidRPr="006D3CE2">
        <w:rPr>
          <w:rFonts w:ascii="Times New Roman" w:hAnsi="Times New Roman" w:cs="Times New Roman"/>
          <w:sz w:val="24"/>
          <w:szCs w:val="24"/>
        </w:rPr>
        <w:t>is acceptable</w:t>
      </w:r>
      <w:r w:rsidR="00932851">
        <w:rPr>
          <w:rFonts w:ascii="Times New Roman" w:hAnsi="Times New Roman" w:cs="Times New Roman"/>
          <w:sz w:val="24"/>
          <w:szCs w:val="24"/>
        </w:rPr>
        <w:t xml:space="preserve"> and a reasonable compromise.”</w:t>
      </w:r>
      <w:r w:rsidR="007764E6">
        <w:rPr>
          <w:rFonts w:ascii="Times New Roman" w:hAnsi="Times New Roman" w:cs="Times New Roman"/>
          <w:sz w:val="24"/>
          <w:szCs w:val="24"/>
        </w:rPr>
        <w:t xml:space="preserve">  Id.</w:t>
      </w:r>
    </w:p>
    <w:p w:rsidR="00BE31AC" w:rsidRDefault="00E966EB" w:rsidP="009328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pass muster under Section 4903.09, Ohio Rev. Code, the Commission must make findings related to the contested issues before it, and provide the reasoning based on such findings in reaching its conclusions.  </w:t>
      </w:r>
      <w:r w:rsidR="00932851">
        <w:rPr>
          <w:rFonts w:ascii="Times New Roman" w:hAnsi="Times New Roman" w:cs="Times New Roman"/>
          <w:sz w:val="24"/>
          <w:szCs w:val="24"/>
        </w:rPr>
        <w:t>The Order is woefully deficient in meeting this standard</w:t>
      </w:r>
      <w:r w:rsidR="006D3CE2">
        <w:rPr>
          <w:rFonts w:ascii="Times New Roman" w:hAnsi="Times New Roman" w:cs="Times New Roman"/>
          <w:sz w:val="24"/>
          <w:szCs w:val="24"/>
        </w:rPr>
        <w:t xml:space="preserve">.  On rehearing, the Commission must comply with Section 4903.09, Ohio Rev. Code, or Hess’ </w:t>
      </w:r>
      <w:r w:rsidR="00932851">
        <w:rPr>
          <w:rFonts w:ascii="Times New Roman" w:hAnsi="Times New Roman" w:cs="Times New Roman"/>
          <w:sz w:val="24"/>
          <w:szCs w:val="24"/>
        </w:rPr>
        <w:t xml:space="preserve">right to prosecute </w:t>
      </w:r>
      <w:r w:rsidR="006D3CE2">
        <w:rPr>
          <w:rFonts w:ascii="Times New Roman" w:hAnsi="Times New Roman" w:cs="Times New Roman"/>
          <w:sz w:val="24"/>
          <w:szCs w:val="24"/>
        </w:rPr>
        <w:t>an appeal to the Ohio Supreme Court</w:t>
      </w:r>
      <w:r w:rsidR="005A3F4B">
        <w:rPr>
          <w:rFonts w:ascii="Times New Roman" w:hAnsi="Times New Roman" w:cs="Times New Roman"/>
          <w:sz w:val="24"/>
          <w:szCs w:val="24"/>
        </w:rPr>
        <w:t xml:space="preserve"> will be unlawfully prejudiced</w:t>
      </w:r>
      <w:r w:rsidR="006D3CE2">
        <w:rPr>
          <w:rFonts w:ascii="Times New Roman" w:hAnsi="Times New Roman" w:cs="Times New Roman"/>
          <w:sz w:val="24"/>
          <w:szCs w:val="24"/>
        </w:rPr>
        <w:t xml:space="preserve">.  See </w:t>
      </w:r>
      <w:r w:rsidR="006D3CE2" w:rsidRPr="00995348">
        <w:rPr>
          <w:rFonts w:ascii="Times New Roman" w:hAnsi="Times New Roman" w:cs="Times New Roman"/>
          <w:i/>
          <w:sz w:val="24"/>
          <w:szCs w:val="24"/>
        </w:rPr>
        <w:t>Tongren, supra</w:t>
      </w:r>
      <w:r w:rsidR="006D3CE2">
        <w:rPr>
          <w:rFonts w:ascii="Times New Roman" w:hAnsi="Times New Roman" w:cs="Times New Roman"/>
          <w:sz w:val="24"/>
          <w:szCs w:val="24"/>
        </w:rPr>
        <w:t xml:space="preserve">.  Indeed, the Order’s lack of compliance with the statute </w:t>
      </w:r>
      <w:r w:rsidR="005A3F4B">
        <w:rPr>
          <w:rFonts w:ascii="Times New Roman" w:hAnsi="Times New Roman" w:cs="Times New Roman"/>
          <w:sz w:val="24"/>
          <w:szCs w:val="24"/>
        </w:rPr>
        <w:t xml:space="preserve">thus far </w:t>
      </w:r>
      <w:r w:rsidR="006D3CE2">
        <w:rPr>
          <w:rFonts w:ascii="Times New Roman" w:hAnsi="Times New Roman" w:cs="Times New Roman"/>
          <w:sz w:val="24"/>
          <w:szCs w:val="24"/>
        </w:rPr>
        <w:t>has prejudiced Hess’ ability to prosecute this application for rehearing</w:t>
      </w:r>
      <w:r w:rsidR="005A3F4B">
        <w:rPr>
          <w:rFonts w:ascii="Times New Roman" w:hAnsi="Times New Roman" w:cs="Times New Roman"/>
          <w:sz w:val="24"/>
          <w:szCs w:val="24"/>
        </w:rPr>
        <w:t xml:space="preserve"> as it is unclear under what facts and reasoning the Commission reached its decision.  </w:t>
      </w:r>
      <w:r w:rsidR="006D3CE2">
        <w:rPr>
          <w:rFonts w:ascii="Times New Roman" w:hAnsi="Times New Roman" w:cs="Times New Roman"/>
          <w:sz w:val="24"/>
          <w:szCs w:val="24"/>
        </w:rPr>
        <w:t xml:space="preserve">  </w:t>
      </w:r>
    </w:p>
    <w:p w:rsidR="003E1574" w:rsidRDefault="00995348" w:rsidP="00DA4F22">
      <w:pPr>
        <w:spacing w:after="0" w:line="240" w:lineRule="auto"/>
        <w:ind w:left="1440" w:right="630" w:hanging="72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3E1574" w:rsidRPr="00614CB8">
        <w:rPr>
          <w:rFonts w:ascii="Times New Roman" w:hAnsi="Times New Roman" w:cs="Times New Roman"/>
          <w:b/>
          <w:caps/>
          <w:sz w:val="24"/>
          <w:szCs w:val="24"/>
        </w:rPr>
        <w:t>The Commission’s Order</w:t>
      </w:r>
      <w:r w:rsidR="002127EE" w:rsidRPr="002127EE">
        <w:rPr>
          <w:rFonts w:ascii="Times New Roman Bold" w:hAnsi="Times New Roman Bold" w:cs="Times New Roman"/>
          <w:b/>
          <w:caps/>
          <w:sz w:val="24"/>
          <w:szCs w:val="24"/>
        </w:rPr>
        <w:t xml:space="preserve"> Approving the SCO Security Deposit</w:t>
      </w:r>
      <w:r w:rsidR="003E1574" w:rsidRPr="00614CB8">
        <w:rPr>
          <w:rFonts w:ascii="Times New Roman" w:hAnsi="Times New Roman" w:cs="Times New Roman"/>
          <w:b/>
          <w:caps/>
          <w:sz w:val="24"/>
          <w:szCs w:val="24"/>
        </w:rPr>
        <w:t xml:space="preserve"> is Against the Manifest Weight of the Evidence (</w:t>
      </w:r>
      <w:r w:rsidR="008B38F9" w:rsidRPr="008B38F9">
        <w:rPr>
          <w:rFonts w:ascii="Times New Roman Bold" w:hAnsi="Times New Roman Bold" w:cs="Times New Roman"/>
          <w:b/>
          <w:i/>
          <w:caps/>
          <w:sz w:val="24"/>
          <w:szCs w:val="24"/>
        </w:rPr>
        <w:t>Cleveland Elec. Illum. Co</w:t>
      </w:r>
      <w:r w:rsidR="008B38F9" w:rsidRPr="00E72142">
        <w:rPr>
          <w:rFonts w:ascii="Times New Roman" w:hAnsi="Times New Roman" w:cs="Times New Roman"/>
          <w:b/>
          <w:i/>
          <w:sz w:val="24"/>
          <w:szCs w:val="24"/>
        </w:rPr>
        <w:t xml:space="preserve"> v. </w:t>
      </w:r>
      <w:r w:rsidR="008B38F9" w:rsidRPr="008B38F9">
        <w:rPr>
          <w:rFonts w:ascii="Times New Roman Bold" w:hAnsi="Times New Roman Bold" w:cs="Times New Roman"/>
          <w:b/>
          <w:i/>
          <w:caps/>
          <w:sz w:val="24"/>
          <w:szCs w:val="24"/>
        </w:rPr>
        <w:t>Pub. Util. Comm</w:t>
      </w:r>
      <w:r w:rsidR="008B38F9" w:rsidRPr="00E72142">
        <w:rPr>
          <w:rFonts w:ascii="Times New Roman" w:hAnsi="Times New Roman" w:cs="Times New Roman"/>
          <w:b/>
          <w:i/>
          <w:sz w:val="24"/>
          <w:szCs w:val="24"/>
        </w:rPr>
        <w:t>.</w:t>
      </w:r>
      <w:r w:rsidR="008B38F9">
        <w:rPr>
          <w:rFonts w:ascii="Times New Roman" w:hAnsi="Times New Roman" w:cs="Times New Roman"/>
          <w:b/>
          <w:sz w:val="24"/>
          <w:szCs w:val="24"/>
        </w:rPr>
        <w:t xml:space="preserve"> (1975), 42 O</w:t>
      </w:r>
      <w:r w:rsidR="00531BFB">
        <w:rPr>
          <w:rFonts w:ascii="Times New Roman" w:hAnsi="Times New Roman" w:cs="Times New Roman"/>
          <w:b/>
          <w:sz w:val="24"/>
          <w:szCs w:val="24"/>
        </w:rPr>
        <w:t xml:space="preserve">HIO ST. </w:t>
      </w:r>
      <w:r w:rsidR="008B38F9">
        <w:rPr>
          <w:rFonts w:ascii="Times New Roman" w:hAnsi="Times New Roman" w:cs="Times New Roman"/>
          <w:b/>
          <w:sz w:val="24"/>
          <w:szCs w:val="24"/>
        </w:rPr>
        <w:t>2d 403</w:t>
      </w:r>
      <w:r w:rsidR="003E1574" w:rsidRPr="00614CB8">
        <w:rPr>
          <w:rFonts w:ascii="Times New Roman" w:hAnsi="Times New Roman" w:cs="Times New Roman"/>
          <w:b/>
          <w:caps/>
          <w:sz w:val="24"/>
          <w:szCs w:val="24"/>
        </w:rPr>
        <w:t>), and Unlawfully Relies on the Amended Stipulation in Lieu of the Evidence of Record.</w:t>
      </w:r>
      <w:r w:rsidR="003E1574" w:rsidRPr="00614CB8">
        <w:rPr>
          <w:rFonts w:ascii="Times New Roman" w:hAnsi="Times New Roman" w:cs="Times New Roman"/>
          <w:caps/>
          <w:sz w:val="24"/>
          <w:szCs w:val="24"/>
        </w:rPr>
        <w:t xml:space="preserve">  </w:t>
      </w:r>
      <w:r w:rsidR="003E1574" w:rsidRPr="00614CB8">
        <w:rPr>
          <w:rFonts w:ascii="Times New Roman" w:hAnsi="Times New Roman" w:cs="Times New Roman"/>
          <w:b/>
          <w:i/>
          <w:caps/>
          <w:sz w:val="24"/>
          <w:szCs w:val="24"/>
        </w:rPr>
        <w:t>In re Columbus Southern Power Co.</w:t>
      </w:r>
      <w:r w:rsidR="00435F66" w:rsidRPr="00614CB8">
        <w:rPr>
          <w:rFonts w:ascii="Times New Roman" w:hAnsi="Times New Roman" w:cs="Times New Roman"/>
          <w:b/>
          <w:i/>
          <w:caps/>
          <w:sz w:val="24"/>
          <w:szCs w:val="24"/>
        </w:rPr>
        <w:t xml:space="preserve"> (2011)</w:t>
      </w:r>
      <w:r w:rsidR="003E1574" w:rsidRPr="00614CB8">
        <w:rPr>
          <w:rFonts w:ascii="Times New Roman" w:hAnsi="Times New Roman" w:cs="Times New Roman"/>
          <w:b/>
          <w:caps/>
          <w:sz w:val="24"/>
          <w:szCs w:val="24"/>
        </w:rPr>
        <w:t>, 129 Ohio St</w:t>
      </w:r>
      <w:r w:rsidR="003E1574" w:rsidRPr="004279F1">
        <w:rPr>
          <w:rFonts w:ascii="Times New Roman" w:hAnsi="Times New Roman" w:cs="Times New Roman"/>
          <w:b/>
          <w:sz w:val="24"/>
          <w:szCs w:val="24"/>
        </w:rPr>
        <w:t>.</w:t>
      </w:r>
      <w:r w:rsidR="00AE44FA">
        <w:rPr>
          <w:rFonts w:ascii="Times New Roman" w:hAnsi="Times New Roman" w:cs="Times New Roman"/>
          <w:b/>
          <w:sz w:val="24"/>
          <w:szCs w:val="24"/>
        </w:rPr>
        <w:t xml:space="preserve"> </w:t>
      </w:r>
      <w:r w:rsidR="003E1574" w:rsidRPr="004279F1">
        <w:rPr>
          <w:rFonts w:ascii="Times New Roman" w:hAnsi="Times New Roman" w:cs="Times New Roman"/>
          <w:b/>
          <w:sz w:val="24"/>
          <w:szCs w:val="24"/>
        </w:rPr>
        <w:t>3d 46</w:t>
      </w:r>
      <w:r w:rsidR="003E1574" w:rsidRPr="00435F66">
        <w:rPr>
          <w:rFonts w:ascii="Times New Roman" w:hAnsi="Times New Roman" w:cs="Times New Roman"/>
          <w:b/>
          <w:sz w:val="24"/>
          <w:szCs w:val="24"/>
        </w:rPr>
        <w:t>.</w:t>
      </w:r>
      <w:r w:rsidR="003E1574">
        <w:rPr>
          <w:rFonts w:ascii="Times New Roman" w:hAnsi="Times New Roman" w:cs="Times New Roman"/>
          <w:sz w:val="24"/>
          <w:szCs w:val="24"/>
        </w:rPr>
        <w:t xml:space="preserve">  </w:t>
      </w:r>
    </w:p>
    <w:p w:rsidR="00FE57EF" w:rsidRDefault="00217D74">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At hearing</w:t>
      </w:r>
      <w:r w:rsidR="00B85FC6">
        <w:rPr>
          <w:rFonts w:ascii="Times New Roman" w:hAnsi="Times New Roman" w:cs="Times New Roman"/>
          <w:sz w:val="24"/>
          <w:szCs w:val="24"/>
        </w:rPr>
        <w:t xml:space="preserve">, Columbia and OGMG/RESA each supported the SCO Security Deposit; but, </w:t>
      </w:r>
      <w:r w:rsidR="00435F66">
        <w:rPr>
          <w:rFonts w:ascii="Times New Roman" w:hAnsi="Times New Roman" w:cs="Times New Roman"/>
          <w:sz w:val="24"/>
          <w:szCs w:val="24"/>
        </w:rPr>
        <w:t xml:space="preserve">based upon different </w:t>
      </w:r>
      <w:r w:rsidR="00B85FC6">
        <w:rPr>
          <w:rFonts w:ascii="Times New Roman" w:hAnsi="Times New Roman" w:cs="Times New Roman"/>
          <w:sz w:val="24"/>
          <w:szCs w:val="24"/>
        </w:rPr>
        <w:t xml:space="preserve">rationale.  Columbia supported the deposit </w:t>
      </w:r>
      <w:r>
        <w:rPr>
          <w:rFonts w:ascii="Times New Roman" w:hAnsi="Times New Roman" w:cs="Times New Roman"/>
          <w:sz w:val="24"/>
          <w:szCs w:val="24"/>
        </w:rPr>
        <w:t xml:space="preserve">based upon its supposed need for “a liquid account to meet supply default expenses incurred by Columbia.”  Columbia Ex. 6, at 8.   OGMG/RESA supported the deposit </w:t>
      </w:r>
      <w:r w:rsidR="00366077">
        <w:rPr>
          <w:rFonts w:ascii="Times New Roman" w:hAnsi="Times New Roman" w:cs="Times New Roman"/>
          <w:sz w:val="24"/>
          <w:szCs w:val="24"/>
        </w:rPr>
        <w:t xml:space="preserve">to remedy what </w:t>
      </w:r>
      <w:r w:rsidR="00450132">
        <w:rPr>
          <w:rFonts w:ascii="Times New Roman" w:hAnsi="Times New Roman" w:cs="Times New Roman"/>
          <w:sz w:val="24"/>
          <w:szCs w:val="24"/>
        </w:rPr>
        <w:t xml:space="preserve">it </w:t>
      </w:r>
      <w:r w:rsidR="00366077">
        <w:rPr>
          <w:rFonts w:ascii="Times New Roman" w:hAnsi="Times New Roman" w:cs="Times New Roman"/>
          <w:sz w:val="24"/>
          <w:szCs w:val="24"/>
        </w:rPr>
        <w:t xml:space="preserve">alleges to be the subsidization of SCO service by all customers.  OGMG/RESA Exhibit 3, at 22.  However, </w:t>
      </w:r>
      <w:r w:rsidR="00435F66">
        <w:rPr>
          <w:rFonts w:ascii="Times New Roman" w:hAnsi="Times New Roman" w:cs="Times New Roman"/>
          <w:sz w:val="24"/>
          <w:szCs w:val="24"/>
        </w:rPr>
        <w:t xml:space="preserve">neither conducted a cost analysis to determine the costs Columbia may incur in the event of default, nor the level of </w:t>
      </w:r>
      <w:r w:rsidR="00435F66">
        <w:rPr>
          <w:rFonts w:ascii="Times New Roman" w:hAnsi="Times New Roman" w:cs="Times New Roman"/>
          <w:sz w:val="24"/>
          <w:szCs w:val="24"/>
        </w:rPr>
        <w:lastRenderedPageBreak/>
        <w:t xml:space="preserve">subsidization of SCO service, if any.  Tr. II., at 41; Tr. III, at 215; OGMG/RESA Post Hearing Brief, at 29.  Instead, </w:t>
      </w:r>
      <w:r w:rsidR="00366077">
        <w:rPr>
          <w:rFonts w:ascii="Times New Roman" w:hAnsi="Times New Roman" w:cs="Times New Roman"/>
          <w:sz w:val="24"/>
          <w:szCs w:val="24"/>
        </w:rPr>
        <w:t xml:space="preserve">each agreed to support the </w:t>
      </w:r>
      <w:r w:rsidR="00BF6C47">
        <w:rPr>
          <w:rFonts w:ascii="Times New Roman" w:hAnsi="Times New Roman" w:cs="Times New Roman"/>
          <w:sz w:val="24"/>
          <w:szCs w:val="24"/>
        </w:rPr>
        <w:t>$0.06/Mcf SCO Security Deposit as a “negotiated” price</w:t>
      </w:r>
      <w:r w:rsidR="00366077">
        <w:rPr>
          <w:rFonts w:ascii="Times New Roman" w:hAnsi="Times New Roman" w:cs="Times New Roman"/>
          <w:sz w:val="24"/>
          <w:szCs w:val="24"/>
        </w:rPr>
        <w:t xml:space="preserve"> as a part of the stipulation package</w:t>
      </w:r>
      <w:r w:rsidR="00435F66">
        <w:rPr>
          <w:rFonts w:ascii="Times New Roman" w:hAnsi="Times New Roman" w:cs="Times New Roman"/>
          <w:sz w:val="24"/>
          <w:szCs w:val="24"/>
        </w:rPr>
        <w:t xml:space="preserve">. </w:t>
      </w:r>
      <w:r w:rsidR="002127EE">
        <w:rPr>
          <w:rFonts w:ascii="Times New Roman" w:hAnsi="Times New Roman" w:cs="Times New Roman"/>
          <w:sz w:val="24"/>
          <w:szCs w:val="24"/>
        </w:rPr>
        <w:t xml:space="preserve"> </w:t>
      </w:r>
      <w:r w:rsidR="008B38F9">
        <w:rPr>
          <w:rFonts w:ascii="Times New Roman" w:hAnsi="Times New Roman" w:cs="Times New Roman"/>
          <w:sz w:val="24"/>
          <w:szCs w:val="24"/>
        </w:rPr>
        <w:t xml:space="preserve">Tr. II, at 41-42; </w:t>
      </w:r>
      <w:r w:rsidR="00435F66">
        <w:rPr>
          <w:rFonts w:ascii="Times New Roman" w:hAnsi="Times New Roman" w:cs="Times New Roman"/>
          <w:sz w:val="24"/>
          <w:szCs w:val="24"/>
        </w:rPr>
        <w:t>Joint Ex. 1, at 4</w:t>
      </w:r>
      <w:r w:rsidR="00366077">
        <w:rPr>
          <w:rFonts w:ascii="Times New Roman" w:hAnsi="Times New Roman" w:cs="Times New Roman"/>
          <w:sz w:val="24"/>
          <w:szCs w:val="24"/>
        </w:rPr>
        <w:t xml:space="preserve">.     </w:t>
      </w:r>
    </w:p>
    <w:p w:rsidR="00FE57EF" w:rsidRPr="001023BA" w:rsidRDefault="00450132" w:rsidP="001023BA">
      <w:pPr>
        <w:pStyle w:val="ListParagraph"/>
        <w:numPr>
          <w:ilvl w:val="0"/>
          <w:numId w:val="27"/>
        </w:numPr>
        <w:spacing w:after="0" w:line="240" w:lineRule="auto"/>
        <w:ind w:left="2160" w:right="630" w:hanging="720"/>
        <w:jc w:val="both"/>
        <w:rPr>
          <w:rFonts w:ascii="Times New Roman" w:hAnsi="Times New Roman" w:cs="Times New Roman"/>
          <w:b/>
          <w:i/>
          <w:sz w:val="24"/>
          <w:szCs w:val="24"/>
        </w:rPr>
      </w:pPr>
      <w:r w:rsidRPr="001023BA">
        <w:rPr>
          <w:rFonts w:ascii="Times New Roman" w:hAnsi="Times New Roman" w:cs="Times New Roman"/>
          <w:b/>
          <w:i/>
          <w:sz w:val="24"/>
          <w:szCs w:val="24"/>
        </w:rPr>
        <w:t xml:space="preserve">Any Finding that </w:t>
      </w:r>
      <w:r w:rsidR="00366077" w:rsidRPr="001023BA">
        <w:rPr>
          <w:rFonts w:ascii="Times New Roman" w:hAnsi="Times New Roman" w:cs="Times New Roman"/>
          <w:b/>
          <w:i/>
          <w:sz w:val="24"/>
          <w:szCs w:val="24"/>
        </w:rPr>
        <w:t>Columbia</w:t>
      </w:r>
      <w:r w:rsidRPr="001023BA">
        <w:rPr>
          <w:rFonts w:ascii="Times New Roman" w:hAnsi="Times New Roman" w:cs="Times New Roman"/>
          <w:b/>
          <w:i/>
          <w:sz w:val="24"/>
          <w:szCs w:val="24"/>
        </w:rPr>
        <w:t xml:space="preserve"> Needs the SCO Security Deposit as a Liquid Account is </w:t>
      </w:r>
      <w:r w:rsidR="00E20CA9" w:rsidRPr="001023BA">
        <w:rPr>
          <w:rFonts w:ascii="Times New Roman" w:hAnsi="Times New Roman" w:cs="Times New Roman"/>
          <w:b/>
          <w:i/>
          <w:sz w:val="24"/>
          <w:szCs w:val="24"/>
        </w:rPr>
        <w:t xml:space="preserve">Unlawful, </w:t>
      </w:r>
      <w:r w:rsidR="008B38F9" w:rsidRPr="001023BA">
        <w:rPr>
          <w:rFonts w:ascii="Times New Roman" w:hAnsi="Times New Roman" w:cs="Times New Roman"/>
          <w:b/>
          <w:i/>
          <w:sz w:val="24"/>
          <w:szCs w:val="24"/>
        </w:rPr>
        <w:t>Unr</w:t>
      </w:r>
      <w:r w:rsidR="00E20CA9" w:rsidRPr="001023BA">
        <w:rPr>
          <w:rFonts w:ascii="Times New Roman" w:hAnsi="Times New Roman" w:cs="Times New Roman"/>
          <w:b/>
          <w:i/>
          <w:sz w:val="24"/>
          <w:szCs w:val="24"/>
        </w:rPr>
        <w:t xml:space="preserve">easonable, and </w:t>
      </w:r>
      <w:r w:rsidRPr="001023BA">
        <w:rPr>
          <w:rFonts w:ascii="Times New Roman" w:hAnsi="Times New Roman" w:cs="Times New Roman"/>
          <w:b/>
          <w:i/>
          <w:sz w:val="24"/>
          <w:szCs w:val="24"/>
        </w:rPr>
        <w:t xml:space="preserve">Against the Manifest Weight of the Evidence, as </w:t>
      </w:r>
      <w:r w:rsidR="00435F66" w:rsidRPr="001023BA">
        <w:rPr>
          <w:rFonts w:ascii="Times New Roman" w:hAnsi="Times New Roman" w:cs="Times New Roman"/>
          <w:b/>
          <w:i/>
          <w:sz w:val="24"/>
          <w:szCs w:val="24"/>
        </w:rPr>
        <w:t xml:space="preserve">Columbia </w:t>
      </w:r>
      <w:r w:rsidRPr="001023BA">
        <w:rPr>
          <w:rFonts w:ascii="Times New Roman" w:hAnsi="Times New Roman" w:cs="Times New Roman"/>
          <w:b/>
          <w:i/>
          <w:sz w:val="24"/>
          <w:szCs w:val="24"/>
        </w:rPr>
        <w:t xml:space="preserve">Already has the Authority to Impose Cash Security Deposits on SCO Suppliers.  </w:t>
      </w:r>
      <w:r w:rsidR="00A73107" w:rsidRPr="001023BA">
        <w:rPr>
          <w:rFonts w:ascii="Times New Roman" w:hAnsi="Times New Roman" w:cs="Times New Roman"/>
          <w:b/>
          <w:i/>
          <w:sz w:val="24"/>
          <w:szCs w:val="24"/>
        </w:rPr>
        <w:t xml:space="preserve">Second </w:t>
      </w:r>
      <w:r w:rsidRPr="001023BA">
        <w:rPr>
          <w:rFonts w:ascii="Times New Roman" w:hAnsi="Times New Roman" w:cs="Times New Roman"/>
          <w:b/>
          <w:i/>
          <w:sz w:val="24"/>
          <w:szCs w:val="24"/>
        </w:rPr>
        <w:t>Revised Program Outline (Columbia Ex. 2,</w:t>
      </w:r>
      <w:r w:rsidR="008B38F9" w:rsidRPr="001023BA">
        <w:rPr>
          <w:rFonts w:ascii="Times New Roman" w:hAnsi="Times New Roman" w:cs="Times New Roman"/>
          <w:b/>
          <w:i/>
          <w:sz w:val="24"/>
          <w:szCs w:val="24"/>
        </w:rPr>
        <w:t xml:space="preserve"> at</w:t>
      </w:r>
      <w:r w:rsidRPr="001023BA">
        <w:rPr>
          <w:rFonts w:ascii="Times New Roman" w:hAnsi="Times New Roman" w:cs="Times New Roman"/>
          <w:b/>
          <w:i/>
          <w:sz w:val="24"/>
          <w:szCs w:val="24"/>
        </w:rPr>
        <w:t xml:space="preserve"> 16-20</w:t>
      </w:r>
      <w:r w:rsidR="008B38F9" w:rsidRPr="001023BA">
        <w:rPr>
          <w:rFonts w:ascii="Times New Roman" w:hAnsi="Times New Roman" w:cs="Times New Roman"/>
          <w:b/>
          <w:i/>
          <w:sz w:val="24"/>
          <w:szCs w:val="24"/>
        </w:rPr>
        <w:t>)</w:t>
      </w:r>
      <w:r w:rsidRPr="001023BA">
        <w:rPr>
          <w:rFonts w:ascii="Times New Roman" w:hAnsi="Times New Roman" w:cs="Times New Roman"/>
          <w:b/>
          <w:i/>
          <w:sz w:val="24"/>
          <w:szCs w:val="24"/>
        </w:rPr>
        <w:t xml:space="preserve">.  </w:t>
      </w:r>
    </w:p>
    <w:p w:rsidR="00A64B90" w:rsidRDefault="00D14ED7" w:rsidP="00AF3737">
      <w:pPr>
        <w:spacing w:before="240"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Although Columbia claims that it needs the SCO Supplier Deposit to provide it with a liquid account to meet SCO supplier default expenses, the evidence of records clearly shows that Columbia already possesses this authority.  </w:t>
      </w:r>
      <w:r w:rsidR="00CB345D">
        <w:rPr>
          <w:rFonts w:ascii="Times New Roman" w:hAnsi="Times New Roman"/>
          <w:sz w:val="24"/>
          <w:szCs w:val="24"/>
        </w:rPr>
        <w:t xml:space="preserve">Under </w:t>
      </w:r>
      <w:r w:rsidR="00BF6C47">
        <w:rPr>
          <w:rFonts w:ascii="Times New Roman" w:hAnsi="Times New Roman"/>
          <w:sz w:val="24"/>
          <w:szCs w:val="24"/>
        </w:rPr>
        <w:t xml:space="preserve">Columbia’s </w:t>
      </w:r>
      <w:r w:rsidR="00A73107">
        <w:rPr>
          <w:rFonts w:ascii="Times New Roman" w:hAnsi="Times New Roman"/>
          <w:sz w:val="24"/>
          <w:szCs w:val="24"/>
        </w:rPr>
        <w:t xml:space="preserve">Second </w:t>
      </w:r>
      <w:r w:rsidR="00CB345D">
        <w:rPr>
          <w:rFonts w:ascii="Times New Roman" w:hAnsi="Times New Roman"/>
          <w:sz w:val="24"/>
          <w:szCs w:val="24"/>
        </w:rPr>
        <w:t>Revised</w:t>
      </w:r>
      <w:r>
        <w:rPr>
          <w:rFonts w:ascii="Times New Roman" w:hAnsi="Times New Roman"/>
          <w:sz w:val="24"/>
          <w:szCs w:val="24"/>
        </w:rPr>
        <w:t xml:space="preserve"> Program Outline filed in this proceeding, C</w:t>
      </w:r>
      <w:r w:rsidR="00CB345D">
        <w:rPr>
          <w:rFonts w:ascii="Times New Roman" w:hAnsi="Times New Roman"/>
          <w:sz w:val="24"/>
          <w:szCs w:val="24"/>
        </w:rPr>
        <w:t xml:space="preserve">olumbia </w:t>
      </w:r>
      <w:r w:rsidR="00BF6C47">
        <w:rPr>
          <w:rFonts w:ascii="Times New Roman" w:hAnsi="Times New Roman"/>
          <w:sz w:val="24"/>
          <w:szCs w:val="24"/>
        </w:rPr>
        <w:t xml:space="preserve">always </w:t>
      </w:r>
      <w:r w:rsidR="002127EE">
        <w:rPr>
          <w:rFonts w:ascii="Times New Roman" w:hAnsi="Times New Roman"/>
          <w:sz w:val="24"/>
          <w:szCs w:val="24"/>
        </w:rPr>
        <w:t xml:space="preserve">has </w:t>
      </w:r>
      <w:r w:rsidR="00BF6C47">
        <w:rPr>
          <w:rFonts w:ascii="Times New Roman" w:hAnsi="Times New Roman"/>
          <w:sz w:val="24"/>
          <w:szCs w:val="24"/>
        </w:rPr>
        <w:t xml:space="preserve">been </w:t>
      </w:r>
      <w:r w:rsidR="00CB345D">
        <w:rPr>
          <w:rFonts w:ascii="Times New Roman" w:hAnsi="Times New Roman"/>
          <w:sz w:val="24"/>
          <w:szCs w:val="24"/>
        </w:rPr>
        <w:t>authorized to con</w:t>
      </w:r>
      <w:r>
        <w:rPr>
          <w:rFonts w:ascii="Times New Roman" w:hAnsi="Times New Roman"/>
          <w:sz w:val="24"/>
          <w:szCs w:val="24"/>
        </w:rPr>
        <w:t xml:space="preserve">duct pre-auction credit evaluations of all SCO </w:t>
      </w:r>
      <w:r w:rsidR="00CB345D">
        <w:rPr>
          <w:rFonts w:ascii="Times New Roman" w:hAnsi="Times New Roman"/>
          <w:sz w:val="24"/>
          <w:szCs w:val="24"/>
        </w:rPr>
        <w:t xml:space="preserve">bidders, </w:t>
      </w:r>
      <w:r>
        <w:rPr>
          <w:rFonts w:ascii="Times New Roman" w:hAnsi="Times New Roman"/>
          <w:sz w:val="24"/>
          <w:szCs w:val="24"/>
        </w:rPr>
        <w:t xml:space="preserve">and retains the right to make alternative credit arrangements with an SCO supplier should </w:t>
      </w:r>
      <w:r w:rsidR="00CB345D">
        <w:rPr>
          <w:rFonts w:ascii="Times New Roman" w:hAnsi="Times New Roman"/>
          <w:sz w:val="24"/>
          <w:szCs w:val="24"/>
        </w:rPr>
        <w:t xml:space="preserve">Columbia </w:t>
      </w:r>
      <w:r>
        <w:rPr>
          <w:rFonts w:ascii="Times New Roman" w:hAnsi="Times New Roman"/>
          <w:sz w:val="24"/>
          <w:szCs w:val="24"/>
        </w:rPr>
        <w:t xml:space="preserve">deem it necessary </w:t>
      </w:r>
      <w:r w:rsidR="008B38F9">
        <w:rPr>
          <w:rFonts w:ascii="Times New Roman" w:hAnsi="Times New Roman"/>
          <w:sz w:val="24"/>
          <w:szCs w:val="24"/>
        </w:rPr>
        <w:t xml:space="preserve">(Columbia Ex. 2, at 16-20)  </w:t>
      </w:r>
      <w:r>
        <w:rPr>
          <w:rFonts w:ascii="Times New Roman" w:hAnsi="Times New Roman"/>
          <w:sz w:val="24"/>
          <w:szCs w:val="24"/>
        </w:rPr>
        <w:t xml:space="preserve">(including requiring a guarantee, irrevocable letter of credit </w:t>
      </w:r>
      <w:r w:rsidRPr="00A73107">
        <w:rPr>
          <w:rFonts w:ascii="Times New Roman" w:hAnsi="Times New Roman"/>
          <w:b/>
          <w:i/>
          <w:sz w:val="24"/>
          <w:szCs w:val="24"/>
          <w:u w:val="single"/>
        </w:rPr>
        <w:t>or a refundable cash deposit</w:t>
      </w:r>
      <w:r w:rsidRPr="008151E0">
        <w:rPr>
          <w:rFonts w:ascii="Times New Roman" w:hAnsi="Times New Roman"/>
          <w:sz w:val="24"/>
          <w:szCs w:val="24"/>
        </w:rPr>
        <w:t xml:space="preserve"> </w:t>
      </w:r>
      <w:r>
        <w:rPr>
          <w:rFonts w:ascii="Times New Roman" w:hAnsi="Times New Roman"/>
          <w:sz w:val="24"/>
          <w:szCs w:val="24"/>
        </w:rPr>
        <w:t>in appropriate circumstances</w:t>
      </w:r>
      <w:r w:rsidR="008B38F9">
        <w:rPr>
          <w:rFonts w:ascii="Times New Roman" w:hAnsi="Times New Roman"/>
          <w:sz w:val="24"/>
          <w:szCs w:val="24"/>
        </w:rPr>
        <w:t>).</w:t>
      </w:r>
      <w:r w:rsidR="00CB345D">
        <w:rPr>
          <w:rFonts w:ascii="Times New Roman" w:hAnsi="Times New Roman"/>
          <w:sz w:val="24"/>
          <w:szCs w:val="24"/>
        </w:rPr>
        <w:t xml:space="preserve"> </w:t>
      </w:r>
      <w:r w:rsidR="008B38F9">
        <w:rPr>
          <w:rFonts w:ascii="Times New Roman" w:hAnsi="Times New Roman"/>
          <w:sz w:val="24"/>
          <w:szCs w:val="24"/>
        </w:rPr>
        <w:t xml:space="preserve"> </w:t>
      </w:r>
      <w:r w:rsidR="00CB345D">
        <w:rPr>
          <w:rFonts w:ascii="Times New Roman" w:hAnsi="Times New Roman"/>
          <w:sz w:val="24"/>
          <w:szCs w:val="24"/>
        </w:rPr>
        <w:t>Columbia Ex. 2, at 18</w:t>
      </w:r>
      <w:r>
        <w:rPr>
          <w:rFonts w:ascii="Times New Roman" w:hAnsi="Times New Roman"/>
          <w:sz w:val="24"/>
          <w:szCs w:val="24"/>
        </w:rPr>
        <w:t xml:space="preserve">.  </w:t>
      </w:r>
      <w:r w:rsidR="00CB345D">
        <w:rPr>
          <w:rFonts w:ascii="Times New Roman" w:hAnsi="Times New Roman"/>
          <w:sz w:val="24"/>
          <w:szCs w:val="24"/>
        </w:rPr>
        <w:t xml:space="preserve">As Hess witness Magnini testified, the current credit arrangements that the </w:t>
      </w:r>
      <w:r w:rsidR="00A73107">
        <w:rPr>
          <w:rFonts w:ascii="Times New Roman" w:hAnsi="Times New Roman"/>
          <w:sz w:val="24"/>
          <w:szCs w:val="24"/>
        </w:rPr>
        <w:t xml:space="preserve">Second </w:t>
      </w:r>
      <w:r w:rsidR="00CB345D">
        <w:rPr>
          <w:rFonts w:ascii="Times New Roman" w:hAnsi="Times New Roman"/>
          <w:sz w:val="24"/>
          <w:szCs w:val="24"/>
        </w:rPr>
        <w:t>Revised Program Outline provides Columbia, including the ability to impose cash deposits on SCO suppliers, obviates the need for the proposed deposit.  Hess Ex. 1, at 18.  Any finding that Columbia needs the ability to impose a cash security deposit on SCO supplier</w:t>
      </w:r>
      <w:r w:rsidR="00A73107">
        <w:rPr>
          <w:rFonts w:ascii="Times New Roman" w:hAnsi="Times New Roman"/>
          <w:sz w:val="24"/>
          <w:szCs w:val="24"/>
        </w:rPr>
        <w:t>s</w:t>
      </w:r>
      <w:r w:rsidR="00CB345D">
        <w:rPr>
          <w:rFonts w:ascii="Times New Roman" w:hAnsi="Times New Roman"/>
          <w:sz w:val="24"/>
          <w:szCs w:val="24"/>
        </w:rPr>
        <w:t>, an ability it already has, is unreasonable</w:t>
      </w:r>
      <w:r w:rsidR="00677F30">
        <w:rPr>
          <w:rFonts w:ascii="Times New Roman" w:hAnsi="Times New Roman"/>
          <w:sz w:val="24"/>
          <w:szCs w:val="24"/>
        </w:rPr>
        <w:t xml:space="preserve">, </w:t>
      </w:r>
      <w:r w:rsidR="00CB345D">
        <w:rPr>
          <w:rFonts w:ascii="Times New Roman" w:hAnsi="Times New Roman"/>
          <w:sz w:val="24"/>
          <w:szCs w:val="24"/>
        </w:rPr>
        <w:t xml:space="preserve">unlawful and against the manifest weight of the evidence. </w:t>
      </w:r>
      <w:r w:rsidR="008B38F9" w:rsidRPr="008B38F9">
        <w:rPr>
          <w:rFonts w:ascii="Times New Roman" w:hAnsi="Times New Roman" w:cs="Times New Roman"/>
          <w:i/>
          <w:sz w:val="24"/>
          <w:szCs w:val="24"/>
        </w:rPr>
        <w:t>Cleveland Elec. Illum. Co v. Pub. Util. Comm.</w:t>
      </w:r>
      <w:r w:rsidR="008B38F9" w:rsidRPr="008B38F9">
        <w:rPr>
          <w:rFonts w:ascii="Times New Roman" w:hAnsi="Times New Roman" w:cs="Times New Roman"/>
          <w:sz w:val="24"/>
          <w:szCs w:val="24"/>
        </w:rPr>
        <w:t xml:space="preserve"> (1975), 42 Ohio St. 2d 403</w:t>
      </w:r>
      <w:r w:rsidR="00A64B90">
        <w:rPr>
          <w:rFonts w:ascii="Times New Roman" w:hAnsi="Times New Roman" w:cs="Times New Roman"/>
          <w:sz w:val="24"/>
          <w:szCs w:val="24"/>
        </w:rPr>
        <w:t>.</w:t>
      </w:r>
    </w:p>
    <w:p w:rsidR="00FE57EF" w:rsidRDefault="002127EE" w:rsidP="00A64B90">
      <w:pPr>
        <w:spacing w:after="0" w:line="480" w:lineRule="auto"/>
        <w:ind w:firstLine="720"/>
        <w:jc w:val="both"/>
        <w:rPr>
          <w:rFonts w:ascii="Times New Roman" w:hAnsi="Times New Roman"/>
          <w:sz w:val="24"/>
          <w:szCs w:val="24"/>
        </w:rPr>
      </w:pPr>
      <w:r>
        <w:rPr>
          <w:rFonts w:ascii="Times New Roman" w:hAnsi="Times New Roman"/>
          <w:sz w:val="24"/>
          <w:szCs w:val="24"/>
        </w:rPr>
        <w:t xml:space="preserve">Indeed, the fact that Columbia already possesses the ability to require a </w:t>
      </w:r>
      <w:r w:rsidRPr="00A64B90">
        <w:rPr>
          <w:rFonts w:ascii="Times New Roman" w:hAnsi="Times New Roman"/>
          <w:b/>
          <w:i/>
          <w:sz w:val="24"/>
          <w:szCs w:val="24"/>
          <w:u w:val="single"/>
        </w:rPr>
        <w:t>refundable</w:t>
      </w:r>
      <w:r>
        <w:rPr>
          <w:rFonts w:ascii="Times New Roman" w:hAnsi="Times New Roman"/>
          <w:sz w:val="24"/>
          <w:szCs w:val="24"/>
        </w:rPr>
        <w:t xml:space="preserve"> cash security deposit of SCO suppliers makes the request for approval of the </w:t>
      </w:r>
      <w:r w:rsidRPr="00A64B90">
        <w:rPr>
          <w:rFonts w:ascii="Times New Roman" w:hAnsi="Times New Roman"/>
          <w:b/>
          <w:i/>
          <w:sz w:val="24"/>
          <w:szCs w:val="24"/>
          <w:u w:val="single"/>
        </w:rPr>
        <w:t>non-refundable</w:t>
      </w:r>
      <w:r>
        <w:rPr>
          <w:rFonts w:ascii="Times New Roman" w:hAnsi="Times New Roman"/>
          <w:sz w:val="24"/>
          <w:szCs w:val="24"/>
        </w:rPr>
        <w:t xml:space="preserve"> cash SC</w:t>
      </w:r>
      <w:r w:rsidR="00A64B90">
        <w:rPr>
          <w:rFonts w:ascii="Times New Roman" w:hAnsi="Times New Roman"/>
          <w:sz w:val="24"/>
          <w:szCs w:val="24"/>
        </w:rPr>
        <w:t>O</w:t>
      </w:r>
      <w:r>
        <w:rPr>
          <w:rFonts w:ascii="Times New Roman" w:hAnsi="Times New Roman"/>
          <w:sz w:val="24"/>
          <w:szCs w:val="24"/>
        </w:rPr>
        <w:t xml:space="preserve"> Security Deposit</w:t>
      </w:r>
      <w:r w:rsidR="00A64B90">
        <w:rPr>
          <w:rFonts w:ascii="Times New Roman" w:hAnsi="Times New Roman"/>
          <w:sz w:val="24"/>
          <w:szCs w:val="24"/>
        </w:rPr>
        <w:t xml:space="preserve"> in this proceeding</w:t>
      </w:r>
      <w:r>
        <w:rPr>
          <w:rFonts w:ascii="Times New Roman" w:hAnsi="Times New Roman"/>
          <w:sz w:val="24"/>
          <w:szCs w:val="24"/>
        </w:rPr>
        <w:t xml:space="preserve"> </w:t>
      </w:r>
      <w:r w:rsidR="00A64B90">
        <w:rPr>
          <w:rFonts w:ascii="Times New Roman" w:hAnsi="Times New Roman"/>
          <w:sz w:val="24"/>
          <w:szCs w:val="24"/>
        </w:rPr>
        <w:t xml:space="preserve">nothing more than </w:t>
      </w:r>
      <w:r>
        <w:rPr>
          <w:rFonts w:ascii="Times New Roman" w:hAnsi="Times New Roman"/>
          <w:sz w:val="24"/>
          <w:szCs w:val="24"/>
        </w:rPr>
        <w:t>a pre-text</w:t>
      </w:r>
      <w:r w:rsidR="00A64B90">
        <w:rPr>
          <w:rFonts w:ascii="Times New Roman" w:hAnsi="Times New Roman"/>
          <w:sz w:val="24"/>
          <w:szCs w:val="24"/>
        </w:rPr>
        <w:t xml:space="preserve"> to impose a fee, not </w:t>
      </w:r>
      <w:r w:rsidR="00A64B90">
        <w:rPr>
          <w:rFonts w:ascii="Times New Roman" w:hAnsi="Times New Roman"/>
          <w:sz w:val="24"/>
          <w:szCs w:val="24"/>
        </w:rPr>
        <w:lastRenderedPageBreak/>
        <w:t xml:space="preserve">supported by the evidence, on SCO suppliers, allegedly to remedy OGMG/RESA’s unsupported allegations that SCO services are improperly subsidized. </w:t>
      </w:r>
    </w:p>
    <w:p w:rsidR="00FE57EF" w:rsidRPr="001023BA" w:rsidRDefault="00E20CA9" w:rsidP="001023BA">
      <w:pPr>
        <w:pStyle w:val="ListParagraph"/>
        <w:numPr>
          <w:ilvl w:val="0"/>
          <w:numId w:val="27"/>
        </w:numPr>
        <w:spacing w:after="0" w:line="240" w:lineRule="auto"/>
        <w:ind w:left="2160" w:right="630" w:hanging="720"/>
        <w:jc w:val="both"/>
        <w:rPr>
          <w:rFonts w:ascii="Times New Roman" w:hAnsi="Times New Roman"/>
          <w:b/>
          <w:i/>
          <w:sz w:val="24"/>
          <w:szCs w:val="24"/>
        </w:rPr>
      </w:pPr>
      <w:r w:rsidRPr="001023BA">
        <w:rPr>
          <w:rFonts w:ascii="Times New Roman" w:hAnsi="Times New Roman"/>
          <w:b/>
          <w:i/>
          <w:sz w:val="24"/>
          <w:szCs w:val="24"/>
        </w:rPr>
        <w:t>Any Finding that the $.06/Mcf SCO Security Deposit is Required to Remedy the Subsidization of SCO Service is Unlawful, Unreasonable, and Against the Manifest Weight of the Evidence, as the Evidence of Record Does Not Support the Level of the Charge</w:t>
      </w:r>
      <w:r w:rsidR="008B38F9" w:rsidRPr="001023BA">
        <w:rPr>
          <w:rFonts w:ascii="Times New Roman" w:hAnsi="Times New Roman"/>
          <w:b/>
          <w:i/>
          <w:sz w:val="24"/>
          <w:szCs w:val="24"/>
        </w:rPr>
        <w:t>, if Any</w:t>
      </w:r>
      <w:r w:rsidRPr="001023BA">
        <w:rPr>
          <w:rFonts w:ascii="Times New Roman" w:hAnsi="Times New Roman"/>
          <w:b/>
          <w:i/>
          <w:sz w:val="24"/>
          <w:szCs w:val="24"/>
        </w:rPr>
        <w:t>.</w:t>
      </w:r>
    </w:p>
    <w:p w:rsidR="00FE57EF" w:rsidRDefault="006E2B39">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C546E">
        <w:rPr>
          <w:rFonts w:ascii="Times New Roman" w:hAnsi="Times New Roman" w:cs="Times New Roman"/>
          <w:sz w:val="24"/>
          <w:szCs w:val="24"/>
        </w:rPr>
        <w:t>As stated previously, OGMG/RESA supports the SCO Security Deposit to remedy what it alleges to be the subsidization of SCO service by all customers.  Specifically, OGMG/RESA proposes that any remaining balance of the deposit at the end of the Program Year be passed through the CSRR</w:t>
      </w:r>
      <w:r w:rsidR="00DA4F22">
        <w:rPr>
          <w:rFonts w:ascii="Times New Roman" w:hAnsi="Times New Roman" w:cs="Times New Roman"/>
          <w:sz w:val="24"/>
          <w:szCs w:val="24"/>
        </w:rPr>
        <w:t xml:space="preserve"> to all customers</w:t>
      </w:r>
      <w:r w:rsidR="00FC546E">
        <w:rPr>
          <w:rFonts w:ascii="Times New Roman" w:hAnsi="Times New Roman" w:cs="Times New Roman"/>
          <w:sz w:val="24"/>
          <w:szCs w:val="24"/>
        </w:rPr>
        <w:t xml:space="preserve">.  </w:t>
      </w:r>
      <w:r w:rsidR="007E2154">
        <w:rPr>
          <w:rFonts w:ascii="Times New Roman" w:hAnsi="Times New Roman" w:cs="Times New Roman"/>
          <w:sz w:val="24"/>
          <w:szCs w:val="24"/>
        </w:rPr>
        <w:t xml:space="preserve">Thus, </w:t>
      </w:r>
      <w:r w:rsidR="00FC546E">
        <w:rPr>
          <w:rFonts w:ascii="Times New Roman" w:hAnsi="Times New Roman" w:cs="Times New Roman"/>
          <w:sz w:val="24"/>
          <w:szCs w:val="24"/>
        </w:rPr>
        <w:t>the S</w:t>
      </w:r>
      <w:r>
        <w:rPr>
          <w:rFonts w:ascii="Times New Roman" w:hAnsi="Times New Roman" w:cs="Times New Roman"/>
          <w:sz w:val="24"/>
          <w:szCs w:val="24"/>
        </w:rPr>
        <w:t xml:space="preserve">ignatory Parties have inexorably linked the ability </w:t>
      </w:r>
      <w:r w:rsidR="00FC546E">
        <w:rPr>
          <w:rFonts w:ascii="Times New Roman" w:hAnsi="Times New Roman" w:cs="Times New Roman"/>
          <w:sz w:val="24"/>
          <w:szCs w:val="24"/>
        </w:rPr>
        <w:t>to remedy the alleged subsidization of SCO service to approval of the proposed SCO Security Deposit</w:t>
      </w:r>
      <w:r w:rsidR="007E2154">
        <w:rPr>
          <w:rFonts w:ascii="Times New Roman" w:hAnsi="Times New Roman" w:cs="Times New Roman"/>
          <w:sz w:val="24"/>
          <w:szCs w:val="24"/>
        </w:rPr>
        <w:t xml:space="preserve">. </w:t>
      </w:r>
      <w:r w:rsidR="00C835B8">
        <w:rPr>
          <w:rFonts w:ascii="Times New Roman" w:hAnsi="Times New Roman" w:cs="Times New Roman"/>
          <w:sz w:val="24"/>
          <w:szCs w:val="24"/>
        </w:rPr>
        <w:t xml:space="preserve"> </w:t>
      </w:r>
      <w:r w:rsidR="007E2154">
        <w:rPr>
          <w:rFonts w:ascii="Times New Roman" w:hAnsi="Times New Roman" w:cs="Times New Roman"/>
          <w:sz w:val="24"/>
          <w:szCs w:val="24"/>
        </w:rPr>
        <w:t>Once the Commission disapproves the deposit</w:t>
      </w:r>
      <w:r w:rsidR="008B38F9">
        <w:rPr>
          <w:rFonts w:ascii="Times New Roman" w:hAnsi="Times New Roman" w:cs="Times New Roman"/>
          <w:sz w:val="24"/>
          <w:szCs w:val="24"/>
        </w:rPr>
        <w:t xml:space="preserve"> as unnecessary to meet supplier default expenses</w:t>
      </w:r>
      <w:r w:rsidR="007E2154">
        <w:rPr>
          <w:rFonts w:ascii="Times New Roman" w:hAnsi="Times New Roman" w:cs="Times New Roman"/>
          <w:sz w:val="24"/>
          <w:szCs w:val="24"/>
        </w:rPr>
        <w:t xml:space="preserve">, as </w:t>
      </w:r>
      <w:r w:rsidR="00F84C86">
        <w:rPr>
          <w:rFonts w:ascii="Times New Roman" w:hAnsi="Times New Roman" w:cs="Times New Roman"/>
          <w:sz w:val="24"/>
          <w:szCs w:val="24"/>
        </w:rPr>
        <w:t xml:space="preserve">respectfully </w:t>
      </w:r>
      <w:r w:rsidR="007E2154">
        <w:rPr>
          <w:rFonts w:ascii="Times New Roman" w:hAnsi="Times New Roman" w:cs="Times New Roman"/>
          <w:sz w:val="24"/>
          <w:szCs w:val="24"/>
        </w:rPr>
        <w:t>required under the above analysis, the Commission’s inquiry must come to an end</w:t>
      </w:r>
      <w:r w:rsidR="00AF3737">
        <w:rPr>
          <w:rFonts w:ascii="Times New Roman" w:hAnsi="Times New Roman" w:cs="Times New Roman"/>
          <w:sz w:val="24"/>
          <w:szCs w:val="24"/>
        </w:rPr>
        <w:t>, because</w:t>
      </w:r>
      <w:r w:rsidR="007E2154">
        <w:rPr>
          <w:rFonts w:ascii="Times New Roman" w:hAnsi="Times New Roman" w:cs="Times New Roman"/>
          <w:sz w:val="24"/>
          <w:szCs w:val="24"/>
        </w:rPr>
        <w:t xml:space="preserve"> </w:t>
      </w:r>
      <w:r w:rsidR="00AF3737">
        <w:rPr>
          <w:rFonts w:ascii="Times New Roman" w:hAnsi="Times New Roman" w:cs="Times New Roman"/>
          <w:sz w:val="24"/>
          <w:szCs w:val="24"/>
        </w:rPr>
        <w:t>no evidence of record supports a stand-alone fee to be charged SCO suppliers to remedy OGMG/RESA’s allegations of subsidization.  Moreover, once the Commission disapproves the deposit, i</w:t>
      </w:r>
      <w:r w:rsidR="007E2154">
        <w:rPr>
          <w:rFonts w:ascii="Times New Roman" w:hAnsi="Times New Roman" w:cs="Times New Roman"/>
          <w:sz w:val="24"/>
          <w:szCs w:val="24"/>
        </w:rPr>
        <w:t xml:space="preserve">t need not consider the remaining issues discussed below, which show that the level of the deposit is not supported by the manifest weight of the evidence and that the deposit unduly discriminates against SCO suppliers. </w:t>
      </w:r>
      <w:r w:rsidR="00FC54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57EF" w:rsidRDefault="007E21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Assuming, arguendo, that the Commission determines that Columbia needs additional authority, be</w:t>
      </w:r>
      <w:r w:rsidR="00F84C86">
        <w:rPr>
          <w:rFonts w:ascii="Times New Roman" w:hAnsi="Times New Roman" w:cs="Times New Roman"/>
          <w:sz w:val="24"/>
          <w:szCs w:val="24"/>
        </w:rPr>
        <w:t>y</w:t>
      </w:r>
      <w:r>
        <w:rPr>
          <w:rFonts w:ascii="Times New Roman" w:hAnsi="Times New Roman" w:cs="Times New Roman"/>
          <w:sz w:val="24"/>
          <w:szCs w:val="24"/>
        </w:rPr>
        <w:t>ond what it already has, to require a cash deposit</w:t>
      </w:r>
      <w:r w:rsidR="00DA4F22">
        <w:rPr>
          <w:rFonts w:ascii="Times New Roman" w:hAnsi="Times New Roman" w:cs="Times New Roman"/>
          <w:sz w:val="24"/>
          <w:szCs w:val="24"/>
        </w:rPr>
        <w:t xml:space="preserve"> of SCO suppliers</w:t>
      </w:r>
      <w:r>
        <w:rPr>
          <w:rFonts w:ascii="Times New Roman" w:hAnsi="Times New Roman" w:cs="Times New Roman"/>
          <w:sz w:val="24"/>
          <w:szCs w:val="24"/>
        </w:rPr>
        <w:t xml:space="preserve">, the evidence of record does not support the </w:t>
      </w:r>
      <w:r w:rsidR="00F84C86">
        <w:rPr>
          <w:rFonts w:ascii="Times New Roman" w:hAnsi="Times New Roman" w:cs="Times New Roman"/>
          <w:sz w:val="24"/>
          <w:szCs w:val="24"/>
        </w:rPr>
        <w:t>level of the charge</w:t>
      </w:r>
      <w:r>
        <w:rPr>
          <w:rFonts w:ascii="Times New Roman" w:hAnsi="Times New Roman" w:cs="Times New Roman"/>
          <w:sz w:val="24"/>
          <w:szCs w:val="24"/>
        </w:rPr>
        <w:t>.</w:t>
      </w:r>
      <w:r w:rsidR="00F84C86">
        <w:rPr>
          <w:rStyle w:val="FootnoteReference"/>
          <w:rFonts w:ascii="Times New Roman" w:hAnsi="Times New Roman" w:cs="Times New Roman"/>
          <w:sz w:val="24"/>
          <w:szCs w:val="24"/>
        </w:rPr>
        <w:footnoteReference w:id="4"/>
      </w:r>
      <w:r w:rsidR="00F84C86">
        <w:rPr>
          <w:rFonts w:ascii="Times New Roman" w:hAnsi="Times New Roman" w:cs="Times New Roman"/>
          <w:sz w:val="24"/>
          <w:szCs w:val="24"/>
        </w:rPr>
        <w:t xml:space="preserve">  </w:t>
      </w:r>
      <w:r w:rsidR="00BD4E17">
        <w:rPr>
          <w:rFonts w:ascii="Times New Roman" w:hAnsi="Times New Roman" w:cs="Times New Roman"/>
          <w:sz w:val="24"/>
          <w:szCs w:val="24"/>
        </w:rPr>
        <w:t>OGMG/RESA was the only Signatory Party to attempt to justify the level of the Security Deposit</w:t>
      </w:r>
      <w:r w:rsidR="004C72E0">
        <w:rPr>
          <w:rFonts w:ascii="Times New Roman" w:hAnsi="Times New Roman" w:cs="Times New Roman"/>
          <w:sz w:val="24"/>
          <w:szCs w:val="24"/>
        </w:rPr>
        <w:t xml:space="preserve">, and did so on the basis of the </w:t>
      </w:r>
      <w:r w:rsidR="00516B04">
        <w:rPr>
          <w:rFonts w:ascii="Times New Roman" w:hAnsi="Times New Roman" w:cs="Times New Roman"/>
          <w:sz w:val="24"/>
          <w:szCs w:val="24"/>
        </w:rPr>
        <w:t xml:space="preserve">alleged </w:t>
      </w:r>
      <w:r w:rsidR="004C72E0">
        <w:rPr>
          <w:rFonts w:ascii="Times New Roman" w:hAnsi="Times New Roman" w:cs="Times New Roman"/>
          <w:sz w:val="24"/>
          <w:szCs w:val="24"/>
        </w:rPr>
        <w:t xml:space="preserve">subsidies that all customers provide to SCO service.  OGMG/RESA reasoned that subsidies are </w:t>
      </w:r>
      <w:r w:rsidR="004C72E0">
        <w:rPr>
          <w:rFonts w:ascii="Times New Roman" w:hAnsi="Times New Roman" w:cs="Times New Roman"/>
          <w:sz w:val="24"/>
          <w:szCs w:val="24"/>
        </w:rPr>
        <w:lastRenderedPageBreak/>
        <w:t xml:space="preserve">being provided for the costs associated with </w:t>
      </w:r>
      <w:r w:rsidR="007343E7">
        <w:rPr>
          <w:rFonts w:ascii="Times New Roman" w:hAnsi="Times New Roman" w:cs="Times New Roman"/>
          <w:sz w:val="24"/>
          <w:szCs w:val="24"/>
        </w:rPr>
        <w:t xml:space="preserve">Columbia’s </w:t>
      </w:r>
      <w:r w:rsidR="00516B04">
        <w:rPr>
          <w:rFonts w:ascii="Times New Roman" w:hAnsi="Times New Roman" w:cs="Times New Roman"/>
          <w:sz w:val="24"/>
          <w:szCs w:val="24"/>
        </w:rPr>
        <w:t xml:space="preserve">educational programs, </w:t>
      </w:r>
      <w:r w:rsidR="00DA4F22">
        <w:rPr>
          <w:rFonts w:ascii="Times New Roman" w:hAnsi="Times New Roman" w:cs="Times New Roman"/>
          <w:sz w:val="24"/>
          <w:szCs w:val="24"/>
        </w:rPr>
        <w:t xml:space="preserve">a </w:t>
      </w:r>
      <w:r w:rsidR="007343E7">
        <w:rPr>
          <w:rFonts w:ascii="Times New Roman" w:hAnsi="Times New Roman" w:cs="Times New Roman"/>
          <w:sz w:val="24"/>
          <w:szCs w:val="24"/>
        </w:rPr>
        <w:t>Columbia</w:t>
      </w:r>
      <w:r w:rsidR="00DA4F22">
        <w:rPr>
          <w:rFonts w:ascii="Times New Roman" w:hAnsi="Times New Roman" w:cs="Times New Roman"/>
          <w:sz w:val="24"/>
          <w:szCs w:val="24"/>
        </w:rPr>
        <w:t>-</w:t>
      </w:r>
      <w:r w:rsidR="007343E7">
        <w:rPr>
          <w:rFonts w:ascii="Times New Roman" w:hAnsi="Times New Roman" w:cs="Times New Roman"/>
          <w:sz w:val="24"/>
          <w:szCs w:val="24"/>
        </w:rPr>
        <w:t>staff</w:t>
      </w:r>
      <w:r w:rsidR="00DA4F22">
        <w:rPr>
          <w:rFonts w:ascii="Times New Roman" w:hAnsi="Times New Roman" w:cs="Times New Roman"/>
          <w:sz w:val="24"/>
          <w:szCs w:val="24"/>
        </w:rPr>
        <w:t>ed</w:t>
      </w:r>
      <w:r w:rsidR="007343E7">
        <w:rPr>
          <w:rFonts w:ascii="Times New Roman" w:hAnsi="Times New Roman" w:cs="Times New Roman"/>
          <w:sz w:val="24"/>
          <w:szCs w:val="24"/>
        </w:rPr>
        <w:t xml:space="preserve"> </w:t>
      </w:r>
      <w:r w:rsidR="00546063">
        <w:rPr>
          <w:rFonts w:ascii="Times New Roman" w:hAnsi="Times New Roman" w:cs="Times New Roman"/>
          <w:sz w:val="24"/>
          <w:szCs w:val="24"/>
        </w:rPr>
        <w:t xml:space="preserve">consumers’ </w:t>
      </w:r>
      <w:r w:rsidR="007343E7">
        <w:rPr>
          <w:rFonts w:ascii="Times New Roman" w:hAnsi="Times New Roman" w:cs="Times New Roman"/>
          <w:sz w:val="24"/>
          <w:szCs w:val="24"/>
        </w:rPr>
        <w:t xml:space="preserve">call center, Choice suppliers’ </w:t>
      </w:r>
      <w:r w:rsidR="00516B04">
        <w:rPr>
          <w:rFonts w:ascii="Times New Roman" w:hAnsi="Times New Roman" w:cs="Times New Roman"/>
          <w:sz w:val="24"/>
          <w:szCs w:val="24"/>
        </w:rPr>
        <w:t xml:space="preserve">compliance with the Commission’s rules, and </w:t>
      </w:r>
      <w:r w:rsidR="007343E7">
        <w:rPr>
          <w:rFonts w:ascii="Times New Roman" w:hAnsi="Times New Roman" w:cs="Times New Roman"/>
          <w:sz w:val="24"/>
          <w:szCs w:val="24"/>
        </w:rPr>
        <w:t xml:space="preserve">Columbia’s costs associated with </w:t>
      </w:r>
      <w:r w:rsidR="00516B04">
        <w:rPr>
          <w:rFonts w:ascii="Times New Roman" w:hAnsi="Times New Roman" w:cs="Times New Roman"/>
          <w:sz w:val="24"/>
          <w:szCs w:val="24"/>
        </w:rPr>
        <w:t xml:space="preserve">the </w:t>
      </w:r>
      <w:r w:rsidR="004C72E0">
        <w:rPr>
          <w:rFonts w:ascii="Times New Roman" w:hAnsi="Times New Roman" w:cs="Times New Roman"/>
          <w:sz w:val="24"/>
          <w:szCs w:val="24"/>
        </w:rPr>
        <w:t>annual SCO auctions</w:t>
      </w:r>
      <w:r w:rsidR="00AF3737">
        <w:rPr>
          <w:rFonts w:ascii="Times New Roman" w:hAnsi="Times New Roman" w:cs="Times New Roman"/>
          <w:sz w:val="24"/>
          <w:szCs w:val="24"/>
        </w:rPr>
        <w:t xml:space="preserve">.  </w:t>
      </w:r>
      <w:r w:rsidR="004C72E0">
        <w:rPr>
          <w:rFonts w:ascii="Times New Roman" w:hAnsi="Times New Roman" w:cs="Times New Roman"/>
          <w:sz w:val="24"/>
          <w:szCs w:val="24"/>
        </w:rPr>
        <w:t>OGMG/RESA Ex. 3, at 17</w:t>
      </w:r>
      <w:r w:rsidR="00F64509">
        <w:rPr>
          <w:rFonts w:ascii="Times New Roman" w:hAnsi="Times New Roman" w:cs="Times New Roman"/>
          <w:sz w:val="24"/>
          <w:szCs w:val="24"/>
        </w:rPr>
        <w:t>-18</w:t>
      </w:r>
      <w:r w:rsidR="004C72E0">
        <w:rPr>
          <w:rFonts w:ascii="Times New Roman" w:hAnsi="Times New Roman" w:cs="Times New Roman"/>
          <w:sz w:val="24"/>
          <w:szCs w:val="24"/>
        </w:rPr>
        <w:t>, 20</w:t>
      </w:r>
      <w:r w:rsidR="00BD4E17">
        <w:rPr>
          <w:rFonts w:ascii="Times New Roman" w:hAnsi="Times New Roman" w:cs="Times New Roman"/>
          <w:sz w:val="24"/>
          <w:szCs w:val="24"/>
        </w:rPr>
        <w:t xml:space="preserve">.  </w:t>
      </w:r>
    </w:p>
    <w:p w:rsidR="00FE57EF" w:rsidRDefault="00516B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threshold matter</w:t>
      </w:r>
      <w:r w:rsidR="007343E7">
        <w:rPr>
          <w:rFonts w:ascii="Times New Roman" w:hAnsi="Times New Roman" w:cs="Times New Roman"/>
          <w:sz w:val="24"/>
          <w:szCs w:val="24"/>
        </w:rPr>
        <w:t>s</w:t>
      </w:r>
      <w:r>
        <w:rPr>
          <w:rFonts w:ascii="Times New Roman" w:hAnsi="Times New Roman" w:cs="Times New Roman"/>
          <w:sz w:val="24"/>
          <w:szCs w:val="24"/>
        </w:rPr>
        <w:t xml:space="preserve">, it must be noted that Columbia witness Brown admitted on cross examination that Choice customers </w:t>
      </w:r>
      <w:r w:rsidR="00546063">
        <w:rPr>
          <w:rFonts w:ascii="Times New Roman" w:hAnsi="Times New Roman" w:cs="Times New Roman"/>
          <w:sz w:val="24"/>
          <w:szCs w:val="24"/>
        </w:rPr>
        <w:t xml:space="preserve">(and Choice suppliers) </w:t>
      </w:r>
      <w:r>
        <w:rPr>
          <w:rFonts w:ascii="Times New Roman" w:hAnsi="Times New Roman" w:cs="Times New Roman"/>
          <w:sz w:val="24"/>
          <w:szCs w:val="24"/>
        </w:rPr>
        <w:t>also benefit from Columbia’s educational programs</w:t>
      </w:r>
      <w:r w:rsidR="007343E7">
        <w:rPr>
          <w:rFonts w:ascii="Times New Roman" w:hAnsi="Times New Roman" w:cs="Times New Roman"/>
          <w:sz w:val="24"/>
          <w:szCs w:val="24"/>
        </w:rPr>
        <w:t xml:space="preserve"> (</w:t>
      </w:r>
      <w:r>
        <w:rPr>
          <w:rFonts w:ascii="Times New Roman" w:hAnsi="Times New Roman" w:cs="Times New Roman"/>
          <w:sz w:val="24"/>
          <w:szCs w:val="24"/>
        </w:rPr>
        <w:t xml:space="preserve">Tr. </w:t>
      </w:r>
      <w:r w:rsidR="007343E7">
        <w:rPr>
          <w:rFonts w:ascii="Times New Roman" w:hAnsi="Times New Roman" w:cs="Times New Roman"/>
          <w:sz w:val="24"/>
          <w:szCs w:val="24"/>
        </w:rPr>
        <w:t>II, at 59-61),</w:t>
      </w:r>
      <w:r w:rsidR="007343E7">
        <w:rPr>
          <w:rStyle w:val="FootnoteReference"/>
          <w:rFonts w:ascii="Times New Roman" w:hAnsi="Times New Roman" w:cs="Times New Roman"/>
          <w:sz w:val="24"/>
          <w:szCs w:val="24"/>
        </w:rPr>
        <w:footnoteReference w:id="5"/>
      </w:r>
      <w:r w:rsidR="007343E7">
        <w:rPr>
          <w:rFonts w:ascii="Times New Roman" w:hAnsi="Times New Roman" w:cs="Times New Roman"/>
          <w:sz w:val="24"/>
          <w:szCs w:val="24"/>
        </w:rPr>
        <w:t xml:space="preserve"> and OGMG/RESA witness Parisi admitted that Choice customers also benefit from the Columbia-staffed call center.  Tr. III, at 233.</w:t>
      </w:r>
      <w:r w:rsidR="00546063">
        <w:rPr>
          <w:rFonts w:ascii="Times New Roman" w:hAnsi="Times New Roman" w:cs="Times New Roman"/>
          <w:sz w:val="24"/>
          <w:szCs w:val="24"/>
        </w:rPr>
        <w:t xml:space="preserve">  Because benefits are provided to SCO and Choice customers</w:t>
      </w:r>
      <w:r w:rsidR="00F64509">
        <w:rPr>
          <w:rFonts w:ascii="Times New Roman" w:hAnsi="Times New Roman" w:cs="Times New Roman"/>
          <w:sz w:val="24"/>
          <w:szCs w:val="24"/>
        </w:rPr>
        <w:t xml:space="preserve"> alike</w:t>
      </w:r>
      <w:r w:rsidR="00546063">
        <w:rPr>
          <w:rFonts w:ascii="Times New Roman" w:hAnsi="Times New Roman" w:cs="Times New Roman"/>
          <w:sz w:val="24"/>
          <w:szCs w:val="24"/>
        </w:rPr>
        <w:t>, any allegations that the services are subsidized as to SCO customers</w:t>
      </w:r>
      <w:r w:rsidR="00AF3737">
        <w:rPr>
          <w:rFonts w:ascii="Times New Roman" w:hAnsi="Times New Roman" w:cs="Times New Roman"/>
          <w:sz w:val="24"/>
          <w:szCs w:val="24"/>
        </w:rPr>
        <w:t xml:space="preserve"> or their suppliers</w:t>
      </w:r>
      <w:r w:rsidR="00546063">
        <w:rPr>
          <w:rFonts w:ascii="Times New Roman" w:hAnsi="Times New Roman" w:cs="Times New Roman"/>
          <w:sz w:val="24"/>
          <w:szCs w:val="24"/>
        </w:rPr>
        <w:t xml:space="preserve"> are meritless.  </w:t>
      </w:r>
    </w:p>
    <w:p w:rsidR="00FE57EF" w:rsidRDefault="0054606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Regardless, OGMG/RESA (nor any other party) provided an</w:t>
      </w:r>
      <w:r w:rsidR="00FD7497">
        <w:rPr>
          <w:rFonts w:ascii="Times New Roman" w:hAnsi="Times New Roman" w:cs="Times New Roman"/>
          <w:sz w:val="24"/>
          <w:szCs w:val="24"/>
        </w:rPr>
        <w:t>y</w:t>
      </w:r>
      <w:r>
        <w:rPr>
          <w:rFonts w:ascii="Times New Roman" w:hAnsi="Times New Roman" w:cs="Times New Roman"/>
          <w:sz w:val="24"/>
          <w:szCs w:val="24"/>
        </w:rPr>
        <w:t xml:space="preserve"> evidence as to the amount of </w:t>
      </w:r>
      <w:r w:rsidR="00FD7497">
        <w:rPr>
          <w:rFonts w:ascii="Times New Roman" w:hAnsi="Times New Roman" w:cs="Times New Roman"/>
          <w:sz w:val="24"/>
          <w:szCs w:val="24"/>
        </w:rPr>
        <w:t xml:space="preserve">the </w:t>
      </w:r>
      <w:r>
        <w:rPr>
          <w:rFonts w:ascii="Times New Roman" w:hAnsi="Times New Roman" w:cs="Times New Roman"/>
          <w:sz w:val="24"/>
          <w:szCs w:val="24"/>
        </w:rPr>
        <w:t>alleged subsid</w:t>
      </w:r>
      <w:r w:rsidR="00FD7497">
        <w:rPr>
          <w:rFonts w:ascii="Times New Roman" w:hAnsi="Times New Roman" w:cs="Times New Roman"/>
          <w:sz w:val="24"/>
          <w:szCs w:val="24"/>
        </w:rPr>
        <w:t xml:space="preserve">ies </w:t>
      </w:r>
      <w:r>
        <w:rPr>
          <w:rFonts w:ascii="Times New Roman" w:hAnsi="Times New Roman" w:cs="Times New Roman"/>
          <w:sz w:val="24"/>
          <w:szCs w:val="24"/>
        </w:rPr>
        <w:t>provided through offering the education</w:t>
      </w:r>
      <w:r w:rsidR="00FD7497">
        <w:rPr>
          <w:rFonts w:ascii="Times New Roman" w:hAnsi="Times New Roman" w:cs="Times New Roman"/>
          <w:sz w:val="24"/>
          <w:szCs w:val="24"/>
        </w:rPr>
        <w:t>al</w:t>
      </w:r>
      <w:r>
        <w:rPr>
          <w:rFonts w:ascii="Times New Roman" w:hAnsi="Times New Roman" w:cs="Times New Roman"/>
          <w:sz w:val="24"/>
          <w:szCs w:val="24"/>
        </w:rPr>
        <w:t xml:space="preserve"> programs, staffing the call center, or complying with Commission rules.  Indeed, the parties admit they performed no cost studies</w:t>
      </w:r>
      <w:r w:rsidR="007B4D85">
        <w:rPr>
          <w:rFonts w:ascii="Times New Roman" w:hAnsi="Times New Roman" w:cs="Times New Roman"/>
          <w:sz w:val="24"/>
          <w:szCs w:val="24"/>
        </w:rPr>
        <w:t xml:space="preserve"> at all</w:t>
      </w:r>
      <w:r>
        <w:rPr>
          <w:rFonts w:ascii="Times New Roman" w:hAnsi="Times New Roman" w:cs="Times New Roman"/>
          <w:sz w:val="24"/>
          <w:szCs w:val="24"/>
        </w:rPr>
        <w:t xml:space="preserve">.  </w:t>
      </w:r>
      <w:r w:rsidR="00066673">
        <w:rPr>
          <w:rFonts w:ascii="Times New Roman" w:hAnsi="Times New Roman" w:cs="Times New Roman"/>
          <w:sz w:val="24"/>
          <w:szCs w:val="24"/>
        </w:rPr>
        <w:t xml:space="preserve">See, e.g., OGMG/RESA Post Hearing Brief, at 29.  </w:t>
      </w:r>
      <w:r>
        <w:rPr>
          <w:rFonts w:ascii="Times New Roman" w:hAnsi="Times New Roman" w:cs="Times New Roman"/>
          <w:sz w:val="24"/>
          <w:szCs w:val="24"/>
        </w:rPr>
        <w:t>The only evidence on the record as to all</w:t>
      </w:r>
      <w:r w:rsidR="00FD7497">
        <w:rPr>
          <w:rFonts w:ascii="Times New Roman" w:hAnsi="Times New Roman" w:cs="Times New Roman"/>
          <w:sz w:val="24"/>
          <w:szCs w:val="24"/>
        </w:rPr>
        <w:t>eged subsidization was</w:t>
      </w:r>
      <w:r w:rsidR="00DA4F22">
        <w:rPr>
          <w:rFonts w:ascii="Times New Roman" w:hAnsi="Times New Roman" w:cs="Times New Roman"/>
          <w:sz w:val="24"/>
          <w:szCs w:val="24"/>
        </w:rPr>
        <w:t xml:space="preserve"> obtained through cross-examination and showed</w:t>
      </w:r>
      <w:r w:rsidR="00FD7497">
        <w:rPr>
          <w:rFonts w:ascii="Times New Roman" w:hAnsi="Times New Roman" w:cs="Times New Roman"/>
          <w:sz w:val="24"/>
          <w:szCs w:val="24"/>
        </w:rPr>
        <w:t xml:space="preserve"> that Columbia incurred </w:t>
      </w:r>
      <w:r w:rsidR="00DA4F22">
        <w:rPr>
          <w:rFonts w:ascii="Times New Roman" w:hAnsi="Times New Roman" w:cs="Times New Roman"/>
          <w:sz w:val="24"/>
          <w:szCs w:val="24"/>
        </w:rPr>
        <w:t xml:space="preserve">only </w:t>
      </w:r>
      <w:r w:rsidR="00FD7497">
        <w:rPr>
          <w:rFonts w:ascii="Times New Roman" w:hAnsi="Times New Roman" w:cs="Times New Roman"/>
          <w:sz w:val="24"/>
          <w:szCs w:val="24"/>
        </w:rPr>
        <w:t xml:space="preserve">$70,000 in costs to conduct the most recent SCO auction.  </w:t>
      </w:r>
      <w:r w:rsidR="00F64509">
        <w:rPr>
          <w:rFonts w:ascii="Times New Roman" w:hAnsi="Times New Roman" w:cs="Times New Roman"/>
          <w:sz w:val="24"/>
          <w:szCs w:val="24"/>
        </w:rPr>
        <w:t xml:space="preserve">Ohio Partners for Affordable Energy (“OPAE”) Ex. 2, at 24; </w:t>
      </w:r>
      <w:r w:rsidR="00FD7497">
        <w:rPr>
          <w:rFonts w:ascii="Times New Roman" w:hAnsi="Times New Roman" w:cs="Times New Roman"/>
          <w:sz w:val="24"/>
          <w:szCs w:val="24"/>
        </w:rPr>
        <w:t xml:space="preserve">Tr. III, at 132-133.    </w:t>
      </w:r>
      <w:r w:rsidR="002D3BE3">
        <w:rPr>
          <w:rFonts w:ascii="Times New Roman" w:hAnsi="Times New Roman" w:cs="Times New Roman"/>
          <w:sz w:val="24"/>
          <w:szCs w:val="24"/>
        </w:rPr>
        <w:t>The SCO security charge is estimated to collect approximately $</w:t>
      </w:r>
      <w:r w:rsidR="00367BDD">
        <w:rPr>
          <w:rFonts w:ascii="Times New Roman" w:hAnsi="Times New Roman" w:cs="Times New Roman"/>
          <w:sz w:val="24"/>
          <w:szCs w:val="24"/>
        </w:rPr>
        <w:t>4.8</w:t>
      </w:r>
      <w:r w:rsidR="002D3BE3">
        <w:rPr>
          <w:rFonts w:ascii="Times New Roman" w:hAnsi="Times New Roman" w:cs="Times New Roman"/>
          <w:sz w:val="24"/>
          <w:szCs w:val="24"/>
        </w:rPr>
        <w:t xml:space="preserve"> million per year.  </w:t>
      </w:r>
      <w:r w:rsidR="00367BDD">
        <w:rPr>
          <w:rFonts w:ascii="Times New Roman" w:hAnsi="Times New Roman" w:cs="Times New Roman"/>
          <w:sz w:val="24"/>
          <w:szCs w:val="24"/>
        </w:rPr>
        <w:t xml:space="preserve">Hess Ex. 1, at 19.  </w:t>
      </w:r>
      <w:r w:rsidR="00484536">
        <w:rPr>
          <w:rFonts w:ascii="Times New Roman" w:hAnsi="Times New Roman" w:cs="Times New Roman"/>
          <w:sz w:val="24"/>
          <w:szCs w:val="24"/>
        </w:rPr>
        <w:t xml:space="preserve">Considering </w:t>
      </w:r>
      <w:r w:rsidR="00C02C56">
        <w:rPr>
          <w:rFonts w:ascii="Times New Roman" w:hAnsi="Times New Roman" w:cs="Times New Roman"/>
          <w:sz w:val="24"/>
          <w:szCs w:val="24"/>
        </w:rPr>
        <w:t>this glaring imbalance</w:t>
      </w:r>
      <w:r w:rsidR="00D11A9D">
        <w:rPr>
          <w:rFonts w:ascii="Times New Roman" w:hAnsi="Times New Roman" w:cs="Times New Roman"/>
          <w:sz w:val="24"/>
          <w:szCs w:val="24"/>
        </w:rPr>
        <w:t xml:space="preserve"> between what Columbia w</w:t>
      </w:r>
      <w:r w:rsidR="00187012">
        <w:rPr>
          <w:rFonts w:ascii="Times New Roman" w:hAnsi="Times New Roman" w:cs="Times New Roman"/>
          <w:sz w:val="24"/>
          <w:szCs w:val="24"/>
        </w:rPr>
        <w:t>ould</w:t>
      </w:r>
      <w:r w:rsidR="00D11A9D">
        <w:rPr>
          <w:rFonts w:ascii="Times New Roman" w:hAnsi="Times New Roman" w:cs="Times New Roman"/>
          <w:sz w:val="24"/>
          <w:szCs w:val="24"/>
        </w:rPr>
        <w:t xml:space="preserve"> collect through the SCO security charge </w:t>
      </w:r>
      <w:r w:rsidR="0041288C">
        <w:rPr>
          <w:rFonts w:ascii="Times New Roman" w:hAnsi="Times New Roman" w:cs="Times New Roman"/>
          <w:sz w:val="24"/>
          <w:szCs w:val="24"/>
        </w:rPr>
        <w:t xml:space="preserve">($4.8 million per year) </w:t>
      </w:r>
      <w:r w:rsidR="00D11A9D">
        <w:rPr>
          <w:rFonts w:ascii="Times New Roman" w:hAnsi="Times New Roman" w:cs="Times New Roman"/>
          <w:sz w:val="24"/>
          <w:szCs w:val="24"/>
        </w:rPr>
        <w:t xml:space="preserve">and </w:t>
      </w:r>
      <w:r w:rsidR="0041288C">
        <w:rPr>
          <w:rFonts w:ascii="Times New Roman" w:hAnsi="Times New Roman" w:cs="Times New Roman"/>
          <w:sz w:val="24"/>
          <w:szCs w:val="24"/>
        </w:rPr>
        <w:t xml:space="preserve">the evidence of </w:t>
      </w:r>
      <w:r w:rsidR="00D11A9D">
        <w:rPr>
          <w:rFonts w:ascii="Times New Roman" w:hAnsi="Times New Roman" w:cs="Times New Roman"/>
          <w:sz w:val="24"/>
          <w:szCs w:val="24"/>
        </w:rPr>
        <w:t>Columbia’s SCO-related costs</w:t>
      </w:r>
      <w:r w:rsidR="0041288C">
        <w:rPr>
          <w:rFonts w:ascii="Times New Roman" w:hAnsi="Times New Roman" w:cs="Times New Roman"/>
          <w:sz w:val="24"/>
          <w:szCs w:val="24"/>
        </w:rPr>
        <w:t xml:space="preserve"> ($70,000 per year)</w:t>
      </w:r>
      <w:r w:rsidR="00C02C56">
        <w:rPr>
          <w:rFonts w:ascii="Times New Roman" w:hAnsi="Times New Roman" w:cs="Times New Roman"/>
          <w:sz w:val="24"/>
          <w:szCs w:val="24"/>
        </w:rPr>
        <w:t>,</w:t>
      </w:r>
      <w:r w:rsidR="00484536">
        <w:rPr>
          <w:rFonts w:ascii="Times New Roman" w:hAnsi="Times New Roman" w:cs="Times New Roman"/>
          <w:sz w:val="24"/>
          <w:szCs w:val="24"/>
        </w:rPr>
        <w:t xml:space="preserve"> any finding that the $0.06/Mcf charge is reasonable </w:t>
      </w:r>
      <w:r w:rsidR="007B4D85">
        <w:rPr>
          <w:rFonts w:ascii="Times New Roman" w:hAnsi="Times New Roman" w:cs="Times New Roman"/>
          <w:sz w:val="24"/>
          <w:szCs w:val="24"/>
        </w:rPr>
        <w:t>would be against</w:t>
      </w:r>
      <w:r w:rsidR="00484536">
        <w:rPr>
          <w:rFonts w:ascii="Times New Roman" w:hAnsi="Times New Roman" w:cs="Times New Roman"/>
          <w:sz w:val="24"/>
          <w:szCs w:val="24"/>
        </w:rPr>
        <w:t xml:space="preserve"> the manifest weight of the evidence.  Such a finding would </w:t>
      </w:r>
      <w:r w:rsidR="00AF3737">
        <w:rPr>
          <w:rFonts w:ascii="Times New Roman" w:hAnsi="Times New Roman" w:cs="Times New Roman"/>
          <w:sz w:val="24"/>
          <w:szCs w:val="24"/>
        </w:rPr>
        <w:t>be more</w:t>
      </w:r>
      <w:r w:rsidR="00484536">
        <w:rPr>
          <w:rFonts w:ascii="Times New Roman" w:hAnsi="Times New Roman" w:cs="Times New Roman"/>
          <w:sz w:val="24"/>
          <w:szCs w:val="24"/>
        </w:rPr>
        <w:t xml:space="preserve"> egregious considering that </w:t>
      </w:r>
      <w:r w:rsidR="00484536">
        <w:rPr>
          <w:rFonts w:ascii="Times New Roman" w:hAnsi="Times New Roman" w:cs="Times New Roman"/>
          <w:sz w:val="24"/>
          <w:szCs w:val="24"/>
        </w:rPr>
        <w:lastRenderedPageBreak/>
        <w:t xml:space="preserve">Columbia has committed to provide </w:t>
      </w:r>
      <w:r w:rsidR="00F64509">
        <w:rPr>
          <w:rFonts w:ascii="Times New Roman" w:hAnsi="Times New Roman" w:cs="Times New Roman"/>
          <w:sz w:val="24"/>
          <w:szCs w:val="24"/>
        </w:rPr>
        <w:t xml:space="preserve">for the benefit of </w:t>
      </w:r>
      <w:r w:rsidR="00484536">
        <w:rPr>
          <w:rFonts w:ascii="Times New Roman" w:hAnsi="Times New Roman" w:cs="Times New Roman"/>
          <w:sz w:val="24"/>
          <w:szCs w:val="24"/>
        </w:rPr>
        <w:t xml:space="preserve">Choice suppliers up to </w:t>
      </w:r>
      <w:r w:rsidR="00AD038B">
        <w:rPr>
          <w:rFonts w:ascii="Times New Roman" w:hAnsi="Times New Roman" w:cs="Times New Roman"/>
          <w:sz w:val="24"/>
          <w:szCs w:val="24"/>
        </w:rPr>
        <w:t>$1.7 million</w:t>
      </w:r>
      <w:r w:rsidR="00066673">
        <w:rPr>
          <w:rFonts w:ascii="Times New Roman" w:hAnsi="Times New Roman" w:cs="Times New Roman"/>
          <w:sz w:val="24"/>
          <w:szCs w:val="24"/>
        </w:rPr>
        <w:t xml:space="preserve"> in additional programming and billing enhancements.  </w:t>
      </w:r>
      <w:r w:rsidR="00F64509">
        <w:rPr>
          <w:rFonts w:ascii="Times New Roman" w:hAnsi="Times New Roman" w:cs="Times New Roman"/>
          <w:sz w:val="24"/>
          <w:szCs w:val="24"/>
        </w:rPr>
        <w:t xml:space="preserve">Tr. III, at 217-218; </w:t>
      </w:r>
      <w:r w:rsidR="00066673">
        <w:rPr>
          <w:rFonts w:ascii="Times New Roman" w:hAnsi="Times New Roman" w:cs="Times New Roman"/>
          <w:sz w:val="24"/>
          <w:szCs w:val="24"/>
        </w:rPr>
        <w:t xml:space="preserve">Columbia Ex. 5, at 4.  </w:t>
      </w:r>
      <w:r w:rsidR="00AD038B">
        <w:rPr>
          <w:rFonts w:ascii="Times New Roman" w:hAnsi="Times New Roman" w:cs="Times New Roman"/>
          <w:sz w:val="24"/>
          <w:szCs w:val="24"/>
        </w:rPr>
        <w:t xml:space="preserve"> </w:t>
      </w:r>
    </w:p>
    <w:p w:rsidR="00FE57EF" w:rsidRDefault="000666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Because </w:t>
      </w:r>
      <w:r w:rsidR="00F64509">
        <w:rPr>
          <w:rFonts w:ascii="Times New Roman" w:hAnsi="Times New Roman" w:cs="Times New Roman"/>
          <w:sz w:val="24"/>
          <w:szCs w:val="24"/>
        </w:rPr>
        <w:t xml:space="preserve">neither the need for, nor the level of, </w:t>
      </w:r>
      <w:r>
        <w:rPr>
          <w:rFonts w:ascii="Times New Roman" w:hAnsi="Times New Roman" w:cs="Times New Roman"/>
          <w:sz w:val="24"/>
          <w:szCs w:val="24"/>
        </w:rPr>
        <w:t>the SCO Security Deposit is suppo</w:t>
      </w:r>
      <w:r w:rsidR="00AF3737">
        <w:rPr>
          <w:rFonts w:ascii="Times New Roman" w:hAnsi="Times New Roman" w:cs="Times New Roman"/>
          <w:sz w:val="24"/>
          <w:szCs w:val="24"/>
        </w:rPr>
        <w:t>r</w:t>
      </w:r>
      <w:r>
        <w:rPr>
          <w:rFonts w:ascii="Times New Roman" w:hAnsi="Times New Roman" w:cs="Times New Roman"/>
          <w:sz w:val="24"/>
          <w:szCs w:val="24"/>
        </w:rPr>
        <w:t xml:space="preserve">ted by the manifest weight of the record, the Commission must grant rehearing and reject the deposit.  </w:t>
      </w:r>
      <w:r w:rsidR="00F64509" w:rsidRPr="00F64509">
        <w:rPr>
          <w:rFonts w:ascii="Times New Roman" w:hAnsi="Times New Roman" w:cs="Times New Roman"/>
          <w:i/>
          <w:sz w:val="24"/>
          <w:szCs w:val="24"/>
        </w:rPr>
        <w:t>Cleveland Elec. Illum. Co v. Pub. Util. Comm.</w:t>
      </w:r>
      <w:r w:rsidR="00F64509" w:rsidRPr="00F64509">
        <w:rPr>
          <w:rFonts w:ascii="Times New Roman" w:hAnsi="Times New Roman" w:cs="Times New Roman"/>
          <w:sz w:val="24"/>
          <w:szCs w:val="24"/>
        </w:rPr>
        <w:t xml:space="preserve"> (1975), 42 Ohio St. 2d 403</w:t>
      </w:r>
      <w:r w:rsidR="00F64509">
        <w:rPr>
          <w:rFonts w:ascii="Times New Roman" w:hAnsi="Times New Roman" w:cs="Times New Roman"/>
          <w:sz w:val="24"/>
          <w:szCs w:val="24"/>
        </w:rPr>
        <w:t>, paragraph 3 of the syllabus (“A finding of the Public Utilities Commission which in manifestly against the weight of the evidence is unreasonable and unlawful.</w:t>
      </w:r>
      <w:r w:rsidR="007D0B63">
        <w:rPr>
          <w:rFonts w:ascii="Times New Roman" w:hAnsi="Times New Roman" w:cs="Times New Roman"/>
          <w:sz w:val="24"/>
          <w:szCs w:val="24"/>
        </w:rPr>
        <w:t xml:space="preserve">  (</w:t>
      </w:r>
      <w:r w:rsidR="007D0B63" w:rsidRPr="008251A3">
        <w:rPr>
          <w:rFonts w:ascii="Times New Roman" w:hAnsi="Times New Roman" w:cs="Times New Roman"/>
          <w:i/>
          <w:sz w:val="24"/>
          <w:szCs w:val="24"/>
        </w:rPr>
        <w:t>Cleveland v. Pub. Util. Comm</w:t>
      </w:r>
      <w:r w:rsidR="007D0B63">
        <w:rPr>
          <w:rFonts w:ascii="Times New Roman" w:hAnsi="Times New Roman" w:cs="Times New Roman"/>
          <w:sz w:val="24"/>
          <w:szCs w:val="24"/>
        </w:rPr>
        <w:t>., 3 Ohio St. 2d 82, approved and followed.”)</w:t>
      </w:r>
      <w:r w:rsidR="001023BA">
        <w:rPr>
          <w:rFonts w:ascii="Times New Roman" w:hAnsi="Times New Roman" w:cs="Times New Roman"/>
          <w:sz w:val="24"/>
          <w:szCs w:val="24"/>
        </w:rPr>
        <w:t>)</w:t>
      </w:r>
    </w:p>
    <w:p w:rsidR="007B4D85" w:rsidRPr="00614CB8" w:rsidRDefault="001903F2" w:rsidP="00DA4F22">
      <w:pPr>
        <w:spacing w:after="0" w:line="240" w:lineRule="auto"/>
        <w:ind w:left="2160" w:right="630" w:hanging="720"/>
        <w:jc w:val="both"/>
        <w:rPr>
          <w:rFonts w:ascii="Times New Roman" w:hAnsi="Times New Roman" w:cs="Times New Roman"/>
          <w:i/>
          <w:sz w:val="24"/>
          <w:szCs w:val="24"/>
        </w:rPr>
      </w:pPr>
      <w:r w:rsidRPr="00614CB8">
        <w:rPr>
          <w:rFonts w:ascii="Times New Roman" w:hAnsi="Times New Roman" w:cs="Times New Roman"/>
          <w:b/>
          <w:i/>
          <w:sz w:val="24"/>
          <w:szCs w:val="24"/>
        </w:rPr>
        <w:t>3.</w:t>
      </w:r>
      <w:r w:rsidRPr="00614CB8">
        <w:rPr>
          <w:rFonts w:ascii="Times New Roman" w:hAnsi="Times New Roman" w:cs="Times New Roman"/>
          <w:b/>
          <w:i/>
          <w:sz w:val="24"/>
          <w:szCs w:val="24"/>
        </w:rPr>
        <w:tab/>
        <w:t xml:space="preserve">In Approving the SCO Security Deposit, the Order </w:t>
      </w:r>
      <w:r w:rsidR="007B4D85" w:rsidRPr="00614CB8">
        <w:rPr>
          <w:rFonts w:ascii="Times New Roman" w:hAnsi="Times New Roman" w:cs="Times New Roman"/>
          <w:b/>
          <w:i/>
          <w:sz w:val="24"/>
          <w:szCs w:val="24"/>
        </w:rPr>
        <w:t>Unlawfully Relies on the Amended Stipulation in Lieu of the Evidence of Record.</w:t>
      </w:r>
      <w:r w:rsidR="007B4D85" w:rsidRPr="00614CB8">
        <w:rPr>
          <w:rFonts w:ascii="Times New Roman" w:hAnsi="Times New Roman" w:cs="Times New Roman"/>
          <w:i/>
          <w:sz w:val="24"/>
          <w:szCs w:val="24"/>
        </w:rPr>
        <w:t xml:space="preserve">  </w:t>
      </w:r>
      <w:r w:rsidR="007B4D85" w:rsidRPr="00614CB8">
        <w:rPr>
          <w:rFonts w:ascii="Times New Roman" w:hAnsi="Times New Roman" w:cs="Times New Roman"/>
          <w:b/>
          <w:i/>
          <w:sz w:val="24"/>
          <w:szCs w:val="24"/>
        </w:rPr>
        <w:t>In re Columbus Southern Power Co.</w:t>
      </w:r>
      <w:r w:rsidR="00DA4F22" w:rsidRPr="00614CB8">
        <w:rPr>
          <w:rFonts w:ascii="Times New Roman" w:hAnsi="Times New Roman" w:cs="Times New Roman"/>
          <w:b/>
          <w:i/>
          <w:sz w:val="24"/>
          <w:szCs w:val="24"/>
        </w:rPr>
        <w:t xml:space="preserve"> (2011)</w:t>
      </w:r>
      <w:r w:rsidR="007B4D85" w:rsidRPr="00614CB8">
        <w:rPr>
          <w:rFonts w:ascii="Times New Roman" w:hAnsi="Times New Roman" w:cs="Times New Roman"/>
          <w:b/>
          <w:i/>
          <w:sz w:val="24"/>
          <w:szCs w:val="24"/>
        </w:rPr>
        <w:t>, 129 Ohio St.</w:t>
      </w:r>
      <w:r w:rsidR="007D0B63">
        <w:rPr>
          <w:rFonts w:ascii="Times New Roman" w:hAnsi="Times New Roman" w:cs="Times New Roman"/>
          <w:b/>
          <w:i/>
          <w:sz w:val="24"/>
          <w:szCs w:val="24"/>
        </w:rPr>
        <w:t xml:space="preserve"> </w:t>
      </w:r>
      <w:r w:rsidR="007B4D85" w:rsidRPr="00614CB8">
        <w:rPr>
          <w:rFonts w:ascii="Times New Roman" w:hAnsi="Times New Roman" w:cs="Times New Roman"/>
          <w:b/>
          <w:i/>
          <w:sz w:val="24"/>
          <w:szCs w:val="24"/>
        </w:rPr>
        <w:t>3d 46.</w:t>
      </w:r>
    </w:p>
    <w:p w:rsidR="00FE57EF" w:rsidRDefault="001903F2">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stated above, the Signatory Parties presented no evidence of record to support the level of the SCO Security Deposit or the subsidies allegedly provided to SCO service.  Instead, OGMG/RESA witness Parisi</w:t>
      </w:r>
      <w:r w:rsidR="00F90897">
        <w:rPr>
          <w:rFonts w:ascii="Times New Roman" w:hAnsi="Times New Roman" w:cs="Times New Roman"/>
          <w:sz w:val="24"/>
          <w:szCs w:val="24"/>
        </w:rPr>
        <w:t xml:space="preserve"> </w:t>
      </w:r>
      <w:r>
        <w:rPr>
          <w:rFonts w:ascii="Times New Roman" w:hAnsi="Times New Roman" w:cs="Times New Roman"/>
          <w:sz w:val="24"/>
          <w:szCs w:val="24"/>
        </w:rPr>
        <w:t xml:space="preserve">testified that </w:t>
      </w:r>
      <w:r w:rsidR="00F90897">
        <w:rPr>
          <w:rFonts w:ascii="Times New Roman" w:hAnsi="Times New Roman" w:cs="Times New Roman"/>
          <w:sz w:val="24"/>
          <w:szCs w:val="24"/>
        </w:rPr>
        <w:t xml:space="preserve">while </w:t>
      </w:r>
      <w:r w:rsidR="00673572">
        <w:rPr>
          <w:rFonts w:ascii="Times New Roman" w:hAnsi="Times New Roman" w:cs="Times New Roman"/>
          <w:sz w:val="24"/>
          <w:szCs w:val="24"/>
        </w:rPr>
        <w:t xml:space="preserve">the </w:t>
      </w:r>
      <w:r>
        <w:rPr>
          <w:rFonts w:ascii="Times New Roman" w:hAnsi="Times New Roman" w:cs="Times New Roman"/>
          <w:sz w:val="24"/>
          <w:szCs w:val="24"/>
        </w:rPr>
        <w:t>$0.</w:t>
      </w:r>
      <w:r w:rsidR="00AA7BA9">
        <w:rPr>
          <w:rFonts w:ascii="Times New Roman" w:hAnsi="Times New Roman" w:cs="Times New Roman"/>
          <w:sz w:val="24"/>
          <w:szCs w:val="24"/>
        </w:rPr>
        <w:t>0</w:t>
      </w:r>
      <w:r w:rsidR="00673572">
        <w:rPr>
          <w:rFonts w:ascii="Times New Roman" w:hAnsi="Times New Roman" w:cs="Times New Roman"/>
          <w:sz w:val="24"/>
          <w:szCs w:val="24"/>
        </w:rPr>
        <w:t>6</w:t>
      </w:r>
      <w:r>
        <w:rPr>
          <w:rFonts w:ascii="Times New Roman" w:hAnsi="Times New Roman" w:cs="Times New Roman"/>
          <w:sz w:val="24"/>
          <w:szCs w:val="24"/>
        </w:rPr>
        <w:t>/Mcf security deposit would not cover the cost of default and subsidization of SCO service</w:t>
      </w:r>
      <w:r w:rsidR="00AA7BA9">
        <w:rPr>
          <w:rFonts w:ascii="Times New Roman" w:hAnsi="Times New Roman" w:cs="Times New Roman"/>
          <w:sz w:val="24"/>
          <w:szCs w:val="24"/>
        </w:rPr>
        <w:t xml:space="preserve">, </w:t>
      </w:r>
      <w:r w:rsidR="00F90897">
        <w:rPr>
          <w:rFonts w:ascii="Times New Roman" w:hAnsi="Times New Roman" w:cs="Times New Roman"/>
          <w:sz w:val="24"/>
          <w:szCs w:val="24"/>
        </w:rPr>
        <w:t>it</w:t>
      </w:r>
      <w:r w:rsidR="00AF3737">
        <w:rPr>
          <w:rFonts w:ascii="Times New Roman" w:hAnsi="Times New Roman" w:cs="Times New Roman"/>
          <w:sz w:val="24"/>
          <w:szCs w:val="24"/>
        </w:rPr>
        <w:t xml:space="preserve"> nevertheless</w:t>
      </w:r>
      <w:r w:rsidR="00F90897">
        <w:rPr>
          <w:rFonts w:ascii="Times New Roman" w:hAnsi="Times New Roman" w:cs="Times New Roman"/>
          <w:sz w:val="24"/>
          <w:szCs w:val="24"/>
        </w:rPr>
        <w:t xml:space="preserve"> was</w:t>
      </w:r>
      <w:r w:rsidR="00AA7BA9">
        <w:rPr>
          <w:rFonts w:ascii="Times New Roman" w:hAnsi="Times New Roman" w:cs="Times New Roman"/>
          <w:sz w:val="24"/>
          <w:szCs w:val="24"/>
        </w:rPr>
        <w:t xml:space="preserve"> a “reasonable compromise</w:t>
      </w:r>
      <w:r>
        <w:rPr>
          <w:rFonts w:ascii="Times New Roman" w:hAnsi="Times New Roman" w:cs="Times New Roman"/>
          <w:sz w:val="24"/>
          <w:szCs w:val="24"/>
        </w:rPr>
        <w:t>.</w:t>
      </w:r>
      <w:r w:rsidR="00AA7BA9">
        <w:rPr>
          <w:rFonts w:ascii="Times New Roman" w:hAnsi="Times New Roman" w:cs="Times New Roman"/>
          <w:sz w:val="24"/>
          <w:szCs w:val="24"/>
        </w:rPr>
        <w:t>”</w:t>
      </w:r>
      <w:r>
        <w:rPr>
          <w:rFonts w:ascii="Times New Roman" w:hAnsi="Times New Roman" w:cs="Times New Roman"/>
          <w:sz w:val="24"/>
          <w:szCs w:val="24"/>
        </w:rPr>
        <w:t xml:space="preserve">  </w:t>
      </w:r>
      <w:r w:rsidR="00673572">
        <w:rPr>
          <w:rFonts w:ascii="Times New Roman" w:hAnsi="Times New Roman" w:cs="Times New Roman"/>
          <w:sz w:val="24"/>
          <w:szCs w:val="24"/>
        </w:rPr>
        <w:t>He stated:</w:t>
      </w:r>
    </w:p>
    <w:p w:rsidR="00FE57EF" w:rsidRDefault="00673572" w:rsidP="001023BA">
      <w:pPr>
        <w:tabs>
          <w:tab w:val="left" w:pos="7920"/>
        </w:tabs>
        <w:spacing w:after="0" w:line="240" w:lineRule="auto"/>
        <w:ind w:left="1440" w:right="1350" w:firstLine="720"/>
        <w:jc w:val="both"/>
        <w:rPr>
          <w:rFonts w:ascii="Times New Roman" w:hAnsi="Times New Roman" w:cs="Times New Roman"/>
          <w:sz w:val="24"/>
          <w:szCs w:val="24"/>
        </w:rPr>
      </w:pPr>
      <w:r>
        <w:rPr>
          <w:rFonts w:ascii="Times New Roman" w:hAnsi="Times New Roman" w:cs="Times New Roman"/>
          <w:sz w:val="24"/>
          <w:szCs w:val="24"/>
        </w:rPr>
        <w:t xml:space="preserve">*** the resulting $0.06 SCO supplier fee is a reasonable compromise resulting from the serious and well thought out bargaining that occurred </w:t>
      </w:r>
      <w:r w:rsidR="00DD65A3" w:rsidRPr="00DD65A3">
        <w:rPr>
          <w:rFonts w:ascii="Times New Roman" w:hAnsi="Times New Roman" w:cs="Times New Roman"/>
          <w:b/>
          <w:i/>
          <w:sz w:val="24"/>
          <w:szCs w:val="24"/>
        </w:rPr>
        <w:t>by the parties signing the Stipulation</w:t>
      </w:r>
      <w:r>
        <w:rPr>
          <w:rFonts w:ascii="Times New Roman" w:hAnsi="Times New Roman" w:cs="Times New Roman"/>
          <w:sz w:val="24"/>
          <w:szCs w:val="24"/>
        </w:rPr>
        <w:t xml:space="preserve">, and as such OGMG and RESA support the fee and the disposition of the fee.  </w:t>
      </w:r>
      <w:r w:rsidR="00DD65A3" w:rsidRPr="00DD65A3">
        <w:rPr>
          <w:rFonts w:ascii="Times New Roman" w:hAnsi="Times New Roman" w:cs="Times New Roman"/>
          <w:b/>
          <w:i/>
          <w:sz w:val="24"/>
          <w:szCs w:val="24"/>
        </w:rPr>
        <w:t>If the issues were fully litigated</w:t>
      </w:r>
      <w:r>
        <w:rPr>
          <w:rFonts w:ascii="Times New Roman" w:hAnsi="Times New Roman" w:cs="Times New Roman"/>
          <w:sz w:val="24"/>
          <w:szCs w:val="24"/>
        </w:rPr>
        <w:t>, the time, energy and resources spent would be significant and for purposes of this</w:t>
      </w:r>
      <w:r w:rsidR="001023BA">
        <w:rPr>
          <w:rFonts w:ascii="Times New Roman" w:hAnsi="Times New Roman" w:cs="Times New Roman"/>
          <w:sz w:val="24"/>
          <w:szCs w:val="24"/>
        </w:rPr>
        <w:t xml:space="preserve"> S</w:t>
      </w:r>
      <w:r>
        <w:rPr>
          <w:rFonts w:ascii="Times New Roman" w:hAnsi="Times New Roman" w:cs="Times New Roman"/>
          <w:sz w:val="24"/>
          <w:szCs w:val="24"/>
        </w:rPr>
        <w:t>tipulation, the result is reasonable on consideration of those items.</w:t>
      </w:r>
      <w:r w:rsidR="000C382C">
        <w:rPr>
          <w:rStyle w:val="FootnoteReference"/>
          <w:rFonts w:ascii="Times New Roman" w:hAnsi="Times New Roman" w:cs="Times New Roman"/>
          <w:sz w:val="24"/>
          <w:szCs w:val="24"/>
        </w:rPr>
        <w:footnoteReference w:id="6"/>
      </w:r>
    </w:p>
    <w:p w:rsidR="00FE57EF" w:rsidRDefault="00673572">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OGMG/RESA Ex. 3, at 19-20  (emphasis supplied).  </w:t>
      </w:r>
      <w:r w:rsidR="00D01C2B">
        <w:rPr>
          <w:rFonts w:ascii="Times New Roman" w:hAnsi="Times New Roman" w:cs="Times New Roman"/>
          <w:sz w:val="24"/>
          <w:szCs w:val="24"/>
        </w:rPr>
        <w:t>I</w:t>
      </w:r>
      <w:r>
        <w:rPr>
          <w:rFonts w:ascii="Times New Roman" w:hAnsi="Times New Roman" w:cs="Times New Roman"/>
          <w:sz w:val="24"/>
          <w:szCs w:val="24"/>
        </w:rPr>
        <w:t xml:space="preserve">t is </w:t>
      </w:r>
      <w:r w:rsidR="00AF3737">
        <w:rPr>
          <w:rFonts w:ascii="Times New Roman" w:hAnsi="Times New Roman" w:cs="Times New Roman"/>
          <w:sz w:val="24"/>
          <w:szCs w:val="24"/>
        </w:rPr>
        <w:t xml:space="preserve">apparently </w:t>
      </w:r>
      <w:r>
        <w:rPr>
          <w:rFonts w:ascii="Times New Roman" w:hAnsi="Times New Roman" w:cs="Times New Roman"/>
          <w:sz w:val="24"/>
          <w:szCs w:val="24"/>
        </w:rPr>
        <w:t>based on this testimony that the Order concludes that</w:t>
      </w:r>
      <w:r w:rsidR="00D01C2B">
        <w:rPr>
          <w:rFonts w:ascii="Times New Roman" w:hAnsi="Times New Roman" w:cs="Times New Roman"/>
          <w:sz w:val="24"/>
          <w:szCs w:val="24"/>
        </w:rPr>
        <w:t>,</w:t>
      </w:r>
      <w:r>
        <w:rPr>
          <w:rFonts w:ascii="Times New Roman" w:hAnsi="Times New Roman" w:cs="Times New Roman"/>
          <w:sz w:val="24"/>
          <w:szCs w:val="24"/>
        </w:rPr>
        <w:t xml:space="preserve"> “We also agree that the transfer of any remaining funds to the CSRR is acceptable and </w:t>
      </w:r>
      <w:r w:rsidR="00DD65A3" w:rsidRPr="00DD65A3">
        <w:rPr>
          <w:rFonts w:ascii="Times New Roman" w:hAnsi="Times New Roman" w:cs="Times New Roman"/>
          <w:b/>
          <w:i/>
          <w:sz w:val="24"/>
          <w:szCs w:val="24"/>
        </w:rPr>
        <w:t>a reasonable compromise</w:t>
      </w:r>
      <w:r>
        <w:rPr>
          <w:rFonts w:ascii="Times New Roman" w:hAnsi="Times New Roman" w:cs="Times New Roman"/>
          <w:sz w:val="24"/>
          <w:szCs w:val="24"/>
        </w:rPr>
        <w:t>.”  Order, at 15 (emphasis supplied).</w:t>
      </w:r>
      <w:r w:rsidR="00D01C2B">
        <w:rPr>
          <w:rFonts w:ascii="Times New Roman" w:hAnsi="Times New Roman" w:cs="Times New Roman"/>
          <w:sz w:val="24"/>
          <w:szCs w:val="24"/>
        </w:rPr>
        <w:t xml:space="preserve">  Thus, the Order adopted the SCO Security Deposit based upon the Signatory Parties’ </w:t>
      </w:r>
      <w:r w:rsidR="00AF3737">
        <w:rPr>
          <w:rFonts w:ascii="Times New Roman" w:hAnsi="Times New Roman" w:cs="Times New Roman"/>
          <w:sz w:val="24"/>
          <w:szCs w:val="24"/>
        </w:rPr>
        <w:t>negotiated price</w:t>
      </w:r>
      <w:r w:rsidR="007D0B63">
        <w:rPr>
          <w:rFonts w:ascii="Times New Roman" w:hAnsi="Times New Roman" w:cs="Times New Roman"/>
          <w:sz w:val="24"/>
          <w:szCs w:val="24"/>
        </w:rPr>
        <w:t>, as admitted by Columbia witness Brown (Tr. II, at 41-42)</w:t>
      </w:r>
      <w:r w:rsidR="00D01C2B">
        <w:rPr>
          <w:rFonts w:ascii="Times New Roman" w:hAnsi="Times New Roman" w:cs="Times New Roman"/>
          <w:sz w:val="24"/>
          <w:szCs w:val="24"/>
        </w:rPr>
        <w:t xml:space="preserve">, rather than the evidence of record as to what the level of the deposit should be.  </w:t>
      </w:r>
    </w:p>
    <w:p w:rsidR="00FE57EF" w:rsidRDefault="00D408E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the Commission is aware, the Ohio Supreme Court has recently reiterated the Commission’s responsibilities when reviewing a contested stipulation like the one at issue in the instant case.  </w:t>
      </w:r>
      <w:r w:rsidRPr="002C35BA">
        <w:rPr>
          <w:rFonts w:ascii="Times New Roman" w:hAnsi="Times New Roman" w:cs="Times New Roman"/>
          <w:i/>
          <w:sz w:val="24"/>
          <w:szCs w:val="24"/>
        </w:rPr>
        <w:t>See In re Columbus Southern Power Co.</w:t>
      </w:r>
      <w:r w:rsidR="007D0B63">
        <w:rPr>
          <w:rFonts w:ascii="Times New Roman" w:hAnsi="Times New Roman" w:cs="Times New Roman"/>
          <w:i/>
          <w:sz w:val="24"/>
          <w:szCs w:val="24"/>
        </w:rPr>
        <w:t xml:space="preserve"> </w:t>
      </w:r>
      <w:r w:rsidR="007D0B63" w:rsidRPr="007D0B63">
        <w:rPr>
          <w:rFonts w:ascii="Times New Roman" w:hAnsi="Times New Roman" w:cs="Times New Roman"/>
          <w:sz w:val="24"/>
          <w:szCs w:val="24"/>
        </w:rPr>
        <w:t>(2011)</w:t>
      </w:r>
      <w:r w:rsidRPr="007D0B63">
        <w:rPr>
          <w:rFonts w:ascii="Times New Roman" w:hAnsi="Times New Roman" w:cs="Times New Roman"/>
          <w:sz w:val="24"/>
          <w:szCs w:val="24"/>
        </w:rPr>
        <w:t>,</w:t>
      </w:r>
      <w:r>
        <w:rPr>
          <w:rFonts w:ascii="Times New Roman" w:hAnsi="Times New Roman" w:cs="Times New Roman"/>
          <w:sz w:val="24"/>
          <w:szCs w:val="24"/>
        </w:rPr>
        <w:t xml:space="preserve"> 129 Ohio St.</w:t>
      </w:r>
      <w:r w:rsidR="001023BA">
        <w:rPr>
          <w:rFonts w:ascii="Times New Roman" w:hAnsi="Times New Roman" w:cs="Times New Roman"/>
          <w:sz w:val="24"/>
          <w:szCs w:val="24"/>
        </w:rPr>
        <w:t xml:space="preserve"> </w:t>
      </w:r>
      <w:r>
        <w:rPr>
          <w:rFonts w:ascii="Times New Roman" w:hAnsi="Times New Roman" w:cs="Times New Roman"/>
          <w:sz w:val="24"/>
          <w:szCs w:val="24"/>
        </w:rPr>
        <w:t xml:space="preserve">3d 46, 49-50.  The Supreme Court provided that “[w]hen the commission reviews a contested stipulation, the requirement of evidentiary support remains operative.”  </w:t>
      </w:r>
      <w:r w:rsidR="000445FE" w:rsidRPr="000445FE">
        <w:rPr>
          <w:rFonts w:ascii="Times New Roman" w:hAnsi="Times New Roman" w:cs="Times New Roman"/>
          <w:sz w:val="24"/>
          <w:szCs w:val="24"/>
        </w:rPr>
        <w:t>Id</w:t>
      </w:r>
      <w:r w:rsidRPr="007D0B63">
        <w:rPr>
          <w:rFonts w:ascii="Times New Roman" w:hAnsi="Times New Roman" w:cs="Times New Roman"/>
          <w:sz w:val="24"/>
          <w:szCs w:val="24"/>
        </w:rPr>
        <w:t>.</w:t>
      </w:r>
      <w:r>
        <w:rPr>
          <w:rFonts w:ascii="Times New Roman" w:hAnsi="Times New Roman" w:cs="Times New Roman"/>
          <w:sz w:val="24"/>
          <w:szCs w:val="24"/>
        </w:rPr>
        <w:t xml:space="preserve"> at 49.  It is clear that the Commission “must determine, </w:t>
      </w:r>
      <w:r w:rsidRPr="008C6D33">
        <w:rPr>
          <w:rFonts w:ascii="Times New Roman" w:hAnsi="Times New Roman" w:cs="Times New Roman"/>
          <w:i/>
          <w:sz w:val="24"/>
          <w:szCs w:val="24"/>
        </w:rPr>
        <w:t>from the evidence</w:t>
      </w:r>
      <w:r>
        <w:rPr>
          <w:rFonts w:ascii="Times New Roman" w:hAnsi="Times New Roman" w:cs="Times New Roman"/>
          <w:sz w:val="24"/>
          <w:szCs w:val="24"/>
        </w:rPr>
        <w:t xml:space="preserve">, what is just and reasonable.”  </w:t>
      </w:r>
      <w:r w:rsidR="000445FE" w:rsidRPr="000445FE">
        <w:rPr>
          <w:rFonts w:ascii="Times New Roman" w:hAnsi="Times New Roman" w:cs="Times New Roman"/>
          <w:sz w:val="24"/>
          <w:szCs w:val="24"/>
        </w:rPr>
        <w:t>Id</w:t>
      </w:r>
      <w:r w:rsidRPr="007D0B63">
        <w:rPr>
          <w:rFonts w:ascii="Times New Roman" w:hAnsi="Times New Roman" w:cs="Times New Roman"/>
          <w:sz w:val="24"/>
          <w:szCs w:val="24"/>
        </w:rPr>
        <w:t>.</w:t>
      </w:r>
      <w:r>
        <w:rPr>
          <w:rFonts w:ascii="Times New Roman" w:hAnsi="Times New Roman" w:cs="Times New Roman"/>
          <w:sz w:val="24"/>
          <w:szCs w:val="24"/>
        </w:rPr>
        <w:t xml:space="preserve">, citing </w:t>
      </w:r>
      <w:r w:rsidRPr="002C35BA">
        <w:rPr>
          <w:rFonts w:ascii="Times New Roman" w:hAnsi="Times New Roman" w:cs="Times New Roman"/>
          <w:i/>
          <w:sz w:val="24"/>
          <w:szCs w:val="24"/>
        </w:rPr>
        <w:t>Consumers’ Counsel v. Pub. Util. Com</w:t>
      </w:r>
      <w:r>
        <w:rPr>
          <w:rFonts w:ascii="Times New Roman" w:hAnsi="Times New Roman" w:cs="Times New Roman"/>
          <w:i/>
          <w:sz w:val="24"/>
          <w:szCs w:val="24"/>
        </w:rPr>
        <w:t>m</w:t>
      </w:r>
      <w:r w:rsidRPr="002C35BA">
        <w:rPr>
          <w:rFonts w:ascii="Times New Roman" w:hAnsi="Times New Roman" w:cs="Times New Roman"/>
          <w:i/>
          <w:sz w:val="24"/>
          <w:szCs w:val="24"/>
        </w:rPr>
        <w:t>.</w:t>
      </w:r>
      <w:r w:rsidR="007D0B63">
        <w:rPr>
          <w:rFonts w:ascii="Times New Roman" w:hAnsi="Times New Roman" w:cs="Times New Roman"/>
          <w:i/>
          <w:sz w:val="24"/>
          <w:szCs w:val="24"/>
        </w:rPr>
        <w:t xml:space="preserve"> </w:t>
      </w:r>
      <w:r w:rsidR="007D0B63" w:rsidRPr="007D0B63">
        <w:rPr>
          <w:rFonts w:ascii="Times New Roman" w:hAnsi="Times New Roman" w:cs="Times New Roman"/>
          <w:sz w:val="24"/>
          <w:szCs w:val="24"/>
        </w:rPr>
        <w:t>(1992)</w:t>
      </w:r>
      <w:r w:rsidRPr="007D0B63">
        <w:rPr>
          <w:rFonts w:ascii="Times New Roman" w:hAnsi="Times New Roman" w:cs="Times New Roman"/>
          <w:sz w:val="24"/>
          <w:szCs w:val="24"/>
        </w:rPr>
        <w:t>,</w:t>
      </w:r>
      <w:r>
        <w:rPr>
          <w:rFonts w:ascii="Times New Roman" w:hAnsi="Times New Roman" w:cs="Times New Roman"/>
          <w:sz w:val="24"/>
          <w:szCs w:val="24"/>
        </w:rPr>
        <w:t xml:space="preserve"> 64 Ohio St.</w:t>
      </w:r>
      <w:r w:rsidR="001023BA">
        <w:rPr>
          <w:rFonts w:ascii="Times New Roman" w:hAnsi="Times New Roman" w:cs="Times New Roman"/>
          <w:sz w:val="24"/>
          <w:szCs w:val="24"/>
        </w:rPr>
        <w:t xml:space="preserve"> </w:t>
      </w:r>
      <w:r>
        <w:rPr>
          <w:rFonts w:ascii="Times New Roman" w:hAnsi="Times New Roman" w:cs="Times New Roman"/>
          <w:sz w:val="24"/>
          <w:szCs w:val="24"/>
        </w:rPr>
        <w:t xml:space="preserve">3d 123, 126 (emphasis in original).  The </w:t>
      </w:r>
      <w:r w:rsidRPr="002C35BA">
        <w:rPr>
          <w:rFonts w:ascii="Times New Roman" w:hAnsi="Times New Roman" w:cs="Times New Roman"/>
          <w:i/>
          <w:sz w:val="24"/>
          <w:szCs w:val="24"/>
        </w:rPr>
        <w:t>Columbus Southern Power Co.</w:t>
      </w:r>
      <w:r>
        <w:rPr>
          <w:rFonts w:ascii="Times New Roman" w:hAnsi="Times New Roman" w:cs="Times New Roman"/>
          <w:sz w:val="24"/>
          <w:szCs w:val="24"/>
        </w:rPr>
        <w:t xml:space="preserve"> Court emphasized the paramount importance of evidentiary support finding that “stipulations are considered merely as recommendations to the commission and, while entitled to substantial weight, they must be supported by the evidence of record to withstand [appellate] scrutiny.  [citations omitted.]  The agreement of </w:t>
      </w:r>
      <w:r>
        <w:rPr>
          <w:rFonts w:ascii="Times New Roman" w:hAnsi="Times New Roman" w:cs="Times New Roman"/>
          <w:i/>
          <w:sz w:val="24"/>
          <w:szCs w:val="24"/>
        </w:rPr>
        <w:t xml:space="preserve">some </w:t>
      </w:r>
      <w:r>
        <w:rPr>
          <w:rFonts w:ascii="Times New Roman" w:hAnsi="Times New Roman" w:cs="Times New Roman"/>
          <w:sz w:val="24"/>
          <w:szCs w:val="24"/>
        </w:rPr>
        <w:t xml:space="preserve">parties is no substitute for the many procedural protections reinforced by the evidentiary-support requirement.”  </w:t>
      </w:r>
      <w:r w:rsidR="000445FE" w:rsidRPr="000445FE">
        <w:rPr>
          <w:rFonts w:ascii="Times New Roman" w:hAnsi="Times New Roman" w:cs="Times New Roman"/>
          <w:sz w:val="24"/>
          <w:szCs w:val="24"/>
        </w:rPr>
        <w:t>Id</w:t>
      </w:r>
      <w:r w:rsidRPr="002C35BA">
        <w:rPr>
          <w:rFonts w:ascii="Times New Roman" w:hAnsi="Times New Roman" w:cs="Times New Roman"/>
          <w:i/>
          <w:sz w:val="24"/>
          <w:szCs w:val="24"/>
        </w:rPr>
        <w:t>.</w:t>
      </w:r>
      <w:r>
        <w:rPr>
          <w:rFonts w:ascii="Times New Roman" w:hAnsi="Times New Roman" w:cs="Times New Roman"/>
          <w:sz w:val="24"/>
          <w:szCs w:val="24"/>
        </w:rPr>
        <w:t xml:space="preserve"> at 50 (internal citations omitted).  </w:t>
      </w:r>
    </w:p>
    <w:p w:rsidR="00AF3737" w:rsidRDefault="0041288C" w:rsidP="00614C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Pursuant to </w:t>
      </w:r>
      <w:r w:rsidRPr="002C35BA">
        <w:rPr>
          <w:rFonts w:ascii="Times New Roman" w:hAnsi="Times New Roman" w:cs="Times New Roman"/>
          <w:i/>
          <w:sz w:val="24"/>
          <w:szCs w:val="24"/>
        </w:rPr>
        <w:t>Columbus Southern Power Co</w:t>
      </w:r>
      <w:r>
        <w:rPr>
          <w:rFonts w:ascii="Times New Roman" w:hAnsi="Times New Roman" w:cs="Times New Roman"/>
          <w:i/>
          <w:sz w:val="24"/>
          <w:szCs w:val="24"/>
        </w:rPr>
        <w:t>.</w:t>
      </w:r>
      <w:r>
        <w:rPr>
          <w:rFonts w:ascii="Times New Roman" w:hAnsi="Times New Roman" w:cs="Times New Roman"/>
          <w:sz w:val="24"/>
          <w:szCs w:val="24"/>
        </w:rPr>
        <w:t>, the Commission cannot merely defer to</w:t>
      </w:r>
      <w:r w:rsidR="00F90897">
        <w:rPr>
          <w:rFonts w:ascii="Times New Roman" w:hAnsi="Times New Roman" w:cs="Times New Roman"/>
          <w:sz w:val="24"/>
          <w:szCs w:val="24"/>
        </w:rPr>
        <w:t xml:space="preserve"> </w:t>
      </w:r>
      <w:r w:rsidR="007D0B63">
        <w:rPr>
          <w:rFonts w:ascii="Times New Roman" w:hAnsi="Times New Roman" w:cs="Times New Roman"/>
          <w:sz w:val="24"/>
          <w:szCs w:val="24"/>
        </w:rPr>
        <w:t xml:space="preserve">the </w:t>
      </w:r>
      <w:r w:rsidR="00F90897">
        <w:rPr>
          <w:rFonts w:ascii="Times New Roman" w:hAnsi="Times New Roman" w:cs="Times New Roman"/>
          <w:sz w:val="24"/>
          <w:szCs w:val="24"/>
        </w:rPr>
        <w:t>price stipulated by the Signatory Parties.  By doing so, the Commission shields the underlying justification for, and lev</w:t>
      </w:r>
      <w:r w:rsidR="001023BA">
        <w:rPr>
          <w:rFonts w:ascii="Times New Roman" w:hAnsi="Times New Roman" w:cs="Times New Roman"/>
          <w:sz w:val="24"/>
          <w:szCs w:val="24"/>
        </w:rPr>
        <w:t>el of, the SCO Security Deposit</w:t>
      </w:r>
      <w:r w:rsidR="00F90897">
        <w:rPr>
          <w:rFonts w:ascii="Times New Roman" w:hAnsi="Times New Roman" w:cs="Times New Roman"/>
          <w:sz w:val="24"/>
          <w:szCs w:val="24"/>
        </w:rPr>
        <w:t xml:space="preserve"> from scrutiny by the non-signatory </w:t>
      </w:r>
      <w:r w:rsidR="00F90897">
        <w:rPr>
          <w:rFonts w:ascii="Times New Roman" w:hAnsi="Times New Roman" w:cs="Times New Roman"/>
          <w:sz w:val="24"/>
          <w:szCs w:val="24"/>
        </w:rPr>
        <w:lastRenderedPageBreak/>
        <w:t>parties such as Hess, which has chosen to litigate the charge.  Reliance on the “negotiated amount” of the deposit is prejudicial to Hess and unlawful.</w:t>
      </w:r>
      <w:r w:rsidR="008435D9">
        <w:rPr>
          <w:rStyle w:val="FootnoteReference"/>
          <w:rFonts w:ascii="Times New Roman" w:hAnsi="Times New Roman" w:cs="Times New Roman"/>
          <w:sz w:val="24"/>
          <w:szCs w:val="24"/>
        </w:rPr>
        <w:footnoteReference w:id="7"/>
      </w:r>
      <w:r w:rsidR="00AB4D52">
        <w:rPr>
          <w:rFonts w:ascii="Times New Roman" w:hAnsi="Times New Roman" w:cs="Times New Roman"/>
          <w:sz w:val="24"/>
          <w:szCs w:val="24"/>
        </w:rPr>
        <w:t xml:space="preserve"> </w:t>
      </w:r>
    </w:p>
    <w:p w:rsidR="00283508" w:rsidRPr="00614CB8" w:rsidRDefault="00CE1028" w:rsidP="001001FB">
      <w:pPr>
        <w:spacing w:after="0" w:line="240" w:lineRule="auto"/>
        <w:ind w:left="1440" w:right="630" w:hanging="720"/>
        <w:jc w:val="both"/>
        <w:rPr>
          <w:rFonts w:ascii="Times New Roman Bold" w:hAnsi="Times New Roman Bold" w:cs="Times New Roman"/>
          <w:caps/>
          <w:sz w:val="24"/>
          <w:szCs w:val="24"/>
        </w:rPr>
      </w:pPr>
      <w:r w:rsidRPr="00614CB8">
        <w:rPr>
          <w:rFonts w:ascii="Times New Roman Bold" w:hAnsi="Times New Roman Bold" w:cs="Times New Roman"/>
          <w:b/>
          <w:caps/>
          <w:sz w:val="24"/>
          <w:szCs w:val="24"/>
        </w:rPr>
        <w:t>C.</w:t>
      </w:r>
      <w:r w:rsidRPr="00614CB8">
        <w:rPr>
          <w:rFonts w:ascii="Times New Roman Bold" w:hAnsi="Times New Roman Bold" w:cs="Times New Roman"/>
          <w:b/>
          <w:caps/>
          <w:sz w:val="24"/>
          <w:szCs w:val="24"/>
        </w:rPr>
        <w:tab/>
        <w:t>The Commission’s Order</w:t>
      </w:r>
      <w:r w:rsidR="002127EE" w:rsidRPr="002127EE">
        <w:rPr>
          <w:rFonts w:ascii="Times New Roman Bold" w:hAnsi="Times New Roman Bold" w:cs="Times New Roman"/>
          <w:b/>
          <w:caps/>
          <w:sz w:val="24"/>
          <w:szCs w:val="24"/>
        </w:rPr>
        <w:t xml:space="preserve"> Approving the SCO Security Deposit</w:t>
      </w:r>
      <w:r w:rsidRPr="00614CB8">
        <w:rPr>
          <w:rFonts w:ascii="Times New Roman Bold" w:hAnsi="Times New Roman Bold" w:cs="Times New Roman"/>
          <w:b/>
          <w:caps/>
          <w:sz w:val="24"/>
          <w:szCs w:val="24"/>
        </w:rPr>
        <w:t xml:space="preserve"> Violates Columbia Gas of Ohio’s Code of Conduct</w:t>
      </w:r>
      <w:r w:rsidR="000B50C6" w:rsidRPr="00614CB8">
        <w:rPr>
          <w:rFonts w:ascii="Times New Roman Bold" w:hAnsi="Times New Roman Bold" w:cs="Times New Roman"/>
          <w:b/>
          <w:caps/>
          <w:sz w:val="24"/>
          <w:szCs w:val="24"/>
        </w:rPr>
        <w:t xml:space="preserve"> and Section 4929.02, Ohio Rev. Code</w:t>
      </w:r>
      <w:r w:rsidR="00253FA2" w:rsidRPr="00614CB8">
        <w:rPr>
          <w:rFonts w:ascii="Times New Roman Bold" w:hAnsi="Times New Roman Bold" w:cs="Times New Roman"/>
          <w:b/>
          <w:caps/>
          <w:sz w:val="24"/>
          <w:szCs w:val="24"/>
        </w:rPr>
        <w:t>, Because it Unduly Discriminates Against SCO Suppliers</w:t>
      </w:r>
      <w:r w:rsidR="00A96B58">
        <w:rPr>
          <w:rFonts w:ascii="Times New Roman Bold" w:hAnsi="Times New Roman Bold" w:cs="Times New Roman"/>
          <w:b/>
          <w:caps/>
          <w:sz w:val="24"/>
          <w:szCs w:val="24"/>
        </w:rPr>
        <w:t xml:space="preserve"> AND SCO CUSTOMERS</w:t>
      </w:r>
      <w:r w:rsidR="000B50C6" w:rsidRPr="00614CB8">
        <w:rPr>
          <w:rFonts w:ascii="Times New Roman Bold" w:hAnsi="Times New Roman Bold" w:cs="Times New Roman"/>
          <w:b/>
          <w:caps/>
          <w:sz w:val="24"/>
          <w:szCs w:val="24"/>
        </w:rPr>
        <w:t xml:space="preserve">. </w:t>
      </w:r>
    </w:p>
    <w:p w:rsidR="002236DA" w:rsidRDefault="002236DA" w:rsidP="002236DA">
      <w:pPr>
        <w:pStyle w:val="ListParagraph"/>
        <w:spacing w:after="0" w:line="240" w:lineRule="auto"/>
        <w:rPr>
          <w:rFonts w:ascii="Times New Roman" w:hAnsi="Times New Roman" w:cs="Times New Roman"/>
          <w:sz w:val="24"/>
          <w:szCs w:val="24"/>
        </w:rPr>
      </w:pPr>
    </w:p>
    <w:p w:rsidR="00371E53" w:rsidRDefault="00CE1028" w:rsidP="001001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Section 4929.04(E)(2), Ohio Rev.</w:t>
      </w:r>
      <w:r w:rsidR="00EC0C15">
        <w:rPr>
          <w:rFonts w:ascii="Times New Roman" w:hAnsi="Times New Roman" w:cs="Times New Roman"/>
          <w:sz w:val="24"/>
          <w:szCs w:val="24"/>
        </w:rPr>
        <w:t xml:space="preserve"> </w:t>
      </w:r>
      <w:r>
        <w:rPr>
          <w:rFonts w:ascii="Times New Roman" w:hAnsi="Times New Roman" w:cs="Times New Roman"/>
          <w:sz w:val="24"/>
          <w:szCs w:val="24"/>
        </w:rPr>
        <w:t xml:space="preserve">Code, requires that </w:t>
      </w:r>
      <w:r w:rsidR="001001FB">
        <w:rPr>
          <w:rFonts w:ascii="Times New Roman" w:hAnsi="Times New Roman" w:cs="Times New Roman"/>
          <w:sz w:val="24"/>
          <w:szCs w:val="24"/>
        </w:rPr>
        <w:t>any exemption order issued under Section 4929.04(A) must prescribe a code of conduct that governs the company’s adherence to the state policy specified in Section 4929.02, Ohio Rev. Code.  Columbia</w:t>
      </w:r>
      <w:r w:rsidR="00771B9F">
        <w:rPr>
          <w:rFonts w:ascii="Times New Roman" w:hAnsi="Times New Roman" w:cs="Times New Roman"/>
          <w:sz w:val="24"/>
          <w:szCs w:val="24"/>
        </w:rPr>
        <w:t xml:space="preserve"> sought approval of its code of conduct in its exemption proceeding, </w:t>
      </w:r>
      <w:r w:rsidR="001001FB">
        <w:rPr>
          <w:rFonts w:ascii="Times New Roman" w:hAnsi="Times New Roman" w:cs="Times New Roman"/>
          <w:sz w:val="24"/>
          <w:szCs w:val="24"/>
        </w:rPr>
        <w:t>Case No. 08-13</w:t>
      </w:r>
      <w:r w:rsidR="002C3348">
        <w:rPr>
          <w:rFonts w:ascii="Times New Roman" w:hAnsi="Times New Roman" w:cs="Times New Roman"/>
          <w:sz w:val="24"/>
          <w:szCs w:val="24"/>
        </w:rPr>
        <w:t>4</w:t>
      </w:r>
      <w:r w:rsidR="001001FB">
        <w:rPr>
          <w:rFonts w:ascii="Times New Roman" w:hAnsi="Times New Roman" w:cs="Times New Roman"/>
          <w:sz w:val="24"/>
          <w:szCs w:val="24"/>
        </w:rPr>
        <w:t>4-GA-EXM</w:t>
      </w:r>
      <w:r w:rsidR="001023BA">
        <w:rPr>
          <w:rFonts w:ascii="Times New Roman" w:hAnsi="Times New Roman" w:cs="Times New Roman"/>
          <w:sz w:val="24"/>
          <w:szCs w:val="24"/>
        </w:rPr>
        <w:t>,</w:t>
      </w:r>
      <w:r w:rsidR="001001FB">
        <w:rPr>
          <w:rFonts w:ascii="Times New Roman" w:hAnsi="Times New Roman" w:cs="Times New Roman"/>
          <w:sz w:val="24"/>
          <w:szCs w:val="24"/>
        </w:rPr>
        <w:t xml:space="preserve"> and </w:t>
      </w:r>
      <w:r w:rsidR="00771B9F">
        <w:rPr>
          <w:rFonts w:ascii="Times New Roman" w:hAnsi="Times New Roman" w:cs="Times New Roman"/>
          <w:sz w:val="24"/>
          <w:szCs w:val="24"/>
        </w:rPr>
        <w:t>based its code of conduct on the requirements of Section 4905.35, Ohio Rev. Code.</w:t>
      </w:r>
      <w:r w:rsidR="00771B9F">
        <w:rPr>
          <w:rStyle w:val="FootnoteReference"/>
          <w:rFonts w:ascii="Times New Roman" w:hAnsi="Times New Roman" w:cs="Times New Roman"/>
          <w:sz w:val="24"/>
          <w:szCs w:val="24"/>
        </w:rPr>
        <w:footnoteReference w:id="8"/>
      </w:r>
      <w:r w:rsidR="00771B9F">
        <w:rPr>
          <w:rFonts w:ascii="Times New Roman" w:hAnsi="Times New Roman" w:cs="Times New Roman"/>
          <w:sz w:val="24"/>
          <w:szCs w:val="24"/>
        </w:rPr>
        <w:t xml:space="preserve">  See Case No. 08-1334-GA-EXM, Application Exhibit V, Proposed Separation Plan and Code of Conduct.  The Commission approved the code of conduct </w:t>
      </w:r>
      <w:r w:rsidR="00371E53">
        <w:rPr>
          <w:rFonts w:ascii="Times New Roman" w:hAnsi="Times New Roman" w:cs="Times New Roman"/>
          <w:sz w:val="24"/>
          <w:szCs w:val="24"/>
        </w:rPr>
        <w:t xml:space="preserve">by its order issued </w:t>
      </w:r>
      <w:r w:rsidR="002C3348">
        <w:rPr>
          <w:rFonts w:ascii="Times New Roman" w:hAnsi="Times New Roman" w:cs="Times New Roman"/>
          <w:sz w:val="24"/>
          <w:szCs w:val="24"/>
        </w:rPr>
        <w:t>in 08-1344 on December 2, 2009</w:t>
      </w:r>
      <w:r w:rsidR="00371E53">
        <w:rPr>
          <w:rFonts w:ascii="Times New Roman" w:hAnsi="Times New Roman" w:cs="Times New Roman"/>
          <w:sz w:val="24"/>
          <w:szCs w:val="24"/>
        </w:rPr>
        <w:t xml:space="preserve">, and the code is now contained in Columbia’s Tariff PUCO No. 2, Section VII, </w:t>
      </w:r>
      <w:r w:rsidR="00A96B58">
        <w:rPr>
          <w:rFonts w:ascii="Times New Roman" w:hAnsi="Times New Roman" w:cs="Times New Roman"/>
          <w:sz w:val="24"/>
          <w:szCs w:val="24"/>
        </w:rPr>
        <w:t xml:space="preserve">First Revised </w:t>
      </w:r>
      <w:r w:rsidR="00371E53">
        <w:rPr>
          <w:rFonts w:ascii="Times New Roman" w:hAnsi="Times New Roman" w:cs="Times New Roman"/>
          <w:sz w:val="24"/>
          <w:szCs w:val="24"/>
        </w:rPr>
        <w:t>Sheet No. 22, et seq.  Paragraph 22.1(3) of th</w:t>
      </w:r>
      <w:r w:rsidR="00A96B58">
        <w:rPr>
          <w:rFonts w:ascii="Times New Roman" w:hAnsi="Times New Roman" w:cs="Times New Roman"/>
          <w:sz w:val="24"/>
          <w:szCs w:val="24"/>
        </w:rPr>
        <w:t>os</w:t>
      </w:r>
      <w:r w:rsidR="00371E53">
        <w:rPr>
          <w:rFonts w:ascii="Times New Roman" w:hAnsi="Times New Roman" w:cs="Times New Roman"/>
          <w:sz w:val="24"/>
          <w:szCs w:val="24"/>
        </w:rPr>
        <w:t>e tariff provisions provides:</w:t>
      </w:r>
    </w:p>
    <w:p w:rsidR="00371E53" w:rsidRDefault="001023BA" w:rsidP="00371E53">
      <w:pPr>
        <w:spacing w:after="0" w:line="240" w:lineRule="auto"/>
        <w:ind w:left="1440" w:right="634"/>
        <w:jc w:val="both"/>
        <w:rPr>
          <w:rFonts w:ascii="Times New Roman" w:hAnsi="Times New Roman" w:cs="Times New Roman"/>
          <w:sz w:val="24"/>
          <w:szCs w:val="24"/>
        </w:rPr>
      </w:pPr>
      <w:r>
        <w:rPr>
          <w:rFonts w:ascii="Times New Roman" w:hAnsi="Times New Roman" w:cs="Times New Roman"/>
          <w:sz w:val="24"/>
          <w:szCs w:val="24"/>
        </w:rPr>
        <w:t>[</w:t>
      </w:r>
      <w:r w:rsidR="00371E53">
        <w:rPr>
          <w:rFonts w:ascii="Times New Roman" w:hAnsi="Times New Roman" w:cs="Times New Roman"/>
          <w:sz w:val="24"/>
          <w:szCs w:val="24"/>
        </w:rPr>
        <w:t>Co</w:t>
      </w:r>
      <w:r>
        <w:rPr>
          <w:rFonts w:ascii="Times New Roman" w:hAnsi="Times New Roman" w:cs="Times New Roman"/>
          <w:sz w:val="24"/>
          <w:szCs w:val="24"/>
        </w:rPr>
        <w:t xml:space="preserve">lumbia] </w:t>
      </w:r>
      <w:r w:rsidR="00371E53">
        <w:rPr>
          <w:rFonts w:ascii="Times New Roman" w:hAnsi="Times New Roman" w:cs="Times New Roman"/>
          <w:sz w:val="24"/>
          <w:szCs w:val="24"/>
        </w:rPr>
        <w:t>may not, through a tariff provision or otherwise, give any Retail Natural Gas Supplier or Governmental Aggregator or any Retail Natural Gas Supplier’s or Governmental Aggregator’s customers preferences in matters, rates, information, or charges relating to transportation service including, but not limited to, scheduling, balancing,</w:t>
      </w:r>
      <w:r w:rsidR="000B50C6">
        <w:rPr>
          <w:rFonts w:ascii="Times New Roman" w:hAnsi="Times New Roman" w:cs="Times New Roman"/>
          <w:sz w:val="24"/>
          <w:szCs w:val="24"/>
        </w:rPr>
        <w:t xml:space="preserve"> </w:t>
      </w:r>
      <w:r w:rsidR="00371E53">
        <w:rPr>
          <w:rFonts w:ascii="Times New Roman" w:hAnsi="Times New Roman" w:cs="Times New Roman"/>
          <w:sz w:val="24"/>
          <w:szCs w:val="24"/>
        </w:rPr>
        <w:t xml:space="preserve">metering, storage, Backup Service or curtailment  policy… </w:t>
      </w:r>
    </w:p>
    <w:p w:rsidR="00E3711D" w:rsidRDefault="00E3711D" w:rsidP="00E3711D">
      <w:pPr>
        <w:spacing w:before="240" w:after="0" w:line="480" w:lineRule="auto"/>
        <w:ind w:firstLine="720"/>
        <w:jc w:val="both"/>
        <w:rPr>
          <w:rFonts w:ascii="Times New Roman" w:hAnsi="Times New Roman"/>
          <w:sz w:val="24"/>
          <w:szCs w:val="24"/>
        </w:rPr>
      </w:pPr>
      <w:r>
        <w:rPr>
          <w:rFonts w:ascii="Times New Roman" w:hAnsi="Times New Roman" w:cs="Times New Roman"/>
          <w:sz w:val="24"/>
          <w:szCs w:val="24"/>
        </w:rPr>
        <w:lastRenderedPageBreak/>
        <w:t xml:space="preserve">Hess witness Magnani testified that the SCO Security Deposit </w:t>
      </w:r>
      <w:r w:rsidR="00A96B58">
        <w:rPr>
          <w:rFonts w:ascii="Times New Roman" w:hAnsi="Times New Roman" w:cs="Times New Roman"/>
          <w:sz w:val="24"/>
          <w:szCs w:val="24"/>
        </w:rPr>
        <w:t>i</w:t>
      </w:r>
      <w:r>
        <w:rPr>
          <w:rFonts w:ascii="Times New Roman" w:hAnsi="Times New Roman" w:cs="Times New Roman"/>
          <w:sz w:val="24"/>
          <w:szCs w:val="24"/>
        </w:rPr>
        <w:t>s unduly discriminatory to SCO suppliers.  He testified that i</w:t>
      </w:r>
      <w:r>
        <w:rPr>
          <w:rFonts w:ascii="Times New Roman" w:hAnsi="Times New Roman"/>
          <w:sz w:val="24"/>
          <w:szCs w:val="24"/>
        </w:rPr>
        <w:t xml:space="preserve">f approved, SCO suppliers would have to build the $0.06 per Mcf charge into their SCO bids each year because they would be unable to recover it at the end of the program year.  Choice suppliers, on the other hand, would not be assessed this charge and would not need to account for the charge in their offers to Choice customers, </w:t>
      </w:r>
      <w:r w:rsidR="00BE0EF3">
        <w:rPr>
          <w:rFonts w:ascii="Times New Roman" w:hAnsi="Times New Roman"/>
          <w:sz w:val="24"/>
          <w:szCs w:val="24"/>
        </w:rPr>
        <w:t xml:space="preserve">providing them with the undue advantage by </w:t>
      </w:r>
      <w:r>
        <w:rPr>
          <w:rFonts w:ascii="Times New Roman" w:hAnsi="Times New Roman"/>
          <w:sz w:val="24"/>
          <w:szCs w:val="24"/>
        </w:rPr>
        <w:t>making Choice suppliers’ offers more competitive to Choice-eligible customers</w:t>
      </w:r>
      <w:r w:rsidR="00BE0EF3" w:rsidRPr="00BE0EF3">
        <w:rPr>
          <w:rFonts w:ascii="Times New Roman" w:hAnsi="Times New Roman"/>
          <w:sz w:val="24"/>
          <w:szCs w:val="24"/>
        </w:rPr>
        <w:t xml:space="preserve"> </w:t>
      </w:r>
      <w:r w:rsidR="00BE0EF3">
        <w:rPr>
          <w:rFonts w:ascii="Times New Roman" w:hAnsi="Times New Roman"/>
          <w:sz w:val="24"/>
          <w:szCs w:val="24"/>
        </w:rPr>
        <w:t>vis-à-vis SCO supply</w:t>
      </w:r>
      <w:r>
        <w:rPr>
          <w:rFonts w:ascii="Times New Roman" w:hAnsi="Times New Roman"/>
          <w:sz w:val="24"/>
          <w:szCs w:val="24"/>
        </w:rPr>
        <w:t>.   Hess Ex. 1, at 19-20</w:t>
      </w:r>
      <w:r w:rsidR="00363057">
        <w:rPr>
          <w:rFonts w:ascii="Times New Roman" w:hAnsi="Times New Roman"/>
          <w:sz w:val="24"/>
          <w:szCs w:val="24"/>
        </w:rPr>
        <w:t>.</w:t>
      </w:r>
    </w:p>
    <w:p w:rsidR="00363057" w:rsidRDefault="00E3711D" w:rsidP="00363057">
      <w:pPr>
        <w:spacing w:after="0" w:line="480" w:lineRule="auto"/>
        <w:ind w:firstLine="720"/>
        <w:jc w:val="both"/>
        <w:rPr>
          <w:rFonts w:ascii="Times New Roman" w:hAnsi="Times New Roman"/>
          <w:sz w:val="24"/>
          <w:szCs w:val="24"/>
        </w:rPr>
      </w:pPr>
      <w:r>
        <w:rPr>
          <w:rFonts w:ascii="Times New Roman" w:hAnsi="Times New Roman"/>
          <w:sz w:val="24"/>
          <w:szCs w:val="24"/>
        </w:rPr>
        <w:t xml:space="preserve">He further testified that since SCO suppliers would be forced to increase their SCO bids by $0.06 per Mcf, the proposed SCO security charge would penalize SCO customers by subjecting them to higher prices.  Even though SCO customers would be paying all costs associated with the SCO security charge (via the SCO clearing price), the unused funds would  be returned to </w:t>
      </w:r>
      <w:r w:rsidRPr="0038003F">
        <w:rPr>
          <w:rFonts w:ascii="Times New Roman" w:hAnsi="Times New Roman"/>
          <w:sz w:val="24"/>
          <w:szCs w:val="24"/>
          <w:u w:val="single"/>
        </w:rPr>
        <w:t>all</w:t>
      </w:r>
      <w:r>
        <w:rPr>
          <w:rFonts w:ascii="Times New Roman" w:hAnsi="Times New Roman"/>
          <w:sz w:val="24"/>
          <w:szCs w:val="24"/>
        </w:rPr>
        <w:t xml:space="preserve"> customers (</w:t>
      </w:r>
      <w:r w:rsidR="000445FE" w:rsidRPr="000445FE">
        <w:rPr>
          <w:rFonts w:ascii="Times New Roman" w:hAnsi="Times New Roman"/>
          <w:sz w:val="24"/>
          <w:szCs w:val="24"/>
        </w:rPr>
        <w:t>i.e</w:t>
      </w:r>
      <w:r w:rsidRPr="0038003F">
        <w:rPr>
          <w:rFonts w:ascii="Times New Roman" w:hAnsi="Times New Roman"/>
          <w:i/>
          <w:sz w:val="24"/>
          <w:szCs w:val="24"/>
        </w:rPr>
        <w:t>.</w:t>
      </w:r>
      <w:r>
        <w:rPr>
          <w:rFonts w:ascii="Times New Roman" w:hAnsi="Times New Roman"/>
          <w:sz w:val="24"/>
          <w:szCs w:val="24"/>
        </w:rPr>
        <w:t>, SCO and Choice customers)</w:t>
      </w:r>
      <w:r w:rsidR="00363057">
        <w:rPr>
          <w:rFonts w:ascii="Times New Roman" w:hAnsi="Times New Roman"/>
          <w:sz w:val="24"/>
          <w:szCs w:val="24"/>
        </w:rPr>
        <w:t xml:space="preserve"> through CSRR rider</w:t>
      </w:r>
      <w:r>
        <w:rPr>
          <w:rFonts w:ascii="Times New Roman" w:hAnsi="Times New Roman"/>
          <w:sz w:val="24"/>
          <w:szCs w:val="24"/>
        </w:rPr>
        <w:t>.  Thus, only a portion of the unused funds w</w:t>
      </w:r>
      <w:r w:rsidR="00363057">
        <w:rPr>
          <w:rFonts w:ascii="Times New Roman" w:hAnsi="Times New Roman"/>
          <w:sz w:val="24"/>
          <w:szCs w:val="24"/>
        </w:rPr>
        <w:t xml:space="preserve">ould </w:t>
      </w:r>
      <w:r>
        <w:rPr>
          <w:rFonts w:ascii="Times New Roman" w:hAnsi="Times New Roman"/>
          <w:sz w:val="24"/>
          <w:szCs w:val="24"/>
        </w:rPr>
        <w:t>be return</w:t>
      </w:r>
      <w:r w:rsidR="00363057">
        <w:rPr>
          <w:rFonts w:ascii="Times New Roman" w:hAnsi="Times New Roman"/>
          <w:sz w:val="24"/>
          <w:szCs w:val="24"/>
        </w:rPr>
        <w:t>ed</w:t>
      </w:r>
      <w:r>
        <w:rPr>
          <w:rFonts w:ascii="Times New Roman" w:hAnsi="Times New Roman"/>
          <w:sz w:val="24"/>
          <w:szCs w:val="24"/>
        </w:rPr>
        <w:t xml:space="preserve"> to SCO customers.  </w:t>
      </w:r>
      <w:r w:rsidR="00363057">
        <w:rPr>
          <w:rFonts w:ascii="Times New Roman" w:hAnsi="Times New Roman"/>
          <w:sz w:val="24"/>
          <w:szCs w:val="24"/>
        </w:rPr>
        <w:t>Hess Ex. 1, at 20.</w:t>
      </w:r>
      <w:r w:rsidR="00BE0EF3">
        <w:rPr>
          <w:rFonts w:ascii="Times New Roman" w:hAnsi="Times New Roman"/>
          <w:sz w:val="24"/>
          <w:szCs w:val="24"/>
        </w:rPr>
        <w:t xml:space="preserve">  </w:t>
      </w:r>
      <w:r w:rsidR="00BE0EF3" w:rsidRPr="00A6034A">
        <w:rPr>
          <w:rFonts w:ascii="Times New Roman" w:hAnsi="Times New Roman"/>
          <w:sz w:val="24"/>
          <w:szCs w:val="24"/>
        </w:rPr>
        <w:t>As a result, SCO customers w</w:t>
      </w:r>
      <w:r w:rsidR="00BE0EF3">
        <w:rPr>
          <w:rFonts w:ascii="Times New Roman" w:hAnsi="Times New Roman"/>
          <w:sz w:val="24"/>
          <w:szCs w:val="24"/>
        </w:rPr>
        <w:t xml:space="preserve">ould </w:t>
      </w:r>
      <w:r w:rsidR="00BE0EF3" w:rsidRPr="00A6034A">
        <w:rPr>
          <w:rFonts w:ascii="Times New Roman" w:hAnsi="Times New Roman"/>
          <w:sz w:val="24"/>
          <w:szCs w:val="24"/>
        </w:rPr>
        <w:t xml:space="preserve">be </w:t>
      </w:r>
      <w:r w:rsidR="00BE0EF3">
        <w:rPr>
          <w:rFonts w:ascii="Times New Roman" w:hAnsi="Times New Roman"/>
          <w:sz w:val="24"/>
          <w:szCs w:val="24"/>
        </w:rPr>
        <w:t xml:space="preserve">unduly disadvantaged </w:t>
      </w:r>
      <w:r w:rsidR="00BE0EF3" w:rsidRPr="00A6034A">
        <w:rPr>
          <w:rFonts w:ascii="Times New Roman" w:hAnsi="Times New Roman"/>
          <w:sz w:val="24"/>
          <w:szCs w:val="24"/>
        </w:rPr>
        <w:t xml:space="preserve">compared to </w:t>
      </w:r>
      <w:r w:rsidR="00BE0EF3">
        <w:rPr>
          <w:rFonts w:ascii="Times New Roman" w:hAnsi="Times New Roman"/>
          <w:sz w:val="24"/>
          <w:szCs w:val="24"/>
        </w:rPr>
        <w:t xml:space="preserve">Choice </w:t>
      </w:r>
      <w:r w:rsidR="00BE0EF3" w:rsidRPr="00A6034A">
        <w:rPr>
          <w:rFonts w:ascii="Times New Roman" w:hAnsi="Times New Roman"/>
          <w:sz w:val="24"/>
          <w:szCs w:val="24"/>
        </w:rPr>
        <w:t>customers.</w:t>
      </w:r>
    </w:p>
    <w:p w:rsidR="00363057" w:rsidRDefault="00363057" w:rsidP="00E3711D">
      <w:pPr>
        <w:spacing w:after="0" w:line="480" w:lineRule="auto"/>
        <w:ind w:firstLine="720"/>
        <w:jc w:val="both"/>
        <w:rPr>
          <w:rFonts w:ascii="Times New Roman" w:hAnsi="Times New Roman"/>
          <w:sz w:val="24"/>
          <w:szCs w:val="24"/>
        </w:rPr>
      </w:pPr>
      <w:r>
        <w:rPr>
          <w:rFonts w:ascii="Times New Roman" w:hAnsi="Times New Roman"/>
          <w:sz w:val="24"/>
          <w:szCs w:val="24"/>
        </w:rPr>
        <w:t>Clearly, the SCO Security deposit provides undue preferences to Choice Suppliers and customers, and undue disadvantages to SCO suppliers and their customers in violation of Columbia’s tariffed code of conduct and the pro-competitive policies of Section 4929.02, Ohio Rev. Code, which the code of conduct is designed to enforce.  Specifically</w:t>
      </w:r>
      <w:r w:rsidR="002C3348">
        <w:rPr>
          <w:rFonts w:ascii="Times New Roman" w:hAnsi="Times New Roman"/>
          <w:sz w:val="24"/>
          <w:szCs w:val="24"/>
        </w:rPr>
        <w:t xml:space="preserve">, approval of the SCO Security Deposit violates </w:t>
      </w:r>
      <w:r w:rsidR="002C3348" w:rsidRPr="00C2709E">
        <w:rPr>
          <w:rFonts w:ascii="Times New Roman" w:hAnsi="Times New Roman"/>
          <w:sz w:val="24"/>
          <w:szCs w:val="24"/>
        </w:rPr>
        <w:t xml:space="preserve">Sections 4929.02(A)(1), (2), </w:t>
      </w:r>
      <w:r w:rsidR="00C2709E" w:rsidRPr="00C2709E">
        <w:rPr>
          <w:rFonts w:ascii="Times New Roman" w:hAnsi="Times New Roman"/>
          <w:sz w:val="24"/>
          <w:szCs w:val="24"/>
        </w:rPr>
        <w:t xml:space="preserve">(3), </w:t>
      </w:r>
      <w:r w:rsidR="002C3348" w:rsidRPr="00C2709E">
        <w:rPr>
          <w:rFonts w:ascii="Times New Roman" w:hAnsi="Times New Roman"/>
          <w:sz w:val="24"/>
          <w:szCs w:val="24"/>
        </w:rPr>
        <w:t>(7), and (8).</w:t>
      </w:r>
    </w:p>
    <w:p w:rsidR="00691249" w:rsidRDefault="001001FB" w:rsidP="003630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91249">
        <w:rPr>
          <w:rFonts w:ascii="Times New Roman" w:hAnsi="Times New Roman" w:cs="Times New Roman"/>
          <w:sz w:val="24"/>
          <w:szCs w:val="24"/>
        </w:rPr>
        <w:t>Obviously aware of its code of conduct provisions, and the Ohio Supreme Court’s precedent construing Section 4905.35, Ohio Rev. Code,</w:t>
      </w:r>
      <w:r w:rsidR="00691249">
        <w:rPr>
          <w:rStyle w:val="FootnoteReference"/>
          <w:rFonts w:ascii="Times New Roman" w:hAnsi="Times New Roman" w:cs="Times New Roman"/>
          <w:sz w:val="24"/>
          <w:szCs w:val="24"/>
        </w:rPr>
        <w:footnoteReference w:id="9"/>
      </w:r>
      <w:r w:rsidR="00691249">
        <w:rPr>
          <w:rFonts w:ascii="Times New Roman" w:hAnsi="Times New Roman" w:cs="Times New Roman"/>
          <w:sz w:val="24"/>
          <w:szCs w:val="24"/>
        </w:rPr>
        <w:t xml:space="preserve"> Columbia attempted, through pre-filed testimony, to pre-empt any arguments that the SCO Security Deposit would be unduly discriminatory.  In this vein, Columbia witness Brown testified that </w:t>
      </w:r>
      <w:r w:rsidR="00363057">
        <w:rPr>
          <w:rFonts w:ascii="Times New Roman" w:hAnsi="Times New Roman" w:cs="Times New Roman"/>
          <w:sz w:val="24"/>
          <w:szCs w:val="24"/>
        </w:rPr>
        <w:t>requiring t</w:t>
      </w:r>
      <w:r w:rsidR="00691249">
        <w:rPr>
          <w:rFonts w:ascii="Times New Roman" w:hAnsi="Times New Roman" w:cs="Times New Roman"/>
          <w:sz w:val="24"/>
          <w:szCs w:val="24"/>
        </w:rPr>
        <w:t>he deposit only</w:t>
      </w:r>
      <w:r w:rsidR="00363057">
        <w:rPr>
          <w:rFonts w:ascii="Times New Roman" w:hAnsi="Times New Roman" w:cs="Times New Roman"/>
          <w:sz w:val="24"/>
          <w:szCs w:val="24"/>
        </w:rPr>
        <w:t xml:space="preserve"> of</w:t>
      </w:r>
      <w:r w:rsidR="00691249">
        <w:rPr>
          <w:rFonts w:ascii="Times New Roman" w:hAnsi="Times New Roman" w:cs="Times New Roman"/>
          <w:sz w:val="24"/>
          <w:szCs w:val="24"/>
        </w:rPr>
        <w:t xml:space="preserve"> </w:t>
      </w:r>
      <w:r w:rsidR="00691249">
        <w:rPr>
          <w:rFonts w:ascii="Times New Roman" w:hAnsi="Times New Roman" w:cs="Times New Roman"/>
          <w:sz w:val="24"/>
          <w:szCs w:val="24"/>
        </w:rPr>
        <w:lastRenderedPageBreak/>
        <w:t>SCO suppliers is not unduly discriminatory becau</w:t>
      </w:r>
      <w:r w:rsidR="008645AF">
        <w:rPr>
          <w:rFonts w:ascii="Times New Roman" w:hAnsi="Times New Roman" w:cs="Times New Roman"/>
          <w:sz w:val="24"/>
          <w:szCs w:val="24"/>
        </w:rPr>
        <w:t xml:space="preserve">se Choice and SCO Supplier pose very different risks to Columbia.  Specifically, he claimed that (1) the risk, and potential costs, of default by an SCO supplier </w:t>
      </w:r>
      <w:r w:rsidR="00363057">
        <w:rPr>
          <w:rFonts w:ascii="Times New Roman" w:hAnsi="Times New Roman" w:cs="Times New Roman"/>
          <w:sz w:val="24"/>
          <w:szCs w:val="24"/>
        </w:rPr>
        <w:t>is</w:t>
      </w:r>
      <w:r w:rsidR="008645AF">
        <w:rPr>
          <w:rFonts w:ascii="Times New Roman" w:hAnsi="Times New Roman" w:cs="Times New Roman"/>
          <w:sz w:val="24"/>
          <w:szCs w:val="24"/>
        </w:rPr>
        <w:t xml:space="preserve"> significantly greater, and (2) the risk of default by an SCO supplier is more immediate.  Columbia Ex. 6, at 8-9.  Neither of these assertions is supported by the evidence of record.  </w:t>
      </w:r>
    </w:p>
    <w:p w:rsidR="000B50C6" w:rsidRPr="00C2709E" w:rsidRDefault="000B50C6" w:rsidP="009A417F">
      <w:pPr>
        <w:pStyle w:val="ListParagraph"/>
        <w:numPr>
          <w:ilvl w:val="0"/>
          <w:numId w:val="25"/>
        </w:numPr>
        <w:spacing w:after="0" w:line="240" w:lineRule="auto"/>
        <w:ind w:left="2160" w:right="630" w:hanging="720"/>
        <w:jc w:val="both"/>
        <w:rPr>
          <w:rFonts w:ascii="Times New Roman" w:hAnsi="Times New Roman" w:cs="Times New Roman"/>
          <w:b/>
          <w:i/>
          <w:sz w:val="24"/>
          <w:szCs w:val="24"/>
        </w:rPr>
      </w:pPr>
      <w:r w:rsidRPr="00C2709E">
        <w:rPr>
          <w:rFonts w:ascii="Times New Roman" w:hAnsi="Times New Roman" w:cs="Times New Roman"/>
          <w:b/>
          <w:i/>
          <w:sz w:val="24"/>
          <w:szCs w:val="24"/>
        </w:rPr>
        <w:t xml:space="preserve">The </w:t>
      </w:r>
      <w:r w:rsidR="00B81A6F" w:rsidRPr="00C2709E">
        <w:rPr>
          <w:rFonts w:ascii="Times New Roman" w:hAnsi="Times New Roman" w:cs="Times New Roman"/>
          <w:b/>
          <w:i/>
          <w:sz w:val="24"/>
          <w:szCs w:val="24"/>
        </w:rPr>
        <w:t>R</w:t>
      </w:r>
      <w:r w:rsidRPr="00C2709E">
        <w:rPr>
          <w:rFonts w:ascii="Times New Roman" w:hAnsi="Times New Roman" w:cs="Times New Roman"/>
          <w:b/>
          <w:i/>
          <w:sz w:val="24"/>
          <w:szCs w:val="24"/>
        </w:rPr>
        <w:t xml:space="preserve">isk, or </w:t>
      </w:r>
      <w:r w:rsidR="00B81A6F" w:rsidRPr="00C2709E">
        <w:rPr>
          <w:rFonts w:ascii="Times New Roman" w:hAnsi="Times New Roman" w:cs="Times New Roman"/>
          <w:b/>
          <w:i/>
          <w:sz w:val="24"/>
          <w:szCs w:val="24"/>
        </w:rPr>
        <w:t>P</w:t>
      </w:r>
      <w:r w:rsidRPr="00C2709E">
        <w:rPr>
          <w:rFonts w:ascii="Times New Roman" w:hAnsi="Times New Roman" w:cs="Times New Roman"/>
          <w:b/>
          <w:i/>
          <w:sz w:val="24"/>
          <w:szCs w:val="24"/>
        </w:rPr>
        <w:t xml:space="preserve">otential </w:t>
      </w:r>
      <w:r w:rsidR="00B81A6F" w:rsidRPr="00C2709E">
        <w:rPr>
          <w:rFonts w:ascii="Times New Roman" w:hAnsi="Times New Roman" w:cs="Times New Roman"/>
          <w:b/>
          <w:i/>
          <w:sz w:val="24"/>
          <w:szCs w:val="24"/>
        </w:rPr>
        <w:t>C</w:t>
      </w:r>
      <w:r w:rsidRPr="00C2709E">
        <w:rPr>
          <w:rFonts w:ascii="Times New Roman" w:hAnsi="Times New Roman" w:cs="Times New Roman"/>
          <w:b/>
          <w:i/>
          <w:sz w:val="24"/>
          <w:szCs w:val="24"/>
        </w:rPr>
        <w:t xml:space="preserve">osts, of </w:t>
      </w:r>
      <w:r w:rsidR="00B81A6F" w:rsidRPr="00C2709E">
        <w:rPr>
          <w:rFonts w:ascii="Times New Roman" w:hAnsi="Times New Roman" w:cs="Times New Roman"/>
          <w:b/>
          <w:i/>
          <w:sz w:val="24"/>
          <w:szCs w:val="24"/>
        </w:rPr>
        <w:t>D</w:t>
      </w:r>
      <w:r w:rsidRPr="00C2709E">
        <w:rPr>
          <w:rFonts w:ascii="Times New Roman" w:hAnsi="Times New Roman" w:cs="Times New Roman"/>
          <w:b/>
          <w:i/>
          <w:sz w:val="24"/>
          <w:szCs w:val="24"/>
        </w:rPr>
        <w:t xml:space="preserve">efault is </w:t>
      </w:r>
      <w:r w:rsidR="00B81A6F" w:rsidRPr="00C2709E">
        <w:rPr>
          <w:rFonts w:ascii="Times New Roman" w:hAnsi="Times New Roman" w:cs="Times New Roman"/>
          <w:b/>
          <w:i/>
          <w:sz w:val="24"/>
          <w:szCs w:val="24"/>
        </w:rPr>
        <w:t>N</w:t>
      </w:r>
      <w:r w:rsidRPr="00C2709E">
        <w:rPr>
          <w:rFonts w:ascii="Times New Roman" w:hAnsi="Times New Roman" w:cs="Times New Roman"/>
          <w:b/>
          <w:i/>
          <w:sz w:val="24"/>
          <w:szCs w:val="24"/>
        </w:rPr>
        <w:t xml:space="preserve">ot </w:t>
      </w:r>
      <w:r w:rsidR="00B81A6F" w:rsidRPr="00C2709E">
        <w:rPr>
          <w:rFonts w:ascii="Times New Roman" w:hAnsi="Times New Roman" w:cs="Times New Roman"/>
          <w:b/>
          <w:i/>
          <w:sz w:val="24"/>
          <w:szCs w:val="24"/>
        </w:rPr>
        <w:t>S</w:t>
      </w:r>
      <w:r w:rsidRPr="00C2709E">
        <w:rPr>
          <w:rFonts w:ascii="Times New Roman" w:hAnsi="Times New Roman" w:cs="Times New Roman"/>
          <w:b/>
          <w:i/>
          <w:sz w:val="24"/>
          <w:szCs w:val="24"/>
        </w:rPr>
        <w:t xml:space="preserve">ignificantly </w:t>
      </w:r>
      <w:r w:rsidR="00B81A6F" w:rsidRPr="00C2709E">
        <w:rPr>
          <w:rFonts w:ascii="Times New Roman" w:hAnsi="Times New Roman" w:cs="Times New Roman"/>
          <w:b/>
          <w:i/>
          <w:sz w:val="24"/>
          <w:szCs w:val="24"/>
        </w:rPr>
        <w:t>G</w:t>
      </w:r>
      <w:r w:rsidRPr="00C2709E">
        <w:rPr>
          <w:rFonts w:ascii="Times New Roman" w:hAnsi="Times New Roman" w:cs="Times New Roman"/>
          <w:b/>
          <w:i/>
          <w:sz w:val="24"/>
          <w:szCs w:val="24"/>
        </w:rPr>
        <w:t>reater for SCO Suppliers.</w:t>
      </w:r>
    </w:p>
    <w:p w:rsidR="00787DD1" w:rsidRDefault="00787DD1" w:rsidP="000B50C6">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record shows that the risk of default by an SCO supplier is not significantly greater than Choice suppliers.  Indeed, Columbia witness Brown testified on cross examination that no Standard Service Offer (“SSO”) or SCO</w:t>
      </w:r>
      <w:r w:rsidR="00B81A6F" w:rsidRPr="00B81A6F">
        <w:rPr>
          <w:rFonts w:ascii="Times New Roman" w:hAnsi="Times New Roman" w:cs="Times New Roman"/>
          <w:sz w:val="24"/>
          <w:szCs w:val="24"/>
        </w:rPr>
        <w:t xml:space="preserve"> suppliers in Columbia’s service </w:t>
      </w:r>
      <w:r w:rsidR="009A417F">
        <w:rPr>
          <w:rFonts w:ascii="Times New Roman" w:hAnsi="Times New Roman" w:cs="Times New Roman"/>
          <w:sz w:val="24"/>
          <w:szCs w:val="24"/>
        </w:rPr>
        <w:t xml:space="preserve">territory </w:t>
      </w:r>
      <w:r w:rsidR="00B81A6F" w:rsidRPr="00B81A6F">
        <w:rPr>
          <w:rFonts w:ascii="Times New Roman" w:hAnsi="Times New Roman" w:cs="Times New Roman"/>
          <w:sz w:val="24"/>
          <w:szCs w:val="24"/>
        </w:rPr>
        <w:t>have defaulted while, on the other hand, some small, and one extremely large (Enron</w:t>
      </w:r>
      <w:r w:rsidR="00B81A6F">
        <w:rPr>
          <w:rFonts w:ascii="Times New Roman" w:hAnsi="Times New Roman" w:cs="Times New Roman"/>
          <w:sz w:val="24"/>
          <w:szCs w:val="24"/>
        </w:rPr>
        <w:t xml:space="preserve"> Corporation</w:t>
      </w:r>
      <w:r w:rsidR="00B81A6F" w:rsidRPr="00B81A6F">
        <w:rPr>
          <w:rFonts w:ascii="Times New Roman" w:hAnsi="Times New Roman" w:cs="Times New Roman"/>
          <w:sz w:val="24"/>
          <w:szCs w:val="24"/>
        </w:rPr>
        <w:t xml:space="preserve">) Choice suppliers have defaulted on their </w:t>
      </w:r>
      <w:r w:rsidR="00B81A6F">
        <w:rPr>
          <w:rFonts w:ascii="Times New Roman" w:hAnsi="Times New Roman" w:cs="Times New Roman"/>
          <w:sz w:val="24"/>
          <w:szCs w:val="24"/>
        </w:rPr>
        <w:t>customer</w:t>
      </w:r>
      <w:r>
        <w:rPr>
          <w:rFonts w:ascii="Times New Roman" w:hAnsi="Times New Roman" w:cs="Times New Roman"/>
          <w:sz w:val="24"/>
          <w:szCs w:val="24"/>
        </w:rPr>
        <w:t xml:space="preserve"> </w:t>
      </w:r>
      <w:r w:rsidR="00BE0EF3">
        <w:rPr>
          <w:rFonts w:ascii="Times New Roman" w:hAnsi="Times New Roman" w:cs="Times New Roman"/>
          <w:sz w:val="24"/>
          <w:szCs w:val="24"/>
        </w:rPr>
        <w:t xml:space="preserve">contracts. </w:t>
      </w:r>
      <w:r>
        <w:rPr>
          <w:rFonts w:ascii="Times New Roman" w:hAnsi="Times New Roman" w:cs="Times New Roman"/>
          <w:sz w:val="24"/>
          <w:szCs w:val="24"/>
        </w:rPr>
        <w:t xml:space="preserve"> Tr. II, at 55-56</w:t>
      </w:r>
      <w:r w:rsidR="00B81A6F">
        <w:rPr>
          <w:rFonts w:ascii="Times New Roman" w:hAnsi="Times New Roman" w:cs="Times New Roman"/>
          <w:sz w:val="24"/>
          <w:szCs w:val="24"/>
        </w:rPr>
        <w:t xml:space="preserve">, </w:t>
      </w:r>
      <w:r w:rsidR="00A96B58">
        <w:rPr>
          <w:rFonts w:ascii="Times New Roman" w:hAnsi="Times New Roman" w:cs="Times New Roman"/>
          <w:sz w:val="24"/>
          <w:szCs w:val="24"/>
        </w:rPr>
        <w:t>84-</w:t>
      </w:r>
      <w:r w:rsidR="00B81A6F">
        <w:rPr>
          <w:rFonts w:ascii="Times New Roman" w:hAnsi="Times New Roman" w:cs="Times New Roman"/>
          <w:sz w:val="24"/>
          <w:szCs w:val="24"/>
        </w:rPr>
        <w:t>87</w:t>
      </w:r>
      <w:r>
        <w:rPr>
          <w:rFonts w:ascii="Times New Roman" w:hAnsi="Times New Roman" w:cs="Times New Roman"/>
          <w:sz w:val="24"/>
          <w:szCs w:val="24"/>
        </w:rPr>
        <w:t xml:space="preserve">.  </w:t>
      </w:r>
      <w:r w:rsidR="00555FDD">
        <w:rPr>
          <w:rFonts w:ascii="Times New Roman" w:hAnsi="Times New Roman" w:cs="Times New Roman"/>
          <w:sz w:val="24"/>
          <w:szCs w:val="24"/>
        </w:rPr>
        <w:t>See also Tr. III, at 232.</w:t>
      </w:r>
    </w:p>
    <w:p w:rsidR="000B50C6" w:rsidRPr="00F81CC6" w:rsidRDefault="00555FDD" w:rsidP="00555F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Nor does the record support that the potential costs of an SCO supplier default are significantly greater tha</w:t>
      </w:r>
      <w:r w:rsidR="00BE0EF3">
        <w:rPr>
          <w:rFonts w:ascii="Times New Roman" w:hAnsi="Times New Roman" w:cs="Times New Roman"/>
          <w:sz w:val="24"/>
          <w:szCs w:val="24"/>
        </w:rPr>
        <w:t>n</w:t>
      </w:r>
      <w:r>
        <w:rPr>
          <w:rFonts w:ascii="Times New Roman" w:hAnsi="Times New Roman" w:cs="Times New Roman"/>
          <w:sz w:val="24"/>
          <w:szCs w:val="24"/>
        </w:rPr>
        <w:t xml:space="preserve"> for a Choice supplier.  </w:t>
      </w:r>
      <w:r w:rsidR="000B50C6">
        <w:rPr>
          <w:rFonts w:ascii="Times New Roman" w:hAnsi="Times New Roman" w:cs="Times New Roman"/>
          <w:sz w:val="24"/>
          <w:szCs w:val="24"/>
        </w:rPr>
        <w:t xml:space="preserve">As shown previously, Columbia performed no cost studies or analyses to estimate the costs it would incur as a result of an SCO supplier default.  Hess Ex. 1, at 19; Tr. </w:t>
      </w:r>
      <w:r w:rsidR="00363057">
        <w:rPr>
          <w:rFonts w:ascii="Times New Roman" w:hAnsi="Times New Roman" w:cs="Times New Roman"/>
          <w:sz w:val="24"/>
          <w:szCs w:val="24"/>
        </w:rPr>
        <w:t>I</w:t>
      </w:r>
      <w:r w:rsidR="000B50C6">
        <w:rPr>
          <w:rFonts w:ascii="Times New Roman" w:hAnsi="Times New Roman" w:cs="Times New Roman"/>
          <w:sz w:val="24"/>
          <w:szCs w:val="24"/>
        </w:rPr>
        <w:t xml:space="preserve">I, at 41. </w:t>
      </w:r>
      <w:r w:rsidR="00B81A6F">
        <w:rPr>
          <w:rFonts w:ascii="Times New Roman" w:hAnsi="Times New Roman" w:cs="Times New Roman"/>
          <w:sz w:val="24"/>
          <w:szCs w:val="24"/>
        </w:rPr>
        <w:t xml:space="preserve"> Columbia’s </w:t>
      </w:r>
      <w:r w:rsidR="000B50C6">
        <w:rPr>
          <w:rFonts w:ascii="Times New Roman" w:hAnsi="Times New Roman" w:cs="Times New Roman"/>
          <w:sz w:val="24"/>
          <w:szCs w:val="24"/>
        </w:rPr>
        <w:t xml:space="preserve">claim that it would incur significantly greater costs by an SCO supplier default than a Choice supplier default simply is not supported by the record and must be rejected.   Moreover, </w:t>
      </w:r>
      <w:r w:rsidR="00E86ADE">
        <w:rPr>
          <w:rFonts w:ascii="Times New Roman" w:hAnsi="Times New Roman" w:cs="Times New Roman"/>
          <w:sz w:val="24"/>
          <w:szCs w:val="24"/>
        </w:rPr>
        <w:t>at least one Choice supplier already is serving more load than SCO suppliers serving four tranches, demonstrating that the costs of a Choice supplier default is greater than SCO suppliers</w:t>
      </w:r>
      <w:r w:rsidR="006133AD">
        <w:rPr>
          <w:rFonts w:ascii="Times New Roman" w:hAnsi="Times New Roman" w:cs="Times New Roman"/>
          <w:sz w:val="24"/>
          <w:szCs w:val="24"/>
        </w:rPr>
        <w:t xml:space="preserve"> </w:t>
      </w:r>
      <w:r w:rsidR="00E86ADE">
        <w:rPr>
          <w:rFonts w:ascii="Times New Roman" w:hAnsi="Times New Roman" w:cs="Times New Roman"/>
          <w:sz w:val="24"/>
          <w:szCs w:val="24"/>
        </w:rPr>
        <w:t xml:space="preserve">– a prospect that only increases as shopping increases in Columbia’s service territory and Choice supply outgrows the SCO.  OPAE Ex. 2, at 28-29.  </w:t>
      </w:r>
      <w:r>
        <w:rPr>
          <w:rFonts w:ascii="Times New Roman" w:hAnsi="Times New Roman" w:cs="Times New Roman"/>
          <w:sz w:val="24"/>
          <w:szCs w:val="24"/>
        </w:rPr>
        <w:t xml:space="preserve">Finally, default of the very large supplier, Enron Corporation, would support that the cost of an SCO supplier default would </w:t>
      </w:r>
      <w:r w:rsidR="00B81A6F">
        <w:rPr>
          <w:rFonts w:ascii="Times New Roman" w:hAnsi="Times New Roman" w:cs="Times New Roman"/>
          <w:sz w:val="24"/>
          <w:szCs w:val="24"/>
        </w:rPr>
        <w:t>no</w:t>
      </w:r>
      <w:r w:rsidR="00EC0C15">
        <w:rPr>
          <w:rFonts w:ascii="Times New Roman" w:hAnsi="Times New Roman" w:cs="Times New Roman"/>
          <w:sz w:val="24"/>
          <w:szCs w:val="24"/>
        </w:rPr>
        <w:t>t</w:t>
      </w:r>
      <w:r w:rsidR="00B81A6F">
        <w:rPr>
          <w:rFonts w:ascii="Times New Roman" w:hAnsi="Times New Roman" w:cs="Times New Roman"/>
          <w:sz w:val="24"/>
          <w:szCs w:val="24"/>
        </w:rPr>
        <w:t xml:space="preserve"> </w:t>
      </w:r>
      <w:r>
        <w:rPr>
          <w:rFonts w:ascii="Times New Roman" w:hAnsi="Times New Roman" w:cs="Times New Roman"/>
          <w:sz w:val="24"/>
          <w:szCs w:val="24"/>
        </w:rPr>
        <w:t>be greater.</w:t>
      </w:r>
    </w:p>
    <w:p w:rsidR="000B50C6" w:rsidRPr="00C2709E" w:rsidRDefault="000B50C6" w:rsidP="009A417F">
      <w:pPr>
        <w:pStyle w:val="ListParagraph"/>
        <w:numPr>
          <w:ilvl w:val="0"/>
          <w:numId w:val="25"/>
        </w:numPr>
        <w:spacing w:before="120" w:after="0" w:line="240" w:lineRule="auto"/>
        <w:ind w:left="2160" w:right="630" w:hanging="720"/>
        <w:jc w:val="both"/>
        <w:rPr>
          <w:rFonts w:ascii="Times New Roman" w:hAnsi="Times New Roman" w:cs="Times New Roman"/>
          <w:b/>
          <w:i/>
          <w:sz w:val="24"/>
          <w:szCs w:val="24"/>
        </w:rPr>
      </w:pPr>
      <w:r w:rsidRPr="00C2709E">
        <w:rPr>
          <w:rFonts w:ascii="Times New Roman" w:hAnsi="Times New Roman" w:cs="Times New Roman"/>
          <w:b/>
          <w:i/>
          <w:sz w:val="24"/>
          <w:szCs w:val="24"/>
        </w:rPr>
        <w:lastRenderedPageBreak/>
        <w:t>The Risk of a Default by an SCO Supplier is Not More Immediate than the Risk of Default by a Choice Supplier.</w:t>
      </w:r>
    </w:p>
    <w:p w:rsidR="005B0662" w:rsidRDefault="00555FDD" w:rsidP="00E86ADE">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B0662">
        <w:rPr>
          <w:rFonts w:ascii="Times New Roman" w:hAnsi="Times New Roman" w:cs="Times New Roman"/>
          <w:sz w:val="24"/>
          <w:szCs w:val="24"/>
        </w:rPr>
        <w:t>Columbia argues that the risk associated with an SCO supplier default is more immediate because Columbia would be tasked with supplying customers in the event of an SCO supplier default, while SCO suppliers would be tasked with supplying customers in the event of a Choice supplier default.  Columbia Ex. 6, at 9.  The evidence on the record completely contradicts Columbia’s argument.  The Second Revised Program Outline calls for Columbia to</w:t>
      </w:r>
      <w:r w:rsidR="00A96B58">
        <w:rPr>
          <w:rFonts w:ascii="Times New Roman" w:hAnsi="Times New Roman" w:cs="Times New Roman"/>
          <w:sz w:val="24"/>
          <w:szCs w:val="24"/>
        </w:rPr>
        <w:t xml:space="preserve"> supply</w:t>
      </w:r>
      <w:r w:rsidR="005B0662">
        <w:rPr>
          <w:rFonts w:ascii="Times New Roman" w:hAnsi="Times New Roman" w:cs="Times New Roman"/>
          <w:sz w:val="24"/>
          <w:szCs w:val="24"/>
        </w:rPr>
        <w:t xml:space="preserve"> </w:t>
      </w:r>
      <w:r w:rsidR="005B0662" w:rsidRPr="00BE0EF3">
        <w:rPr>
          <w:rFonts w:ascii="Times New Roman" w:hAnsi="Times New Roman" w:cs="Times New Roman"/>
          <w:b/>
          <w:i/>
          <w:sz w:val="24"/>
          <w:szCs w:val="24"/>
          <w:u w:val="single"/>
        </w:rPr>
        <w:t xml:space="preserve">all </w:t>
      </w:r>
      <w:r w:rsidR="005B0662">
        <w:rPr>
          <w:rFonts w:ascii="Times New Roman" w:hAnsi="Times New Roman" w:cs="Times New Roman"/>
          <w:sz w:val="24"/>
          <w:szCs w:val="24"/>
        </w:rPr>
        <w:t>customers</w:t>
      </w:r>
      <w:r w:rsidR="00A96B58">
        <w:rPr>
          <w:rFonts w:ascii="Times New Roman" w:hAnsi="Times New Roman" w:cs="Times New Roman"/>
          <w:sz w:val="24"/>
          <w:szCs w:val="24"/>
        </w:rPr>
        <w:t xml:space="preserve"> (Choice and SCO)</w:t>
      </w:r>
      <w:r w:rsidR="005B0662">
        <w:rPr>
          <w:rFonts w:ascii="Times New Roman" w:hAnsi="Times New Roman" w:cs="Times New Roman"/>
          <w:sz w:val="24"/>
          <w:szCs w:val="24"/>
        </w:rPr>
        <w:t xml:space="preserve"> if a supplier that has SCO and Choice load defaults.   Columbia Ex. 2, at </w:t>
      </w:r>
      <w:r w:rsidR="00E86ADE">
        <w:rPr>
          <w:rFonts w:ascii="Times New Roman" w:hAnsi="Times New Roman" w:cs="Times New Roman"/>
          <w:sz w:val="24"/>
          <w:szCs w:val="24"/>
        </w:rPr>
        <w:t>20-</w:t>
      </w:r>
      <w:r w:rsidR="005B0662">
        <w:rPr>
          <w:rFonts w:ascii="Times New Roman" w:hAnsi="Times New Roman" w:cs="Times New Roman"/>
          <w:sz w:val="24"/>
          <w:szCs w:val="24"/>
        </w:rPr>
        <w:t>21; Tr. II, at 5</w:t>
      </w:r>
      <w:r w:rsidR="00A96B58">
        <w:rPr>
          <w:rFonts w:ascii="Times New Roman" w:hAnsi="Times New Roman" w:cs="Times New Roman"/>
          <w:sz w:val="24"/>
          <w:szCs w:val="24"/>
        </w:rPr>
        <w:t>7</w:t>
      </w:r>
      <w:r w:rsidR="00E86ADE">
        <w:rPr>
          <w:rFonts w:ascii="Times New Roman" w:hAnsi="Times New Roman" w:cs="Times New Roman"/>
          <w:sz w:val="24"/>
          <w:szCs w:val="24"/>
        </w:rPr>
        <w:t>-59</w:t>
      </w:r>
      <w:r w:rsidR="005B0662">
        <w:rPr>
          <w:rFonts w:ascii="Times New Roman" w:hAnsi="Times New Roman" w:cs="Times New Roman"/>
          <w:sz w:val="24"/>
          <w:szCs w:val="24"/>
        </w:rPr>
        <w:t xml:space="preserve">.  </w:t>
      </w:r>
    </w:p>
    <w:p w:rsidR="00E86ADE" w:rsidRDefault="00E86ADE" w:rsidP="00E86A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such, the unrebutted evidence on the record demonstrates that there is no substantive basis for Columbia’s claims that there are more immediate and greater risks of an SCO supplier default which warrant the SCO security charge’s discriminatory application.  In fact, the record clearly demonstrates the opposite to be true.  Therefore, if adopted as proposed, the SCO security charge would be unduly discriminatory to SCO suppliers</w:t>
      </w:r>
      <w:r w:rsidR="00A96B58">
        <w:rPr>
          <w:rFonts w:ascii="Times New Roman" w:hAnsi="Times New Roman" w:cs="Times New Roman"/>
          <w:sz w:val="24"/>
          <w:szCs w:val="24"/>
        </w:rPr>
        <w:t xml:space="preserve"> and SCO customers</w:t>
      </w:r>
      <w:r>
        <w:rPr>
          <w:rFonts w:ascii="Times New Roman" w:hAnsi="Times New Roman" w:cs="Times New Roman"/>
          <w:sz w:val="24"/>
          <w:szCs w:val="24"/>
        </w:rPr>
        <w:t xml:space="preserve"> and, therefore, unlawful because it violates Columbia’s Code of Conduct and the state policies contained in Section 4929.02, Ohio Rev. Code.</w:t>
      </w:r>
    </w:p>
    <w:p w:rsidR="00AE44FA" w:rsidRDefault="00DC15EC">
      <w:pPr>
        <w:spacing w:before="120" w:after="0"/>
        <w:ind w:left="1440" w:right="630" w:hanging="720"/>
        <w:jc w:val="both"/>
        <w:rPr>
          <w:rFonts w:ascii="Times New Roman Bold" w:hAnsi="Times New Roman Bold"/>
          <w:b/>
          <w:caps/>
          <w:sz w:val="24"/>
          <w:szCs w:val="24"/>
        </w:rPr>
      </w:pPr>
      <w:r w:rsidRPr="003966AD">
        <w:rPr>
          <w:rFonts w:ascii="Times New Roman Bold" w:hAnsi="Times New Roman Bold"/>
          <w:b/>
          <w:caps/>
          <w:sz w:val="24"/>
          <w:szCs w:val="24"/>
        </w:rPr>
        <w:t>D.</w:t>
      </w:r>
      <w:r w:rsidRPr="003966AD">
        <w:rPr>
          <w:rFonts w:ascii="Times New Roman Bold" w:hAnsi="Times New Roman Bold"/>
          <w:b/>
          <w:caps/>
          <w:sz w:val="24"/>
          <w:szCs w:val="24"/>
        </w:rPr>
        <w:tab/>
        <w:t>The Commission</w:t>
      </w:r>
      <w:r w:rsidR="00253FA2" w:rsidRPr="003966AD">
        <w:rPr>
          <w:rFonts w:ascii="Times New Roman Bold" w:hAnsi="Times New Roman Bold"/>
          <w:b/>
          <w:caps/>
          <w:sz w:val="24"/>
          <w:szCs w:val="24"/>
        </w:rPr>
        <w:t xml:space="preserve">’s Order Unreasonably </w:t>
      </w:r>
      <w:r w:rsidRPr="003966AD">
        <w:rPr>
          <w:rFonts w:ascii="Times New Roman Bold" w:hAnsi="Times New Roman Bold"/>
          <w:b/>
          <w:caps/>
          <w:sz w:val="24"/>
          <w:szCs w:val="24"/>
        </w:rPr>
        <w:t>Requir</w:t>
      </w:r>
      <w:r w:rsidR="00253FA2" w:rsidRPr="003966AD">
        <w:rPr>
          <w:rFonts w:ascii="Times New Roman Bold" w:hAnsi="Times New Roman Bold"/>
          <w:b/>
          <w:caps/>
          <w:sz w:val="24"/>
          <w:szCs w:val="24"/>
        </w:rPr>
        <w:t xml:space="preserve">es </w:t>
      </w:r>
      <w:r w:rsidRPr="003966AD">
        <w:rPr>
          <w:rFonts w:ascii="Times New Roman Bold" w:hAnsi="Times New Roman Bold"/>
          <w:b/>
          <w:caps/>
          <w:sz w:val="24"/>
          <w:szCs w:val="24"/>
        </w:rPr>
        <w:t>a Minimum MVR Allocation of One Percent to Each MVR Supplier.</w:t>
      </w:r>
    </w:p>
    <w:p w:rsidR="00DC15EC" w:rsidRDefault="00DC15EC" w:rsidP="00DC15EC">
      <w:pPr>
        <w:spacing w:after="0"/>
        <w:rPr>
          <w:rFonts w:ascii="Times New Roman" w:hAnsi="Times New Roman"/>
          <w:sz w:val="24"/>
          <w:szCs w:val="24"/>
        </w:rPr>
      </w:pPr>
    </w:p>
    <w:p w:rsidR="00DC15EC" w:rsidRDefault="00DC15EC" w:rsidP="00DC15EC">
      <w:pPr>
        <w:spacing w:after="0" w:line="480" w:lineRule="auto"/>
        <w:ind w:firstLine="720"/>
        <w:jc w:val="both"/>
        <w:rPr>
          <w:rFonts w:ascii="Times New Roman" w:hAnsi="Times New Roman"/>
          <w:sz w:val="24"/>
          <w:szCs w:val="24"/>
        </w:rPr>
      </w:pPr>
      <w:r>
        <w:rPr>
          <w:rFonts w:ascii="Times New Roman" w:hAnsi="Times New Roman"/>
          <w:sz w:val="24"/>
          <w:szCs w:val="24"/>
        </w:rPr>
        <w:t xml:space="preserve">In the Order, the Commission set forth an initial allocation methodology to be applied to Choice-eligible non-residential customers who, upon Columbia’s exit have not selected a Choice supplier.  Order, at 36.  The Commission, in finding Hess’ initial allocation proposal to be “most persuasive and reasonable,” ordered that the “initial allocation would be done on a proportional basis, as compared to the MVR supplier’s Choice enrollment at the time of allocation, including a supplier’s average historical SSO and SCO tranche ownership of </w:t>
      </w:r>
      <w:r>
        <w:rPr>
          <w:rFonts w:ascii="Times New Roman" w:hAnsi="Times New Roman"/>
          <w:sz w:val="24"/>
          <w:szCs w:val="24"/>
        </w:rPr>
        <w:lastRenderedPageBreak/>
        <w:t xml:space="preserve">residential customers.”  </w:t>
      </w:r>
      <w:r w:rsidR="000445FE" w:rsidRPr="000445FE">
        <w:rPr>
          <w:rFonts w:ascii="Times New Roman" w:hAnsi="Times New Roman"/>
          <w:sz w:val="24"/>
          <w:szCs w:val="24"/>
        </w:rPr>
        <w:t>Id</w:t>
      </w:r>
      <w:r>
        <w:rPr>
          <w:rFonts w:ascii="Times New Roman" w:hAnsi="Times New Roman"/>
          <w:sz w:val="24"/>
          <w:szCs w:val="24"/>
        </w:rPr>
        <w:t xml:space="preserve">.  The Commission included an additional requirement that, “[f]or the initial allocation, a minimum of one percent shall be assigned to an MVR supplier with equal to, or less than, one percent Choice enrollment.”  </w:t>
      </w:r>
      <w:r w:rsidR="000445FE" w:rsidRPr="000445FE">
        <w:rPr>
          <w:rFonts w:ascii="Times New Roman" w:hAnsi="Times New Roman"/>
          <w:sz w:val="24"/>
          <w:szCs w:val="24"/>
        </w:rPr>
        <w:t>Id</w:t>
      </w:r>
      <w:r>
        <w:rPr>
          <w:rFonts w:ascii="Times New Roman" w:hAnsi="Times New Roman"/>
          <w:sz w:val="24"/>
          <w:szCs w:val="24"/>
        </w:rPr>
        <w:t>.</w:t>
      </w:r>
    </w:p>
    <w:p w:rsidR="00DC15EC" w:rsidRDefault="00DC15EC" w:rsidP="00091210">
      <w:pPr>
        <w:spacing w:after="0" w:line="480" w:lineRule="auto"/>
        <w:ind w:firstLine="720"/>
        <w:jc w:val="both"/>
        <w:rPr>
          <w:rFonts w:ascii="Times New Roman" w:hAnsi="Times New Roman"/>
          <w:sz w:val="24"/>
          <w:szCs w:val="24"/>
        </w:rPr>
      </w:pPr>
      <w:r>
        <w:rPr>
          <w:rFonts w:ascii="Times New Roman" w:hAnsi="Times New Roman"/>
          <w:sz w:val="24"/>
          <w:szCs w:val="24"/>
        </w:rPr>
        <w:t xml:space="preserve">Hess believes that the Commission’s one percent minimum rule was rooted in an effort to ease the administrative burden on Columbia at the time of exit in assigning a very small amount of customers to those MVR suppliers with a very low percentage share of the non-residential Choice market.  However, such a requirement is unreasonable because it undermines the contributions of those MVR suppliers that drove the market to the 70% exit trigger and who have more than a one percent share of the non-residential Choice market.  More specifically, under the Commission’s one percent minimum allocation rule, even if a MVR supplier has only one Choice customer, it will be assigned a one percent share of the MVR allocation at exit.  Such a result unreasonably dilutes the other MVR suppliers who have more than one percent of the market.  </w:t>
      </w:r>
    </w:p>
    <w:p w:rsidR="00DC15EC" w:rsidRDefault="00DC15EC" w:rsidP="00091210">
      <w:pPr>
        <w:spacing w:after="0" w:line="480" w:lineRule="auto"/>
        <w:ind w:firstLine="720"/>
        <w:jc w:val="both"/>
        <w:rPr>
          <w:rFonts w:ascii="Times New Roman" w:hAnsi="Times New Roman"/>
          <w:sz w:val="24"/>
          <w:szCs w:val="24"/>
        </w:rPr>
      </w:pPr>
      <w:r>
        <w:rPr>
          <w:rFonts w:ascii="Times New Roman" w:hAnsi="Times New Roman"/>
          <w:sz w:val="24"/>
          <w:szCs w:val="24"/>
        </w:rPr>
        <w:t xml:space="preserve">Additionally, the Commission’s one percent minimum rule is unreasonable because the requirement could prove to be impractical to implement.   If there are over 100 MVR suppliers at the time of exit (which is entirely possible as the Choice market continues to develop and shopping approaches 70%), Columbia could not allocate each MVR supplier a one percent allocation as required by the Commission’s rule.  Moreover, the one percent minimum rule could invite gaming by certain MVR suppliers.  For instance, there is nothing to prohibit an MVR supplier from, prior to exit, assigning one customer to a series of separately-licensed CRNGS supplier affiliates.  Per the Commission’s rule, each affiliate would be assigned a one percent allocation.  Such a result clearly is clearly inconsistent with the spirit of the Commission’s Order on MVR allocation – namely, to incent MVR suppliers to continue to </w:t>
      </w:r>
      <w:r>
        <w:rPr>
          <w:rFonts w:ascii="Times New Roman" w:hAnsi="Times New Roman"/>
          <w:sz w:val="24"/>
          <w:szCs w:val="24"/>
        </w:rPr>
        <w:lastRenderedPageBreak/>
        <w:t xml:space="preserve">invest in the market and to reward the MVR suppliers for the proportional contributions they each made to reach the 70% exit trigger.  </w:t>
      </w:r>
    </w:p>
    <w:p w:rsidR="00DC15EC" w:rsidRDefault="00DC15EC" w:rsidP="00091210">
      <w:pPr>
        <w:spacing w:after="0" w:line="480" w:lineRule="auto"/>
        <w:ind w:firstLine="720"/>
        <w:jc w:val="both"/>
        <w:rPr>
          <w:rFonts w:ascii="Times New Roman" w:hAnsi="Times New Roman"/>
          <w:sz w:val="24"/>
          <w:szCs w:val="24"/>
        </w:rPr>
      </w:pPr>
      <w:r>
        <w:rPr>
          <w:rFonts w:ascii="Times New Roman" w:hAnsi="Times New Roman"/>
          <w:sz w:val="24"/>
          <w:szCs w:val="24"/>
        </w:rPr>
        <w:t>As such, Hess recommends that the Commission, on rehearing, re</w:t>
      </w:r>
      <w:r w:rsidR="00BE0EF3">
        <w:rPr>
          <w:rFonts w:ascii="Times New Roman" w:hAnsi="Times New Roman"/>
          <w:sz w:val="24"/>
          <w:szCs w:val="24"/>
        </w:rPr>
        <w:t>ject</w:t>
      </w:r>
      <w:r>
        <w:rPr>
          <w:rFonts w:ascii="Times New Roman" w:hAnsi="Times New Roman"/>
          <w:sz w:val="24"/>
          <w:szCs w:val="24"/>
        </w:rPr>
        <w:t xml:space="preserve"> the one percent minimum rule and, instead, implement a 0.5 percent allocation threshold.  If an MVR supplier has less than 0.5 percent of the non-residential Choice market at exit, it will not be allocated a share of the non-shopping customers.  If an MVR supplier has 0.5 percent or more of the non-residential Choice market at exit, then the MVR supplier will be allocated non-shopping customers based on its actual market share.  Hess’ alternative strikes the appropriate balance between creating a simplified MVR allocation methodology that is relatively easy for Columbia to implement, while still creating the appropriate incentive for Choice suppliers to continue to invest in the Columbia Choice market and recognizing each MVR supplier’s proportional contribution to reaching the exit trigger.</w:t>
      </w:r>
    </w:p>
    <w:p w:rsidR="00DC15EC" w:rsidRPr="003966AD" w:rsidRDefault="00100897" w:rsidP="00091210">
      <w:pPr>
        <w:spacing w:after="0" w:line="240" w:lineRule="auto"/>
        <w:ind w:left="1440" w:right="630" w:hanging="720"/>
        <w:jc w:val="both"/>
        <w:rPr>
          <w:rFonts w:ascii="Times New Roman Bold" w:hAnsi="Times New Roman Bold"/>
          <w:b/>
          <w:caps/>
          <w:sz w:val="24"/>
          <w:szCs w:val="24"/>
        </w:rPr>
      </w:pPr>
      <w:r w:rsidRPr="003966AD">
        <w:rPr>
          <w:rFonts w:ascii="Times New Roman Bold" w:hAnsi="Times New Roman Bold"/>
          <w:b/>
          <w:caps/>
          <w:sz w:val="24"/>
          <w:szCs w:val="24"/>
        </w:rPr>
        <w:t>E.</w:t>
      </w:r>
      <w:r w:rsidRPr="003966AD">
        <w:rPr>
          <w:rFonts w:ascii="Times New Roman Bold" w:hAnsi="Times New Roman Bold"/>
          <w:b/>
          <w:caps/>
          <w:sz w:val="24"/>
          <w:szCs w:val="24"/>
        </w:rPr>
        <w:tab/>
      </w:r>
      <w:r w:rsidR="00253FA2" w:rsidRPr="003966AD">
        <w:rPr>
          <w:rFonts w:ascii="Times New Roman Bold" w:hAnsi="Times New Roman Bold" w:cs="Times New Roman"/>
          <w:b/>
          <w:caps/>
          <w:sz w:val="24"/>
          <w:szCs w:val="24"/>
        </w:rPr>
        <w:t>Rehearing Should be Granted to Clarify Certain Aspects of the MVR Allocation Methodology</w:t>
      </w:r>
      <w:r w:rsidR="009878EC">
        <w:rPr>
          <w:rFonts w:ascii="Times New Roman Bold" w:hAnsi="Times New Roman Bold" w:cs="Times New Roman"/>
          <w:b/>
          <w:caps/>
          <w:sz w:val="24"/>
          <w:szCs w:val="24"/>
        </w:rPr>
        <w:t>.</w:t>
      </w:r>
      <w:r w:rsidR="00253FA2" w:rsidRPr="003966AD">
        <w:rPr>
          <w:rFonts w:ascii="Times New Roman Bold" w:hAnsi="Times New Roman Bold"/>
          <w:b/>
          <w:caps/>
          <w:sz w:val="24"/>
          <w:szCs w:val="24"/>
        </w:rPr>
        <w:t xml:space="preserve"> </w:t>
      </w:r>
    </w:p>
    <w:p w:rsidR="00DC15EC" w:rsidRDefault="00DC15EC" w:rsidP="00091210">
      <w:pPr>
        <w:spacing w:after="0"/>
        <w:jc w:val="both"/>
        <w:rPr>
          <w:rFonts w:ascii="Times New Roman" w:hAnsi="Times New Roman"/>
          <w:sz w:val="24"/>
          <w:szCs w:val="24"/>
        </w:rPr>
      </w:pPr>
    </w:p>
    <w:p w:rsidR="00DC15EC" w:rsidRPr="003966AD" w:rsidRDefault="00DC15EC" w:rsidP="00091210">
      <w:pPr>
        <w:spacing w:after="0" w:line="480" w:lineRule="auto"/>
        <w:ind w:firstLine="720"/>
        <w:jc w:val="both"/>
        <w:rPr>
          <w:rFonts w:ascii="Times New Roman" w:hAnsi="Times New Roman"/>
          <w:b/>
          <w:i/>
          <w:sz w:val="24"/>
          <w:szCs w:val="24"/>
        </w:rPr>
      </w:pPr>
      <w:r>
        <w:rPr>
          <w:rFonts w:ascii="Times New Roman" w:hAnsi="Times New Roman"/>
          <w:sz w:val="24"/>
          <w:szCs w:val="24"/>
        </w:rPr>
        <w:t xml:space="preserve">In the Order, the Commission was clear that it was adopting Hess’ proposed initial MVR allocation methodology, which would allocate non-shopping customers at the non-residential exit to MVR suppliers based on each supplier’s proportional market share of Choice-eligible, non-residential customers, including MVR suppliers’ average historical </w:t>
      </w:r>
      <w:r w:rsidR="00BB3B08">
        <w:rPr>
          <w:rFonts w:ascii="Times New Roman" w:hAnsi="Times New Roman"/>
          <w:sz w:val="24"/>
          <w:szCs w:val="24"/>
        </w:rPr>
        <w:t xml:space="preserve">SSO and </w:t>
      </w:r>
      <w:r>
        <w:rPr>
          <w:rFonts w:ascii="Times New Roman" w:hAnsi="Times New Roman"/>
          <w:sz w:val="24"/>
          <w:szCs w:val="24"/>
        </w:rPr>
        <w:t>SCO tranche ownership.  Order, at 36.  While the Order was definitive in the overall approach to be used by Columbia, there are several important implementation details that the Commission should clarify on rehearing.</w:t>
      </w:r>
    </w:p>
    <w:p w:rsidR="00DC15EC" w:rsidRPr="00C2709E" w:rsidRDefault="00DC15EC" w:rsidP="00C2709E">
      <w:pPr>
        <w:pStyle w:val="ListParagraph"/>
        <w:numPr>
          <w:ilvl w:val="0"/>
          <w:numId w:val="26"/>
        </w:numPr>
        <w:tabs>
          <w:tab w:val="left" w:pos="8640"/>
        </w:tabs>
        <w:spacing w:after="0"/>
        <w:ind w:left="2160" w:right="630" w:hanging="720"/>
        <w:jc w:val="both"/>
        <w:rPr>
          <w:rFonts w:ascii="Times New Roman" w:hAnsi="Times New Roman"/>
          <w:b/>
          <w:i/>
          <w:sz w:val="24"/>
          <w:szCs w:val="24"/>
        </w:rPr>
      </w:pPr>
      <w:r w:rsidRPr="00C2709E">
        <w:rPr>
          <w:rFonts w:ascii="Times New Roman" w:hAnsi="Times New Roman"/>
          <w:b/>
          <w:i/>
          <w:sz w:val="24"/>
          <w:szCs w:val="24"/>
        </w:rPr>
        <w:t xml:space="preserve">To </w:t>
      </w:r>
      <w:r w:rsidR="00BE0EF3" w:rsidRPr="00C2709E">
        <w:rPr>
          <w:rFonts w:ascii="Times New Roman" w:hAnsi="Times New Roman"/>
          <w:b/>
          <w:i/>
          <w:sz w:val="24"/>
          <w:szCs w:val="24"/>
        </w:rPr>
        <w:t>D</w:t>
      </w:r>
      <w:r w:rsidRPr="00C2709E">
        <w:rPr>
          <w:rFonts w:ascii="Times New Roman" w:hAnsi="Times New Roman"/>
          <w:b/>
          <w:i/>
          <w:sz w:val="24"/>
          <w:szCs w:val="24"/>
        </w:rPr>
        <w:t xml:space="preserve">etermine an MVR </w:t>
      </w:r>
      <w:r w:rsidR="00BE0EF3" w:rsidRPr="00C2709E">
        <w:rPr>
          <w:rFonts w:ascii="Times New Roman" w:hAnsi="Times New Roman"/>
          <w:b/>
          <w:i/>
          <w:sz w:val="24"/>
          <w:szCs w:val="24"/>
        </w:rPr>
        <w:t>S</w:t>
      </w:r>
      <w:r w:rsidRPr="00C2709E">
        <w:rPr>
          <w:rFonts w:ascii="Times New Roman" w:hAnsi="Times New Roman"/>
          <w:b/>
          <w:i/>
          <w:sz w:val="24"/>
          <w:szCs w:val="24"/>
        </w:rPr>
        <w:t xml:space="preserve">upplier’s </w:t>
      </w:r>
      <w:r w:rsidR="00BE0EF3" w:rsidRPr="00C2709E">
        <w:rPr>
          <w:rFonts w:ascii="Times New Roman" w:hAnsi="Times New Roman"/>
          <w:b/>
          <w:i/>
          <w:sz w:val="24"/>
          <w:szCs w:val="24"/>
        </w:rPr>
        <w:t>P</w:t>
      </w:r>
      <w:r w:rsidRPr="00C2709E">
        <w:rPr>
          <w:rFonts w:ascii="Times New Roman" w:hAnsi="Times New Roman"/>
          <w:b/>
          <w:i/>
          <w:sz w:val="24"/>
          <w:szCs w:val="24"/>
        </w:rPr>
        <w:t xml:space="preserve">roportional </w:t>
      </w:r>
      <w:r w:rsidR="00BE0EF3" w:rsidRPr="00C2709E">
        <w:rPr>
          <w:rFonts w:ascii="Times New Roman" w:hAnsi="Times New Roman"/>
          <w:b/>
          <w:i/>
          <w:sz w:val="24"/>
          <w:szCs w:val="24"/>
        </w:rPr>
        <w:t>M</w:t>
      </w:r>
      <w:r w:rsidRPr="00C2709E">
        <w:rPr>
          <w:rFonts w:ascii="Times New Roman" w:hAnsi="Times New Roman"/>
          <w:b/>
          <w:i/>
          <w:sz w:val="24"/>
          <w:szCs w:val="24"/>
        </w:rPr>
        <w:t xml:space="preserve">arket </w:t>
      </w:r>
      <w:r w:rsidR="00BE0EF3" w:rsidRPr="00C2709E">
        <w:rPr>
          <w:rFonts w:ascii="Times New Roman" w:hAnsi="Times New Roman"/>
          <w:b/>
          <w:i/>
          <w:sz w:val="24"/>
          <w:szCs w:val="24"/>
        </w:rPr>
        <w:t>S</w:t>
      </w:r>
      <w:r w:rsidRPr="00C2709E">
        <w:rPr>
          <w:rFonts w:ascii="Times New Roman" w:hAnsi="Times New Roman"/>
          <w:b/>
          <w:i/>
          <w:sz w:val="24"/>
          <w:szCs w:val="24"/>
        </w:rPr>
        <w:t xml:space="preserve">hare at the </w:t>
      </w:r>
      <w:r w:rsidR="00BE0EF3" w:rsidRPr="00C2709E">
        <w:rPr>
          <w:rFonts w:ascii="Times New Roman" w:hAnsi="Times New Roman"/>
          <w:b/>
          <w:i/>
          <w:sz w:val="24"/>
          <w:szCs w:val="24"/>
        </w:rPr>
        <w:t>N</w:t>
      </w:r>
      <w:r w:rsidRPr="00C2709E">
        <w:rPr>
          <w:rFonts w:ascii="Times New Roman" w:hAnsi="Times New Roman"/>
          <w:b/>
          <w:i/>
          <w:sz w:val="24"/>
          <w:szCs w:val="24"/>
        </w:rPr>
        <w:t xml:space="preserve">on-residential </w:t>
      </w:r>
      <w:r w:rsidR="00BE0EF3" w:rsidRPr="00C2709E">
        <w:rPr>
          <w:rFonts w:ascii="Times New Roman" w:hAnsi="Times New Roman"/>
          <w:b/>
          <w:i/>
          <w:sz w:val="24"/>
          <w:szCs w:val="24"/>
        </w:rPr>
        <w:t>E</w:t>
      </w:r>
      <w:r w:rsidRPr="00C2709E">
        <w:rPr>
          <w:rFonts w:ascii="Times New Roman" w:hAnsi="Times New Roman"/>
          <w:b/>
          <w:i/>
          <w:sz w:val="24"/>
          <w:szCs w:val="24"/>
        </w:rPr>
        <w:t xml:space="preserve">xit, the </w:t>
      </w:r>
      <w:r w:rsidR="00BE0EF3" w:rsidRPr="00C2709E">
        <w:rPr>
          <w:rFonts w:ascii="Times New Roman" w:hAnsi="Times New Roman"/>
          <w:b/>
          <w:i/>
          <w:sz w:val="24"/>
          <w:szCs w:val="24"/>
        </w:rPr>
        <w:t>S</w:t>
      </w:r>
      <w:r w:rsidRPr="00C2709E">
        <w:rPr>
          <w:rFonts w:ascii="Times New Roman" w:hAnsi="Times New Roman"/>
          <w:b/>
          <w:i/>
          <w:sz w:val="24"/>
          <w:szCs w:val="24"/>
        </w:rPr>
        <w:t xml:space="preserve">upplier’s </w:t>
      </w:r>
      <w:r w:rsidR="00BE0EF3" w:rsidRPr="00C2709E">
        <w:rPr>
          <w:rFonts w:ascii="Times New Roman" w:hAnsi="Times New Roman"/>
          <w:b/>
          <w:i/>
          <w:sz w:val="24"/>
          <w:szCs w:val="24"/>
        </w:rPr>
        <w:t>A</w:t>
      </w:r>
      <w:r w:rsidRPr="00C2709E">
        <w:rPr>
          <w:rFonts w:ascii="Times New Roman" w:hAnsi="Times New Roman"/>
          <w:b/>
          <w:i/>
          <w:sz w:val="24"/>
          <w:szCs w:val="24"/>
        </w:rPr>
        <w:t xml:space="preserve">llocation </w:t>
      </w:r>
      <w:r w:rsidR="00BE0EF3" w:rsidRPr="00C2709E">
        <w:rPr>
          <w:rFonts w:ascii="Times New Roman" w:hAnsi="Times New Roman"/>
          <w:b/>
          <w:i/>
          <w:sz w:val="24"/>
          <w:szCs w:val="24"/>
        </w:rPr>
        <w:t>S</w:t>
      </w:r>
      <w:r w:rsidRPr="00C2709E">
        <w:rPr>
          <w:rFonts w:ascii="Times New Roman" w:hAnsi="Times New Roman"/>
          <w:b/>
          <w:i/>
          <w:sz w:val="24"/>
          <w:szCs w:val="24"/>
        </w:rPr>
        <w:t xml:space="preserve">hould be </w:t>
      </w:r>
      <w:r w:rsidR="00BE0EF3" w:rsidRPr="00C2709E">
        <w:rPr>
          <w:rFonts w:ascii="Times New Roman" w:hAnsi="Times New Roman"/>
          <w:b/>
          <w:i/>
          <w:sz w:val="24"/>
          <w:szCs w:val="24"/>
        </w:rPr>
        <w:t>C</w:t>
      </w:r>
      <w:r w:rsidRPr="00C2709E">
        <w:rPr>
          <w:rFonts w:ascii="Times New Roman" w:hAnsi="Times New Roman"/>
          <w:b/>
          <w:i/>
          <w:sz w:val="24"/>
          <w:szCs w:val="24"/>
        </w:rPr>
        <w:t xml:space="preserve">alculated </w:t>
      </w:r>
      <w:r w:rsidR="00BE0EF3" w:rsidRPr="00C2709E">
        <w:rPr>
          <w:rFonts w:ascii="Times New Roman" w:hAnsi="Times New Roman"/>
          <w:b/>
          <w:i/>
          <w:sz w:val="24"/>
          <w:szCs w:val="24"/>
        </w:rPr>
        <w:t>B</w:t>
      </w:r>
      <w:r w:rsidRPr="00C2709E">
        <w:rPr>
          <w:rFonts w:ascii="Times New Roman" w:hAnsi="Times New Roman"/>
          <w:b/>
          <w:i/>
          <w:sz w:val="24"/>
          <w:szCs w:val="24"/>
        </w:rPr>
        <w:t xml:space="preserve">ased on its </w:t>
      </w:r>
      <w:r w:rsidR="00BE0EF3" w:rsidRPr="00C2709E">
        <w:rPr>
          <w:rFonts w:ascii="Times New Roman" w:hAnsi="Times New Roman"/>
          <w:b/>
          <w:i/>
          <w:sz w:val="24"/>
          <w:szCs w:val="24"/>
        </w:rPr>
        <w:t>M</w:t>
      </w:r>
      <w:r w:rsidRPr="00C2709E">
        <w:rPr>
          <w:rFonts w:ascii="Times New Roman" w:hAnsi="Times New Roman"/>
          <w:b/>
          <w:i/>
          <w:sz w:val="24"/>
          <w:szCs w:val="24"/>
        </w:rPr>
        <w:t xml:space="preserve">arket </w:t>
      </w:r>
      <w:r w:rsidR="00BE0EF3" w:rsidRPr="00C2709E">
        <w:rPr>
          <w:rFonts w:ascii="Times New Roman" w:hAnsi="Times New Roman"/>
          <w:b/>
          <w:i/>
          <w:sz w:val="24"/>
          <w:szCs w:val="24"/>
        </w:rPr>
        <w:t>S</w:t>
      </w:r>
      <w:r w:rsidRPr="00C2709E">
        <w:rPr>
          <w:rFonts w:ascii="Times New Roman" w:hAnsi="Times New Roman"/>
          <w:b/>
          <w:i/>
          <w:sz w:val="24"/>
          <w:szCs w:val="24"/>
        </w:rPr>
        <w:t xml:space="preserve">hare of </w:t>
      </w:r>
      <w:r w:rsidR="00BE0EF3" w:rsidRPr="00C2709E">
        <w:rPr>
          <w:rFonts w:ascii="Times New Roman" w:hAnsi="Times New Roman"/>
          <w:b/>
          <w:i/>
          <w:sz w:val="24"/>
          <w:szCs w:val="24"/>
        </w:rPr>
        <w:t>N</w:t>
      </w:r>
      <w:r w:rsidRPr="00C2709E">
        <w:rPr>
          <w:rFonts w:ascii="Times New Roman" w:hAnsi="Times New Roman"/>
          <w:b/>
          <w:i/>
          <w:sz w:val="24"/>
          <w:szCs w:val="24"/>
        </w:rPr>
        <w:t>on-</w:t>
      </w:r>
      <w:r w:rsidR="00BE0EF3" w:rsidRPr="00C2709E">
        <w:rPr>
          <w:rFonts w:ascii="Times New Roman" w:hAnsi="Times New Roman"/>
          <w:b/>
          <w:i/>
          <w:sz w:val="24"/>
          <w:szCs w:val="24"/>
        </w:rPr>
        <w:t>R</w:t>
      </w:r>
      <w:r w:rsidRPr="00C2709E">
        <w:rPr>
          <w:rFonts w:ascii="Times New Roman" w:hAnsi="Times New Roman"/>
          <w:b/>
          <w:i/>
          <w:sz w:val="24"/>
          <w:szCs w:val="24"/>
        </w:rPr>
        <w:t xml:space="preserve">esidential </w:t>
      </w:r>
      <w:r w:rsidR="00BE0EF3" w:rsidRPr="00C2709E">
        <w:rPr>
          <w:rFonts w:ascii="Times New Roman" w:hAnsi="Times New Roman"/>
          <w:b/>
          <w:i/>
          <w:sz w:val="24"/>
          <w:szCs w:val="24"/>
        </w:rPr>
        <w:t>S</w:t>
      </w:r>
      <w:r w:rsidRPr="00C2709E">
        <w:rPr>
          <w:rFonts w:ascii="Times New Roman" w:hAnsi="Times New Roman"/>
          <w:b/>
          <w:i/>
          <w:sz w:val="24"/>
          <w:szCs w:val="24"/>
        </w:rPr>
        <w:t xml:space="preserve">hopping </w:t>
      </w:r>
      <w:r w:rsidR="00BE0EF3" w:rsidRPr="00C2709E">
        <w:rPr>
          <w:rFonts w:ascii="Times New Roman" w:hAnsi="Times New Roman"/>
          <w:b/>
          <w:i/>
          <w:sz w:val="24"/>
          <w:szCs w:val="24"/>
        </w:rPr>
        <w:t>C</w:t>
      </w:r>
      <w:r w:rsidRPr="00C2709E">
        <w:rPr>
          <w:rFonts w:ascii="Times New Roman" w:hAnsi="Times New Roman"/>
          <w:b/>
          <w:i/>
          <w:sz w:val="24"/>
          <w:szCs w:val="24"/>
        </w:rPr>
        <w:t>ustomers.</w:t>
      </w:r>
    </w:p>
    <w:p w:rsidR="00DC15EC" w:rsidRDefault="00DC15EC" w:rsidP="00091210">
      <w:pPr>
        <w:spacing w:after="0"/>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In its review of the various MVR allocation methodologies, the Commission correctly summarized the three methodologies advocated in this proceeding as “a proportional allocation based on Choice customer market share only [Option 1]; a proportional allocation based on the market share of all nonresidential Choice eligible customers, including a supplier's average historical SSO and SCO tranche ownership [Option 2]; and a rotational allocation, under which customers are equally and randomly assigned to each CRNGS provider [Option 3].” Order, at 36.  Hess advocated for Option 2.  Ultimately, the Commission found that the “proposal submitted by Hess regarding the initial allocation to be the most persuasive and reasonable.”  </w:t>
      </w:r>
      <w:r w:rsidR="000445FE" w:rsidRPr="000445FE">
        <w:rPr>
          <w:rFonts w:ascii="Times New Roman" w:hAnsi="Times New Roman"/>
          <w:sz w:val="24"/>
          <w:szCs w:val="24"/>
        </w:rPr>
        <w:t>Id</w:t>
      </w:r>
      <w:r w:rsidRPr="00BB3B08">
        <w:rPr>
          <w:rFonts w:ascii="Times New Roman" w:hAnsi="Times New Roman"/>
          <w:sz w:val="24"/>
          <w:szCs w:val="24"/>
        </w:rPr>
        <w:t>.</w:t>
      </w:r>
      <w:r>
        <w:rPr>
          <w:rFonts w:ascii="Times New Roman" w:hAnsi="Times New Roman"/>
          <w:sz w:val="24"/>
          <w:szCs w:val="24"/>
        </w:rPr>
        <w:t xml:space="preserve"> In the Order, the Commission went on to set forth some “guiding principles” of the initial allocation methodology, including:</w:t>
      </w:r>
    </w:p>
    <w:p w:rsidR="00AE44FA" w:rsidRDefault="00DC15EC">
      <w:pPr>
        <w:autoSpaceDE w:val="0"/>
        <w:autoSpaceDN w:val="0"/>
        <w:adjustRightInd w:val="0"/>
        <w:spacing w:after="0" w:line="240" w:lineRule="auto"/>
        <w:ind w:left="1440" w:right="720" w:hanging="720"/>
        <w:jc w:val="both"/>
        <w:rPr>
          <w:rFonts w:ascii="Times New Roman" w:hAnsi="Times New Roman"/>
          <w:sz w:val="24"/>
          <w:szCs w:val="24"/>
        </w:rPr>
      </w:pPr>
      <w:r>
        <w:rPr>
          <w:rFonts w:ascii="Times New Roman" w:hAnsi="Times New Roman"/>
          <w:sz w:val="24"/>
          <w:szCs w:val="24"/>
        </w:rPr>
        <w:t xml:space="preserve">(1) </w:t>
      </w:r>
      <w:r w:rsidR="00BB3B08">
        <w:rPr>
          <w:rFonts w:ascii="Times New Roman" w:hAnsi="Times New Roman"/>
          <w:sz w:val="24"/>
          <w:szCs w:val="24"/>
        </w:rPr>
        <w:tab/>
      </w:r>
      <w:r w:rsidRPr="00836F72">
        <w:rPr>
          <w:rFonts w:ascii="Times New Roman" w:hAnsi="Times New Roman"/>
          <w:sz w:val="24"/>
          <w:szCs w:val="24"/>
        </w:rPr>
        <w:t>The initial allocation will be done on a proportional basis, as</w:t>
      </w:r>
      <w:r>
        <w:rPr>
          <w:rFonts w:ascii="Times New Roman" w:hAnsi="Times New Roman"/>
          <w:sz w:val="24"/>
          <w:szCs w:val="24"/>
        </w:rPr>
        <w:t xml:space="preserve"> </w:t>
      </w:r>
      <w:r w:rsidRPr="00836F72">
        <w:rPr>
          <w:rFonts w:ascii="Times New Roman" w:hAnsi="Times New Roman"/>
          <w:sz w:val="24"/>
          <w:szCs w:val="24"/>
        </w:rPr>
        <w:t>compared to the MVR supplier's Choice enrollment at the time</w:t>
      </w:r>
      <w:r>
        <w:rPr>
          <w:rFonts w:ascii="Times New Roman" w:hAnsi="Times New Roman"/>
          <w:sz w:val="24"/>
          <w:szCs w:val="24"/>
        </w:rPr>
        <w:t xml:space="preserve"> </w:t>
      </w:r>
      <w:r w:rsidRPr="00836F72">
        <w:rPr>
          <w:rFonts w:ascii="Times New Roman" w:hAnsi="Times New Roman"/>
          <w:sz w:val="24"/>
          <w:szCs w:val="24"/>
        </w:rPr>
        <w:t>of allocation, including a supplier's average historical SSO and</w:t>
      </w:r>
      <w:r>
        <w:rPr>
          <w:rFonts w:ascii="Times New Roman" w:hAnsi="Times New Roman"/>
          <w:sz w:val="24"/>
          <w:szCs w:val="24"/>
        </w:rPr>
        <w:t xml:space="preserve"> </w:t>
      </w:r>
      <w:r w:rsidRPr="00836F72">
        <w:rPr>
          <w:rFonts w:ascii="Times New Roman" w:hAnsi="Times New Roman"/>
          <w:sz w:val="24"/>
          <w:szCs w:val="24"/>
        </w:rPr>
        <w:t>SCO tranche ownership for nonresidential customers.</w:t>
      </w:r>
    </w:p>
    <w:p w:rsidR="00DC15EC" w:rsidRPr="00836F72" w:rsidRDefault="00DC15EC" w:rsidP="00091210">
      <w:pPr>
        <w:autoSpaceDE w:val="0"/>
        <w:autoSpaceDN w:val="0"/>
        <w:adjustRightInd w:val="0"/>
        <w:spacing w:after="0" w:line="240" w:lineRule="auto"/>
        <w:ind w:left="720" w:right="720"/>
        <w:jc w:val="both"/>
        <w:rPr>
          <w:rFonts w:ascii="Times New Roman" w:hAnsi="Times New Roman"/>
          <w:sz w:val="24"/>
          <w:szCs w:val="24"/>
        </w:rPr>
      </w:pPr>
    </w:p>
    <w:p w:rsidR="00AE44FA" w:rsidRDefault="00DC15EC">
      <w:pPr>
        <w:autoSpaceDE w:val="0"/>
        <w:autoSpaceDN w:val="0"/>
        <w:adjustRightInd w:val="0"/>
        <w:spacing w:after="0" w:line="240" w:lineRule="auto"/>
        <w:ind w:left="1440" w:right="720" w:hanging="720"/>
        <w:jc w:val="both"/>
        <w:rPr>
          <w:rFonts w:ascii="Times New Roman" w:hAnsi="Times New Roman"/>
          <w:sz w:val="24"/>
          <w:szCs w:val="24"/>
        </w:rPr>
      </w:pPr>
      <w:r w:rsidRPr="00836F72">
        <w:rPr>
          <w:rFonts w:ascii="Times New Roman" w:hAnsi="Times New Roman"/>
          <w:sz w:val="24"/>
          <w:szCs w:val="24"/>
        </w:rPr>
        <w:t xml:space="preserve">(2) </w:t>
      </w:r>
      <w:r w:rsidR="00BB3B08">
        <w:rPr>
          <w:rFonts w:ascii="Times New Roman" w:hAnsi="Times New Roman"/>
          <w:sz w:val="24"/>
          <w:szCs w:val="24"/>
        </w:rPr>
        <w:tab/>
      </w:r>
      <w:r w:rsidRPr="00836F72">
        <w:rPr>
          <w:rFonts w:ascii="Times New Roman" w:hAnsi="Times New Roman"/>
          <w:sz w:val="24"/>
          <w:szCs w:val="24"/>
        </w:rPr>
        <w:t xml:space="preserve">A supplier's average historical SSO and SCO </w:t>
      </w:r>
      <w:r>
        <w:rPr>
          <w:rFonts w:ascii="Times New Roman" w:hAnsi="Times New Roman"/>
          <w:sz w:val="24"/>
          <w:szCs w:val="24"/>
        </w:rPr>
        <w:t>t</w:t>
      </w:r>
      <w:r w:rsidRPr="00836F72">
        <w:rPr>
          <w:rFonts w:ascii="Times New Roman" w:hAnsi="Times New Roman"/>
          <w:sz w:val="24"/>
          <w:szCs w:val="24"/>
        </w:rPr>
        <w:t>ranche</w:t>
      </w:r>
      <w:r>
        <w:rPr>
          <w:rFonts w:ascii="Times New Roman" w:hAnsi="Times New Roman"/>
          <w:sz w:val="24"/>
          <w:szCs w:val="24"/>
        </w:rPr>
        <w:t xml:space="preserve"> </w:t>
      </w:r>
      <w:r w:rsidRPr="00836F72">
        <w:rPr>
          <w:rFonts w:ascii="Times New Roman" w:hAnsi="Times New Roman"/>
          <w:sz w:val="24"/>
          <w:szCs w:val="24"/>
        </w:rPr>
        <w:t>ownership for nonresidential customers shall be measured as</w:t>
      </w:r>
      <w:r>
        <w:rPr>
          <w:rFonts w:ascii="Times New Roman" w:hAnsi="Times New Roman"/>
          <w:sz w:val="24"/>
          <w:szCs w:val="24"/>
        </w:rPr>
        <w:t xml:space="preserve"> </w:t>
      </w:r>
      <w:r w:rsidRPr="00836F72">
        <w:rPr>
          <w:rFonts w:ascii="Times New Roman" w:hAnsi="Times New Roman"/>
          <w:sz w:val="24"/>
          <w:szCs w:val="24"/>
        </w:rPr>
        <w:t>of the date of this order going forward.</w:t>
      </w:r>
    </w:p>
    <w:p w:rsidR="00DC15EC" w:rsidRPr="00836F72" w:rsidRDefault="00DC15EC" w:rsidP="00091210">
      <w:pPr>
        <w:autoSpaceDE w:val="0"/>
        <w:autoSpaceDN w:val="0"/>
        <w:adjustRightInd w:val="0"/>
        <w:spacing w:after="0" w:line="240" w:lineRule="auto"/>
        <w:ind w:left="720" w:right="720"/>
        <w:jc w:val="both"/>
        <w:rPr>
          <w:rFonts w:ascii="Times New Roman" w:hAnsi="Times New Roman"/>
          <w:sz w:val="24"/>
          <w:szCs w:val="24"/>
        </w:rPr>
      </w:pPr>
    </w:p>
    <w:p w:rsidR="00AE44FA" w:rsidRDefault="00DC15EC">
      <w:pPr>
        <w:autoSpaceDE w:val="0"/>
        <w:autoSpaceDN w:val="0"/>
        <w:adjustRightInd w:val="0"/>
        <w:spacing w:after="0" w:line="240" w:lineRule="auto"/>
        <w:ind w:left="1440" w:right="720" w:hanging="720"/>
        <w:jc w:val="both"/>
        <w:rPr>
          <w:rFonts w:ascii="Times New Roman" w:hAnsi="Times New Roman"/>
          <w:sz w:val="24"/>
          <w:szCs w:val="24"/>
        </w:rPr>
      </w:pPr>
      <w:r w:rsidRPr="00836F72">
        <w:rPr>
          <w:rFonts w:ascii="Times New Roman" w:hAnsi="Times New Roman"/>
          <w:sz w:val="24"/>
          <w:szCs w:val="24"/>
        </w:rPr>
        <w:t xml:space="preserve">(3) </w:t>
      </w:r>
      <w:r w:rsidR="00BB3B08">
        <w:rPr>
          <w:rFonts w:ascii="Times New Roman" w:hAnsi="Times New Roman"/>
          <w:sz w:val="24"/>
          <w:szCs w:val="24"/>
        </w:rPr>
        <w:tab/>
      </w:r>
      <w:r w:rsidRPr="00836F72">
        <w:rPr>
          <w:rFonts w:ascii="Times New Roman" w:hAnsi="Times New Roman"/>
          <w:sz w:val="24"/>
          <w:szCs w:val="24"/>
        </w:rPr>
        <w:t>For the initial allocation, a minimum of one percent shall be</w:t>
      </w:r>
      <w:r>
        <w:rPr>
          <w:rFonts w:ascii="Times New Roman" w:hAnsi="Times New Roman"/>
          <w:sz w:val="24"/>
          <w:szCs w:val="24"/>
        </w:rPr>
        <w:t xml:space="preserve"> </w:t>
      </w:r>
      <w:r w:rsidRPr="00836F72">
        <w:rPr>
          <w:rFonts w:ascii="Times New Roman" w:hAnsi="Times New Roman"/>
          <w:sz w:val="24"/>
          <w:szCs w:val="24"/>
        </w:rPr>
        <w:t>assigned to an MVR supplier with equal to, or less than, one</w:t>
      </w:r>
      <w:r>
        <w:rPr>
          <w:rFonts w:ascii="Times New Roman" w:hAnsi="Times New Roman"/>
          <w:sz w:val="24"/>
          <w:szCs w:val="24"/>
        </w:rPr>
        <w:t xml:space="preserve"> </w:t>
      </w:r>
      <w:r w:rsidRPr="00836F72">
        <w:rPr>
          <w:rFonts w:ascii="Times New Roman" w:hAnsi="Times New Roman"/>
          <w:sz w:val="24"/>
          <w:szCs w:val="24"/>
        </w:rPr>
        <w:t>percent Choice enrollment</w:t>
      </w:r>
      <w:r>
        <w:rPr>
          <w:rFonts w:ascii="Times New Roman" w:hAnsi="Times New Roman"/>
          <w:sz w:val="24"/>
          <w:szCs w:val="24"/>
        </w:rPr>
        <w:t xml:space="preserve">. </w:t>
      </w:r>
      <w:r w:rsidR="00A674F9">
        <w:rPr>
          <w:rFonts w:ascii="Times New Roman" w:hAnsi="Times New Roman"/>
          <w:sz w:val="24"/>
          <w:szCs w:val="24"/>
        </w:rPr>
        <w:t xml:space="preserve"> </w:t>
      </w:r>
      <w:r w:rsidRPr="00A674F9">
        <w:rPr>
          <w:rFonts w:ascii="Times New Roman" w:hAnsi="Times New Roman"/>
          <w:sz w:val="24"/>
          <w:szCs w:val="24"/>
        </w:rPr>
        <w:t>Id.</w:t>
      </w:r>
    </w:p>
    <w:p w:rsidR="00DC15EC" w:rsidRDefault="00DC15EC" w:rsidP="00091210">
      <w:pPr>
        <w:autoSpaceDE w:val="0"/>
        <w:autoSpaceDN w:val="0"/>
        <w:adjustRightInd w:val="0"/>
        <w:spacing w:after="0" w:line="240" w:lineRule="auto"/>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In summarizing the three proposals, the Commission correctly noted that the Hess proposal was premised on a “proportional allocation based on the market share of </w:t>
      </w:r>
      <w:r w:rsidRPr="003341F6">
        <w:rPr>
          <w:rFonts w:ascii="Times New Roman" w:hAnsi="Times New Roman"/>
          <w:i/>
          <w:sz w:val="24"/>
          <w:szCs w:val="24"/>
        </w:rPr>
        <w:t>all nonresidential Choice eligible customers</w:t>
      </w:r>
      <w:r>
        <w:rPr>
          <w:rFonts w:ascii="Times New Roman" w:hAnsi="Times New Roman"/>
          <w:i/>
          <w:sz w:val="24"/>
          <w:szCs w:val="24"/>
        </w:rPr>
        <w:t>.</w:t>
      </w:r>
      <w:r>
        <w:rPr>
          <w:rFonts w:ascii="Times New Roman" w:hAnsi="Times New Roman"/>
          <w:sz w:val="24"/>
          <w:szCs w:val="24"/>
        </w:rPr>
        <w:t xml:space="preserve">”  </w:t>
      </w:r>
      <w:r w:rsidR="000445FE" w:rsidRPr="000445FE">
        <w:rPr>
          <w:rFonts w:ascii="Times New Roman" w:hAnsi="Times New Roman"/>
          <w:sz w:val="24"/>
          <w:szCs w:val="24"/>
        </w:rPr>
        <w:t>Id</w:t>
      </w:r>
      <w:r>
        <w:rPr>
          <w:rFonts w:ascii="Times New Roman" w:hAnsi="Times New Roman"/>
          <w:sz w:val="24"/>
          <w:szCs w:val="24"/>
        </w:rPr>
        <w:t xml:space="preserve">. (emphasis added).  Later in the Order, in laying out the guiding principles of the initial MVR allocation, the Commission provided that Columbia should allocate customers on a “proportional basis, as compared to the MVR supplier’s Choice enrollment…for nonresidential customers.”  </w:t>
      </w:r>
      <w:r w:rsidR="000445FE" w:rsidRPr="000445FE">
        <w:rPr>
          <w:rFonts w:ascii="Times New Roman" w:hAnsi="Times New Roman"/>
          <w:sz w:val="24"/>
          <w:szCs w:val="24"/>
        </w:rPr>
        <w:t>Id</w:t>
      </w:r>
      <w:r>
        <w:rPr>
          <w:rFonts w:ascii="Times New Roman" w:hAnsi="Times New Roman"/>
          <w:sz w:val="24"/>
          <w:szCs w:val="24"/>
        </w:rPr>
        <w:t xml:space="preserve">.  The two provisions are consistent, however, in the interest of efficiency, we respectfully request that the Commission, </w:t>
      </w:r>
      <w:r>
        <w:rPr>
          <w:rFonts w:ascii="Times New Roman" w:hAnsi="Times New Roman"/>
          <w:sz w:val="24"/>
          <w:szCs w:val="24"/>
        </w:rPr>
        <w:lastRenderedPageBreak/>
        <w:t xml:space="preserve">on rehearing, clarify its ruling and specifically establish that a MVR supplier’s proportional market share be calculated based on its market share of non-residential, Choice-eligible customers.  As explained above, Hess’ interpretation is entirely consistent with the Order and recognizes the contributions of each MVR supplier’s (SCO and Choice suppliers) toward reaching the 70% </w:t>
      </w:r>
      <w:r w:rsidR="009A417F">
        <w:rPr>
          <w:rFonts w:ascii="Times New Roman" w:hAnsi="Times New Roman"/>
          <w:sz w:val="24"/>
          <w:szCs w:val="24"/>
        </w:rPr>
        <w:t xml:space="preserve">non-residential </w:t>
      </w:r>
      <w:r>
        <w:rPr>
          <w:rFonts w:ascii="Times New Roman" w:hAnsi="Times New Roman"/>
          <w:sz w:val="24"/>
          <w:szCs w:val="24"/>
        </w:rPr>
        <w:t xml:space="preserve">exit trigger.     </w:t>
      </w: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Any other market share calculation would undermine and inappropriately dilute a non-residential supplier’s contributions to the market.  For instance, Hess anticipates other</w:t>
      </w:r>
      <w:r w:rsidR="00C306C5">
        <w:rPr>
          <w:rFonts w:ascii="Times New Roman" w:hAnsi="Times New Roman"/>
          <w:sz w:val="24"/>
          <w:szCs w:val="24"/>
        </w:rPr>
        <w:t xml:space="preserve"> partie</w:t>
      </w:r>
      <w:r>
        <w:rPr>
          <w:rFonts w:ascii="Times New Roman" w:hAnsi="Times New Roman"/>
          <w:sz w:val="24"/>
          <w:szCs w:val="24"/>
        </w:rPr>
        <w:t>s (mainly, the residential-focused suppliers participating in this proceeding, IGS and Direct</w:t>
      </w:r>
      <w:r w:rsidR="00C306C5">
        <w:rPr>
          <w:rFonts w:ascii="Times New Roman" w:hAnsi="Times New Roman"/>
          <w:sz w:val="24"/>
          <w:szCs w:val="24"/>
        </w:rPr>
        <w:t xml:space="preserve"> (“Residential Suppliers”)</w:t>
      </w:r>
      <w:r>
        <w:rPr>
          <w:rFonts w:ascii="Times New Roman" w:hAnsi="Times New Roman"/>
          <w:sz w:val="24"/>
          <w:szCs w:val="24"/>
        </w:rPr>
        <w:t xml:space="preserve">) to argue that the Commission should calculate a Choice supplier’s proportional market share based on its market share of Choice-eligible customers, which includes residential and non-residential customers.  The Residential Suppliers’ argument, while predictable given their business model, is completely without merit.  If the proportional market share calculation for the initial non-residential MVR allocation took into account a Choice supplier’s residential and non-residential market share, those Choice suppliers with a greater market share of residential customers would clearly benefit as compared to those Choice suppliers with a greater market share of non-residential customers because they would inappropriately dilute a nonresidential-focused supplier’s MVR allocation.  Not only is such a calculation </w:t>
      </w:r>
      <w:r w:rsidR="00093826">
        <w:rPr>
          <w:rFonts w:ascii="Times New Roman" w:hAnsi="Times New Roman"/>
          <w:sz w:val="24"/>
          <w:szCs w:val="24"/>
        </w:rPr>
        <w:t xml:space="preserve">contrary to </w:t>
      </w:r>
      <w:r>
        <w:rPr>
          <w:rFonts w:ascii="Times New Roman" w:hAnsi="Times New Roman"/>
          <w:sz w:val="24"/>
          <w:szCs w:val="24"/>
        </w:rPr>
        <w:t>the Order</w:t>
      </w:r>
      <w:r w:rsidR="00C306C5">
        <w:rPr>
          <w:rFonts w:ascii="Times New Roman" w:hAnsi="Times New Roman"/>
          <w:sz w:val="24"/>
          <w:szCs w:val="24"/>
        </w:rPr>
        <w:t xml:space="preserve"> and the Amended Stipulation</w:t>
      </w:r>
      <w:r>
        <w:rPr>
          <w:rFonts w:ascii="Times New Roman" w:hAnsi="Times New Roman"/>
          <w:sz w:val="24"/>
          <w:szCs w:val="24"/>
        </w:rPr>
        <w:t>,</w:t>
      </w:r>
      <w:r w:rsidR="00C306C5">
        <w:rPr>
          <w:rStyle w:val="FootnoteReference"/>
          <w:rFonts w:ascii="Times New Roman" w:hAnsi="Times New Roman"/>
          <w:sz w:val="24"/>
          <w:szCs w:val="24"/>
        </w:rPr>
        <w:footnoteReference w:id="10"/>
      </w:r>
      <w:r>
        <w:rPr>
          <w:rFonts w:ascii="Times New Roman" w:hAnsi="Times New Roman"/>
          <w:sz w:val="24"/>
          <w:szCs w:val="24"/>
        </w:rPr>
        <w:t xml:space="preserve"> but it also completely undermines the spirit of an MVR allocation premised on proportional market share.  </w:t>
      </w: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As the Commission is aware, a Choice supplier that is focused on non-residential customers must make distinct investments and develop unique products to stay competitive in </w:t>
      </w:r>
      <w:r>
        <w:rPr>
          <w:rFonts w:ascii="Times New Roman" w:hAnsi="Times New Roman"/>
          <w:sz w:val="24"/>
          <w:szCs w:val="24"/>
        </w:rPr>
        <w:lastRenderedPageBreak/>
        <w:t xml:space="preserve">that market.  These investments (including sales and marketing investments) and products (more complex variable- and fixed-priced products) are typically different than those aimed at residential customers.  </w:t>
      </w:r>
      <w:r w:rsidR="00093826">
        <w:rPr>
          <w:rFonts w:ascii="Times New Roman" w:hAnsi="Times New Roman"/>
          <w:sz w:val="24"/>
          <w:szCs w:val="24"/>
        </w:rPr>
        <w:t xml:space="preserve">See Hess Ex. 1, at 6.  </w:t>
      </w:r>
      <w:r>
        <w:rPr>
          <w:rFonts w:ascii="Times New Roman" w:hAnsi="Times New Roman"/>
          <w:sz w:val="24"/>
          <w:szCs w:val="24"/>
        </w:rPr>
        <w:t xml:space="preserve">When a non-residential supplier procures customers, it is making a contribution toward reaching the 70% exit trigger which, as the Commission has recognized in its ruling, should be incorporated in that supplier’s initial MVR allocation.  By endorsing the Residential Suppliers’ formula, the Commission would be minimizing the non-residential suppliers’ contributions toward reaching the 70% exit trigger.  </w:t>
      </w: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Furthermore, the Residential Suppliers’ formula is inequitable and will ultimately disincent non-residential suppliers from continuing to invest in the market.  For instance, Hess’ small commercial-focused affiliate, Hess Small Business Services, LLC (“HSBS”) recently launched service in Columbia’s service territory.  HSBS is currently focused in acquiring new non-residential, Choice-eligible customers only and has tailored all of their investments and products to market to these customers.  </w:t>
      </w:r>
      <w:r w:rsidR="00093826">
        <w:rPr>
          <w:rFonts w:ascii="Times New Roman" w:hAnsi="Times New Roman"/>
          <w:sz w:val="24"/>
          <w:szCs w:val="24"/>
        </w:rPr>
        <w:t xml:space="preserve">Hess Ex. 1, at 1-2.  </w:t>
      </w:r>
      <w:r>
        <w:rPr>
          <w:rFonts w:ascii="Times New Roman" w:hAnsi="Times New Roman"/>
          <w:sz w:val="24"/>
          <w:szCs w:val="24"/>
        </w:rPr>
        <w:t xml:space="preserve">  With the Commission’s Order, HSBS has an added incentive to procure as many non-residential customers as possible as it knows that it will be allocated additional non-shopping customers based upon its proportional market share at the time of exit.  However, the Residential Suppliers’ model will completely nullify the added incentive to HSBS to make additional investments and create new innovative products simply because it does not target residential customers.  In fact, rather than adapt its entire business model, the Residential Suppliers’ model could serve to persuade a non-residential supplier to focus on other service territories.  Disincenting non-residential suppliers from continuing to participate in Columbia’s Choice market will only harm non-residential customers by unnecessarily removing market participants and limiting their options.  Such a result clearly runs afoul of the Order.  For these reasons, the Commission should clarify the </w:t>
      </w:r>
      <w:r>
        <w:rPr>
          <w:rFonts w:ascii="Times New Roman" w:hAnsi="Times New Roman"/>
          <w:sz w:val="24"/>
          <w:szCs w:val="24"/>
        </w:rPr>
        <w:lastRenderedPageBreak/>
        <w:t>Order, on rehearing, to explicitly provide that a MVR supplier’s proportional market share be calculated based on its market share of non-residential, Choice-eligible customers.</w:t>
      </w:r>
    </w:p>
    <w:p w:rsidR="00DC15EC" w:rsidRPr="00C2709E" w:rsidRDefault="00DC15EC" w:rsidP="00C2709E">
      <w:pPr>
        <w:pStyle w:val="ListParagraph"/>
        <w:numPr>
          <w:ilvl w:val="0"/>
          <w:numId w:val="26"/>
        </w:numPr>
        <w:autoSpaceDE w:val="0"/>
        <w:autoSpaceDN w:val="0"/>
        <w:adjustRightInd w:val="0"/>
        <w:spacing w:after="0" w:line="240" w:lineRule="auto"/>
        <w:ind w:left="2160" w:right="630" w:hanging="720"/>
        <w:jc w:val="both"/>
        <w:rPr>
          <w:rFonts w:ascii="Times New Roman" w:hAnsi="Times New Roman"/>
          <w:b/>
          <w:i/>
          <w:sz w:val="24"/>
          <w:szCs w:val="24"/>
        </w:rPr>
      </w:pPr>
      <w:r w:rsidRPr="00C2709E">
        <w:rPr>
          <w:rFonts w:ascii="Times New Roman" w:hAnsi="Times New Roman"/>
          <w:b/>
          <w:i/>
          <w:sz w:val="24"/>
          <w:szCs w:val="24"/>
        </w:rPr>
        <w:t xml:space="preserve">The Commission Should Explicitly State that Historical </w:t>
      </w:r>
      <w:r w:rsidR="00093826" w:rsidRPr="00C2709E">
        <w:rPr>
          <w:rFonts w:ascii="Times New Roman" w:hAnsi="Times New Roman"/>
          <w:b/>
          <w:i/>
          <w:sz w:val="24"/>
          <w:szCs w:val="24"/>
        </w:rPr>
        <w:t xml:space="preserve">SSO and </w:t>
      </w:r>
      <w:r w:rsidRPr="00C2709E">
        <w:rPr>
          <w:rFonts w:ascii="Times New Roman" w:hAnsi="Times New Roman"/>
          <w:b/>
          <w:i/>
          <w:sz w:val="24"/>
          <w:szCs w:val="24"/>
        </w:rPr>
        <w:t>SCO Tranche Ownership Accounting Begins This SCO Program Year.</w:t>
      </w:r>
    </w:p>
    <w:p w:rsidR="00DC15EC" w:rsidRDefault="00DC15EC" w:rsidP="00091210">
      <w:pPr>
        <w:autoSpaceDE w:val="0"/>
        <w:autoSpaceDN w:val="0"/>
        <w:adjustRightInd w:val="0"/>
        <w:spacing w:after="0" w:line="240" w:lineRule="auto"/>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The Order provides that “[a]</w:t>
      </w:r>
      <w:r w:rsidRPr="00836F72">
        <w:rPr>
          <w:rFonts w:ascii="Times New Roman" w:hAnsi="Times New Roman"/>
          <w:sz w:val="24"/>
          <w:szCs w:val="24"/>
        </w:rPr>
        <w:t xml:space="preserve"> supplier's average historical SSO</w:t>
      </w:r>
      <w:r w:rsidR="00093826">
        <w:rPr>
          <w:rStyle w:val="FootnoteReference"/>
          <w:rFonts w:ascii="Times New Roman" w:hAnsi="Times New Roman"/>
          <w:sz w:val="24"/>
          <w:szCs w:val="24"/>
        </w:rPr>
        <w:footnoteReference w:id="11"/>
      </w:r>
      <w:r w:rsidRPr="00836F72">
        <w:rPr>
          <w:rFonts w:ascii="Times New Roman" w:hAnsi="Times New Roman"/>
          <w:sz w:val="24"/>
          <w:szCs w:val="24"/>
        </w:rPr>
        <w:t xml:space="preserve"> and SCO </w:t>
      </w:r>
      <w:r>
        <w:rPr>
          <w:rFonts w:ascii="Times New Roman" w:hAnsi="Times New Roman"/>
          <w:sz w:val="24"/>
          <w:szCs w:val="24"/>
        </w:rPr>
        <w:t>t</w:t>
      </w:r>
      <w:r w:rsidRPr="00836F72">
        <w:rPr>
          <w:rFonts w:ascii="Times New Roman" w:hAnsi="Times New Roman"/>
          <w:sz w:val="24"/>
          <w:szCs w:val="24"/>
        </w:rPr>
        <w:t>ranche</w:t>
      </w:r>
      <w:r>
        <w:rPr>
          <w:rFonts w:ascii="Times New Roman" w:hAnsi="Times New Roman"/>
          <w:sz w:val="24"/>
          <w:szCs w:val="24"/>
        </w:rPr>
        <w:t xml:space="preserve"> </w:t>
      </w:r>
      <w:r w:rsidRPr="00836F72">
        <w:rPr>
          <w:rFonts w:ascii="Times New Roman" w:hAnsi="Times New Roman"/>
          <w:sz w:val="24"/>
          <w:szCs w:val="24"/>
        </w:rPr>
        <w:t>ownership for nonresidential customers shall be measured as</w:t>
      </w:r>
      <w:r>
        <w:rPr>
          <w:rFonts w:ascii="Times New Roman" w:hAnsi="Times New Roman"/>
          <w:sz w:val="24"/>
          <w:szCs w:val="24"/>
        </w:rPr>
        <w:t xml:space="preserve"> </w:t>
      </w:r>
      <w:r w:rsidRPr="00836F72">
        <w:rPr>
          <w:rFonts w:ascii="Times New Roman" w:hAnsi="Times New Roman"/>
          <w:sz w:val="24"/>
          <w:szCs w:val="24"/>
        </w:rPr>
        <w:t>of the date of this order going forward.</w:t>
      </w:r>
      <w:r>
        <w:rPr>
          <w:rFonts w:ascii="Times New Roman" w:hAnsi="Times New Roman"/>
          <w:sz w:val="24"/>
          <w:szCs w:val="24"/>
        </w:rPr>
        <w:t>”  Order, at 36.  The date of the Order was January 9, 2013, which is during the 2012-2013 SCO Program Year.  As such, pursuant to the clear words of the Order, the SCO tranches being served by SCO suppliers during the current 2012-2013 SCO Program should be taken into account in the initial MVR allocation at the time of exit.   Hess respectfully requests that the Commission, on rehearing, makes this point explicitly clear.  Absent an explicit statement, Hess anticipates some stakeholders who do not support the Order’s incorporation of historical SCO tranche ownership into the initial MVR allocation formula could try to delay post-Order implementation with incorrect interpretations of the Order.  Thus, Hess makes this request to proactively squash any of these efforts.</w:t>
      </w:r>
    </w:p>
    <w:p w:rsidR="00DC15EC" w:rsidRPr="003966AD" w:rsidRDefault="00DC15EC" w:rsidP="00C2709E">
      <w:pPr>
        <w:pStyle w:val="ListParagraph"/>
        <w:numPr>
          <w:ilvl w:val="0"/>
          <w:numId w:val="26"/>
        </w:numPr>
        <w:autoSpaceDE w:val="0"/>
        <w:autoSpaceDN w:val="0"/>
        <w:adjustRightInd w:val="0"/>
        <w:spacing w:after="0" w:line="240" w:lineRule="auto"/>
        <w:ind w:left="2160" w:right="720" w:hanging="720"/>
        <w:jc w:val="both"/>
        <w:rPr>
          <w:rFonts w:ascii="Times New Roman" w:hAnsi="Times New Roman"/>
          <w:b/>
          <w:i/>
          <w:sz w:val="24"/>
          <w:szCs w:val="24"/>
        </w:rPr>
      </w:pPr>
      <w:r w:rsidRPr="003966AD">
        <w:rPr>
          <w:rFonts w:ascii="Times New Roman" w:hAnsi="Times New Roman"/>
          <w:b/>
          <w:i/>
          <w:sz w:val="24"/>
          <w:szCs w:val="24"/>
        </w:rPr>
        <w:t>In Adopting Hess’ Initial MVR Allocation Methodology, the Commission Should Clarify that Columbia Must Use Hess’ Proposed Formula to Calculate Average Historical SCO Tranche Ownership.</w:t>
      </w:r>
    </w:p>
    <w:p w:rsidR="00DC15EC" w:rsidRDefault="00DC15EC" w:rsidP="00091210">
      <w:pPr>
        <w:autoSpaceDE w:val="0"/>
        <w:autoSpaceDN w:val="0"/>
        <w:adjustRightInd w:val="0"/>
        <w:spacing w:after="0" w:line="240" w:lineRule="auto"/>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In the Order, the Commission found that the “proposal submitted by Hess regarding the initial allocation to be the most persuasive and reasonable.”  Order, at 36.  Along with its witness’ Direct Testimony, Hess provided a formula to calculate historical SSO/SCO tranche </w:t>
      </w:r>
      <w:r>
        <w:rPr>
          <w:rFonts w:ascii="Times New Roman" w:hAnsi="Times New Roman"/>
          <w:sz w:val="24"/>
          <w:szCs w:val="24"/>
        </w:rPr>
        <w:lastRenderedPageBreak/>
        <w:t xml:space="preserve">ownership.  Hess Ex. 1, OM-2.  Hess’ formula is based on dividing the number of tranches served by the SCO supplier by the total number of tranches at the time of exit. </w:t>
      </w:r>
      <w:r w:rsidR="000445FE" w:rsidRPr="000445FE">
        <w:rPr>
          <w:rFonts w:ascii="Times New Roman" w:hAnsi="Times New Roman"/>
          <w:sz w:val="24"/>
          <w:szCs w:val="24"/>
        </w:rPr>
        <w:t>Id</w:t>
      </w:r>
      <w:r>
        <w:rPr>
          <w:rFonts w:ascii="Times New Roman" w:hAnsi="Times New Roman"/>
          <w:sz w:val="24"/>
          <w:szCs w:val="24"/>
        </w:rPr>
        <w:t>.  Hess understands that the Order found that historical SCO tranche ownership should not revert back to the beginning of the SSO program, but, instead, must begin with the current program year.  Regardless, the Commission, on rehearing, should explicitly state that Columbia must rely on Hess’ proposed formula to calculate average historical SCO tranche ownership in the initial MVR allocation methodology.</w:t>
      </w:r>
    </w:p>
    <w:p w:rsidR="00DC15EC" w:rsidRPr="003966AD" w:rsidRDefault="00DC15EC" w:rsidP="00C2709E">
      <w:pPr>
        <w:pStyle w:val="ListParagraph"/>
        <w:numPr>
          <w:ilvl w:val="0"/>
          <w:numId w:val="26"/>
        </w:numPr>
        <w:autoSpaceDE w:val="0"/>
        <w:autoSpaceDN w:val="0"/>
        <w:adjustRightInd w:val="0"/>
        <w:spacing w:after="0" w:line="240" w:lineRule="auto"/>
        <w:ind w:left="2160" w:right="630" w:hanging="720"/>
        <w:jc w:val="both"/>
        <w:rPr>
          <w:rFonts w:ascii="Times New Roman" w:hAnsi="Times New Roman"/>
          <w:b/>
          <w:i/>
          <w:sz w:val="24"/>
          <w:szCs w:val="24"/>
        </w:rPr>
      </w:pPr>
      <w:r w:rsidRPr="003966AD">
        <w:rPr>
          <w:rFonts w:ascii="Times New Roman" w:hAnsi="Times New Roman"/>
          <w:b/>
          <w:i/>
          <w:sz w:val="24"/>
          <w:szCs w:val="24"/>
        </w:rPr>
        <w:t>The Commission Should Clarify That If a SCO Supplier Rejects its Initial MVR Allocation, the “Rejected” Customers Should be Reallocated to the Other SCO Suppliers.</w:t>
      </w:r>
    </w:p>
    <w:p w:rsidR="00DC15EC" w:rsidRDefault="00DC15EC" w:rsidP="00091210">
      <w:pPr>
        <w:autoSpaceDE w:val="0"/>
        <w:autoSpaceDN w:val="0"/>
        <w:adjustRightInd w:val="0"/>
        <w:spacing w:after="0" w:line="240" w:lineRule="auto"/>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The Commission should clarify, on rehearing, how customers will be reallocated in the event that a MVR supplier rejects its allocated share of non-shopping customers at exit.  The Commission did not explicitly provide how these “rejected” customers should be reallocated in the Order.  Under the Commission’s adopted approach, when the exit is triggered, Columbia will allocate those non-shopping, non-residential customers to registered MVR suppliers based on each supplier’s proportional market share, including average historical SCO tranche ownership.  Order, at 36.  For instance, if the exit is triggered at 70.0% shopping, the remaining 30.0% of Choice-eligible, non-residential customers that are not shopping will be allocated to MVR suppliers.  70% of those remaining customers will be allocated to Choice suppliers (based on their proportional market share) and 30% of the remaining customers will be allocated to SCO suppliers (based on their average historical SCO tranche ownership). </w:t>
      </w:r>
      <w:r w:rsidR="000445FE" w:rsidRPr="000445FE">
        <w:rPr>
          <w:rFonts w:ascii="Times New Roman" w:hAnsi="Times New Roman"/>
          <w:sz w:val="24"/>
          <w:szCs w:val="24"/>
        </w:rPr>
        <w:t>Id</w:t>
      </w:r>
      <w:r>
        <w:rPr>
          <w:rFonts w:ascii="Times New Roman" w:hAnsi="Times New Roman"/>
          <w:sz w:val="24"/>
          <w:szCs w:val="24"/>
        </w:rPr>
        <w:t xml:space="preserve">.  If an SCO supplier awarded an initial MVR allocation at exit chooses not to provide Choice service and rejects its customer allocation, then the rejected share should be reallocated to the remaining SCO suppliers evenly.  In the Order, the Commission “acknowledge[d] that SSO/SCO suppliers </w:t>
      </w:r>
      <w:r>
        <w:rPr>
          <w:rFonts w:ascii="Times New Roman" w:hAnsi="Times New Roman"/>
          <w:sz w:val="24"/>
          <w:szCs w:val="24"/>
        </w:rPr>
        <w:lastRenderedPageBreak/>
        <w:t xml:space="preserve">have had to make and must continue to make investments in order to stay competitive in the SCO market.”  </w:t>
      </w:r>
      <w:r w:rsidR="000445FE" w:rsidRPr="000445FE">
        <w:rPr>
          <w:rFonts w:ascii="Times New Roman" w:hAnsi="Times New Roman"/>
          <w:sz w:val="24"/>
          <w:szCs w:val="24"/>
        </w:rPr>
        <w:t>Id</w:t>
      </w:r>
      <w:r>
        <w:rPr>
          <w:rFonts w:ascii="Times New Roman" w:hAnsi="Times New Roman"/>
          <w:sz w:val="24"/>
          <w:szCs w:val="24"/>
        </w:rPr>
        <w:t xml:space="preserve">.  Pursuant to the Commission’s Order, SCO suppliers will be allocated 30% of the remaining non-shopping customers at exit.  Hess’ proposed reallocation methodology is consistent with the Order by properly keeping all SCO suppliers’ allocated share within the SCO portion of the initial MVR allocation.  Hess’ witness endorsed this approach </w:t>
      </w:r>
      <w:r w:rsidR="002506DD">
        <w:rPr>
          <w:rFonts w:ascii="Times New Roman" w:hAnsi="Times New Roman"/>
          <w:sz w:val="24"/>
          <w:szCs w:val="24"/>
        </w:rPr>
        <w:t xml:space="preserve">(Tr. III, at 145-147) </w:t>
      </w:r>
      <w:r>
        <w:rPr>
          <w:rFonts w:ascii="Times New Roman" w:hAnsi="Times New Roman"/>
          <w:sz w:val="24"/>
          <w:szCs w:val="24"/>
        </w:rPr>
        <w:t xml:space="preserve">and the Commission found that the “proposal submitted by Hess regarding the initial allocation to be the most persuasive and reasonable.”  </w:t>
      </w:r>
      <w:r w:rsidR="000445FE" w:rsidRPr="000445FE">
        <w:rPr>
          <w:rFonts w:ascii="Times New Roman" w:hAnsi="Times New Roman"/>
          <w:sz w:val="24"/>
          <w:szCs w:val="24"/>
        </w:rPr>
        <w:t>Id</w:t>
      </w:r>
      <w:r>
        <w:rPr>
          <w:rFonts w:ascii="Times New Roman" w:hAnsi="Times New Roman"/>
          <w:sz w:val="24"/>
          <w:szCs w:val="24"/>
        </w:rPr>
        <w:t xml:space="preserve">.  As such, the Commission, on rehearing, should explicitly provide that if an SCO supplier rejects its allocated share of non-shopping customers at exit, those rejected customers will be reallocated to the remaining SCO suppliers evenly.  </w:t>
      </w:r>
    </w:p>
    <w:p w:rsidR="00DC15EC" w:rsidRPr="003966AD" w:rsidRDefault="00DC15EC" w:rsidP="00C2709E">
      <w:pPr>
        <w:pStyle w:val="ListParagraph"/>
        <w:numPr>
          <w:ilvl w:val="0"/>
          <w:numId w:val="26"/>
        </w:numPr>
        <w:autoSpaceDE w:val="0"/>
        <w:autoSpaceDN w:val="0"/>
        <w:adjustRightInd w:val="0"/>
        <w:spacing w:after="0" w:line="240" w:lineRule="auto"/>
        <w:ind w:left="2160" w:right="634" w:hanging="720"/>
        <w:jc w:val="both"/>
        <w:rPr>
          <w:rFonts w:ascii="Times New Roman" w:hAnsi="Times New Roman"/>
          <w:b/>
          <w:i/>
          <w:sz w:val="24"/>
          <w:szCs w:val="24"/>
        </w:rPr>
      </w:pPr>
      <w:r w:rsidRPr="003966AD">
        <w:rPr>
          <w:rFonts w:ascii="Times New Roman" w:hAnsi="Times New Roman"/>
          <w:b/>
          <w:i/>
          <w:sz w:val="24"/>
          <w:szCs w:val="24"/>
        </w:rPr>
        <w:t>The Commission Should Clarify that an SCO Supplier that is Awarded an MVR Allocation Will be Able to Transfer its Allocated Customers to a Properly Registered Choice CRNGS Supplier Affiliate Immediately.</w:t>
      </w:r>
    </w:p>
    <w:p w:rsidR="00DC15EC" w:rsidRDefault="00DC15EC" w:rsidP="00091210">
      <w:pPr>
        <w:autoSpaceDE w:val="0"/>
        <w:autoSpaceDN w:val="0"/>
        <w:adjustRightInd w:val="0"/>
        <w:spacing w:after="0" w:line="240" w:lineRule="auto"/>
        <w:jc w:val="both"/>
        <w:rPr>
          <w:rFonts w:ascii="Times New Roman" w:hAnsi="Times New Roman"/>
          <w:sz w:val="24"/>
          <w:szCs w:val="24"/>
        </w:rPr>
      </w:pPr>
    </w:p>
    <w:p w:rsidR="00DC15EC" w:rsidRDefault="00DC15EC" w:rsidP="0009121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Hess respectfully requests that the Commission clarify its Order, on rehearing, to allow an SCO supplier who is awarded an MVR allocation at exit to immediately transfer its allocated share to its affiliate, so long as its affiliate is a properly-registered Choice CRNGS supplier in Columbia’s MVR program.  Participation in the SCO market does not automatically mean that the supplier will actively participate, for business reasons, in Columbia’s Choice market.  As such, the Commission should require Columbia to allow any SCO supplier to immediately transfer its allocated MVR share to a Choice affiliate.  For instance, as Hess has previously explained, Hess Corporation serves Columbia SCO tranches, while its Choice-focused, wholly-owned subsidiary, HSBS, serves non-residential Choice customers.  </w:t>
      </w:r>
      <w:r w:rsidR="002506DD">
        <w:rPr>
          <w:rFonts w:ascii="Times New Roman" w:hAnsi="Times New Roman"/>
          <w:sz w:val="24"/>
          <w:szCs w:val="24"/>
        </w:rPr>
        <w:t xml:space="preserve">Hess Ex. 1, at 1-2.  </w:t>
      </w:r>
      <w:r>
        <w:rPr>
          <w:rFonts w:ascii="Times New Roman" w:hAnsi="Times New Roman"/>
          <w:sz w:val="24"/>
          <w:szCs w:val="24"/>
        </w:rPr>
        <w:t xml:space="preserve">At exit, Hess should be allowed to transfer its allocated customers (based on its average historical SCO tranche ownership) to HSBS.  Hess is by no means advocating for an SCO supplier’s ability to </w:t>
      </w:r>
      <w:r>
        <w:rPr>
          <w:rFonts w:ascii="Times New Roman" w:hAnsi="Times New Roman"/>
          <w:sz w:val="24"/>
          <w:szCs w:val="24"/>
        </w:rPr>
        <w:lastRenderedPageBreak/>
        <w:t xml:space="preserve">transfer to extend outside of an affiliate relationship.  Nor is Hess advocating that the separately-registered affiliate should be allowed to avoid Commission licensing or Columbia registration requirements.  Instead, Hess requests that the Commission clarify that an SCO supplier can immediately transfer its allocated share to a properly-registered affiliate.  By doing so, the Commission should also make it clear that the SCO supplier will not have to </w:t>
      </w:r>
      <w:r w:rsidRPr="00F25617">
        <w:rPr>
          <w:rFonts w:ascii="Times New Roman" w:hAnsi="Times New Roman"/>
          <w:i/>
          <w:sz w:val="24"/>
          <w:szCs w:val="24"/>
        </w:rPr>
        <w:t>assign</w:t>
      </w:r>
      <w:r>
        <w:rPr>
          <w:rFonts w:ascii="Times New Roman" w:hAnsi="Times New Roman"/>
          <w:sz w:val="24"/>
          <w:szCs w:val="24"/>
        </w:rPr>
        <w:t xml:space="preserve"> the customers to its Choice supplier affiliate.  </w:t>
      </w:r>
      <w:r w:rsidR="002506DD">
        <w:rPr>
          <w:rFonts w:ascii="Times New Roman" w:hAnsi="Times New Roman"/>
          <w:sz w:val="24"/>
          <w:szCs w:val="24"/>
        </w:rPr>
        <w:t>W</w:t>
      </w:r>
      <w:r>
        <w:rPr>
          <w:rFonts w:ascii="Times New Roman" w:hAnsi="Times New Roman"/>
          <w:sz w:val="24"/>
          <w:szCs w:val="24"/>
        </w:rPr>
        <w:t>ith this clarification, Columbia would be prohibited from requiring the SCO supplier to comply with its tariff-mandated assignment requirements which could lead to a one to two billing cycle delay before the transfer is complete.  Additionally, the Commission’s clarification should make it clear that the SCO supplier seeking to transfer its allocated share would not have to comply with the Commission’s CRNGS assignment regulations for this unique and one-time transfer of customers.  Such a ruling will significantly improve the efficiency of the initial MVR allocation process and will avoid creating unnecessary administrative obstacles that will only serve to burden those SCO suppliers who, for legitimate business reasons, prefer to have separately-licensed affiliates provide Ch</w:t>
      </w:r>
      <w:r w:rsidR="00FE57EF">
        <w:rPr>
          <w:rFonts w:ascii="Times New Roman" w:hAnsi="Times New Roman"/>
          <w:sz w:val="24"/>
          <w:szCs w:val="24"/>
        </w:rPr>
        <w:t>o</w:t>
      </w:r>
      <w:r>
        <w:rPr>
          <w:rFonts w:ascii="Times New Roman" w:hAnsi="Times New Roman"/>
          <w:sz w:val="24"/>
          <w:szCs w:val="24"/>
        </w:rPr>
        <w:t>ice service.</w:t>
      </w:r>
    </w:p>
    <w:p w:rsidR="00D93BAE" w:rsidRPr="00D93BAE" w:rsidRDefault="00D93BAE" w:rsidP="00D93BAE">
      <w:pPr>
        <w:spacing w:after="0" w:line="480" w:lineRule="auto"/>
        <w:rPr>
          <w:rFonts w:ascii="Times New Roman" w:hAnsi="Times New Roman" w:cs="Times New Roman"/>
          <w:b/>
          <w:i/>
          <w:sz w:val="24"/>
          <w:szCs w:val="24"/>
        </w:rPr>
      </w:pPr>
      <w:r w:rsidRPr="00D93BAE">
        <w:rPr>
          <w:rFonts w:ascii="Times New Roman" w:hAnsi="Times New Roman" w:cs="Times New Roman"/>
          <w:b/>
          <w:i/>
          <w:sz w:val="24"/>
          <w:szCs w:val="24"/>
        </w:rPr>
        <w:t>III.</w:t>
      </w:r>
      <w:r w:rsidRPr="00D93BAE">
        <w:rPr>
          <w:rFonts w:ascii="Times New Roman" w:hAnsi="Times New Roman" w:cs="Times New Roman"/>
          <w:b/>
          <w:i/>
          <w:sz w:val="24"/>
          <w:szCs w:val="24"/>
        </w:rPr>
        <w:tab/>
      </w:r>
      <w:r w:rsidR="00FE57EF">
        <w:rPr>
          <w:rFonts w:ascii="Times New Roman" w:hAnsi="Times New Roman" w:cs="Times New Roman"/>
          <w:b/>
          <w:i/>
          <w:sz w:val="24"/>
          <w:szCs w:val="24"/>
        </w:rPr>
        <w:t xml:space="preserve">CONCLUSION </w:t>
      </w:r>
    </w:p>
    <w:p w:rsidR="00C835B8" w:rsidRDefault="00BE0EF3" w:rsidP="00C835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foregoing grounds for rehearing, Hess has demonstrated that the SCO Security Deposit is unlawful and, thus, violates the third prong of the Commission’s standard for approving partial stipulations</w:t>
      </w:r>
      <w:r w:rsidR="00C835B8">
        <w:rPr>
          <w:rFonts w:ascii="Times New Roman" w:hAnsi="Times New Roman" w:cs="Times New Roman"/>
          <w:sz w:val="24"/>
          <w:szCs w:val="24"/>
        </w:rPr>
        <w:t>, which requires that the settlement package not violate any important regulatory principle or practice</w:t>
      </w:r>
      <w:r>
        <w:rPr>
          <w:rFonts w:ascii="Times New Roman" w:hAnsi="Times New Roman" w:cs="Times New Roman"/>
          <w:sz w:val="24"/>
          <w:szCs w:val="24"/>
        </w:rPr>
        <w:t xml:space="preserve">.  </w:t>
      </w:r>
      <w:r w:rsidR="00C835B8">
        <w:rPr>
          <w:rFonts w:ascii="Times New Roman" w:hAnsi="Times New Roman" w:cs="Times New Roman"/>
          <w:sz w:val="24"/>
          <w:szCs w:val="24"/>
        </w:rPr>
        <w:t xml:space="preserve">See, e.g., </w:t>
      </w:r>
      <w:r w:rsidR="00C835B8" w:rsidRPr="00C835B8">
        <w:rPr>
          <w:rFonts w:ascii="Times New Roman" w:hAnsi="Times New Roman" w:cs="Times New Roman"/>
          <w:i/>
          <w:sz w:val="24"/>
          <w:szCs w:val="24"/>
        </w:rPr>
        <w:t>Indus. Energy Consumers of Ohio Power Co. v. Pub. Util. Comm</w:t>
      </w:r>
      <w:r w:rsidR="00C835B8">
        <w:rPr>
          <w:rFonts w:ascii="Times New Roman" w:hAnsi="Times New Roman" w:cs="Times New Roman"/>
          <w:sz w:val="24"/>
          <w:szCs w:val="24"/>
        </w:rPr>
        <w:t>. (1994), 68 Ohio St. 3d 559.  Accordingly, the Commission must reject the stipulation, or modify it by addressing the provisions relating to the SCO Security Deposit.</w:t>
      </w:r>
    </w:p>
    <w:p w:rsidR="001F4B9A" w:rsidRDefault="00C835B8" w:rsidP="00C835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1CBF">
        <w:rPr>
          <w:rFonts w:ascii="Times New Roman" w:hAnsi="Times New Roman" w:cs="Times New Roman"/>
          <w:sz w:val="24"/>
          <w:szCs w:val="24"/>
        </w:rPr>
        <w:t xml:space="preserve">Hess </w:t>
      </w:r>
      <w:r w:rsidR="00200766">
        <w:rPr>
          <w:rFonts w:ascii="Times New Roman" w:hAnsi="Times New Roman" w:cs="Times New Roman"/>
          <w:sz w:val="24"/>
          <w:szCs w:val="24"/>
        </w:rPr>
        <w:t>has steadfastly opposed</w:t>
      </w:r>
      <w:r w:rsidR="00571CBF">
        <w:rPr>
          <w:rFonts w:ascii="Times New Roman" w:hAnsi="Times New Roman" w:cs="Times New Roman"/>
          <w:sz w:val="24"/>
          <w:szCs w:val="24"/>
        </w:rPr>
        <w:t xml:space="preserve"> the </w:t>
      </w:r>
      <w:r w:rsidR="00722998">
        <w:rPr>
          <w:rFonts w:ascii="Times New Roman" w:hAnsi="Times New Roman" w:cs="Times New Roman"/>
          <w:sz w:val="24"/>
          <w:szCs w:val="24"/>
        </w:rPr>
        <w:t>adoption</w:t>
      </w:r>
      <w:r w:rsidR="00571CBF">
        <w:rPr>
          <w:rFonts w:ascii="Times New Roman" w:hAnsi="Times New Roman" w:cs="Times New Roman"/>
          <w:sz w:val="24"/>
          <w:szCs w:val="24"/>
        </w:rPr>
        <w:t xml:space="preserve"> of the SCO security charge</w:t>
      </w:r>
      <w:r w:rsidR="00200766">
        <w:rPr>
          <w:rFonts w:ascii="Times New Roman" w:hAnsi="Times New Roman" w:cs="Times New Roman"/>
          <w:sz w:val="24"/>
          <w:szCs w:val="24"/>
        </w:rPr>
        <w:t xml:space="preserve"> throughout the proceeding</w:t>
      </w:r>
      <w:r w:rsidR="00571CBF">
        <w:rPr>
          <w:rFonts w:ascii="Times New Roman" w:hAnsi="Times New Roman" w:cs="Times New Roman"/>
          <w:sz w:val="24"/>
          <w:szCs w:val="24"/>
        </w:rPr>
        <w:t xml:space="preserve"> </w:t>
      </w:r>
      <w:r w:rsidR="00D93BAE">
        <w:rPr>
          <w:rFonts w:ascii="Times New Roman" w:hAnsi="Times New Roman" w:cs="Times New Roman"/>
          <w:sz w:val="24"/>
          <w:szCs w:val="24"/>
        </w:rPr>
        <w:t xml:space="preserve">because </w:t>
      </w:r>
      <w:r w:rsidR="003B1E99">
        <w:rPr>
          <w:rFonts w:ascii="Times New Roman" w:hAnsi="Times New Roman" w:cs="Times New Roman"/>
          <w:sz w:val="24"/>
          <w:szCs w:val="24"/>
        </w:rPr>
        <w:t>(i) it will needlessly increase SCO customers’ rates; (ii) it will represent an unprecedented market interference that will have a dramatic negative impact on the competitive balance between SCO and Choice suppliers; and (iii)</w:t>
      </w:r>
      <w:r w:rsidR="00571CBF">
        <w:rPr>
          <w:rFonts w:ascii="Times New Roman" w:hAnsi="Times New Roman" w:cs="Times New Roman"/>
          <w:sz w:val="24"/>
          <w:szCs w:val="24"/>
        </w:rPr>
        <w:t xml:space="preserve"> Columbia’s current </w:t>
      </w:r>
      <w:r w:rsidR="003B1E99">
        <w:rPr>
          <w:rFonts w:ascii="Times New Roman" w:hAnsi="Times New Roman" w:cs="Times New Roman"/>
          <w:sz w:val="24"/>
          <w:szCs w:val="24"/>
        </w:rPr>
        <w:t>default</w:t>
      </w:r>
      <w:r w:rsidR="00571CBF">
        <w:rPr>
          <w:rFonts w:ascii="Times New Roman" w:hAnsi="Times New Roman" w:cs="Times New Roman"/>
          <w:sz w:val="24"/>
          <w:szCs w:val="24"/>
        </w:rPr>
        <w:t xml:space="preserve"> protections are more than sufficient to cover the very remote possibility of an SCO supplier default.  However, </w:t>
      </w:r>
      <w:r w:rsidR="00ED0CDE">
        <w:rPr>
          <w:rFonts w:ascii="Times New Roman" w:hAnsi="Times New Roman" w:cs="Times New Roman"/>
          <w:sz w:val="24"/>
          <w:szCs w:val="24"/>
        </w:rPr>
        <w:t xml:space="preserve">if the Commission still believes that a liquid account to protect against SCO supplier default is necessary, </w:t>
      </w:r>
      <w:r w:rsidR="00FE7646">
        <w:rPr>
          <w:rFonts w:ascii="Times New Roman" w:hAnsi="Times New Roman" w:cs="Times New Roman"/>
          <w:sz w:val="24"/>
          <w:szCs w:val="24"/>
        </w:rPr>
        <w:t xml:space="preserve">the Commission should consider other alternatives that </w:t>
      </w:r>
      <w:r w:rsidR="00ED0CDE">
        <w:rPr>
          <w:rFonts w:ascii="Times New Roman" w:hAnsi="Times New Roman" w:cs="Times New Roman"/>
          <w:sz w:val="24"/>
          <w:szCs w:val="24"/>
        </w:rPr>
        <w:t>will</w:t>
      </w:r>
      <w:r w:rsidR="003B1E99">
        <w:rPr>
          <w:rFonts w:ascii="Times New Roman" w:hAnsi="Times New Roman" w:cs="Times New Roman"/>
          <w:sz w:val="24"/>
          <w:szCs w:val="24"/>
        </w:rPr>
        <w:t xml:space="preserve"> allow Columbia to amass a liquid account, but </w:t>
      </w:r>
      <w:r w:rsidR="004D2577">
        <w:rPr>
          <w:rFonts w:ascii="Times New Roman" w:hAnsi="Times New Roman" w:cs="Times New Roman"/>
          <w:sz w:val="24"/>
          <w:szCs w:val="24"/>
        </w:rPr>
        <w:t xml:space="preserve">will </w:t>
      </w:r>
      <w:r w:rsidR="00FE7646">
        <w:rPr>
          <w:rFonts w:ascii="Times New Roman" w:hAnsi="Times New Roman" w:cs="Times New Roman"/>
          <w:sz w:val="24"/>
          <w:szCs w:val="24"/>
        </w:rPr>
        <w:t xml:space="preserve">have much less of an impact on SCO customers and the competitive balance between SCO and Choice suppliers.  </w:t>
      </w:r>
      <w:r w:rsidR="004D2577">
        <w:rPr>
          <w:rFonts w:ascii="Times New Roman" w:hAnsi="Times New Roman" w:cs="Times New Roman"/>
          <w:sz w:val="24"/>
          <w:szCs w:val="24"/>
        </w:rPr>
        <w:t>Instead, Hess suggests that</w:t>
      </w:r>
      <w:r w:rsidR="00ED0CDE">
        <w:rPr>
          <w:rFonts w:ascii="Times New Roman" w:hAnsi="Times New Roman" w:cs="Times New Roman"/>
          <w:sz w:val="24"/>
          <w:szCs w:val="24"/>
        </w:rPr>
        <w:t xml:space="preserve"> the </w:t>
      </w:r>
      <w:r w:rsidR="00FE7646">
        <w:rPr>
          <w:rFonts w:ascii="Times New Roman" w:hAnsi="Times New Roman" w:cs="Times New Roman"/>
          <w:sz w:val="24"/>
          <w:szCs w:val="24"/>
        </w:rPr>
        <w:t>Commission order that</w:t>
      </w:r>
      <w:r w:rsidR="00571CBF">
        <w:rPr>
          <w:rFonts w:ascii="Times New Roman" w:hAnsi="Times New Roman" w:cs="Times New Roman"/>
          <w:sz w:val="24"/>
          <w:szCs w:val="24"/>
        </w:rPr>
        <w:t xml:space="preserve"> the $0.06/Mcf charge to SCO </w:t>
      </w:r>
      <w:r w:rsidR="009F051D">
        <w:rPr>
          <w:rFonts w:ascii="Times New Roman" w:hAnsi="Times New Roman" w:cs="Times New Roman"/>
          <w:sz w:val="24"/>
          <w:szCs w:val="24"/>
        </w:rPr>
        <w:t>suppliers</w:t>
      </w:r>
      <w:r w:rsidR="00571CBF">
        <w:rPr>
          <w:rFonts w:ascii="Times New Roman" w:hAnsi="Times New Roman" w:cs="Times New Roman"/>
          <w:sz w:val="24"/>
          <w:szCs w:val="24"/>
        </w:rPr>
        <w:t xml:space="preserve"> be </w:t>
      </w:r>
      <w:r w:rsidR="00571CBF" w:rsidRPr="00983F57">
        <w:rPr>
          <w:rFonts w:ascii="Times New Roman" w:hAnsi="Times New Roman" w:cs="Times New Roman"/>
          <w:i/>
          <w:sz w:val="24"/>
          <w:szCs w:val="24"/>
        </w:rPr>
        <w:t>refundable</w:t>
      </w:r>
      <w:r w:rsidR="00571CBF">
        <w:rPr>
          <w:rFonts w:ascii="Times New Roman" w:hAnsi="Times New Roman" w:cs="Times New Roman"/>
          <w:sz w:val="24"/>
          <w:szCs w:val="24"/>
        </w:rPr>
        <w:t>.  If there is no SCO supplier default during the SCO Program Year, th</w:t>
      </w:r>
      <w:r w:rsidR="009877B5">
        <w:rPr>
          <w:rFonts w:ascii="Times New Roman" w:hAnsi="Times New Roman" w:cs="Times New Roman"/>
          <w:sz w:val="24"/>
          <w:szCs w:val="24"/>
        </w:rPr>
        <w:t>e</w:t>
      </w:r>
      <w:r w:rsidR="00571CBF">
        <w:rPr>
          <w:rFonts w:ascii="Times New Roman" w:hAnsi="Times New Roman" w:cs="Times New Roman"/>
          <w:sz w:val="24"/>
          <w:szCs w:val="24"/>
        </w:rPr>
        <w:t>n the funds accumulated from each winning SCO supplier should be returned.</w:t>
      </w:r>
      <w:r w:rsidR="004D2577">
        <w:rPr>
          <w:rStyle w:val="FootnoteReference"/>
          <w:rFonts w:ascii="Times New Roman" w:hAnsi="Times New Roman" w:cs="Times New Roman"/>
          <w:sz w:val="24"/>
          <w:szCs w:val="24"/>
        </w:rPr>
        <w:footnoteReference w:id="12"/>
      </w:r>
      <w:r w:rsidR="00571CBF">
        <w:rPr>
          <w:rFonts w:ascii="Times New Roman" w:hAnsi="Times New Roman" w:cs="Times New Roman"/>
          <w:sz w:val="24"/>
          <w:szCs w:val="24"/>
        </w:rPr>
        <w:t xml:space="preserve">  Such a result would greatly decrease the financial impact of the SCO security charge on SCO </w:t>
      </w:r>
      <w:r w:rsidR="00FE7646">
        <w:rPr>
          <w:rFonts w:ascii="Times New Roman" w:hAnsi="Times New Roman" w:cs="Times New Roman"/>
          <w:sz w:val="24"/>
          <w:szCs w:val="24"/>
        </w:rPr>
        <w:t>custom</w:t>
      </w:r>
      <w:bookmarkStart w:id="0" w:name="_GoBack"/>
      <w:bookmarkEnd w:id="0"/>
      <w:r w:rsidR="00FE7646">
        <w:rPr>
          <w:rFonts w:ascii="Times New Roman" w:hAnsi="Times New Roman" w:cs="Times New Roman"/>
          <w:sz w:val="24"/>
          <w:szCs w:val="24"/>
        </w:rPr>
        <w:t>ers</w:t>
      </w:r>
      <w:r w:rsidR="00571CBF">
        <w:rPr>
          <w:rFonts w:ascii="Times New Roman" w:hAnsi="Times New Roman" w:cs="Times New Roman"/>
          <w:sz w:val="24"/>
          <w:szCs w:val="24"/>
        </w:rPr>
        <w:t xml:space="preserve"> and substantially mitigate the disruptive effect the charge has on the competitive balance between SCO and Choice suppliers.</w:t>
      </w:r>
    </w:p>
    <w:p w:rsidR="009F051D" w:rsidRDefault="009F051D" w:rsidP="009F05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upon the foregoing, Hess respectfully requests that its Application for Rehearing be granted</w:t>
      </w:r>
      <w:r w:rsidR="005E70F9">
        <w:rPr>
          <w:rFonts w:ascii="Times New Roman" w:hAnsi="Times New Roman" w:cs="Times New Roman"/>
          <w:sz w:val="24"/>
          <w:szCs w:val="24"/>
        </w:rPr>
        <w:t xml:space="preserve"> and, specifically:</w:t>
      </w:r>
    </w:p>
    <w:p w:rsidR="006133AD" w:rsidRDefault="006133AD" w:rsidP="006133AD">
      <w:pPr>
        <w:pStyle w:val="ListParagraph"/>
        <w:numPr>
          <w:ilvl w:val="0"/>
          <w:numId w:val="18"/>
        </w:numPr>
        <w:spacing w:after="0" w:line="240" w:lineRule="auto"/>
        <w:ind w:left="1440" w:right="1350" w:hanging="720"/>
        <w:jc w:val="both"/>
        <w:rPr>
          <w:rFonts w:ascii="Times New Roman" w:hAnsi="Times New Roman"/>
          <w:sz w:val="24"/>
          <w:szCs w:val="24"/>
        </w:rPr>
      </w:pPr>
      <w:r w:rsidRPr="00FE57EF">
        <w:rPr>
          <w:rFonts w:ascii="Times New Roman" w:hAnsi="Times New Roman"/>
          <w:sz w:val="24"/>
          <w:szCs w:val="24"/>
        </w:rPr>
        <w:t xml:space="preserve">Reject the $0.06/Mcf SCO Security Deposit; or </w:t>
      </w:r>
      <w:r>
        <w:rPr>
          <w:rFonts w:ascii="Times New Roman" w:hAnsi="Times New Roman"/>
          <w:sz w:val="24"/>
          <w:szCs w:val="24"/>
        </w:rPr>
        <w:t>a</w:t>
      </w:r>
      <w:r w:rsidRPr="00FE57EF">
        <w:rPr>
          <w:rFonts w:ascii="Times New Roman" w:hAnsi="Times New Roman"/>
          <w:sz w:val="24"/>
          <w:szCs w:val="24"/>
        </w:rPr>
        <w:t>lternatively, make the $0.06/Mcf SCO Security Deposit refundable and return to SCO suppliers, with interest, all balances not used for purposes of SCO supplier default during the course of the SCO Program Year.</w:t>
      </w:r>
    </w:p>
    <w:p w:rsidR="006133AD" w:rsidRDefault="006133AD" w:rsidP="006133AD">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Adopt a 0.5 Percent Allocation Threshold Consistent with this Application for Rehearing.</w:t>
      </w:r>
    </w:p>
    <w:p w:rsidR="006133AD" w:rsidRPr="00FE57EF" w:rsidRDefault="006133AD" w:rsidP="006133AD">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 xml:space="preserve">Clarify Certain Aspects of the MVR Allocation Methodology Consistent with this Application for Rehearing. </w:t>
      </w:r>
    </w:p>
    <w:p w:rsidR="006133AD" w:rsidRDefault="006133AD" w:rsidP="009F051D">
      <w:pPr>
        <w:spacing w:after="0" w:line="480" w:lineRule="auto"/>
        <w:ind w:firstLine="720"/>
        <w:jc w:val="both"/>
        <w:rPr>
          <w:rFonts w:ascii="Times New Roman" w:hAnsi="Times New Roman" w:cs="Times New Roman"/>
          <w:sz w:val="24"/>
          <w:szCs w:val="24"/>
        </w:rPr>
      </w:pPr>
    </w:p>
    <w:p w:rsidR="009F051D" w:rsidRDefault="009F051D" w:rsidP="00F94F41">
      <w:pPr>
        <w:spacing w:after="0" w:line="480" w:lineRule="auto"/>
        <w:jc w:val="both"/>
        <w:rPr>
          <w:rFonts w:ascii="Times New Roman" w:hAnsi="Times New Roman" w:cs="Times New Roman"/>
          <w:sz w:val="24"/>
          <w:szCs w:val="24"/>
        </w:rPr>
      </w:pPr>
    </w:p>
    <w:p w:rsidR="009F051D" w:rsidRPr="009F051D" w:rsidRDefault="009F051D" w:rsidP="009F051D">
      <w:pPr>
        <w:widowControl w:val="0"/>
        <w:spacing w:line="240" w:lineRule="auto"/>
        <w:ind w:firstLine="4770"/>
        <w:jc w:val="both"/>
        <w:rPr>
          <w:rFonts w:ascii="Times New Roman" w:hAnsi="Times New Roman" w:cs="Times New Roman"/>
          <w:sz w:val="24"/>
          <w:szCs w:val="24"/>
        </w:rPr>
      </w:pPr>
      <w:r w:rsidRPr="009F051D">
        <w:rPr>
          <w:rFonts w:ascii="Times New Roman" w:hAnsi="Times New Roman" w:cs="Times New Roman"/>
          <w:sz w:val="24"/>
          <w:szCs w:val="24"/>
        </w:rPr>
        <w:t>Respectfully submitted,</w:t>
      </w:r>
    </w:p>
    <w:p w:rsidR="009F051D" w:rsidRPr="009F051D" w:rsidRDefault="009F051D" w:rsidP="009F051D">
      <w:pPr>
        <w:widowControl w:val="0"/>
        <w:spacing w:line="240" w:lineRule="auto"/>
        <w:ind w:firstLine="4770"/>
        <w:jc w:val="both"/>
        <w:rPr>
          <w:rFonts w:ascii="Times New Roman" w:hAnsi="Times New Roman" w:cs="Times New Roman"/>
          <w:sz w:val="24"/>
          <w:szCs w:val="24"/>
        </w:rPr>
      </w:pPr>
    </w:p>
    <w:p w:rsidR="00A96B58" w:rsidRDefault="00A96B58" w:rsidP="006133AD">
      <w:pPr>
        <w:tabs>
          <w:tab w:val="left" w:pos="342"/>
        </w:tabs>
        <w:spacing w:after="0" w:line="240" w:lineRule="auto"/>
        <w:ind w:left="4770" w:right="-360"/>
        <w:rPr>
          <w:rFonts w:ascii="Times New Roman" w:hAnsi="Times New Roman" w:cs="Times New Roman"/>
          <w:sz w:val="24"/>
          <w:szCs w:val="24"/>
        </w:rPr>
      </w:pPr>
      <w:r w:rsidRPr="00A96B58">
        <w:rPr>
          <w:rFonts w:ascii="Times New Roman" w:hAnsi="Times New Roman" w:cs="Times New Roman"/>
          <w:sz w:val="24"/>
          <w:szCs w:val="24"/>
          <w:u w:val="single"/>
        </w:rPr>
        <w:t>/s/ Dane Stinson</w:t>
      </w:r>
      <w:r w:rsidRPr="00A96B58">
        <w:rPr>
          <w:rFonts w:ascii="Times New Roman" w:hAnsi="Times New Roman" w:cs="Times New Roman"/>
          <w:b/>
          <w:sz w:val="24"/>
          <w:szCs w:val="24"/>
          <w:u w:val="single"/>
        </w:rPr>
        <w:t>_______________</w:t>
      </w:r>
    </w:p>
    <w:p w:rsidR="009F051D" w:rsidRPr="009F051D" w:rsidRDefault="009F051D" w:rsidP="006133AD">
      <w:pPr>
        <w:tabs>
          <w:tab w:val="left" w:pos="342"/>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Dane Stinson</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BAILEY CAVALIERI LLC</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10 West Broad Street, Suite 2100</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Columbus, Ohio 43215</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221-3155 (telephone)</w:t>
      </w:r>
      <w:r w:rsidRPr="009F051D">
        <w:rPr>
          <w:rFonts w:ascii="Times New Roman" w:hAnsi="Times New Roman" w:cs="Times New Roman"/>
          <w:sz w:val="24"/>
          <w:szCs w:val="24"/>
        </w:rPr>
        <w:tab/>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221-0479 (fax)</w:t>
      </w:r>
    </w:p>
    <w:p w:rsidR="009F051D" w:rsidRPr="009F051D" w:rsidRDefault="009F051D" w:rsidP="006133AD">
      <w:pPr>
        <w:pStyle w:val="TxBrp12"/>
        <w:spacing w:line="240" w:lineRule="auto"/>
        <w:ind w:left="4766" w:right="-360" w:firstLine="0"/>
      </w:pPr>
      <w:r w:rsidRPr="009F051D">
        <w:t>Dane.Stinson@BaileyCavalieri.com</w:t>
      </w:r>
    </w:p>
    <w:p w:rsidR="009F051D" w:rsidRPr="009F051D" w:rsidRDefault="009F051D" w:rsidP="009F051D">
      <w:pPr>
        <w:pStyle w:val="BodyText"/>
        <w:spacing w:before="120" w:after="0"/>
        <w:ind w:left="4766" w:right="-360" w:firstLine="0"/>
        <w:rPr>
          <w:szCs w:val="24"/>
        </w:rPr>
      </w:pPr>
      <w:r w:rsidRPr="009F051D">
        <w:rPr>
          <w:szCs w:val="24"/>
        </w:rPr>
        <w:t>Attorney for Hess Corporation</w:t>
      </w:r>
    </w:p>
    <w:p w:rsidR="009F051D" w:rsidRPr="009F051D" w:rsidRDefault="009F051D" w:rsidP="009F051D">
      <w:pPr>
        <w:pStyle w:val="BodyText"/>
        <w:spacing w:before="120" w:after="0"/>
        <w:ind w:right="-360" w:firstLine="0"/>
        <w:jc w:val="center"/>
        <w:rPr>
          <w:b/>
          <w:szCs w:val="24"/>
          <w:u w:val="single"/>
        </w:rPr>
      </w:pPr>
      <w:r w:rsidRPr="009F051D">
        <w:rPr>
          <w:szCs w:val="24"/>
        </w:rPr>
        <w:br w:type="page"/>
      </w:r>
      <w:r w:rsidRPr="009F051D">
        <w:rPr>
          <w:b/>
          <w:szCs w:val="24"/>
          <w:u w:val="single"/>
        </w:rPr>
        <w:lastRenderedPageBreak/>
        <w:t>CERTIFICATE OF SERVICE</w:t>
      </w:r>
    </w:p>
    <w:p w:rsidR="009F051D" w:rsidRPr="009F051D" w:rsidRDefault="009F051D" w:rsidP="009F051D">
      <w:pPr>
        <w:pStyle w:val="BodyText"/>
        <w:spacing w:before="240"/>
        <w:jc w:val="both"/>
        <w:rPr>
          <w:szCs w:val="24"/>
        </w:rPr>
      </w:pPr>
      <w:r w:rsidRPr="009F051D">
        <w:rPr>
          <w:szCs w:val="24"/>
        </w:rPr>
        <w:t xml:space="preserve">The undersigned hereby certifies that a true and accurate copy of the foregoing </w:t>
      </w:r>
      <w:r w:rsidR="00A7738F">
        <w:rPr>
          <w:szCs w:val="24"/>
        </w:rPr>
        <w:t xml:space="preserve">Hess Corporation’s Application for Rehearing </w:t>
      </w:r>
      <w:r w:rsidRPr="009F051D">
        <w:rPr>
          <w:szCs w:val="24"/>
        </w:rPr>
        <w:t xml:space="preserve">was served by </w:t>
      </w:r>
      <w:r w:rsidR="00AE44FA">
        <w:rPr>
          <w:szCs w:val="24"/>
        </w:rPr>
        <w:t xml:space="preserve">email </w:t>
      </w:r>
      <w:r w:rsidR="00983F57">
        <w:rPr>
          <w:szCs w:val="24"/>
        </w:rPr>
        <w:t>o</w:t>
      </w:r>
      <w:r w:rsidR="00AE44FA">
        <w:rPr>
          <w:szCs w:val="24"/>
        </w:rPr>
        <w:t>n</w:t>
      </w:r>
      <w:r w:rsidR="00983F57">
        <w:rPr>
          <w:szCs w:val="24"/>
        </w:rPr>
        <w:t xml:space="preserve"> the</w:t>
      </w:r>
      <w:r w:rsidR="00A7738F">
        <w:rPr>
          <w:szCs w:val="24"/>
        </w:rPr>
        <w:t xml:space="preserve"> following</w:t>
      </w:r>
      <w:r w:rsidR="00983F57">
        <w:rPr>
          <w:szCs w:val="24"/>
        </w:rPr>
        <w:t xml:space="preserve"> parties of record</w:t>
      </w:r>
      <w:r w:rsidRPr="009F051D">
        <w:rPr>
          <w:szCs w:val="24"/>
        </w:rPr>
        <w:t xml:space="preserve"> this </w:t>
      </w:r>
      <w:r w:rsidR="00983F57">
        <w:rPr>
          <w:szCs w:val="24"/>
        </w:rPr>
        <w:t>8</w:t>
      </w:r>
      <w:r w:rsidR="00983F57" w:rsidRPr="00983F57">
        <w:rPr>
          <w:szCs w:val="24"/>
          <w:vertAlign w:val="superscript"/>
        </w:rPr>
        <w:t>th</w:t>
      </w:r>
      <w:r w:rsidR="00983F57">
        <w:rPr>
          <w:szCs w:val="24"/>
        </w:rPr>
        <w:t xml:space="preserve"> </w:t>
      </w:r>
      <w:r w:rsidRPr="009F051D">
        <w:rPr>
          <w:szCs w:val="24"/>
        </w:rPr>
        <w:t xml:space="preserve">day of </w:t>
      </w:r>
      <w:r w:rsidR="00983F57">
        <w:rPr>
          <w:szCs w:val="24"/>
        </w:rPr>
        <w:t>February, 2013</w:t>
      </w:r>
      <w:r w:rsidRPr="009F051D">
        <w:rPr>
          <w:szCs w:val="24"/>
        </w:rPr>
        <w:t xml:space="preserve">.  </w:t>
      </w:r>
    </w:p>
    <w:p w:rsidR="009F051D" w:rsidRPr="009F051D" w:rsidRDefault="009F051D" w:rsidP="009F051D">
      <w:pPr>
        <w:pStyle w:val="BodyText"/>
        <w:rPr>
          <w:szCs w:val="24"/>
        </w:rPr>
      </w:pPr>
    </w:p>
    <w:p w:rsidR="00A7738F" w:rsidRPr="00C2709E" w:rsidRDefault="00A7738F" w:rsidP="00C2709E">
      <w:pPr>
        <w:pStyle w:val="Signature"/>
        <w:ind w:left="4770"/>
        <w:rPr>
          <w:szCs w:val="24"/>
          <w:u w:val="single"/>
        </w:rPr>
      </w:pPr>
      <w:r w:rsidRPr="00C2709E">
        <w:rPr>
          <w:szCs w:val="24"/>
          <w:u w:val="single"/>
        </w:rPr>
        <w:t>/s/ Dane Stinson</w:t>
      </w:r>
      <w:r w:rsidRPr="00C2709E">
        <w:rPr>
          <w:b/>
          <w:szCs w:val="24"/>
          <w:u w:val="single"/>
        </w:rPr>
        <w:t>_______________</w:t>
      </w:r>
    </w:p>
    <w:p w:rsidR="00C2709E" w:rsidRPr="00C2709E" w:rsidRDefault="00C2709E" w:rsidP="00C2709E">
      <w:pPr>
        <w:tabs>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051D" w:rsidRPr="00C2709E">
        <w:rPr>
          <w:rFonts w:ascii="Times New Roman" w:hAnsi="Times New Roman" w:cs="Times New Roman"/>
          <w:sz w:val="24"/>
          <w:szCs w:val="24"/>
        </w:rPr>
        <w:t>Dane Stinson</w:t>
      </w:r>
    </w:p>
    <w:p w:rsidR="00C2709E" w:rsidRPr="00C2709E" w:rsidRDefault="00C2709E" w:rsidP="00C2709E">
      <w:pPr>
        <w:pStyle w:val="Signature"/>
        <w:rPr>
          <w:szCs w:val="24"/>
        </w:rPr>
      </w:pPr>
    </w:p>
    <w:p w:rsidR="00C2709E" w:rsidRPr="00C2709E" w:rsidRDefault="00C2709E" w:rsidP="00C2709E">
      <w:pPr>
        <w:pStyle w:val="Signature"/>
        <w:rPr>
          <w:szCs w:val="24"/>
        </w:rPr>
      </w:pPr>
    </w:p>
    <w:tbl>
      <w:tblPr>
        <w:tblW w:w="0" w:type="auto"/>
        <w:tblLook w:val="01E0"/>
      </w:tblPr>
      <w:tblGrid>
        <w:gridCol w:w="4401"/>
        <w:gridCol w:w="4455"/>
      </w:tblGrid>
      <w:tr w:rsidR="00C2709E" w:rsidRPr="00C2709E" w:rsidTr="00AE44FA">
        <w:tc>
          <w:tcPr>
            <w:tcW w:w="4401" w:type="dxa"/>
          </w:tcPr>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 xml:space="preserve">Stephen B. Seiple (Counsel of Record), </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Assistant General Counsel</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Brooke E. Leslie, Counsel</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200 Civic Center Drive</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P. O. Box 117</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Columbus, Ohio 43216-0117</w:t>
            </w:r>
          </w:p>
          <w:p w:rsidR="00C2709E" w:rsidRPr="00C2709E" w:rsidRDefault="00C2709E" w:rsidP="00C2709E">
            <w:pPr>
              <w:keepNext/>
              <w:tabs>
                <w:tab w:val="right" w:pos="6840"/>
              </w:tabs>
              <w:spacing w:after="0" w:line="240" w:lineRule="auto"/>
              <w:rPr>
                <w:rFonts w:ascii="Times New Roman" w:hAnsi="Times New Roman" w:cs="Times New Roman"/>
                <w:sz w:val="24"/>
                <w:szCs w:val="24"/>
              </w:rPr>
            </w:pPr>
            <w:r w:rsidRPr="00C2709E">
              <w:rPr>
                <w:rFonts w:ascii="Times New Roman" w:hAnsi="Times New Roman" w:cs="Times New Roman"/>
                <w:sz w:val="24"/>
                <w:szCs w:val="24"/>
              </w:rPr>
              <w:t>sseiple@nisource.com</w:t>
            </w:r>
          </w:p>
          <w:p w:rsidR="00C2709E" w:rsidRPr="00C2709E" w:rsidRDefault="00C2709E" w:rsidP="00C2709E">
            <w:pPr>
              <w:keepNext/>
              <w:tabs>
                <w:tab w:val="right" w:pos="6840"/>
              </w:tabs>
              <w:spacing w:after="0" w:line="240" w:lineRule="auto"/>
              <w:rPr>
                <w:rFonts w:ascii="Times New Roman" w:hAnsi="Times New Roman" w:cs="Times New Roman"/>
                <w:sz w:val="24"/>
                <w:szCs w:val="24"/>
              </w:rPr>
            </w:pPr>
            <w:r w:rsidRPr="00C2709E">
              <w:rPr>
                <w:rFonts w:ascii="Times New Roman" w:hAnsi="Times New Roman" w:cs="Times New Roman"/>
                <w:sz w:val="24"/>
                <w:szCs w:val="24"/>
              </w:rPr>
              <w:t>bleslie@nisource.com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Daniel R. Conway</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Eric B. Gallon</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Porter Wright Morris &amp; Arthur LLP</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Huntington Center</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41 South High Street</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Columbus, Ohio  43215</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Email:</w:t>
            </w:r>
            <w:r w:rsidRPr="00C2709E">
              <w:rPr>
                <w:rFonts w:ascii="Times New Roman" w:hAnsi="Times New Roman" w:cs="Times New Roman"/>
                <w:sz w:val="24"/>
                <w:szCs w:val="24"/>
              </w:rPr>
              <w:tab/>
              <w:t>dconway@porterwright.com</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egallon@porterwright.com</w:t>
            </w:r>
          </w:p>
          <w:p w:rsidR="00C2709E" w:rsidRPr="00C2709E" w:rsidRDefault="00C2709E" w:rsidP="00C2709E">
            <w:pPr>
              <w:spacing w:after="0" w:line="240" w:lineRule="auto"/>
              <w:jc w:val="both"/>
              <w:rPr>
                <w:rFonts w:ascii="Times New Roman" w:hAnsi="Times New Roman" w:cs="Times New Roman"/>
                <w:sz w:val="24"/>
                <w:szCs w:val="24"/>
              </w:rPr>
            </w:pP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 Howard Petricoff</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Vorys, Sater, Seymour and Pease LLP</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52 East Gay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P.O. Box 1008</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 43216-1008</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mhpetricoff@vorys.com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Stephen Reilly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Assistant Attorney General,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Public Utilities Section</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Ohio Attorney General Mike DeWine</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180 East Broad Street, 6th Floor</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43215-3793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stephen.reilly@puc.state.oh.us</w:t>
            </w:r>
          </w:p>
          <w:p w:rsidR="00C2709E" w:rsidRPr="00C2709E" w:rsidRDefault="00C2709E" w:rsidP="00C2709E">
            <w:pPr>
              <w:spacing w:after="0" w:line="240" w:lineRule="auto"/>
              <w:jc w:val="both"/>
              <w:rPr>
                <w:rFonts w:ascii="Times New Roman" w:hAnsi="Times New Roman" w:cs="Times New Roman"/>
                <w:sz w:val="24"/>
                <w:szCs w:val="24"/>
              </w:rPr>
            </w:pPr>
          </w:p>
        </w:tc>
      </w:tr>
      <w:tr w:rsidR="00C2709E" w:rsidRPr="00C2709E" w:rsidTr="00AE44FA">
        <w:tc>
          <w:tcPr>
            <w:tcW w:w="4401" w:type="dxa"/>
          </w:tcPr>
          <w:p w:rsidR="00C2709E" w:rsidRPr="00C2709E" w:rsidRDefault="00C2709E" w:rsidP="00C2709E">
            <w:pPr>
              <w:spacing w:after="0" w:line="240" w:lineRule="auto"/>
              <w:rPr>
                <w:rFonts w:ascii="Times New Roman" w:hAnsi="Times New Roman" w:cs="Times New Roman"/>
                <w:sz w:val="24"/>
                <w:szCs w:val="24"/>
              </w:rPr>
            </w:pPr>
            <w:r w:rsidRPr="00C2709E">
              <w:rPr>
                <w:rFonts w:ascii="Times New Roman" w:hAnsi="Times New Roman" w:cs="Times New Roman"/>
                <w:sz w:val="24"/>
                <w:szCs w:val="24"/>
              </w:rPr>
              <w:t>Barth E. Royer</w:t>
            </w:r>
            <w:r w:rsidRPr="00C2709E">
              <w:rPr>
                <w:rFonts w:ascii="Times New Roman" w:hAnsi="Times New Roman" w:cs="Times New Roman"/>
                <w:sz w:val="24"/>
                <w:szCs w:val="24"/>
              </w:rPr>
              <w:br/>
              <w:t>Bell &amp; Royer Co., LPA</w:t>
            </w:r>
            <w:r w:rsidRPr="00C2709E">
              <w:rPr>
                <w:rFonts w:ascii="Times New Roman" w:hAnsi="Times New Roman" w:cs="Times New Roman"/>
                <w:sz w:val="24"/>
                <w:szCs w:val="24"/>
              </w:rPr>
              <w:br/>
              <w:t>33 South Grant Avenue</w:t>
            </w:r>
            <w:r w:rsidRPr="00C2709E">
              <w:rPr>
                <w:rFonts w:ascii="Times New Roman" w:hAnsi="Times New Roman" w:cs="Times New Roman"/>
                <w:sz w:val="24"/>
                <w:szCs w:val="24"/>
              </w:rPr>
              <w:br/>
              <w:t>Columbus, Ohio 43215-3927</w:t>
            </w:r>
            <w:r w:rsidRPr="00C2709E">
              <w:rPr>
                <w:rFonts w:ascii="Times New Roman" w:hAnsi="Times New Roman" w:cs="Times New Roman"/>
                <w:sz w:val="24"/>
                <w:szCs w:val="24"/>
              </w:rPr>
              <w:br/>
              <w:t>BarthRoyer@aol.com</w:t>
            </w:r>
          </w:p>
          <w:p w:rsidR="00C2709E" w:rsidRPr="00C2709E" w:rsidRDefault="00C2709E" w:rsidP="00C2709E">
            <w:pPr>
              <w:spacing w:after="0" w:line="240" w:lineRule="auto"/>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pacing w:val="-12"/>
                <w:sz w:val="24"/>
                <w:szCs w:val="24"/>
              </w:rPr>
            </w:pP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 Brian McIntosh</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McIntosh &amp; McIntosh</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1136 Saint Gregory Street, Suite 100</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Cincinnati, Ohio 45202</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brian@mcintoshlaw.com</w:t>
            </w:r>
          </w:p>
          <w:p w:rsidR="00C2709E" w:rsidRPr="00C2709E" w:rsidRDefault="00C2709E" w:rsidP="00C2709E">
            <w:pPr>
              <w:spacing w:after="0" w:line="240" w:lineRule="auto"/>
              <w:jc w:val="both"/>
              <w:rPr>
                <w:rFonts w:ascii="Times New Roman" w:hAnsi="Times New Roman" w:cs="Times New Roman"/>
                <w:b/>
                <w:caps/>
                <w:spacing w:val="-12"/>
                <w:sz w:val="24"/>
                <w:szCs w:val="24"/>
              </w:rPr>
            </w:pPr>
          </w:p>
        </w:tc>
      </w:tr>
    </w:tbl>
    <w:p w:rsidR="00C2709E" w:rsidRPr="00C2709E" w:rsidRDefault="00C2709E" w:rsidP="00C2709E">
      <w:pPr>
        <w:spacing w:after="0" w:line="240" w:lineRule="auto"/>
        <w:rPr>
          <w:rFonts w:ascii="Times New Roman" w:hAnsi="Times New Roman" w:cs="Times New Roman"/>
          <w:sz w:val="24"/>
          <w:szCs w:val="24"/>
        </w:rPr>
      </w:pPr>
      <w:r w:rsidRPr="00C2709E">
        <w:rPr>
          <w:rFonts w:ascii="Times New Roman" w:hAnsi="Times New Roman" w:cs="Times New Roman"/>
          <w:sz w:val="24"/>
          <w:szCs w:val="24"/>
        </w:rPr>
        <w:br w:type="page"/>
      </w:r>
    </w:p>
    <w:tbl>
      <w:tblPr>
        <w:tblW w:w="0" w:type="auto"/>
        <w:tblLook w:val="01E0"/>
      </w:tblPr>
      <w:tblGrid>
        <w:gridCol w:w="4401"/>
        <w:gridCol w:w="4455"/>
      </w:tblGrid>
      <w:tr w:rsidR="00C2709E" w:rsidRPr="00C2709E" w:rsidTr="00AE44FA">
        <w:tc>
          <w:tcPr>
            <w:tcW w:w="4401"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lastRenderedPageBreak/>
              <w:t>Larry S. Sauer</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Joseph P. Serio</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Assistant Consumers’ Counsel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Office of the Ohio Consumers’ Counsel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10 West Broad Street, Suite 1800</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43215-3485</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sauer@occ.state.oh.us</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serio@occ.state.oh.us</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Glenn S. Krassen</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Bricker &amp; Eckler LLP</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1001 Lakeside Ave. East, Suite 1350</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Cleveland, Ohio 44114</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gkrassen@bricker.com</w:t>
            </w:r>
          </w:p>
          <w:p w:rsidR="00C2709E" w:rsidRPr="00C2709E" w:rsidRDefault="00C2709E" w:rsidP="00C2709E">
            <w:pPr>
              <w:adjustRightInd w:val="0"/>
              <w:spacing w:after="0" w:line="240" w:lineRule="auto"/>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Matthew W. Warnock</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Bricker &amp; Eckler LLP</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100 S. Third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w:t>
            </w:r>
          </w:p>
          <w:p w:rsidR="00C2709E" w:rsidRPr="00C2709E" w:rsidRDefault="00C2709E" w:rsidP="00C2709E">
            <w:pPr>
              <w:spacing w:after="0" w:line="240" w:lineRule="auto"/>
              <w:jc w:val="both"/>
              <w:rPr>
                <w:rFonts w:ascii="Times New Roman" w:hAnsi="Times New Roman" w:cs="Times New Roman"/>
                <w:b/>
                <w:caps/>
                <w:spacing w:val="-12"/>
                <w:sz w:val="24"/>
                <w:szCs w:val="24"/>
              </w:rPr>
            </w:pPr>
            <w:r w:rsidRPr="00C2709E">
              <w:rPr>
                <w:rFonts w:ascii="Times New Roman" w:hAnsi="Times New Roman" w:cs="Times New Roman"/>
                <w:sz w:val="24"/>
                <w:szCs w:val="24"/>
              </w:rPr>
              <w:t>mwarnock@bricker.com</w:t>
            </w: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Dave Rinebolt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Colleen Mooney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Ohio Partners for Affordable Energy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231 West Lima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P.O. Box 1793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Findlay, OH 45839-1793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drinebolt@ohiopartners.org</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cmooney@ohiopartners.org</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Matthew White</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6100 Emerald Parkway</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Dublin, Ohio 43016</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mswhite@igsenergy.com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 Anthony Long</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Honda of America Mfg., Inc.</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24000 Honda Parkway</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Marysville, Ohio 43040</w:t>
            </w:r>
          </w:p>
          <w:p w:rsidR="00C2709E" w:rsidRPr="00C2709E" w:rsidRDefault="00C2709E" w:rsidP="00C2709E">
            <w:pPr>
              <w:pStyle w:val="Signature"/>
              <w:ind w:left="0"/>
              <w:rPr>
                <w:szCs w:val="24"/>
              </w:rPr>
            </w:pPr>
            <w:r w:rsidRPr="00C2709E">
              <w:rPr>
                <w:szCs w:val="24"/>
              </w:rPr>
              <w:t>Tony_long@ham.honda.com</w:t>
            </w:r>
          </w:p>
          <w:p w:rsidR="00C2709E" w:rsidRPr="00C2709E" w:rsidRDefault="00C2709E" w:rsidP="00C2709E">
            <w:pPr>
              <w:spacing w:after="0" w:line="240" w:lineRule="auto"/>
              <w:jc w:val="both"/>
              <w:rPr>
                <w:rFonts w:ascii="Times New Roman" w:hAnsi="Times New Roman" w:cs="Times New Roman"/>
                <w:sz w:val="24"/>
                <w:szCs w:val="24"/>
              </w:rPr>
            </w:pPr>
          </w:p>
        </w:tc>
      </w:tr>
      <w:tr w:rsidR="00C2709E" w:rsidRPr="00C2709E" w:rsidTr="00AE44FA">
        <w:tc>
          <w:tcPr>
            <w:tcW w:w="4401" w:type="dxa"/>
          </w:tcPr>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John L. Einstein, IV</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790 Windmiller Drive</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Pickerington, OH 43147</w:t>
            </w:r>
          </w:p>
          <w:p w:rsidR="00C2709E" w:rsidRPr="00C2709E" w:rsidRDefault="002236D7" w:rsidP="00C2709E">
            <w:pPr>
              <w:adjustRightInd w:val="0"/>
              <w:spacing w:after="0" w:line="240" w:lineRule="auto"/>
              <w:rPr>
                <w:rFonts w:ascii="Times New Roman" w:hAnsi="Times New Roman" w:cs="Times New Roman"/>
                <w:sz w:val="24"/>
                <w:szCs w:val="24"/>
              </w:rPr>
            </w:pPr>
            <w:hyperlink r:id="rId13" w:history="1">
              <w:r w:rsidR="00C2709E" w:rsidRPr="00C2709E">
                <w:rPr>
                  <w:rStyle w:val="Hyperlink"/>
                  <w:rFonts w:ascii="Times New Roman" w:hAnsi="Times New Roman" w:cs="Times New Roman"/>
                  <w:sz w:val="24"/>
                  <w:szCs w:val="24"/>
                </w:rPr>
                <w:t>jeinstein@volunteerenergy.com</w:t>
              </w:r>
            </w:hyperlink>
          </w:p>
          <w:p w:rsidR="00C2709E" w:rsidRPr="00C2709E" w:rsidRDefault="00C2709E" w:rsidP="00C2709E">
            <w:pPr>
              <w:spacing w:after="0" w:line="240" w:lineRule="auto"/>
              <w:jc w:val="both"/>
              <w:rPr>
                <w:rFonts w:ascii="Times New Roman" w:hAnsi="Times New Roman" w:cs="Times New Roman"/>
                <w:sz w:val="24"/>
                <w:szCs w:val="24"/>
              </w:rPr>
            </w:pPr>
          </w:p>
        </w:tc>
        <w:tc>
          <w:tcPr>
            <w:tcW w:w="4455" w:type="dxa"/>
          </w:tcPr>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Joseph M. Clark</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6641 North High Street, Suite 200</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Worthington, OH 43085</w:t>
            </w:r>
          </w:p>
          <w:p w:rsidR="00C2709E" w:rsidRPr="00C2709E" w:rsidRDefault="002236D7" w:rsidP="00C2709E">
            <w:pPr>
              <w:adjustRightInd w:val="0"/>
              <w:spacing w:after="0" w:line="240" w:lineRule="auto"/>
              <w:rPr>
                <w:rFonts w:ascii="Times New Roman" w:hAnsi="Times New Roman" w:cs="Times New Roman"/>
                <w:sz w:val="24"/>
                <w:szCs w:val="24"/>
              </w:rPr>
            </w:pPr>
            <w:hyperlink r:id="rId14" w:history="1">
              <w:r w:rsidR="00C2709E" w:rsidRPr="00C2709E">
                <w:rPr>
                  <w:rStyle w:val="Hyperlink"/>
                  <w:rFonts w:ascii="Times New Roman" w:hAnsi="Times New Roman" w:cs="Times New Roman"/>
                  <w:sz w:val="24"/>
                  <w:szCs w:val="24"/>
                </w:rPr>
                <w:t>Joseph.clark@directenergy.com</w:t>
              </w:r>
            </w:hyperlink>
          </w:p>
          <w:p w:rsidR="00C2709E" w:rsidRPr="00C2709E" w:rsidRDefault="00C2709E" w:rsidP="00C2709E">
            <w:pPr>
              <w:spacing w:after="0" w:line="240" w:lineRule="auto"/>
              <w:jc w:val="both"/>
              <w:rPr>
                <w:rFonts w:ascii="Times New Roman" w:hAnsi="Times New Roman" w:cs="Times New Roman"/>
                <w:sz w:val="24"/>
                <w:szCs w:val="24"/>
              </w:rPr>
            </w:pPr>
          </w:p>
        </w:tc>
      </w:tr>
    </w:tbl>
    <w:p w:rsidR="009F051D" w:rsidRPr="009F051D" w:rsidRDefault="009F051D" w:rsidP="009F051D">
      <w:pPr>
        <w:pStyle w:val="Signature"/>
        <w:ind w:left="4770"/>
        <w:rPr>
          <w:szCs w:val="24"/>
        </w:rPr>
      </w:pPr>
    </w:p>
    <w:p w:rsidR="009F051D" w:rsidRPr="00D22F51" w:rsidRDefault="009F051D" w:rsidP="009F051D">
      <w:pPr>
        <w:rPr>
          <w:sz w:val="24"/>
          <w:szCs w:val="24"/>
        </w:rPr>
      </w:pPr>
    </w:p>
    <w:p w:rsidR="009F051D" w:rsidRPr="004A2008" w:rsidRDefault="009F051D" w:rsidP="00F94F41">
      <w:pPr>
        <w:spacing w:after="0" w:line="480" w:lineRule="auto"/>
        <w:jc w:val="both"/>
        <w:rPr>
          <w:rFonts w:ascii="Times New Roman" w:hAnsi="Times New Roman" w:cs="Times New Roman"/>
          <w:sz w:val="24"/>
          <w:szCs w:val="24"/>
        </w:rPr>
      </w:pPr>
    </w:p>
    <w:sectPr w:rsidR="009F051D" w:rsidRPr="004A2008" w:rsidSect="00E145D6">
      <w:footerReference w:type="first" r:id="rId15"/>
      <w:pgSz w:w="12240" w:h="15840"/>
      <w:pgMar w:top="1440" w:right="153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FA" w:rsidRDefault="00AE44FA" w:rsidP="00797B06">
      <w:pPr>
        <w:spacing w:after="0" w:line="240" w:lineRule="auto"/>
      </w:pPr>
      <w:r>
        <w:separator/>
      </w:r>
    </w:p>
  </w:endnote>
  <w:endnote w:type="continuationSeparator" w:id="0">
    <w:p w:rsidR="00AE44FA" w:rsidRDefault="00AE44FA" w:rsidP="0079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FA" w:rsidRDefault="002236D7" w:rsidP="00614CB8">
    <w:pPr>
      <w:pStyle w:val="Footer"/>
      <w:framePr w:wrap="around" w:vAnchor="text" w:hAnchor="margin" w:xAlign="center" w:y="1"/>
      <w:rPr>
        <w:rStyle w:val="PageNumber"/>
      </w:rPr>
    </w:pPr>
    <w:r>
      <w:rPr>
        <w:rStyle w:val="PageNumber"/>
      </w:rPr>
      <w:fldChar w:fldCharType="begin"/>
    </w:r>
    <w:r w:rsidR="00AE44FA">
      <w:rPr>
        <w:rStyle w:val="PageNumber"/>
      </w:rPr>
      <w:instrText xml:space="preserve">PAGE  </w:instrText>
    </w:r>
    <w:r>
      <w:rPr>
        <w:rStyle w:val="PageNumber"/>
      </w:rPr>
      <w:fldChar w:fldCharType="end"/>
    </w:r>
  </w:p>
  <w:p w:rsidR="00AE44FA" w:rsidRDefault="00AE4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D6" w:rsidRDefault="00E145D6" w:rsidP="00E145D6">
    <w:pPr>
      <w:pStyle w:val="Footer"/>
      <w:rPr>
        <w:rFonts w:ascii="Times New Roman" w:hAnsi="Times New Roman" w:cs="Times New Roman"/>
        <w:sz w:val="16"/>
      </w:rPr>
    </w:pPr>
    <w:r>
      <w:rPr>
        <w:rFonts w:ascii="Times New Roman" w:hAnsi="Times New Roman" w:cs="Times New Roman"/>
        <w:sz w:val="16"/>
      </w:rPr>
      <w:t>#738752v1</w:t>
    </w:r>
  </w:p>
  <w:p w:rsidR="00E145D6" w:rsidRDefault="00E145D6" w:rsidP="00E145D6">
    <w:pPr>
      <w:pStyle w:val="Footer"/>
      <w:tabs>
        <w:tab w:val="clear" w:pos="4680"/>
        <w:tab w:val="clear" w:pos="9360"/>
        <w:tab w:val="left" w:pos="1236"/>
      </w:tabs>
      <w:rPr>
        <w:rFonts w:ascii="Times New Roman" w:hAnsi="Times New Roman" w:cs="Times New Roman"/>
        <w:sz w:val="16"/>
      </w:rPr>
    </w:pPr>
    <w:r>
      <w:rPr>
        <w:rFonts w:ascii="Times New Roman" w:hAnsi="Times New Roman" w:cs="Times New Roman"/>
        <w:sz w:val="16"/>
      </w:rPr>
      <w:t>97000.00850</w:t>
    </w:r>
    <w:r>
      <w:rPr>
        <w:rFonts w:ascii="Times New Roman" w:hAnsi="Times New Roman" w:cs="Times New Roman"/>
        <w:sz w:val="16"/>
      </w:rPr>
      <w:tab/>
    </w:r>
  </w:p>
  <w:p w:rsidR="00E145D6" w:rsidRPr="00E145D6" w:rsidRDefault="00E145D6">
    <w:pPr>
      <w:pStyle w:val="Footer"/>
      <w:rPr>
        <w:rFonts w:ascii="Times New Roman" w:hAnsi="Times New Roman" w:cs="Times New Roman"/>
        <w:sz w:val="24"/>
        <w:szCs w:val="24"/>
      </w:rPr>
    </w:pPr>
    <w:r>
      <w:rPr>
        <w:rFonts w:ascii="Times New Roman" w:hAnsi="Times New Roman" w:cs="Times New Roman"/>
        <w:sz w:val="16"/>
      </w:rPr>
      <w:tab/>
    </w:r>
    <w:r w:rsidR="002236D7" w:rsidRPr="00E145D6">
      <w:rPr>
        <w:rFonts w:ascii="Times New Roman" w:hAnsi="Times New Roman" w:cs="Times New Roman"/>
        <w:sz w:val="24"/>
        <w:szCs w:val="24"/>
      </w:rPr>
      <w:fldChar w:fldCharType="begin"/>
    </w:r>
    <w:r w:rsidRPr="00E145D6">
      <w:rPr>
        <w:rFonts w:ascii="Times New Roman" w:hAnsi="Times New Roman" w:cs="Times New Roman"/>
        <w:sz w:val="24"/>
        <w:szCs w:val="24"/>
      </w:rPr>
      <w:instrText xml:space="preserve"> PAGE   \* MERGEFORMAT </w:instrText>
    </w:r>
    <w:r w:rsidR="002236D7" w:rsidRPr="00E145D6">
      <w:rPr>
        <w:rFonts w:ascii="Times New Roman" w:hAnsi="Times New Roman" w:cs="Times New Roman"/>
        <w:sz w:val="24"/>
        <w:szCs w:val="24"/>
      </w:rPr>
      <w:fldChar w:fldCharType="separate"/>
    </w:r>
    <w:r w:rsidR="00D84CBC">
      <w:rPr>
        <w:rFonts w:ascii="Times New Roman" w:hAnsi="Times New Roman" w:cs="Times New Roman"/>
        <w:noProof/>
        <w:sz w:val="24"/>
        <w:szCs w:val="24"/>
      </w:rPr>
      <w:t>29</w:t>
    </w:r>
    <w:r w:rsidR="002236D7" w:rsidRPr="00E145D6">
      <w:rPr>
        <w:rFonts w:ascii="Times New Roman" w:hAnsi="Times New Roman" w:cs="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FA" w:rsidRDefault="00AE44FA" w:rsidP="00A674F9">
    <w:pPr>
      <w:pStyle w:val="Footer"/>
      <w:rPr>
        <w:rFonts w:ascii="Times New Roman" w:hAnsi="Times New Roman" w:cs="Times New Roman"/>
        <w:sz w:val="16"/>
      </w:rPr>
    </w:pPr>
    <w:r>
      <w:rPr>
        <w:rFonts w:ascii="Times New Roman" w:hAnsi="Times New Roman" w:cs="Times New Roman"/>
        <w:sz w:val="16"/>
      </w:rPr>
      <w:t>#738752v1</w:t>
    </w:r>
  </w:p>
  <w:p w:rsidR="00AE44FA" w:rsidRPr="00DD6C00" w:rsidRDefault="00AE44FA">
    <w:pPr>
      <w:pStyle w:val="Footer"/>
      <w:rPr>
        <w:rFonts w:ascii="Times New Roman" w:hAnsi="Times New Roman" w:cs="Times New Roman"/>
        <w:sz w:val="16"/>
      </w:rPr>
    </w:pPr>
    <w:r>
      <w:rPr>
        <w:rFonts w:ascii="Times New Roman" w:hAnsi="Times New Roman" w:cs="Times New Roman"/>
        <w:sz w:val="16"/>
      </w:rPr>
      <w:t>97000.00850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D6" w:rsidRDefault="00E145D6" w:rsidP="00A674F9">
    <w:pPr>
      <w:pStyle w:val="Footer"/>
      <w:rPr>
        <w:rFonts w:ascii="Times New Roman" w:hAnsi="Times New Roman" w:cs="Times New Roman"/>
        <w:sz w:val="16"/>
      </w:rPr>
    </w:pPr>
    <w:r>
      <w:rPr>
        <w:rFonts w:ascii="Times New Roman" w:hAnsi="Times New Roman" w:cs="Times New Roman"/>
        <w:sz w:val="16"/>
      </w:rPr>
      <w:t>#738752v1</w:t>
    </w:r>
  </w:p>
  <w:p w:rsidR="00E145D6" w:rsidRDefault="00E145D6" w:rsidP="00E145D6">
    <w:pPr>
      <w:pStyle w:val="Footer"/>
      <w:tabs>
        <w:tab w:val="clear" w:pos="4680"/>
        <w:tab w:val="clear" w:pos="9360"/>
        <w:tab w:val="left" w:pos="1236"/>
      </w:tabs>
      <w:rPr>
        <w:rFonts w:ascii="Times New Roman" w:hAnsi="Times New Roman" w:cs="Times New Roman"/>
        <w:sz w:val="16"/>
      </w:rPr>
    </w:pPr>
    <w:r>
      <w:rPr>
        <w:rFonts w:ascii="Times New Roman" w:hAnsi="Times New Roman" w:cs="Times New Roman"/>
        <w:sz w:val="16"/>
      </w:rPr>
      <w:t>97000.00850</w:t>
    </w:r>
    <w:r>
      <w:rPr>
        <w:rFonts w:ascii="Times New Roman" w:hAnsi="Times New Roman" w:cs="Times New Roman"/>
        <w:sz w:val="16"/>
      </w:rPr>
      <w:tab/>
    </w:r>
  </w:p>
  <w:p w:rsidR="00E145D6" w:rsidRPr="00E145D6" w:rsidRDefault="00E145D6">
    <w:pPr>
      <w:pStyle w:val="Footer"/>
      <w:rPr>
        <w:rFonts w:ascii="Times New Roman" w:hAnsi="Times New Roman" w:cs="Times New Roman"/>
        <w:sz w:val="24"/>
        <w:szCs w:val="24"/>
      </w:rPr>
    </w:pPr>
    <w:r>
      <w:rPr>
        <w:rFonts w:ascii="Times New Roman" w:hAnsi="Times New Roman" w:cs="Times New Roman"/>
        <w:sz w:val="16"/>
      </w:rPr>
      <w:tab/>
    </w:r>
    <w:r w:rsidR="002236D7" w:rsidRPr="00E145D6">
      <w:rPr>
        <w:rFonts w:ascii="Times New Roman" w:hAnsi="Times New Roman" w:cs="Times New Roman"/>
        <w:sz w:val="24"/>
        <w:szCs w:val="24"/>
      </w:rPr>
      <w:fldChar w:fldCharType="begin"/>
    </w:r>
    <w:r w:rsidRPr="00E145D6">
      <w:rPr>
        <w:rFonts w:ascii="Times New Roman" w:hAnsi="Times New Roman" w:cs="Times New Roman"/>
        <w:sz w:val="24"/>
        <w:szCs w:val="24"/>
      </w:rPr>
      <w:instrText xml:space="preserve"> PAGE   \* MERGEFORMAT </w:instrText>
    </w:r>
    <w:r w:rsidR="002236D7" w:rsidRPr="00E145D6">
      <w:rPr>
        <w:rFonts w:ascii="Times New Roman" w:hAnsi="Times New Roman" w:cs="Times New Roman"/>
        <w:sz w:val="24"/>
        <w:szCs w:val="24"/>
      </w:rPr>
      <w:fldChar w:fldCharType="separate"/>
    </w:r>
    <w:r w:rsidR="00B37896">
      <w:rPr>
        <w:rFonts w:ascii="Times New Roman" w:hAnsi="Times New Roman" w:cs="Times New Roman"/>
        <w:noProof/>
        <w:sz w:val="24"/>
        <w:szCs w:val="24"/>
      </w:rPr>
      <w:t>i</w:t>
    </w:r>
    <w:r w:rsidR="002236D7" w:rsidRPr="00E145D6">
      <w:rPr>
        <w:rFonts w:ascii="Times New Roman" w:hAnsi="Times New Roman" w:cs="Times New Roman"/>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D6" w:rsidRDefault="00E145D6" w:rsidP="00E145D6">
    <w:pPr>
      <w:pStyle w:val="Footer"/>
      <w:tabs>
        <w:tab w:val="clear" w:pos="4680"/>
        <w:tab w:val="clear" w:pos="9360"/>
        <w:tab w:val="center" w:pos="4635"/>
      </w:tabs>
      <w:rPr>
        <w:rFonts w:ascii="Times New Roman" w:hAnsi="Times New Roman" w:cs="Times New Roman"/>
        <w:sz w:val="16"/>
      </w:rPr>
    </w:pPr>
    <w:r>
      <w:rPr>
        <w:rFonts w:ascii="Times New Roman" w:hAnsi="Times New Roman" w:cs="Times New Roman"/>
        <w:sz w:val="16"/>
      </w:rPr>
      <w:t>#738752v1</w:t>
    </w:r>
    <w:r>
      <w:rPr>
        <w:rFonts w:ascii="Times New Roman" w:hAnsi="Times New Roman" w:cs="Times New Roman"/>
        <w:sz w:val="16"/>
      </w:rPr>
      <w:tab/>
    </w:r>
  </w:p>
  <w:p w:rsidR="00E145D6" w:rsidRPr="00E145D6" w:rsidRDefault="00E145D6">
    <w:pPr>
      <w:pStyle w:val="Footer"/>
      <w:rPr>
        <w:rFonts w:ascii="Times New Roman" w:hAnsi="Times New Roman" w:cs="Times New Roman"/>
        <w:sz w:val="24"/>
        <w:szCs w:val="24"/>
      </w:rPr>
    </w:pPr>
    <w:r>
      <w:rPr>
        <w:rFonts w:ascii="Times New Roman" w:hAnsi="Times New Roman" w:cs="Times New Roman"/>
        <w:sz w:val="16"/>
      </w:rPr>
      <w:t>97000.00850</w:t>
    </w:r>
  </w:p>
  <w:p w:rsidR="00E145D6" w:rsidRPr="00DD6C00" w:rsidRDefault="00E145D6">
    <w:pPr>
      <w:pStyle w:val="Footer"/>
      <w:rPr>
        <w:rFonts w:ascii="Times New Roman" w:hAnsi="Times New Roman" w:cs="Times New Roman"/>
        <w:sz w:val="16"/>
      </w:rPr>
    </w:pPr>
    <w:r w:rsidRPr="00E145D6">
      <w:rPr>
        <w:rFonts w:ascii="Times New Roman" w:hAnsi="Times New Roman" w:cs="Times New Roman"/>
        <w:sz w:val="24"/>
        <w:szCs w:val="24"/>
      </w:rPr>
      <w:tab/>
    </w:r>
    <w:r w:rsidR="002236D7" w:rsidRPr="00E145D6">
      <w:rPr>
        <w:rFonts w:ascii="Times New Roman" w:hAnsi="Times New Roman" w:cs="Times New Roman"/>
        <w:sz w:val="24"/>
        <w:szCs w:val="24"/>
      </w:rPr>
      <w:fldChar w:fldCharType="begin"/>
    </w:r>
    <w:r w:rsidRPr="00E145D6">
      <w:rPr>
        <w:rFonts w:ascii="Times New Roman" w:hAnsi="Times New Roman" w:cs="Times New Roman"/>
        <w:sz w:val="24"/>
        <w:szCs w:val="24"/>
      </w:rPr>
      <w:instrText xml:space="preserve"> PAGE   \* MERGEFORMAT </w:instrText>
    </w:r>
    <w:r w:rsidR="002236D7" w:rsidRPr="00E145D6">
      <w:rPr>
        <w:rFonts w:ascii="Times New Roman" w:hAnsi="Times New Roman" w:cs="Times New Roman"/>
        <w:sz w:val="24"/>
        <w:szCs w:val="24"/>
      </w:rPr>
      <w:fldChar w:fldCharType="separate"/>
    </w:r>
    <w:r w:rsidR="00B37896">
      <w:rPr>
        <w:rFonts w:ascii="Times New Roman" w:hAnsi="Times New Roman" w:cs="Times New Roman"/>
        <w:noProof/>
        <w:sz w:val="24"/>
        <w:szCs w:val="24"/>
      </w:rPr>
      <w:t>1</w:t>
    </w:r>
    <w:r w:rsidR="002236D7" w:rsidRPr="00E145D6">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FA" w:rsidRDefault="00AE44FA" w:rsidP="00797B06">
      <w:pPr>
        <w:spacing w:after="0" w:line="240" w:lineRule="auto"/>
      </w:pPr>
      <w:r>
        <w:separator/>
      </w:r>
    </w:p>
  </w:footnote>
  <w:footnote w:type="continuationSeparator" w:id="0">
    <w:p w:rsidR="00AE44FA" w:rsidRDefault="00AE44FA" w:rsidP="00797B06">
      <w:pPr>
        <w:spacing w:after="0" w:line="240" w:lineRule="auto"/>
      </w:pPr>
      <w:r>
        <w:continuationSeparator/>
      </w:r>
    </w:p>
  </w:footnote>
  <w:footnote w:id="1">
    <w:p w:rsidR="00AE44FA" w:rsidRPr="00A848C4" w:rsidRDefault="00AE44FA" w:rsidP="00995348">
      <w:pPr>
        <w:pStyle w:val="FootnoteText"/>
        <w:ind w:firstLine="720"/>
        <w:jc w:val="both"/>
        <w:rPr>
          <w:rFonts w:ascii="Times New Roman" w:hAnsi="Times New Roman" w:cs="Times New Roman"/>
        </w:rPr>
      </w:pPr>
      <w:r w:rsidRPr="00A848C4">
        <w:rPr>
          <w:rStyle w:val="FootnoteReference"/>
          <w:rFonts w:ascii="Times New Roman" w:hAnsi="Times New Roman" w:cs="Times New Roman"/>
        </w:rPr>
        <w:footnoteRef/>
      </w:r>
      <w:r w:rsidRPr="00A848C4">
        <w:rPr>
          <w:rFonts w:ascii="Times New Roman" w:hAnsi="Times New Roman" w:cs="Times New Roman"/>
        </w:rPr>
        <w:t xml:space="preserve">  See</w:t>
      </w:r>
      <w:r>
        <w:rPr>
          <w:rFonts w:ascii="Times New Roman" w:hAnsi="Times New Roman" w:cs="Times New Roman"/>
        </w:rPr>
        <w:t xml:space="preserve">, e.g., Columbia Ex. 2, at 18; Hess Ex. 1, at 18; Hess Post Hearing Brief, at 10-11.  </w:t>
      </w:r>
    </w:p>
  </w:footnote>
  <w:footnote w:id="2">
    <w:p w:rsidR="00AE44FA" w:rsidRPr="00A848C4" w:rsidRDefault="00AE44FA" w:rsidP="00995348">
      <w:pPr>
        <w:pStyle w:val="FootnoteText"/>
        <w:spacing w:before="120"/>
        <w:ind w:firstLine="720"/>
        <w:jc w:val="both"/>
        <w:rPr>
          <w:rFonts w:ascii="Times New Roman" w:hAnsi="Times New Roman" w:cs="Times New Roman"/>
        </w:rPr>
      </w:pPr>
      <w:r w:rsidRPr="00A848C4">
        <w:rPr>
          <w:rStyle w:val="FootnoteReference"/>
          <w:rFonts w:ascii="Times New Roman" w:hAnsi="Times New Roman" w:cs="Times New Roman"/>
        </w:rPr>
        <w:footnoteRef/>
      </w:r>
      <w:r w:rsidRPr="00A848C4">
        <w:rPr>
          <w:rFonts w:ascii="Times New Roman" w:hAnsi="Times New Roman" w:cs="Times New Roman"/>
        </w:rPr>
        <w:t xml:space="preserve"> </w:t>
      </w:r>
      <w:r>
        <w:rPr>
          <w:rFonts w:ascii="Times New Roman" w:hAnsi="Times New Roman" w:cs="Times New Roman"/>
        </w:rPr>
        <w:t xml:space="preserve">See, e.g., Tr. II, at 41; Tr. III, at 215; Hess Ex. 1, at 19; Hess Post Hearing Brief, at 11-12.  </w:t>
      </w:r>
    </w:p>
  </w:footnote>
  <w:footnote w:id="3">
    <w:p w:rsidR="00AE44FA" w:rsidRPr="00A848C4" w:rsidRDefault="00AE44FA" w:rsidP="00435F66">
      <w:pPr>
        <w:pStyle w:val="FootnoteText"/>
        <w:spacing w:before="120"/>
        <w:ind w:firstLine="720"/>
        <w:jc w:val="both"/>
        <w:rPr>
          <w:rFonts w:ascii="Times New Roman" w:hAnsi="Times New Roman" w:cs="Times New Roman"/>
        </w:rPr>
      </w:pPr>
      <w:r w:rsidRPr="00A848C4">
        <w:rPr>
          <w:rStyle w:val="FootnoteReference"/>
          <w:rFonts w:ascii="Times New Roman" w:hAnsi="Times New Roman" w:cs="Times New Roman"/>
        </w:rPr>
        <w:footnoteRef/>
      </w:r>
      <w:r w:rsidRPr="00A848C4">
        <w:rPr>
          <w:rFonts w:ascii="Times New Roman" w:hAnsi="Times New Roman" w:cs="Times New Roman"/>
        </w:rPr>
        <w:t xml:space="preserve"> </w:t>
      </w:r>
      <w:r>
        <w:rPr>
          <w:rFonts w:ascii="Times New Roman" w:hAnsi="Times New Roman" w:cs="Times New Roman"/>
        </w:rPr>
        <w:t>See, e.g., Tr. II, at 57-59; Hess Ex. 1, at 19-20; Hess Post Hearing Brief at 12-13.</w:t>
      </w:r>
    </w:p>
  </w:footnote>
  <w:footnote w:id="4">
    <w:p w:rsidR="00AE44FA" w:rsidRPr="00F84C86" w:rsidRDefault="00AE44FA" w:rsidP="00F84C86">
      <w:pPr>
        <w:pStyle w:val="FootnoteText"/>
        <w:ind w:firstLine="720"/>
        <w:jc w:val="both"/>
        <w:rPr>
          <w:rFonts w:ascii="Times New Roman" w:hAnsi="Times New Roman" w:cs="Times New Roman"/>
        </w:rPr>
      </w:pPr>
      <w:r w:rsidRPr="00F84C86">
        <w:rPr>
          <w:rStyle w:val="FootnoteReference"/>
          <w:rFonts w:ascii="Times New Roman" w:hAnsi="Times New Roman" w:cs="Times New Roman"/>
        </w:rPr>
        <w:footnoteRef/>
      </w:r>
      <w:r w:rsidRPr="00F84C86">
        <w:rPr>
          <w:rFonts w:ascii="Times New Roman" w:hAnsi="Times New Roman" w:cs="Times New Roman"/>
        </w:rPr>
        <w:t xml:space="preserve"> In this vein, the Commission must bear in mind that, as the proponent of modifying the prior exemption order</w:t>
      </w:r>
      <w:r>
        <w:rPr>
          <w:rFonts w:ascii="Times New Roman" w:hAnsi="Times New Roman" w:cs="Times New Roman"/>
        </w:rPr>
        <w:t>, and as the proponent of the SCO Security Deposit, the Signatory Parties bear the burden of proof on this issue.</w:t>
      </w:r>
    </w:p>
  </w:footnote>
  <w:footnote w:id="5">
    <w:p w:rsidR="00AE44FA" w:rsidRPr="007343E7" w:rsidRDefault="00AE44FA" w:rsidP="007343E7">
      <w:pPr>
        <w:pStyle w:val="FootnoteText"/>
        <w:ind w:firstLine="720"/>
        <w:jc w:val="both"/>
        <w:rPr>
          <w:rFonts w:ascii="Times New Roman" w:hAnsi="Times New Roman" w:cs="Times New Roman"/>
        </w:rPr>
      </w:pPr>
      <w:r w:rsidRPr="007343E7">
        <w:rPr>
          <w:rStyle w:val="FootnoteReference"/>
          <w:rFonts w:ascii="Times New Roman" w:hAnsi="Times New Roman" w:cs="Times New Roman"/>
        </w:rPr>
        <w:footnoteRef/>
      </w:r>
      <w:r w:rsidRPr="007343E7">
        <w:rPr>
          <w:rFonts w:ascii="Times New Roman" w:hAnsi="Times New Roman" w:cs="Times New Roman"/>
        </w:rPr>
        <w:t xml:space="preserve"> Moreover, Columbia admits that the costs of </w:t>
      </w:r>
      <w:r w:rsidR="00531BFB">
        <w:rPr>
          <w:rFonts w:ascii="Times New Roman" w:hAnsi="Times New Roman" w:cs="Times New Roman"/>
        </w:rPr>
        <w:t xml:space="preserve">the Choice </w:t>
      </w:r>
      <w:r w:rsidRPr="007343E7">
        <w:rPr>
          <w:rFonts w:ascii="Times New Roman" w:hAnsi="Times New Roman" w:cs="Times New Roman"/>
        </w:rPr>
        <w:t>educational programs are covered by CSRR rider to the benefit of all customers.</w:t>
      </w:r>
      <w:r>
        <w:rPr>
          <w:rFonts w:ascii="Times New Roman" w:hAnsi="Times New Roman" w:cs="Times New Roman"/>
        </w:rPr>
        <w:t xml:space="preserve">  Columbia Post Hearing Brief, at 12; Jt. Ex. 1, at 16 (paragraph 47).  </w:t>
      </w:r>
    </w:p>
  </w:footnote>
  <w:footnote w:id="6">
    <w:p w:rsidR="00AE44FA" w:rsidRPr="000C382C" w:rsidRDefault="00AE44FA" w:rsidP="000C382C">
      <w:pPr>
        <w:pStyle w:val="FootnoteText"/>
        <w:ind w:firstLine="720"/>
        <w:jc w:val="both"/>
        <w:rPr>
          <w:rFonts w:ascii="Times New Roman" w:hAnsi="Times New Roman" w:cs="Times New Roman"/>
        </w:rPr>
      </w:pPr>
      <w:r w:rsidRPr="000C382C">
        <w:rPr>
          <w:rStyle w:val="FootnoteReference"/>
          <w:rFonts w:ascii="Times New Roman" w:hAnsi="Times New Roman" w:cs="Times New Roman"/>
        </w:rPr>
        <w:footnoteRef/>
      </w:r>
      <w:r w:rsidRPr="000C382C">
        <w:rPr>
          <w:rFonts w:ascii="Times New Roman" w:hAnsi="Times New Roman" w:cs="Times New Roman"/>
        </w:rPr>
        <w:t xml:space="preserve"> The difficulty with Mr. Parisi’s testimony is that </w:t>
      </w:r>
      <w:r>
        <w:rPr>
          <w:rFonts w:ascii="Times New Roman" w:hAnsi="Times New Roman" w:cs="Times New Roman"/>
        </w:rPr>
        <w:t xml:space="preserve">parties other than those who signed the Amended Stipulation also have an interest in this proceeding and, indeed, elected to litigate this case when their issues were not resolved.  The “reasonable compromise” on the SCO Security Deposit issue was made only among the SCO and Choice suppliers “signing the Stipulation.” It is telling that Mr. Parisi’s employer, Interstate Gas Supply (“IGS”), was the only current SCO supplier to sign the stipulation (as a part of OGMG (Tr. III, at 243; Joint Ex. 2, at 1, fn. 1)).  IGS is also one of the largest Choice suppliers in Ohio (Tr. III, 222) and has an interest in eliminating the SCO program since it is the lowest-cost option available to Choice-eligible customers and is, therefore, extremely difficult to compete against in the market.  Hess Ex. 1, at 11; Tr. III, at 154.  It is for these reasons that Ohio law requires the Commission to base its orders on the evidence of record, rather than the agreement of parties with similar interests in a partial stipulation.  To do otherwise, prejudices the interests of non-signatory parties forced to litigate the case.  See </w:t>
      </w:r>
      <w:r w:rsidRPr="004F4DD5">
        <w:rPr>
          <w:rFonts w:ascii="Times New Roman" w:hAnsi="Times New Roman" w:cs="Times New Roman"/>
          <w:i/>
        </w:rPr>
        <w:t>Columbus Southern Power Co., infra</w:t>
      </w:r>
      <w:r>
        <w:rPr>
          <w:rFonts w:ascii="Times New Roman" w:hAnsi="Times New Roman" w:cs="Times New Roman"/>
          <w:i/>
        </w:rPr>
        <w:t>.</w:t>
      </w:r>
      <w:r>
        <w:rPr>
          <w:rFonts w:ascii="Times New Roman" w:hAnsi="Times New Roman" w:cs="Times New Roman"/>
        </w:rPr>
        <w:t xml:space="preserve"> </w:t>
      </w:r>
    </w:p>
  </w:footnote>
  <w:footnote w:id="7">
    <w:p w:rsidR="00AE44FA" w:rsidRDefault="00AE44FA" w:rsidP="00F90897">
      <w:pPr>
        <w:pStyle w:val="FootnoteText"/>
        <w:ind w:firstLine="720"/>
        <w:jc w:val="both"/>
      </w:pPr>
      <w:r>
        <w:rPr>
          <w:rStyle w:val="FootnoteReference"/>
        </w:rPr>
        <w:footnoteRef/>
      </w:r>
      <w:r>
        <w:t xml:space="preserve"> </w:t>
      </w:r>
      <w:r w:rsidRPr="008435D9">
        <w:rPr>
          <w:rFonts w:ascii="Times New Roman" w:hAnsi="Times New Roman" w:cs="Times New Roman"/>
        </w:rPr>
        <w:t xml:space="preserve">The only evidence on the record concerning SCO auction-related costs is the $70,000 fee paid to the third-party vendor to perform the auction.  </w:t>
      </w:r>
      <w:r>
        <w:rPr>
          <w:rFonts w:ascii="Times New Roman" w:hAnsi="Times New Roman" w:cs="Times New Roman"/>
        </w:rPr>
        <w:t xml:space="preserve">OPAE Ex. 2, at 24; Tr. III, at 123-133.  </w:t>
      </w:r>
      <w:r w:rsidRPr="008435D9">
        <w:rPr>
          <w:rFonts w:ascii="Times New Roman" w:hAnsi="Times New Roman" w:cs="Times New Roman"/>
        </w:rPr>
        <w:t>If the Commission did, in fact, find OGMG/RESA’s justification for the SCO security charge</w:t>
      </w:r>
      <w:r>
        <w:rPr>
          <w:rFonts w:ascii="Times New Roman" w:hAnsi="Times New Roman" w:cs="Times New Roman"/>
        </w:rPr>
        <w:t xml:space="preserve"> </w:t>
      </w:r>
      <w:r w:rsidRPr="008435D9">
        <w:rPr>
          <w:rFonts w:ascii="Times New Roman" w:hAnsi="Times New Roman" w:cs="Times New Roman"/>
        </w:rPr>
        <w:t>– to offset the SCO auction</w:t>
      </w:r>
      <w:r>
        <w:rPr>
          <w:rFonts w:ascii="Times New Roman" w:hAnsi="Times New Roman" w:cs="Times New Roman"/>
        </w:rPr>
        <w:t>-related</w:t>
      </w:r>
      <w:r w:rsidRPr="008435D9">
        <w:rPr>
          <w:rFonts w:ascii="Times New Roman" w:hAnsi="Times New Roman" w:cs="Times New Roman"/>
        </w:rPr>
        <w:t xml:space="preserve"> costs – persuasive, then the Commission would be required to limit the amount Columbia could collect through the SCO security charge to $70,000 per year.</w:t>
      </w:r>
    </w:p>
  </w:footnote>
  <w:footnote w:id="8">
    <w:p w:rsidR="00AE44FA" w:rsidRDefault="00AE44FA" w:rsidP="00614CB8">
      <w:pPr>
        <w:pStyle w:val="FootnoteText"/>
        <w:spacing w:before="120"/>
        <w:ind w:firstLine="720"/>
        <w:rPr>
          <w:rFonts w:ascii="Times New Roman" w:hAnsi="Times New Roman" w:cs="Times New Roman"/>
        </w:rPr>
      </w:pPr>
      <w:r w:rsidRPr="00771B9F">
        <w:rPr>
          <w:rStyle w:val="FootnoteReference"/>
          <w:rFonts w:ascii="Times New Roman" w:hAnsi="Times New Roman" w:cs="Times New Roman"/>
        </w:rPr>
        <w:footnoteRef/>
      </w:r>
      <w:r w:rsidRPr="00771B9F">
        <w:rPr>
          <w:rFonts w:ascii="Times New Roman" w:hAnsi="Times New Roman" w:cs="Times New Roman"/>
        </w:rPr>
        <w:t xml:space="preserve"> Section 4905.35</w:t>
      </w:r>
      <w:r>
        <w:rPr>
          <w:rFonts w:ascii="Times New Roman" w:hAnsi="Times New Roman" w:cs="Times New Roman"/>
        </w:rPr>
        <w:t>(A)</w:t>
      </w:r>
      <w:r w:rsidRPr="00771B9F">
        <w:rPr>
          <w:rFonts w:ascii="Times New Roman" w:hAnsi="Times New Roman" w:cs="Times New Roman"/>
        </w:rPr>
        <w:t>, Ohio Rev. Code, provides:</w:t>
      </w:r>
    </w:p>
    <w:p w:rsidR="00AE44FA" w:rsidRPr="00771B9F" w:rsidRDefault="00AE44FA" w:rsidP="00771B9F">
      <w:pPr>
        <w:tabs>
          <w:tab w:val="left" w:pos="8640"/>
        </w:tabs>
        <w:spacing w:before="120" w:after="0" w:line="240" w:lineRule="auto"/>
        <w:ind w:left="1440" w:right="630"/>
        <w:jc w:val="both"/>
        <w:rPr>
          <w:rFonts w:ascii="Times New Roman" w:eastAsia="Times New Roman" w:hAnsi="Times New Roman" w:cs="Times New Roman"/>
          <w:sz w:val="20"/>
          <w:szCs w:val="20"/>
          <w:lang w:eastAsia="en-US"/>
        </w:rPr>
      </w:pPr>
      <w:r w:rsidRPr="00771B9F">
        <w:rPr>
          <w:rFonts w:ascii="Times New Roman" w:eastAsia="Times New Roman" w:hAnsi="Times New Roman" w:cs="Times New Roman"/>
          <w:sz w:val="20"/>
          <w:szCs w:val="20"/>
          <w:lang w:eastAsia="en-US"/>
        </w:rPr>
        <w:t>No public utility shall make or give any undue or unreasonable preference or advantage to any person, firm, corporation, or locality, or subject any person, firm, corporation, or locality to any undue or unreasonable prejudice or disadvantage.</w:t>
      </w:r>
    </w:p>
    <w:p w:rsidR="00AE44FA" w:rsidRPr="00771B9F" w:rsidRDefault="00AE44FA" w:rsidP="00771B9F">
      <w:pPr>
        <w:pStyle w:val="FootnoteText"/>
        <w:ind w:firstLine="720"/>
        <w:rPr>
          <w:rFonts w:ascii="Times New Roman" w:hAnsi="Times New Roman" w:cs="Times New Roman"/>
        </w:rPr>
      </w:pPr>
    </w:p>
  </w:footnote>
  <w:footnote w:id="9">
    <w:p w:rsidR="00AE44FA" w:rsidRPr="00691249" w:rsidRDefault="00AE44FA" w:rsidP="00691249">
      <w:pPr>
        <w:pStyle w:val="FootnoteText"/>
        <w:ind w:firstLine="720"/>
        <w:rPr>
          <w:rFonts w:ascii="Times New Roman" w:hAnsi="Times New Roman" w:cs="Times New Roman"/>
        </w:rPr>
      </w:pPr>
      <w:r w:rsidRPr="00691249">
        <w:rPr>
          <w:rStyle w:val="FootnoteReference"/>
          <w:rFonts w:ascii="Times New Roman" w:hAnsi="Times New Roman" w:cs="Times New Roman"/>
        </w:rPr>
        <w:footnoteRef/>
      </w:r>
      <w:r w:rsidRPr="00691249">
        <w:rPr>
          <w:rFonts w:ascii="Times New Roman" w:hAnsi="Times New Roman" w:cs="Times New Roman"/>
        </w:rPr>
        <w:t xml:space="preserve"> </w:t>
      </w:r>
      <w:r>
        <w:rPr>
          <w:rFonts w:ascii="Times New Roman" w:hAnsi="Times New Roman" w:cs="Times New Roman"/>
        </w:rPr>
        <w:t xml:space="preserve"> See, e.g., </w:t>
      </w:r>
      <w:r w:rsidRPr="003966AD">
        <w:rPr>
          <w:rFonts w:ascii="Times New Roman" w:hAnsi="Times New Roman" w:cs="Times New Roman"/>
          <w:i/>
        </w:rPr>
        <w:t>Ohio Consumers’ Counsel v. Pub. Util. Comm</w:t>
      </w:r>
      <w:r>
        <w:rPr>
          <w:rFonts w:ascii="Times New Roman" w:hAnsi="Times New Roman" w:cs="Times New Roman"/>
          <w:i/>
        </w:rPr>
        <w:t>.</w:t>
      </w:r>
      <w:r>
        <w:rPr>
          <w:rFonts w:ascii="Times New Roman" w:hAnsi="Times New Roman" w:cs="Times New Roman"/>
        </w:rPr>
        <w:t xml:space="preserve"> (2006), 109 Ohio St. 3d 328. </w:t>
      </w:r>
    </w:p>
  </w:footnote>
  <w:footnote w:id="10">
    <w:p w:rsidR="00AE44FA" w:rsidRPr="00C306C5" w:rsidRDefault="00AE44FA" w:rsidP="0079207D">
      <w:pPr>
        <w:pStyle w:val="FootnoteText"/>
        <w:ind w:firstLine="720"/>
        <w:jc w:val="both"/>
        <w:rPr>
          <w:rFonts w:ascii="Times New Roman" w:hAnsi="Times New Roman" w:cs="Times New Roman"/>
        </w:rPr>
      </w:pPr>
      <w:r w:rsidRPr="00C306C5">
        <w:rPr>
          <w:rStyle w:val="FootnoteReference"/>
          <w:rFonts w:ascii="Times New Roman" w:hAnsi="Times New Roman" w:cs="Times New Roman"/>
        </w:rPr>
        <w:footnoteRef/>
      </w:r>
      <w:r w:rsidRPr="00C306C5">
        <w:rPr>
          <w:rFonts w:ascii="Times New Roman" w:hAnsi="Times New Roman" w:cs="Times New Roman"/>
        </w:rPr>
        <w:t xml:space="preserve"> </w:t>
      </w:r>
      <w:r>
        <w:rPr>
          <w:rFonts w:ascii="Times New Roman" w:hAnsi="Times New Roman" w:cs="Times New Roman"/>
        </w:rPr>
        <w:t>See Order, at 36.  The Order, at 36-37, and the Amended Stipulation (Jt. Ex. 1, at 13 (paragraph 39)) provide that the allocation methodology for the non-residential exit be determined separately from the methodology for a subsequent potential residential exit.  Thus, it is inherently unreasonable to include residential customers served by Choice suppliers in determining the non-residential allocation methodology.</w:t>
      </w:r>
    </w:p>
  </w:footnote>
  <w:footnote w:id="11">
    <w:p w:rsidR="00AE44FA" w:rsidRDefault="00AE44FA">
      <w:pPr>
        <w:pStyle w:val="FootnoteText"/>
        <w:ind w:firstLine="720"/>
        <w:jc w:val="both"/>
        <w:rPr>
          <w:rFonts w:ascii="Times New Roman" w:hAnsi="Times New Roman" w:cs="Times New Roman"/>
        </w:rPr>
      </w:pPr>
      <w:r w:rsidRPr="00093826">
        <w:rPr>
          <w:rStyle w:val="FootnoteReference"/>
          <w:rFonts w:ascii="Times New Roman" w:hAnsi="Times New Roman" w:cs="Times New Roman"/>
        </w:rPr>
        <w:footnoteRef/>
      </w:r>
      <w:r w:rsidRPr="00093826">
        <w:rPr>
          <w:rFonts w:ascii="Times New Roman" w:hAnsi="Times New Roman" w:cs="Times New Roman"/>
        </w:rPr>
        <w:t xml:space="preserve"> </w:t>
      </w:r>
      <w:r>
        <w:rPr>
          <w:rFonts w:ascii="Times New Roman" w:hAnsi="Times New Roman" w:cs="Times New Roman"/>
        </w:rPr>
        <w:t xml:space="preserve">Although the order seeks to measure tranche ownership “as of the date of the order going forward,” it continues to cite historical “SSO” tranche ownership.  Effective with the 2012-2013 Program Year, Columbia transitioned from an SSO auction to SCO auction, whereby SCO suppliers are awarded tranches to serve Choice-eligible customers who have not selected a Choice supplier and non-Choice-eligible customers (e.g., Default Sales Service (“DDS”) customers).  See Case No. 08-1344-GA-EXM (Opinion and Order, September 7, 2011).  The Commission should clarify that the tranche ownership measured beginning January 9, 2013 (the date of the Order) will be such SCO trance ownership.  </w:t>
      </w:r>
    </w:p>
  </w:footnote>
  <w:footnote w:id="12">
    <w:p w:rsidR="00AE44FA" w:rsidRPr="004D2577" w:rsidRDefault="00AE44FA" w:rsidP="009877B5">
      <w:pPr>
        <w:pStyle w:val="FootnoteText"/>
        <w:ind w:firstLine="720"/>
        <w:jc w:val="both"/>
        <w:rPr>
          <w:rFonts w:ascii="Times New Roman" w:hAnsi="Times New Roman" w:cs="Times New Roman"/>
        </w:rPr>
      </w:pPr>
      <w:r w:rsidRPr="004D2577">
        <w:rPr>
          <w:rStyle w:val="FootnoteReference"/>
          <w:rFonts w:ascii="Times New Roman" w:hAnsi="Times New Roman" w:cs="Times New Roman"/>
        </w:rPr>
        <w:footnoteRef/>
      </w:r>
      <w:r w:rsidRPr="004D2577">
        <w:rPr>
          <w:rFonts w:ascii="Times New Roman" w:hAnsi="Times New Roman" w:cs="Times New Roman"/>
        </w:rPr>
        <w:t xml:space="preserve"> Consistent with this approach, if there is an SCO supplier default, but the SCO security charge account still has a remaining balance after Columbia recovers its costs, the remaining balance should be returned to the non-defaulting SCO suppliers</w:t>
      </w:r>
      <w:r w:rsidRPr="00475B67">
        <w:rPr>
          <w:rFonts w:ascii="Times New Roman" w:hAnsi="Times New Roman" w:cs="Times New Roman"/>
        </w:rPr>
        <w:t xml:space="preserve"> </w:t>
      </w:r>
      <w:r>
        <w:rPr>
          <w:rFonts w:ascii="Times New Roman" w:hAnsi="Times New Roman" w:cs="Times New Roman"/>
        </w:rPr>
        <w:t>on a proportional basis</w:t>
      </w:r>
      <w:r w:rsidRPr="004D2577">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FA" w:rsidRPr="00C77DCF" w:rsidRDefault="00AE44FA" w:rsidP="00A674F9">
    <w:pPr>
      <w:pStyle w:val="Header"/>
      <w:rPr>
        <w:rFonts w:ascii="Times New Roman" w:hAnsi="Times New Roman" w:cs="Times New Roman"/>
        <w:b/>
        <w:i/>
        <w:sz w:val="24"/>
        <w:szCs w:val="24"/>
      </w:rPr>
    </w:pPr>
    <w:r w:rsidRPr="00C77DCF">
      <w:rPr>
        <w:rFonts w:ascii="Times New Roman" w:hAnsi="Times New Roman" w:cs="Times New Roman"/>
        <w:b/>
        <w:i/>
        <w:sz w:val="24"/>
        <w:szCs w:val="24"/>
      </w:rPr>
      <w:tab/>
    </w:r>
    <w:r w:rsidRPr="00C77DCF">
      <w:rPr>
        <w:rFonts w:ascii="Times New Roman" w:hAnsi="Times New Roman" w:cs="Times New Roman"/>
        <w:b/>
        <w:i/>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C97"/>
    <w:multiLevelType w:val="hybridMultilevel"/>
    <w:tmpl w:val="332A482E"/>
    <w:lvl w:ilvl="0" w:tplc="1AD4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30EEE"/>
    <w:multiLevelType w:val="hybridMultilevel"/>
    <w:tmpl w:val="BB2AEE26"/>
    <w:lvl w:ilvl="0" w:tplc="30E09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23EC8"/>
    <w:multiLevelType w:val="hybridMultilevel"/>
    <w:tmpl w:val="0090EFF8"/>
    <w:lvl w:ilvl="0" w:tplc="24787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0C52A0"/>
    <w:multiLevelType w:val="hybridMultilevel"/>
    <w:tmpl w:val="7170409A"/>
    <w:lvl w:ilvl="0" w:tplc="9DDEC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EB3EFB"/>
    <w:multiLevelType w:val="hybridMultilevel"/>
    <w:tmpl w:val="1ACED62C"/>
    <w:lvl w:ilvl="0" w:tplc="84C27D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1E6D2C"/>
    <w:multiLevelType w:val="hybridMultilevel"/>
    <w:tmpl w:val="E5F46A6E"/>
    <w:lvl w:ilvl="0" w:tplc="CFBE3930">
      <w:start w:val="1"/>
      <w:numFmt w:val="decimal"/>
      <w:lvlText w:val="%1."/>
      <w:lvlJc w:val="left"/>
      <w:pPr>
        <w:ind w:left="1800" w:hanging="360"/>
      </w:pPr>
      <w:rPr>
        <w:rFonts w:hint="default"/>
        <w:b/>
      </w:rPr>
    </w:lvl>
    <w:lvl w:ilvl="1" w:tplc="9BE2CFD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4962FB"/>
    <w:multiLevelType w:val="hybridMultilevel"/>
    <w:tmpl w:val="EA1A7828"/>
    <w:lvl w:ilvl="0" w:tplc="B5A0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0D71DD"/>
    <w:multiLevelType w:val="hybridMultilevel"/>
    <w:tmpl w:val="CEFAE2D4"/>
    <w:lvl w:ilvl="0" w:tplc="6D9A4BB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EC435F"/>
    <w:multiLevelType w:val="hybridMultilevel"/>
    <w:tmpl w:val="4C84E806"/>
    <w:lvl w:ilvl="0" w:tplc="B3BEF2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742D3"/>
    <w:multiLevelType w:val="hybridMultilevel"/>
    <w:tmpl w:val="6988F958"/>
    <w:lvl w:ilvl="0" w:tplc="677A1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BB6035"/>
    <w:multiLevelType w:val="hybridMultilevel"/>
    <w:tmpl w:val="CC50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3648B"/>
    <w:multiLevelType w:val="hybridMultilevel"/>
    <w:tmpl w:val="7B584464"/>
    <w:lvl w:ilvl="0" w:tplc="B69AD5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7BF49BA"/>
    <w:multiLevelType w:val="hybridMultilevel"/>
    <w:tmpl w:val="1B74A292"/>
    <w:lvl w:ilvl="0" w:tplc="7B642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B70C05"/>
    <w:multiLevelType w:val="hybridMultilevel"/>
    <w:tmpl w:val="700CE694"/>
    <w:lvl w:ilvl="0" w:tplc="69CC1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116377"/>
    <w:multiLevelType w:val="hybridMultilevel"/>
    <w:tmpl w:val="0EB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95FE7"/>
    <w:multiLevelType w:val="hybridMultilevel"/>
    <w:tmpl w:val="2992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52B12"/>
    <w:multiLevelType w:val="hybridMultilevel"/>
    <w:tmpl w:val="92483F3C"/>
    <w:lvl w:ilvl="0" w:tplc="2F7C1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1B1241"/>
    <w:multiLevelType w:val="hybridMultilevel"/>
    <w:tmpl w:val="F37C9678"/>
    <w:lvl w:ilvl="0" w:tplc="BC42B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EA323B"/>
    <w:multiLevelType w:val="hybridMultilevel"/>
    <w:tmpl w:val="4FC21D82"/>
    <w:lvl w:ilvl="0" w:tplc="619AD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2E23617"/>
    <w:multiLevelType w:val="hybridMultilevel"/>
    <w:tmpl w:val="3BF48B5A"/>
    <w:lvl w:ilvl="0" w:tplc="80D263BE">
      <w:start w:val="1"/>
      <w:numFmt w:val="upperRoman"/>
      <w:lvlText w:val="%1."/>
      <w:lvlJc w:val="left"/>
      <w:pPr>
        <w:ind w:left="1080" w:hanging="720"/>
      </w:pPr>
      <w:rPr>
        <w:rFonts w:hint="default"/>
        <w:b w:val="0"/>
      </w:rPr>
    </w:lvl>
    <w:lvl w:ilvl="1" w:tplc="E3C6D27E">
      <w:start w:val="1"/>
      <w:numFmt w:val="lowerLetter"/>
      <w:lvlText w:val="%2."/>
      <w:lvlJc w:val="left"/>
      <w:pPr>
        <w:ind w:left="1440" w:hanging="360"/>
      </w:pPr>
      <w:rPr>
        <w:b w:val="0"/>
      </w:rPr>
    </w:lvl>
    <w:lvl w:ilvl="2" w:tplc="01C0868E">
      <w:start w:val="1"/>
      <w:numFmt w:val="lowerRoman"/>
      <w:lvlText w:val="%3."/>
      <w:lvlJc w:val="right"/>
      <w:pPr>
        <w:ind w:left="2160" w:hanging="180"/>
      </w:pPr>
      <w:rPr>
        <w:b w:val="0"/>
      </w:rPr>
    </w:lvl>
    <w:lvl w:ilvl="3" w:tplc="6194F3D0">
      <w:start w:val="1"/>
      <w:numFmt w:val="decimal"/>
      <w:lvlText w:val="%4."/>
      <w:lvlJc w:val="left"/>
      <w:pPr>
        <w:ind w:left="279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52365"/>
    <w:multiLevelType w:val="hybridMultilevel"/>
    <w:tmpl w:val="96085F16"/>
    <w:lvl w:ilvl="0" w:tplc="4C34C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46692"/>
    <w:multiLevelType w:val="hybridMultilevel"/>
    <w:tmpl w:val="363C0632"/>
    <w:lvl w:ilvl="0" w:tplc="1D6E8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44AD8"/>
    <w:multiLevelType w:val="hybridMultilevel"/>
    <w:tmpl w:val="E5F46A6E"/>
    <w:lvl w:ilvl="0" w:tplc="CFBE3930">
      <w:start w:val="1"/>
      <w:numFmt w:val="decimal"/>
      <w:lvlText w:val="%1."/>
      <w:lvlJc w:val="left"/>
      <w:pPr>
        <w:ind w:left="1800" w:hanging="360"/>
      </w:pPr>
      <w:rPr>
        <w:rFonts w:hint="default"/>
        <w:b/>
      </w:rPr>
    </w:lvl>
    <w:lvl w:ilvl="1" w:tplc="9BE2CFD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5342092"/>
    <w:multiLevelType w:val="hybridMultilevel"/>
    <w:tmpl w:val="322081A2"/>
    <w:lvl w:ilvl="0" w:tplc="D0640124">
      <w:start w:val="1"/>
      <w:numFmt w:val="upp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7BC26BC"/>
    <w:multiLevelType w:val="hybridMultilevel"/>
    <w:tmpl w:val="D4A2EFA4"/>
    <w:lvl w:ilvl="0" w:tplc="74985572">
      <w:start w:val="1"/>
      <w:numFmt w:val="upperRoman"/>
      <w:lvlText w:val="%1."/>
      <w:lvlJc w:val="left"/>
      <w:pPr>
        <w:ind w:left="1080" w:hanging="720"/>
      </w:pPr>
      <w:rPr>
        <w:rFonts w:hint="default"/>
      </w:rPr>
    </w:lvl>
    <w:lvl w:ilvl="1" w:tplc="2046705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079C5"/>
    <w:multiLevelType w:val="hybridMultilevel"/>
    <w:tmpl w:val="FF620EC2"/>
    <w:lvl w:ilvl="0" w:tplc="282C9916">
      <w:start w:val="1"/>
      <w:numFmt w:val="upperLetter"/>
      <w:lvlText w:val="%1."/>
      <w:lvlJc w:val="left"/>
      <w:pPr>
        <w:ind w:left="1080" w:hanging="360"/>
      </w:pPr>
      <w:rPr>
        <w:rFonts w:hint="default"/>
        <w:b/>
      </w:rPr>
    </w:lvl>
    <w:lvl w:ilvl="1" w:tplc="ACAE2EF8">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525681"/>
    <w:multiLevelType w:val="hybridMultilevel"/>
    <w:tmpl w:val="1B74A292"/>
    <w:lvl w:ilvl="0" w:tplc="7B642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6"/>
  </w:num>
  <w:num w:numId="3">
    <w:abstractNumId w:val="13"/>
  </w:num>
  <w:num w:numId="4">
    <w:abstractNumId w:val="12"/>
  </w:num>
  <w:num w:numId="5">
    <w:abstractNumId w:val="1"/>
  </w:num>
  <w:num w:numId="6">
    <w:abstractNumId w:val="26"/>
  </w:num>
  <w:num w:numId="7">
    <w:abstractNumId w:val="0"/>
  </w:num>
  <w:num w:numId="8">
    <w:abstractNumId w:val="8"/>
  </w:num>
  <w:num w:numId="9">
    <w:abstractNumId w:val="24"/>
  </w:num>
  <w:num w:numId="10">
    <w:abstractNumId w:val="17"/>
  </w:num>
  <w:num w:numId="11">
    <w:abstractNumId w:val="25"/>
  </w:num>
  <w:num w:numId="12">
    <w:abstractNumId w:val="5"/>
  </w:num>
  <w:num w:numId="13">
    <w:abstractNumId w:val="22"/>
  </w:num>
  <w:num w:numId="14">
    <w:abstractNumId w:val="16"/>
  </w:num>
  <w:num w:numId="15">
    <w:abstractNumId w:val="20"/>
  </w:num>
  <w:num w:numId="16">
    <w:abstractNumId w:val="18"/>
  </w:num>
  <w:num w:numId="17">
    <w:abstractNumId w:val="21"/>
  </w:num>
  <w:num w:numId="18">
    <w:abstractNumId w:val="14"/>
  </w:num>
  <w:num w:numId="19">
    <w:abstractNumId w:val="10"/>
  </w:num>
  <w:num w:numId="20">
    <w:abstractNumId w:val="15"/>
  </w:num>
  <w:num w:numId="21">
    <w:abstractNumId w:val="4"/>
  </w:num>
  <w:num w:numId="22">
    <w:abstractNumId w:val="7"/>
  </w:num>
  <w:num w:numId="23">
    <w:abstractNumId w:val="11"/>
  </w:num>
  <w:num w:numId="24">
    <w:abstractNumId w:val="23"/>
  </w:num>
  <w:num w:numId="25">
    <w:abstractNumId w:val="3"/>
  </w:num>
  <w:num w:numId="26">
    <w:abstractNumId w:val="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4A2008"/>
    <w:rsid w:val="00010F33"/>
    <w:rsid w:val="00022F56"/>
    <w:rsid w:val="00023FDC"/>
    <w:rsid w:val="0003376E"/>
    <w:rsid w:val="0003418A"/>
    <w:rsid w:val="000445FE"/>
    <w:rsid w:val="000446EE"/>
    <w:rsid w:val="000520D4"/>
    <w:rsid w:val="00052EED"/>
    <w:rsid w:val="00062693"/>
    <w:rsid w:val="00066673"/>
    <w:rsid w:val="00067A21"/>
    <w:rsid w:val="000772B6"/>
    <w:rsid w:val="00090952"/>
    <w:rsid w:val="00090B89"/>
    <w:rsid w:val="00091210"/>
    <w:rsid w:val="00091CFF"/>
    <w:rsid w:val="00093826"/>
    <w:rsid w:val="000B21AC"/>
    <w:rsid w:val="000B50C6"/>
    <w:rsid w:val="000C382C"/>
    <w:rsid w:val="000D256D"/>
    <w:rsid w:val="000D29AC"/>
    <w:rsid w:val="000E061E"/>
    <w:rsid w:val="000E0A4C"/>
    <w:rsid w:val="000E0CFA"/>
    <w:rsid w:val="000F3CB8"/>
    <w:rsid w:val="001001FB"/>
    <w:rsid w:val="00100851"/>
    <w:rsid w:val="00100897"/>
    <w:rsid w:val="001023BA"/>
    <w:rsid w:val="001045EE"/>
    <w:rsid w:val="001069E3"/>
    <w:rsid w:val="00106FEA"/>
    <w:rsid w:val="0011233F"/>
    <w:rsid w:val="00130449"/>
    <w:rsid w:val="001400FF"/>
    <w:rsid w:val="0014132B"/>
    <w:rsid w:val="00157D7C"/>
    <w:rsid w:val="00172852"/>
    <w:rsid w:val="00173185"/>
    <w:rsid w:val="00177038"/>
    <w:rsid w:val="00187012"/>
    <w:rsid w:val="001903F2"/>
    <w:rsid w:val="001955A8"/>
    <w:rsid w:val="00196872"/>
    <w:rsid w:val="001A2023"/>
    <w:rsid w:val="001A42DD"/>
    <w:rsid w:val="001A7562"/>
    <w:rsid w:val="001B0EF3"/>
    <w:rsid w:val="001B513C"/>
    <w:rsid w:val="001B5299"/>
    <w:rsid w:val="001D18C9"/>
    <w:rsid w:val="001D4CB6"/>
    <w:rsid w:val="001D5B5D"/>
    <w:rsid w:val="001E750C"/>
    <w:rsid w:val="001E77D0"/>
    <w:rsid w:val="001F2545"/>
    <w:rsid w:val="001F4B9A"/>
    <w:rsid w:val="00200766"/>
    <w:rsid w:val="00207C44"/>
    <w:rsid w:val="002127EE"/>
    <w:rsid w:val="0021780D"/>
    <w:rsid w:val="00217D74"/>
    <w:rsid w:val="00221789"/>
    <w:rsid w:val="002236D7"/>
    <w:rsid w:val="002236DA"/>
    <w:rsid w:val="00223A0A"/>
    <w:rsid w:val="00235B1A"/>
    <w:rsid w:val="002506DD"/>
    <w:rsid w:val="00253FA2"/>
    <w:rsid w:val="00254CF8"/>
    <w:rsid w:val="0026229D"/>
    <w:rsid w:val="0026615A"/>
    <w:rsid w:val="00266BB3"/>
    <w:rsid w:val="00280C45"/>
    <w:rsid w:val="002818A4"/>
    <w:rsid w:val="00283508"/>
    <w:rsid w:val="002A7A8A"/>
    <w:rsid w:val="002B1E2C"/>
    <w:rsid w:val="002B6809"/>
    <w:rsid w:val="002B7C96"/>
    <w:rsid w:val="002C0E76"/>
    <w:rsid w:val="002C3348"/>
    <w:rsid w:val="002C35BA"/>
    <w:rsid w:val="002D3BE3"/>
    <w:rsid w:val="002E788D"/>
    <w:rsid w:val="00301C66"/>
    <w:rsid w:val="00302C4A"/>
    <w:rsid w:val="00305769"/>
    <w:rsid w:val="00323CE0"/>
    <w:rsid w:val="003261B4"/>
    <w:rsid w:val="0032726A"/>
    <w:rsid w:val="003348DF"/>
    <w:rsid w:val="00334CF4"/>
    <w:rsid w:val="00336E3E"/>
    <w:rsid w:val="00337296"/>
    <w:rsid w:val="0035313B"/>
    <w:rsid w:val="00356092"/>
    <w:rsid w:val="00363057"/>
    <w:rsid w:val="00366077"/>
    <w:rsid w:val="00367BDD"/>
    <w:rsid w:val="00370820"/>
    <w:rsid w:val="00371E53"/>
    <w:rsid w:val="0037321C"/>
    <w:rsid w:val="003737FD"/>
    <w:rsid w:val="00376182"/>
    <w:rsid w:val="00377529"/>
    <w:rsid w:val="00394928"/>
    <w:rsid w:val="003966AD"/>
    <w:rsid w:val="003A1D02"/>
    <w:rsid w:val="003B1E99"/>
    <w:rsid w:val="003D1FF7"/>
    <w:rsid w:val="003E1574"/>
    <w:rsid w:val="004054B6"/>
    <w:rsid w:val="0041288C"/>
    <w:rsid w:val="00413FB5"/>
    <w:rsid w:val="00415DE9"/>
    <w:rsid w:val="00423766"/>
    <w:rsid w:val="004257DF"/>
    <w:rsid w:val="004279F1"/>
    <w:rsid w:val="00435F66"/>
    <w:rsid w:val="004409C5"/>
    <w:rsid w:val="00445CF9"/>
    <w:rsid w:val="00450132"/>
    <w:rsid w:val="004537D9"/>
    <w:rsid w:val="0045653F"/>
    <w:rsid w:val="00461BA8"/>
    <w:rsid w:val="00465F48"/>
    <w:rsid w:val="00475B67"/>
    <w:rsid w:val="00484536"/>
    <w:rsid w:val="0049335D"/>
    <w:rsid w:val="004A2008"/>
    <w:rsid w:val="004B7D72"/>
    <w:rsid w:val="004C72E0"/>
    <w:rsid w:val="004D2577"/>
    <w:rsid w:val="004E1D22"/>
    <w:rsid w:val="004E4894"/>
    <w:rsid w:val="004F1D38"/>
    <w:rsid w:val="004F36E5"/>
    <w:rsid w:val="004F385B"/>
    <w:rsid w:val="004F4DD5"/>
    <w:rsid w:val="00503DAC"/>
    <w:rsid w:val="00516B04"/>
    <w:rsid w:val="00531BFB"/>
    <w:rsid w:val="005322A4"/>
    <w:rsid w:val="0053501E"/>
    <w:rsid w:val="00542923"/>
    <w:rsid w:val="00542F86"/>
    <w:rsid w:val="00545CCB"/>
    <w:rsid w:val="00546063"/>
    <w:rsid w:val="00555FDD"/>
    <w:rsid w:val="0055779D"/>
    <w:rsid w:val="00567C12"/>
    <w:rsid w:val="00571CBF"/>
    <w:rsid w:val="00573E55"/>
    <w:rsid w:val="0058484A"/>
    <w:rsid w:val="00590DB9"/>
    <w:rsid w:val="00594131"/>
    <w:rsid w:val="005A3167"/>
    <w:rsid w:val="005A3F4B"/>
    <w:rsid w:val="005A51DC"/>
    <w:rsid w:val="005B0662"/>
    <w:rsid w:val="005C5702"/>
    <w:rsid w:val="005D4F3E"/>
    <w:rsid w:val="005E70F9"/>
    <w:rsid w:val="005F1696"/>
    <w:rsid w:val="0060092B"/>
    <w:rsid w:val="00611D91"/>
    <w:rsid w:val="006133AD"/>
    <w:rsid w:val="00614CB8"/>
    <w:rsid w:val="00617D64"/>
    <w:rsid w:val="00630F48"/>
    <w:rsid w:val="006334B5"/>
    <w:rsid w:val="00636ABE"/>
    <w:rsid w:val="00643A3D"/>
    <w:rsid w:val="00653AC5"/>
    <w:rsid w:val="00655705"/>
    <w:rsid w:val="00655771"/>
    <w:rsid w:val="00656511"/>
    <w:rsid w:val="00673572"/>
    <w:rsid w:val="00677F30"/>
    <w:rsid w:val="0068607B"/>
    <w:rsid w:val="00690717"/>
    <w:rsid w:val="00691249"/>
    <w:rsid w:val="006943C7"/>
    <w:rsid w:val="006A53AA"/>
    <w:rsid w:val="006C6AA6"/>
    <w:rsid w:val="006D0D2D"/>
    <w:rsid w:val="006D3CE2"/>
    <w:rsid w:val="006E133B"/>
    <w:rsid w:val="006E1892"/>
    <w:rsid w:val="006E20EE"/>
    <w:rsid w:val="006E2B39"/>
    <w:rsid w:val="006F0BA3"/>
    <w:rsid w:val="006F1FE2"/>
    <w:rsid w:val="006F292F"/>
    <w:rsid w:val="00707B54"/>
    <w:rsid w:val="00713D63"/>
    <w:rsid w:val="00722998"/>
    <w:rsid w:val="00730C94"/>
    <w:rsid w:val="0073336C"/>
    <w:rsid w:val="007343E7"/>
    <w:rsid w:val="0074034E"/>
    <w:rsid w:val="007427DB"/>
    <w:rsid w:val="007507B5"/>
    <w:rsid w:val="00753107"/>
    <w:rsid w:val="00757B58"/>
    <w:rsid w:val="00766AFD"/>
    <w:rsid w:val="00771B9F"/>
    <w:rsid w:val="00772A73"/>
    <w:rsid w:val="007764E6"/>
    <w:rsid w:val="00785650"/>
    <w:rsid w:val="00787DD1"/>
    <w:rsid w:val="0079207D"/>
    <w:rsid w:val="00795574"/>
    <w:rsid w:val="00797B06"/>
    <w:rsid w:val="007A4783"/>
    <w:rsid w:val="007B4D85"/>
    <w:rsid w:val="007B69C5"/>
    <w:rsid w:val="007C728D"/>
    <w:rsid w:val="007D0B63"/>
    <w:rsid w:val="007E2154"/>
    <w:rsid w:val="007E226B"/>
    <w:rsid w:val="007E2D9A"/>
    <w:rsid w:val="007E32F0"/>
    <w:rsid w:val="007F4F08"/>
    <w:rsid w:val="00807BB7"/>
    <w:rsid w:val="00810C7A"/>
    <w:rsid w:val="00816E84"/>
    <w:rsid w:val="008251A3"/>
    <w:rsid w:val="00833EFE"/>
    <w:rsid w:val="00840C51"/>
    <w:rsid w:val="008435D9"/>
    <w:rsid w:val="00854E1C"/>
    <w:rsid w:val="008645AF"/>
    <w:rsid w:val="00865E66"/>
    <w:rsid w:val="00870014"/>
    <w:rsid w:val="0087315F"/>
    <w:rsid w:val="00874D53"/>
    <w:rsid w:val="008817DD"/>
    <w:rsid w:val="00883F2F"/>
    <w:rsid w:val="008871BB"/>
    <w:rsid w:val="008A6C91"/>
    <w:rsid w:val="008B2159"/>
    <w:rsid w:val="008B280C"/>
    <w:rsid w:val="008B38F9"/>
    <w:rsid w:val="008C03D3"/>
    <w:rsid w:val="008C6D33"/>
    <w:rsid w:val="008D3652"/>
    <w:rsid w:val="008D7DDA"/>
    <w:rsid w:val="008E02EF"/>
    <w:rsid w:val="00906E68"/>
    <w:rsid w:val="00913197"/>
    <w:rsid w:val="009164F2"/>
    <w:rsid w:val="0092129D"/>
    <w:rsid w:val="00932851"/>
    <w:rsid w:val="00945006"/>
    <w:rsid w:val="009455BA"/>
    <w:rsid w:val="0094706A"/>
    <w:rsid w:val="00947565"/>
    <w:rsid w:val="0095480C"/>
    <w:rsid w:val="00954A19"/>
    <w:rsid w:val="00964AB3"/>
    <w:rsid w:val="00967B35"/>
    <w:rsid w:val="00975A85"/>
    <w:rsid w:val="009769E5"/>
    <w:rsid w:val="00982689"/>
    <w:rsid w:val="00983F57"/>
    <w:rsid w:val="00985FE2"/>
    <w:rsid w:val="009877B5"/>
    <w:rsid w:val="009878EC"/>
    <w:rsid w:val="00987A55"/>
    <w:rsid w:val="00995348"/>
    <w:rsid w:val="009970C1"/>
    <w:rsid w:val="0099744D"/>
    <w:rsid w:val="009A417F"/>
    <w:rsid w:val="009A42C9"/>
    <w:rsid w:val="009A4363"/>
    <w:rsid w:val="009B18F6"/>
    <w:rsid w:val="009B5C21"/>
    <w:rsid w:val="009B6DC4"/>
    <w:rsid w:val="009E3AA6"/>
    <w:rsid w:val="009E5518"/>
    <w:rsid w:val="009F051D"/>
    <w:rsid w:val="009F6D0C"/>
    <w:rsid w:val="00A06705"/>
    <w:rsid w:val="00A10D33"/>
    <w:rsid w:val="00A13611"/>
    <w:rsid w:val="00A13FE0"/>
    <w:rsid w:val="00A23C27"/>
    <w:rsid w:val="00A253A9"/>
    <w:rsid w:val="00A325AD"/>
    <w:rsid w:val="00A417B3"/>
    <w:rsid w:val="00A6128B"/>
    <w:rsid w:val="00A615A2"/>
    <w:rsid w:val="00A62136"/>
    <w:rsid w:val="00A63436"/>
    <w:rsid w:val="00A64B90"/>
    <w:rsid w:val="00A6646E"/>
    <w:rsid w:val="00A674F9"/>
    <w:rsid w:val="00A73107"/>
    <w:rsid w:val="00A7738F"/>
    <w:rsid w:val="00A848C4"/>
    <w:rsid w:val="00A934C5"/>
    <w:rsid w:val="00A96B58"/>
    <w:rsid w:val="00AA7BA9"/>
    <w:rsid w:val="00AB2E19"/>
    <w:rsid w:val="00AB4AC2"/>
    <w:rsid w:val="00AB4D52"/>
    <w:rsid w:val="00AD038B"/>
    <w:rsid w:val="00AD2C62"/>
    <w:rsid w:val="00AE44FA"/>
    <w:rsid w:val="00AF0F98"/>
    <w:rsid w:val="00AF3737"/>
    <w:rsid w:val="00AF5D8B"/>
    <w:rsid w:val="00AF64A9"/>
    <w:rsid w:val="00AF6A37"/>
    <w:rsid w:val="00B017BE"/>
    <w:rsid w:val="00B02163"/>
    <w:rsid w:val="00B11FA0"/>
    <w:rsid w:val="00B218DD"/>
    <w:rsid w:val="00B24778"/>
    <w:rsid w:val="00B37896"/>
    <w:rsid w:val="00B5293B"/>
    <w:rsid w:val="00B77FD5"/>
    <w:rsid w:val="00B81A6F"/>
    <w:rsid w:val="00B82C80"/>
    <w:rsid w:val="00B83EF3"/>
    <w:rsid w:val="00B85FC6"/>
    <w:rsid w:val="00B90073"/>
    <w:rsid w:val="00B92687"/>
    <w:rsid w:val="00BB1FE7"/>
    <w:rsid w:val="00BB3B08"/>
    <w:rsid w:val="00BC59B4"/>
    <w:rsid w:val="00BD4E17"/>
    <w:rsid w:val="00BE0EF3"/>
    <w:rsid w:val="00BE31AC"/>
    <w:rsid w:val="00BF339E"/>
    <w:rsid w:val="00BF3B4C"/>
    <w:rsid w:val="00BF6C47"/>
    <w:rsid w:val="00C02C56"/>
    <w:rsid w:val="00C24E63"/>
    <w:rsid w:val="00C2580A"/>
    <w:rsid w:val="00C27004"/>
    <w:rsid w:val="00C2709E"/>
    <w:rsid w:val="00C306C5"/>
    <w:rsid w:val="00C332D7"/>
    <w:rsid w:val="00C40AAD"/>
    <w:rsid w:val="00C43ED0"/>
    <w:rsid w:val="00C47446"/>
    <w:rsid w:val="00C475D8"/>
    <w:rsid w:val="00C47C37"/>
    <w:rsid w:val="00C5252F"/>
    <w:rsid w:val="00C5795D"/>
    <w:rsid w:val="00C57FD2"/>
    <w:rsid w:val="00C63DB7"/>
    <w:rsid w:val="00C63E6D"/>
    <w:rsid w:val="00C77DCF"/>
    <w:rsid w:val="00C835B8"/>
    <w:rsid w:val="00C86C27"/>
    <w:rsid w:val="00C86FC9"/>
    <w:rsid w:val="00C8725B"/>
    <w:rsid w:val="00CB256E"/>
    <w:rsid w:val="00CB345D"/>
    <w:rsid w:val="00CB3CCD"/>
    <w:rsid w:val="00CB72B6"/>
    <w:rsid w:val="00CC2577"/>
    <w:rsid w:val="00CC267F"/>
    <w:rsid w:val="00CC38BF"/>
    <w:rsid w:val="00CC542A"/>
    <w:rsid w:val="00CD1739"/>
    <w:rsid w:val="00CE1028"/>
    <w:rsid w:val="00CE1DAC"/>
    <w:rsid w:val="00CF225C"/>
    <w:rsid w:val="00CF5EA1"/>
    <w:rsid w:val="00D01C2B"/>
    <w:rsid w:val="00D04D6E"/>
    <w:rsid w:val="00D05477"/>
    <w:rsid w:val="00D1172E"/>
    <w:rsid w:val="00D11A9D"/>
    <w:rsid w:val="00D14ED7"/>
    <w:rsid w:val="00D230A0"/>
    <w:rsid w:val="00D270EA"/>
    <w:rsid w:val="00D30800"/>
    <w:rsid w:val="00D37579"/>
    <w:rsid w:val="00D408EE"/>
    <w:rsid w:val="00D4336C"/>
    <w:rsid w:val="00D47432"/>
    <w:rsid w:val="00D572BF"/>
    <w:rsid w:val="00D65442"/>
    <w:rsid w:val="00D84CBC"/>
    <w:rsid w:val="00D85EC8"/>
    <w:rsid w:val="00D91518"/>
    <w:rsid w:val="00D93BAE"/>
    <w:rsid w:val="00D9535C"/>
    <w:rsid w:val="00DA086C"/>
    <w:rsid w:val="00DA1614"/>
    <w:rsid w:val="00DA4F22"/>
    <w:rsid w:val="00DA685B"/>
    <w:rsid w:val="00DB70B8"/>
    <w:rsid w:val="00DC15EC"/>
    <w:rsid w:val="00DC4F70"/>
    <w:rsid w:val="00DC77F2"/>
    <w:rsid w:val="00DD496E"/>
    <w:rsid w:val="00DD65A3"/>
    <w:rsid w:val="00DD6C00"/>
    <w:rsid w:val="00DD77A2"/>
    <w:rsid w:val="00DE390C"/>
    <w:rsid w:val="00DE666B"/>
    <w:rsid w:val="00DF110B"/>
    <w:rsid w:val="00DF2E20"/>
    <w:rsid w:val="00DF590B"/>
    <w:rsid w:val="00E10B58"/>
    <w:rsid w:val="00E145D6"/>
    <w:rsid w:val="00E17509"/>
    <w:rsid w:val="00E20CA9"/>
    <w:rsid w:val="00E331B8"/>
    <w:rsid w:val="00E36622"/>
    <w:rsid w:val="00E3711D"/>
    <w:rsid w:val="00E41FAB"/>
    <w:rsid w:val="00E47CFF"/>
    <w:rsid w:val="00E72142"/>
    <w:rsid w:val="00E756B4"/>
    <w:rsid w:val="00E75992"/>
    <w:rsid w:val="00E81FC2"/>
    <w:rsid w:val="00E844DA"/>
    <w:rsid w:val="00E84C0D"/>
    <w:rsid w:val="00E86ADE"/>
    <w:rsid w:val="00E914B8"/>
    <w:rsid w:val="00E93EEF"/>
    <w:rsid w:val="00E966EB"/>
    <w:rsid w:val="00E96F52"/>
    <w:rsid w:val="00E97DBF"/>
    <w:rsid w:val="00EA05C8"/>
    <w:rsid w:val="00EA11F5"/>
    <w:rsid w:val="00EA4F72"/>
    <w:rsid w:val="00EB57B0"/>
    <w:rsid w:val="00EB6139"/>
    <w:rsid w:val="00EB6F5C"/>
    <w:rsid w:val="00EC0C15"/>
    <w:rsid w:val="00EC1072"/>
    <w:rsid w:val="00EC1CDC"/>
    <w:rsid w:val="00ED0CDE"/>
    <w:rsid w:val="00ED4DAA"/>
    <w:rsid w:val="00ED6102"/>
    <w:rsid w:val="00EE2717"/>
    <w:rsid w:val="00EF0D7B"/>
    <w:rsid w:val="00EF2608"/>
    <w:rsid w:val="00EF4D89"/>
    <w:rsid w:val="00EF6B71"/>
    <w:rsid w:val="00F00254"/>
    <w:rsid w:val="00F16ADA"/>
    <w:rsid w:val="00F2368C"/>
    <w:rsid w:val="00F23FB1"/>
    <w:rsid w:val="00F36B98"/>
    <w:rsid w:val="00F43E48"/>
    <w:rsid w:val="00F51162"/>
    <w:rsid w:val="00F64509"/>
    <w:rsid w:val="00F651B3"/>
    <w:rsid w:val="00F664CB"/>
    <w:rsid w:val="00F81CC6"/>
    <w:rsid w:val="00F81D6F"/>
    <w:rsid w:val="00F82B87"/>
    <w:rsid w:val="00F82E5D"/>
    <w:rsid w:val="00F84C86"/>
    <w:rsid w:val="00F90897"/>
    <w:rsid w:val="00F94F41"/>
    <w:rsid w:val="00FA4234"/>
    <w:rsid w:val="00FA659C"/>
    <w:rsid w:val="00FB0E5B"/>
    <w:rsid w:val="00FC546E"/>
    <w:rsid w:val="00FD1A1C"/>
    <w:rsid w:val="00FD7497"/>
    <w:rsid w:val="00FE57EF"/>
    <w:rsid w:val="00FE7646"/>
    <w:rsid w:val="00FF5BD0"/>
    <w:rsid w:val="00FF6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37"/>
  </w:style>
  <w:style w:type="paragraph" w:styleId="Heading1">
    <w:name w:val="heading 1"/>
    <w:basedOn w:val="Normal"/>
    <w:next w:val="Normal"/>
    <w:link w:val="Heading1Char"/>
    <w:uiPriority w:val="9"/>
    <w:qFormat/>
    <w:rsid w:val="00E14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08"/>
    <w:pPr>
      <w:ind w:left="720"/>
      <w:contextualSpacing/>
    </w:pPr>
  </w:style>
  <w:style w:type="paragraph" w:styleId="Header">
    <w:name w:val="header"/>
    <w:basedOn w:val="Normal"/>
    <w:link w:val="HeaderChar"/>
    <w:uiPriority w:val="99"/>
    <w:unhideWhenUsed/>
    <w:rsid w:val="0079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06"/>
  </w:style>
  <w:style w:type="paragraph" w:styleId="Footer">
    <w:name w:val="footer"/>
    <w:basedOn w:val="Normal"/>
    <w:link w:val="FooterChar"/>
    <w:uiPriority w:val="99"/>
    <w:unhideWhenUsed/>
    <w:rsid w:val="0079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06"/>
  </w:style>
  <w:style w:type="paragraph" w:styleId="EndnoteText">
    <w:name w:val="endnote text"/>
    <w:basedOn w:val="Normal"/>
    <w:link w:val="EndnoteTextChar"/>
    <w:uiPriority w:val="99"/>
    <w:semiHidden/>
    <w:unhideWhenUsed/>
    <w:rsid w:val="002A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A8A"/>
    <w:rPr>
      <w:sz w:val="20"/>
      <w:szCs w:val="20"/>
    </w:rPr>
  </w:style>
  <w:style w:type="character" w:styleId="EndnoteReference">
    <w:name w:val="endnote reference"/>
    <w:basedOn w:val="DefaultParagraphFont"/>
    <w:uiPriority w:val="99"/>
    <w:semiHidden/>
    <w:unhideWhenUsed/>
    <w:rsid w:val="002A7A8A"/>
    <w:rPr>
      <w:vertAlign w:val="superscript"/>
    </w:rPr>
  </w:style>
  <w:style w:type="paragraph" w:styleId="FootnoteText">
    <w:name w:val="footnote text"/>
    <w:basedOn w:val="Normal"/>
    <w:link w:val="FootnoteTextChar"/>
    <w:uiPriority w:val="99"/>
    <w:unhideWhenUsed/>
    <w:rsid w:val="00D270EA"/>
    <w:pPr>
      <w:spacing w:after="0" w:line="240" w:lineRule="auto"/>
    </w:pPr>
    <w:rPr>
      <w:sz w:val="20"/>
      <w:szCs w:val="20"/>
    </w:rPr>
  </w:style>
  <w:style w:type="character" w:customStyle="1" w:styleId="FootnoteTextChar">
    <w:name w:val="Footnote Text Char"/>
    <w:basedOn w:val="DefaultParagraphFont"/>
    <w:link w:val="FootnoteText"/>
    <w:uiPriority w:val="99"/>
    <w:rsid w:val="00D270EA"/>
    <w:rPr>
      <w:sz w:val="20"/>
      <w:szCs w:val="20"/>
    </w:rPr>
  </w:style>
  <w:style w:type="character" w:styleId="FootnoteReference">
    <w:name w:val="footnote reference"/>
    <w:basedOn w:val="DefaultParagraphFont"/>
    <w:uiPriority w:val="99"/>
    <w:semiHidden/>
    <w:unhideWhenUsed/>
    <w:rsid w:val="00D270EA"/>
    <w:rPr>
      <w:vertAlign w:val="superscript"/>
    </w:rPr>
  </w:style>
  <w:style w:type="character" w:styleId="PageNumber">
    <w:name w:val="page number"/>
    <w:basedOn w:val="DefaultParagraphFont"/>
    <w:uiPriority w:val="99"/>
    <w:semiHidden/>
    <w:unhideWhenUsed/>
    <w:rsid w:val="007F4F08"/>
  </w:style>
  <w:style w:type="character" w:styleId="Hyperlink">
    <w:name w:val="Hyperlink"/>
    <w:basedOn w:val="DefaultParagraphFont"/>
    <w:uiPriority w:val="99"/>
    <w:semiHidden/>
    <w:unhideWhenUsed/>
    <w:rsid w:val="00865E66"/>
    <w:rPr>
      <w:color w:val="00008B"/>
      <w:u w:val="single"/>
    </w:rPr>
  </w:style>
  <w:style w:type="character" w:customStyle="1" w:styleId="term1">
    <w:name w:val="term1"/>
    <w:basedOn w:val="DefaultParagraphFont"/>
    <w:rsid w:val="00E756B4"/>
    <w:rPr>
      <w:b/>
      <w:bCs/>
    </w:rPr>
  </w:style>
  <w:style w:type="paragraph" w:styleId="BodyText">
    <w:name w:val="Body Text"/>
    <w:aliases w:val="bt"/>
    <w:basedOn w:val="Normal"/>
    <w:link w:val="BodyTextChar"/>
    <w:rsid w:val="009F051D"/>
    <w:pPr>
      <w:spacing w:after="240" w:line="240" w:lineRule="auto"/>
      <w:ind w:firstLine="720"/>
    </w:pPr>
    <w:rPr>
      <w:rFonts w:ascii="Times New Roman" w:eastAsia="Times New Roman" w:hAnsi="Times New Roman" w:cs="Times New Roman"/>
      <w:kern w:val="24"/>
      <w:sz w:val="24"/>
      <w:szCs w:val="20"/>
    </w:rPr>
  </w:style>
  <w:style w:type="character" w:customStyle="1" w:styleId="BodyTextChar">
    <w:name w:val="Body Text Char"/>
    <w:aliases w:val="bt Char"/>
    <w:basedOn w:val="DefaultParagraphFont"/>
    <w:link w:val="BodyText"/>
    <w:rsid w:val="009F051D"/>
    <w:rPr>
      <w:rFonts w:ascii="Times New Roman" w:eastAsia="Times New Roman" w:hAnsi="Times New Roman" w:cs="Times New Roman"/>
      <w:kern w:val="24"/>
      <w:sz w:val="24"/>
      <w:szCs w:val="20"/>
    </w:rPr>
  </w:style>
  <w:style w:type="paragraph" w:styleId="Signature">
    <w:name w:val="Signature"/>
    <w:basedOn w:val="Normal"/>
    <w:link w:val="SignatureChar"/>
    <w:rsid w:val="009F051D"/>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9F051D"/>
    <w:rPr>
      <w:rFonts w:ascii="Times New Roman" w:eastAsia="Times New Roman" w:hAnsi="Times New Roman" w:cs="Times New Roman"/>
      <w:kern w:val="24"/>
      <w:sz w:val="24"/>
      <w:szCs w:val="20"/>
    </w:rPr>
  </w:style>
  <w:style w:type="paragraph" w:customStyle="1" w:styleId="TxBrp12">
    <w:name w:val="TxBr_p12"/>
    <w:basedOn w:val="Normal"/>
    <w:rsid w:val="009F051D"/>
    <w:pPr>
      <w:widowControl w:val="0"/>
      <w:tabs>
        <w:tab w:val="left" w:pos="674"/>
      </w:tabs>
      <w:autoSpaceDE w:val="0"/>
      <w:autoSpaceDN w:val="0"/>
      <w:adjustRightInd w:val="0"/>
      <w:spacing w:after="0" w:line="515" w:lineRule="atLeast"/>
      <w:ind w:firstLine="675"/>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0A4C"/>
    <w:rPr>
      <w:sz w:val="16"/>
      <w:szCs w:val="16"/>
    </w:rPr>
  </w:style>
  <w:style w:type="paragraph" w:styleId="CommentText">
    <w:name w:val="annotation text"/>
    <w:basedOn w:val="Normal"/>
    <w:link w:val="CommentTextChar"/>
    <w:uiPriority w:val="99"/>
    <w:semiHidden/>
    <w:unhideWhenUsed/>
    <w:rsid w:val="000E0A4C"/>
    <w:pPr>
      <w:spacing w:line="240" w:lineRule="auto"/>
    </w:pPr>
    <w:rPr>
      <w:sz w:val="20"/>
      <w:szCs w:val="20"/>
    </w:rPr>
  </w:style>
  <w:style w:type="character" w:customStyle="1" w:styleId="CommentTextChar">
    <w:name w:val="Comment Text Char"/>
    <w:basedOn w:val="DefaultParagraphFont"/>
    <w:link w:val="CommentText"/>
    <w:uiPriority w:val="99"/>
    <w:semiHidden/>
    <w:rsid w:val="000E0A4C"/>
    <w:rPr>
      <w:sz w:val="20"/>
      <w:szCs w:val="20"/>
    </w:rPr>
  </w:style>
  <w:style w:type="paragraph" w:styleId="CommentSubject">
    <w:name w:val="annotation subject"/>
    <w:basedOn w:val="CommentText"/>
    <w:next w:val="CommentText"/>
    <w:link w:val="CommentSubjectChar"/>
    <w:uiPriority w:val="99"/>
    <w:semiHidden/>
    <w:unhideWhenUsed/>
    <w:rsid w:val="000E0A4C"/>
    <w:rPr>
      <w:b/>
      <w:bCs/>
    </w:rPr>
  </w:style>
  <w:style w:type="character" w:customStyle="1" w:styleId="CommentSubjectChar">
    <w:name w:val="Comment Subject Char"/>
    <w:basedOn w:val="CommentTextChar"/>
    <w:link w:val="CommentSubject"/>
    <w:uiPriority w:val="99"/>
    <w:semiHidden/>
    <w:rsid w:val="000E0A4C"/>
    <w:rPr>
      <w:b/>
      <w:bCs/>
      <w:sz w:val="20"/>
      <w:szCs w:val="20"/>
    </w:rPr>
  </w:style>
  <w:style w:type="paragraph" w:styleId="BalloonText">
    <w:name w:val="Balloon Text"/>
    <w:basedOn w:val="Normal"/>
    <w:link w:val="BalloonTextChar"/>
    <w:uiPriority w:val="99"/>
    <w:semiHidden/>
    <w:unhideWhenUsed/>
    <w:rsid w:val="000E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A4C"/>
    <w:rPr>
      <w:rFonts w:ascii="Tahoma" w:hAnsi="Tahoma" w:cs="Tahoma"/>
      <w:sz w:val="16"/>
      <w:szCs w:val="16"/>
    </w:rPr>
  </w:style>
  <w:style w:type="table" w:styleId="TableGrid">
    <w:name w:val="Table Grid"/>
    <w:basedOn w:val="TableNormal"/>
    <w:rsid w:val="005322A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45D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08"/>
    <w:pPr>
      <w:ind w:left="720"/>
      <w:contextualSpacing/>
    </w:pPr>
  </w:style>
  <w:style w:type="paragraph" w:styleId="Header">
    <w:name w:val="header"/>
    <w:basedOn w:val="Normal"/>
    <w:link w:val="HeaderChar"/>
    <w:uiPriority w:val="99"/>
    <w:unhideWhenUsed/>
    <w:rsid w:val="0079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06"/>
  </w:style>
  <w:style w:type="paragraph" w:styleId="Footer">
    <w:name w:val="footer"/>
    <w:basedOn w:val="Normal"/>
    <w:link w:val="FooterChar"/>
    <w:uiPriority w:val="99"/>
    <w:unhideWhenUsed/>
    <w:rsid w:val="0079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06"/>
  </w:style>
  <w:style w:type="paragraph" w:styleId="EndnoteText">
    <w:name w:val="endnote text"/>
    <w:basedOn w:val="Normal"/>
    <w:link w:val="EndnoteTextChar"/>
    <w:uiPriority w:val="99"/>
    <w:semiHidden/>
    <w:unhideWhenUsed/>
    <w:rsid w:val="002A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A8A"/>
    <w:rPr>
      <w:sz w:val="20"/>
      <w:szCs w:val="20"/>
    </w:rPr>
  </w:style>
  <w:style w:type="character" w:styleId="EndnoteReference">
    <w:name w:val="endnote reference"/>
    <w:basedOn w:val="DefaultParagraphFont"/>
    <w:uiPriority w:val="99"/>
    <w:semiHidden/>
    <w:unhideWhenUsed/>
    <w:rsid w:val="002A7A8A"/>
    <w:rPr>
      <w:vertAlign w:val="superscript"/>
    </w:rPr>
  </w:style>
  <w:style w:type="paragraph" w:styleId="FootnoteText">
    <w:name w:val="footnote text"/>
    <w:basedOn w:val="Normal"/>
    <w:link w:val="FootnoteTextChar"/>
    <w:uiPriority w:val="99"/>
    <w:unhideWhenUsed/>
    <w:rsid w:val="00D270EA"/>
    <w:pPr>
      <w:spacing w:after="0" w:line="240" w:lineRule="auto"/>
    </w:pPr>
    <w:rPr>
      <w:sz w:val="20"/>
      <w:szCs w:val="20"/>
    </w:rPr>
  </w:style>
  <w:style w:type="character" w:customStyle="1" w:styleId="FootnoteTextChar">
    <w:name w:val="Footnote Text Char"/>
    <w:basedOn w:val="DefaultParagraphFont"/>
    <w:link w:val="FootnoteText"/>
    <w:uiPriority w:val="99"/>
    <w:rsid w:val="00D270EA"/>
    <w:rPr>
      <w:sz w:val="20"/>
      <w:szCs w:val="20"/>
    </w:rPr>
  </w:style>
  <w:style w:type="character" w:styleId="FootnoteReference">
    <w:name w:val="footnote reference"/>
    <w:basedOn w:val="DefaultParagraphFont"/>
    <w:uiPriority w:val="99"/>
    <w:semiHidden/>
    <w:unhideWhenUsed/>
    <w:rsid w:val="00D270EA"/>
    <w:rPr>
      <w:vertAlign w:val="superscript"/>
    </w:rPr>
  </w:style>
  <w:style w:type="character" w:styleId="PageNumber">
    <w:name w:val="page number"/>
    <w:basedOn w:val="DefaultParagraphFont"/>
    <w:uiPriority w:val="99"/>
    <w:semiHidden/>
    <w:unhideWhenUsed/>
    <w:rsid w:val="007F4F08"/>
  </w:style>
  <w:style w:type="character" w:styleId="Hyperlink">
    <w:name w:val="Hyperlink"/>
    <w:basedOn w:val="DefaultParagraphFont"/>
    <w:uiPriority w:val="99"/>
    <w:semiHidden/>
    <w:unhideWhenUsed/>
    <w:rsid w:val="00865E66"/>
    <w:rPr>
      <w:color w:val="00008B"/>
      <w:u w:val="single"/>
    </w:rPr>
  </w:style>
  <w:style w:type="character" w:customStyle="1" w:styleId="term1">
    <w:name w:val="term1"/>
    <w:basedOn w:val="DefaultParagraphFont"/>
    <w:rsid w:val="00E756B4"/>
    <w:rPr>
      <w:b/>
      <w:bCs/>
    </w:rPr>
  </w:style>
  <w:style w:type="paragraph" w:styleId="BodyText">
    <w:name w:val="Body Text"/>
    <w:aliases w:val="bt"/>
    <w:basedOn w:val="Normal"/>
    <w:link w:val="BodyTextChar"/>
    <w:rsid w:val="009F051D"/>
    <w:pPr>
      <w:spacing w:after="240" w:line="240" w:lineRule="auto"/>
      <w:ind w:firstLine="720"/>
    </w:pPr>
    <w:rPr>
      <w:rFonts w:ascii="Times New Roman" w:eastAsia="Times New Roman" w:hAnsi="Times New Roman" w:cs="Times New Roman"/>
      <w:kern w:val="24"/>
      <w:sz w:val="24"/>
      <w:szCs w:val="20"/>
    </w:rPr>
  </w:style>
  <w:style w:type="character" w:customStyle="1" w:styleId="BodyTextChar">
    <w:name w:val="Body Text Char"/>
    <w:aliases w:val="bt Char"/>
    <w:basedOn w:val="DefaultParagraphFont"/>
    <w:link w:val="BodyText"/>
    <w:rsid w:val="009F051D"/>
    <w:rPr>
      <w:rFonts w:ascii="Times New Roman" w:eastAsia="Times New Roman" w:hAnsi="Times New Roman" w:cs="Times New Roman"/>
      <w:kern w:val="24"/>
      <w:sz w:val="24"/>
      <w:szCs w:val="20"/>
    </w:rPr>
  </w:style>
  <w:style w:type="paragraph" w:styleId="Signature">
    <w:name w:val="Signature"/>
    <w:basedOn w:val="Normal"/>
    <w:link w:val="SignatureChar"/>
    <w:rsid w:val="009F051D"/>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9F051D"/>
    <w:rPr>
      <w:rFonts w:ascii="Times New Roman" w:eastAsia="Times New Roman" w:hAnsi="Times New Roman" w:cs="Times New Roman"/>
      <w:kern w:val="24"/>
      <w:sz w:val="24"/>
      <w:szCs w:val="20"/>
    </w:rPr>
  </w:style>
  <w:style w:type="paragraph" w:customStyle="1" w:styleId="TxBrp12">
    <w:name w:val="TxBr_p12"/>
    <w:basedOn w:val="Normal"/>
    <w:rsid w:val="009F051D"/>
    <w:pPr>
      <w:widowControl w:val="0"/>
      <w:tabs>
        <w:tab w:val="left" w:pos="674"/>
      </w:tabs>
      <w:autoSpaceDE w:val="0"/>
      <w:autoSpaceDN w:val="0"/>
      <w:adjustRightInd w:val="0"/>
      <w:spacing w:after="0" w:line="515" w:lineRule="atLeast"/>
      <w:ind w:firstLine="67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41079">
      <w:bodyDiv w:val="1"/>
      <w:marLeft w:val="0"/>
      <w:marRight w:val="0"/>
      <w:marTop w:val="0"/>
      <w:marBottom w:val="0"/>
      <w:divBdr>
        <w:top w:val="none" w:sz="0" w:space="0" w:color="auto"/>
        <w:left w:val="none" w:sz="0" w:space="0" w:color="auto"/>
        <w:bottom w:val="none" w:sz="0" w:space="0" w:color="auto"/>
        <w:right w:val="none" w:sz="0" w:space="0" w:color="auto"/>
      </w:divBdr>
      <w:divsChild>
        <w:div w:id="2437213">
          <w:marLeft w:val="0"/>
          <w:marRight w:val="-5040"/>
          <w:marTop w:val="0"/>
          <w:marBottom w:val="0"/>
          <w:divBdr>
            <w:top w:val="none" w:sz="0" w:space="0" w:color="auto"/>
            <w:left w:val="none" w:sz="0" w:space="0" w:color="auto"/>
            <w:bottom w:val="none" w:sz="0" w:space="0" w:color="auto"/>
            <w:right w:val="none" w:sz="0" w:space="0" w:color="auto"/>
          </w:divBdr>
          <w:divsChild>
            <w:div w:id="1446458538">
              <w:marLeft w:val="0"/>
              <w:marRight w:val="5040"/>
              <w:marTop w:val="0"/>
              <w:marBottom w:val="0"/>
              <w:divBdr>
                <w:top w:val="none" w:sz="0" w:space="0" w:color="auto"/>
                <w:left w:val="none" w:sz="0" w:space="0" w:color="auto"/>
                <w:bottom w:val="none" w:sz="0" w:space="0" w:color="auto"/>
                <w:right w:val="none" w:sz="0" w:space="0" w:color="auto"/>
              </w:divBdr>
              <w:divsChild>
                <w:div w:id="1280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004">
      <w:bodyDiv w:val="1"/>
      <w:marLeft w:val="0"/>
      <w:marRight w:val="0"/>
      <w:marTop w:val="0"/>
      <w:marBottom w:val="0"/>
      <w:divBdr>
        <w:top w:val="none" w:sz="0" w:space="0" w:color="auto"/>
        <w:left w:val="none" w:sz="0" w:space="0" w:color="auto"/>
        <w:bottom w:val="none" w:sz="0" w:space="0" w:color="auto"/>
        <w:right w:val="none" w:sz="0" w:space="0" w:color="auto"/>
      </w:divBdr>
      <w:divsChild>
        <w:div w:id="61997153">
          <w:marLeft w:val="0"/>
          <w:marRight w:val="-5040"/>
          <w:marTop w:val="0"/>
          <w:marBottom w:val="0"/>
          <w:divBdr>
            <w:top w:val="none" w:sz="0" w:space="0" w:color="auto"/>
            <w:left w:val="none" w:sz="0" w:space="0" w:color="auto"/>
            <w:bottom w:val="none" w:sz="0" w:space="0" w:color="auto"/>
            <w:right w:val="none" w:sz="0" w:space="0" w:color="auto"/>
          </w:divBdr>
          <w:divsChild>
            <w:div w:id="265815527">
              <w:marLeft w:val="0"/>
              <w:marRight w:val="5040"/>
              <w:marTop w:val="0"/>
              <w:marBottom w:val="0"/>
              <w:divBdr>
                <w:top w:val="none" w:sz="0" w:space="0" w:color="auto"/>
                <w:left w:val="none" w:sz="0" w:space="0" w:color="auto"/>
                <w:bottom w:val="none" w:sz="0" w:space="0" w:color="auto"/>
                <w:right w:val="none" w:sz="0" w:space="0" w:color="auto"/>
              </w:divBdr>
              <w:divsChild>
                <w:div w:id="263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5977">
      <w:bodyDiv w:val="1"/>
      <w:marLeft w:val="0"/>
      <w:marRight w:val="0"/>
      <w:marTop w:val="0"/>
      <w:marBottom w:val="0"/>
      <w:divBdr>
        <w:top w:val="none" w:sz="0" w:space="0" w:color="auto"/>
        <w:left w:val="none" w:sz="0" w:space="0" w:color="auto"/>
        <w:bottom w:val="none" w:sz="0" w:space="0" w:color="auto"/>
        <w:right w:val="none" w:sz="0" w:space="0" w:color="auto"/>
      </w:divBdr>
      <w:divsChild>
        <w:div w:id="24599021">
          <w:marLeft w:val="0"/>
          <w:marRight w:val="-5040"/>
          <w:marTop w:val="0"/>
          <w:marBottom w:val="0"/>
          <w:divBdr>
            <w:top w:val="none" w:sz="0" w:space="0" w:color="auto"/>
            <w:left w:val="none" w:sz="0" w:space="0" w:color="auto"/>
            <w:bottom w:val="none" w:sz="0" w:space="0" w:color="auto"/>
            <w:right w:val="none" w:sz="0" w:space="0" w:color="auto"/>
          </w:divBdr>
          <w:divsChild>
            <w:div w:id="737947061">
              <w:marLeft w:val="0"/>
              <w:marRight w:val="5040"/>
              <w:marTop w:val="0"/>
              <w:marBottom w:val="0"/>
              <w:divBdr>
                <w:top w:val="none" w:sz="0" w:space="0" w:color="auto"/>
                <w:left w:val="none" w:sz="0" w:space="0" w:color="auto"/>
                <w:bottom w:val="none" w:sz="0" w:space="0" w:color="auto"/>
                <w:right w:val="none" w:sz="0" w:space="0" w:color="auto"/>
              </w:divBdr>
              <w:divsChild>
                <w:div w:id="16748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6978">
      <w:bodyDiv w:val="1"/>
      <w:marLeft w:val="0"/>
      <w:marRight w:val="0"/>
      <w:marTop w:val="0"/>
      <w:marBottom w:val="0"/>
      <w:divBdr>
        <w:top w:val="none" w:sz="0" w:space="0" w:color="auto"/>
        <w:left w:val="none" w:sz="0" w:space="0" w:color="auto"/>
        <w:bottom w:val="none" w:sz="0" w:space="0" w:color="auto"/>
        <w:right w:val="none" w:sz="0" w:space="0" w:color="auto"/>
      </w:divBdr>
      <w:divsChild>
        <w:div w:id="2139102818">
          <w:marLeft w:val="0"/>
          <w:marRight w:val="-5040"/>
          <w:marTop w:val="0"/>
          <w:marBottom w:val="0"/>
          <w:divBdr>
            <w:top w:val="none" w:sz="0" w:space="0" w:color="auto"/>
            <w:left w:val="none" w:sz="0" w:space="0" w:color="auto"/>
            <w:bottom w:val="none" w:sz="0" w:space="0" w:color="auto"/>
            <w:right w:val="none" w:sz="0" w:space="0" w:color="auto"/>
          </w:divBdr>
          <w:divsChild>
            <w:div w:id="1646156619">
              <w:marLeft w:val="0"/>
              <w:marRight w:val="5040"/>
              <w:marTop w:val="0"/>
              <w:marBottom w:val="0"/>
              <w:divBdr>
                <w:top w:val="none" w:sz="0" w:space="0" w:color="auto"/>
                <w:left w:val="none" w:sz="0" w:space="0" w:color="auto"/>
                <w:bottom w:val="none" w:sz="0" w:space="0" w:color="auto"/>
                <w:right w:val="none" w:sz="0" w:space="0" w:color="auto"/>
              </w:divBdr>
              <w:divsChild>
                <w:div w:id="11329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8637">
      <w:bodyDiv w:val="1"/>
      <w:marLeft w:val="0"/>
      <w:marRight w:val="0"/>
      <w:marTop w:val="0"/>
      <w:marBottom w:val="0"/>
      <w:divBdr>
        <w:top w:val="none" w:sz="0" w:space="0" w:color="auto"/>
        <w:left w:val="none" w:sz="0" w:space="0" w:color="auto"/>
        <w:bottom w:val="none" w:sz="0" w:space="0" w:color="auto"/>
        <w:right w:val="none" w:sz="0" w:space="0" w:color="auto"/>
      </w:divBdr>
      <w:divsChild>
        <w:div w:id="1771463134">
          <w:marLeft w:val="0"/>
          <w:marRight w:val="-5040"/>
          <w:marTop w:val="0"/>
          <w:marBottom w:val="0"/>
          <w:divBdr>
            <w:top w:val="none" w:sz="0" w:space="0" w:color="auto"/>
            <w:left w:val="none" w:sz="0" w:space="0" w:color="auto"/>
            <w:bottom w:val="none" w:sz="0" w:space="0" w:color="auto"/>
            <w:right w:val="none" w:sz="0" w:space="0" w:color="auto"/>
          </w:divBdr>
          <w:divsChild>
            <w:div w:id="185758147">
              <w:marLeft w:val="0"/>
              <w:marRight w:val="5040"/>
              <w:marTop w:val="0"/>
              <w:marBottom w:val="0"/>
              <w:divBdr>
                <w:top w:val="none" w:sz="0" w:space="0" w:color="auto"/>
                <w:left w:val="none" w:sz="0" w:space="0" w:color="auto"/>
                <w:bottom w:val="none" w:sz="0" w:space="0" w:color="auto"/>
                <w:right w:val="none" w:sz="0" w:space="0" w:color="auto"/>
              </w:divBdr>
              <w:divsChild>
                <w:div w:id="1822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0634">
      <w:bodyDiv w:val="1"/>
      <w:marLeft w:val="0"/>
      <w:marRight w:val="0"/>
      <w:marTop w:val="0"/>
      <w:marBottom w:val="0"/>
      <w:divBdr>
        <w:top w:val="none" w:sz="0" w:space="0" w:color="auto"/>
        <w:left w:val="none" w:sz="0" w:space="0" w:color="auto"/>
        <w:bottom w:val="none" w:sz="0" w:space="0" w:color="auto"/>
        <w:right w:val="none" w:sz="0" w:space="0" w:color="auto"/>
      </w:divBdr>
      <w:divsChild>
        <w:div w:id="369719650">
          <w:marLeft w:val="0"/>
          <w:marRight w:val="-5040"/>
          <w:marTop w:val="0"/>
          <w:marBottom w:val="0"/>
          <w:divBdr>
            <w:top w:val="none" w:sz="0" w:space="0" w:color="auto"/>
            <w:left w:val="none" w:sz="0" w:space="0" w:color="auto"/>
            <w:bottom w:val="none" w:sz="0" w:space="0" w:color="auto"/>
            <w:right w:val="none" w:sz="0" w:space="0" w:color="auto"/>
          </w:divBdr>
          <w:divsChild>
            <w:div w:id="444350335">
              <w:marLeft w:val="0"/>
              <w:marRight w:val="5040"/>
              <w:marTop w:val="0"/>
              <w:marBottom w:val="0"/>
              <w:divBdr>
                <w:top w:val="none" w:sz="0" w:space="0" w:color="auto"/>
                <w:left w:val="none" w:sz="0" w:space="0" w:color="auto"/>
                <w:bottom w:val="none" w:sz="0" w:space="0" w:color="auto"/>
                <w:right w:val="none" w:sz="0" w:space="0" w:color="auto"/>
              </w:divBdr>
              <w:divsChild>
                <w:div w:id="20505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4762">
      <w:bodyDiv w:val="1"/>
      <w:marLeft w:val="0"/>
      <w:marRight w:val="0"/>
      <w:marTop w:val="0"/>
      <w:marBottom w:val="0"/>
      <w:divBdr>
        <w:top w:val="none" w:sz="0" w:space="0" w:color="auto"/>
        <w:left w:val="none" w:sz="0" w:space="0" w:color="auto"/>
        <w:bottom w:val="none" w:sz="0" w:space="0" w:color="auto"/>
        <w:right w:val="none" w:sz="0" w:space="0" w:color="auto"/>
      </w:divBdr>
      <w:divsChild>
        <w:div w:id="1049961204">
          <w:marLeft w:val="0"/>
          <w:marRight w:val="-5040"/>
          <w:marTop w:val="0"/>
          <w:marBottom w:val="0"/>
          <w:divBdr>
            <w:top w:val="none" w:sz="0" w:space="0" w:color="auto"/>
            <w:left w:val="none" w:sz="0" w:space="0" w:color="auto"/>
            <w:bottom w:val="none" w:sz="0" w:space="0" w:color="auto"/>
            <w:right w:val="none" w:sz="0" w:space="0" w:color="auto"/>
          </w:divBdr>
          <w:divsChild>
            <w:div w:id="419840616">
              <w:marLeft w:val="0"/>
              <w:marRight w:val="5040"/>
              <w:marTop w:val="0"/>
              <w:marBottom w:val="0"/>
              <w:divBdr>
                <w:top w:val="none" w:sz="0" w:space="0" w:color="auto"/>
                <w:left w:val="none" w:sz="0" w:space="0" w:color="auto"/>
                <w:bottom w:val="none" w:sz="0" w:space="0" w:color="auto"/>
                <w:right w:val="none" w:sz="0" w:space="0" w:color="auto"/>
              </w:divBdr>
              <w:divsChild>
                <w:div w:id="4379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340">
      <w:bodyDiv w:val="1"/>
      <w:marLeft w:val="0"/>
      <w:marRight w:val="0"/>
      <w:marTop w:val="0"/>
      <w:marBottom w:val="0"/>
      <w:divBdr>
        <w:top w:val="none" w:sz="0" w:space="0" w:color="auto"/>
        <w:left w:val="none" w:sz="0" w:space="0" w:color="auto"/>
        <w:bottom w:val="none" w:sz="0" w:space="0" w:color="auto"/>
        <w:right w:val="none" w:sz="0" w:space="0" w:color="auto"/>
      </w:divBdr>
      <w:divsChild>
        <w:div w:id="207186424">
          <w:marLeft w:val="0"/>
          <w:marRight w:val="-5040"/>
          <w:marTop w:val="0"/>
          <w:marBottom w:val="0"/>
          <w:divBdr>
            <w:top w:val="none" w:sz="0" w:space="0" w:color="auto"/>
            <w:left w:val="none" w:sz="0" w:space="0" w:color="auto"/>
            <w:bottom w:val="none" w:sz="0" w:space="0" w:color="auto"/>
            <w:right w:val="none" w:sz="0" w:space="0" w:color="auto"/>
          </w:divBdr>
          <w:divsChild>
            <w:div w:id="1835025920">
              <w:marLeft w:val="0"/>
              <w:marRight w:val="5040"/>
              <w:marTop w:val="0"/>
              <w:marBottom w:val="0"/>
              <w:divBdr>
                <w:top w:val="none" w:sz="0" w:space="0" w:color="auto"/>
                <w:left w:val="none" w:sz="0" w:space="0" w:color="auto"/>
                <w:bottom w:val="none" w:sz="0" w:space="0" w:color="auto"/>
                <w:right w:val="none" w:sz="0" w:space="0" w:color="auto"/>
              </w:divBdr>
              <w:divsChild>
                <w:div w:id="6835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2784">
      <w:bodyDiv w:val="1"/>
      <w:marLeft w:val="0"/>
      <w:marRight w:val="0"/>
      <w:marTop w:val="0"/>
      <w:marBottom w:val="0"/>
      <w:divBdr>
        <w:top w:val="none" w:sz="0" w:space="0" w:color="auto"/>
        <w:left w:val="none" w:sz="0" w:space="0" w:color="auto"/>
        <w:bottom w:val="none" w:sz="0" w:space="0" w:color="auto"/>
        <w:right w:val="none" w:sz="0" w:space="0" w:color="auto"/>
      </w:divBdr>
      <w:divsChild>
        <w:div w:id="1150440187">
          <w:marLeft w:val="0"/>
          <w:marRight w:val="-5040"/>
          <w:marTop w:val="0"/>
          <w:marBottom w:val="0"/>
          <w:divBdr>
            <w:top w:val="none" w:sz="0" w:space="0" w:color="auto"/>
            <w:left w:val="none" w:sz="0" w:space="0" w:color="auto"/>
            <w:bottom w:val="none" w:sz="0" w:space="0" w:color="auto"/>
            <w:right w:val="none" w:sz="0" w:space="0" w:color="auto"/>
          </w:divBdr>
          <w:divsChild>
            <w:div w:id="584729416">
              <w:marLeft w:val="0"/>
              <w:marRight w:val="5040"/>
              <w:marTop w:val="0"/>
              <w:marBottom w:val="0"/>
              <w:divBdr>
                <w:top w:val="none" w:sz="0" w:space="0" w:color="auto"/>
                <w:left w:val="none" w:sz="0" w:space="0" w:color="auto"/>
                <w:bottom w:val="none" w:sz="0" w:space="0" w:color="auto"/>
                <w:right w:val="none" w:sz="0" w:space="0" w:color="auto"/>
              </w:divBdr>
              <w:divsChild>
                <w:div w:id="1606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einstein@volunteer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oseph.clark@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C19E1F-55AE-410B-8A26-7758ACD0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2013-02-08T19:37:00Z</dcterms:created>
  <dcterms:modified xsi:type="dcterms:W3CDTF">2013-02-08T19:37:00Z</dcterms:modified>
</cp:coreProperties>
</file>