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651334" w:rsidP="00EE2FAA" w14:paraId="6A50BF91" w14:textId="77777777">
      <w:pPr>
        <w:pStyle w:val="List"/>
        <w:tabs>
          <w:tab w:val="left" w:pos="9180"/>
        </w:tabs>
        <w:ind w:left="0" w:firstLine="0"/>
        <w:jc w:val="center"/>
        <w:rPr>
          <w:b/>
          <w:szCs w:val="24"/>
        </w:rPr>
      </w:pPr>
      <w:r w:rsidRPr="00651334">
        <w:rPr>
          <w:b/>
          <w:szCs w:val="24"/>
        </w:rPr>
        <w:t>BEFORE</w:t>
      </w:r>
    </w:p>
    <w:p w:rsidR="00226B2E" w:rsidRPr="00651334" w:rsidP="00226B2E" w14:paraId="36D21D21" w14:textId="3B4E72C0">
      <w:pPr>
        <w:pStyle w:val="List"/>
        <w:ind w:left="0" w:firstLine="0"/>
        <w:jc w:val="center"/>
        <w:rPr>
          <w:b/>
          <w:szCs w:val="24"/>
        </w:rPr>
      </w:pPr>
      <w:r w:rsidRPr="00651334">
        <w:rPr>
          <w:b/>
          <w:szCs w:val="24"/>
        </w:rPr>
        <w:t>THE PUBLIC UTILITIES COMMISSION OF OHIO</w:t>
      </w:r>
    </w:p>
    <w:p w:rsidR="00D8336B" w:rsidRPr="00651334" w:rsidP="00D8336B" w14:paraId="317AE20F" w14:textId="77777777">
      <w:pPr>
        <w:pStyle w:val="HTMLPreformatted"/>
        <w:rPr>
          <w:rFonts w:ascii="Times New Roman" w:hAnsi="Times New Roman" w:cs="Times New Roman"/>
          <w:sz w:val="24"/>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360"/>
        <w:gridCol w:w="4140"/>
      </w:tblGrid>
      <w:tr w14:paraId="219936D5" w14:textId="77777777" w:rsidTr="001D3461">
        <w:tblPrEx>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230" w:type="dxa"/>
            <w:tcBorders>
              <w:top w:val="nil"/>
              <w:left w:val="nil"/>
              <w:bottom w:val="nil"/>
              <w:right w:val="nil"/>
            </w:tcBorders>
          </w:tcPr>
          <w:p w:rsidR="00D8336B" w:rsidRPr="00651334" w:rsidP="001D3461" w14:paraId="523F3948" w14:textId="77777777">
            <w:pPr>
              <w:autoSpaceDE w:val="0"/>
              <w:autoSpaceDN w:val="0"/>
              <w:adjustRightInd w:val="0"/>
              <w:rPr>
                <w:szCs w:val="24"/>
              </w:rPr>
            </w:pPr>
            <w:r w:rsidRPr="00651334">
              <w:rPr>
                <w:szCs w:val="24"/>
              </w:rPr>
              <w:br w:type="page"/>
              <w:t xml:space="preserve">In the Matter of the Review of the Reconciliation Rider of The Dayton Power and Light Company. </w:t>
            </w:r>
          </w:p>
        </w:tc>
        <w:tc>
          <w:tcPr>
            <w:tcW w:w="360" w:type="dxa"/>
            <w:tcBorders>
              <w:top w:val="nil"/>
              <w:left w:val="nil"/>
              <w:bottom w:val="nil"/>
              <w:right w:val="nil"/>
            </w:tcBorders>
          </w:tcPr>
          <w:p w:rsidR="00D8336B" w:rsidRPr="00651334" w:rsidP="001D3461" w14:paraId="5E856535" w14:textId="77777777">
            <w:pPr>
              <w:contextualSpacing/>
              <w:rPr>
                <w:szCs w:val="24"/>
              </w:rPr>
            </w:pPr>
            <w:r w:rsidRPr="00651334">
              <w:rPr>
                <w:szCs w:val="24"/>
              </w:rPr>
              <w:t>)</w:t>
            </w:r>
          </w:p>
          <w:p w:rsidR="00D8336B" w:rsidRPr="00651334" w:rsidP="001D3461" w14:paraId="3E888B3B" w14:textId="77777777">
            <w:pPr>
              <w:contextualSpacing/>
              <w:rPr>
                <w:szCs w:val="24"/>
              </w:rPr>
            </w:pPr>
            <w:r w:rsidRPr="00651334">
              <w:rPr>
                <w:szCs w:val="24"/>
              </w:rPr>
              <w:t>)</w:t>
            </w:r>
          </w:p>
          <w:p w:rsidR="00D8336B" w:rsidRPr="00651334" w:rsidP="001D3461" w14:paraId="17521C45" w14:textId="77777777">
            <w:pPr>
              <w:contextualSpacing/>
              <w:rPr>
                <w:szCs w:val="24"/>
              </w:rPr>
            </w:pPr>
            <w:r w:rsidRPr="00651334">
              <w:rPr>
                <w:szCs w:val="24"/>
              </w:rPr>
              <w:t>)</w:t>
            </w:r>
          </w:p>
        </w:tc>
        <w:tc>
          <w:tcPr>
            <w:tcW w:w="4140" w:type="dxa"/>
            <w:tcBorders>
              <w:top w:val="nil"/>
              <w:left w:val="nil"/>
              <w:bottom w:val="nil"/>
              <w:right w:val="nil"/>
            </w:tcBorders>
          </w:tcPr>
          <w:p w:rsidR="00D8336B" w:rsidRPr="00651334" w:rsidP="001D3461" w14:paraId="441341A2" w14:textId="77777777">
            <w:pPr>
              <w:contextualSpacing/>
              <w:rPr>
                <w:szCs w:val="24"/>
              </w:rPr>
            </w:pPr>
          </w:p>
          <w:p w:rsidR="00D8336B" w:rsidRPr="00651334" w:rsidP="001D3461" w14:paraId="31C9B107" w14:textId="77777777">
            <w:pPr>
              <w:autoSpaceDE w:val="0"/>
              <w:autoSpaceDN w:val="0"/>
              <w:adjustRightInd w:val="0"/>
              <w:rPr>
                <w:szCs w:val="24"/>
              </w:rPr>
            </w:pPr>
            <w:r w:rsidRPr="00651334">
              <w:rPr>
                <w:szCs w:val="24"/>
              </w:rPr>
              <w:t xml:space="preserve">Case No. 20-165-EL-RDR </w:t>
            </w:r>
          </w:p>
        </w:tc>
      </w:tr>
    </w:tbl>
    <w:p w:rsidR="00D8336B" w:rsidRPr="00651334" w:rsidP="00D8336B" w14:paraId="0DD94254" w14:textId="77777777">
      <w:pPr>
        <w:pStyle w:val="HTMLPreformatted"/>
        <w:pBdr>
          <w:bottom w:val="single" w:sz="12" w:space="1" w:color="auto"/>
        </w:pBdr>
        <w:rPr>
          <w:rFonts w:ascii="Times New Roman" w:hAnsi="Times New Roman" w:cs="Times New Roman"/>
          <w:b/>
          <w:bCs/>
          <w:i/>
          <w:sz w:val="24"/>
          <w:szCs w:val="24"/>
        </w:rPr>
      </w:pPr>
    </w:p>
    <w:p w:rsidR="00226B2E" w:rsidRPr="00651334" w:rsidP="00226B2E" w14:paraId="35B453B4" w14:textId="77777777">
      <w:pPr>
        <w:pStyle w:val="HTMLPreformatted"/>
        <w:rPr>
          <w:rFonts w:ascii="Times New Roman" w:hAnsi="Times New Roman" w:cs="Times New Roman"/>
          <w:sz w:val="24"/>
          <w:szCs w:val="24"/>
        </w:rPr>
      </w:pPr>
    </w:p>
    <w:p w:rsidR="00F55CE0" w:rsidRPr="00651334" w:rsidP="00F55CE0" w14:paraId="3EC18ABB" w14:textId="6E96F89D">
      <w:pPr>
        <w:jc w:val="center"/>
        <w:rPr>
          <w:b/>
          <w:bCs w:val="0"/>
          <w:szCs w:val="24"/>
        </w:rPr>
      </w:pPr>
      <w:r w:rsidRPr="00651334">
        <w:rPr>
          <w:b/>
          <w:bCs w:val="0"/>
          <w:szCs w:val="24"/>
        </w:rPr>
        <w:t>JOINT MOTION FOR A WAIVER</w:t>
      </w:r>
      <w:r w:rsidRPr="00651334" w:rsidR="008720A2">
        <w:rPr>
          <w:b/>
          <w:bCs w:val="0"/>
          <w:szCs w:val="24"/>
        </w:rPr>
        <w:t xml:space="preserve"> </w:t>
      </w:r>
      <w:r w:rsidRPr="00651334">
        <w:rPr>
          <w:b/>
          <w:bCs w:val="0"/>
          <w:szCs w:val="24"/>
        </w:rPr>
        <w:t xml:space="preserve">OF </w:t>
      </w:r>
      <w:r w:rsidRPr="00651334" w:rsidR="00093263">
        <w:rPr>
          <w:b/>
          <w:szCs w:val="24"/>
        </w:rPr>
        <w:t xml:space="preserve">OHIO ADMIN. CODE 4901-1-16(I) TO THE EXTENT NECESSARY </w:t>
      </w:r>
      <w:r w:rsidRPr="00651334">
        <w:rPr>
          <w:b/>
          <w:bCs w:val="0"/>
          <w:szCs w:val="24"/>
        </w:rPr>
        <w:t xml:space="preserve">TO ALLOW A DEPOSITION OF PUCO AUDITOR </w:t>
      </w:r>
      <w:r w:rsidRPr="00651334" w:rsidR="00F67F26">
        <w:rPr>
          <w:b/>
          <w:bCs w:val="0"/>
          <w:szCs w:val="24"/>
        </w:rPr>
        <w:t xml:space="preserve">VANTAGE ENERGY </w:t>
      </w:r>
      <w:r w:rsidRPr="00651334" w:rsidR="009610DA">
        <w:rPr>
          <w:b/>
          <w:bCs w:val="0"/>
          <w:szCs w:val="24"/>
        </w:rPr>
        <w:t xml:space="preserve">CONSULTING </w:t>
      </w:r>
      <w:r w:rsidRPr="00651334">
        <w:rPr>
          <w:b/>
          <w:bCs w:val="0"/>
          <w:szCs w:val="24"/>
        </w:rPr>
        <w:t xml:space="preserve">IN THE </w:t>
      </w:r>
      <w:r w:rsidRPr="00651334" w:rsidR="00F67F26">
        <w:rPr>
          <w:b/>
          <w:bCs w:val="0"/>
          <w:szCs w:val="24"/>
        </w:rPr>
        <w:t>DP&amp;</w:t>
      </w:r>
      <w:r w:rsidRPr="00651334" w:rsidR="009610DA">
        <w:rPr>
          <w:b/>
          <w:bCs w:val="0"/>
          <w:szCs w:val="24"/>
        </w:rPr>
        <w:t xml:space="preserve">L </w:t>
      </w:r>
      <w:r w:rsidRPr="00651334">
        <w:rPr>
          <w:b/>
          <w:bCs w:val="0"/>
          <w:szCs w:val="24"/>
        </w:rPr>
        <w:t>(OVEC) COAL POWER PLANT CASE</w:t>
      </w:r>
    </w:p>
    <w:p w:rsidR="00F55CE0" w:rsidRPr="00651334" w:rsidP="00F55CE0" w14:paraId="6EB801A7" w14:textId="77777777">
      <w:pPr>
        <w:jc w:val="center"/>
        <w:rPr>
          <w:b/>
          <w:bCs w:val="0"/>
          <w:szCs w:val="24"/>
        </w:rPr>
      </w:pPr>
      <w:r w:rsidRPr="00651334">
        <w:rPr>
          <w:b/>
          <w:bCs w:val="0"/>
          <w:szCs w:val="24"/>
        </w:rPr>
        <w:t>BY</w:t>
      </w:r>
    </w:p>
    <w:p w:rsidR="00C90A01" w:rsidRPr="00651334" w:rsidP="00F55CE0" w14:paraId="3463A886" w14:textId="77777777">
      <w:pPr>
        <w:pBdr>
          <w:bottom w:val="single" w:sz="12" w:space="1" w:color="auto"/>
        </w:pBdr>
        <w:jc w:val="center"/>
        <w:rPr>
          <w:b/>
          <w:bCs w:val="0"/>
          <w:szCs w:val="24"/>
        </w:rPr>
      </w:pPr>
      <w:r w:rsidRPr="00651334">
        <w:rPr>
          <w:b/>
          <w:bCs w:val="0"/>
          <w:szCs w:val="24"/>
        </w:rPr>
        <w:t>OFFICE OF THE OHIO CONSUMERS’ COUNSEL</w:t>
      </w:r>
    </w:p>
    <w:p w:rsidR="00F55CE0" w:rsidRPr="00651334" w:rsidP="00F55CE0" w14:paraId="2424643F" w14:textId="126B2B2A">
      <w:pPr>
        <w:pBdr>
          <w:bottom w:val="single" w:sz="12" w:space="1" w:color="auto"/>
        </w:pBdr>
        <w:jc w:val="center"/>
        <w:rPr>
          <w:b/>
          <w:bCs w:val="0"/>
          <w:szCs w:val="24"/>
        </w:rPr>
      </w:pPr>
      <w:r w:rsidRPr="00651334">
        <w:rPr>
          <w:b/>
          <w:bCs w:val="0"/>
          <w:szCs w:val="24"/>
        </w:rPr>
        <w:t xml:space="preserve">AND </w:t>
      </w:r>
    </w:p>
    <w:p w:rsidR="00F55CE0" w:rsidRPr="00651334" w:rsidP="00F55CE0" w14:paraId="2326930A" w14:textId="77777777">
      <w:pPr>
        <w:pBdr>
          <w:bottom w:val="single" w:sz="12" w:space="1" w:color="auto"/>
        </w:pBdr>
        <w:jc w:val="center"/>
        <w:rPr>
          <w:b/>
          <w:bCs w:val="0"/>
          <w:szCs w:val="24"/>
        </w:rPr>
      </w:pPr>
      <w:r w:rsidRPr="00651334">
        <w:rPr>
          <w:b/>
          <w:bCs w:val="0"/>
          <w:szCs w:val="24"/>
        </w:rPr>
        <w:t>OHIO MANUFACTURERS’ ASSOCIATION ENERGY GROUP</w:t>
      </w:r>
    </w:p>
    <w:p w:rsidR="00226B2E" w:rsidRPr="00651334" w:rsidP="00226B2E" w14:paraId="50E551AA" w14:textId="77777777">
      <w:pPr>
        <w:pBdr>
          <w:bottom w:val="single" w:sz="12" w:space="1" w:color="auto"/>
        </w:pBdr>
        <w:jc w:val="center"/>
        <w:rPr>
          <w:b/>
          <w:bCs w:val="0"/>
          <w:szCs w:val="24"/>
        </w:rPr>
      </w:pPr>
    </w:p>
    <w:p w:rsidR="00D051F0" w:rsidRPr="00651334" w14:paraId="087AB7AF" w14:textId="30CC8F81">
      <w:pPr>
        <w:rPr>
          <w:rFonts w:eastAsia="Times New Roman"/>
          <w:b/>
          <w:bCs w:val="0"/>
          <w:color w:val="auto"/>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72485611" w14:textId="77777777" w:rsidTr="00BA24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D8336B" w:rsidRPr="00651334" w:rsidP="00D8336B" w14:paraId="27FA8C58" w14:textId="77777777">
            <w:pPr>
              <w:ind w:left="-18"/>
              <w:rPr>
                <w:b/>
                <w:bCs w:val="0"/>
                <w:szCs w:val="24"/>
              </w:rPr>
            </w:pPr>
            <w:r w:rsidRPr="00651334">
              <w:rPr>
                <w:szCs w:val="24"/>
              </w:rPr>
              <w:t>Bruce Weston (0016973)</w:t>
            </w:r>
          </w:p>
          <w:p w:rsidR="00D8336B" w:rsidRPr="00651334" w:rsidP="00D8336B" w14:paraId="51E6D1CD" w14:textId="77777777">
            <w:pPr>
              <w:tabs>
                <w:tab w:val="left" w:pos="3600"/>
              </w:tabs>
              <w:ind w:left="-18"/>
              <w:rPr>
                <w:b/>
                <w:bCs w:val="0"/>
                <w:szCs w:val="24"/>
              </w:rPr>
            </w:pPr>
            <w:r w:rsidRPr="00651334">
              <w:rPr>
                <w:szCs w:val="24"/>
              </w:rPr>
              <w:t>Ohio Consumers’ Counsel</w:t>
            </w:r>
          </w:p>
          <w:p w:rsidR="00D8336B" w:rsidRPr="00651334" w:rsidP="00D8336B" w14:paraId="1F0B8A67" w14:textId="77777777">
            <w:pPr>
              <w:tabs>
                <w:tab w:val="left" w:pos="3600"/>
              </w:tabs>
              <w:ind w:left="-18"/>
              <w:rPr>
                <w:b/>
                <w:bCs w:val="0"/>
                <w:szCs w:val="24"/>
              </w:rPr>
            </w:pPr>
          </w:p>
          <w:p w:rsidR="00D8336B" w:rsidRPr="00651334" w:rsidP="00D8336B" w14:paraId="18C95E99" w14:textId="77777777">
            <w:pPr>
              <w:tabs>
                <w:tab w:val="left" w:pos="3600"/>
              </w:tabs>
              <w:ind w:left="-18"/>
              <w:rPr>
                <w:rFonts w:eastAsia="Times New Roman"/>
                <w:b/>
                <w:bCs w:val="0"/>
                <w:szCs w:val="24"/>
              </w:rPr>
            </w:pPr>
            <w:r w:rsidRPr="00651334">
              <w:rPr>
                <w:rFonts w:eastAsia="Times New Roman"/>
                <w:szCs w:val="24"/>
              </w:rPr>
              <w:t>William J. Michael (0070921)</w:t>
            </w:r>
          </w:p>
          <w:p w:rsidR="00D8336B" w:rsidRPr="00651334" w:rsidP="00D8336B" w14:paraId="003ECA82" w14:textId="77777777">
            <w:pPr>
              <w:tabs>
                <w:tab w:val="left" w:pos="3600"/>
              </w:tabs>
              <w:ind w:left="-18"/>
              <w:rPr>
                <w:rFonts w:eastAsia="Times New Roman"/>
                <w:b/>
                <w:bCs w:val="0"/>
                <w:szCs w:val="24"/>
              </w:rPr>
            </w:pPr>
            <w:r w:rsidRPr="00651334">
              <w:rPr>
                <w:rFonts w:eastAsia="Times New Roman"/>
                <w:szCs w:val="24"/>
              </w:rPr>
              <w:t>Counsel of Record</w:t>
            </w:r>
          </w:p>
          <w:p w:rsidR="00D8336B" w:rsidRPr="00651334" w:rsidP="00D8336B" w14:paraId="03EB962D" w14:textId="77777777">
            <w:pPr>
              <w:tabs>
                <w:tab w:val="left" w:pos="3600"/>
              </w:tabs>
              <w:ind w:left="-18"/>
              <w:rPr>
                <w:rFonts w:eastAsia="Times New Roman"/>
                <w:b/>
                <w:bCs w:val="0"/>
                <w:szCs w:val="24"/>
              </w:rPr>
            </w:pPr>
            <w:r w:rsidRPr="00651334">
              <w:rPr>
                <w:rFonts w:eastAsia="Times New Roman"/>
                <w:szCs w:val="24"/>
              </w:rPr>
              <w:t xml:space="preserve">Amy Botschner O’Brien (0074423) </w:t>
            </w:r>
          </w:p>
          <w:p w:rsidR="00D8336B" w:rsidRPr="00651334" w:rsidP="00D8336B" w14:paraId="7FECF19F" w14:textId="77777777">
            <w:pPr>
              <w:tabs>
                <w:tab w:val="left" w:pos="3600"/>
              </w:tabs>
              <w:ind w:left="-18"/>
              <w:rPr>
                <w:rFonts w:eastAsia="Times New Roman"/>
                <w:b/>
                <w:bCs w:val="0"/>
                <w:szCs w:val="24"/>
              </w:rPr>
            </w:pPr>
            <w:r w:rsidRPr="00651334">
              <w:rPr>
                <w:rFonts w:eastAsia="Times New Roman"/>
                <w:szCs w:val="24"/>
              </w:rPr>
              <w:t>John Finnigan (0018689)</w:t>
            </w:r>
          </w:p>
          <w:p w:rsidR="00D8336B" w:rsidRPr="00651334" w:rsidP="00D8336B" w14:paraId="3FFE4E98" w14:textId="77777777">
            <w:pPr>
              <w:tabs>
                <w:tab w:val="left" w:pos="3600"/>
              </w:tabs>
              <w:ind w:left="-18"/>
              <w:rPr>
                <w:rFonts w:eastAsia="Times New Roman"/>
                <w:b/>
                <w:bCs w:val="0"/>
                <w:szCs w:val="24"/>
              </w:rPr>
            </w:pPr>
            <w:r w:rsidRPr="00651334">
              <w:rPr>
                <w:rFonts w:eastAsia="Times New Roman"/>
                <w:szCs w:val="24"/>
              </w:rPr>
              <w:t>Assistant Consumers’ Counsel</w:t>
            </w:r>
          </w:p>
          <w:p w:rsidR="00D8336B" w:rsidRPr="00651334" w:rsidP="00D8336B" w14:paraId="1A19EB39" w14:textId="77777777">
            <w:pPr>
              <w:tabs>
                <w:tab w:val="left" w:pos="3600"/>
                <w:tab w:val="left" w:pos="4320"/>
              </w:tabs>
              <w:ind w:left="-18"/>
              <w:contextualSpacing/>
              <w:rPr>
                <w:rFonts w:eastAsia="Calibri"/>
                <w:b/>
                <w:bCs w:val="0"/>
                <w:szCs w:val="24"/>
              </w:rPr>
            </w:pPr>
          </w:p>
          <w:p w:rsidR="00D8336B" w:rsidRPr="00651334" w:rsidP="00D8336B" w14:paraId="6F61A08D" w14:textId="77777777">
            <w:pPr>
              <w:tabs>
                <w:tab w:val="left" w:pos="3600"/>
              </w:tabs>
              <w:ind w:left="-18"/>
              <w:contextualSpacing/>
              <w:rPr>
                <w:rFonts w:eastAsia="Calibri"/>
                <w:szCs w:val="24"/>
              </w:rPr>
            </w:pPr>
            <w:r w:rsidRPr="00651334">
              <w:rPr>
                <w:rFonts w:eastAsia="Calibri"/>
                <w:szCs w:val="24"/>
              </w:rPr>
              <w:t>Office of the Ohio Consumers’ Counsel</w:t>
            </w:r>
          </w:p>
          <w:p w:rsidR="00D8336B" w:rsidRPr="00651334" w:rsidP="00D8336B" w14:paraId="0F593FEE" w14:textId="77777777">
            <w:pPr>
              <w:tabs>
                <w:tab w:val="left" w:pos="3600"/>
              </w:tabs>
              <w:ind w:left="-18"/>
              <w:rPr>
                <w:rFonts w:eastAsia="Times New Roman"/>
                <w:b/>
                <w:bCs w:val="0"/>
                <w:szCs w:val="24"/>
              </w:rPr>
            </w:pPr>
            <w:r w:rsidRPr="00651334">
              <w:rPr>
                <w:rFonts w:eastAsia="Times New Roman"/>
                <w:szCs w:val="24"/>
              </w:rPr>
              <w:t>65 East State Street, 7th Floor</w:t>
            </w:r>
          </w:p>
          <w:p w:rsidR="00D8336B" w:rsidRPr="00651334" w:rsidP="00D8336B" w14:paraId="6DF646EE" w14:textId="77777777">
            <w:pPr>
              <w:tabs>
                <w:tab w:val="left" w:pos="3600"/>
              </w:tabs>
              <w:ind w:left="-18"/>
              <w:rPr>
                <w:rFonts w:eastAsia="Times New Roman"/>
                <w:b/>
                <w:bCs w:val="0"/>
                <w:szCs w:val="24"/>
              </w:rPr>
            </w:pPr>
            <w:r w:rsidRPr="00651334">
              <w:rPr>
                <w:rFonts w:eastAsia="Times New Roman"/>
                <w:szCs w:val="24"/>
              </w:rPr>
              <w:t>Columbus, Ohio 43215</w:t>
            </w:r>
          </w:p>
          <w:p w:rsidR="00D8336B" w:rsidRPr="00651334" w:rsidP="00D8336B" w14:paraId="1C0BFE84" w14:textId="77777777">
            <w:pPr>
              <w:tabs>
                <w:tab w:val="left" w:pos="3600"/>
              </w:tabs>
              <w:autoSpaceDE w:val="0"/>
              <w:autoSpaceDN w:val="0"/>
              <w:adjustRightInd w:val="0"/>
              <w:ind w:left="-18"/>
              <w:rPr>
                <w:rFonts w:eastAsia="Times New Roman"/>
                <w:b/>
                <w:bCs w:val="0"/>
                <w:szCs w:val="24"/>
              </w:rPr>
            </w:pPr>
            <w:r w:rsidRPr="00651334">
              <w:rPr>
                <w:rFonts w:eastAsia="Times New Roman"/>
                <w:szCs w:val="24"/>
              </w:rPr>
              <w:t>Telephone [Michael]: (614) 466-1291</w:t>
            </w:r>
          </w:p>
          <w:p w:rsidR="00BA24B8" w:rsidRPr="00651334" w:rsidP="00D8336B" w14:paraId="302174BE" w14:textId="77777777">
            <w:pPr>
              <w:tabs>
                <w:tab w:val="left" w:pos="3600"/>
              </w:tabs>
              <w:autoSpaceDE w:val="0"/>
              <w:autoSpaceDN w:val="0"/>
              <w:adjustRightInd w:val="0"/>
              <w:ind w:left="-18"/>
              <w:rPr>
                <w:rFonts w:eastAsia="Times New Roman"/>
                <w:szCs w:val="24"/>
              </w:rPr>
            </w:pPr>
            <w:r w:rsidRPr="00651334">
              <w:rPr>
                <w:rFonts w:eastAsia="Times New Roman"/>
                <w:szCs w:val="24"/>
              </w:rPr>
              <w:t xml:space="preserve">Telephone [Botschner O’Brien]: </w:t>
            </w:r>
          </w:p>
          <w:p w:rsidR="00D8336B" w:rsidRPr="00651334" w:rsidP="00D8336B" w14:paraId="132FD0B8" w14:textId="252C50B8">
            <w:pPr>
              <w:tabs>
                <w:tab w:val="left" w:pos="3600"/>
              </w:tabs>
              <w:autoSpaceDE w:val="0"/>
              <w:autoSpaceDN w:val="0"/>
              <w:adjustRightInd w:val="0"/>
              <w:ind w:left="-18"/>
              <w:rPr>
                <w:rFonts w:eastAsia="Times New Roman"/>
                <w:b/>
                <w:bCs w:val="0"/>
                <w:szCs w:val="24"/>
              </w:rPr>
            </w:pPr>
            <w:r w:rsidRPr="00651334">
              <w:rPr>
                <w:rFonts w:eastAsia="Times New Roman"/>
                <w:szCs w:val="24"/>
              </w:rPr>
              <w:t>(614) 466-9575</w:t>
            </w:r>
          </w:p>
          <w:p w:rsidR="00D8336B" w:rsidRPr="00651334" w:rsidP="00D8336B" w14:paraId="2C66D040" w14:textId="77777777">
            <w:pPr>
              <w:tabs>
                <w:tab w:val="left" w:pos="3600"/>
              </w:tabs>
              <w:autoSpaceDE w:val="0"/>
              <w:autoSpaceDN w:val="0"/>
              <w:adjustRightInd w:val="0"/>
              <w:ind w:left="-18"/>
              <w:contextualSpacing/>
              <w:rPr>
                <w:rFonts w:eastAsia="Calibri"/>
                <w:b/>
                <w:bCs w:val="0"/>
                <w:szCs w:val="24"/>
              </w:rPr>
            </w:pPr>
            <w:r w:rsidRPr="00651334">
              <w:rPr>
                <w:rFonts w:eastAsia="Calibri"/>
                <w:szCs w:val="24"/>
              </w:rPr>
              <w:t>Telephone [Finnigan]: (614) 466-9585</w:t>
            </w:r>
          </w:p>
          <w:p w:rsidR="00D8336B" w:rsidRPr="00651334" w:rsidP="00D8336B" w14:paraId="7F5003EF" w14:textId="77777777">
            <w:pPr>
              <w:tabs>
                <w:tab w:val="left" w:pos="3600"/>
              </w:tabs>
              <w:autoSpaceDE w:val="0"/>
              <w:autoSpaceDN w:val="0"/>
              <w:adjustRightInd w:val="0"/>
              <w:ind w:left="-18"/>
              <w:contextualSpacing/>
              <w:rPr>
                <w:rFonts w:eastAsia="Calibri"/>
                <w:b/>
                <w:bCs w:val="0"/>
                <w:szCs w:val="24"/>
              </w:rPr>
            </w:pPr>
            <w:hyperlink r:id="rId6" w:history="1">
              <w:r w:rsidRPr="00651334" w:rsidR="000E7EDB">
                <w:rPr>
                  <w:rFonts w:eastAsia="Calibri"/>
                  <w:color w:val="0000FF"/>
                  <w:szCs w:val="24"/>
                  <w:u w:val="single"/>
                </w:rPr>
                <w:t>william.michael@occ.ohio.gov</w:t>
              </w:r>
            </w:hyperlink>
          </w:p>
          <w:p w:rsidR="00D8336B" w:rsidRPr="00651334" w:rsidP="00D8336B" w14:paraId="3BB3DC1D" w14:textId="77777777">
            <w:pPr>
              <w:tabs>
                <w:tab w:val="left" w:pos="3600"/>
              </w:tabs>
              <w:autoSpaceDE w:val="0"/>
              <w:autoSpaceDN w:val="0"/>
              <w:adjustRightInd w:val="0"/>
              <w:ind w:left="-18"/>
              <w:rPr>
                <w:rFonts w:eastAsia="Times New Roman"/>
                <w:b/>
                <w:bCs w:val="0"/>
                <w:color w:val="0000FF"/>
                <w:szCs w:val="24"/>
                <w:u w:val="single"/>
              </w:rPr>
            </w:pPr>
            <w:r w:rsidRPr="00651334">
              <w:rPr>
                <w:rFonts w:eastAsia="Times New Roman"/>
                <w:color w:val="0000FF"/>
                <w:szCs w:val="24"/>
                <w:u w:val="single"/>
              </w:rPr>
              <w:t xml:space="preserve">amy.botschner.obrien@occ.ohio.gov </w:t>
            </w:r>
          </w:p>
          <w:p w:rsidR="00D8336B" w:rsidRPr="00651334" w:rsidP="00D8336B" w14:paraId="7E101AC6" w14:textId="77777777">
            <w:pPr>
              <w:tabs>
                <w:tab w:val="left" w:pos="3600"/>
              </w:tabs>
              <w:autoSpaceDE w:val="0"/>
              <w:autoSpaceDN w:val="0"/>
              <w:adjustRightInd w:val="0"/>
              <w:ind w:left="-18"/>
              <w:contextualSpacing/>
              <w:rPr>
                <w:rFonts w:eastAsia="Calibri"/>
                <w:b/>
                <w:bCs w:val="0"/>
                <w:color w:val="0000FF"/>
                <w:szCs w:val="24"/>
                <w:u w:val="single"/>
              </w:rPr>
            </w:pPr>
            <w:hyperlink r:id="rId7" w:history="1">
              <w:r w:rsidRPr="00651334" w:rsidR="000E7EDB">
                <w:rPr>
                  <w:rFonts w:eastAsia="Calibri"/>
                  <w:color w:val="0000FF"/>
                  <w:szCs w:val="24"/>
                  <w:u w:val="single"/>
                </w:rPr>
                <w:t>john.finnigan@occ.ohio.gov</w:t>
              </w:r>
            </w:hyperlink>
          </w:p>
          <w:p w:rsidR="00D8336B" w:rsidRPr="00651334" w:rsidP="00D8336B" w14:paraId="4AE020C1" w14:textId="444DC4CC">
            <w:pPr>
              <w:tabs>
                <w:tab w:val="left" w:pos="3600"/>
              </w:tabs>
              <w:autoSpaceDE w:val="0"/>
              <w:autoSpaceDN w:val="0"/>
              <w:adjustRightInd w:val="0"/>
              <w:ind w:left="-18"/>
              <w:contextualSpacing/>
              <w:rPr>
                <w:rFonts w:eastAsia="Calibri"/>
                <w:b/>
                <w:bCs w:val="0"/>
                <w:szCs w:val="24"/>
              </w:rPr>
            </w:pPr>
            <w:r w:rsidRPr="00651334">
              <w:rPr>
                <w:rFonts w:eastAsia="Calibri"/>
                <w:szCs w:val="24"/>
              </w:rPr>
              <w:t>(willing to accept service by e-mail)</w:t>
            </w:r>
          </w:p>
          <w:p w:rsidR="00226B2E" w:rsidRPr="00651334" w:rsidP="00D8336B" w14:paraId="7A442B25" w14:textId="77777777">
            <w:pPr>
              <w:pStyle w:val="ListParagraph"/>
              <w:autoSpaceDE w:val="0"/>
              <w:autoSpaceDN w:val="0"/>
              <w:adjustRightInd w:val="0"/>
              <w:ind w:left="0"/>
              <w:rPr>
                <w:b/>
                <w:szCs w:val="24"/>
              </w:rPr>
            </w:pPr>
          </w:p>
        </w:tc>
        <w:tc>
          <w:tcPr>
            <w:tcW w:w="4675" w:type="dxa"/>
          </w:tcPr>
          <w:p w:rsidR="00226B2E" w:rsidRPr="00651334" w:rsidP="00C35FA4" w14:paraId="243833B6" w14:textId="77777777">
            <w:pPr>
              <w:contextualSpacing/>
              <w:rPr>
                <w:szCs w:val="24"/>
              </w:rPr>
            </w:pPr>
            <w:r w:rsidRPr="00651334">
              <w:rPr>
                <w:szCs w:val="24"/>
              </w:rPr>
              <w:t xml:space="preserve">Kimberly W. Bojko (0069402) </w:t>
            </w:r>
          </w:p>
          <w:p w:rsidR="00226B2E" w:rsidRPr="00651334" w:rsidP="00C35FA4" w14:paraId="1B249DF8" w14:textId="77777777">
            <w:pPr>
              <w:contextualSpacing/>
              <w:rPr>
                <w:szCs w:val="24"/>
              </w:rPr>
            </w:pPr>
            <w:r w:rsidRPr="00651334">
              <w:rPr>
                <w:szCs w:val="24"/>
              </w:rPr>
              <w:t>(Counsel of Record)</w:t>
            </w:r>
          </w:p>
          <w:p w:rsidR="00226B2E" w:rsidRPr="00651334" w:rsidP="00C35FA4" w14:paraId="66CCE631" w14:textId="77777777">
            <w:pPr>
              <w:contextualSpacing/>
              <w:rPr>
                <w:szCs w:val="24"/>
              </w:rPr>
            </w:pPr>
            <w:r w:rsidRPr="00651334">
              <w:rPr>
                <w:szCs w:val="24"/>
              </w:rPr>
              <w:t xml:space="preserve">Thomas V. Donadio (0100027) </w:t>
            </w:r>
          </w:p>
          <w:p w:rsidR="00226B2E" w:rsidRPr="00651334" w:rsidP="00C35FA4" w14:paraId="5DA7E15B" w14:textId="77777777">
            <w:pPr>
              <w:contextualSpacing/>
              <w:rPr>
                <w:szCs w:val="24"/>
              </w:rPr>
            </w:pPr>
            <w:r w:rsidRPr="00651334">
              <w:rPr>
                <w:szCs w:val="24"/>
              </w:rPr>
              <w:t>Carpenter Lipps &amp; Leland LLP</w:t>
            </w:r>
          </w:p>
          <w:p w:rsidR="00226B2E" w:rsidRPr="00651334" w:rsidP="00C35FA4" w14:paraId="0C7D4E0F" w14:textId="77777777">
            <w:pPr>
              <w:contextualSpacing/>
              <w:rPr>
                <w:szCs w:val="24"/>
              </w:rPr>
            </w:pPr>
            <w:r w:rsidRPr="00651334">
              <w:rPr>
                <w:szCs w:val="24"/>
              </w:rPr>
              <w:t>280 North High Street, Suite 1300</w:t>
            </w:r>
          </w:p>
          <w:p w:rsidR="00226B2E" w:rsidRPr="00651334" w:rsidP="00C35FA4" w14:paraId="3E283B70" w14:textId="77777777">
            <w:pPr>
              <w:contextualSpacing/>
              <w:rPr>
                <w:szCs w:val="24"/>
              </w:rPr>
            </w:pPr>
            <w:r w:rsidRPr="00651334">
              <w:rPr>
                <w:szCs w:val="24"/>
              </w:rPr>
              <w:t>Columbus, Ohio 43215</w:t>
            </w:r>
          </w:p>
          <w:p w:rsidR="00226B2E" w:rsidRPr="00651334" w:rsidP="00C35FA4" w14:paraId="287D150D" w14:textId="6297A036">
            <w:pPr>
              <w:contextualSpacing/>
              <w:rPr>
                <w:szCs w:val="24"/>
              </w:rPr>
            </w:pPr>
            <w:r w:rsidRPr="00651334">
              <w:rPr>
                <w:szCs w:val="24"/>
              </w:rPr>
              <w:t>Telephone:</w:t>
            </w:r>
            <w:r w:rsidRPr="00651334" w:rsidR="00C90A01">
              <w:rPr>
                <w:szCs w:val="24"/>
              </w:rPr>
              <w:t xml:space="preserve"> </w:t>
            </w:r>
            <w:r w:rsidRPr="00651334">
              <w:rPr>
                <w:szCs w:val="24"/>
              </w:rPr>
              <w:t xml:space="preserve">(614) 365-4100 </w:t>
            </w:r>
            <w:r w:rsidRPr="00651334">
              <w:rPr>
                <w:szCs w:val="24"/>
              </w:rPr>
              <w:tab/>
            </w:r>
          </w:p>
          <w:p w:rsidR="00226B2E" w:rsidRPr="00651334" w:rsidP="00C35FA4" w14:paraId="619D53A3" w14:textId="77777777">
            <w:pPr>
              <w:contextualSpacing/>
              <w:rPr>
                <w:szCs w:val="24"/>
              </w:rPr>
            </w:pPr>
            <w:hyperlink r:id="rId8" w:history="1">
              <w:r w:rsidRPr="00651334" w:rsidR="009B77A7">
                <w:rPr>
                  <w:rStyle w:val="Hyperlink"/>
                  <w:szCs w:val="24"/>
                </w:rPr>
                <w:t>bojko@carpenterlipps.com</w:t>
              </w:r>
            </w:hyperlink>
          </w:p>
          <w:p w:rsidR="00226B2E" w:rsidRPr="00651334" w:rsidP="00C35FA4" w14:paraId="6B9E6BBB" w14:textId="77777777">
            <w:pPr>
              <w:contextualSpacing/>
              <w:rPr>
                <w:szCs w:val="24"/>
              </w:rPr>
            </w:pPr>
            <w:hyperlink r:id="rId9" w:history="1">
              <w:r w:rsidRPr="00651334" w:rsidR="009B77A7">
                <w:rPr>
                  <w:rStyle w:val="Hyperlink"/>
                  <w:szCs w:val="24"/>
                </w:rPr>
                <w:t>donadio@carpenterlipps.com</w:t>
              </w:r>
            </w:hyperlink>
            <w:r w:rsidRPr="00651334" w:rsidR="009B77A7">
              <w:rPr>
                <w:szCs w:val="24"/>
              </w:rPr>
              <w:t xml:space="preserve"> </w:t>
            </w:r>
          </w:p>
          <w:p w:rsidR="00226B2E" w:rsidRPr="00651334" w:rsidP="00C35FA4" w14:paraId="3797C4C5" w14:textId="77777777">
            <w:pPr>
              <w:contextualSpacing/>
              <w:rPr>
                <w:szCs w:val="24"/>
              </w:rPr>
            </w:pPr>
            <w:r w:rsidRPr="00651334">
              <w:rPr>
                <w:szCs w:val="24"/>
              </w:rPr>
              <w:t>(willing to accept service by e-mail</w:t>
            </w:r>
          </w:p>
          <w:p w:rsidR="00226B2E" w:rsidRPr="00651334" w:rsidP="00C35FA4" w14:paraId="54647954" w14:textId="77777777">
            <w:pPr>
              <w:contextualSpacing/>
              <w:rPr>
                <w:szCs w:val="24"/>
              </w:rPr>
            </w:pPr>
          </w:p>
          <w:p w:rsidR="00226B2E" w:rsidRPr="00651334" w:rsidP="00C35FA4" w14:paraId="2D8F7B76" w14:textId="2AD2F0FA">
            <w:pPr>
              <w:contextualSpacing/>
              <w:rPr>
                <w:szCs w:val="24"/>
              </w:rPr>
            </w:pPr>
            <w:r w:rsidRPr="00651334">
              <w:rPr>
                <w:i/>
                <w:szCs w:val="24"/>
              </w:rPr>
              <w:t>Counsel for the Ohio Manufacturers’ Association Energy Group</w:t>
            </w:r>
          </w:p>
          <w:p w:rsidR="00226B2E" w:rsidRPr="00651334" w:rsidP="00C35FA4" w14:paraId="74801F94" w14:textId="77777777">
            <w:pPr>
              <w:pStyle w:val="List"/>
              <w:ind w:left="0" w:firstLine="0"/>
              <w:rPr>
                <w:b/>
                <w:szCs w:val="24"/>
              </w:rPr>
            </w:pPr>
          </w:p>
        </w:tc>
      </w:tr>
    </w:tbl>
    <w:p w:rsidR="00226B2E" w:rsidRPr="00651334" w:rsidP="00B47EBC" w14:paraId="5C1ABA31" w14:textId="403062DA">
      <w:pPr>
        <w:pStyle w:val="List"/>
        <w:ind w:left="0" w:firstLine="0"/>
        <w:rPr>
          <w:b/>
          <w:szCs w:val="24"/>
        </w:rPr>
      </w:pPr>
    </w:p>
    <w:p w:rsidR="00B47EBC" w:rsidRPr="00651334" w:rsidP="00B47EBC" w14:paraId="74678D13" w14:textId="04FEF252">
      <w:pPr>
        <w:pStyle w:val="List"/>
        <w:ind w:left="0" w:firstLine="0"/>
        <w:rPr>
          <w:bCs/>
          <w:szCs w:val="24"/>
        </w:rPr>
      </w:pPr>
      <w:r w:rsidRPr="00651334">
        <w:rPr>
          <w:bCs/>
          <w:szCs w:val="24"/>
        </w:rPr>
        <w:t xml:space="preserve">March </w:t>
      </w:r>
      <w:r w:rsidRPr="00651334" w:rsidR="00F67F26">
        <w:rPr>
          <w:bCs/>
          <w:szCs w:val="24"/>
        </w:rPr>
        <w:t>1</w:t>
      </w:r>
      <w:r w:rsidRPr="00651334" w:rsidR="00301EC0">
        <w:rPr>
          <w:bCs/>
          <w:szCs w:val="24"/>
        </w:rPr>
        <w:t>7</w:t>
      </w:r>
      <w:r w:rsidRPr="00651334">
        <w:rPr>
          <w:bCs/>
          <w:szCs w:val="24"/>
        </w:rPr>
        <w:t>, 2021</w:t>
      </w:r>
    </w:p>
    <w:p w:rsidR="00B47EBC" w:rsidRPr="00651334" w:rsidP="00322352" w14:paraId="26AADC94" w14:textId="77777777">
      <w:pPr>
        <w:pStyle w:val="List"/>
        <w:ind w:left="0" w:firstLine="0"/>
        <w:jc w:val="center"/>
        <w:rPr>
          <w:b/>
          <w:szCs w:val="24"/>
        </w:rPr>
      </w:pPr>
    </w:p>
    <w:p w:rsidR="00B47EBC" w:rsidRPr="00651334" w:rsidP="00322352" w14:paraId="4DCAFADE" w14:textId="77777777">
      <w:pPr>
        <w:pStyle w:val="List"/>
        <w:ind w:left="0" w:firstLine="0"/>
        <w:jc w:val="center"/>
        <w:rPr>
          <w:b/>
          <w:szCs w:val="24"/>
        </w:rPr>
      </w:pPr>
    </w:p>
    <w:p w:rsidR="00B47EBC" w:rsidRPr="00651334" w:rsidP="00B47EBC" w14:paraId="6E0EF061" w14:textId="62473BCE">
      <w:pPr>
        <w:pStyle w:val="List"/>
        <w:ind w:left="0" w:firstLine="0"/>
        <w:rPr>
          <w:b/>
          <w:szCs w:val="24"/>
        </w:rPr>
        <w:sectPr>
          <w:footerReference w:type="default" r:id="rId10"/>
          <w:footnotePr>
            <w:numStart w:val="2"/>
          </w:footnotePr>
          <w:pgSz w:w="12240" w:h="15840"/>
          <w:pgMar w:top="1440" w:right="1440" w:bottom="1440" w:left="1440" w:header="720" w:footer="720" w:gutter="0"/>
          <w:cols w:space="720"/>
          <w:docGrid w:linePitch="360"/>
        </w:sectPr>
      </w:pPr>
    </w:p>
    <w:p w:rsidR="00322352" w:rsidRPr="00651334" w:rsidP="00322352" w14:paraId="202D2BB4" w14:textId="06512472">
      <w:pPr>
        <w:pStyle w:val="List"/>
        <w:ind w:left="0" w:firstLine="0"/>
        <w:jc w:val="center"/>
        <w:rPr>
          <w:b/>
          <w:szCs w:val="24"/>
        </w:rPr>
      </w:pPr>
      <w:r w:rsidRPr="00651334">
        <w:rPr>
          <w:b/>
          <w:szCs w:val="24"/>
        </w:rPr>
        <w:t>BEFORE</w:t>
      </w:r>
    </w:p>
    <w:p w:rsidR="00322352" w:rsidRPr="00651334" w:rsidP="00322352" w14:paraId="7FF26377" w14:textId="4AE8846D">
      <w:pPr>
        <w:pStyle w:val="List"/>
        <w:ind w:left="0" w:firstLine="0"/>
        <w:jc w:val="center"/>
        <w:rPr>
          <w:b/>
          <w:szCs w:val="24"/>
        </w:rPr>
      </w:pPr>
      <w:r w:rsidRPr="00651334">
        <w:rPr>
          <w:b/>
          <w:szCs w:val="24"/>
        </w:rPr>
        <w:t>THE PUBLIC UTILITIES COMMISSION OF OHIO</w:t>
      </w:r>
    </w:p>
    <w:p w:rsidR="00D8336B" w:rsidRPr="00651334" w:rsidP="00D8336B" w14:paraId="422DB4E8" w14:textId="77777777">
      <w:pPr>
        <w:pStyle w:val="HTMLPreformatted"/>
        <w:rPr>
          <w:rFonts w:ascii="Times New Roman" w:hAnsi="Times New Roman" w:cs="Times New Roman"/>
          <w:sz w:val="24"/>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360"/>
        <w:gridCol w:w="4140"/>
      </w:tblGrid>
      <w:tr w14:paraId="671A0962" w14:textId="77777777" w:rsidTr="001D3461">
        <w:tblPrEx>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230" w:type="dxa"/>
            <w:tcBorders>
              <w:top w:val="nil"/>
              <w:left w:val="nil"/>
              <w:bottom w:val="nil"/>
              <w:right w:val="nil"/>
            </w:tcBorders>
          </w:tcPr>
          <w:p w:rsidR="00D8336B" w:rsidRPr="00651334" w:rsidP="001D3461" w14:paraId="6E820FC1" w14:textId="77777777">
            <w:pPr>
              <w:autoSpaceDE w:val="0"/>
              <w:autoSpaceDN w:val="0"/>
              <w:adjustRightInd w:val="0"/>
              <w:rPr>
                <w:szCs w:val="24"/>
              </w:rPr>
            </w:pPr>
            <w:r w:rsidRPr="00651334">
              <w:rPr>
                <w:szCs w:val="24"/>
              </w:rPr>
              <w:br w:type="page"/>
              <w:t xml:space="preserve">In the Matter of the Review of the Reconciliation Rider of The Dayton Power and Light Company. </w:t>
            </w:r>
          </w:p>
        </w:tc>
        <w:tc>
          <w:tcPr>
            <w:tcW w:w="360" w:type="dxa"/>
            <w:tcBorders>
              <w:top w:val="nil"/>
              <w:left w:val="nil"/>
              <w:bottom w:val="nil"/>
              <w:right w:val="nil"/>
            </w:tcBorders>
          </w:tcPr>
          <w:p w:rsidR="00D8336B" w:rsidRPr="00651334" w:rsidP="001D3461" w14:paraId="0EA35966" w14:textId="77777777">
            <w:pPr>
              <w:contextualSpacing/>
              <w:rPr>
                <w:szCs w:val="24"/>
              </w:rPr>
            </w:pPr>
            <w:r w:rsidRPr="00651334">
              <w:rPr>
                <w:szCs w:val="24"/>
              </w:rPr>
              <w:t>)</w:t>
            </w:r>
          </w:p>
          <w:p w:rsidR="00D8336B" w:rsidRPr="00651334" w:rsidP="001D3461" w14:paraId="2BA96251" w14:textId="77777777">
            <w:pPr>
              <w:contextualSpacing/>
              <w:rPr>
                <w:szCs w:val="24"/>
              </w:rPr>
            </w:pPr>
            <w:r w:rsidRPr="00651334">
              <w:rPr>
                <w:szCs w:val="24"/>
              </w:rPr>
              <w:t>)</w:t>
            </w:r>
          </w:p>
          <w:p w:rsidR="00D8336B" w:rsidRPr="00651334" w:rsidP="001D3461" w14:paraId="1C2D831D" w14:textId="77777777">
            <w:pPr>
              <w:contextualSpacing/>
              <w:rPr>
                <w:szCs w:val="24"/>
              </w:rPr>
            </w:pPr>
            <w:r w:rsidRPr="00651334">
              <w:rPr>
                <w:szCs w:val="24"/>
              </w:rPr>
              <w:t>)</w:t>
            </w:r>
          </w:p>
        </w:tc>
        <w:tc>
          <w:tcPr>
            <w:tcW w:w="4140" w:type="dxa"/>
            <w:tcBorders>
              <w:top w:val="nil"/>
              <w:left w:val="nil"/>
              <w:bottom w:val="nil"/>
              <w:right w:val="nil"/>
            </w:tcBorders>
          </w:tcPr>
          <w:p w:rsidR="00D8336B" w:rsidRPr="00651334" w:rsidP="001D3461" w14:paraId="190BA02B" w14:textId="77777777">
            <w:pPr>
              <w:contextualSpacing/>
              <w:rPr>
                <w:szCs w:val="24"/>
              </w:rPr>
            </w:pPr>
          </w:p>
          <w:p w:rsidR="00D8336B" w:rsidRPr="00651334" w:rsidP="001D3461" w14:paraId="6E0C40AC" w14:textId="77777777">
            <w:pPr>
              <w:autoSpaceDE w:val="0"/>
              <w:autoSpaceDN w:val="0"/>
              <w:adjustRightInd w:val="0"/>
              <w:rPr>
                <w:szCs w:val="24"/>
              </w:rPr>
            </w:pPr>
            <w:r w:rsidRPr="00651334">
              <w:rPr>
                <w:szCs w:val="24"/>
              </w:rPr>
              <w:t xml:space="preserve">Case No. 20-165-EL-RDR </w:t>
            </w:r>
          </w:p>
        </w:tc>
      </w:tr>
    </w:tbl>
    <w:p w:rsidR="003932EA" w:rsidRPr="00651334" w14:paraId="3A3B4C0C" w14:textId="0FE1335E">
      <w:pPr>
        <w:pBdr>
          <w:bottom w:val="single" w:sz="12" w:space="1" w:color="auto"/>
        </w:pBdr>
        <w:rPr>
          <w:szCs w:val="24"/>
        </w:rPr>
      </w:pPr>
    </w:p>
    <w:p w:rsidR="003932EA" w:rsidRPr="00651334" w14:paraId="091FA800" w14:textId="1E7CC06C">
      <w:pPr>
        <w:rPr>
          <w:b/>
          <w:bCs w:val="0"/>
          <w:szCs w:val="24"/>
        </w:rPr>
      </w:pPr>
    </w:p>
    <w:p w:rsidR="007801D9" w:rsidRPr="00651334" w:rsidP="007801D9" w14:paraId="5CC52149" w14:textId="41D09F9A">
      <w:pPr>
        <w:jc w:val="center"/>
        <w:rPr>
          <w:b/>
          <w:bCs w:val="0"/>
          <w:szCs w:val="24"/>
        </w:rPr>
      </w:pPr>
      <w:r w:rsidRPr="00651334">
        <w:rPr>
          <w:b/>
          <w:bCs w:val="0"/>
          <w:szCs w:val="24"/>
        </w:rPr>
        <w:t xml:space="preserve">JOINT MOTION FOR A WAIVER OF </w:t>
      </w:r>
      <w:r w:rsidRPr="00651334">
        <w:rPr>
          <w:b/>
          <w:szCs w:val="24"/>
        </w:rPr>
        <w:t>OHIO ADMIN. CODE 4901-1-16(I) TO THE EXTENT NECESSARY</w:t>
      </w:r>
      <w:r w:rsidRPr="00651334" w:rsidR="007D4800">
        <w:rPr>
          <w:b/>
          <w:bCs w:val="0"/>
          <w:szCs w:val="24"/>
        </w:rPr>
        <w:t xml:space="preserve">, TO ALLOW A DEPOSITION OF PUCO AUDITOR </w:t>
      </w:r>
      <w:r w:rsidRPr="00651334" w:rsidR="00F67F26">
        <w:rPr>
          <w:b/>
          <w:bCs w:val="0"/>
          <w:szCs w:val="24"/>
        </w:rPr>
        <w:t>VANTAGE ENERGY</w:t>
      </w:r>
      <w:r w:rsidRPr="00651334" w:rsidR="007D4800">
        <w:rPr>
          <w:b/>
          <w:bCs w:val="0"/>
          <w:szCs w:val="24"/>
        </w:rPr>
        <w:t xml:space="preserve"> </w:t>
      </w:r>
      <w:r w:rsidRPr="00651334" w:rsidR="00F67F26">
        <w:rPr>
          <w:b/>
          <w:bCs w:val="0"/>
          <w:szCs w:val="24"/>
        </w:rPr>
        <w:t xml:space="preserve">CONSULTING </w:t>
      </w:r>
      <w:r w:rsidRPr="00651334" w:rsidR="007D4800">
        <w:rPr>
          <w:b/>
          <w:bCs w:val="0"/>
          <w:szCs w:val="24"/>
        </w:rPr>
        <w:t xml:space="preserve">IN THE </w:t>
      </w:r>
      <w:r w:rsidRPr="00651334" w:rsidR="00F67F26">
        <w:rPr>
          <w:b/>
          <w:bCs w:val="0"/>
          <w:szCs w:val="24"/>
        </w:rPr>
        <w:t>DP&amp;L</w:t>
      </w:r>
      <w:r w:rsidRPr="00651334" w:rsidR="007D4800">
        <w:rPr>
          <w:b/>
          <w:bCs w:val="0"/>
          <w:szCs w:val="24"/>
        </w:rPr>
        <w:t xml:space="preserve"> (OVEC) COAL POWER PLANT CASE</w:t>
      </w:r>
    </w:p>
    <w:p w:rsidR="007801D9" w:rsidRPr="00651334" w:rsidP="007801D9" w14:paraId="25B3BD53" w14:textId="77777777">
      <w:pPr>
        <w:jc w:val="center"/>
        <w:rPr>
          <w:b/>
          <w:bCs w:val="0"/>
          <w:szCs w:val="24"/>
        </w:rPr>
      </w:pPr>
      <w:r w:rsidRPr="00651334">
        <w:rPr>
          <w:b/>
          <w:bCs w:val="0"/>
          <w:szCs w:val="24"/>
        </w:rPr>
        <w:t>BY</w:t>
      </w:r>
    </w:p>
    <w:p w:rsidR="00C90A01" w:rsidRPr="00651334" w:rsidP="007801D9" w14:paraId="4851C7B1" w14:textId="77777777">
      <w:pPr>
        <w:pBdr>
          <w:bottom w:val="single" w:sz="12" w:space="1" w:color="auto"/>
        </w:pBdr>
        <w:jc w:val="center"/>
        <w:rPr>
          <w:b/>
          <w:bCs w:val="0"/>
          <w:szCs w:val="24"/>
        </w:rPr>
      </w:pPr>
      <w:r w:rsidRPr="00651334">
        <w:rPr>
          <w:b/>
          <w:bCs w:val="0"/>
          <w:szCs w:val="24"/>
        </w:rPr>
        <w:t>OFFICE OF THE OHIO CONSUMERS’ COUNSEL</w:t>
      </w:r>
    </w:p>
    <w:p w:rsidR="007801D9" w:rsidRPr="00651334" w:rsidP="007801D9" w14:paraId="7B72F263" w14:textId="6CE92C34">
      <w:pPr>
        <w:pBdr>
          <w:bottom w:val="single" w:sz="12" w:space="1" w:color="auto"/>
        </w:pBdr>
        <w:jc w:val="center"/>
        <w:rPr>
          <w:b/>
          <w:bCs w:val="0"/>
          <w:szCs w:val="24"/>
        </w:rPr>
      </w:pPr>
      <w:r w:rsidRPr="00651334">
        <w:rPr>
          <w:b/>
          <w:bCs w:val="0"/>
          <w:szCs w:val="24"/>
        </w:rPr>
        <w:t xml:space="preserve">AND </w:t>
      </w:r>
    </w:p>
    <w:p w:rsidR="007801D9" w:rsidRPr="00651334" w:rsidP="007801D9" w14:paraId="03C9CCFC" w14:textId="77777777">
      <w:pPr>
        <w:pBdr>
          <w:bottom w:val="single" w:sz="12" w:space="1" w:color="auto"/>
        </w:pBdr>
        <w:jc w:val="center"/>
        <w:rPr>
          <w:b/>
          <w:bCs w:val="0"/>
          <w:szCs w:val="24"/>
        </w:rPr>
      </w:pPr>
      <w:r w:rsidRPr="00651334">
        <w:rPr>
          <w:b/>
          <w:bCs w:val="0"/>
          <w:szCs w:val="24"/>
        </w:rPr>
        <w:t>OHIO MANUFACTURERS’ ASSOCIATION ENERGY GROUP</w:t>
      </w:r>
    </w:p>
    <w:p w:rsidR="007801D9" w:rsidRPr="00651334" w:rsidP="007801D9" w14:paraId="6FC98D53" w14:textId="77777777">
      <w:pPr>
        <w:pBdr>
          <w:bottom w:val="single" w:sz="12" w:space="1" w:color="auto"/>
        </w:pBdr>
        <w:jc w:val="center"/>
        <w:rPr>
          <w:b/>
          <w:bCs w:val="0"/>
          <w:szCs w:val="24"/>
        </w:rPr>
      </w:pPr>
    </w:p>
    <w:p w:rsidR="000D18C7" w:rsidRPr="00651334" w:rsidP="000D18C7" w14:paraId="1B42E0E5" w14:textId="77777777">
      <w:pPr>
        <w:ind w:firstLine="720"/>
        <w:rPr>
          <w:szCs w:val="24"/>
        </w:rPr>
      </w:pPr>
    </w:p>
    <w:p w:rsidR="00964192" w:rsidRPr="00651334" w:rsidP="00F220A1" w14:paraId="3311F9B3" w14:textId="0693623E">
      <w:pPr>
        <w:spacing w:line="480" w:lineRule="auto"/>
        <w:ind w:firstLine="720"/>
        <w:rPr>
          <w:szCs w:val="24"/>
        </w:rPr>
      </w:pPr>
      <w:bookmarkStart w:id="0" w:name="_Hlk66825376"/>
      <w:r w:rsidRPr="00651334">
        <w:rPr>
          <w:szCs w:val="24"/>
        </w:rPr>
        <w:t>The Office of the Ohio Consumers’ Counsel (“OCC”) and the Ohio Manufacturers’ Association Energy Group (“OMAEG”) jointly</w:t>
      </w:r>
      <w:r w:rsidRPr="00651334" w:rsidR="00212CAF">
        <w:rPr>
          <w:szCs w:val="24"/>
        </w:rPr>
        <w:t xml:space="preserve"> fil</w:t>
      </w:r>
      <w:r w:rsidRPr="00651334" w:rsidR="00A35285">
        <w:rPr>
          <w:szCs w:val="24"/>
        </w:rPr>
        <w:t>e</w:t>
      </w:r>
      <w:r w:rsidRPr="00651334" w:rsidR="00212CAF">
        <w:rPr>
          <w:szCs w:val="24"/>
        </w:rPr>
        <w:t xml:space="preserve"> </w:t>
      </w:r>
      <w:r w:rsidRPr="00651334" w:rsidR="00E134DA">
        <w:rPr>
          <w:szCs w:val="24"/>
        </w:rPr>
        <w:t>this</w:t>
      </w:r>
      <w:r w:rsidRPr="00651334" w:rsidR="004A6E82">
        <w:rPr>
          <w:szCs w:val="24"/>
        </w:rPr>
        <w:t xml:space="preserve"> </w:t>
      </w:r>
      <w:r w:rsidRPr="00651334" w:rsidR="00212CAF">
        <w:rPr>
          <w:szCs w:val="24"/>
        </w:rPr>
        <w:t>motion</w:t>
      </w:r>
      <w:r w:rsidRPr="00651334" w:rsidR="00914CDD">
        <w:rPr>
          <w:szCs w:val="24"/>
        </w:rPr>
        <w:t xml:space="preserve"> to further </w:t>
      </w:r>
      <w:r w:rsidRPr="00651334" w:rsidR="00093263">
        <w:rPr>
          <w:szCs w:val="24"/>
        </w:rPr>
        <w:t>customers’</w:t>
      </w:r>
      <w:r w:rsidRPr="00651334" w:rsidR="00914CDD">
        <w:rPr>
          <w:szCs w:val="24"/>
        </w:rPr>
        <w:t xml:space="preserve"> and the PUCO’s interest in review</w:t>
      </w:r>
      <w:r w:rsidRPr="00651334" w:rsidR="00093263">
        <w:rPr>
          <w:szCs w:val="24"/>
        </w:rPr>
        <w:t>ing</w:t>
      </w:r>
      <w:r w:rsidRPr="00651334" w:rsidR="00914CDD">
        <w:rPr>
          <w:szCs w:val="24"/>
        </w:rPr>
        <w:t xml:space="preserve"> the coal plant costs that </w:t>
      </w:r>
      <w:r w:rsidRPr="00651334">
        <w:rPr>
          <w:szCs w:val="24"/>
        </w:rPr>
        <w:t xml:space="preserve">the PUCO required </w:t>
      </w:r>
      <w:r w:rsidRPr="00651334" w:rsidR="00914CDD">
        <w:rPr>
          <w:szCs w:val="24"/>
        </w:rPr>
        <w:t>Ohioans to subsidize for no benefit. Indeed, DP&amp;L</w:t>
      </w:r>
      <w:r w:rsidRPr="00651334" w:rsidR="00F67F26">
        <w:rPr>
          <w:szCs w:val="24"/>
        </w:rPr>
        <w:t>, AEP</w:t>
      </w:r>
      <w:r w:rsidRPr="00651334" w:rsidR="00914CDD">
        <w:rPr>
          <w:szCs w:val="24"/>
        </w:rPr>
        <w:t xml:space="preserve"> and Duke send Ohio</w:t>
      </w:r>
      <w:r w:rsidRPr="00651334" w:rsidR="00145FB3">
        <w:rPr>
          <w:szCs w:val="24"/>
        </w:rPr>
        <w:t>ans’</w:t>
      </w:r>
      <w:r w:rsidRPr="00651334" w:rsidR="00914CDD">
        <w:rPr>
          <w:szCs w:val="24"/>
        </w:rPr>
        <w:t xml:space="preserve"> subsidy money to an Indiana coal plant and the</w:t>
      </w:r>
      <w:r w:rsidRPr="00651334">
        <w:rPr>
          <w:szCs w:val="24"/>
        </w:rPr>
        <w:t>ir</w:t>
      </w:r>
      <w:r w:rsidRPr="00651334" w:rsidR="00914CDD">
        <w:rPr>
          <w:szCs w:val="24"/>
        </w:rPr>
        <w:t xml:space="preserve"> </w:t>
      </w:r>
      <w:r w:rsidRPr="00651334" w:rsidR="004B4315">
        <w:rPr>
          <w:szCs w:val="24"/>
        </w:rPr>
        <w:t xml:space="preserve">coal </w:t>
      </w:r>
      <w:r w:rsidRPr="00651334" w:rsidR="00914CDD">
        <w:rPr>
          <w:szCs w:val="24"/>
        </w:rPr>
        <w:t>plant sends back air pollution to Ohio</w:t>
      </w:r>
      <w:r w:rsidRPr="00651334" w:rsidR="0020621B">
        <w:rPr>
          <w:szCs w:val="24"/>
        </w:rPr>
        <w:t>.</w:t>
      </w:r>
    </w:p>
    <w:p w:rsidR="00F220A1" w:rsidRPr="00651334" w:rsidP="00F220A1" w14:paraId="2DCCC9BD" w14:textId="6859364A">
      <w:pPr>
        <w:spacing w:line="480" w:lineRule="auto"/>
        <w:ind w:firstLine="720"/>
        <w:rPr>
          <w:szCs w:val="24"/>
        </w:rPr>
      </w:pPr>
      <w:r w:rsidRPr="00651334">
        <w:rPr>
          <w:szCs w:val="24"/>
        </w:rPr>
        <w:t>A</w:t>
      </w:r>
      <w:r w:rsidRPr="00651334" w:rsidR="00F97099">
        <w:rPr>
          <w:szCs w:val="24"/>
        </w:rPr>
        <w:t xml:space="preserve"> recent report </w:t>
      </w:r>
      <w:r w:rsidRPr="00651334" w:rsidR="00093263">
        <w:rPr>
          <w:szCs w:val="24"/>
        </w:rPr>
        <w:t xml:space="preserve">drafted </w:t>
      </w:r>
      <w:r w:rsidRPr="00651334" w:rsidR="00F97099">
        <w:rPr>
          <w:szCs w:val="24"/>
        </w:rPr>
        <w:t>for OMAEG</w:t>
      </w:r>
      <w:r w:rsidRPr="00651334">
        <w:rPr>
          <w:szCs w:val="24"/>
        </w:rPr>
        <w:t xml:space="preserve"> </w:t>
      </w:r>
      <w:r w:rsidRPr="00651334" w:rsidR="00A15CD5">
        <w:rPr>
          <w:szCs w:val="24"/>
        </w:rPr>
        <w:t>(</w:t>
      </w:r>
      <w:r w:rsidRPr="00651334">
        <w:rPr>
          <w:szCs w:val="24"/>
        </w:rPr>
        <w:t>on Ohio’s subsidy culture related to coal power plants</w:t>
      </w:r>
      <w:r w:rsidRPr="00651334" w:rsidR="00A15CD5">
        <w:rPr>
          <w:szCs w:val="24"/>
        </w:rPr>
        <w:t>)</w:t>
      </w:r>
      <w:r w:rsidRPr="00651334" w:rsidR="00F97099">
        <w:rPr>
          <w:szCs w:val="24"/>
        </w:rPr>
        <w:t xml:space="preserve"> </w:t>
      </w:r>
      <w:r w:rsidRPr="00651334">
        <w:rPr>
          <w:szCs w:val="24"/>
        </w:rPr>
        <w:t xml:space="preserve">includes </w:t>
      </w:r>
      <w:r w:rsidRPr="00651334" w:rsidR="00F97099">
        <w:rPr>
          <w:szCs w:val="24"/>
        </w:rPr>
        <w:t>estimate</w:t>
      </w:r>
      <w:r w:rsidRPr="00651334">
        <w:rPr>
          <w:szCs w:val="24"/>
        </w:rPr>
        <w:t>s</w:t>
      </w:r>
      <w:r w:rsidRPr="00651334" w:rsidR="00F97099">
        <w:rPr>
          <w:szCs w:val="24"/>
        </w:rPr>
        <w:t xml:space="preserve"> that </w:t>
      </w:r>
      <w:r w:rsidRPr="00651334" w:rsidR="00A15CD5">
        <w:rPr>
          <w:szCs w:val="24"/>
        </w:rPr>
        <w:t xml:space="preserve">OVEC-related </w:t>
      </w:r>
      <w:r w:rsidRPr="00651334" w:rsidR="00F97099">
        <w:rPr>
          <w:szCs w:val="24"/>
        </w:rPr>
        <w:t>subsidies have cost Ohioans $159 million from 2017 t</w:t>
      </w:r>
      <w:r w:rsidRPr="00651334" w:rsidR="0020621B">
        <w:rPr>
          <w:szCs w:val="24"/>
        </w:rPr>
        <w:t>hrough 2019 and could total an additional $700 million by 2030.</w:t>
      </w:r>
      <w:r>
        <w:rPr>
          <w:rStyle w:val="FootnoteReference"/>
          <w:szCs w:val="24"/>
        </w:rPr>
        <w:footnoteReference w:id="3"/>
      </w:r>
      <w:r w:rsidRPr="00651334" w:rsidR="00C90A01">
        <w:rPr>
          <w:szCs w:val="24"/>
        </w:rPr>
        <w:t xml:space="preserve"> </w:t>
      </w:r>
      <w:r w:rsidRPr="00651334" w:rsidR="00A15CD5">
        <w:rPr>
          <w:szCs w:val="24"/>
        </w:rPr>
        <w:t>OVEC is</w:t>
      </w:r>
      <w:r w:rsidRPr="00651334" w:rsidR="00D57113">
        <w:rPr>
          <w:szCs w:val="24"/>
        </w:rPr>
        <w:t xml:space="preserve"> the Ohio Valley Electric Corporation.</w:t>
      </w:r>
    </w:p>
    <w:p w:rsidR="00212CAF" w:rsidRPr="00651334" w:rsidP="00117595" w14:paraId="40160A9B" w14:textId="471594AC">
      <w:pPr>
        <w:spacing w:line="480" w:lineRule="auto"/>
        <w:ind w:firstLine="720"/>
        <w:rPr>
          <w:szCs w:val="24"/>
        </w:rPr>
      </w:pPr>
      <w:r w:rsidRPr="00651334">
        <w:rPr>
          <w:szCs w:val="24"/>
        </w:rPr>
        <w:t xml:space="preserve">In these cases about issues that predate the </w:t>
      </w:r>
      <w:r w:rsidRPr="00651334" w:rsidR="00A15CD5">
        <w:rPr>
          <w:szCs w:val="24"/>
        </w:rPr>
        <w:t xml:space="preserve">coal subsidy in </w:t>
      </w:r>
      <w:r w:rsidRPr="00651334">
        <w:rPr>
          <w:szCs w:val="24"/>
        </w:rPr>
        <w:t xml:space="preserve">House Bill 6 </w:t>
      </w:r>
      <w:r w:rsidRPr="00651334" w:rsidR="000818A9">
        <w:rPr>
          <w:szCs w:val="24"/>
        </w:rPr>
        <w:t>(“H.B. 6”)</w:t>
      </w:r>
      <w:r w:rsidRPr="00651334" w:rsidR="00A15CD5">
        <w:rPr>
          <w:szCs w:val="24"/>
        </w:rPr>
        <w:t xml:space="preserve"> – which is inaptly named as the “Clean Air Bill” given the dirty power from OVEC –</w:t>
      </w:r>
      <w:r w:rsidRPr="00651334">
        <w:rPr>
          <w:szCs w:val="24"/>
        </w:rPr>
        <w:t xml:space="preserve"> t</w:t>
      </w:r>
      <w:r w:rsidRPr="00651334" w:rsidR="00FD402C">
        <w:rPr>
          <w:szCs w:val="24"/>
        </w:rPr>
        <w:t>he PUCO’s auditor of the coal plant costs concluded that “</w:t>
      </w:r>
      <w:r w:rsidRPr="00651334" w:rsidR="001D6014">
        <w:rPr>
          <w:szCs w:val="24"/>
        </w:rPr>
        <w:t xml:space="preserve">some of the time, the PJM energy price did not </w:t>
      </w:r>
      <w:r w:rsidRPr="00651334" w:rsidR="001D6014">
        <w:rPr>
          <w:szCs w:val="24"/>
        </w:rPr>
        <w:t>cover fuel and variable cost</w:t>
      </w:r>
      <w:r w:rsidRPr="00651334" w:rsidR="006C0B2B">
        <w:rPr>
          <w:szCs w:val="24"/>
        </w:rPr>
        <w:t>.</w:t>
      </w:r>
      <w:r w:rsidRPr="00651334" w:rsidR="001D6014">
        <w:rPr>
          <w:szCs w:val="24"/>
        </w:rPr>
        <w:t>”</w:t>
      </w:r>
      <w:r>
        <w:rPr>
          <w:rStyle w:val="FootnoteReference"/>
          <w:szCs w:val="24"/>
        </w:rPr>
        <w:footnoteReference w:id="4"/>
      </w:r>
      <w:r w:rsidRPr="00651334" w:rsidR="001D6014">
        <w:rPr>
          <w:szCs w:val="24"/>
        </w:rPr>
        <w:t xml:space="preserve"> </w:t>
      </w:r>
      <w:r w:rsidRPr="00651334" w:rsidR="00093263">
        <w:rPr>
          <w:szCs w:val="24"/>
        </w:rPr>
        <w:t>Although t</w:t>
      </w:r>
      <w:r w:rsidRPr="00651334" w:rsidR="00A15CD5">
        <w:rPr>
          <w:szCs w:val="24"/>
        </w:rPr>
        <w:t>hat is a too-polite way to put it</w:t>
      </w:r>
      <w:r w:rsidRPr="00651334" w:rsidR="00093263">
        <w:rPr>
          <w:szCs w:val="24"/>
        </w:rPr>
        <w:t xml:space="preserve">, </w:t>
      </w:r>
      <w:r w:rsidRPr="00651334" w:rsidR="006C0B2B">
        <w:rPr>
          <w:szCs w:val="24"/>
        </w:rPr>
        <w:t xml:space="preserve"> the auditor</w:t>
      </w:r>
      <w:r w:rsidRPr="00651334" w:rsidR="001D6014">
        <w:rPr>
          <w:szCs w:val="24"/>
        </w:rPr>
        <w:t xml:space="preserve"> </w:t>
      </w:r>
      <w:r w:rsidRPr="00651334" w:rsidR="00F67F26">
        <w:rPr>
          <w:szCs w:val="24"/>
        </w:rPr>
        <w:t xml:space="preserve">of AEP </w:t>
      </w:r>
      <w:r w:rsidRPr="00651334" w:rsidR="001D6014">
        <w:rPr>
          <w:szCs w:val="24"/>
        </w:rPr>
        <w:t>recommended that “OVEC reconsider its ‘must-run’ offer stra</w:t>
      </w:r>
      <w:r w:rsidRPr="00651334" w:rsidR="00117595">
        <w:rPr>
          <w:szCs w:val="24"/>
        </w:rPr>
        <w:t>tegy.”</w:t>
      </w:r>
      <w:r>
        <w:rPr>
          <w:rStyle w:val="FootnoteReference"/>
          <w:szCs w:val="24"/>
        </w:rPr>
        <w:footnoteReference w:id="5"/>
      </w:r>
      <w:r w:rsidRPr="00651334" w:rsidR="00D57113">
        <w:rPr>
          <w:szCs w:val="24"/>
        </w:rPr>
        <w:t xml:space="preserve"> T</w:t>
      </w:r>
      <w:r w:rsidRPr="00651334" w:rsidR="00917FAC">
        <w:rPr>
          <w:szCs w:val="24"/>
        </w:rPr>
        <w:t xml:space="preserve">he auditor’s polite words mean </w:t>
      </w:r>
      <w:r w:rsidRPr="00651334" w:rsidR="00126CB5">
        <w:rPr>
          <w:szCs w:val="24"/>
        </w:rPr>
        <w:t xml:space="preserve">it should be considered whether </w:t>
      </w:r>
      <w:r w:rsidRPr="00651334" w:rsidR="00F67F26">
        <w:rPr>
          <w:szCs w:val="24"/>
        </w:rPr>
        <w:t>the utilities</w:t>
      </w:r>
      <w:r w:rsidRPr="00651334" w:rsidR="00D57113">
        <w:rPr>
          <w:szCs w:val="24"/>
        </w:rPr>
        <w:t xml:space="preserve"> are acting in the best interests of their consumers to minimize the coal subsidy charges that the PUCO enabled.</w:t>
      </w:r>
      <w:r w:rsidRPr="00651334" w:rsidR="00C90A01">
        <w:rPr>
          <w:szCs w:val="24"/>
        </w:rPr>
        <w:t xml:space="preserve"> </w:t>
      </w:r>
      <w:r w:rsidRPr="00651334" w:rsidR="003D41DE">
        <w:rPr>
          <w:szCs w:val="24"/>
        </w:rPr>
        <w:t>Interesting</w:t>
      </w:r>
      <w:r w:rsidRPr="00651334" w:rsidR="008E2AD7">
        <w:rPr>
          <w:szCs w:val="24"/>
        </w:rPr>
        <w:t>ly,</w:t>
      </w:r>
      <w:r w:rsidRPr="00651334" w:rsidR="003D41DE">
        <w:rPr>
          <w:szCs w:val="24"/>
        </w:rPr>
        <w:t xml:space="preserve"> a similar issue</w:t>
      </w:r>
      <w:r w:rsidRPr="00651334" w:rsidR="00BD51F8">
        <w:rPr>
          <w:szCs w:val="24"/>
        </w:rPr>
        <w:t xml:space="preserve"> involving coal-fired power plants</w:t>
      </w:r>
      <w:r w:rsidRPr="00651334" w:rsidR="003D41DE">
        <w:rPr>
          <w:szCs w:val="24"/>
        </w:rPr>
        <w:t xml:space="preserve"> recently has been addressed by MISO’s market monitor</w:t>
      </w:r>
      <w:r w:rsidRPr="00651334" w:rsidR="00BD51F8">
        <w:rPr>
          <w:szCs w:val="24"/>
        </w:rPr>
        <w:t xml:space="preserve"> (Potomac Economics), in the region including Indiana. Potomac concluded that “Unfortunately, a small share of integrated utilities operate much less efficiently than others.”</w:t>
      </w:r>
      <w:r>
        <w:rPr>
          <w:rStyle w:val="FootnoteReference"/>
          <w:szCs w:val="24"/>
        </w:rPr>
        <w:footnoteReference w:id="6"/>
      </w:r>
      <w:r w:rsidRPr="00651334" w:rsidR="00C90A01">
        <w:rPr>
          <w:szCs w:val="24"/>
        </w:rPr>
        <w:t xml:space="preserve"> </w:t>
      </w:r>
    </w:p>
    <w:p w:rsidR="001A52B2" w:rsidRPr="00651334" w14:paraId="49667A68" w14:textId="04DDFA28">
      <w:pPr>
        <w:spacing w:line="480" w:lineRule="auto"/>
        <w:ind w:firstLine="720"/>
        <w:rPr>
          <w:szCs w:val="24"/>
        </w:rPr>
      </w:pPr>
      <w:r w:rsidRPr="00651334">
        <w:rPr>
          <w:szCs w:val="24"/>
        </w:rPr>
        <w:t xml:space="preserve">To the extent necessary and given that the deponent would be an outside auditor, not Staff, </w:t>
      </w:r>
      <w:r w:rsidRPr="00651334" w:rsidR="007D4800">
        <w:rPr>
          <w:szCs w:val="24"/>
        </w:rPr>
        <w:t>OCC and OMAEG move the PUCO for a waiver of the PUCO</w:t>
      </w:r>
      <w:r w:rsidRPr="00651334" w:rsidR="003A6E86">
        <w:rPr>
          <w:szCs w:val="24"/>
        </w:rPr>
        <w:t>’s</w:t>
      </w:r>
      <w:r w:rsidRPr="00651334" w:rsidR="007D4800">
        <w:rPr>
          <w:szCs w:val="24"/>
        </w:rPr>
        <w:t xml:space="preserve"> rule that </w:t>
      </w:r>
      <w:r w:rsidRPr="00651334">
        <w:rPr>
          <w:szCs w:val="24"/>
        </w:rPr>
        <w:t xml:space="preserve">prevents parties from taking the </w:t>
      </w:r>
      <w:r w:rsidRPr="00651334" w:rsidR="007D4800">
        <w:rPr>
          <w:szCs w:val="24"/>
        </w:rPr>
        <w:t>depositions</w:t>
      </w:r>
      <w:r w:rsidRPr="00651334">
        <w:rPr>
          <w:szCs w:val="24"/>
        </w:rPr>
        <w:t xml:space="preserve"> of PUCO Staff</w:t>
      </w:r>
      <w:r w:rsidRPr="00651334" w:rsidR="00B5715E">
        <w:rPr>
          <w:szCs w:val="24"/>
        </w:rPr>
        <w:t xml:space="preserve">. That waiver </w:t>
      </w:r>
      <w:r w:rsidRPr="00651334" w:rsidR="00865606">
        <w:rPr>
          <w:szCs w:val="24"/>
        </w:rPr>
        <w:t xml:space="preserve">should </w:t>
      </w:r>
      <w:r w:rsidRPr="00651334" w:rsidR="007D4800">
        <w:rPr>
          <w:szCs w:val="24"/>
        </w:rPr>
        <w:t>allow</w:t>
      </w:r>
      <w:r w:rsidRPr="00651334" w:rsidR="00865606">
        <w:rPr>
          <w:szCs w:val="24"/>
        </w:rPr>
        <w:t xml:space="preserve"> for</w:t>
      </w:r>
      <w:r w:rsidRPr="00651334" w:rsidR="007D4800">
        <w:rPr>
          <w:szCs w:val="24"/>
        </w:rPr>
        <w:t xml:space="preserve"> a deposition of PUCO </w:t>
      </w:r>
      <w:r w:rsidRPr="00651334" w:rsidR="000818A9">
        <w:rPr>
          <w:szCs w:val="24"/>
        </w:rPr>
        <w:t>a</w:t>
      </w:r>
      <w:r w:rsidRPr="00651334" w:rsidR="007D4800">
        <w:rPr>
          <w:szCs w:val="24"/>
        </w:rPr>
        <w:t xml:space="preserve">uditor </w:t>
      </w:r>
      <w:r w:rsidRPr="00651334" w:rsidR="00F67F26">
        <w:rPr>
          <w:szCs w:val="24"/>
        </w:rPr>
        <w:t xml:space="preserve">Vantage Energy Consulting </w:t>
      </w:r>
      <w:r w:rsidRPr="00651334" w:rsidR="007D4800">
        <w:rPr>
          <w:szCs w:val="24"/>
        </w:rPr>
        <w:t>in th</w:t>
      </w:r>
      <w:r w:rsidRPr="00651334" w:rsidR="00F67F26">
        <w:rPr>
          <w:szCs w:val="24"/>
        </w:rPr>
        <w:t>is</w:t>
      </w:r>
      <w:r w:rsidRPr="00651334" w:rsidR="007D4800">
        <w:rPr>
          <w:szCs w:val="24"/>
        </w:rPr>
        <w:t xml:space="preserve"> case</w:t>
      </w:r>
      <w:r w:rsidRPr="00651334" w:rsidR="007A10AF">
        <w:rPr>
          <w:szCs w:val="24"/>
        </w:rPr>
        <w:t xml:space="preserve"> (if a waiver is even needed to depose</w:t>
      </w:r>
      <w:r w:rsidRPr="00651334" w:rsidR="00E369A1">
        <w:rPr>
          <w:szCs w:val="24"/>
        </w:rPr>
        <w:t xml:space="preserve"> an auditor</w:t>
      </w:r>
      <w:r w:rsidRPr="00651334" w:rsidR="007A10AF">
        <w:rPr>
          <w:szCs w:val="24"/>
        </w:rPr>
        <w:t>)</w:t>
      </w:r>
      <w:r w:rsidRPr="00651334" w:rsidR="007D4800">
        <w:rPr>
          <w:szCs w:val="24"/>
        </w:rPr>
        <w:t>.</w:t>
      </w:r>
      <w:r w:rsidRPr="00651334" w:rsidR="00EE60DA">
        <w:rPr>
          <w:szCs w:val="24"/>
        </w:rPr>
        <w:t xml:space="preserve"> </w:t>
      </w:r>
    </w:p>
    <w:p w:rsidR="00657FE2" w:rsidRPr="00651334" w:rsidP="00EE2FAA" w14:paraId="40CF8DAA" w14:textId="7DC98D88">
      <w:pPr>
        <w:spacing w:line="480" w:lineRule="auto"/>
        <w:ind w:firstLine="720"/>
        <w:rPr>
          <w:szCs w:val="24"/>
        </w:rPr>
      </w:pPr>
      <w:bookmarkStart w:id="1" w:name="_Hlk63693949"/>
      <w:r w:rsidRPr="00651334">
        <w:rPr>
          <w:szCs w:val="24"/>
        </w:rPr>
        <w:t xml:space="preserve">The PUCO </w:t>
      </w:r>
      <w:r w:rsidRPr="00651334" w:rsidR="00E134DA">
        <w:rPr>
          <w:szCs w:val="24"/>
        </w:rPr>
        <w:t xml:space="preserve">has </w:t>
      </w:r>
      <w:r w:rsidRPr="00651334">
        <w:rPr>
          <w:szCs w:val="24"/>
        </w:rPr>
        <w:t>asserted that it will closely scrutinize OVEC’s operations to ensure OVEC’s practices are “in the best interest of retail [customers].”</w:t>
      </w:r>
      <w:r>
        <w:rPr>
          <w:rStyle w:val="FootnoteReference"/>
          <w:szCs w:val="24"/>
        </w:rPr>
        <w:footnoteReference w:id="7"/>
      </w:r>
      <w:r w:rsidRPr="00651334" w:rsidR="00971193">
        <w:rPr>
          <w:szCs w:val="24"/>
        </w:rPr>
        <w:t xml:space="preserve"> </w:t>
      </w:r>
      <w:r w:rsidRPr="00651334" w:rsidR="00E134DA">
        <w:rPr>
          <w:szCs w:val="24"/>
        </w:rPr>
        <w:t xml:space="preserve">The PUCO has also stated that when reviewing OVEC costs it will hold the utilities and OVEC to </w:t>
      </w:r>
      <w:r w:rsidRPr="00651334">
        <w:rPr>
          <w:szCs w:val="24"/>
        </w:rPr>
        <w:t>the following standard:</w:t>
      </w:r>
    </w:p>
    <w:p w:rsidR="00657FE2" w:rsidRPr="00651334" w:rsidP="00C3793D" w14:paraId="79B388A5" w14:textId="677AF56C">
      <w:pPr>
        <w:ind w:left="1440" w:right="1440"/>
        <w:rPr>
          <w:szCs w:val="24"/>
        </w:rPr>
      </w:pPr>
      <w:r w:rsidRPr="00651334">
        <w:rPr>
          <w:szCs w:val="24"/>
        </w:rPr>
        <w:t>Retail cost recovery may be disallowed as a result of the annual prudency review if the output from the plants is not bid in a manner that is consistent with participation in a broader competitive marketplace comprised of sellers attempting to maximize revenues.</w:t>
      </w:r>
      <w:r>
        <w:rPr>
          <w:rStyle w:val="FootnoteReference"/>
          <w:szCs w:val="24"/>
        </w:rPr>
        <w:footnoteReference w:id="8"/>
      </w:r>
    </w:p>
    <w:p w:rsidR="00657FE2" w:rsidRPr="00651334" w:rsidP="00C3793D" w14:paraId="50BEA8D5" w14:textId="77777777">
      <w:pPr>
        <w:rPr>
          <w:szCs w:val="24"/>
        </w:rPr>
      </w:pPr>
    </w:p>
    <w:p w:rsidR="00B13FFF" w:rsidRPr="00651334" w:rsidP="00EE2FAA" w14:paraId="0BC19509" w14:textId="3C111B45">
      <w:pPr>
        <w:spacing w:line="480" w:lineRule="auto"/>
        <w:ind w:firstLine="720"/>
        <w:rPr>
          <w:szCs w:val="24"/>
        </w:rPr>
      </w:pPr>
      <w:r w:rsidRPr="00651334">
        <w:rPr>
          <w:szCs w:val="24"/>
        </w:rPr>
        <w:t>PJM</w:t>
      </w:r>
      <w:r w:rsidRPr="00651334" w:rsidR="004F5268">
        <w:rPr>
          <w:szCs w:val="24"/>
        </w:rPr>
        <w:t xml:space="preserve"> filed an amicus brief</w:t>
      </w:r>
      <w:r w:rsidRPr="00651334">
        <w:rPr>
          <w:szCs w:val="24"/>
        </w:rPr>
        <w:t xml:space="preserve"> </w:t>
      </w:r>
      <w:r w:rsidRPr="00651334" w:rsidR="008808FD">
        <w:rPr>
          <w:szCs w:val="24"/>
        </w:rPr>
        <w:t>in that case. A</w:t>
      </w:r>
      <w:r w:rsidRPr="00651334">
        <w:rPr>
          <w:szCs w:val="24"/>
        </w:rPr>
        <w:t xml:space="preserve">nd </w:t>
      </w:r>
      <w:r w:rsidRPr="00651334" w:rsidR="004F5268">
        <w:rPr>
          <w:szCs w:val="24"/>
        </w:rPr>
        <w:t xml:space="preserve">the PUCO </w:t>
      </w:r>
      <w:r w:rsidRPr="00651334" w:rsidR="00712279">
        <w:rPr>
          <w:szCs w:val="24"/>
        </w:rPr>
        <w:t xml:space="preserve">specifically </w:t>
      </w:r>
      <w:r w:rsidRPr="00651334" w:rsidR="004F5268">
        <w:rPr>
          <w:szCs w:val="24"/>
        </w:rPr>
        <w:t>adopted this standard of review in response to PJM’s point that the PUCO must hold OVEC and the utilities to the same standard of what a competitive generator would do</w:t>
      </w:r>
      <w:r w:rsidRPr="00651334">
        <w:rPr>
          <w:szCs w:val="24"/>
        </w:rPr>
        <w:t xml:space="preserve">. </w:t>
      </w:r>
      <w:r w:rsidRPr="00651334" w:rsidR="00032005">
        <w:rPr>
          <w:szCs w:val="24"/>
        </w:rPr>
        <w:t>PJM noted in its amicus brief</w:t>
      </w:r>
      <w:r w:rsidRPr="00651334" w:rsidR="009E14AE">
        <w:rPr>
          <w:szCs w:val="24"/>
        </w:rPr>
        <w:t xml:space="preserve"> that</w:t>
      </w:r>
      <w:r w:rsidRPr="00651334" w:rsidR="00032005">
        <w:rPr>
          <w:szCs w:val="24"/>
        </w:rPr>
        <w:t xml:space="preserve"> </w:t>
      </w:r>
      <w:r w:rsidRPr="00651334" w:rsidR="004F5268">
        <w:rPr>
          <w:szCs w:val="24"/>
        </w:rPr>
        <w:t>the PUCO</w:t>
      </w:r>
      <w:r w:rsidRPr="00651334" w:rsidR="00EB1261">
        <w:rPr>
          <w:szCs w:val="24"/>
        </w:rPr>
        <w:t xml:space="preserve"> would need to follow</w:t>
      </w:r>
      <w:r w:rsidRPr="00651334" w:rsidR="00E30114">
        <w:rPr>
          <w:szCs w:val="24"/>
        </w:rPr>
        <w:t xml:space="preserve"> </w:t>
      </w:r>
      <w:r w:rsidRPr="00651334" w:rsidR="004F5268">
        <w:rPr>
          <w:szCs w:val="24"/>
        </w:rPr>
        <w:t>thi</w:t>
      </w:r>
      <w:r w:rsidRPr="00651334" w:rsidR="00064762">
        <w:rPr>
          <w:szCs w:val="24"/>
        </w:rPr>
        <w:t>s</w:t>
      </w:r>
      <w:r w:rsidRPr="00651334" w:rsidR="004F5268">
        <w:rPr>
          <w:szCs w:val="24"/>
        </w:rPr>
        <w:t xml:space="preserve"> standard</w:t>
      </w:r>
      <w:r w:rsidRPr="00651334" w:rsidR="009E14AE">
        <w:rPr>
          <w:szCs w:val="24"/>
        </w:rPr>
        <w:t xml:space="preserve"> </w:t>
      </w:r>
      <w:r w:rsidRPr="00651334" w:rsidR="00EB1261">
        <w:rPr>
          <w:szCs w:val="24"/>
        </w:rPr>
        <w:t>to</w:t>
      </w:r>
      <w:r w:rsidRPr="00651334" w:rsidR="003A6E86">
        <w:rPr>
          <w:szCs w:val="24"/>
        </w:rPr>
        <w:t xml:space="preserve"> avoid undermining the competitive effectiveness of the PJM market</w:t>
      </w:r>
      <w:r w:rsidRPr="00651334" w:rsidR="00EB1261">
        <w:rPr>
          <w:szCs w:val="24"/>
        </w:rPr>
        <w:t>:</w:t>
      </w:r>
      <w:r w:rsidRPr="00651334" w:rsidR="004F5268">
        <w:rPr>
          <w:szCs w:val="24"/>
        </w:rPr>
        <w:t xml:space="preserve"> </w:t>
      </w:r>
    </w:p>
    <w:p w:rsidR="00A5635E" w:rsidRPr="00651334" w:rsidP="00E05E4F" w14:paraId="122F0E9D" w14:textId="68D050F9">
      <w:pPr>
        <w:ind w:left="1170" w:right="900"/>
        <w:rPr>
          <w:szCs w:val="24"/>
        </w:rPr>
      </w:pPr>
      <w:r w:rsidRPr="00651334">
        <w:rPr>
          <w:szCs w:val="24"/>
        </w:rPr>
        <w:t xml:space="preserve">[T]he PUCO Oversight Provision, more than any other in the Stipulation, </w:t>
      </w:r>
      <w:r w:rsidRPr="00651334" w:rsidR="00E30114">
        <w:rPr>
          <w:szCs w:val="24"/>
        </w:rPr>
        <w:t>has the greatest potential to impact the effectiveness of the wholesale market in Ohio for stimulating new investment.</w:t>
      </w:r>
      <w:r w:rsidRPr="00651334" w:rsidR="00C90A01">
        <w:rPr>
          <w:szCs w:val="24"/>
        </w:rPr>
        <w:t xml:space="preserve"> </w:t>
      </w:r>
      <w:r w:rsidRPr="00651334" w:rsidR="00E30114">
        <w:rPr>
          <w:szCs w:val="24"/>
        </w:rPr>
        <w:t>Moreover, since the Commission has stated that the PJM marketplace remains the primary vehicle it intends to utilize to attract and incent new generation resources, how this Commission implements this provision is critically important to whether those Ohio-specific goals can be achieved</w:t>
      </w:r>
      <w:r w:rsidRPr="00651334" w:rsidR="00873153">
        <w:rPr>
          <w:szCs w:val="24"/>
        </w:rPr>
        <w:t>.</w:t>
      </w:r>
      <w:r>
        <w:rPr>
          <w:rStyle w:val="FootnoteReference"/>
          <w:szCs w:val="24"/>
        </w:rPr>
        <w:footnoteReference w:id="9"/>
      </w:r>
    </w:p>
    <w:p w:rsidR="00B13FFF" w:rsidRPr="00651334" w:rsidP="00A76D16" w14:paraId="54757C4B" w14:textId="77777777">
      <w:pPr>
        <w:ind w:firstLine="720"/>
        <w:rPr>
          <w:b/>
          <w:bCs w:val="0"/>
          <w:szCs w:val="24"/>
        </w:rPr>
      </w:pPr>
    </w:p>
    <w:bookmarkEnd w:id="1"/>
    <w:p w:rsidR="00DF113D" w:rsidRPr="00651334" w:rsidP="009869AB" w14:paraId="79D34259" w14:textId="71293E6A">
      <w:pPr>
        <w:spacing w:line="480" w:lineRule="auto"/>
        <w:ind w:firstLine="720"/>
        <w:rPr>
          <w:szCs w:val="24"/>
        </w:rPr>
      </w:pPr>
      <w:r w:rsidRPr="00651334">
        <w:rPr>
          <w:szCs w:val="24"/>
        </w:rPr>
        <w:t xml:space="preserve">The </w:t>
      </w:r>
      <w:r w:rsidRPr="00651334" w:rsidR="0093721E">
        <w:rPr>
          <w:szCs w:val="24"/>
        </w:rPr>
        <w:t xml:space="preserve">electricity </w:t>
      </w:r>
      <w:r w:rsidRPr="00651334" w:rsidR="00F219D1">
        <w:rPr>
          <w:szCs w:val="24"/>
        </w:rPr>
        <w:t>price</w:t>
      </w:r>
      <w:r w:rsidRPr="00651334" w:rsidR="00E008F9">
        <w:rPr>
          <w:szCs w:val="24"/>
        </w:rPr>
        <w:t xml:space="preserve"> from the two </w:t>
      </w:r>
      <w:r w:rsidRPr="00651334" w:rsidR="00F67F26">
        <w:rPr>
          <w:szCs w:val="24"/>
        </w:rPr>
        <w:t>DP&amp;L</w:t>
      </w:r>
      <w:r w:rsidRPr="00651334" w:rsidR="005B3D08">
        <w:rPr>
          <w:szCs w:val="24"/>
        </w:rPr>
        <w:t>/</w:t>
      </w:r>
      <w:r w:rsidRPr="00651334" w:rsidR="00E008F9">
        <w:rPr>
          <w:szCs w:val="24"/>
        </w:rPr>
        <w:t>OVEC coal plants</w:t>
      </w:r>
      <w:r w:rsidRPr="00651334" w:rsidR="0093721E">
        <w:rPr>
          <w:szCs w:val="24"/>
        </w:rPr>
        <w:t xml:space="preserve"> is much </w:t>
      </w:r>
      <w:r w:rsidRPr="00651334" w:rsidR="00F219D1">
        <w:rPr>
          <w:szCs w:val="24"/>
        </w:rPr>
        <w:t>higher</w:t>
      </w:r>
      <w:r w:rsidRPr="00651334" w:rsidR="0093721E">
        <w:rPr>
          <w:szCs w:val="24"/>
        </w:rPr>
        <w:t xml:space="preserve"> than the electricity </w:t>
      </w:r>
      <w:r w:rsidRPr="00651334" w:rsidR="005056D9">
        <w:rPr>
          <w:szCs w:val="24"/>
        </w:rPr>
        <w:t xml:space="preserve">obtained </w:t>
      </w:r>
      <w:r w:rsidRPr="00651334" w:rsidR="0093721E">
        <w:rPr>
          <w:szCs w:val="24"/>
        </w:rPr>
        <w:t xml:space="preserve">from </w:t>
      </w:r>
      <w:r w:rsidRPr="00651334">
        <w:rPr>
          <w:szCs w:val="24"/>
        </w:rPr>
        <w:t>competitive wholesale auctions</w:t>
      </w:r>
      <w:r w:rsidRPr="00651334" w:rsidR="00E008F9">
        <w:rPr>
          <w:szCs w:val="24"/>
        </w:rPr>
        <w:t>.</w:t>
      </w:r>
      <w:r w:rsidRPr="00651334" w:rsidR="00C90A01">
        <w:rPr>
          <w:szCs w:val="24"/>
        </w:rPr>
        <w:t xml:space="preserve"> </w:t>
      </w:r>
      <w:r w:rsidRPr="00651334" w:rsidR="003A6E86">
        <w:rPr>
          <w:szCs w:val="24"/>
        </w:rPr>
        <w:t xml:space="preserve">OVEC has been protected </w:t>
      </w:r>
      <w:r w:rsidRPr="00651334" w:rsidR="002865C3">
        <w:rPr>
          <w:szCs w:val="24"/>
        </w:rPr>
        <w:t>from losses and its anticompetitive strategies</w:t>
      </w:r>
      <w:r w:rsidRPr="00651334" w:rsidR="003A6E86">
        <w:rPr>
          <w:szCs w:val="24"/>
        </w:rPr>
        <w:t xml:space="preserve"> by </w:t>
      </w:r>
      <w:r w:rsidRPr="00651334" w:rsidR="002865C3">
        <w:rPr>
          <w:szCs w:val="24"/>
        </w:rPr>
        <w:t xml:space="preserve">the </w:t>
      </w:r>
      <w:r w:rsidRPr="00651334" w:rsidR="00AD338E">
        <w:rPr>
          <w:szCs w:val="24"/>
        </w:rPr>
        <w:t>Ohio-</w:t>
      </w:r>
      <w:r w:rsidRPr="00651334" w:rsidR="00555CB9">
        <w:rPr>
          <w:szCs w:val="24"/>
        </w:rPr>
        <w:t xml:space="preserve">approved </w:t>
      </w:r>
      <w:r w:rsidRPr="00651334" w:rsidR="003A6E86">
        <w:rPr>
          <w:szCs w:val="24"/>
        </w:rPr>
        <w:t xml:space="preserve">subsidies </w:t>
      </w:r>
      <w:r w:rsidRPr="00651334" w:rsidR="002865C3">
        <w:rPr>
          <w:szCs w:val="24"/>
        </w:rPr>
        <w:t xml:space="preserve">charged to </w:t>
      </w:r>
      <w:r w:rsidRPr="00651334" w:rsidR="00F67F26">
        <w:rPr>
          <w:szCs w:val="24"/>
        </w:rPr>
        <w:t>DP&amp;L</w:t>
      </w:r>
      <w:r w:rsidRPr="00651334" w:rsidR="002865C3">
        <w:rPr>
          <w:szCs w:val="24"/>
        </w:rPr>
        <w:t>’s</w:t>
      </w:r>
      <w:r w:rsidRPr="00651334" w:rsidR="001D115B">
        <w:rPr>
          <w:szCs w:val="24"/>
        </w:rPr>
        <w:t xml:space="preserve"> </w:t>
      </w:r>
      <w:r w:rsidRPr="00651334" w:rsidR="002865C3">
        <w:rPr>
          <w:szCs w:val="24"/>
        </w:rPr>
        <w:t>customers</w:t>
      </w:r>
      <w:r w:rsidRPr="00651334" w:rsidR="003A6E86">
        <w:rPr>
          <w:szCs w:val="24"/>
        </w:rPr>
        <w:t>.</w:t>
      </w:r>
      <w:r w:rsidRPr="00651334" w:rsidR="00737BDE">
        <w:rPr>
          <w:szCs w:val="24"/>
        </w:rPr>
        <w:t xml:space="preserve"> </w:t>
      </w:r>
      <w:r w:rsidRPr="00651334" w:rsidR="003A6E86">
        <w:rPr>
          <w:szCs w:val="24"/>
        </w:rPr>
        <w:t xml:space="preserve">The </w:t>
      </w:r>
      <w:r w:rsidRPr="00651334" w:rsidR="00EE2FAA">
        <w:rPr>
          <w:szCs w:val="24"/>
        </w:rPr>
        <w:t>PUCO</w:t>
      </w:r>
      <w:r w:rsidRPr="00651334" w:rsidR="003A6E86">
        <w:rPr>
          <w:szCs w:val="24"/>
        </w:rPr>
        <w:t xml:space="preserve"> </w:t>
      </w:r>
      <w:r w:rsidRPr="00651334" w:rsidR="00EE2FAA">
        <w:rPr>
          <w:szCs w:val="24"/>
        </w:rPr>
        <w:t>approv</w:t>
      </w:r>
      <w:r w:rsidRPr="00651334" w:rsidR="002865C3">
        <w:rPr>
          <w:szCs w:val="24"/>
        </w:rPr>
        <w:t>ed</w:t>
      </w:r>
      <w:r w:rsidRPr="00651334" w:rsidR="003A6E86">
        <w:rPr>
          <w:szCs w:val="24"/>
        </w:rPr>
        <w:t xml:space="preserve"> a</w:t>
      </w:r>
      <w:r w:rsidRPr="00651334" w:rsidR="00EE2FAA">
        <w:rPr>
          <w:szCs w:val="24"/>
        </w:rPr>
        <w:t xml:space="preserve"> </w:t>
      </w:r>
      <w:r w:rsidRPr="00651334" w:rsidR="00737BDE">
        <w:rPr>
          <w:szCs w:val="24"/>
        </w:rPr>
        <w:t>nonbypassable charge</w:t>
      </w:r>
      <w:r w:rsidRPr="00651334" w:rsidR="002E2DA8">
        <w:rPr>
          <w:szCs w:val="24"/>
        </w:rPr>
        <w:t xml:space="preserve"> that is part of the </w:t>
      </w:r>
      <w:r w:rsidRPr="00651334" w:rsidR="00F67F26">
        <w:rPr>
          <w:szCs w:val="24"/>
        </w:rPr>
        <w:t>DP&amp;L</w:t>
      </w:r>
      <w:r w:rsidRPr="00651334" w:rsidR="00E212F8">
        <w:rPr>
          <w:szCs w:val="24"/>
        </w:rPr>
        <w:t xml:space="preserve"> (and </w:t>
      </w:r>
      <w:r w:rsidRPr="00651334" w:rsidR="00F67F26">
        <w:rPr>
          <w:szCs w:val="24"/>
        </w:rPr>
        <w:t>AEP and Duke</w:t>
      </w:r>
      <w:r w:rsidRPr="00651334" w:rsidR="00E212F8">
        <w:rPr>
          <w:szCs w:val="24"/>
        </w:rPr>
        <w:t xml:space="preserve">) </w:t>
      </w:r>
      <w:r w:rsidRPr="00651334" w:rsidR="002E2DA8">
        <w:rPr>
          <w:szCs w:val="24"/>
        </w:rPr>
        <w:t>standard offer</w:t>
      </w:r>
      <w:r w:rsidRPr="00651334" w:rsidR="00E212F8">
        <w:rPr>
          <w:szCs w:val="24"/>
        </w:rPr>
        <w:t>s</w:t>
      </w:r>
      <w:r w:rsidRPr="00651334">
        <w:rPr>
          <w:szCs w:val="24"/>
        </w:rPr>
        <w:t>.</w:t>
      </w:r>
      <w:r w:rsidRPr="00651334" w:rsidR="00C90A01">
        <w:rPr>
          <w:szCs w:val="24"/>
        </w:rPr>
        <w:t xml:space="preserve"> </w:t>
      </w:r>
      <w:r w:rsidRPr="00651334" w:rsidR="000C3A86">
        <w:rPr>
          <w:szCs w:val="24"/>
        </w:rPr>
        <w:t xml:space="preserve">It’s a special deal for the special interests of DP&amp;L, </w:t>
      </w:r>
      <w:r w:rsidRPr="00651334" w:rsidR="00F67F26">
        <w:rPr>
          <w:szCs w:val="24"/>
        </w:rPr>
        <w:t xml:space="preserve">AEP, </w:t>
      </w:r>
      <w:r w:rsidRPr="00651334" w:rsidR="000C3A86">
        <w:rPr>
          <w:szCs w:val="24"/>
        </w:rPr>
        <w:t>Duke and the two uneconomic OVEC plants.</w:t>
      </w:r>
    </w:p>
    <w:p w:rsidR="009869AB" w:rsidRPr="00651334" w:rsidP="009869AB" w14:paraId="1ABC3C12" w14:textId="15D6BA39">
      <w:pPr>
        <w:spacing w:line="480" w:lineRule="auto"/>
        <w:ind w:firstLine="720"/>
        <w:rPr>
          <w:szCs w:val="24"/>
        </w:rPr>
      </w:pPr>
      <w:r w:rsidRPr="00651334">
        <w:rPr>
          <w:szCs w:val="24"/>
        </w:rPr>
        <w:t>Indeed, on February 26, 2021, Fitch Ratings published an outlook on OVEC which included a projection that, from a consumer perspective, is dour: “Nonetheless, Fitch expects OVEC's all-in costs exceed prevailing merchant power prices and the plants to remain uneconomical for the foreseeable future.”</w:t>
      </w:r>
      <w:r>
        <w:rPr>
          <w:rStyle w:val="FootnoteReference"/>
          <w:szCs w:val="24"/>
        </w:rPr>
        <w:footnoteReference w:id="10"/>
      </w:r>
    </w:p>
    <w:p w:rsidR="00C72D6E" w:rsidRPr="00651334" w:rsidP="00EE2FAA" w14:paraId="5CF8F636" w14:textId="49D8997B">
      <w:pPr>
        <w:spacing w:line="480" w:lineRule="auto"/>
        <w:ind w:firstLine="720"/>
        <w:rPr>
          <w:szCs w:val="24"/>
        </w:rPr>
      </w:pPr>
      <w:r w:rsidRPr="00651334">
        <w:rPr>
          <w:szCs w:val="24"/>
        </w:rPr>
        <w:t xml:space="preserve">The PUCO hired independent auditors to review </w:t>
      </w:r>
      <w:r w:rsidRPr="00651334" w:rsidR="005B3D08">
        <w:rPr>
          <w:szCs w:val="24"/>
        </w:rPr>
        <w:t xml:space="preserve">the coal plants’ </w:t>
      </w:r>
      <w:r w:rsidRPr="00651334" w:rsidR="00516BC5">
        <w:rPr>
          <w:szCs w:val="24"/>
        </w:rPr>
        <w:t>costs</w:t>
      </w:r>
      <w:r w:rsidRPr="00651334" w:rsidR="007E7F55">
        <w:rPr>
          <w:szCs w:val="24"/>
        </w:rPr>
        <w:t xml:space="preserve"> and the</w:t>
      </w:r>
      <w:r w:rsidRPr="00651334" w:rsidR="00EF6402">
        <w:rPr>
          <w:szCs w:val="24"/>
        </w:rPr>
        <w:t xml:space="preserve"> resulting</w:t>
      </w:r>
      <w:r w:rsidRPr="00651334" w:rsidR="007E7F55">
        <w:rPr>
          <w:szCs w:val="24"/>
        </w:rPr>
        <w:t xml:space="preserve"> bills by DP&amp;L</w:t>
      </w:r>
      <w:r w:rsidRPr="00651334" w:rsidR="00097A34">
        <w:rPr>
          <w:szCs w:val="24"/>
        </w:rPr>
        <w:t>, AEP and Duke</w:t>
      </w:r>
      <w:r w:rsidRPr="00651334" w:rsidR="007E7F55">
        <w:rPr>
          <w:szCs w:val="24"/>
        </w:rPr>
        <w:t xml:space="preserve"> </w:t>
      </w:r>
      <w:r w:rsidRPr="00651334" w:rsidR="00EF6402">
        <w:rPr>
          <w:szCs w:val="24"/>
        </w:rPr>
        <w:t>for charging</w:t>
      </w:r>
      <w:r w:rsidRPr="00651334" w:rsidR="007E7F55">
        <w:rPr>
          <w:szCs w:val="24"/>
        </w:rPr>
        <w:t xml:space="preserve"> customers.</w:t>
      </w:r>
      <w:r w:rsidRPr="00651334" w:rsidR="00516BC5">
        <w:rPr>
          <w:szCs w:val="24"/>
        </w:rPr>
        <w:t xml:space="preserve"> </w:t>
      </w:r>
      <w:r w:rsidRPr="00651334" w:rsidR="003754F0">
        <w:rPr>
          <w:szCs w:val="24"/>
        </w:rPr>
        <w:t xml:space="preserve">The most recent audit reports were prepared and filed by two </w:t>
      </w:r>
      <w:r w:rsidRPr="00651334" w:rsidR="00CE0854">
        <w:rPr>
          <w:szCs w:val="24"/>
        </w:rPr>
        <w:t xml:space="preserve">different </w:t>
      </w:r>
      <w:r w:rsidRPr="00651334" w:rsidR="003754F0">
        <w:rPr>
          <w:szCs w:val="24"/>
        </w:rPr>
        <w:t>independent outside auditors</w:t>
      </w:r>
      <w:r w:rsidRPr="00651334" w:rsidR="00CE0854">
        <w:rPr>
          <w:szCs w:val="24"/>
        </w:rPr>
        <w:t xml:space="preserve"> (</w:t>
      </w:r>
      <w:r w:rsidRPr="00651334" w:rsidR="00EF6402">
        <w:rPr>
          <w:szCs w:val="24"/>
        </w:rPr>
        <w:t xml:space="preserve">where </w:t>
      </w:r>
      <w:r w:rsidRPr="00651334" w:rsidR="00CE0854">
        <w:rPr>
          <w:szCs w:val="24"/>
        </w:rPr>
        <w:t xml:space="preserve">the same auditor </w:t>
      </w:r>
      <w:r w:rsidRPr="00651334" w:rsidR="00EF6402">
        <w:rPr>
          <w:szCs w:val="24"/>
        </w:rPr>
        <w:t xml:space="preserve">conducted </w:t>
      </w:r>
      <w:r w:rsidRPr="00651334" w:rsidR="00CE0854">
        <w:rPr>
          <w:szCs w:val="24"/>
        </w:rPr>
        <w:t>the</w:t>
      </w:r>
      <w:r w:rsidRPr="00651334" w:rsidR="00EF6402">
        <w:rPr>
          <w:szCs w:val="24"/>
        </w:rPr>
        <w:t xml:space="preserve"> audits of</w:t>
      </w:r>
      <w:r w:rsidRPr="00651334" w:rsidR="00CE0854">
        <w:rPr>
          <w:szCs w:val="24"/>
        </w:rPr>
        <w:t xml:space="preserve"> AEP Ohio and Duke)</w:t>
      </w:r>
      <w:r w:rsidRPr="00651334" w:rsidR="003754F0">
        <w:rPr>
          <w:szCs w:val="24"/>
        </w:rPr>
        <w:t>.</w:t>
      </w:r>
      <w:r>
        <w:rPr>
          <w:rStyle w:val="FootnoteReference"/>
          <w:szCs w:val="24"/>
        </w:rPr>
        <w:footnoteReference w:id="11"/>
      </w:r>
      <w:r w:rsidRPr="00651334">
        <w:rPr>
          <w:szCs w:val="24"/>
        </w:rPr>
        <w:t xml:space="preserve"> T</w:t>
      </w:r>
      <w:r w:rsidRPr="00651334" w:rsidR="00737BDE">
        <w:rPr>
          <w:szCs w:val="24"/>
        </w:rPr>
        <w:t>wo of t</w:t>
      </w:r>
      <w:r w:rsidRPr="00651334">
        <w:rPr>
          <w:szCs w:val="24"/>
        </w:rPr>
        <w:t>he audit reports</w:t>
      </w:r>
      <w:r w:rsidRPr="00651334" w:rsidR="00065D7B">
        <w:rPr>
          <w:szCs w:val="24"/>
        </w:rPr>
        <w:t xml:space="preserve"> (regarding AEP and Duke and their consumers)</w:t>
      </w:r>
      <w:r w:rsidRPr="00651334">
        <w:rPr>
          <w:szCs w:val="24"/>
        </w:rPr>
        <w:t xml:space="preserve"> </w:t>
      </w:r>
      <w:r w:rsidRPr="00651334" w:rsidR="00EF6402">
        <w:rPr>
          <w:szCs w:val="24"/>
        </w:rPr>
        <w:t xml:space="preserve">described </w:t>
      </w:r>
      <w:r w:rsidRPr="00651334">
        <w:rPr>
          <w:szCs w:val="24"/>
        </w:rPr>
        <w:t xml:space="preserve">a </w:t>
      </w:r>
      <w:r w:rsidRPr="00651334" w:rsidR="006363B6">
        <w:rPr>
          <w:szCs w:val="24"/>
        </w:rPr>
        <w:t>significant</w:t>
      </w:r>
      <w:r w:rsidRPr="00651334">
        <w:rPr>
          <w:szCs w:val="24"/>
        </w:rPr>
        <w:t xml:space="preserve"> </w:t>
      </w:r>
      <w:r w:rsidRPr="00651334" w:rsidR="00C90166">
        <w:rPr>
          <w:szCs w:val="24"/>
        </w:rPr>
        <w:t>flaw</w:t>
      </w:r>
      <w:r w:rsidRPr="00651334">
        <w:rPr>
          <w:szCs w:val="24"/>
        </w:rPr>
        <w:t xml:space="preserve"> with how </w:t>
      </w:r>
      <w:r w:rsidRPr="00651334" w:rsidR="006E3B97">
        <w:rPr>
          <w:szCs w:val="24"/>
        </w:rPr>
        <w:t>the plants</w:t>
      </w:r>
      <w:r w:rsidRPr="00651334" w:rsidR="005B3D08">
        <w:rPr>
          <w:szCs w:val="24"/>
        </w:rPr>
        <w:t xml:space="preserve"> are run</w:t>
      </w:r>
      <w:r w:rsidRPr="00651334" w:rsidR="00EF6402">
        <w:rPr>
          <w:szCs w:val="24"/>
        </w:rPr>
        <w:t>.</w:t>
      </w:r>
      <w:r w:rsidRPr="00651334" w:rsidR="00BE06E8">
        <w:rPr>
          <w:szCs w:val="24"/>
        </w:rPr>
        <w:t xml:space="preserve"> </w:t>
      </w:r>
      <w:r w:rsidRPr="00651334" w:rsidR="005B3D08">
        <w:rPr>
          <w:szCs w:val="24"/>
        </w:rPr>
        <w:t>These coal plants</w:t>
      </w:r>
      <w:r w:rsidRPr="00651334">
        <w:rPr>
          <w:szCs w:val="24"/>
        </w:rPr>
        <w:t xml:space="preserve"> </w:t>
      </w:r>
      <w:r w:rsidRPr="00651334" w:rsidR="005056D9">
        <w:rPr>
          <w:szCs w:val="24"/>
        </w:rPr>
        <w:t>often</w:t>
      </w:r>
      <w:r w:rsidRPr="00651334" w:rsidR="005B3D08">
        <w:rPr>
          <w:szCs w:val="24"/>
        </w:rPr>
        <w:t xml:space="preserve"> were</w:t>
      </w:r>
      <w:r w:rsidRPr="00651334" w:rsidR="005056D9">
        <w:rPr>
          <w:szCs w:val="24"/>
        </w:rPr>
        <w:t xml:space="preserve"> </w:t>
      </w:r>
      <w:r w:rsidRPr="00651334">
        <w:rPr>
          <w:szCs w:val="24"/>
        </w:rPr>
        <w:t>r</w:t>
      </w:r>
      <w:r w:rsidRPr="00651334" w:rsidR="005B3D08">
        <w:rPr>
          <w:szCs w:val="24"/>
        </w:rPr>
        <w:t>u</w:t>
      </w:r>
      <w:r w:rsidRPr="00651334" w:rsidR="00AE7249">
        <w:rPr>
          <w:szCs w:val="24"/>
        </w:rPr>
        <w:t>n</w:t>
      </w:r>
      <w:r w:rsidRPr="00651334">
        <w:rPr>
          <w:szCs w:val="24"/>
        </w:rPr>
        <w:t xml:space="preserve"> </w:t>
      </w:r>
      <w:r w:rsidRPr="00651334" w:rsidR="00AE7249">
        <w:rPr>
          <w:szCs w:val="24"/>
        </w:rPr>
        <w:t xml:space="preserve">for long periods </w:t>
      </w:r>
      <w:r w:rsidRPr="00651334" w:rsidR="005056D9">
        <w:rPr>
          <w:szCs w:val="24"/>
        </w:rPr>
        <w:t xml:space="preserve">when the cost to make electricity </w:t>
      </w:r>
      <w:r w:rsidRPr="00651334" w:rsidR="00AE7249">
        <w:rPr>
          <w:szCs w:val="24"/>
        </w:rPr>
        <w:t>wa</w:t>
      </w:r>
      <w:r w:rsidRPr="00651334">
        <w:rPr>
          <w:szCs w:val="24"/>
        </w:rPr>
        <w:t xml:space="preserve">s </w:t>
      </w:r>
      <w:r w:rsidRPr="00651334" w:rsidR="005056D9">
        <w:rPr>
          <w:szCs w:val="24"/>
        </w:rPr>
        <w:t>greater</w:t>
      </w:r>
      <w:r w:rsidRPr="00651334">
        <w:rPr>
          <w:szCs w:val="24"/>
        </w:rPr>
        <w:t xml:space="preserve"> than </w:t>
      </w:r>
      <w:r w:rsidRPr="00651334" w:rsidR="002E596C">
        <w:rPr>
          <w:szCs w:val="24"/>
        </w:rPr>
        <w:t>the revenues generated from the sales of</w:t>
      </w:r>
      <w:r w:rsidRPr="00651334">
        <w:rPr>
          <w:szCs w:val="24"/>
        </w:rPr>
        <w:t xml:space="preserve"> the electricity.</w:t>
      </w:r>
      <w:r>
        <w:rPr>
          <w:rStyle w:val="FootnoteReference"/>
          <w:szCs w:val="24"/>
        </w:rPr>
        <w:footnoteReference w:id="12"/>
      </w:r>
      <w:r w:rsidRPr="00651334">
        <w:rPr>
          <w:szCs w:val="24"/>
        </w:rPr>
        <w:t xml:space="preserve"> </w:t>
      </w:r>
      <w:r w:rsidRPr="00651334" w:rsidR="006363B6">
        <w:rPr>
          <w:szCs w:val="24"/>
        </w:rPr>
        <w:t>When OVEC runs the plants in this money-losing way, DP&amp;L</w:t>
      </w:r>
      <w:r w:rsidRPr="00651334" w:rsidR="00097A34">
        <w:rPr>
          <w:szCs w:val="24"/>
        </w:rPr>
        <w:t>, AEP</w:t>
      </w:r>
      <w:r w:rsidRPr="00651334" w:rsidR="006363B6">
        <w:rPr>
          <w:szCs w:val="24"/>
        </w:rPr>
        <w:t xml:space="preserve"> and Duke </w:t>
      </w:r>
      <w:r w:rsidRPr="00651334" w:rsidR="00555CB9">
        <w:rPr>
          <w:szCs w:val="24"/>
        </w:rPr>
        <w:t xml:space="preserve">have been allowed to </w:t>
      </w:r>
      <w:r w:rsidRPr="00651334" w:rsidR="006363B6">
        <w:rPr>
          <w:szCs w:val="24"/>
        </w:rPr>
        <w:t xml:space="preserve">lean on consumers to </w:t>
      </w:r>
      <w:r w:rsidRPr="00651334" w:rsidR="002865C3">
        <w:rPr>
          <w:szCs w:val="24"/>
        </w:rPr>
        <w:t xml:space="preserve"> subsidize the losses</w:t>
      </w:r>
      <w:r w:rsidRPr="00651334" w:rsidR="006363B6">
        <w:rPr>
          <w:szCs w:val="24"/>
        </w:rPr>
        <w:t>.</w:t>
      </w:r>
      <w:r w:rsidRPr="00651334">
        <w:rPr>
          <w:szCs w:val="24"/>
        </w:rPr>
        <w:t xml:space="preserve"> </w:t>
      </w:r>
    </w:p>
    <w:p w:rsidR="00C24031" w:rsidRPr="00651334" w:rsidP="00583507" w14:paraId="74B2C746" w14:textId="159A0546">
      <w:pPr>
        <w:spacing w:line="480" w:lineRule="auto"/>
        <w:ind w:firstLine="720"/>
        <w:rPr>
          <w:szCs w:val="24"/>
        </w:rPr>
      </w:pPr>
      <w:r w:rsidRPr="00651334">
        <w:rPr>
          <w:szCs w:val="24"/>
        </w:rPr>
        <w:t>The OCC/OMAEG motion</w:t>
      </w:r>
      <w:r w:rsidRPr="00651334" w:rsidR="00070701">
        <w:rPr>
          <w:szCs w:val="24"/>
        </w:rPr>
        <w:t xml:space="preserve"> is</w:t>
      </w:r>
      <w:r w:rsidRPr="00651334">
        <w:rPr>
          <w:szCs w:val="24"/>
        </w:rPr>
        <w:t xml:space="preserve"> more fully explained in the attached memorandum in support.</w:t>
      </w:r>
    </w:p>
    <w:p w:rsidR="00D8336B" w:rsidRPr="00651334" w14:paraId="4687DFFD" w14:textId="5250C98E">
      <w:pPr>
        <w:rPr>
          <w:rStyle w:val="Hyperlink"/>
          <w:color w:val="auto"/>
          <w:szCs w:val="24"/>
          <w:u w:val="none"/>
        </w:rPr>
      </w:pPr>
    </w:p>
    <w:bookmarkEnd w:id="0"/>
    <w:p w:rsidR="0020621B" w:rsidRPr="00651334" w14:paraId="5974D498" w14:textId="77777777">
      <w:pPr>
        <w:rPr>
          <w:szCs w:val="24"/>
        </w:rPr>
      </w:pPr>
      <w:r w:rsidRPr="00651334">
        <w:rPr>
          <w:szCs w:val="24"/>
        </w:rPr>
        <w:br w:type="page"/>
      </w:r>
    </w:p>
    <w:p w:rsidR="00D8336B" w:rsidRPr="00651334" w:rsidP="00D8336B" w14:paraId="34053DC3" w14:textId="77C4F195">
      <w:pPr>
        <w:ind w:left="3600"/>
        <w:rPr>
          <w:szCs w:val="24"/>
        </w:rPr>
      </w:pPr>
      <w:r w:rsidRPr="00651334">
        <w:rPr>
          <w:szCs w:val="24"/>
        </w:rPr>
        <w:t>Respectfully submitted,</w:t>
      </w:r>
    </w:p>
    <w:p w:rsidR="00D8336B" w:rsidRPr="00651334" w:rsidP="00D8336B" w14:paraId="220EE54C" w14:textId="77777777">
      <w:pPr>
        <w:ind w:left="3600"/>
        <w:rPr>
          <w:szCs w:val="24"/>
        </w:rPr>
      </w:pPr>
    </w:p>
    <w:p w:rsidR="00D8336B" w:rsidRPr="00651334" w:rsidP="00D8336B" w14:paraId="189EAE26" w14:textId="30D2CCFD">
      <w:pPr>
        <w:ind w:left="3600"/>
        <w:rPr>
          <w:b/>
          <w:bCs w:val="0"/>
          <w:szCs w:val="24"/>
        </w:rPr>
      </w:pPr>
      <w:r w:rsidRPr="00651334">
        <w:rPr>
          <w:szCs w:val="24"/>
        </w:rPr>
        <w:t>Bruce Weston (0016973)</w:t>
      </w:r>
    </w:p>
    <w:p w:rsidR="00D8336B" w:rsidRPr="00651334" w:rsidP="00D8336B" w14:paraId="1A8B9F7B" w14:textId="77777777">
      <w:pPr>
        <w:tabs>
          <w:tab w:val="left" w:pos="3600"/>
        </w:tabs>
        <w:ind w:left="3600"/>
        <w:rPr>
          <w:b/>
          <w:bCs w:val="0"/>
          <w:szCs w:val="24"/>
        </w:rPr>
      </w:pPr>
      <w:r w:rsidRPr="00651334">
        <w:rPr>
          <w:szCs w:val="24"/>
        </w:rPr>
        <w:t>Ohio Consumers’ Counsel</w:t>
      </w:r>
    </w:p>
    <w:p w:rsidR="00D8336B" w:rsidRPr="00651334" w:rsidP="00D8336B" w14:paraId="7971E395" w14:textId="77777777">
      <w:pPr>
        <w:tabs>
          <w:tab w:val="left" w:pos="3600"/>
        </w:tabs>
        <w:ind w:left="3600"/>
        <w:rPr>
          <w:b/>
          <w:bCs w:val="0"/>
          <w:szCs w:val="24"/>
        </w:rPr>
      </w:pPr>
    </w:p>
    <w:p w:rsidR="00D8336B" w:rsidRPr="00651334" w:rsidP="00D8336B" w14:paraId="7B263B74" w14:textId="7EAEC48F">
      <w:pPr>
        <w:tabs>
          <w:tab w:val="left" w:pos="3600"/>
        </w:tabs>
        <w:ind w:left="3600"/>
        <w:rPr>
          <w:rFonts w:eastAsia="Times New Roman"/>
          <w:i/>
          <w:iCs/>
          <w:szCs w:val="24"/>
          <w:u w:val="single"/>
        </w:rPr>
      </w:pPr>
      <w:r w:rsidRPr="00651334">
        <w:rPr>
          <w:rFonts w:eastAsia="Times New Roman"/>
          <w:i/>
          <w:iCs/>
          <w:szCs w:val="24"/>
          <w:u w:val="single"/>
        </w:rPr>
        <w:t>/s/ John Finnigan</w:t>
      </w:r>
    </w:p>
    <w:p w:rsidR="00D8336B" w:rsidRPr="00651334" w:rsidP="00D8336B" w14:paraId="2134CA49" w14:textId="2B0BB4DD">
      <w:pPr>
        <w:tabs>
          <w:tab w:val="left" w:pos="3600"/>
        </w:tabs>
        <w:ind w:left="3600"/>
        <w:rPr>
          <w:rFonts w:eastAsia="Times New Roman"/>
          <w:b/>
          <w:bCs w:val="0"/>
          <w:szCs w:val="24"/>
        </w:rPr>
      </w:pPr>
      <w:r w:rsidRPr="00651334">
        <w:rPr>
          <w:rFonts w:eastAsia="Times New Roman"/>
          <w:szCs w:val="24"/>
        </w:rPr>
        <w:t>William J. Michael (0070921)</w:t>
      </w:r>
    </w:p>
    <w:p w:rsidR="00D8336B" w:rsidRPr="00651334" w:rsidP="00D8336B" w14:paraId="01410F71" w14:textId="77777777">
      <w:pPr>
        <w:tabs>
          <w:tab w:val="left" w:pos="3600"/>
        </w:tabs>
        <w:ind w:left="3600"/>
        <w:rPr>
          <w:rFonts w:eastAsia="Times New Roman"/>
          <w:b/>
          <w:bCs w:val="0"/>
          <w:szCs w:val="24"/>
        </w:rPr>
      </w:pPr>
      <w:r w:rsidRPr="00651334">
        <w:rPr>
          <w:rFonts w:eastAsia="Times New Roman"/>
          <w:szCs w:val="24"/>
        </w:rPr>
        <w:t>Counsel of Record</w:t>
      </w:r>
    </w:p>
    <w:p w:rsidR="00D8336B" w:rsidRPr="00651334" w:rsidP="00D8336B" w14:paraId="37FA0904" w14:textId="77777777">
      <w:pPr>
        <w:tabs>
          <w:tab w:val="left" w:pos="3600"/>
        </w:tabs>
        <w:ind w:left="3600"/>
        <w:rPr>
          <w:rFonts w:eastAsia="Times New Roman"/>
          <w:b/>
          <w:bCs w:val="0"/>
          <w:szCs w:val="24"/>
        </w:rPr>
      </w:pPr>
      <w:r w:rsidRPr="00651334">
        <w:rPr>
          <w:rFonts w:eastAsia="Times New Roman"/>
          <w:szCs w:val="24"/>
        </w:rPr>
        <w:t xml:space="preserve">Amy Botschner O’Brien (0074423) </w:t>
      </w:r>
    </w:p>
    <w:p w:rsidR="00D8336B" w:rsidRPr="00651334" w:rsidP="00D8336B" w14:paraId="0E38A351" w14:textId="77777777">
      <w:pPr>
        <w:tabs>
          <w:tab w:val="left" w:pos="3600"/>
        </w:tabs>
        <w:ind w:left="3600"/>
        <w:rPr>
          <w:rFonts w:eastAsia="Times New Roman"/>
          <w:b/>
          <w:bCs w:val="0"/>
          <w:szCs w:val="24"/>
        </w:rPr>
      </w:pPr>
      <w:r w:rsidRPr="00651334">
        <w:rPr>
          <w:rFonts w:eastAsia="Times New Roman"/>
          <w:szCs w:val="24"/>
        </w:rPr>
        <w:t>John Finnigan (0018689)</w:t>
      </w:r>
    </w:p>
    <w:p w:rsidR="00D8336B" w:rsidRPr="00651334" w:rsidP="00D8336B" w14:paraId="2DDE1698" w14:textId="77777777">
      <w:pPr>
        <w:tabs>
          <w:tab w:val="left" w:pos="3600"/>
        </w:tabs>
        <w:ind w:left="3600"/>
        <w:rPr>
          <w:rFonts w:eastAsia="Times New Roman"/>
          <w:b/>
          <w:bCs w:val="0"/>
          <w:szCs w:val="24"/>
        </w:rPr>
      </w:pPr>
      <w:r w:rsidRPr="00651334">
        <w:rPr>
          <w:rFonts w:eastAsia="Times New Roman"/>
          <w:szCs w:val="24"/>
        </w:rPr>
        <w:t>Assistant Consumers’ Counsel</w:t>
      </w:r>
    </w:p>
    <w:p w:rsidR="00D8336B" w:rsidRPr="00651334" w:rsidP="00D8336B" w14:paraId="3C159997" w14:textId="77777777">
      <w:pPr>
        <w:tabs>
          <w:tab w:val="left" w:pos="3600"/>
          <w:tab w:val="left" w:pos="4320"/>
        </w:tabs>
        <w:ind w:left="3600"/>
        <w:contextualSpacing/>
        <w:rPr>
          <w:rFonts w:eastAsia="Calibri"/>
          <w:b/>
          <w:bCs w:val="0"/>
          <w:szCs w:val="24"/>
        </w:rPr>
      </w:pPr>
    </w:p>
    <w:p w:rsidR="00D8336B" w:rsidRPr="00651334" w:rsidP="00D8336B" w14:paraId="23B1FD90" w14:textId="77777777">
      <w:pPr>
        <w:tabs>
          <w:tab w:val="left" w:pos="3600"/>
        </w:tabs>
        <w:ind w:left="3600"/>
        <w:contextualSpacing/>
        <w:rPr>
          <w:rFonts w:eastAsia="Calibri"/>
          <w:szCs w:val="24"/>
        </w:rPr>
      </w:pPr>
      <w:r w:rsidRPr="00651334">
        <w:rPr>
          <w:rFonts w:eastAsia="Calibri"/>
          <w:szCs w:val="24"/>
        </w:rPr>
        <w:t>Office of the Ohio Consumers’ Counsel</w:t>
      </w:r>
    </w:p>
    <w:p w:rsidR="00D8336B" w:rsidRPr="00651334" w:rsidP="00D8336B" w14:paraId="7E5950A1" w14:textId="77777777">
      <w:pPr>
        <w:tabs>
          <w:tab w:val="left" w:pos="3600"/>
        </w:tabs>
        <w:ind w:left="3600"/>
        <w:rPr>
          <w:rFonts w:eastAsia="Times New Roman"/>
          <w:b/>
          <w:bCs w:val="0"/>
          <w:szCs w:val="24"/>
        </w:rPr>
      </w:pPr>
      <w:r w:rsidRPr="00651334">
        <w:rPr>
          <w:rFonts w:eastAsia="Times New Roman"/>
          <w:szCs w:val="24"/>
        </w:rPr>
        <w:t>65 East State Street, 7th Floor</w:t>
      </w:r>
    </w:p>
    <w:p w:rsidR="00D8336B" w:rsidRPr="00651334" w:rsidP="00D8336B" w14:paraId="43773017" w14:textId="77777777">
      <w:pPr>
        <w:tabs>
          <w:tab w:val="left" w:pos="3600"/>
        </w:tabs>
        <w:ind w:left="3600"/>
        <w:rPr>
          <w:rFonts w:eastAsia="Times New Roman"/>
          <w:b/>
          <w:bCs w:val="0"/>
          <w:szCs w:val="24"/>
        </w:rPr>
      </w:pPr>
      <w:r w:rsidRPr="00651334">
        <w:rPr>
          <w:rFonts w:eastAsia="Times New Roman"/>
          <w:szCs w:val="24"/>
        </w:rPr>
        <w:t>Columbus, Ohio 43215</w:t>
      </w:r>
    </w:p>
    <w:p w:rsidR="00D8336B" w:rsidRPr="00651334" w:rsidP="00D8336B" w14:paraId="4E7CC915" w14:textId="77777777">
      <w:pPr>
        <w:tabs>
          <w:tab w:val="left" w:pos="3600"/>
        </w:tabs>
        <w:autoSpaceDE w:val="0"/>
        <w:autoSpaceDN w:val="0"/>
        <w:adjustRightInd w:val="0"/>
        <w:ind w:left="3600"/>
        <w:rPr>
          <w:rFonts w:eastAsia="Times New Roman"/>
          <w:b/>
          <w:bCs w:val="0"/>
          <w:szCs w:val="24"/>
        </w:rPr>
      </w:pPr>
      <w:r w:rsidRPr="00651334">
        <w:rPr>
          <w:rFonts w:eastAsia="Times New Roman"/>
          <w:szCs w:val="24"/>
        </w:rPr>
        <w:t>Telephone [Michael]: (614) 466-1291</w:t>
      </w:r>
    </w:p>
    <w:p w:rsidR="00D8336B" w:rsidRPr="00651334" w:rsidP="00D8336B" w14:paraId="243B0598" w14:textId="77777777">
      <w:pPr>
        <w:tabs>
          <w:tab w:val="left" w:pos="3600"/>
        </w:tabs>
        <w:autoSpaceDE w:val="0"/>
        <w:autoSpaceDN w:val="0"/>
        <w:adjustRightInd w:val="0"/>
        <w:ind w:left="3600"/>
        <w:rPr>
          <w:rFonts w:eastAsia="Times New Roman"/>
          <w:b/>
          <w:bCs w:val="0"/>
          <w:szCs w:val="24"/>
        </w:rPr>
      </w:pPr>
      <w:r w:rsidRPr="00651334">
        <w:rPr>
          <w:rFonts w:eastAsia="Times New Roman"/>
          <w:szCs w:val="24"/>
        </w:rPr>
        <w:t>Telephone [Botschner O’Brien]: (614) 466-9575</w:t>
      </w:r>
    </w:p>
    <w:p w:rsidR="00D8336B" w:rsidRPr="00651334" w:rsidP="00D8336B" w14:paraId="07525F54" w14:textId="77777777">
      <w:pPr>
        <w:tabs>
          <w:tab w:val="left" w:pos="3600"/>
        </w:tabs>
        <w:autoSpaceDE w:val="0"/>
        <w:autoSpaceDN w:val="0"/>
        <w:adjustRightInd w:val="0"/>
        <w:ind w:left="3600"/>
        <w:contextualSpacing/>
        <w:rPr>
          <w:rFonts w:eastAsia="Calibri"/>
          <w:b/>
          <w:bCs w:val="0"/>
          <w:szCs w:val="24"/>
        </w:rPr>
      </w:pPr>
      <w:r w:rsidRPr="00651334">
        <w:rPr>
          <w:rFonts w:eastAsia="Calibri"/>
          <w:szCs w:val="24"/>
        </w:rPr>
        <w:t>Telephone [Finnigan]: (614) 466-9585</w:t>
      </w:r>
    </w:p>
    <w:p w:rsidR="00D8336B" w:rsidRPr="00651334" w:rsidP="00D8336B" w14:paraId="7E1FDB73" w14:textId="77777777">
      <w:pPr>
        <w:tabs>
          <w:tab w:val="left" w:pos="3600"/>
        </w:tabs>
        <w:autoSpaceDE w:val="0"/>
        <w:autoSpaceDN w:val="0"/>
        <w:adjustRightInd w:val="0"/>
        <w:ind w:left="3600"/>
        <w:contextualSpacing/>
        <w:rPr>
          <w:rFonts w:eastAsia="Calibri"/>
          <w:b/>
          <w:bCs w:val="0"/>
          <w:szCs w:val="24"/>
        </w:rPr>
      </w:pPr>
      <w:hyperlink r:id="rId6" w:history="1">
        <w:r w:rsidRPr="00651334" w:rsidR="000E7EDB">
          <w:rPr>
            <w:rFonts w:eastAsia="Calibri"/>
            <w:color w:val="0000FF"/>
            <w:szCs w:val="24"/>
            <w:u w:val="single"/>
          </w:rPr>
          <w:t>william.michael@occ.ohio.gov</w:t>
        </w:r>
      </w:hyperlink>
    </w:p>
    <w:p w:rsidR="00D8336B" w:rsidRPr="00651334" w:rsidP="00D8336B" w14:paraId="2732C4FD" w14:textId="77777777">
      <w:pPr>
        <w:tabs>
          <w:tab w:val="left" w:pos="3600"/>
        </w:tabs>
        <w:autoSpaceDE w:val="0"/>
        <w:autoSpaceDN w:val="0"/>
        <w:adjustRightInd w:val="0"/>
        <w:ind w:left="3600"/>
        <w:rPr>
          <w:rFonts w:eastAsia="Times New Roman"/>
          <w:b/>
          <w:bCs w:val="0"/>
          <w:color w:val="0000FF"/>
          <w:szCs w:val="24"/>
          <w:u w:val="single"/>
        </w:rPr>
      </w:pPr>
      <w:r w:rsidRPr="00651334">
        <w:rPr>
          <w:rFonts w:eastAsia="Times New Roman"/>
          <w:color w:val="0000FF"/>
          <w:szCs w:val="24"/>
          <w:u w:val="single"/>
        </w:rPr>
        <w:t xml:space="preserve">amy.botschner.obrien@occ.ohio.gov </w:t>
      </w:r>
    </w:p>
    <w:p w:rsidR="00D8336B" w:rsidRPr="00651334" w:rsidP="00D8336B" w14:paraId="61BBDB46" w14:textId="77777777">
      <w:pPr>
        <w:tabs>
          <w:tab w:val="left" w:pos="3600"/>
        </w:tabs>
        <w:autoSpaceDE w:val="0"/>
        <w:autoSpaceDN w:val="0"/>
        <w:adjustRightInd w:val="0"/>
        <w:ind w:left="3600"/>
        <w:contextualSpacing/>
        <w:rPr>
          <w:rFonts w:eastAsia="Calibri"/>
          <w:b/>
          <w:bCs w:val="0"/>
          <w:color w:val="0000FF"/>
          <w:szCs w:val="24"/>
          <w:u w:val="single"/>
        </w:rPr>
      </w:pPr>
      <w:hyperlink r:id="rId7" w:history="1">
        <w:r w:rsidRPr="00651334" w:rsidR="000E7EDB">
          <w:rPr>
            <w:rFonts w:eastAsia="Calibri"/>
            <w:color w:val="0000FF"/>
            <w:szCs w:val="24"/>
            <w:u w:val="single"/>
          </w:rPr>
          <w:t>john.finnigan@occ.ohio.gov</w:t>
        </w:r>
      </w:hyperlink>
    </w:p>
    <w:p w:rsidR="00D8336B" w:rsidRPr="00651334" w:rsidP="00D8336B" w14:paraId="7ED80390" w14:textId="649ADAD0">
      <w:pPr>
        <w:tabs>
          <w:tab w:val="left" w:pos="3600"/>
        </w:tabs>
        <w:autoSpaceDE w:val="0"/>
        <w:autoSpaceDN w:val="0"/>
        <w:adjustRightInd w:val="0"/>
        <w:contextualSpacing/>
        <w:rPr>
          <w:rFonts w:eastAsia="Calibri"/>
          <w:b/>
          <w:bCs w:val="0"/>
          <w:szCs w:val="24"/>
        </w:rPr>
      </w:pPr>
      <w:r w:rsidRPr="00651334">
        <w:rPr>
          <w:rFonts w:eastAsia="Calibri"/>
          <w:szCs w:val="24"/>
        </w:rPr>
        <w:tab/>
        <w:t>(willing to accept service by e-mail)</w:t>
      </w:r>
    </w:p>
    <w:p w:rsidR="00605694" w:rsidRPr="00651334" w:rsidP="000D18C7" w14:paraId="0CFD348B" w14:textId="77777777">
      <w:pPr>
        <w:pStyle w:val="ListParagraph"/>
        <w:autoSpaceDE w:val="0"/>
        <w:autoSpaceDN w:val="0"/>
        <w:adjustRightInd w:val="0"/>
        <w:ind w:left="3600"/>
        <w:rPr>
          <w:rStyle w:val="Hyperlink"/>
          <w:color w:val="auto"/>
          <w:szCs w:val="24"/>
          <w:u w:val="none"/>
        </w:rPr>
      </w:pPr>
    </w:p>
    <w:p w:rsidR="00C24031" w:rsidRPr="00651334" w14:paraId="02CFFFD8" w14:textId="1FC928B9">
      <w:pPr>
        <w:rPr>
          <w:szCs w:val="24"/>
          <w:u w:val="single"/>
        </w:rPr>
      </w:pPr>
    </w:p>
    <w:p w:rsidR="00746654" w:rsidRPr="00651334" w:rsidP="00EE2FAA" w14:paraId="7F1E4DD9" w14:textId="0993B694">
      <w:pPr>
        <w:ind w:left="2880" w:firstLine="720"/>
        <w:contextualSpacing/>
        <w:rPr>
          <w:szCs w:val="24"/>
          <w:u w:val="single"/>
        </w:rPr>
      </w:pPr>
      <w:r w:rsidRPr="00651334">
        <w:rPr>
          <w:szCs w:val="24"/>
          <w:u w:val="single"/>
        </w:rPr>
        <w:t xml:space="preserve">/s/ </w:t>
      </w:r>
      <w:r w:rsidRPr="00651334">
        <w:rPr>
          <w:i/>
          <w:szCs w:val="24"/>
          <w:u w:val="single"/>
        </w:rPr>
        <w:t>Kimberly W. Bojko</w:t>
      </w:r>
      <w:r w:rsidRPr="00651334">
        <w:rPr>
          <w:szCs w:val="24"/>
          <w:u w:val="single"/>
        </w:rPr>
        <w:tab/>
      </w:r>
    </w:p>
    <w:p w:rsidR="00746654" w:rsidRPr="00651334" w:rsidP="00EE2FAA" w14:paraId="489D812F" w14:textId="77777777">
      <w:pPr>
        <w:ind w:left="2880" w:firstLine="720"/>
        <w:contextualSpacing/>
        <w:rPr>
          <w:szCs w:val="24"/>
        </w:rPr>
      </w:pPr>
      <w:r w:rsidRPr="00651334">
        <w:rPr>
          <w:szCs w:val="24"/>
        </w:rPr>
        <w:t>Kimberly W. Bojko (0069402) (Counsel of Record)</w:t>
      </w:r>
    </w:p>
    <w:p w:rsidR="00746654" w:rsidRPr="00651334" w:rsidP="00EE2FAA" w14:paraId="5D71C283" w14:textId="77777777">
      <w:pPr>
        <w:ind w:left="2880" w:firstLine="720"/>
        <w:contextualSpacing/>
        <w:rPr>
          <w:szCs w:val="24"/>
        </w:rPr>
      </w:pPr>
      <w:r w:rsidRPr="00651334">
        <w:rPr>
          <w:szCs w:val="24"/>
        </w:rPr>
        <w:t xml:space="preserve">Thomas V. Donadio (0100027) </w:t>
      </w:r>
    </w:p>
    <w:p w:rsidR="00746654" w:rsidRPr="00651334" w:rsidP="00EE2FAA" w14:paraId="5221127C" w14:textId="77777777">
      <w:pPr>
        <w:ind w:left="2880" w:firstLine="720"/>
        <w:contextualSpacing/>
        <w:rPr>
          <w:szCs w:val="24"/>
        </w:rPr>
      </w:pPr>
      <w:r w:rsidRPr="00651334">
        <w:rPr>
          <w:szCs w:val="24"/>
        </w:rPr>
        <w:t>Carpenter Lipps &amp; Leland LLP</w:t>
      </w:r>
    </w:p>
    <w:p w:rsidR="00746654" w:rsidRPr="00651334" w:rsidP="00EE2FAA" w14:paraId="2B6CA61C" w14:textId="7E4C59E1">
      <w:pPr>
        <w:ind w:left="2880" w:firstLine="720"/>
        <w:contextualSpacing/>
        <w:rPr>
          <w:szCs w:val="24"/>
        </w:rPr>
      </w:pPr>
      <w:r w:rsidRPr="00651334">
        <w:rPr>
          <w:szCs w:val="24"/>
        </w:rPr>
        <w:t>280 North High Street, Suite 1300</w:t>
      </w:r>
    </w:p>
    <w:p w:rsidR="00746654" w:rsidRPr="00651334" w:rsidP="00EE2FAA" w14:paraId="6F2556DD" w14:textId="65954B0A">
      <w:pPr>
        <w:ind w:left="2880" w:firstLine="720"/>
        <w:contextualSpacing/>
        <w:jc w:val="both"/>
        <w:rPr>
          <w:szCs w:val="24"/>
        </w:rPr>
      </w:pPr>
      <w:r w:rsidRPr="00651334">
        <w:rPr>
          <w:szCs w:val="24"/>
        </w:rPr>
        <w:t>Columbus, Ohio 43215</w:t>
      </w:r>
    </w:p>
    <w:p w:rsidR="00746654" w:rsidRPr="00651334" w:rsidP="00EE2FAA" w14:paraId="5FEBB9BB" w14:textId="5336766D">
      <w:pPr>
        <w:ind w:left="2880" w:firstLine="720"/>
        <w:contextualSpacing/>
        <w:jc w:val="both"/>
        <w:rPr>
          <w:szCs w:val="24"/>
        </w:rPr>
      </w:pPr>
      <w:r w:rsidRPr="00651334">
        <w:rPr>
          <w:szCs w:val="24"/>
        </w:rPr>
        <w:t>Telephone:</w:t>
      </w:r>
      <w:r w:rsidRPr="00651334" w:rsidR="00C90A01">
        <w:rPr>
          <w:szCs w:val="24"/>
        </w:rPr>
        <w:t xml:space="preserve"> </w:t>
      </w:r>
      <w:r w:rsidRPr="00651334">
        <w:rPr>
          <w:szCs w:val="24"/>
        </w:rPr>
        <w:t xml:space="preserve">(614) 365-4100 </w:t>
      </w:r>
      <w:r w:rsidRPr="00651334">
        <w:rPr>
          <w:szCs w:val="24"/>
        </w:rPr>
        <w:tab/>
      </w:r>
    </w:p>
    <w:p w:rsidR="00746654" w:rsidRPr="00651334" w:rsidP="00EE2FAA" w14:paraId="007523A8" w14:textId="77777777">
      <w:pPr>
        <w:ind w:left="2880" w:firstLine="720"/>
        <w:contextualSpacing/>
        <w:jc w:val="both"/>
        <w:rPr>
          <w:szCs w:val="24"/>
        </w:rPr>
      </w:pPr>
      <w:hyperlink r:id="rId8" w:history="1">
        <w:r w:rsidRPr="00651334" w:rsidR="009B77A7">
          <w:rPr>
            <w:rStyle w:val="Hyperlink"/>
            <w:szCs w:val="24"/>
          </w:rPr>
          <w:t>bojko@carpenterlipps.com</w:t>
        </w:r>
      </w:hyperlink>
    </w:p>
    <w:p w:rsidR="00746654" w:rsidRPr="00651334" w:rsidP="00EE2FAA" w14:paraId="06825F90" w14:textId="1DD49C19">
      <w:pPr>
        <w:ind w:left="2880" w:firstLine="720"/>
        <w:contextualSpacing/>
        <w:jc w:val="both"/>
        <w:rPr>
          <w:szCs w:val="24"/>
        </w:rPr>
      </w:pPr>
      <w:hyperlink r:id="rId9" w:history="1">
        <w:r w:rsidRPr="00651334" w:rsidR="009B77A7">
          <w:rPr>
            <w:rStyle w:val="Hyperlink"/>
            <w:szCs w:val="24"/>
          </w:rPr>
          <w:t>donadio@carpenterlipps.com</w:t>
        </w:r>
      </w:hyperlink>
      <w:r w:rsidRPr="00651334" w:rsidR="009B77A7">
        <w:rPr>
          <w:szCs w:val="24"/>
        </w:rPr>
        <w:t xml:space="preserve"> </w:t>
      </w:r>
    </w:p>
    <w:p w:rsidR="00746654" w:rsidRPr="00651334" w:rsidP="00EE2FAA" w14:paraId="3CC04EA9" w14:textId="77777777">
      <w:pPr>
        <w:ind w:left="2880" w:firstLine="720"/>
        <w:contextualSpacing/>
        <w:jc w:val="both"/>
        <w:rPr>
          <w:szCs w:val="24"/>
        </w:rPr>
      </w:pPr>
      <w:r w:rsidRPr="00651334">
        <w:rPr>
          <w:szCs w:val="24"/>
        </w:rPr>
        <w:t>(willing to accept service by e-mail</w:t>
      </w:r>
    </w:p>
    <w:p w:rsidR="00746654" w:rsidRPr="00651334" w:rsidP="00EE2FAA" w14:paraId="57E39B11" w14:textId="77777777">
      <w:pPr>
        <w:ind w:left="3960"/>
        <w:contextualSpacing/>
        <w:jc w:val="both"/>
        <w:rPr>
          <w:szCs w:val="24"/>
        </w:rPr>
      </w:pPr>
    </w:p>
    <w:p w:rsidR="005E0327" w:rsidRPr="00651334" w:rsidP="00EE2FAA" w14:paraId="728FFBAF" w14:textId="77777777">
      <w:pPr>
        <w:ind w:left="3600"/>
        <w:contextualSpacing/>
        <w:jc w:val="both"/>
        <w:rPr>
          <w:i/>
          <w:szCs w:val="24"/>
        </w:rPr>
        <w:sectPr w:rsidSect="00464DC6">
          <w:headerReference w:type="default" r:id="rId11"/>
          <w:footerReference w:type="default" r:id="rId12"/>
          <w:pgSz w:w="12240" w:h="15840"/>
          <w:pgMar w:top="1440" w:right="1440" w:bottom="1440" w:left="1440" w:header="720" w:footer="720" w:gutter="0"/>
          <w:pgNumType w:start="1"/>
          <w:cols w:space="720"/>
          <w:docGrid w:linePitch="360"/>
        </w:sectPr>
      </w:pPr>
      <w:r w:rsidRPr="00651334">
        <w:rPr>
          <w:i/>
          <w:szCs w:val="24"/>
        </w:rPr>
        <w:t>Counsel for the Ohio Manufacturers’ Association</w:t>
      </w:r>
      <w:r w:rsidRPr="00651334">
        <w:rPr>
          <w:i/>
          <w:szCs w:val="24"/>
        </w:rPr>
        <w:tab/>
        <w:t xml:space="preserve"> Energy Group</w:t>
      </w:r>
    </w:p>
    <w:p w:rsidR="0020621B" w:rsidRPr="00651334" w:rsidP="005E0327" w14:paraId="5429699C" w14:textId="2B84E812">
      <w:pPr>
        <w:contextualSpacing/>
        <w:jc w:val="center"/>
        <w:rPr>
          <w:b/>
          <w:bCs w:val="0"/>
          <w:iCs/>
          <w:szCs w:val="24"/>
          <w:u w:val="single"/>
        </w:rPr>
      </w:pPr>
      <w:r w:rsidRPr="00651334">
        <w:rPr>
          <w:b/>
          <w:bCs w:val="0"/>
          <w:iCs/>
          <w:szCs w:val="24"/>
          <w:u w:val="single"/>
        </w:rPr>
        <w:t>TABLE OF CONTENTS</w:t>
      </w:r>
    </w:p>
    <w:p w:rsidR="005E0327" w:rsidRPr="00651334" w:rsidP="005E0327" w14:paraId="24C7C71E" w14:textId="354CCD70">
      <w:pPr>
        <w:contextualSpacing/>
        <w:jc w:val="right"/>
        <w:rPr>
          <w:b/>
          <w:bCs w:val="0"/>
          <w:iCs/>
          <w:szCs w:val="24"/>
        </w:rPr>
      </w:pPr>
      <w:r w:rsidRPr="00651334">
        <w:rPr>
          <w:b/>
          <w:bCs w:val="0"/>
          <w:iCs/>
          <w:szCs w:val="24"/>
        </w:rPr>
        <w:t>PAGE</w:t>
      </w:r>
    </w:p>
    <w:p w:rsidR="005E0327" w:rsidRPr="00651334" w:rsidP="005E0327" w14:paraId="1D098A49" w14:textId="34B1D019">
      <w:pPr>
        <w:contextualSpacing/>
        <w:jc w:val="both"/>
        <w:rPr>
          <w:i/>
          <w:szCs w:val="24"/>
        </w:rPr>
      </w:pPr>
    </w:p>
    <w:p w:rsidR="00EC5E47" w14:paraId="1BE395A1" w14:textId="432E5375">
      <w:pPr>
        <w:pStyle w:val="TOC1"/>
        <w:rPr>
          <w:rFonts w:asciiTheme="minorHAnsi" w:eastAsiaTheme="minorEastAsia" w:hAnsiTheme="minorHAnsi" w:cstheme="minorBidi"/>
          <w:bCs w:val="0"/>
          <w:caps w:val="0"/>
          <w:noProof/>
          <w:sz w:val="22"/>
          <w:szCs w:val="22"/>
        </w:rPr>
      </w:pPr>
      <w:r w:rsidRPr="00651334">
        <w:rPr>
          <w:i/>
          <w:szCs w:val="24"/>
        </w:rPr>
        <w:fldChar w:fldCharType="begin"/>
      </w:r>
      <w:r w:rsidRPr="00651334">
        <w:rPr>
          <w:i/>
          <w:szCs w:val="24"/>
        </w:rPr>
        <w:instrText xml:space="preserve"> TOC \o "1-3" \h \z \u </w:instrText>
      </w:r>
      <w:r w:rsidRPr="00651334">
        <w:rPr>
          <w:i/>
          <w:szCs w:val="24"/>
        </w:rPr>
        <w:fldChar w:fldCharType="separate"/>
      </w:r>
      <w:hyperlink w:anchor="_Toc66827005" w:history="1">
        <w:r w:rsidRPr="0004267F">
          <w:rPr>
            <w:rStyle w:val="Hyperlink"/>
            <w:noProof/>
          </w:rPr>
          <w:t>I.</w:t>
        </w:r>
        <w:r>
          <w:rPr>
            <w:rFonts w:asciiTheme="minorHAnsi" w:eastAsiaTheme="minorEastAsia" w:hAnsiTheme="minorHAnsi" w:cstheme="minorBidi"/>
            <w:bCs w:val="0"/>
            <w:caps w:val="0"/>
            <w:noProof/>
            <w:sz w:val="22"/>
            <w:szCs w:val="22"/>
          </w:rPr>
          <w:tab/>
        </w:r>
        <w:r w:rsidRPr="0004267F">
          <w:rPr>
            <w:rStyle w:val="Hyperlink"/>
            <w:noProof/>
          </w:rPr>
          <w:t>INTRODUCTION</w:t>
        </w:r>
        <w:r>
          <w:rPr>
            <w:noProof/>
            <w:webHidden/>
          </w:rPr>
          <w:tab/>
        </w:r>
        <w:r>
          <w:rPr>
            <w:noProof/>
            <w:webHidden/>
          </w:rPr>
          <w:fldChar w:fldCharType="begin"/>
        </w:r>
        <w:r>
          <w:rPr>
            <w:noProof/>
            <w:webHidden/>
          </w:rPr>
          <w:instrText xml:space="preserve"> PAGEREF _Toc66827005 \h </w:instrText>
        </w:r>
        <w:r>
          <w:rPr>
            <w:noProof/>
            <w:webHidden/>
          </w:rPr>
          <w:fldChar w:fldCharType="separate"/>
        </w:r>
        <w:r>
          <w:rPr>
            <w:noProof/>
            <w:webHidden/>
          </w:rPr>
          <w:t>1</w:t>
        </w:r>
        <w:r>
          <w:rPr>
            <w:noProof/>
            <w:webHidden/>
          </w:rPr>
          <w:fldChar w:fldCharType="end"/>
        </w:r>
      </w:hyperlink>
    </w:p>
    <w:p w:rsidR="00EC5E47" w14:paraId="04F00D78" w14:textId="10A0BC63">
      <w:pPr>
        <w:pStyle w:val="TOC1"/>
        <w:rPr>
          <w:rFonts w:asciiTheme="minorHAnsi" w:eastAsiaTheme="minorEastAsia" w:hAnsiTheme="minorHAnsi" w:cstheme="minorBidi"/>
          <w:bCs w:val="0"/>
          <w:caps w:val="0"/>
          <w:noProof/>
          <w:sz w:val="22"/>
          <w:szCs w:val="22"/>
        </w:rPr>
      </w:pPr>
      <w:hyperlink w:anchor="_Toc66827006" w:history="1">
        <w:r w:rsidRPr="0004267F" w:rsidR="000E7EDB">
          <w:rPr>
            <w:rStyle w:val="Hyperlink"/>
            <w:noProof/>
          </w:rPr>
          <w:t>II.</w:t>
        </w:r>
        <w:r w:rsidR="000E7EDB">
          <w:rPr>
            <w:rFonts w:asciiTheme="minorHAnsi" w:eastAsiaTheme="minorEastAsia" w:hAnsiTheme="minorHAnsi" w:cstheme="minorBidi"/>
            <w:bCs w:val="0"/>
            <w:caps w:val="0"/>
            <w:noProof/>
            <w:sz w:val="22"/>
            <w:szCs w:val="22"/>
          </w:rPr>
          <w:tab/>
        </w:r>
        <w:r w:rsidRPr="0004267F" w:rsidR="000E7EDB">
          <w:rPr>
            <w:rStyle w:val="Hyperlink"/>
            <w:noProof/>
          </w:rPr>
          <w:t>LAW AND ARGUMENT</w:t>
        </w:r>
        <w:r w:rsidR="000E7EDB">
          <w:rPr>
            <w:noProof/>
            <w:webHidden/>
          </w:rPr>
          <w:tab/>
        </w:r>
        <w:r w:rsidR="000E7EDB">
          <w:rPr>
            <w:noProof/>
            <w:webHidden/>
          </w:rPr>
          <w:fldChar w:fldCharType="begin"/>
        </w:r>
        <w:r w:rsidR="000E7EDB">
          <w:rPr>
            <w:noProof/>
            <w:webHidden/>
          </w:rPr>
          <w:instrText xml:space="preserve"> PAGEREF _Toc66827006 \h </w:instrText>
        </w:r>
        <w:r w:rsidR="000E7EDB">
          <w:rPr>
            <w:noProof/>
            <w:webHidden/>
          </w:rPr>
          <w:fldChar w:fldCharType="separate"/>
        </w:r>
        <w:r w:rsidR="000E7EDB">
          <w:rPr>
            <w:noProof/>
            <w:webHidden/>
          </w:rPr>
          <w:t>3</w:t>
        </w:r>
        <w:r w:rsidR="000E7EDB">
          <w:rPr>
            <w:noProof/>
            <w:webHidden/>
          </w:rPr>
          <w:fldChar w:fldCharType="end"/>
        </w:r>
      </w:hyperlink>
    </w:p>
    <w:p w:rsidR="00EC5E47" w14:paraId="08416F1E" w14:textId="08853571">
      <w:pPr>
        <w:pStyle w:val="TOC2"/>
        <w:tabs>
          <w:tab w:val="left" w:pos="1440"/>
        </w:tabs>
        <w:rPr>
          <w:rFonts w:asciiTheme="minorHAnsi" w:eastAsiaTheme="minorEastAsia" w:hAnsiTheme="minorHAnsi" w:cstheme="minorBidi"/>
          <w:bCs w:val="0"/>
          <w:noProof/>
          <w:sz w:val="22"/>
          <w:szCs w:val="22"/>
        </w:rPr>
      </w:pPr>
      <w:hyperlink w:anchor="_Toc66827007" w:history="1">
        <w:r w:rsidRPr="0004267F" w:rsidR="000E7EDB">
          <w:rPr>
            <w:rStyle w:val="Hyperlink"/>
            <w:noProof/>
          </w:rPr>
          <w:t>A.</w:t>
        </w:r>
        <w:r w:rsidR="000E7EDB">
          <w:rPr>
            <w:rFonts w:asciiTheme="minorHAnsi" w:eastAsiaTheme="minorEastAsia" w:hAnsiTheme="minorHAnsi" w:cstheme="minorBidi"/>
            <w:bCs w:val="0"/>
            <w:noProof/>
            <w:sz w:val="22"/>
            <w:szCs w:val="22"/>
          </w:rPr>
          <w:tab/>
        </w:r>
        <w:r w:rsidRPr="0004267F" w:rsidR="000E7EDB">
          <w:rPr>
            <w:rStyle w:val="Hyperlink"/>
            <w:noProof/>
          </w:rPr>
          <w:t>The PUCO should grant OCC/OMAEG’s request for a waiver (if needed) of the PUCO rule regarding PUCO Staff depositions, to allow a deposition of PUCO auditor Vantage Energy Consulting in the DP&amp;L (OVEC) coal power plant case.</w:t>
        </w:r>
        <w:r w:rsidR="000E7EDB">
          <w:rPr>
            <w:noProof/>
            <w:webHidden/>
          </w:rPr>
          <w:tab/>
        </w:r>
        <w:r w:rsidR="000E7EDB">
          <w:rPr>
            <w:noProof/>
            <w:webHidden/>
          </w:rPr>
          <w:fldChar w:fldCharType="begin"/>
        </w:r>
        <w:r w:rsidR="000E7EDB">
          <w:rPr>
            <w:noProof/>
            <w:webHidden/>
          </w:rPr>
          <w:instrText xml:space="preserve"> PAGEREF _Toc66827007 \h </w:instrText>
        </w:r>
        <w:r w:rsidR="000E7EDB">
          <w:rPr>
            <w:noProof/>
            <w:webHidden/>
          </w:rPr>
          <w:fldChar w:fldCharType="separate"/>
        </w:r>
        <w:r w:rsidR="000E7EDB">
          <w:rPr>
            <w:noProof/>
            <w:webHidden/>
          </w:rPr>
          <w:t>3</w:t>
        </w:r>
        <w:r w:rsidR="000E7EDB">
          <w:rPr>
            <w:noProof/>
            <w:webHidden/>
          </w:rPr>
          <w:fldChar w:fldCharType="end"/>
        </w:r>
      </w:hyperlink>
    </w:p>
    <w:p w:rsidR="00EC5E47" w14:paraId="5150800E" w14:textId="6D697D92">
      <w:pPr>
        <w:pStyle w:val="TOC1"/>
        <w:rPr>
          <w:rFonts w:asciiTheme="minorHAnsi" w:eastAsiaTheme="minorEastAsia" w:hAnsiTheme="minorHAnsi" w:cstheme="minorBidi"/>
          <w:bCs w:val="0"/>
          <w:caps w:val="0"/>
          <w:noProof/>
          <w:sz w:val="22"/>
          <w:szCs w:val="22"/>
        </w:rPr>
      </w:pPr>
      <w:hyperlink w:anchor="_Toc66827008" w:history="1">
        <w:r w:rsidRPr="0004267F" w:rsidR="000E7EDB">
          <w:rPr>
            <w:rStyle w:val="Hyperlink"/>
            <w:noProof/>
          </w:rPr>
          <w:t>III.</w:t>
        </w:r>
        <w:r w:rsidR="000E7EDB">
          <w:rPr>
            <w:rFonts w:asciiTheme="minorHAnsi" w:eastAsiaTheme="minorEastAsia" w:hAnsiTheme="minorHAnsi" w:cstheme="minorBidi"/>
            <w:bCs w:val="0"/>
            <w:caps w:val="0"/>
            <w:noProof/>
            <w:sz w:val="22"/>
            <w:szCs w:val="22"/>
          </w:rPr>
          <w:tab/>
        </w:r>
        <w:r w:rsidRPr="0004267F" w:rsidR="000E7EDB">
          <w:rPr>
            <w:rStyle w:val="Hyperlink"/>
            <w:noProof/>
          </w:rPr>
          <w:t>CONCLUSION</w:t>
        </w:r>
        <w:r w:rsidR="000E7EDB">
          <w:rPr>
            <w:noProof/>
            <w:webHidden/>
          </w:rPr>
          <w:tab/>
        </w:r>
        <w:r w:rsidR="000E7EDB">
          <w:rPr>
            <w:noProof/>
            <w:webHidden/>
          </w:rPr>
          <w:fldChar w:fldCharType="begin"/>
        </w:r>
        <w:r w:rsidR="000E7EDB">
          <w:rPr>
            <w:noProof/>
            <w:webHidden/>
          </w:rPr>
          <w:instrText xml:space="preserve"> PAGEREF _Toc66827008 \h </w:instrText>
        </w:r>
        <w:r w:rsidR="000E7EDB">
          <w:rPr>
            <w:noProof/>
            <w:webHidden/>
          </w:rPr>
          <w:fldChar w:fldCharType="separate"/>
        </w:r>
        <w:r w:rsidR="000E7EDB">
          <w:rPr>
            <w:noProof/>
            <w:webHidden/>
          </w:rPr>
          <w:t>5</w:t>
        </w:r>
        <w:r w:rsidR="000E7EDB">
          <w:rPr>
            <w:noProof/>
            <w:webHidden/>
          </w:rPr>
          <w:fldChar w:fldCharType="end"/>
        </w:r>
      </w:hyperlink>
    </w:p>
    <w:p w:rsidR="005E0327" w:rsidRPr="00651334" w:rsidP="005E0327" w14:paraId="24892D1E" w14:textId="184D6EBB">
      <w:pPr>
        <w:contextualSpacing/>
        <w:jc w:val="both"/>
        <w:rPr>
          <w:i/>
          <w:szCs w:val="24"/>
        </w:rPr>
      </w:pPr>
      <w:r w:rsidRPr="00651334">
        <w:rPr>
          <w:i/>
          <w:szCs w:val="24"/>
        </w:rPr>
        <w:fldChar w:fldCharType="end"/>
      </w:r>
    </w:p>
    <w:p w:rsidR="005E0327" w:rsidRPr="00651334" w:rsidP="00EE2FAA" w14:paraId="0C37140D" w14:textId="77777777">
      <w:pPr>
        <w:ind w:left="3600"/>
        <w:contextualSpacing/>
        <w:jc w:val="both"/>
        <w:rPr>
          <w:i/>
          <w:szCs w:val="24"/>
        </w:rPr>
      </w:pPr>
    </w:p>
    <w:p w:rsidR="005E0327" w:rsidRPr="00651334" w:rsidP="00EE2FAA" w14:paraId="706542EA" w14:textId="076DDED0">
      <w:pPr>
        <w:ind w:left="3600"/>
        <w:contextualSpacing/>
        <w:jc w:val="both"/>
        <w:rPr>
          <w:i/>
          <w:szCs w:val="24"/>
        </w:rPr>
        <w:sectPr w:rsidSect="005E0327">
          <w:footerReference w:type="default" r:id="rId13"/>
          <w:pgSz w:w="12240" w:h="15840"/>
          <w:pgMar w:top="1440" w:right="1440" w:bottom="1440" w:left="1440" w:header="720" w:footer="720" w:gutter="0"/>
          <w:pgNumType w:fmt="lowerRoman" w:start="1"/>
          <w:cols w:space="720"/>
          <w:docGrid w:linePitch="360"/>
        </w:sectPr>
      </w:pPr>
    </w:p>
    <w:p w:rsidR="000D18C7" w:rsidRPr="00651334" w:rsidP="00C35FA4" w14:paraId="51883F13" w14:textId="6AB20D2A">
      <w:pPr>
        <w:pStyle w:val="ListParagraph"/>
        <w:autoSpaceDE w:val="0"/>
        <w:autoSpaceDN w:val="0"/>
        <w:adjustRightInd w:val="0"/>
        <w:ind w:left="0"/>
        <w:jc w:val="center"/>
        <w:rPr>
          <w:b/>
          <w:szCs w:val="24"/>
        </w:rPr>
      </w:pPr>
      <w:r w:rsidRPr="00651334">
        <w:rPr>
          <w:b/>
          <w:bCs w:val="0"/>
          <w:szCs w:val="24"/>
        </w:rPr>
        <w:t>B</w:t>
      </w:r>
      <w:r w:rsidRPr="00651334">
        <w:rPr>
          <w:b/>
          <w:szCs w:val="24"/>
        </w:rPr>
        <w:t>EFORE</w:t>
      </w:r>
    </w:p>
    <w:p w:rsidR="000D18C7" w:rsidRPr="00651334" w:rsidP="009030AA" w14:paraId="72E8A5EC" w14:textId="6C58FA25">
      <w:pPr>
        <w:pStyle w:val="List"/>
        <w:ind w:left="0" w:firstLine="0"/>
        <w:jc w:val="center"/>
        <w:rPr>
          <w:b/>
          <w:szCs w:val="24"/>
        </w:rPr>
      </w:pPr>
      <w:r w:rsidRPr="00651334">
        <w:rPr>
          <w:b/>
          <w:szCs w:val="24"/>
        </w:rPr>
        <w:t>THE PUBLIC UTILITIES COMMISSION OF OHIO</w:t>
      </w:r>
    </w:p>
    <w:p w:rsidR="00D8336B" w:rsidRPr="00651334" w:rsidP="00D8336B" w14:paraId="4C54B1C6" w14:textId="77777777">
      <w:pPr>
        <w:pStyle w:val="HTMLPreformatted"/>
        <w:rPr>
          <w:rFonts w:ascii="Times New Roman" w:hAnsi="Times New Roman" w:cs="Times New Roman"/>
          <w:sz w:val="24"/>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360"/>
        <w:gridCol w:w="4140"/>
      </w:tblGrid>
      <w:tr w14:paraId="7122F3B6" w14:textId="77777777" w:rsidTr="001D3461">
        <w:tblPrEx>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230" w:type="dxa"/>
            <w:tcBorders>
              <w:top w:val="nil"/>
              <w:left w:val="nil"/>
              <w:bottom w:val="nil"/>
              <w:right w:val="nil"/>
            </w:tcBorders>
          </w:tcPr>
          <w:p w:rsidR="00D8336B" w:rsidRPr="00651334" w:rsidP="001D3461" w14:paraId="6834C654" w14:textId="77777777">
            <w:pPr>
              <w:autoSpaceDE w:val="0"/>
              <w:autoSpaceDN w:val="0"/>
              <w:adjustRightInd w:val="0"/>
              <w:rPr>
                <w:szCs w:val="24"/>
              </w:rPr>
            </w:pPr>
            <w:r w:rsidRPr="00651334">
              <w:rPr>
                <w:szCs w:val="24"/>
              </w:rPr>
              <w:br w:type="page"/>
              <w:t xml:space="preserve">In the Matter of the Review of the Reconciliation Rider of The Dayton Power and Light Company. </w:t>
            </w:r>
          </w:p>
        </w:tc>
        <w:tc>
          <w:tcPr>
            <w:tcW w:w="360" w:type="dxa"/>
            <w:tcBorders>
              <w:top w:val="nil"/>
              <w:left w:val="nil"/>
              <w:bottom w:val="nil"/>
              <w:right w:val="nil"/>
            </w:tcBorders>
          </w:tcPr>
          <w:p w:rsidR="00D8336B" w:rsidRPr="00651334" w:rsidP="001D3461" w14:paraId="4BA976B5" w14:textId="77777777">
            <w:pPr>
              <w:contextualSpacing/>
              <w:rPr>
                <w:szCs w:val="24"/>
              </w:rPr>
            </w:pPr>
            <w:r w:rsidRPr="00651334">
              <w:rPr>
                <w:szCs w:val="24"/>
              </w:rPr>
              <w:t>)</w:t>
            </w:r>
          </w:p>
          <w:p w:rsidR="00D8336B" w:rsidRPr="00651334" w:rsidP="001D3461" w14:paraId="3F3BD0B3" w14:textId="77777777">
            <w:pPr>
              <w:contextualSpacing/>
              <w:rPr>
                <w:szCs w:val="24"/>
              </w:rPr>
            </w:pPr>
            <w:r w:rsidRPr="00651334">
              <w:rPr>
                <w:szCs w:val="24"/>
              </w:rPr>
              <w:t>)</w:t>
            </w:r>
          </w:p>
          <w:p w:rsidR="00D8336B" w:rsidRPr="00651334" w:rsidP="001D3461" w14:paraId="74C23FC9" w14:textId="77777777">
            <w:pPr>
              <w:contextualSpacing/>
              <w:rPr>
                <w:szCs w:val="24"/>
              </w:rPr>
            </w:pPr>
            <w:r w:rsidRPr="00651334">
              <w:rPr>
                <w:szCs w:val="24"/>
              </w:rPr>
              <w:t>)</w:t>
            </w:r>
          </w:p>
        </w:tc>
        <w:tc>
          <w:tcPr>
            <w:tcW w:w="4140" w:type="dxa"/>
            <w:tcBorders>
              <w:top w:val="nil"/>
              <w:left w:val="nil"/>
              <w:bottom w:val="nil"/>
              <w:right w:val="nil"/>
            </w:tcBorders>
          </w:tcPr>
          <w:p w:rsidR="00D8336B" w:rsidRPr="00651334" w:rsidP="001D3461" w14:paraId="5B15FD46" w14:textId="77777777">
            <w:pPr>
              <w:contextualSpacing/>
              <w:rPr>
                <w:szCs w:val="24"/>
              </w:rPr>
            </w:pPr>
          </w:p>
          <w:p w:rsidR="00D8336B" w:rsidRPr="00651334" w:rsidP="001D3461" w14:paraId="75A25EFD" w14:textId="77777777">
            <w:pPr>
              <w:autoSpaceDE w:val="0"/>
              <w:autoSpaceDN w:val="0"/>
              <w:adjustRightInd w:val="0"/>
              <w:rPr>
                <w:szCs w:val="24"/>
              </w:rPr>
            </w:pPr>
            <w:r w:rsidRPr="00651334">
              <w:rPr>
                <w:szCs w:val="24"/>
              </w:rPr>
              <w:t xml:space="preserve">Case No. 20-165-EL-RDR </w:t>
            </w:r>
          </w:p>
        </w:tc>
      </w:tr>
    </w:tbl>
    <w:p w:rsidR="000D18C7" w:rsidRPr="00651334" w:rsidP="000D18C7" w14:paraId="36F1E796" w14:textId="77777777">
      <w:pPr>
        <w:pBdr>
          <w:bottom w:val="single" w:sz="12" w:space="1" w:color="auto"/>
        </w:pBdr>
        <w:rPr>
          <w:szCs w:val="24"/>
        </w:rPr>
      </w:pPr>
    </w:p>
    <w:p w:rsidR="000D18C7" w:rsidRPr="00651334" w:rsidP="000D18C7" w14:paraId="794E3F8E" w14:textId="77777777">
      <w:pPr>
        <w:rPr>
          <w:b/>
          <w:bCs w:val="0"/>
          <w:szCs w:val="24"/>
        </w:rPr>
      </w:pPr>
    </w:p>
    <w:p w:rsidR="000D18C7" w:rsidRPr="00651334" w:rsidP="000D18C7" w14:paraId="0F25B0BE" w14:textId="54EF6CAD">
      <w:pPr>
        <w:pBdr>
          <w:bottom w:val="single" w:sz="12" w:space="1" w:color="auto"/>
        </w:pBdr>
        <w:jc w:val="center"/>
        <w:rPr>
          <w:b/>
          <w:bCs w:val="0"/>
          <w:szCs w:val="24"/>
        </w:rPr>
      </w:pPr>
      <w:r w:rsidRPr="00651334">
        <w:rPr>
          <w:b/>
          <w:bCs w:val="0"/>
          <w:szCs w:val="24"/>
        </w:rPr>
        <w:t>MEMORANDUM</w:t>
      </w:r>
    </w:p>
    <w:p w:rsidR="000D18C7" w:rsidRPr="00651334" w:rsidP="000D18C7" w14:paraId="0028FD4C" w14:textId="77777777">
      <w:pPr>
        <w:pBdr>
          <w:bottom w:val="single" w:sz="12" w:space="1" w:color="auto"/>
        </w:pBdr>
        <w:jc w:val="center"/>
        <w:rPr>
          <w:b/>
          <w:bCs w:val="0"/>
          <w:szCs w:val="24"/>
        </w:rPr>
      </w:pPr>
    </w:p>
    <w:p w:rsidR="000D18C7" w:rsidRPr="00651334" w:rsidP="000D18C7" w14:paraId="08CDBECE" w14:textId="77777777">
      <w:pPr>
        <w:rPr>
          <w:b/>
          <w:bCs w:val="0"/>
          <w:szCs w:val="24"/>
        </w:rPr>
      </w:pPr>
    </w:p>
    <w:p w:rsidR="00416A44" w:rsidRPr="00651334" w:rsidP="00C35FA4" w14:paraId="16BAC7B9" w14:textId="00A121AD">
      <w:pPr>
        <w:pStyle w:val="Heading1"/>
        <w:rPr>
          <w:rFonts w:ascii="Times New Roman" w:hAnsi="Times New Roman" w:cs="Times New Roman"/>
          <w:bCs w:val="0"/>
          <w:szCs w:val="24"/>
        </w:rPr>
      </w:pPr>
      <w:bookmarkStart w:id="2" w:name="_Toc66809010"/>
      <w:bookmarkStart w:id="3" w:name="_Toc66827005"/>
      <w:r w:rsidRPr="00651334">
        <w:rPr>
          <w:rFonts w:ascii="Times New Roman" w:hAnsi="Times New Roman" w:cs="Times New Roman"/>
          <w:bCs w:val="0"/>
          <w:szCs w:val="24"/>
        </w:rPr>
        <w:t>I.</w:t>
      </w:r>
      <w:r w:rsidRPr="00651334">
        <w:rPr>
          <w:rFonts w:ascii="Times New Roman" w:hAnsi="Times New Roman" w:cs="Times New Roman"/>
          <w:bCs w:val="0"/>
          <w:szCs w:val="24"/>
        </w:rPr>
        <w:tab/>
        <w:t>INTRODUCTION</w:t>
      </w:r>
      <w:bookmarkEnd w:id="2"/>
      <w:bookmarkEnd w:id="3"/>
    </w:p>
    <w:p w:rsidR="00A927CE" w:rsidRPr="00651334" w:rsidP="00C10DD8" w14:paraId="2294ABD1" w14:textId="00B434F3">
      <w:pPr>
        <w:spacing w:line="480" w:lineRule="auto"/>
        <w:ind w:firstLine="720"/>
        <w:rPr>
          <w:szCs w:val="24"/>
        </w:rPr>
      </w:pPr>
      <w:bookmarkStart w:id="4" w:name="_Hlk66825426"/>
      <w:r w:rsidRPr="00651334">
        <w:rPr>
          <w:szCs w:val="24"/>
        </w:rPr>
        <w:t>OCC and OMAEG file th</w:t>
      </w:r>
      <w:r w:rsidRPr="00651334" w:rsidR="00065D7B">
        <w:rPr>
          <w:szCs w:val="24"/>
        </w:rPr>
        <w:t>is</w:t>
      </w:r>
      <w:r w:rsidRPr="00651334">
        <w:rPr>
          <w:szCs w:val="24"/>
        </w:rPr>
        <w:t xml:space="preserve"> motion to give Ohioans the protection of the competitive market for </w:t>
      </w:r>
      <w:r w:rsidRPr="00651334" w:rsidR="00065D7B">
        <w:rPr>
          <w:szCs w:val="24"/>
        </w:rPr>
        <w:t>lower</w:t>
      </w:r>
      <w:r w:rsidRPr="00651334">
        <w:rPr>
          <w:szCs w:val="24"/>
        </w:rPr>
        <w:t xml:space="preserve"> electric bills (and </w:t>
      </w:r>
      <w:r w:rsidRPr="00651334" w:rsidR="002865C3">
        <w:rPr>
          <w:szCs w:val="24"/>
        </w:rPr>
        <w:t xml:space="preserve">hopefully </w:t>
      </w:r>
      <w:r w:rsidRPr="00651334">
        <w:rPr>
          <w:szCs w:val="24"/>
        </w:rPr>
        <w:t xml:space="preserve">for a cleaner planet) from outmoded, uneconomic and polluting coal plants that operate courtesy of Ohio’s subsidy culture. </w:t>
      </w:r>
      <w:r w:rsidRPr="00651334" w:rsidR="002865C3">
        <w:rPr>
          <w:szCs w:val="24"/>
        </w:rPr>
        <w:t xml:space="preserve">Further, </w:t>
      </w:r>
      <w:r w:rsidRPr="00651334" w:rsidR="00AD338E">
        <w:rPr>
          <w:szCs w:val="24"/>
        </w:rPr>
        <w:t>DP&amp;L</w:t>
      </w:r>
      <w:r w:rsidRPr="00651334" w:rsidR="00097A34">
        <w:rPr>
          <w:szCs w:val="24"/>
        </w:rPr>
        <w:t>, AEP</w:t>
      </w:r>
      <w:r w:rsidRPr="00651334" w:rsidR="00AD338E">
        <w:rPr>
          <w:szCs w:val="24"/>
        </w:rPr>
        <w:t xml:space="preserve"> and Duke send Ohioans’ subsidy money to an Indiana coal plant and their coal plant sends back air pollution to Ohio</w:t>
      </w:r>
      <w:r w:rsidRPr="00651334" w:rsidR="003379E1">
        <w:rPr>
          <w:szCs w:val="24"/>
        </w:rPr>
        <w:t>.</w:t>
      </w:r>
      <w:r w:rsidRPr="00651334" w:rsidR="00C90A01">
        <w:rPr>
          <w:szCs w:val="24"/>
        </w:rPr>
        <w:t xml:space="preserve"> </w:t>
      </w:r>
    </w:p>
    <w:p w:rsidR="005173D2" w:rsidRPr="00651334" w:rsidP="00C10DD8" w14:paraId="7AC7967C" w14:textId="6C29956A">
      <w:pPr>
        <w:spacing w:line="480" w:lineRule="auto"/>
        <w:ind w:firstLine="720"/>
        <w:rPr>
          <w:bCs w:val="0"/>
          <w:szCs w:val="24"/>
        </w:rPr>
      </w:pPr>
      <w:r w:rsidRPr="00651334">
        <w:rPr>
          <w:bCs w:val="0"/>
          <w:szCs w:val="24"/>
        </w:rPr>
        <w:t>The prudent o</w:t>
      </w:r>
      <w:r w:rsidRPr="00651334" w:rsidR="006E3B97">
        <w:rPr>
          <w:bCs w:val="0"/>
          <w:szCs w:val="24"/>
        </w:rPr>
        <w:t>perati</w:t>
      </w:r>
      <w:r w:rsidRPr="00651334">
        <w:rPr>
          <w:bCs w:val="0"/>
          <w:szCs w:val="24"/>
        </w:rPr>
        <w:t>on of</w:t>
      </w:r>
      <w:r w:rsidRPr="00651334" w:rsidR="006E3B97">
        <w:rPr>
          <w:bCs w:val="0"/>
          <w:szCs w:val="24"/>
        </w:rPr>
        <w:t xml:space="preserve"> power plants is important</w:t>
      </w:r>
      <w:r w:rsidRPr="00651334" w:rsidR="00BE06E8">
        <w:rPr>
          <w:bCs w:val="0"/>
          <w:szCs w:val="24"/>
        </w:rPr>
        <w:t xml:space="preserve"> to consumers </w:t>
      </w:r>
      <w:r w:rsidRPr="00651334" w:rsidR="00255992">
        <w:rPr>
          <w:bCs w:val="0"/>
          <w:szCs w:val="24"/>
        </w:rPr>
        <w:t>(</w:t>
      </w:r>
      <w:r w:rsidRPr="00651334" w:rsidR="00BE06E8">
        <w:rPr>
          <w:bCs w:val="0"/>
          <w:szCs w:val="24"/>
        </w:rPr>
        <w:t>and to the competitive market that can benefit consumers with lower prices and greater innovation</w:t>
      </w:r>
      <w:r w:rsidRPr="00651334" w:rsidR="00255992">
        <w:rPr>
          <w:bCs w:val="0"/>
          <w:szCs w:val="24"/>
        </w:rPr>
        <w:t>)</w:t>
      </w:r>
      <w:r w:rsidRPr="00651334" w:rsidR="00DC77B5">
        <w:rPr>
          <w:bCs w:val="0"/>
          <w:szCs w:val="24"/>
        </w:rPr>
        <w:t>. It’s especially important</w:t>
      </w:r>
      <w:r w:rsidRPr="00651334" w:rsidR="006E3B97">
        <w:rPr>
          <w:bCs w:val="0"/>
          <w:szCs w:val="24"/>
        </w:rPr>
        <w:t xml:space="preserve"> when </w:t>
      </w:r>
      <w:r w:rsidRPr="00651334" w:rsidR="00DC77B5">
        <w:rPr>
          <w:bCs w:val="0"/>
          <w:szCs w:val="24"/>
        </w:rPr>
        <w:t xml:space="preserve">monopoly </w:t>
      </w:r>
      <w:r w:rsidRPr="00651334" w:rsidR="006E3B97">
        <w:rPr>
          <w:bCs w:val="0"/>
          <w:szCs w:val="24"/>
        </w:rPr>
        <w:t>utilit</w:t>
      </w:r>
      <w:r w:rsidRPr="00651334" w:rsidR="00DC018D">
        <w:rPr>
          <w:bCs w:val="0"/>
          <w:szCs w:val="24"/>
        </w:rPr>
        <w:t>ies</w:t>
      </w:r>
      <w:r w:rsidRPr="00651334" w:rsidR="001B77D9">
        <w:rPr>
          <w:bCs w:val="0"/>
          <w:szCs w:val="24"/>
        </w:rPr>
        <w:t xml:space="preserve"> (</w:t>
      </w:r>
      <w:r w:rsidRPr="00651334" w:rsidR="00097A34">
        <w:rPr>
          <w:bCs w:val="0"/>
          <w:szCs w:val="24"/>
        </w:rPr>
        <w:t>DP&amp;L</w:t>
      </w:r>
      <w:r w:rsidRPr="00651334" w:rsidR="001B77D9">
        <w:rPr>
          <w:bCs w:val="0"/>
          <w:szCs w:val="24"/>
        </w:rPr>
        <w:t>)</w:t>
      </w:r>
      <w:r w:rsidRPr="00651334" w:rsidR="00DC77B5">
        <w:rPr>
          <w:bCs w:val="0"/>
          <w:szCs w:val="24"/>
        </w:rPr>
        <w:t xml:space="preserve"> </w:t>
      </w:r>
      <w:r w:rsidRPr="00651334" w:rsidR="00DC018D">
        <w:rPr>
          <w:bCs w:val="0"/>
          <w:szCs w:val="24"/>
        </w:rPr>
        <w:t xml:space="preserve">have </w:t>
      </w:r>
      <w:r w:rsidRPr="00651334" w:rsidR="00DC77B5">
        <w:rPr>
          <w:bCs w:val="0"/>
          <w:szCs w:val="24"/>
        </w:rPr>
        <w:t>an ownership share</w:t>
      </w:r>
      <w:r w:rsidRPr="00651334" w:rsidR="00810B42">
        <w:rPr>
          <w:bCs w:val="0"/>
          <w:szCs w:val="24"/>
        </w:rPr>
        <w:t xml:space="preserve"> in </w:t>
      </w:r>
      <w:r w:rsidRPr="00651334" w:rsidR="00DC018D">
        <w:rPr>
          <w:bCs w:val="0"/>
          <w:szCs w:val="24"/>
        </w:rPr>
        <w:t xml:space="preserve">two </w:t>
      </w:r>
      <w:r w:rsidRPr="00651334" w:rsidR="00810B42">
        <w:rPr>
          <w:bCs w:val="0"/>
          <w:szCs w:val="24"/>
        </w:rPr>
        <w:t>coal plants</w:t>
      </w:r>
      <w:r w:rsidRPr="00651334" w:rsidR="006E3B97">
        <w:rPr>
          <w:bCs w:val="0"/>
          <w:szCs w:val="24"/>
        </w:rPr>
        <w:t xml:space="preserve"> </w:t>
      </w:r>
      <w:r w:rsidRPr="00651334" w:rsidR="00DC018D">
        <w:rPr>
          <w:bCs w:val="0"/>
          <w:szCs w:val="24"/>
        </w:rPr>
        <w:t xml:space="preserve">that allows </w:t>
      </w:r>
      <w:r w:rsidRPr="00651334" w:rsidR="00097A34">
        <w:rPr>
          <w:bCs w:val="0"/>
          <w:szCs w:val="24"/>
        </w:rPr>
        <w:t>it</w:t>
      </w:r>
      <w:r w:rsidRPr="00651334" w:rsidR="00DC018D">
        <w:rPr>
          <w:bCs w:val="0"/>
          <w:szCs w:val="24"/>
        </w:rPr>
        <w:t xml:space="preserve"> to tap </w:t>
      </w:r>
      <w:r w:rsidRPr="00651334" w:rsidR="00E66116">
        <w:rPr>
          <w:bCs w:val="0"/>
          <w:szCs w:val="24"/>
        </w:rPr>
        <w:t xml:space="preserve">monopoly </w:t>
      </w:r>
      <w:r w:rsidRPr="00651334" w:rsidR="006E3B97">
        <w:rPr>
          <w:bCs w:val="0"/>
          <w:szCs w:val="24"/>
        </w:rPr>
        <w:t xml:space="preserve">customers </w:t>
      </w:r>
      <w:r w:rsidRPr="00651334" w:rsidR="00DC77B5">
        <w:rPr>
          <w:bCs w:val="0"/>
          <w:szCs w:val="24"/>
        </w:rPr>
        <w:t>to subsidize operating losses</w:t>
      </w:r>
      <w:r w:rsidRPr="00651334" w:rsidR="00E66116">
        <w:rPr>
          <w:bCs w:val="0"/>
          <w:szCs w:val="24"/>
        </w:rPr>
        <w:t>.</w:t>
      </w:r>
      <w:r w:rsidRPr="00651334" w:rsidR="00C90A01">
        <w:rPr>
          <w:bCs w:val="0"/>
          <w:szCs w:val="24"/>
        </w:rPr>
        <w:t xml:space="preserve"> </w:t>
      </w:r>
      <w:r w:rsidRPr="00651334" w:rsidR="00E66116">
        <w:rPr>
          <w:bCs w:val="0"/>
          <w:szCs w:val="24"/>
        </w:rPr>
        <w:t>Those losses</w:t>
      </w:r>
      <w:r w:rsidRPr="00651334" w:rsidR="00DC018D">
        <w:rPr>
          <w:bCs w:val="0"/>
          <w:szCs w:val="24"/>
        </w:rPr>
        <w:t xml:space="preserve"> occur as the </w:t>
      </w:r>
      <w:r w:rsidRPr="00651334" w:rsidR="00E66116">
        <w:rPr>
          <w:bCs w:val="0"/>
          <w:szCs w:val="24"/>
        </w:rPr>
        <w:t xml:space="preserve">coal </w:t>
      </w:r>
      <w:r w:rsidRPr="00651334" w:rsidR="00DC018D">
        <w:rPr>
          <w:bCs w:val="0"/>
          <w:szCs w:val="24"/>
        </w:rPr>
        <w:t xml:space="preserve">plants </w:t>
      </w:r>
      <w:r w:rsidRPr="00651334" w:rsidR="00E66116">
        <w:rPr>
          <w:bCs w:val="0"/>
          <w:szCs w:val="24"/>
        </w:rPr>
        <w:t xml:space="preserve">continue their decades of </w:t>
      </w:r>
      <w:r w:rsidRPr="00651334" w:rsidR="00DC018D">
        <w:rPr>
          <w:bCs w:val="0"/>
          <w:szCs w:val="24"/>
        </w:rPr>
        <w:t>pollut</w:t>
      </w:r>
      <w:r w:rsidRPr="00651334" w:rsidR="00E66116">
        <w:rPr>
          <w:bCs w:val="0"/>
          <w:szCs w:val="24"/>
        </w:rPr>
        <w:t>ing</w:t>
      </w:r>
      <w:r w:rsidRPr="00651334" w:rsidR="00DC018D">
        <w:rPr>
          <w:bCs w:val="0"/>
          <w:szCs w:val="24"/>
        </w:rPr>
        <w:t xml:space="preserve"> the planet</w:t>
      </w:r>
      <w:r w:rsidRPr="00651334" w:rsidR="00E15389">
        <w:rPr>
          <w:bCs w:val="0"/>
          <w:szCs w:val="24"/>
        </w:rPr>
        <w:t xml:space="preserve">, </w:t>
      </w:r>
      <w:r w:rsidRPr="00651334" w:rsidR="00DC018D">
        <w:rPr>
          <w:bCs w:val="0"/>
          <w:szCs w:val="24"/>
        </w:rPr>
        <w:t xml:space="preserve">with </w:t>
      </w:r>
      <w:r w:rsidRPr="00651334" w:rsidR="00255992">
        <w:rPr>
          <w:bCs w:val="0"/>
          <w:szCs w:val="24"/>
        </w:rPr>
        <w:t xml:space="preserve">the </w:t>
      </w:r>
      <w:r w:rsidRPr="00651334">
        <w:rPr>
          <w:bCs w:val="0"/>
          <w:szCs w:val="24"/>
        </w:rPr>
        <w:t>PUCO</w:t>
      </w:r>
      <w:r w:rsidRPr="00651334" w:rsidR="00255992">
        <w:rPr>
          <w:bCs w:val="0"/>
          <w:szCs w:val="24"/>
        </w:rPr>
        <w:t>’s support</w:t>
      </w:r>
      <w:r w:rsidRPr="00651334">
        <w:rPr>
          <w:bCs w:val="0"/>
          <w:szCs w:val="24"/>
        </w:rPr>
        <w:t xml:space="preserve"> and</w:t>
      </w:r>
      <w:r w:rsidRPr="00651334" w:rsidR="00255992">
        <w:rPr>
          <w:bCs w:val="0"/>
          <w:szCs w:val="24"/>
        </w:rPr>
        <w:t xml:space="preserve"> with</w:t>
      </w:r>
      <w:r w:rsidRPr="00651334">
        <w:rPr>
          <w:bCs w:val="0"/>
          <w:szCs w:val="24"/>
        </w:rPr>
        <w:t xml:space="preserve"> legislative support</w:t>
      </w:r>
      <w:r w:rsidRPr="00651334" w:rsidR="00255992">
        <w:rPr>
          <w:bCs w:val="0"/>
          <w:szCs w:val="24"/>
        </w:rPr>
        <w:t xml:space="preserve"> in H.B. 6</w:t>
      </w:r>
      <w:r w:rsidRPr="00651334" w:rsidR="00DC77B5">
        <w:rPr>
          <w:bCs w:val="0"/>
          <w:szCs w:val="24"/>
        </w:rPr>
        <w:t xml:space="preserve">. </w:t>
      </w:r>
    </w:p>
    <w:p w:rsidR="00917FAC" w:rsidRPr="00651334" w:rsidP="00C10DD8" w14:paraId="44059EB3" w14:textId="28B16CC5">
      <w:pPr>
        <w:spacing w:line="480" w:lineRule="auto"/>
        <w:ind w:firstLine="720"/>
        <w:rPr>
          <w:szCs w:val="24"/>
        </w:rPr>
      </w:pPr>
      <w:r w:rsidRPr="00651334">
        <w:rPr>
          <w:szCs w:val="24"/>
        </w:rPr>
        <w:t xml:space="preserve">The PUCO auditor </w:t>
      </w:r>
      <w:r w:rsidRPr="00651334" w:rsidR="00097A34">
        <w:rPr>
          <w:szCs w:val="24"/>
        </w:rPr>
        <w:t xml:space="preserve">of AEP </w:t>
      </w:r>
      <w:r w:rsidRPr="00651334">
        <w:rPr>
          <w:szCs w:val="24"/>
        </w:rPr>
        <w:t>recommended that “OVEC reconsider its ‘must-run’ offer strategy.”</w:t>
      </w:r>
      <w:r>
        <w:rPr>
          <w:rStyle w:val="FootnoteReference"/>
          <w:szCs w:val="24"/>
        </w:rPr>
        <w:footnoteReference w:id="13"/>
      </w:r>
      <w:r w:rsidRPr="00651334" w:rsidR="0020621B">
        <w:rPr>
          <w:szCs w:val="24"/>
        </w:rPr>
        <w:t xml:space="preserve"> </w:t>
      </w:r>
      <w:r w:rsidRPr="00651334">
        <w:rPr>
          <w:szCs w:val="24"/>
        </w:rPr>
        <w:t xml:space="preserve">The PUCO auditor’s words mean that there is at least the potential, if not the reality, that </w:t>
      </w:r>
      <w:r w:rsidRPr="00651334" w:rsidR="00097A34">
        <w:rPr>
          <w:szCs w:val="24"/>
        </w:rPr>
        <w:t>DP&amp;L is</w:t>
      </w:r>
      <w:r w:rsidRPr="00651334">
        <w:rPr>
          <w:szCs w:val="24"/>
        </w:rPr>
        <w:t xml:space="preserve"> not acting in the best interests of their consumers</w:t>
      </w:r>
      <w:r w:rsidRPr="00651334" w:rsidR="00065D7B">
        <w:rPr>
          <w:szCs w:val="24"/>
        </w:rPr>
        <w:t xml:space="preserve">. </w:t>
      </w:r>
      <w:r w:rsidRPr="00651334" w:rsidR="0006540C">
        <w:rPr>
          <w:szCs w:val="24"/>
        </w:rPr>
        <w:t>With regard to the utilities</w:t>
      </w:r>
      <w:r w:rsidRPr="00651334" w:rsidR="00255992">
        <w:rPr>
          <w:szCs w:val="24"/>
        </w:rPr>
        <w:t>’</w:t>
      </w:r>
      <w:r w:rsidRPr="00651334" w:rsidR="0006540C">
        <w:rPr>
          <w:szCs w:val="24"/>
        </w:rPr>
        <w:t xml:space="preserve"> charges to consumers, the PUCO</w:t>
      </w:r>
      <w:r w:rsidRPr="00651334">
        <w:rPr>
          <w:szCs w:val="24"/>
        </w:rPr>
        <w:t xml:space="preserve"> requires </w:t>
      </w:r>
      <w:r w:rsidRPr="00651334" w:rsidR="0006540C">
        <w:rPr>
          <w:szCs w:val="24"/>
        </w:rPr>
        <w:t>that</w:t>
      </w:r>
      <w:r w:rsidRPr="00651334">
        <w:rPr>
          <w:szCs w:val="24"/>
        </w:rPr>
        <w:t xml:space="preserve"> the coal subsidy charges</w:t>
      </w:r>
      <w:r w:rsidRPr="00651334" w:rsidR="0006540C">
        <w:rPr>
          <w:szCs w:val="24"/>
        </w:rPr>
        <w:t xml:space="preserve"> be minimized</w:t>
      </w:r>
      <w:r w:rsidRPr="00651334">
        <w:rPr>
          <w:szCs w:val="24"/>
        </w:rPr>
        <w:t>.</w:t>
      </w:r>
      <w:r>
        <w:rPr>
          <w:rStyle w:val="FootnoteReference"/>
          <w:szCs w:val="24"/>
        </w:rPr>
        <w:footnoteReference w:id="14"/>
      </w:r>
      <w:r w:rsidRPr="00651334" w:rsidR="00C90A01">
        <w:rPr>
          <w:szCs w:val="24"/>
        </w:rPr>
        <w:t xml:space="preserve"> </w:t>
      </w:r>
    </w:p>
    <w:p w:rsidR="00917FAC" w:rsidRPr="00651334" w:rsidP="00C10DD8" w14:paraId="7E1F0500" w14:textId="6D525BA4">
      <w:pPr>
        <w:spacing w:line="480" w:lineRule="auto"/>
        <w:ind w:firstLine="720"/>
        <w:rPr>
          <w:bCs w:val="0"/>
          <w:szCs w:val="24"/>
        </w:rPr>
      </w:pPr>
      <w:r w:rsidRPr="00651334">
        <w:rPr>
          <w:szCs w:val="24"/>
        </w:rPr>
        <w:t xml:space="preserve">A report was prepared recently for OMAEG, regarding </w:t>
      </w:r>
      <w:r w:rsidRPr="00651334" w:rsidR="002865C3">
        <w:rPr>
          <w:szCs w:val="24"/>
        </w:rPr>
        <w:t>the OVEC</w:t>
      </w:r>
      <w:r w:rsidRPr="00651334">
        <w:rPr>
          <w:szCs w:val="24"/>
        </w:rPr>
        <w:t xml:space="preserve"> coal plants. It </w:t>
      </w:r>
      <w:r w:rsidRPr="00651334" w:rsidR="0006540C">
        <w:rPr>
          <w:szCs w:val="24"/>
        </w:rPr>
        <w:t xml:space="preserve">was </w:t>
      </w:r>
      <w:r w:rsidRPr="00651334">
        <w:rPr>
          <w:szCs w:val="24"/>
        </w:rPr>
        <w:t>estimated</w:t>
      </w:r>
      <w:r w:rsidRPr="00651334" w:rsidR="0006540C">
        <w:rPr>
          <w:szCs w:val="24"/>
        </w:rPr>
        <w:t xml:space="preserve"> in the report</w:t>
      </w:r>
      <w:r w:rsidRPr="00651334">
        <w:rPr>
          <w:szCs w:val="24"/>
        </w:rPr>
        <w:t xml:space="preserve"> that the coal subsidies for OVEC plants have cost Ohioans $159 million from 2017 through 2019 and could total </w:t>
      </w:r>
      <w:r w:rsidRPr="00651334" w:rsidR="008F1F04">
        <w:rPr>
          <w:szCs w:val="24"/>
        </w:rPr>
        <w:t xml:space="preserve">an additional </w:t>
      </w:r>
      <w:r w:rsidRPr="00651334">
        <w:rPr>
          <w:szCs w:val="24"/>
        </w:rPr>
        <w:t>$700 million by 2030.</w:t>
      </w:r>
      <w:r>
        <w:rPr>
          <w:rStyle w:val="FootnoteReference"/>
          <w:szCs w:val="24"/>
        </w:rPr>
        <w:footnoteReference w:id="15"/>
      </w:r>
    </w:p>
    <w:p w:rsidR="005173D2" w:rsidRPr="00651334" w:rsidP="00C10DD8" w14:paraId="6804F2C8" w14:textId="7BF212AE">
      <w:pPr>
        <w:spacing w:line="480" w:lineRule="auto"/>
        <w:ind w:firstLine="720"/>
        <w:rPr>
          <w:bCs w:val="0"/>
          <w:szCs w:val="24"/>
        </w:rPr>
      </w:pPr>
      <w:r w:rsidRPr="00651334">
        <w:rPr>
          <w:szCs w:val="24"/>
        </w:rPr>
        <w:t>Just recently Fitch Ratings published an outlook on OVEC which included a projection that, from a consumer perspective, is dour: “Nonetheless, Fitch expects OVEC's all-in costs exceed prevailing merchant power prices and the plants to remain uneconomical for the foreseeable future.”</w:t>
      </w:r>
      <w:r>
        <w:rPr>
          <w:rStyle w:val="FootnoteReference"/>
          <w:szCs w:val="24"/>
        </w:rPr>
        <w:footnoteReference w:id="16"/>
      </w:r>
    </w:p>
    <w:p w:rsidR="00810B42" w:rsidRPr="00651334" w:rsidP="00A76D16" w14:paraId="47E454C5" w14:textId="0275D016">
      <w:pPr>
        <w:spacing w:line="480" w:lineRule="auto"/>
        <w:ind w:firstLine="720"/>
        <w:rPr>
          <w:rFonts w:eastAsia="Times New Roman"/>
          <w:bCs w:val="0"/>
          <w:color w:val="auto"/>
          <w:szCs w:val="24"/>
        </w:rPr>
      </w:pPr>
      <w:r w:rsidRPr="00651334">
        <w:rPr>
          <w:bCs w:val="0"/>
          <w:szCs w:val="24"/>
        </w:rPr>
        <w:t>It’s too bad for consumers that utilities convinced the state to abandon the theme of R.C. 4</w:t>
      </w:r>
      <w:r w:rsidRPr="00651334" w:rsidR="002932B7">
        <w:rPr>
          <w:bCs w:val="0"/>
          <w:szCs w:val="24"/>
        </w:rPr>
        <w:t>9</w:t>
      </w:r>
      <w:r w:rsidRPr="00651334">
        <w:rPr>
          <w:bCs w:val="0"/>
          <w:szCs w:val="24"/>
        </w:rPr>
        <w:t xml:space="preserve">28.38, which </w:t>
      </w:r>
      <w:r w:rsidRPr="00651334" w:rsidR="00F705CB">
        <w:rPr>
          <w:bCs w:val="0"/>
          <w:szCs w:val="24"/>
        </w:rPr>
        <w:t xml:space="preserve">provided that </w:t>
      </w:r>
      <w:r w:rsidRPr="00651334">
        <w:rPr>
          <w:bCs w:val="0"/>
          <w:szCs w:val="24"/>
        </w:rPr>
        <w:t>the electric</w:t>
      </w:r>
      <w:r w:rsidRPr="00651334">
        <w:rPr>
          <w:rFonts w:eastAsia="Times New Roman"/>
          <w:bCs w:val="0"/>
          <w:color w:val="auto"/>
          <w:szCs w:val="24"/>
        </w:rPr>
        <w:t xml:space="preserve"> utility was to “be fully on its own in the competitive market” after the deregulation transition.</w:t>
      </w:r>
      <w:r w:rsidRPr="00651334" w:rsidR="00C90A01">
        <w:rPr>
          <w:rFonts w:eastAsia="Times New Roman"/>
          <w:bCs w:val="0"/>
          <w:color w:val="auto"/>
          <w:szCs w:val="24"/>
        </w:rPr>
        <w:t xml:space="preserve"> </w:t>
      </w:r>
      <w:r w:rsidRPr="00651334" w:rsidR="001D177D">
        <w:rPr>
          <w:rFonts w:eastAsia="Times New Roman"/>
          <w:bCs w:val="0"/>
          <w:color w:val="auto"/>
          <w:szCs w:val="24"/>
        </w:rPr>
        <w:t xml:space="preserve">But </w:t>
      </w:r>
      <w:r w:rsidRPr="00651334" w:rsidR="00F705CB">
        <w:rPr>
          <w:rFonts w:eastAsia="Times New Roman"/>
          <w:bCs w:val="0"/>
          <w:color w:val="auto"/>
          <w:szCs w:val="24"/>
        </w:rPr>
        <w:t xml:space="preserve">here we are in 2021 with utilities and the state making consumers subsidize </w:t>
      </w:r>
      <w:r w:rsidRPr="00651334">
        <w:rPr>
          <w:rFonts w:eastAsia="Times New Roman"/>
          <w:bCs w:val="0"/>
          <w:color w:val="auto"/>
          <w:szCs w:val="24"/>
        </w:rPr>
        <w:t xml:space="preserve">corporate welfare for </w:t>
      </w:r>
      <w:r w:rsidRPr="00651334" w:rsidR="00F705CB">
        <w:rPr>
          <w:rFonts w:eastAsia="Times New Roman"/>
          <w:bCs w:val="0"/>
          <w:color w:val="auto"/>
          <w:szCs w:val="24"/>
        </w:rPr>
        <w:t>outmoded, uneconomic polluting coal power plants.</w:t>
      </w:r>
    </w:p>
    <w:p w:rsidR="005173D2" w:rsidRPr="00651334" w:rsidP="00F219D1" w14:paraId="3C51A37B" w14:textId="0B9286FC">
      <w:pPr>
        <w:spacing w:line="480" w:lineRule="auto"/>
        <w:ind w:firstLine="720"/>
        <w:rPr>
          <w:bCs w:val="0"/>
          <w:szCs w:val="24"/>
        </w:rPr>
      </w:pPr>
      <w:r w:rsidRPr="00651334">
        <w:rPr>
          <w:bCs w:val="0"/>
          <w:szCs w:val="24"/>
        </w:rPr>
        <w:t xml:space="preserve">In these cases, </w:t>
      </w:r>
      <w:r w:rsidRPr="00651334" w:rsidR="00AF2B74">
        <w:rPr>
          <w:bCs w:val="0"/>
          <w:szCs w:val="24"/>
        </w:rPr>
        <w:t xml:space="preserve">it will be determined if </w:t>
      </w:r>
      <w:r w:rsidRPr="00651334" w:rsidR="005B3D08">
        <w:rPr>
          <w:bCs w:val="0"/>
          <w:szCs w:val="24"/>
        </w:rPr>
        <w:t xml:space="preserve">the </w:t>
      </w:r>
      <w:r w:rsidRPr="00651334" w:rsidR="00097A34">
        <w:rPr>
          <w:bCs w:val="0"/>
          <w:szCs w:val="24"/>
        </w:rPr>
        <w:t>DP&amp;L</w:t>
      </w:r>
      <w:r w:rsidRPr="00651334" w:rsidR="005B3D08">
        <w:rPr>
          <w:bCs w:val="0"/>
          <w:szCs w:val="24"/>
        </w:rPr>
        <w:t xml:space="preserve">/OVEC coal plants </w:t>
      </w:r>
      <w:r w:rsidRPr="00651334" w:rsidR="006E3B97">
        <w:rPr>
          <w:bCs w:val="0"/>
          <w:szCs w:val="24"/>
        </w:rPr>
        <w:t>were imprudent</w:t>
      </w:r>
      <w:r w:rsidRPr="00651334" w:rsidR="005B3D08">
        <w:rPr>
          <w:bCs w:val="0"/>
          <w:szCs w:val="24"/>
        </w:rPr>
        <w:t xml:space="preserve">ly managed and run, against the interests of consumers </w:t>
      </w:r>
      <w:r w:rsidRPr="00651334" w:rsidR="00917FAC">
        <w:rPr>
          <w:bCs w:val="0"/>
          <w:szCs w:val="24"/>
        </w:rPr>
        <w:t xml:space="preserve">who were </w:t>
      </w:r>
      <w:r w:rsidRPr="00651334" w:rsidR="005B3D08">
        <w:rPr>
          <w:bCs w:val="0"/>
          <w:szCs w:val="24"/>
        </w:rPr>
        <w:t>made to subsidize them</w:t>
      </w:r>
      <w:r w:rsidRPr="00651334">
        <w:rPr>
          <w:bCs w:val="0"/>
          <w:szCs w:val="24"/>
        </w:rPr>
        <w:t xml:space="preserve">. </w:t>
      </w:r>
      <w:r w:rsidRPr="00651334" w:rsidR="00BB6E5D">
        <w:rPr>
          <w:bCs w:val="0"/>
          <w:szCs w:val="24"/>
        </w:rPr>
        <w:t xml:space="preserve">One of the </w:t>
      </w:r>
      <w:r w:rsidRPr="00651334">
        <w:rPr>
          <w:bCs w:val="0"/>
          <w:szCs w:val="24"/>
        </w:rPr>
        <w:t>issue</w:t>
      </w:r>
      <w:r w:rsidRPr="00651334" w:rsidR="00BB6E5D">
        <w:rPr>
          <w:bCs w:val="0"/>
          <w:szCs w:val="24"/>
        </w:rPr>
        <w:t>s</w:t>
      </w:r>
      <w:r w:rsidRPr="00651334">
        <w:rPr>
          <w:bCs w:val="0"/>
          <w:szCs w:val="24"/>
        </w:rPr>
        <w:t xml:space="preserve"> involves</w:t>
      </w:r>
      <w:r w:rsidRPr="00651334" w:rsidR="006E3B97">
        <w:rPr>
          <w:bCs w:val="0"/>
          <w:szCs w:val="24"/>
        </w:rPr>
        <w:t xml:space="preserve"> </w:t>
      </w:r>
      <w:r w:rsidRPr="00651334" w:rsidR="0006540C">
        <w:rPr>
          <w:bCs w:val="0"/>
          <w:szCs w:val="24"/>
        </w:rPr>
        <w:t>whether</w:t>
      </w:r>
      <w:r w:rsidRPr="00651334" w:rsidR="006E3B97">
        <w:rPr>
          <w:bCs w:val="0"/>
          <w:szCs w:val="24"/>
        </w:rPr>
        <w:t xml:space="preserve"> PJM</w:t>
      </w:r>
      <w:r w:rsidRPr="00651334" w:rsidR="00BB6E5D">
        <w:rPr>
          <w:bCs w:val="0"/>
          <w:szCs w:val="24"/>
        </w:rPr>
        <w:t>’s</w:t>
      </w:r>
      <w:r w:rsidRPr="00651334" w:rsidR="006E3B97">
        <w:rPr>
          <w:bCs w:val="0"/>
          <w:szCs w:val="24"/>
        </w:rPr>
        <w:t xml:space="preserve"> </w:t>
      </w:r>
      <w:r w:rsidRPr="00651334" w:rsidR="009E437C">
        <w:rPr>
          <w:bCs w:val="0"/>
          <w:szCs w:val="24"/>
        </w:rPr>
        <w:t>d</w:t>
      </w:r>
      <w:r w:rsidRPr="00651334" w:rsidR="006E3B97">
        <w:rPr>
          <w:bCs w:val="0"/>
          <w:szCs w:val="24"/>
        </w:rPr>
        <w:t>ay-</w:t>
      </w:r>
      <w:r w:rsidRPr="00651334" w:rsidR="009E437C">
        <w:rPr>
          <w:bCs w:val="0"/>
          <w:szCs w:val="24"/>
        </w:rPr>
        <w:t>a</w:t>
      </w:r>
      <w:r w:rsidRPr="00651334" w:rsidR="006E3B97">
        <w:rPr>
          <w:bCs w:val="0"/>
          <w:szCs w:val="24"/>
        </w:rPr>
        <w:t>head energy prices and forward power prices</w:t>
      </w:r>
      <w:r w:rsidRPr="00651334" w:rsidR="0006540C">
        <w:rPr>
          <w:bCs w:val="0"/>
          <w:szCs w:val="24"/>
        </w:rPr>
        <w:t xml:space="preserve"> were used in</w:t>
      </w:r>
      <w:r w:rsidRPr="00651334" w:rsidR="006E3B97">
        <w:rPr>
          <w:bCs w:val="0"/>
          <w:szCs w:val="24"/>
        </w:rPr>
        <w:t xml:space="preserve"> making daily decisions on how to commit the </w:t>
      </w:r>
      <w:r w:rsidRPr="00651334" w:rsidR="005B3D08">
        <w:rPr>
          <w:bCs w:val="0"/>
          <w:szCs w:val="24"/>
        </w:rPr>
        <w:t xml:space="preserve">coal </w:t>
      </w:r>
      <w:r w:rsidRPr="00651334" w:rsidR="006E3B97">
        <w:rPr>
          <w:bCs w:val="0"/>
          <w:szCs w:val="24"/>
        </w:rPr>
        <w:t>plants</w:t>
      </w:r>
      <w:r w:rsidRPr="00651334" w:rsidR="0006540C">
        <w:rPr>
          <w:bCs w:val="0"/>
          <w:szCs w:val="24"/>
        </w:rPr>
        <w:t xml:space="preserve"> (or were the </w:t>
      </w:r>
      <w:r w:rsidRPr="00651334" w:rsidR="000551AB">
        <w:rPr>
          <w:bCs w:val="0"/>
          <w:szCs w:val="24"/>
        </w:rPr>
        <w:t xml:space="preserve">plants </w:t>
      </w:r>
      <w:r w:rsidRPr="00651334" w:rsidR="0006540C">
        <w:rPr>
          <w:bCs w:val="0"/>
          <w:szCs w:val="24"/>
        </w:rPr>
        <w:t>deployed with inadequate regard for minimizing the subsidy cost to consumers)</w:t>
      </w:r>
      <w:r w:rsidRPr="00651334" w:rsidR="006E3B97">
        <w:rPr>
          <w:bCs w:val="0"/>
          <w:szCs w:val="24"/>
        </w:rPr>
        <w:t>.</w:t>
      </w:r>
      <w:r w:rsidRPr="00651334" w:rsidR="00C90A01">
        <w:rPr>
          <w:bCs w:val="0"/>
          <w:szCs w:val="24"/>
        </w:rPr>
        <w:t xml:space="preserve"> </w:t>
      </w:r>
    </w:p>
    <w:p w:rsidR="00F219D1" w:rsidRPr="00651334" w:rsidP="00F219D1" w14:paraId="4196080E" w14:textId="317E8536">
      <w:pPr>
        <w:spacing w:line="480" w:lineRule="auto"/>
        <w:ind w:firstLine="720"/>
        <w:rPr>
          <w:bCs w:val="0"/>
          <w:szCs w:val="24"/>
        </w:rPr>
      </w:pPr>
      <w:r w:rsidRPr="00651334">
        <w:rPr>
          <w:bCs w:val="0"/>
          <w:szCs w:val="24"/>
        </w:rPr>
        <w:t>Accordingly</w:t>
      </w:r>
      <w:r w:rsidRPr="00651334" w:rsidR="006E3B97">
        <w:rPr>
          <w:bCs w:val="0"/>
          <w:szCs w:val="24"/>
        </w:rPr>
        <w:t>, the PUCO should</w:t>
      </w:r>
      <w:r w:rsidRPr="00651334" w:rsidR="00917FAC">
        <w:rPr>
          <w:bCs w:val="0"/>
          <w:szCs w:val="24"/>
        </w:rPr>
        <w:t xml:space="preserve"> grant </w:t>
      </w:r>
      <w:r w:rsidRPr="00651334" w:rsidR="002865C3">
        <w:rPr>
          <w:bCs w:val="0"/>
          <w:szCs w:val="24"/>
        </w:rPr>
        <w:t>this</w:t>
      </w:r>
      <w:r w:rsidRPr="00651334" w:rsidR="00917FAC">
        <w:rPr>
          <w:bCs w:val="0"/>
          <w:szCs w:val="24"/>
        </w:rPr>
        <w:t xml:space="preserve"> motion to</w:t>
      </w:r>
      <w:r w:rsidRPr="00651334" w:rsidR="002865C3">
        <w:rPr>
          <w:bCs w:val="0"/>
          <w:szCs w:val="24"/>
        </w:rPr>
        <w:t xml:space="preserve"> </w:t>
      </w:r>
      <w:r w:rsidRPr="00651334" w:rsidR="00917FAC">
        <w:rPr>
          <w:bCs w:val="0"/>
          <w:szCs w:val="24"/>
        </w:rPr>
        <w:t>investigat</w:t>
      </w:r>
      <w:r w:rsidRPr="00651334" w:rsidR="002865C3">
        <w:rPr>
          <w:bCs w:val="0"/>
          <w:szCs w:val="24"/>
        </w:rPr>
        <w:t>e</w:t>
      </w:r>
      <w:r w:rsidRPr="00651334" w:rsidR="00917FAC">
        <w:rPr>
          <w:bCs w:val="0"/>
          <w:szCs w:val="24"/>
        </w:rPr>
        <w:t xml:space="preserve"> whether to</w:t>
      </w:r>
      <w:r w:rsidRPr="00651334" w:rsidR="006E3B97">
        <w:rPr>
          <w:bCs w:val="0"/>
          <w:szCs w:val="24"/>
        </w:rPr>
        <w:t xml:space="preserve"> disallow costs incurred when the </w:t>
      </w:r>
      <w:r w:rsidRPr="00651334" w:rsidR="00A325C1">
        <w:rPr>
          <w:bCs w:val="0"/>
          <w:szCs w:val="24"/>
        </w:rPr>
        <w:t>variable operating costs</w:t>
      </w:r>
      <w:r w:rsidRPr="00651334" w:rsidR="006E3B97">
        <w:rPr>
          <w:bCs w:val="0"/>
          <w:szCs w:val="24"/>
        </w:rPr>
        <w:t xml:space="preserve"> for the</w:t>
      </w:r>
      <w:r w:rsidRPr="00651334" w:rsidR="005B3D08">
        <w:rPr>
          <w:bCs w:val="0"/>
          <w:szCs w:val="24"/>
        </w:rPr>
        <w:t xml:space="preserve">se coal </w:t>
      </w:r>
      <w:r w:rsidRPr="00651334" w:rsidR="006E3B97">
        <w:rPr>
          <w:bCs w:val="0"/>
          <w:szCs w:val="24"/>
        </w:rPr>
        <w:t>plants exceeded the value of the electricity produced</w:t>
      </w:r>
      <w:r w:rsidRPr="00651334" w:rsidR="00BB6E5D">
        <w:rPr>
          <w:bCs w:val="0"/>
          <w:szCs w:val="24"/>
        </w:rPr>
        <w:t>, among other case issues</w:t>
      </w:r>
      <w:r w:rsidRPr="00651334">
        <w:rPr>
          <w:bCs w:val="0"/>
          <w:szCs w:val="24"/>
        </w:rPr>
        <w:t>.</w:t>
      </w:r>
      <w:r w:rsidRPr="00651334" w:rsidR="00960C02">
        <w:rPr>
          <w:bCs w:val="0"/>
          <w:szCs w:val="24"/>
        </w:rPr>
        <w:t xml:space="preserve"> </w:t>
      </w:r>
      <w:r w:rsidRPr="00651334" w:rsidR="002865C3">
        <w:rPr>
          <w:bCs w:val="0"/>
          <w:szCs w:val="24"/>
        </w:rPr>
        <w:t>The requested</w:t>
      </w:r>
      <w:r w:rsidRPr="00651334" w:rsidR="00BB6E5D">
        <w:rPr>
          <w:bCs w:val="0"/>
          <w:szCs w:val="24"/>
        </w:rPr>
        <w:t xml:space="preserve"> deposition</w:t>
      </w:r>
      <w:r w:rsidRPr="00651334" w:rsidR="00430DCE">
        <w:rPr>
          <w:bCs w:val="0"/>
          <w:szCs w:val="24"/>
        </w:rPr>
        <w:t xml:space="preserve"> will </w:t>
      </w:r>
      <w:r w:rsidRPr="00651334" w:rsidR="00BB6E5D">
        <w:rPr>
          <w:bCs w:val="0"/>
          <w:szCs w:val="24"/>
        </w:rPr>
        <w:t xml:space="preserve">assist </w:t>
      </w:r>
      <w:r w:rsidRPr="00651334" w:rsidR="00430DCE">
        <w:rPr>
          <w:bCs w:val="0"/>
          <w:szCs w:val="24"/>
        </w:rPr>
        <w:t xml:space="preserve">the PUCO to fulfill its </w:t>
      </w:r>
      <w:r w:rsidRPr="00651334" w:rsidR="00725FB4">
        <w:rPr>
          <w:bCs w:val="0"/>
          <w:szCs w:val="24"/>
        </w:rPr>
        <w:t>stated</w:t>
      </w:r>
      <w:r w:rsidRPr="00651334" w:rsidR="00430DCE">
        <w:rPr>
          <w:bCs w:val="0"/>
          <w:szCs w:val="24"/>
        </w:rPr>
        <w:t xml:space="preserve"> intentions for consumer protection regarding the</w:t>
      </w:r>
      <w:r w:rsidRPr="00651334" w:rsidR="005B3D08">
        <w:rPr>
          <w:bCs w:val="0"/>
          <w:szCs w:val="24"/>
        </w:rPr>
        <w:t xml:space="preserve">se </w:t>
      </w:r>
      <w:r w:rsidRPr="00651334" w:rsidR="00430DCE">
        <w:rPr>
          <w:bCs w:val="0"/>
          <w:szCs w:val="24"/>
        </w:rPr>
        <w:t>coal power plants.</w:t>
      </w:r>
    </w:p>
    <w:p w:rsidR="009B41E6" w:rsidRPr="00651334" w:rsidP="00C35FA4" w14:paraId="18D942E9" w14:textId="0A0B0259">
      <w:pPr>
        <w:pStyle w:val="Heading1"/>
        <w:rPr>
          <w:rFonts w:ascii="Times New Roman" w:hAnsi="Times New Roman" w:cs="Times New Roman"/>
          <w:bCs w:val="0"/>
          <w:szCs w:val="24"/>
        </w:rPr>
      </w:pPr>
      <w:bookmarkStart w:id="5" w:name="_Toc66809011"/>
      <w:bookmarkStart w:id="6" w:name="_Toc66827006"/>
      <w:r w:rsidRPr="00651334">
        <w:rPr>
          <w:rFonts w:ascii="Times New Roman" w:hAnsi="Times New Roman" w:cs="Times New Roman"/>
          <w:bCs w:val="0"/>
          <w:szCs w:val="24"/>
        </w:rPr>
        <w:t>II.</w:t>
      </w:r>
      <w:r w:rsidRPr="00651334">
        <w:rPr>
          <w:rFonts w:ascii="Times New Roman" w:hAnsi="Times New Roman" w:cs="Times New Roman"/>
          <w:bCs w:val="0"/>
          <w:szCs w:val="24"/>
        </w:rPr>
        <w:tab/>
      </w:r>
      <w:r w:rsidRPr="00651334" w:rsidR="00416A44">
        <w:rPr>
          <w:rFonts w:ascii="Times New Roman" w:hAnsi="Times New Roman" w:cs="Times New Roman"/>
          <w:bCs w:val="0"/>
          <w:szCs w:val="24"/>
        </w:rPr>
        <w:t>LAW AND ARGUMENT</w:t>
      </w:r>
      <w:bookmarkEnd w:id="5"/>
      <w:bookmarkEnd w:id="6"/>
    </w:p>
    <w:p w:rsidR="00C910CB" w:rsidRPr="00651334" w:rsidP="00C90A01" w14:paraId="77851AAB" w14:textId="158C9F06">
      <w:pPr>
        <w:pStyle w:val="Heading2"/>
        <w:rPr>
          <w:rFonts w:ascii="Times New Roman" w:hAnsi="Times New Roman" w:cs="Times New Roman"/>
        </w:rPr>
      </w:pPr>
      <w:bookmarkStart w:id="7" w:name="_Toc66809012"/>
      <w:bookmarkStart w:id="8" w:name="_Toc66827007"/>
      <w:r w:rsidRPr="00651334">
        <w:rPr>
          <w:rFonts w:ascii="Times New Roman" w:hAnsi="Times New Roman" w:cs="Times New Roman"/>
        </w:rPr>
        <w:t xml:space="preserve">The PUCO should </w:t>
      </w:r>
      <w:r w:rsidRPr="00651334" w:rsidR="000D40A1">
        <w:rPr>
          <w:rFonts w:ascii="Times New Roman" w:hAnsi="Times New Roman" w:cs="Times New Roman"/>
        </w:rPr>
        <w:t xml:space="preserve">grant </w:t>
      </w:r>
      <w:r w:rsidRPr="00651334" w:rsidR="008F041A">
        <w:rPr>
          <w:rFonts w:ascii="Times New Roman" w:hAnsi="Times New Roman" w:cs="Times New Roman"/>
        </w:rPr>
        <w:t>OCC/OMAEG</w:t>
      </w:r>
      <w:r w:rsidRPr="00651334" w:rsidR="00DC020F">
        <w:rPr>
          <w:rFonts w:ascii="Times New Roman" w:hAnsi="Times New Roman" w:cs="Times New Roman"/>
        </w:rPr>
        <w:t>’</w:t>
      </w:r>
      <w:r w:rsidRPr="00651334" w:rsidR="008F041A">
        <w:rPr>
          <w:rFonts w:ascii="Times New Roman" w:hAnsi="Times New Roman" w:cs="Times New Roman"/>
        </w:rPr>
        <w:t>s</w:t>
      </w:r>
      <w:r w:rsidRPr="00651334" w:rsidR="000D40A1">
        <w:rPr>
          <w:rFonts w:ascii="Times New Roman" w:hAnsi="Times New Roman" w:cs="Times New Roman"/>
        </w:rPr>
        <w:t xml:space="preserve"> request for a waiver</w:t>
      </w:r>
      <w:r w:rsidRPr="00651334" w:rsidR="00F42A1A">
        <w:rPr>
          <w:rFonts w:ascii="Times New Roman" w:hAnsi="Times New Roman" w:cs="Times New Roman"/>
        </w:rPr>
        <w:t xml:space="preserve"> (if needed)</w:t>
      </w:r>
      <w:r w:rsidRPr="00651334" w:rsidR="000D40A1">
        <w:rPr>
          <w:rFonts w:ascii="Times New Roman" w:hAnsi="Times New Roman" w:cs="Times New Roman"/>
        </w:rPr>
        <w:t xml:space="preserve"> of</w:t>
      </w:r>
      <w:r w:rsidRPr="00651334">
        <w:rPr>
          <w:rFonts w:ascii="Times New Roman" w:hAnsi="Times New Roman" w:cs="Times New Roman"/>
        </w:rPr>
        <w:t xml:space="preserve"> the PUCO rule </w:t>
      </w:r>
      <w:r w:rsidRPr="00651334" w:rsidR="00725FB4">
        <w:rPr>
          <w:rFonts w:ascii="Times New Roman" w:hAnsi="Times New Roman" w:cs="Times New Roman"/>
        </w:rPr>
        <w:t>regarding PUCO Staff</w:t>
      </w:r>
      <w:r w:rsidRPr="00651334">
        <w:rPr>
          <w:rFonts w:ascii="Times New Roman" w:hAnsi="Times New Roman" w:cs="Times New Roman"/>
        </w:rPr>
        <w:t xml:space="preserve"> depositions, to allow a deposition of PUCO </w:t>
      </w:r>
      <w:r w:rsidRPr="00651334" w:rsidR="000E1A1F">
        <w:rPr>
          <w:rFonts w:ascii="Times New Roman" w:hAnsi="Times New Roman" w:cs="Times New Roman"/>
        </w:rPr>
        <w:t>a</w:t>
      </w:r>
      <w:r w:rsidRPr="00651334">
        <w:rPr>
          <w:rFonts w:ascii="Times New Roman" w:hAnsi="Times New Roman" w:cs="Times New Roman"/>
        </w:rPr>
        <w:t xml:space="preserve">uditor </w:t>
      </w:r>
      <w:r w:rsidRPr="00651334" w:rsidR="00097A34">
        <w:rPr>
          <w:rFonts w:ascii="Times New Roman" w:hAnsi="Times New Roman" w:cs="Times New Roman"/>
        </w:rPr>
        <w:t>Vantage Energy Consulting</w:t>
      </w:r>
      <w:r w:rsidRPr="00651334">
        <w:rPr>
          <w:rFonts w:ascii="Times New Roman" w:hAnsi="Times New Roman" w:cs="Times New Roman"/>
        </w:rPr>
        <w:t xml:space="preserve"> in the </w:t>
      </w:r>
      <w:r w:rsidRPr="00651334" w:rsidR="00097A34">
        <w:rPr>
          <w:rFonts w:ascii="Times New Roman" w:hAnsi="Times New Roman" w:cs="Times New Roman"/>
        </w:rPr>
        <w:t>DP&amp;L</w:t>
      </w:r>
      <w:r w:rsidRPr="00651334">
        <w:rPr>
          <w:rFonts w:ascii="Times New Roman" w:hAnsi="Times New Roman" w:cs="Times New Roman"/>
        </w:rPr>
        <w:t xml:space="preserve"> (OVEC) coal power plant case</w:t>
      </w:r>
      <w:r w:rsidRPr="00651334" w:rsidR="00725FB4">
        <w:rPr>
          <w:rFonts w:ascii="Times New Roman" w:hAnsi="Times New Roman" w:cs="Times New Roman"/>
        </w:rPr>
        <w:t>.</w:t>
      </w:r>
      <w:bookmarkEnd w:id="7"/>
      <w:bookmarkEnd w:id="8"/>
    </w:p>
    <w:p w:rsidR="005944FB" w:rsidRPr="00651334" w:rsidP="000D1C5E" w14:paraId="3FDDFFB5" w14:textId="2716CFD0">
      <w:pPr>
        <w:spacing w:line="480" w:lineRule="auto"/>
        <w:ind w:firstLine="720"/>
        <w:rPr>
          <w:szCs w:val="24"/>
        </w:rPr>
      </w:pPr>
      <w:r w:rsidRPr="00651334">
        <w:rPr>
          <w:szCs w:val="24"/>
        </w:rPr>
        <w:t xml:space="preserve">The PUCO ordered “that </w:t>
      </w:r>
      <w:r w:rsidRPr="00651334">
        <w:rPr>
          <w:i/>
          <w:szCs w:val="24"/>
        </w:rPr>
        <w:t>any</w:t>
      </w:r>
      <w:r w:rsidRPr="00651334">
        <w:rPr>
          <w:szCs w:val="24"/>
        </w:rPr>
        <w:t xml:space="preserve"> conclusions, results, or recommendations formulated by the auditor may be examined by </w:t>
      </w:r>
      <w:r w:rsidRPr="00651334">
        <w:rPr>
          <w:i/>
          <w:szCs w:val="24"/>
        </w:rPr>
        <w:t xml:space="preserve">any </w:t>
      </w:r>
      <w:r w:rsidRPr="00651334">
        <w:rPr>
          <w:szCs w:val="24"/>
        </w:rPr>
        <w:t>participant to this proceeding.”</w:t>
      </w:r>
      <w:r>
        <w:rPr>
          <w:rStyle w:val="FootnoteReference"/>
          <w:szCs w:val="24"/>
        </w:rPr>
        <w:footnoteReference w:id="17"/>
      </w:r>
      <w:r w:rsidRPr="00651334" w:rsidR="00C90A01">
        <w:rPr>
          <w:szCs w:val="24"/>
        </w:rPr>
        <w:t xml:space="preserve"> </w:t>
      </w:r>
      <w:r w:rsidRPr="00651334">
        <w:rPr>
          <w:szCs w:val="24"/>
        </w:rPr>
        <w:t>The PUCO should uphold its order and allow the auditor</w:t>
      </w:r>
      <w:r w:rsidRPr="00651334" w:rsidR="004E6490">
        <w:rPr>
          <w:szCs w:val="24"/>
        </w:rPr>
        <w:t xml:space="preserve"> </w:t>
      </w:r>
      <w:r w:rsidRPr="00651334" w:rsidR="00725FB4">
        <w:rPr>
          <w:szCs w:val="24"/>
        </w:rPr>
        <w:t>to be fully deposed</w:t>
      </w:r>
      <w:r w:rsidRPr="00651334" w:rsidR="00B136F6">
        <w:rPr>
          <w:szCs w:val="24"/>
        </w:rPr>
        <w:t>.</w:t>
      </w:r>
      <w:r w:rsidRPr="00651334" w:rsidR="00D31889">
        <w:rPr>
          <w:szCs w:val="24"/>
        </w:rPr>
        <w:t xml:space="preserve"> </w:t>
      </w:r>
      <w:r w:rsidRPr="00651334" w:rsidR="00725FB4">
        <w:rPr>
          <w:szCs w:val="24"/>
        </w:rPr>
        <w:t>Although OCC/OMAEG</w:t>
      </w:r>
      <w:r w:rsidRPr="00651334" w:rsidR="00D31889">
        <w:rPr>
          <w:szCs w:val="24"/>
        </w:rPr>
        <w:t xml:space="preserve"> do not concede that auditor</w:t>
      </w:r>
      <w:r w:rsidRPr="00651334" w:rsidR="00B136F6">
        <w:rPr>
          <w:szCs w:val="24"/>
        </w:rPr>
        <w:t xml:space="preserve"> is</w:t>
      </w:r>
      <w:r w:rsidRPr="00651334" w:rsidR="00D31889">
        <w:rPr>
          <w:szCs w:val="24"/>
        </w:rPr>
        <w:t xml:space="preserve"> shielded by this rule</w:t>
      </w:r>
      <w:r w:rsidRPr="00651334" w:rsidR="00725FB4">
        <w:rPr>
          <w:szCs w:val="24"/>
        </w:rPr>
        <w:t>, to the extent necessary, a waiver of Ohio Admin. Code 4901-1-16(I) is hereby requested</w:t>
      </w:r>
      <w:r w:rsidRPr="00651334" w:rsidR="00D31889">
        <w:rPr>
          <w:szCs w:val="24"/>
        </w:rPr>
        <w:t>.</w:t>
      </w:r>
      <w:r w:rsidRPr="00651334" w:rsidR="002D2FD9">
        <w:rPr>
          <w:szCs w:val="24"/>
        </w:rPr>
        <w:t xml:space="preserve"> </w:t>
      </w:r>
    </w:p>
    <w:p w:rsidR="002932B7" w:rsidRPr="00651334" w:rsidP="000D1C5E" w14:paraId="02F08D37" w14:textId="525A0315">
      <w:pPr>
        <w:spacing w:line="480" w:lineRule="auto"/>
        <w:ind w:firstLine="720"/>
        <w:rPr>
          <w:szCs w:val="24"/>
        </w:rPr>
      </w:pPr>
      <w:r w:rsidRPr="00651334">
        <w:rPr>
          <w:szCs w:val="24"/>
        </w:rPr>
        <w:t>The PUCO should note that</w:t>
      </w:r>
      <w:r w:rsidRPr="00651334" w:rsidR="005944FB">
        <w:rPr>
          <w:szCs w:val="24"/>
        </w:rPr>
        <w:t xml:space="preserve"> </w:t>
      </w:r>
      <w:r w:rsidRPr="00651334" w:rsidR="002D2FD9">
        <w:rPr>
          <w:szCs w:val="24"/>
        </w:rPr>
        <w:t>Ohio Admin. Code 4901-1-38(B) allows for waivers of rules, including “upon a motion filed by a party…</w:t>
      </w:r>
      <w:r w:rsidRPr="00651334" w:rsidR="0027499C">
        <w:rPr>
          <w:szCs w:val="24"/>
        </w:rPr>
        <w:t>for good cause shown….</w:t>
      </w:r>
      <w:r w:rsidRPr="00651334" w:rsidR="002D2FD9">
        <w:rPr>
          <w:szCs w:val="24"/>
        </w:rPr>
        <w:t>”</w:t>
      </w:r>
      <w:r w:rsidRPr="00651334" w:rsidR="00C90A01">
        <w:rPr>
          <w:szCs w:val="24"/>
        </w:rPr>
        <w:t xml:space="preserve"> </w:t>
      </w:r>
      <w:r w:rsidRPr="00651334" w:rsidR="00D31889">
        <w:rPr>
          <w:szCs w:val="24"/>
        </w:rPr>
        <w:t>There is good cause for waiving Rule 16(I),</w:t>
      </w:r>
      <w:r w:rsidRPr="00651334" w:rsidR="00D571CC">
        <w:rPr>
          <w:szCs w:val="24"/>
        </w:rPr>
        <w:t xml:space="preserve"> if that is needed,</w:t>
      </w:r>
      <w:r w:rsidRPr="00651334" w:rsidR="00D31889">
        <w:rPr>
          <w:szCs w:val="24"/>
        </w:rPr>
        <w:t xml:space="preserve"> and ordering the deposition of the </w:t>
      </w:r>
      <w:r w:rsidRPr="00651334" w:rsidR="000E1A1F">
        <w:rPr>
          <w:szCs w:val="24"/>
        </w:rPr>
        <w:t>a</w:t>
      </w:r>
      <w:r w:rsidRPr="00651334" w:rsidR="00D31889">
        <w:rPr>
          <w:szCs w:val="24"/>
        </w:rPr>
        <w:t xml:space="preserve">uditor. </w:t>
      </w:r>
    </w:p>
    <w:p w:rsidR="007418CA" w:rsidRPr="00651334" w:rsidP="000D1C5E" w14:paraId="1FEA2E19" w14:textId="15DD17AC">
      <w:pPr>
        <w:spacing w:line="480" w:lineRule="auto"/>
        <w:ind w:firstLine="720"/>
        <w:rPr>
          <w:szCs w:val="24"/>
        </w:rPr>
      </w:pPr>
      <w:r w:rsidRPr="00651334">
        <w:rPr>
          <w:szCs w:val="24"/>
        </w:rPr>
        <w:t xml:space="preserve">Depositions are </w:t>
      </w:r>
      <w:r w:rsidRPr="00651334" w:rsidR="002932B7">
        <w:rPr>
          <w:szCs w:val="24"/>
        </w:rPr>
        <w:t xml:space="preserve">a discovery tool used in </w:t>
      </w:r>
      <w:r w:rsidRPr="00651334">
        <w:rPr>
          <w:szCs w:val="24"/>
        </w:rPr>
        <w:t xml:space="preserve">PUCO proceedings where a witness provides information under oath that </w:t>
      </w:r>
      <w:r w:rsidRPr="00651334" w:rsidR="002932B7">
        <w:rPr>
          <w:szCs w:val="24"/>
        </w:rPr>
        <w:t xml:space="preserve">may be </w:t>
      </w:r>
      <w:r w:rsidRPr="00651334">
        <w:rPr>
          <w:szCs w:val="24"/>
        </w:rPr>
        <w:t>admissible in evidence.</w:t>
      </w:r>
      <w:r>
        <w:rPr>
          <w:rStyle w:val="FootnoteReference"/>
          <w:szCs w:val="24"/>
        </w:rPr>
        <w:footnoteReference w:id="18"/>
      </w:r>
      <w:r w:rsidRPr="00651334" w:rsidR="00C90A01">
        <w:rPr>
          <w:szCs w:val="24"/>
        </w:rPr>
        <w:t xml:space="preserve"> </w:t>
      </w:r>
      <w:r w:rsidRPr="00651334" w:rsidR="002932B7">
        <w:rPr>
          <w:szCs w:val="24"/>
        </w:rPr>
        <w:t>Many times parties use this tool</w:t>
      </w:r>
      <w:r w:rsidRPr="00651334">
        <w:rPr>
          <w:szCs w:val="24"/>
        </w:rPr>
        <w:t xml:space="preserve"> to </w:t>
      </w:r>
      <w:r w:rsidRPr="00651334" w:rsidR="002932B7">
        <w:rPr>
          <w:szCs w:val="24"/>
        </w:rPr>
        <w:t>preview the examination of</w:t>
      </w:r>
      <w:r w:rsidRPr="00651334">
        <w:rPr>
          <w:szCs w:val="24"/>
        </w:rPr>
        <w:t xml:space="preserve"> a witness who will present testimony at the hearing.</w:t>
      </w:r>
      <w:r w:rsidRPr="00651334" w:rsidR="00C90A01">
        <w:rPr>
          <w:szCs w:val="24"/>
        </w:rPr>
        <w:t xml:space="preserve"> </w:t>
      </w:r>
    </w:p>
    <w:p w:rsidR="00C910CB" w:rsidRPr="00651334" w:rsidP="000D1C5E" w14:paraId="1E355F68" w14:textId="5DDCDF92">
      <w:pPr>
        <w:spacing w:line="480" w:lineRule="auto"/>
        <w:ind w:firstLine="720"/>
        <w:rPr>
          <w:szCs w:val="24"/>
        </w:rPr>
      </w:pPr>
      <w:r w:rsidRPr="00651334">
        <w:rPr>
          <w:szCs w:val="24"/>
        </w:rPr>
        <w:t>London</w:t>
      </w:r>
      <w:r w:rsidRPr="00651334" w:rsidR="000551AB">
        <w:rPr>
          <w:szCs w:val="24"/>
        </w:rPr>
        <w:t xml:space="preserve"> Economics</w:t>
      </w:r>
      <w:r w:rsidRPr="00651334">
        <w:rPr>
          <w:szCs w:val="24"/>
        </w:rPr>
        <w:t>, the</w:t>
      </w:r>
      <w:r w:rsidRPr="00651334" w:rsidR="00FE0EDD">
        <w:rPr>
          <w:szCs w:val="24"/>
        </w:rPr>
        <w:t xml:space="preserve"> </w:t>
      </w:r>
      <w:r w:rsidRPr="00651334" w:rsidR="000E1A1F">
        <w:rPr>
          <w:szCs w:val="24"/>
        </w:rPr>
        <w:t>a</w:t>
      </w:r>
      <w:r w:rsidRPr="00651334" w:rsidR="00FE0EDD">
        <w:rPr>
          <w:szCs w:val="24"/>
        </w:rPr>
        <w:t>uditor</w:t>
      </w:r>
      <w:r w:rsidRPr="00651334" w:rsidR="00B136F6">
        <w:rPr>
          <w:szCs w:val="24"/>
        </w:rPr>
        <w:t xml:space="preserve"> of AEP and Duke</w:t>
      </w:r>
      <w:r w:rsidRPr="00651334">
        <w:rPr>
          <w:szCs w:val="24"/>
        </w:rPr>
        <w:t>,</w:t>
      </w:r>
      <w:r w:rsidRPr="00651334" w:rsidR="00FE0EDD">
        <w:rPr>
          <w:szCs w:val="24"/>
        </w:rPr>
        <w:t xml:space="preserve"> noted that the </w:t>
      </w:r>
      <w:r w:rsidRPr="00651334" w:rsidR="00BC09C0">
        <w:rPr>
          <w:szCs w:val="24"/>
        </w:rPr>
        <w:t>coal</w:t>
      </w:r>
      <w:r w:rsidRPr="00651334" w:rsidR="00FE0EDD">
        <w:rPr>
          <w:szCs w:val="24"/>
        </w:rPr>
        <w:t xml:space="preserve"> plants operated for lengthy periods of time when the plants’ variable operating costs exceeded the market price of the energy produced.</w:t>
      </w:r>
      <w:r>
        <w:rPr>
          <w:rStyle w:val="FootnoteReference"/>
          <w:szCs w:val="24"/>
        </w:rPr>
        <w:footnoteReference w:id="19"/>
      </w:r>
      <w:r w:rsidRPr="00651334" w:rsidR="00C90A01">
        <w:rPr>
          <w:szCs w:val="24"/>
        </w:rPr>
        <w:t xml:space="preserve"> </w:t>
      </w:r>
      <w:r w:rsidRPr="00651334" w:rsidR="00FE0EDD">
        <w:rPr>
          <w:szCs w:val="24"/>
        </w:rPr>
        <w:t xml:space="preserve">The PUCO </w:t>
      </w:r>
      <w:r w:rsidRPr="00651334" w:rsidR="000E1A1F">
        <w:rPr>
          <w:szCs w:val="24"/>
        </w:rPr>
        <w:t>a</w:t>
      </w:r>
      <w:r w:rsidRPr="00651334" w:rsidR="00FE0EDD">
        <w:rPr>
          <w:szCs w:val="24"/>
        </w:rPr>
        <w:t xml:space="preserve">uditor also </w:t>
      </w:r>
      <w:r w:rsidRPr="00651334" w:rsidR="00BE6526">
        <w:rPr>
          <w:szCs w:val="24"/>
        </w:rPr>
        <w:t>recommended:</w:t>
      </w:r>
    </w:p>
    <w:p w:rsidR="00BE6526" w:rsidRPr="00651334" w:rsidP="00BE6526" w14:paraId="523136CC" w14:textId="6C1A80F0">
      <w:pPr>
        <w:ind w:left="1440" w:right="1440"/>
        <w:rPr>
          <w:szCs w:val="24"/>
        </w:rPr>
      </w:pPr>
      <w:r w:rsidRPr="00651334">
        <w:rPr>
          <w:b/>
          <w:bCs w:val="0"/>
          <w:szCs w:val="24"/>
        </w:rPr>
        <w:t xml:space="preserve">Must-run offer strategy: </w:t>
      </w:r>
      <w:r w:rsidRPr="00651334">
        <w:rPr>
          <w:szCs w:val="24"/>
        </w:rPr>
        <w:t>LEI recommends that OVEC carefully consider when and whether the must-run offer strategy is optimal, as it appears that in some month, it may result in negative energy earnings for the plants.</w:t>
      </w:r>
      <w:r w:rsidRPr="00651334" w:rsidR="00C90A01">
        <w:rPr>
          <w:szCs w:val="24"/>
        </w:rPr>
        <w:t xml:space="preserve"> </w:t>
      </w:r>
      <w:r w:rsidRPr="00651334">
        <w:rPr>
          <w:szCs w:val="24"/>
        </w:rPr>
        <w:t>Weekly demand and price outlooks can be utilized, for example, to determine whether and how to offer generation during a given block of time, considering start-up costs and other factors.</w:t>
      </w:r>
      <w:r>
        <w:rPr>
          <w:rStyle w:val="FootnoteReference"/>
          <w:szCs w:val="24"/>
        </w:rPr>
        <w:footnoteReference w:id="20"/>
      </w:r>
    </w:p>
    <w:p w:rsidR="00BE6526" w:rsidRPr="00651334" w:rsidP="00BE6526" w14:paraId="7A3E6F00" w14:textId="48355AEB">
      <w:pPr>
        <w:ind w:left="1440" w:right="1440"/>
        <w:rPr>
          <w:szCs w:val="24"/>
        </w:rPr>
      </w:pPr>
    </w:p>
    <w:p w:rsidR="00A361C5" w:rsidRPr="00651334" w:rsidP="00BE6526" w14:paraId="386F1F6A" w14:textId="792C74C3">
      <w:pPr>
        <w:spacing w:line="480" w:lineRule="auto"/>
        <w:rPr>
          <w:szCs w:val="24"/>
        </w:rPr>
      </w:pPr>
      <w:r w:rsidRPr="00651334">
        <w:rPr>
          <w:szCs w:val="24"/>
        </w:rPr>
        <w:t>T</w:t>
      </w:r>
      <w:r w:rsidRPr="00651334" w:rsidR="00BE6526">
        <w:rPr>
          <w:szCs w:val="24"/>
        </w:rPr>
        <w:t xml:space="preserve">he </w:t>
      </w:r>
      <w:r w:rsidRPr="00651334" w:rsidR="000E1A1F">
        <w:rPr>
          <w:szCs w:val="24"/>
        </w:rPr>
        <w:t>a</w:t>
      </w:r>
      <w:r w:rsidRPr="00651334" w:rsidR="00BE6526">
        <w:rPr>
          <w:szCs w:val="24"/>
        </w:rPr>
        <w:t>uditor</w:t>
      </w:r>
      <w:r w:rsidRPr="00651334" w:rsidR="005944FB">
        <w:rPr>
          <w:szCs w:val="24"/>
        </w:rPr>
        <w:t xml:space="preserve"> (London</w:t>
      </w:r>
      <w:r w:rsidRPr="00651334" w:rsidR="000551AB">
        <w:rPr>
          <w:szCs w:val="24"/>
        </w:rPr>
        <w:t xml:space="preserve"> Economics</w:t>
      </w:r>
      <w:r w:rsidRPr="00651334" w:rsidR="005944FB">
        <w:rPr>
          <w:szCs w:val="24"/>
        </w:rPr>
        <w:t>)</w:t>
      </w:r>
      <w:r w:rsidRPr="00651334" w:rsidR="00BE6526">
        <w:rPr>
          <w:szCs w:val="24"/>
        </w:rPr>
        <w:t xml:space="preserve"> noted this flaw in the must-run offer strategy</w:t>
      </w:r>
      <w:r w:rsidRPr="00651334">
        <w:rPr>
          <w:szCs w:val="24"/>
        </w:rPr>
        <w:t>.</w:t>
      </w:r>
      <w:r w:rsidRPr="00651334" w:rsidR="00BE6526">
        <w:rPr>
          <w:szCs w:val="24"/>
        </w:rPr>
        <w:t xml:space="preserve"> </w:t>
      </w:r>
    </w:p>
    <w:p w:rsidR="007418CA" w:rsidRPr="00651334" w:rsidP="00E05E4F" w14:paraId="1EE56771" w14:textId="2581A2B2">
      <w:pPr>
        <w:spacing w:line="480" w:lineRule="auto"/>
        <w:ind w:firstLine="720"/>
        <w:rPr>
          <w:szCs w:val="24"/>
        </w:rPr>
      </w:pPr>
      <w:r w:rsidRPr="00651334">
        <w:rPr>
          <w:szCs w:val="24"/>
        </w:rPr>
        <w:t>A</w:t>
      </w:r>
      <w:r w:rsidRPr="00651334" w:rsidR="007D4800">
        <w:rPr>
          <w:szCs w:val="24"/>
        </w:rPr>
        <w:t>gain</w:t>
      </w:r>
      <w:r w:rsidRPr="00651334">
        <w:rPr>
          <w:szCs w:val="24"/>
        </w:rPr>
        <w:t>, it is important to note</w:t>
      </w:r>
      <w:r w:rsidRPr="00651334" w:rsidR="007D4800">
        <w:rPr>
          <w:szCs w:val="24"/>
        </w:rPr>
        <w:t xml:space="preserve"> </w:t>
      </w:r>
      <w:r w:rsidRPr="00651334" w:rsidR="009A516D">
        <w:rPr>
          <w:szCs w:val="24"/>
        </w:rPr>
        <w:t>that the</w:t>
      </w:r>
      <w:r w:rsidRPr="00651334" w:rsidR="002E14B0">
        <w:rPr>
          <w:szCs w:val="24"/>
        </w:rPr>
        <w:t xml:space="preserve"> PUCO </w:t>
      </w:r>
      <w:r w:rsidRPr="00651334">
        <w:rPr>
          <w:szCs w:val="24"/>
        </w:rPr>
        <w:t>previously stated</w:t>
      </w:r>
      <w:r w:rsidRPr="00651334" w:rsidR="002E14B0">
        <w:rPr>
          <w:szCs w:val="24"/>
        </w:rPr>
        <w:t xml:space="preserve"> that </w:t>
      </w:r>
      <w:r w:rsidRPr="00651334" w:rsidR="009A516D">
        <w:rPr>
          <w:szCs w:val="24"/>
        </w:rPr>
        <w:t>a competitive</w:t>
      </w:r>
      <w:r w:rsidRPr="00651334" w:rsidR="002E14B0">
        <w:rPr>
          <w:szCs w:val="24"/>
        </w:rPr>
        <w:t xml:space="preserve"> standard </w:t>
      </w:r>
      <w:r w:rsidRPr="00651334" w:rsidR="009A516D">
        <w:rPr>
          <w:szCs w:val="24"/>
        </w:rPr>
        <w:t xml:space="preserve">is what </w:t>
      </w:r>
      <w:r w:rsidRPr="00651334" w:rsidR="002E14B0">
        <w:rPr>
          <w:szCs w:val="24"/>
        </w:rPr>
        <w:t xml:space="preserve">it would follow in determining whether it would allow the utilities to </w:t>
      </w:r>
      <w:r w:rsidRPr="00651334" w:rsidR="00BC09C0">
        <w:rPr>
          <w:szCs w:val="24"/>
        </w:rPr>
        <w:t xml:space="preserve">charge </w:t>
      </w:r>
      <w:r w:rsidRPr="00651334" w:rsidR="000B1D1F">
        <w:rPr>
          <w:szCs w:val="24"/>
        </w:rPr>
        <w:t>consumers for the</w:t>
      </w:r>
      <w:r w:rsidRPr="00651334" w:rsidR="002E14B0">
        <w:rPr>
          <w:szCs w:val="24"/>
        </w:rPr>
        <w:t xml:space="preserve"> costs</w:t>
      </w:r>
      <w:r w:rsidRPr="00651334" w:rsidR="00BC09C0">
        <w:rPr>
          <w:szCs w:val="24"/>
        </w:rPr>
        <w:t xml:space="preserve"> for these coal plants</w:t>
      </w:r>
      <w:r w:rsidRPr="00651334" w:rsidR="002E14B0">
        <w:rPr>
          <w:szCs w:val="24"/>
        </w:rPr>
        <w:t>.</w:t>
      </w:r>
      <w:r>
        <w:rPr>
          <w:rStyle w:val="FootnoteReference"/>
          <w:szCs w:val="24"/>
        </w:rPr>
        <w:footnoteReference w:id="21"/>
      </w:r>
      <w:r w:rsidRPr="00651334" w:rsidR="00C90A01">
        <w:rPr>
          <w:szCs w:val="24"/>
        </w:rPr>
        <w:t xml:space="preserve"> </w:t>
      </w:r>
      <w:r w:rsidRPr="00651334">
        <w:rPr>
          <w:szCs w:val="24"/>
        </w:rPr>
        <w:t>T</w:t>
      </w:r>
      <w:r w:rsidRPr="00651334" w:rsidR="002E14B0">
        <w:rPr>
          <w:szCs w:val="24"/>
        </w:rPr>
        <w:t xml:space="preserve">he PUCO ordered “that </w:t>
      </w:r>
      <w:r w:rsidRPr="00651334" w:rsidR="002E14B0">
        <w:rPr>
          <w:i/>
          <w:szCs w:val="24"/>
        </w:rPr>
        <w:t>any</w:t>
      </w:r>
      <w:r w:rsidRPr="00651334" w:rsidR="002E14B0">
        <w:rPr>
          <w:szCs w:val="24"/>
        </w:rPr>
        <w:t xml:space="preserve"> conclusions, results, or recommendations formulated by the auditor may be examined by </w:t>
      </w:r>
      <w:r w:rsidRPr="00651334" w:rsidR="002E14B0">
        <w:rPr>
          <w:i/>
          <w:szCs w:val="24"/>
        </w:rPr>
        <w:t xml:space="preserve">any </w:t>
      </w:r>
      <w:r w:rsidRPr="00651334" w:rsidR="002E14B0">
        <w:rPr>
          <w:szCs w:val="24"/>
        </w:rPr>
        <w:t>participant to this proceeding.”</w:t>
      </w:r>
      <w:r>
        <w:rPr>
          <w:rStyle w:val="FootnoteReference"/>
          <w:szCs w:val="24"/>
        </w:rPr>
        <w:footnoteReference w:id="22"/>
      </w:r>
      <w:r w:rsidRPr="00651334" w:rsidR="00C90A01">
        <w:rPr>
          <w:szCs w:val="24"/>
        </w:rPr>
        <w:t xml:space="preserve"> </w:t>
      </w:r>
      <w:r w:rsidRPr="00651334" w:rsidR="004E517B">
        <w:rPr>
          <w:szCs w:val="24"/>
        </w:rPr>
        <w:t xml:space="preserve">The </w:t>
      </w:r>
      <w:r w:rsidRPr="00651334" w:rsidR="000E1A1F">
        <w:rPr>
          <w:szCs w:val="24"/>
        </w:rPr>
        <w:t>a</w:t>
      </w:r>
      <w:r w:rsidRPr="00651334" w:rsidR="004E517B">
        <w:rPr>
          <w:szCs w:val="24"/>
        </w:rPr>
        <w:t>uditor should be made available promptly for a</w:t>
      </w:r>
      <w:r w:rsidRPr="00651334" w:rsidR="004F6201">
        <w:rPr>
          <w:szCs w:val="24"/>
        </w:rPr>
        <w:t xml:space="preserve"> deposition</w:t>
      </w:r>
      <w:r w:rsidRPr="00651334" w:rsidR="004E517B">
        <w:rPr>
          <w:szCs w:val="24"/>
        </w:rPr>
        <w:t>.</w:t>
      </w:r>
    </w:p>
    <w:p w:rsidR="00CD7F51" w:rsidRPr="00651334" w:rsidP="000551AB" w14:paraId="46C07889" w14:textId="58B9E974">
      <w:pPr>
        <w:spacing w:line="480" w:lineRule="auto"/>
        <w:ind w:firstLine="720"/>
        <w:rPr>
          <w:bCs w:val="0"/>
          <w:szCs w:val="24"/>
        </w:rPr>
      </w:pPr>
      <w:r w:rsidRPr="00651334">
        <w:rPr>
          <w:szCs w:val="24"/>
        </w:rPr>
        <w:t xml:space="preserve">Under R.C. 4903.082, parties must </w:t>
      </w:r>
      <w:r w:rsidRPr="00651334" w:rsidR="00CA2645">
        <w:rPr>
          <w:szCs w:val="24"/>
        </w:rPr>
        <w:t xml:space="preserve">be given </w:t>
      </w:r>
      <w:r w:rsidRPr="00651334">
        <w:rPr>
          <w:szCs w:val="24"/>
        </w:rPr>
        <w:t>ample rights to discovery.</w:t>
      </w:r>
      <w:r w:rsidRPr="00651334" w:rsidR="00C90A01">
        <w:rPr>
          <w:szCs w:val="24"/>
        </w:rPr>
        <w:t xml:space="preserve"> </w:t>
      </w:r>
      <w:r w:rsidRPr="00651334">
        <w:rPr>
          <w:szCs w:val="24"/>
        </w:rPr>
        <w:t xml:space="preserve">The issue of whether the </w:t>
      </w:r>
      <w:r w:rsidRPr="00651334" w:rsidR="000B1D1F">
        <w:rPr>
          <w:szCs w:val="24"/>
        </w:rPr>
        <w:t>coal</w:t>
      </w:r>
      <w:r w:rsidRPr="00651334">
        <w:rPr>
          <w:szCs w:val="24"/>
        </w:rPr>
        <w:t xml:space="preserve"> plants were committed in the same way a competitive generator would have committed the plants is </w:t>
      </w:r>
      <w:r w:rsidRPr="00651334" w:rsidR="00465FE5">
        <w:rPr>
          <w:szCs w:val="24"/>
        </w:rPr>
        <w:t>a</w:t>
      </w:r>
      <w:r w:rsidRPr="00651334">
        <w:rPr>
          <w:szCs w:val="24"/>
        </w:rPr>
        <w:t xml:space="preserve"> critical issue in the case</w:t>
      </w:r>
      <w:r w:rsidRPr="00651334" w:rsidR="00465FE5">
        <w:rPr>
          <w:szCs w:val="24"/>
        </w:rPr>
        <w:t xml:space="preserve">s, per the PUCO’s </w:t>
      </w:r>
      <w:r w:rsidRPr="00651334" w:rsidR="00725FB4">
        <w:rPr>
          <w:szCs w:val="24"/>
        </w:rPr>
        <w:t>precedent</w:t>
      </w:r>
      <w:r w:rsidRPr="00651334" w:rsidR="00A96A7F">
        <w:rPr>
          <w:szCs w:val="24"/>
        </w:rPr>
        <w:t xml:space="preserve">. </w:t>
      </w:r>
      <w:r w:rsidRPr="00651334">
        <w:rPr>
          <w:szCs w:val="24"/>
        </w:rPr>
        <w:t xml:space="preserve">OCC and OMAEG need to depose the </w:t>
      </w:r>
      <w:r w:rsidRPr="00651334" w:rsidR="000E1A1F">
        <w:rPr>
          <w:szCs w:val="24"/>
        </w:rPr>
        <w:t>a</w:t>
      </w:r>
      <w:r w:rsidRPr="00651334">
        <w:rPr>
          <w:szCs w:val="24"/>
        </w:rPr>
        <w:t>uditor on th</w:t>
      </w:r>
      <w:r w:rsidRPr="00651334" w:rsidR="00A96A7F">
        <w:rPr>
          <w:szCs w:val="24"/>
        </w:rPr>
        <w:t>ese</w:t>
      </w:r>
      <w:r w:rsidRPr="00651334">
        <w:rPr>
          <w:szCs w:val="24"/>
        </w:rPr>
        <w:t xml:space="preserve"> point</w:t>
      </w:r>
      <w:r w:rsidRPr="00651334" w:rsidR="00A96A7F">
        <w:rPr>
          <w:szCs w:val="24"/>
        </w:rPr>
        <w:t>s</w:t>
      </w:r>
      <w:r w:rsidRPr="00651334">
        <w:rPr>
          <w:szCs w:val="24"/>
        </w:rPr>
        <w:t xml:space="preserve"> in order to </w:t>
      </w:r>
      <w:r w:rsidRPr="00651334" w:rsidR="009A6405">
        <w:rPr>
          <w:szCs w:val="24"/>
        </w:rPr>
        <w:t>have</w:t>
      </w:r>
      <w:r w:rsidRPr="00651334">
        <w:rPr>
          <w:szCs w:val="24"/>
        </w:rPr>
        <w:t xml:space="preserve"> ample discovery to prepare for the hearing</w:t>
      </w:r>
      <w:r w:rsidRPr="00651334" w:rsidR="00465FE5">
        <w:rPr>
          <w:szCs w:val="24"/>
        </w:rPr>
        <w:t xml:space="preserve"> and provide evidence to the PUCO</w:t>
      </w:r>
      <w:r w:rsidRPr="00651334">
        <w:rPr>
          <w:szCs w:val="24"/>
        </w:rPr>
        <w:t>.</w:t>
      </w:r>
      <w:r w:rsidRPr="00651334" w:rsidR="00C90A01">
        <w:rPr>
          <w:szCs w:val="24"/>
        </w:rPr>
        <w:t xml:space="preserve"> </w:t>
      </w:r>
      <w:r w:rsidRPr="00651334" w:rsidR="009A6405">
        <w:rPr>
          <w:szCs w:val="24"/>
        </w:rPr>
        <w:t xml:space="preserve">Based on </w:t>
      </w:r>
      <w:r w:rsidRPr="00651334" w:rsidR="00A96A7F">
        <w:rPr>
          <w:szCs w:val="24"/>
        </w:rPr>
        <w:t>good cause under Rule 38(B)</w:t>
      </w:r>
      <w:r w:rsidRPr="00651334" w:rsidR="00ED5D34">
        <w:rPr>
          <w:szCs w:val="24"/>
        </w:rPr>
        <w:t xml:space="preserve"> (if a rule waiver is needed)</w:t>
      </w:r>
      <w:r w:rsidRPr="00651334" w:rsidR="00CA2645">
        <w:rPr>
          <w:szCs w:val="24"/>
        </w:rPr>
        <w:t>,</w:t>
      </w:r>
      <w:r w:rsidRPr="00651334" w:rsidR="00ED5D34">
        <w:rPr>
          <w:szCs w:val="24"/>
        </w:rPr>
        <w:t xml:space="preserve"> </w:t>
      </w:r>
      <w:r w:rsidRPr="00651334" w:rsidR="00CA2645">
        <w:rPr>
          <w:szCs w:val="24"/>
        </w:rPr>
        <w:t xml:space="preserve">on </w:t>
      </w:r>
      <w:r w:rsidRPr="00651334" w:rsidR="00ED5D34">
        <w:rPr>
          <w:szCs w:val="24"/>
        </w:rPr>
        <w:t xml:space="preserve">the PUCO’s prior ruling on examining the </w:t>
      </w:r>
      <w:r w:rsidRPr="00651334" w:rsidR="000E1A1F">
        <w:rPr>
          <w:szCs w:val="24"/>
        </w:rPr>
        <w:t>a</w:t>
      </w:r>
      <w:r w:rsidRPr="00651334" w:rsidR="00ED5D34">
        <w:rPr>
          <w:szCs w:val="24"/>
        </w:rPr>
        <w:t>uditor</w:t>
      </w:r>
      <w:r w:rsidRPr="00651334" w:rsidR="009A516D">
        <w:rPr>
          <w:szCs w:val="24"/>
        </w:rPr>
        <w:t>’s recommendations</w:t>
      </w:r>
      <w:r w:rsidRPr="00651334" w:rsidR="00A96A7F">
        <w:rPr>
          <w:szCs w:val="24"/>
        </w:rPr>
        <w:t xml:space="preserve"> and </w:t>
      </w:r>
      <w:r w:rsidRPr="00651334" w:rsidR="00CA2645">
        <w:rPr>
          <w:szCs w:val="24"/>
        </w:rPr>
        <w:t xml:space="preserve">on </w:t>
      </w:r>
      <w:r w:rsidRPr="00651334" w:rsidR="009A6405">
        <w:rPr>
          <w:szCs w:val="24"/>
        </w:rPr>
        <w:t>R.C. 4903.082, t</w:t>
      </w:r>
      <w:r w:rsidRPr="00651334" w:rsidR="00B828A5">
        <w:rPr>
          <w:szCs w:val="24"/>
        </w:rPr>
        <w:t xml:space="preserve">he PUCO should grant </w:t>
      </w:r>
      <w:r w:rsidRPr="00651334" w:rsidR="00A96A7F">
        <w:rPr>
          <w:szCs w:val="24"/>
        </w:rPr>
        <w:t>OCC/OMAEG’s</w:t>
      </w:r>
      <w:r w:rsidRPr="00651334" w:rsidR="00B828A5">
        <w:rPr>
          <w:szCs w:val="24"/>
        </w:rPr>
        <w:t xml:space="preserve"> motion to depose the </w:t>
      </w:r>
      <w:r w:rsidRPr="00651334" w:rsidR="000E1A1F">
        <w:rPr>
          <w:szCs w:val="24"/>
        </w:rPr>
        <w:t>a</w:t>
      </w:r>
      <w:r w:rsidRPr="00651334" w:rsidR="00B828A5">
        <w:rPr>
          <w:szCs w:val="24"/>
        </w:rPr>
        <w:t xml:space="preserve">uditor to allow </w:t>
      </w:r>
      <w:r w:rsidRPr="00651334" w:rsidR="00A96A7F">
        <w:rPr>
          <w:szCs w:val="24"/>
        </w:rPr>
        <w:t xml:space="preserve">us </w:t>
      </w:r>
      <w:r w:rsidRPr="00651334" w:rsidR="00B828A5">
        <w:rPr>
          <w:szCs w:val="24"/>
        </w:rPr>
        <w:t>to obtain this important informatio</w:t>
      </w:r>
      <w:r w:rsidRPr="00651334" w:rsidR="000551AB">
        <w:rPr>
          <w:szCs w:val="24"/>
        </w:rPr>
        <w:t>n.</w:t>
      </w:r>
      <w:r w:rsidRPr="00651334" w:rsidR="00104905">
        <w:rPr>
          <w:bCs w:val="0"/>
          <w:szCs w:val="24"/>
        </w:rPr>
        <w:t xml:space="preserve"> </w:t>
      </w:r>
    </w:p>
    <w:p w:rsidR="009B34A2" w:rsidRPr="00651334" w:rsidP="003875F6" w14:paraId="359F805A" w14:textId="664642D8">
      <w:pPr>
        <w:pStyle w:val="Heading1"/>
        <w:rPr>
          <w:rFonts w:ascii="Times New Roman" w:hAnsi="Times New Roman" w:eastAsiaTheme="minorHAnsi" w:cs="Times New Roman"/>
          <w:bCs w:val="0"/>
          <w:szCs w:val="24"/>
        </w:rPr>
      </w:pPr>
      <w:bookmarkStart w:id="9" w:name="_Toc66809013"/>
      <w:bookmarkStart w:id="10" w:name="_Toc66827008"/>
      <w:r w:rsidRPr="00651334">
        <w:rPr>
          <w:rFonts w:ascii="Times New Roman" w:hAnsi="Times New Roman" w:cs="Times New Roman"/>
          <w:szCs w:val="24"/>
        </w:rPr>
        <w:t>I</w:t>
      </w:r>
      <w:r w:rsidRPr="00651334" w:rsidR="00C35FA4">
        <w:rPr>
          <w:rFonts w:ascii="Times New Roman" w:hAnsi="Times New Roman" w:eastAsiaTheme="minorHAnsi" w:cs="Times New Roman"/>
          <w:bCs w:val="0"/>
          <w:szCs w:val="24"/>
        </w:rPr>
        <w:t>II</w:t>
      </w:r>
      <w:r w:rsidRPr="00651334" w:rsidR="000D18C7">
        <w:rPr>
          <w:rFonts w:ascii="Times New Roman" w:hAnsi="Times New Roman" w:eastAsiaTheme="minorHAnsi" w:cs="Times New Roman"/>
          <w:bCs w:val="0"/>
          <w:szCs w:val="24"/>
        </w:rPr>
        <w:t>.</w:t>
      </w:r>
      <w:r w:rsidRPr="00651334" w:rsidR="000D18C7">
        <w:rPr>
          <w:rFonts w:ascii="Times New Roman" w:hAnsi="Times New Roman" w:eastAsiaTheme="minorHAnsi" w:cs="Times New Roman"/>
          <w:bCs w:val="0"/>
          <w:szCs w:val="24"/>
        </w:rPr>
        <w:tab/>
      </w:r>
      <w:r w:rsidRPr="00651334">
        <w:rPr>
          <w:rStyle w:val="Heading1Char"/>
          <w:rFonts w:ascii="Times New Roman" w:hAnsi="Times New Roman" w:cs="Times New Roman"/>
          <w:b/>
          <w:bCs w:val="0"/>
          <w:szCs w:val="24"/>
        </w:rPr>
        <w:t>CONCLUSION</w:t>
      </w:r>
      <w:bookmarkEnd w:id="9"/>
      <w:bookmarkEnd w:id="10"/>
    </w:p>
    <w:p w:rsidR="0018269A" w:rsidRPr="00651334" w:rsidP="00A76D16" w14:paraId="7E288F16" w14:textId="33E14F60">
      <w:pPr>
        <w:pStyle w:val="NormalWeb"/>
        <w:shd w:val="clear" w:color="auto" w:fill="FFFFFF"/>
        <w:spacing w:before="0" w:beforeAutospacing="0" w:after="0" w:afterAutospacing="0" w:line="480" w:lineRule="auto"/>
        <w:textAlignment w:val="baseline"/>
        <w:rPr>
          <w:rFonts w:eastAsiaTheme="minorHAnsi"/>
        </w:rPr>
      </w:pPr>
      <w:r w:rsidRPr="00651334">
        <w:rPr>
          <w:rFonts w:eastAsiaTheme="minorHAnsi"/>
        </w:rPr>
        <w:tab/>
        <w:t xml:space="preserve"> </w:t>
      </w:r>
      <w:r w:rsidRPr="00651334" w:rsidR="00690E56">
        <w:t>OCC and OMAEG file</w:t>
      </w:r>
      <w:r w:rsidRPr="00651334" w:rsidR="00070701">
        <w:t xml:space="preserve"> this motion</w:t>
      </w:r>
      <w:r w:rsidRPr="00651334" w:rsidR="00690E56">
        <w:t xml:space="preserve"> to give Ohioans the protection of the competitive market for their electric bills (and </w:t>
      </w:r>
      <w:r w:rsidRPr="00651334" w:rsidR="00E47F49">
        <w:t xml:space="preserve">hopefully </w:t>
      </w:r>
      <w:r w:rsidRPr="00651334" w:rsidR="00690E56">
        <w:t xml:space="preserve">for a cleaner </w:t>
      </w:r>
      <w:r w:rsidRPr="00651334" w:rsidR="00CA2645">
        <w:t xml:space="preserve">Ohio and cleaner </w:t>
      </w:r>
      <w:r w:rsidRPr="00651334" w:rsidR="00690E56">
        <w:t xml:space="preserve">planet) from outmoded, </w:t>
      </w:r>
      <w:r w:rsidRPr="00651334" w:rsidR="00C90A01">
        <w:t>uneconomic,</w:t>
      </w:r>
      <w:r w:rsidRPr="00651334" w:rsidR="00690E56">
        <w:t xml:space="preserve"> and polluting coal plants that operate courtesy of Ohio’s subsidy culture.</w:t>
      </w:r>
      <w:r w:rsidRPr="00651334" w:rsidR="00C90A01">
        <w:t xml:space="preserve"> </w:t>
      </w:r>
      <w:r w:rsidRPr="00651334" w:rsidR="00CB7BAC">
        <w:rPr>
          <w:rFonts w:eastAsiaTheme="minorHAnsi"/>
        </w:rPr>
        <w:t>DP&amp;L</w:t>
      </w:r>
      <w:r w:rsidRPr="00651334" w:rsidR="008D33D6">
        <w:rPr>
          <w:rFonts w:eastAsiaTheme="minorHAnsi"/>
        </w:rPr>
        <w:t>/</w:t>
      </w:r>
      <w:r w:rsidRPr="00651334" w:rsidR="006A16DF">
        <w:rPr>
          <w:rFonts w:eastAsiaTheme="minorHAnsi"/>
        </w:rPr>
        <w:t>OVEC</w:t>
      </w:r>
      <w:r w:rsidRPr="00651334" w:rsidR="00F27B3B">
        <w:rPr>
          <w:rFonts w:eastAsiaTheme="minorHAnsi"/>
        </w:rPr>
        <w:t xml:space="preserve">’s </w:t>
      </w:r>
      <w:r w:rsidRPr="00651334" w:rsidR="00A47A07">
        <w:rPr>
          <w:rFonts w:eastAsiaTheme="minorHAnsi"/>
        </w:rPr>
        <w:t>management</w:t>
      </w:r>
      <w:r w:rsidRPr="00651334" w:rsidR="00F27B3B">
        <w:rPr>
          <w:rFonts w:eastAsiaTheme="minorHAnsi"/>
        </w:rPr>
        <w:t xml:space="preserve"> of the coal plants</w:t>
      </w:r>
      <w:r w:rsidRPr="00651334" w:rsidR="00A47A07">
        <w:rPr>
          <w:rFonts w:eastAsiaTheme="minorHAnsi"/>
        </w:rPr>
        <w:t xml:space="preserve"> has</w:t>
      </w:r>
      <w:r w:rsidRPr="00651334" w:rsidR="006A16DF">
        <w:rPr>
          <w:rFonts w:eastAsiaTheme="minorHAnsi"/>
        </w:rPr>
        <w:t xml:space="preserve"> </w:t>
      </w:r>
      <w:r w:rsidRPr="00651334" w:rsidR="00072899">
        <w:rPr>
          <w:rFonts w:eastAsiaTheme="minorHAnsi"/>
        </w:rPr>
        <w:t xml:space="preserve">allowed the </w:t>
      </w:r>
      <w:r w:rsidRPr="00651334" w:rsidR="006A16DF">
        <w:rPr>
          <w:rFonts w:eastAsiaTheme="minorHAnsi"/>
        </w:rPr>
        <w:t xml:space="preserve">plants </w:t>
      </w:r>
      <w:r w:rsidRPr="00651334" w:rsidR="00072899">
        <w:rPr>
          <w:rFonts w:eastAsiaTheme="minorHAnsi"/>
        </w:rPr>
        <w:t>to</w:t>
      </w:r>
      <w:r w:rsidRPr="00651334">
        <w:rPr>
          <w:rFonts w:eastAsiaTheme="minorHAnsi"/>
        </w:rPr>
        <w:t xml:space="preserve"> run </w:t>
      </w:r>
      <w:r w:rsidRPr="00651334" w:rsidR="006A16DF">
        <w:rPr>
          <w:rFonts w:eastAsiaTheme="minorHAnsi"/>
        </w:rPr>
        <w:t xml:space="preserve">for months at a time when </w:t>
      </w:r>
      <w:r w:rsidRPr="00651334">
        <w:rPr>
          <w:rFonts w:eastAsiaTheme="minorHAnsi"/>
        </w:rPr>
        <w:t xml:space="preserve">their </w:t>
      </w:r>
      <w:r w:rsidRPr="00651334" w:rsidR="00605694">
        <w:rPr>
          <w:rFonts w:eastAsiaTheme="minorHAnsi"/>
        </w:rPr>
        <w:t>variable</w:t>
      </w:r>
      <w:r w:rsidRPr="00651334" w:rsidR="006A16DF">
        <w:rPr>
          <w:rFonts w:eastAsiaTheme="minorHAnsi"/>
        </w:rPr>
        <w:t xml:space="preserve"> operating costs were greater than the prices </w:t>
      </w:r>
      <w:r w:rsidRPr="00651334" w:rsidR="00F27B3B">
        <w:rPr>
          <w:rFonts w:eastAsiaTheme="minorHAnsi"/>
        </w:rPr>
        <w:t>they</w:t>
      </w:r>
      <w:r w:rsidRPr="00651334" w:rsidR="006A16DF">
        <w:rPr>
          <w:rFonts w:eastAsiaTheme="minorHAnsi"/>
        </w:rPr>
        <w:t xml:space="preserve"> earned for selling the electricity. </w:t>
      </w:r>
      <w:r w:rsidRPr="00651334">
        <w:rPr>
          <w:rFonts w:eastAsiaTheme="minorHAnsi"/>
        </w:rPr>
        <w:t>This</w:t>
      </w:r>
      <w:r w:rsidRPr="00651334" w:rsidR="00F27B3B">
        <w:rPr>
          <w:rFonts w:eastAsiaTheme="minorHAnsi"/>
        </w:rPr>
        <w:t xml:space="preserve"> situation is</w:t>
      </w:r>
      <w:r w:rsidRPr="00651334">
        <w:rPr>
          <w:rFonts w:eastAsiaTheme="minorHAnsi"/>
        </w:rPr>
        <w:t xml:space="preserve"> cost</w:t>
      </w:r>
      <w:r w:rsidRPr="00651334" w:rsidR="00F27B3B">
        <w:rPr>
          <w:rFonts w:eastAsiaTheme="minorHAnsi"/>
        </w:rPr>
        <w:t>ing</w:t>
      </w:r>
      <w:r w:rsidRPr="00651334">
        <w:rPr>
          <w:rFonts w:eastAsiaTheme="minorHAnsi"/>
        </w:rPr>
        <w:t xml:space="preserve"> </w:t>
      </w:r>
      <w:r w:rsidRPr="00651334" w:rsidR="00F27B3B">
        <w:rPr>
          <w:rFonts w:eastAsiaTheme="minorHAnsi"/>
        </w:rPr>
        <w:t xml:space="preserve">Ohioans </w:t>
      </w:r>
      <w:r w:rsidRPr="00651334">
        <w:rPr>
          <w:rFonts w:eastAsiaTheme="minorHAnsi"/>
        </w:rPr>
        <w:t>dearly</w:t>
      </w:r>
      <w:r w:rsidRPr="00651334" w:rsidR="00725FB4">
        <w:rPr>
          <w:rFonts w:eastAsiaTheme="minorHAnsi"/>
        </w:rPr>
        <w:t xml:space="preserve"> and should be deemed to be imprudent</w:t>
      </w:r>
      <w:r w:rsidRPr="00651334" w:rsidR="008D33D6">
        <w:rPr>
          <w:rFonts w:eastAsiaTheme="minorHAnsi"/>
        </w:rPr>
        <w:t>.</w:t>
      </w:r>
    </w:p>
    <w:p w:rsidR="008D33D6" w:rsidRPr="00651334" w14:paraId="7E5EE015" w14:textId="7A1563B4">
      <w:pPr>
        <w:pStyle w:val="NormalWeb"/>
        <w:shd w:val="clear" w:color="auto" w:fill="FFFFFF"/>
        <w:spacing w:before="0" w:beforeAutospacing="0" w:after="0" w:afterAutospacing="0" w:line="480" w:lineRule="auto"/>
        <w:ind w:firstLine="720"/>
        <w:textAlignment w:val="baseline"/>
        <w:rPr>
          <w:rFonts w:eastAsiaTheme="minorHAnsi"/>
        </w:rPr>
      </w:pPr>
      <w:r w:rsidRPr="00651334">
        <w:rPr>
          <w:rFonts w:eastAsiaTheme="minorHAnsi"/>
        </w:rPr>
        <w:t xml:space="preserve">The PUCO should </w:t>
      </w:r>
      <w:r w:rsidRPr="00651334" w:rsidR="00674312">
        <w:rPr>
          <w:rFonts w:eastAsiaTheme="minorHAnsi"/>
        </w:rPr>
        <w:t>allow the consolidated deposition of the auditor</w:t>
      </w:r>
      <w:r w:rsidRPr="00651334" w:rsidR="00CA2645">
        <w:rPr>
          <w:rFonts w:eastAsiaTheme="minorHAnsi"/>
        </w:rPr>
        <w:t>. The deposition should be allowed</w:t>
      </w:r>
      <w:r w:rsidRPr="00651334" w:rsidR="00674312">
        <w:rPr>
          <w:rFonts w:eastAsiaTheme="minorHAnsi"/>
        </w:rPr>
        <w:t xml:space="preserve"> towar</w:t>
      </w:r>
      <w:r w:rsidRPr="00651334" w:rsidR="0020073C">
        <w:rPr>
          <w:rFonts w:eastAsiaTheme="minorHAnsi"/>
        </w:rPr>
        <w:t>d</w:t>
      </w:r>
      <w:r w:rsidRPr="00651334" w:rsidR="003D5002">
        <w:rPr>
          <w:rFonts w:eastAsiaTheme="minorHAnsi"/>
        </w:rPr>
        <w:t xml:space="preserve"> determin</w:t>
      </w:r>
      <w:r w:rsidRPr="00651334" w:rsidR="0020073C">
        <w:rPr>
          <w:rFonts w:eastAsiaTheme="minorHAnsi"/>
        </w:rPr>
        <w:t>ing, among other things,</w:t>
      </w:r>
      <w:r w:rsidRPr="00651334" w:rsidR="003D5002">
        <w:rPr>
          <w:rFonts w:eastAsiaTheme="minorHAnsi"/>
        </w:rPr>
        <w:t xml:space="preserve"> </w:t>
      </w:r>
      <w:r w:rsidRPr="00651334" w:rsidR="007E2339">
        <w:rPr>
          <w:rFonts w:eastAsiaTheme="minorHAnsi"/>
        </w:rPr>
        <w:t xml:space="preserve">whether </w:t>
      </w:r>
      <w:r w:rsidRPr="00651334" w:rsidR="0018269A">
        <w:rPr>
          <w:rFonts w:eastAsiaTheme="minorHAnsi"/>
        </w:rPr>
        <w:t>practices</w:t>
      </w:r>
      <w:r w:rsidRPr="00651334" w:rsidR="0020073C">
        <w:rPr>
          <w:rFonts w:eastAsiaTheme="minorHAnsi"/>
        </w:rPr>
        <w:t xml:space="preserve"> that</w:t>
      </w:r>
      <w:r w:rsidRPr="00651334" w:rsidR="0018269A">
        <w:rPr>
          <w:rFonts w:eastAsiaTheme="minorHAnsi"/>
        </w:rPr>
        <w:t xml:space="preserve"> includ</w:t>
      </w:r>
      <w:r w:rsidRPr="00651334" w:rsidR="0020073C">
        <w:rPr>
          <w:rFonts w:eastAsiaTheme="minorHAnsi"/>
        </w:rPr>
        <w:t>e</w:t>
      </w:r>
      <w:r w:rsidRPr="00651334" w:rsidR="0018269A">
        <w:rPr>
          <w:rFonts w:eastAsiaTheme="minorHAnsi"/>
        </w:rPr>
        <w:t xml:space="preserve"> designating the</w:t>
      </w:r>
      <w:r w:rsidRPr="00651334" w:rsidR="0020073C">
        <w:rPr>
          <w:rFonts w:eastAsiaTheme="minorHAnsi"/>
        </w:rPr>
        <w:t xml:space="preserve"> OVEC</w:t>
      </w:r>
      <w:r w:rsidRPr="00651334" w:rsidR="0018269A">
        <w:rPr>
          <w:rFonts w:eastAsiaTheme="minorHAnsi"/>
        </w:rPr>
        <w:t xml:space="preserve"> units as “must-run” </w:t>
      </w:r>
      <w:r w:rsidRPr="00651334" w:rsidR="0020073C">
        <w:rPr>
          <w:rFonts w:eastAsiaTheme="minorHAnsi"/>
        </w:rPr>
        <w:t xml:space="preserve">were </w:t>
      </w:r>
      <w:r w:rsidRPr="00651334" w:rsidR="007E2339">
        <w:rPr>
          <w:rFonts w:eastAsiaTheme="minorHAnsi"/>
        </w:rPr>
        <w:t xml:space="preserve">in the best interest of customers and consistent with the best practices of competitive merchant </w:t>
      </w:r>
      <w:r w:rsidRPr="00651334" w:rsidR="00605694">
        <w:rPr>
          <w:rFonts w:eastAsiaTheme="minorHAnsi"/>
        </w:rPr>
        <w:t>companies.</w:t>
      </w:r>
      <w:r>
        <w:rPr>
          <w:rStyle w:val="FootnoteReference"/>
          <w:rFonts w:eastAsiaTheme="minorHAnsi"/>
        </w:rPr>
        <w:footnoteReference w:id="23"/>
      </w:r>
      <w:r w:rsidRPr="00651334" w:rsidR="00C90A01">
        <w:rPr>
          <w:rFonts w:eastAsiaTheme="minorHAnsi"/>
        </w:rPr>
        <w:t xml:space="preserve"> </w:t>
      </w:r>
    </w:p>
    <w:bookmarkEnd w:id="4"/>
    <w:p w:rsidR="009030AA" w:rsidRPr="00651334" w14:paraId="0F618EC9" w14:textId="63661FA2">
      <w:pPr>
        <w:rPr>
          <w:szCs w:val="24"/>
        </w:rPr>
      </w:pPr>
    </w:p>
    <w:p w:rsidR="00D8336B" w:rsidRPr="00651334" w14:paraId="767BFEF8" w14:textId="77777777">
      <w:pPr>
        <w:rPr>
          <w:szCs w:val="24"/>
        </w:rPr>
      </w:pPr>
      <w:r w:rsidRPr="00651334">
        <w:rPr>
          <w:szCs w:val="24"/>
        </w:rPr>
        <w:br w:type="page"/>
      </w:r>
    </w:p>
    <w:p w:rsidR="009030AA" w:rsidRPr="00651334" w:rsidP="009030AA" w14:paraId="08DF2524" w14:textId="1D4EE38B">
      <w:pPr>
        <w:spacing w:line="480" w:lineRule="auto"/>
        <w:ind w:left="3600"/>
        <w:rPr>
          <w:szCs w:val="24"/>
        </w:rPr>
      </w:pPr>
      <w:r w:rsidRPr="00651334">
        <w:rPr>
          <w:szCs w:val="24"/>
        </w:rPr>
        <w:t>Respectfully submitted,</w:t>
      </w:r>
    </w:p>
    <w:p w:rsidR="00D8336B" w:rsidRPr="00651334" w:rsidP="00D8336B" w14:paraId="54C39D6E" w14:textId="77777777">
      <w:pPr>
        <w:ind w:left="3600"/>
        <w:rPr>
          <w:b/>
          <w:bCs w:val="0"/>
          <w:szCs w:val="24"/>
        </w:rPr>
      </w:pPr>
      <w:r w:rsidRPr="00651334">
        <w:rPr>
          <w:szCs w:val="24"/>
        </w:rPr>
        <w:t>Bruce Weston (0016973)</w:t>
      </w:r>
    </w:p>
    <w:p w:rsidR="00D8336B" w:rsidRPr="00651334" w:rsidP="00D8336B" w14:paraId="6F7B6C22" w14:textId="77777777">
      <w:pPr>
        <w:tabs>
          <w:tab w:val="left" w:pos="3600"/>
        </w:tabs>
        <w:ind w:left="3600"/>
        <w:rPr>
          <w:b/>
          <w:bCs w:val="0"/>
          <w:szCs w:val="24"/>
        </w:rPr>
      </w:pPr>
      <w:r w:rsidRPr="00651334">
        <w:rPr>
          <w:szCs w:val="24"/>
        </w:rPr>
        <w:t>Ohio Consumers’ Counsel</w:t>
      </w:r>
    </w:p>
    <w:p w:rsidR="00D8336B" w:rsidRPr="00651334" w:rsidP="00D8336B" w14:paraId="6CF0591F" w14:textId="77777777">
      <w:pPr>
        <w:tabs>
          <w:tab w:val="left" w:pos="3600"/>
        </w:tabs>
        <w:ind w:left="3600"/>
        <w:rPr>
          <w:b/>
          <w:bCs w:val="0"/>
          <w:szCs w:val="24"/>
        </w:rPr>
      </w:pPr>
    </w:p>
    <w:p w:rsidR="00D8336B" w:rsidRPr="00651334" w:rsidP="00D8336B" w14:paraId="5B97F55E" w14:textId="09BAE7AA">
      <w:pPr>
        <w:tabs>
          <w:tab w:val="left" w:pos="3600"/>
        </w:tabs>
        <w:ind w:left="3600"/>
        <w:rPr>
          <w:rFonts w:eastAsia="Times New Roman"/>
          <w:i/>
          <w:iCs/>
          <w:szCs w:val="24"/>
          <w:u w:val="single"/>
        </w:rPr>
      </w:pPr>
      <w:r w:rsidRPr="00651334">
        <w:rPr>
          <w:rFonts w:eastAsia="Times New Roman"/>
          <w:i/>
          <w:iCs/>
          <w:szCs w:val="24"/>
          <w:u w:val="single"/>
        </w:rPr>
        <w:t>/s/ John Finnigan</w:t>
      </w:r>
    </w:p>
    <w:p w:rsidR="00D8336B" w:rsidRPr="00651334" w:rsidP="00D8336B" w14:paraId="6FAD01C5" w14:textId="77777777">
      <w:pPr>
        <w:tabs>
          <w:tab w:val="left" w:pos="3600"/>
        </w:tabs>
        <w:ind w:left="3600"/>
        <w:rPr>
          <w:rFonts w:eastAsia="Times New Roman"/>
          <w:b/>
          <w:bCs w:val="0"/>
          <w:szCs w:val="24"/>
        </w:rPr>
      </w:pPr>
      <w:r w:rsidRPr="00651334">
        <w:rPr>
          <w:rFonts w:eastAsia="Times New Roman"/>
          <w:szCs w:val="24"/>
        </w:rPr>
        <w:t>William J. Michael (0070921)</w:t>
      </w:r>
    </w:p>
    <w:p w:rsidR="00D8336B" w:rsidRPr="00651334" w:rsidP="00D8336B" w14:paraId="5B29CE9D" w14:textId="77777777">
      <w:pPr>
        <w:tabs>
          <w:tab w:val="left" w:pos="3600"/>
        </w:tabs>
        <w:ind w:left="3600"/>
        <w:rPr>
          <w:rFonts w:eastAsia="Times New Roman"/>
          <w:b/>
          <w:bCs w:val="0"/>
          <w:szCs w:val="24"/>
        </w:rPr>
      </w:pPr>
      <w:r w:rsidRPr="00651334">
        <w:rPr>
          <w:rFonts w:eastAsia="Times New Roman"/>
          <w:szCs w:val="24"/>
        </w:rPr>
        <w:t>Counsel of Record</w:t>
      </w:r>
    </w:p>
    <w:p w:rsidR="00D8336B" w:rsidRPr="00651334" w:rsidP="00D8336B" w14:paraId="6DE8342D" w14:textId="77777777">
      <w:pPr>
        <w:tabs>
          <w:tab w:val="left" w:pos="3600"/>
        </w:tabs>
        <w:ind w:left="3600"/>
        <w:rPr>
          <w:rFonts w:eastAsia="Times New Roman"/>
          <w:b/>
          <w:bCs w:val="0"/>
          <w:szCs w:val="24"/>
        </w:rPr>
      </w:pPr>
      <w:r w:rsidRPr="00651334">
        <w:rPr>
          <w:rFonts w:eastAsia="Times New Roman"/>
          <w:szCs w:val="24"/>
        </w:rPr>
        <w:t xml:space="preserve">Amy Botschner O’Brien (0074423) </w:t>
      </w:r>
    </w:p>
    <w:p w:rsidR="00D8336B" w:rsidRPr="00651334" w:rsidP="00D8336B" w14:paraId="002685B5" w14:textId="77777777">
      <w:pPr>
        <w:tabs>
          <w:tab w:val="left" w:pos="3600"/>
        </w:tabs>
        <w:ind w:left="3600"/>
        <w:rPr>
          <w:rFonts w:eastAsia="Times New Roman"/>
          <w:b/>
          <w:bCs w:val="0"/>
          <w:szCs w:val="24"/>
        </w:rPr>
      </w:pPr>
      <w:r w:rsidRPr="00651334">
        <w:rPr>
          <w:rFonts w:eastAsia="Times New Roman"/>
          <w:szCs w:val="24"/>
        </w:rPr>
        <w:t>John Finnigan (0018689)</w:t>
      </w:r>
    </w:p>
    <w:p w:rsidR="00D8336B" w:rsidRPr="00651334" w:rsidP="00D8336B" w14:paraId="60E41ED5" w14:textId="77777777">
      <w:pPr>
        <w:tabs>
          <w:tab w:val="left" w:pos="3600"/>
        </w:tabs>
        <w:ind w:left="3600"/>
        <w:rPr>
          <w:rFonts w:eastAsia="Times New Roman"/>
          <w:b/>
          <w:bCs w:val="0"/>
          <w:szCs w:val="24"/>
        </w:rPr>
      </w:pPr>
      <w:r w:rsidRPr="00651334">
        <w:rPr>
          <w:rFonts w:eastAsia="Times New Roman"/>
          <w:szCs w:val="24"/>
        </w:rPr>
        <w:t>Assistant Consumers’ Counsel</w:t>
      </w:r>
    </w:p>
    <w:p w:rsidR="00D8336B" w:rsidRPr="00651334" w:rsidP="00D8336B" w14:paraId="2A7FC66C" w14:textId="77777777">
      <w:pPr>
        <w:tabs>
          <w:tab w:val="left" w:pos="3600"/>
          <w:tab w:val="left" w:pos="4320"/>
        </w:tabs>
        <w:ind w:left="3600"/>
        <w:contextualSpacing/>
        <w:rPr>
          <w:rFonts w:eastAsia="Calibri"/>
          <w:b/>
          <w:bCs w:val="0"/>
          <w:szCs w:val="24"/>
        </w:rPr>
      </w:pPr>
    </w:p>
    <w:p w:rsidR="00D8336B" w:rsidRPr="00651334" w:rsidP="00D8336B" w14:paraId="02EBD476" w14:textId="77777777">
      <w:pPr>
        <w:tabs>
          <w:tab w:val="left" w:pos="3600"/>
        </w:tabs>
        <w:ind w:left="3600"/>
        <w:contextualSpacing/>
        <w:rPr>
          <w:rFonts w:eastAsia="Calibri"/>
          <w:szCs w:val="24"/>
        </w:rPr>
      </w:pPr>
      <w:r w:rsidRPr="00651334">
        <w:rPr>
          <w:rFonts w:eastAsia="Calibri"/>
          <w:szCs w:val="24"/>
        </w:rPr>
        <w:t>Office of the Ohio Consumers’ Counsel</w:t>
      </w:r>
    </w:p>
    <w:p w:rsidR="00D8336B" w:rsidRPr="00651334" w:rsidP="00D8336B" w14:paraId="2C426153" w14:textId="77777777">
      <w:pPr>
        <w:tabs>
          <w:tab w:val="left" w:pos="3600"/>
        </w:tabs>
        <w:ind w:left="3600"/>
        <w:rPr>
          <w:rFonts w:eastAsia="Times New Roman"/>
          <w:b/>
          <w:bCs w:val="0"/>
          <w:szCs w:val="24"/>
        </w:rPr>
      </w:pPr>
      <w:r w:rsidRPr="00651334">
        <w:rPr>
          <w:rFonts w:eastAsia="Times New Roman"/>
          <w:szCs w:val="24"/>
        </w:rPr>
        <w:t>65 East State Street, 7th Floor</w:t>
      </w:r>
    </w:p>
    <w:p w:rsidR="00D8336B" w:rsidRPr="00651334" w:rsidP="00D8336B" w14:paraId="099C7850" w14:textId="77777777">
      <w:pPr>
        <w:tabs>
          <w:tab w:val="left" w:pos="3600"/>
        </w:tabs>
        <w:ind w:left="3600"/>
        <w:rPr>
          <w:rFonts w:eastAsia="Times New Roman"/>
          <w:b/>
          <w:bCs w:val="0"/>
          <w:szCs w:val="24"/>
        </w:rPr>
      </w:pPr>
      <w:r w:rsidRPr="00651334">
        <w:rPr>
          <w:rFonts w:eastAsia="Times New Roman"/>
          <w:szCs w:val="24"/>
        </w:rPr>
        <w:t>Columbus, Ohio 43215</w:t>
      </w:r>
    </w:p>
    <w:p w:rsidR="00D8336B" w:rsidRPr="00651334" w:rsidP="00D8336B" w14:paraId="52C0404C" w14:textId="77777777">
      <w:pPr>
        <w:tabs>
          <w:tab w:val="left" w:pos="3600"/>
        </w:tabs>
        <w:autoSpaceDE w:val="0"/>
        <w:autoSpaceDN w:val="0"/>
        <w:adjustRightInd w:val="0"/>
        <w:ind w:left="3600"/>
        <w:rPr>
          <w:rFonts w:eastAsia="Times New Roman"/>
          <w:b/>
          <w:bCs w:val="0"/>
          <w:szCs w:val="24"/>
        </w:rPr>
      </w:pPr>
      <w:r w:rsidRPr="00651334">
        <w:rPr>
          <w:rFonts w:eastAsia="Times New Roman"/>
          <w:szCs w:val="24"/>
        </w:rPr>
        <w:t>Telephone [Michael]: (614) 466-1291</w:t>
      </w:r>
    </w:p>
    <w:p w:rsidR="00D8336B" w:rsidRPr="00651334" w:rsidP="00D8336B" w14:paraId="346F7608" w14:textId="77777777">
      <w:pPr>
        <w:tabs>
          <w:tab w:val="left" w:pos="3600"/>
        </w:tabs>
        <w:autoSpaceDE w:val="0"/>
        <w:autoSpaceDN w:val="0"/>
        <w:adjustRightInd w:val="0"/>
        <w:ind w:left="3600"/>
        <w:rPr>
          <w:rFonts w:eastAsia="Times New Roman"/>
          <w:b/>
          <w:bCs w:val="0"/>
          <w:szCs w:val="24"/>
        </w:rPr>
      </w:pPr>
      <w:r w:rsidRPr="00651334">
        <w:rPr>
          <w:rFonts w:eastAsia="Times New Roman"/>
          <w:szCs w:val="24"/>
        </w:rPr>
        <w:t>Telephone [Botschner O’Brien]: (614) 466-9575</w:t>
      </w:r>
    </w:p>
    <w:p w:rsidR="00D8336B" w:rsidRPr="00651334" w:rsidP="00D8336B" w14:paraId="330FE341" w14:textId="77777777">
      <w:pPr>
        <w:tabs>
          <w:tab w:val="left" w:pos="3600"/>
        </w:tabs>
        <w:autoSpaceDE w:val="0"/>
        <w:autoSpaceDN w:val="0"/>
        <w:adjustRightInd w:val="0"/>
        <w:ind w:left="3600"/>
        <w:contextualSpacing/>
        <w:rPr>
          <w:rFonts w:eastAsia="Calibri"/>
          <w:b/>
          <w:bCs w:val="0"/>
          <w:szCs w:val="24"/>
        </w:rPr>
      </w:pPr>
      <w:r w:rsidRPr="00651334">
        <w:rPr>
          <w:rFonts w:eastAsia="Calibri"/>
          <w:szCs w:val="24"/>
        </w:rPr>
        <w:t>Telephone [Finnigan]: (614) 466-9585</w:t>
      </w:r>
    </w:p>
    <w:p w:rsidR="00D8336B" w:rsidRPr="00651334" w:rsidP="00D8336B" w14:paraId="038DFFFF" w14:textId="77777777">
      <w:pPr>
        <w:tabs>
          <w:tab w:val="left" w:pos="3600"/>
        </w:tabs>
        <w:autoSpaceDE w:val="0"/>
        <w:autoSpaceDN w:val="0"/>
        <w:adjustRightInd w:val="0"/>
        <w:ind w:left="3600"/>
        <w:contextualSpacing/>
        <w:rPr>
          <w:rFonts w:eastAsia="Calibri"/>
          <w:b/>
          <w:bCs w:val="0"/>
          <w:szCs w:val="24"/>
        </w:rPr>
      </w:pPr>
      <w:hyperlink r:id="rId6" w:history="1">
        <w:r w:rsidRPr="00651334" w:rsidR="000E7EDB">
          <w:rPr>
            <w:rFonts w:eastAsia="Calibri"/>
            <w:color w:val="0000FF"/>
            <w:szCs w:val="24"/>
            <w:u w:val="single"/>
          </w:rPr>
          <w:t>william.michael@occ.ohio.gov</w:t>
        </w:r>
      </w:hyperlink>
    </w:p>
    <w:p w:rsidR="00D8336B" w:rsidRPr="00651334" w:rsidP="00D8336B" w14:paraId="79A282C5" w14:textId="77777777">
      <w:pPr>
        <w:tabs>
          <w:tab w:val="left" w:pos="3600"/>
        </w:tabs>
        <w:autoSpaceDE w:val="0"/>
        <w:autoSpaceDN w:val="0"/>
        <w:adjustRightInd w:val="0"/>
        <w:ind w:left="3600"/>
        <w:rPr>
          <w:rFonts w:eastAsia="Times New Roman"/>
          <w:b/>
          <w:bCs w:val="0"/>
          <w:color w:val="0000FF"/>
          <w:szCs w:val="24"/>
          <w:u w:val="single"/>
        </w:rPr>
      </w:pPr>
      <w:r w:rsidRPr="00651334">
        <w:rPr>
          <w:rFonts w:eastAsia="Times New Roman"/>
          <w:color w:val="0000FF"/>
          <w:szCs w:val="24"/>
          <w:u w:val="single"/>
        </w:rPr>
        <w:t xml:space="preserve">amy.botschner.obrien@occ.ohio.gov </w:t>
      </w:r>
    </w:p>
    <w:p w:rsidR="00D8336B" w:rsidRPr="00651334" w:rsidP="00D8336B" w14:paraId="6A7FB50D" w14:textId="77777777">
      <w:pPr>
        <w:tabs>
          <w:tab w:val="left" w:pos="3600"/>
        </w:tabs>
        <w:autoSpaceDE w:val="0"/>
        <w:autoSpaceDN w:val="0"/>
        <w:adjustRightInd w:val="0"/>
        <w:ind w:left="3600"/>
        <w:contextualSpacing/>
        <w:rPr>
          <w:rFonts w:eastAsia="Calibri"/>
          <w:b/>
          <w:bCs w:val="0"/>
          <w:color w:val="0000FF"/>
          <w:szCs w:val="24"/>
          <w:u w:val="single"/>
        </w:rPr>
      </w:pPr>
      <w:hyperlink r:id="rId7" w:history="1">
        <w:r w:rsidRPr="00651334" w:rsidR="000E7EDB">
          <w:rPr>
            <w:rFonts w:eastAsia="Calibri"/>
            <w:color w:val="0000FF"/>
            <w:szCs w:val="24"/>
            <w:u w:val="single"/>
          </w:rPr>
          <w:t>john.finnigan@occ.ohio.gov</w:t>
        </w:r>
      </w:hyperlink>
    </w:p>
    <w:p w:rsidR="00D8336B" w:rsidRPr="00651334" w:rsidP="00D8336B" w14:paraId="4051ACBB" w14:textId="77777777">
      <w:pPr>
        <w:tabs>
          <w:tab w:val="left" w:pos="3600"/>
        </w:tabs>
        <w:autoSpaceDE w:val="0"/>
        <w:autoSpaceDN w:val="0"/>
        <w:adjustRightInd w:val="0"/>
        <w:contextualSpacing/>
        <w:rPr>
          <w:rFonts w:eastAsia="Calibri"/>
          <w:b/>
          <w:bCs w:val="0"/>
          <w:szCs w:val="24"/>
        </w:rPr>
      </w:pPr>
      <w:r w:rsidRPr="00651334">
        <w:rPr>
          <w:rFonts w:eastAsia="Calibri"/>
          <w:szCs w:val="24"/>
        </w:rPr>
        <w:tab/>
        <w:t>(willing to accept service by e-mail)</w:t>
      </w:r>
    </w:p>
    <w:p w:rsidR="00D8336B" w:rsidRPr="00651334" w:rsidP="00C9746F" w14:paraId="66C50A1D" w14:textId="77777777">
      <w:pPr>
        <w:ind w:left="2880" w:firstLine="720"/>
        <w:contextualSpacing/>
        <w:rPr>
          <w:szCs w:val="24"/>
          <w:u w:val="single"/>
        </w:rPr>
      </w:pPr>
    </w:p>
    <w:p w:rsidR="00D8336B" w:rsidRPr="00651334" w:rsidP="00C9746F" w14:paraId="70144A27" w14:textId="77777777">
      <w:pPr>
        <w:ind w:left="2880" w:firstLine="720"/>
        <w:contextualSpacing/>
        <w:rPr>
          <w:szCs w:val="24"/>
          <w:u w:val="single"/>
        </w:rPr>
      </w:pPr>
    </w:p>
    <w:p w:rsidR="00C9746F" w:rsidRPr="00651334" w:rsidP="00C9746F" w14:paraId="2B39539E" w14:textId="6F216B0A">
      <w:pPr>
        <w:ind w:left="2880" w:firstLine="720"/>
        <w:contextualSpacing/>
        <w:rPr>
          <w:szCs w:val="24"/>
          <w:u w:val="single"/>
        </w:rPr>
      </w:pPr>
      <w:r w:rsidRPr="00651334">
        <w:rPr>
          <w:szCs w:val="24"/>
          <w:u w:val="single"/>
        </w:rPr>
        <w:t xml:space="preserve">/s/ </w:t>
      </w:r>
      <w:r w:rsidRPr="00651334">
        <w:rPr>
          <w:i/>
          <w:szCs w:val="24"/>
          <w:u w:val="single"/>
        </w:rPr>
        <w:t>Kimberly W. Bojko</w:t>
      </w:r>
      <w:r w:rsidRPr="00651334">
        <w:rPr>
          <w:szCs w:val="24"/>
          <w:u w:val="single"/>
        </w:rPr>
        <w:tab/>
      </w:r>
    </w:p>
    <w:p w:rsidR="00EC5E47" w:rsidP="00C9746F" w14:paraId="76DB455F" w14:textId="77777777">
      <w:pPr>
        <w:ind w:left="2880" w:firstLine="720"/>
        <w:contextualSpacing/>
        <w:rPr>
          <w:szCs w:val="24"/>
        </w:rPr>
      </w:pPr>
      <w:r w:rsidRPr="00651334">
        <w:rPr>
          <w:szCs w:val="24"/>
        </w:rPr>
        <w:t xml:space="preserve">Kimberly W. Bojko (0069402) </w:t>
      </w:r>
    </w:p>
    <w:p w:rsidR="00C9746F" w:rsidRPr="00651334" w:rsidP="00C9746F" w14:paraId="51498BD8" w14:textId="390102F5">
      <w:pPr>
        <w:ind w:left="2880" w:firstLine="720"/>
        <w:contextualSpacing/>
        <w:rPr>
          <w:szCs w:val="24"/>
        </w:rPr>
      </w:pPr>
      <w:r w:rsidRPr="00651334">
        <w:rPr>
          <w:szCs w:val="24"/>
        </w:rPr>
        <w:t>(Counsel of Record)</w:t>
      </w:r>
    </w:p>
    <w:p w:rsidR="00C9746F" w:rsidRPr="00651334" w:rsidP="00C9746F" w14:paraId="0D86C732" w14:textId="77777777">
      <w:pPr>
        <w:ind w:left="2880" w:firstLine="720"/>
        <w:contextualSpacing/>
        <w:rPr>
          <w:szCs w:val="24"/>
        </w:rPr>
      </w:pPr>
      <w:r w:rsidRPr="00651334">
        <w:rPr>
          <w:szCs w:val="24"/>
        </w:rPr>
        <w:t xml:space="preserve">Thomas V. Donadio (0100027) </w:t>
      </w:r>
    </w:p>
    <w:p w:rsidR="00C9746F" w:rsidRPr="00651334" w:rsidP="00C9746F" w14:paraId="069487F5" w14:textId="77777777">
      <w:pPr>
        <w:ind w:left="2880" w:firstLine="720"/>
        <w:contextualSpacing/>
        <w:rPr>
          <w:szCs w:val="24"/>
        </w:rPr>
      </w:pPr>
      <w:r w:rsidRPr="00651334">
        <w:rPr>
          <w:szCs w:val="24"/>
        </w:rPr>
        <w:t>Carpenter Lipps &amp; Leland LLP</w:t>
      </w:r>
    </w:p>
    <w:p w:rsidR="00C9746F" w:rsidRPr="00651334" w:rsidP="00C9746F" w14:paraId="0B307DBA" w14:textId="77777777">
      <w:pPr>
        <w:ind w:left="2880" w:firstLine="720"/>
        <w:contextualSpacing/>
        <w:rPr>
          <w:szCs w:val="24"/>
        </w:rPr>
      </w:pPr>
      <w:r w:rsidRPr="00651334">
        <w:rPr>
          <w:szCs w:val="24"/>
        </w:rPr>
        <w:t>280 North High Street, Suite 1300</w:t>
      </w:r>
    </w:p>
    <w:p w:rsidR="00C9746F" w:rsidRPr="00651334" w:rsidP="00C9746F" w14:paraId="5E53F321" w14:textId="77777777">
      <w:pPr>
        <w:ind w:left="2880" w:firstLine="720"/>
        <w:contextualSpacing/>
        <w:jc w:val="both"/>
        <w:rPr>
          <w:szCs w:val="24"/>
        </w:rPr>
      </w:pPr>
      <w:r w:rsidRPr="00651334">
        <w:rPr>
          <w:szCs w:val="24"/>
        </w:rPr>
        <w:t>Columbus, Ohio 43215</w:t>
      </w:r>
    </w:p>
    <w:p w:rsidR="00C9746F" w:rsidRPr="00651334" w:rsidP="00C9746F" w14:paraId="55A3196C" w14:textId="67981EF3">
      <w:pPr>
        <w:ind w:left="2880" w:firstLine="720"/>
        <w:contextualSpacing/>
        <w:jc w:val="both"/>
        <w:rPr>
          <w:szCs w:val="24"/>
        </w:rPr>
      </w:pPr>
      <w:r w:rsidRPr="00651334">
        <w:rPr>
          <w:szCs w:val="24"/>
        </w:rPr>
        <w:t>Telephone:</w:t>
      </w:r>
      <w:r w:rsidRPr="00651334" w:rsidR="00C90A01">
        <w:rPr>
          <w:szCs w:val="24"/>
        </w:rPr>
        <w:t xml:space="preserve"> </w:t>
      </w:r>
      <w:r w:rsidRPr="00651334">
        <w:rPr>
          <w:szCs w:val="24"/>
        </w:rPr>
        <w:t xml:space="preserve">(614) 365-4100 </w:t>
      </w:r>
      <w:r w:rsidRPr="00651334">
        <w:rPr>
          <w:szCs w:val="24"/>
        </w:rPr>
        <w:tab/>
      </w:r>
    </w:p>
    <w:p w:rsidR="00C9746F" w:rsidRPr="00651334" w:rsidP="00C9746F" w14:paraId="6D13154E" w14:textId="77777777">
      <w:pPr>
        <w:ind w:left="2880" w:firstLine="720"/>
        <w:contextualSpacing/>
        <w:jc w:val="both"/>
        <w:rPr>
          <w:szCs w:val="24"/>
        </w:rPr>
      </w:pPr>
      <w:hyperlink r:id="rId8" w:history="1">
        <w:r w:rsidRPr="00651334" w:rsidR="009B77A7">
          <w:rPr>
            <w:rStyle w:val="Hyperlink"/>
            <w:szCs w:val="24"/>
          </w:rPr>
          <w:t>bojko@carpenterlipps.com</w:t>
        </w:r>
      </w:hyperlink>
    </w:p>
    <w:p w:rsidR="00C9746F" w:rsidRPr="00651334" w:rsidP="00C9746F" w14:paraId="10253FB5" w14:textId="77777777">
      <w:pPr>
        <w:ind w:left="2880" w:firstLine="720"/>
        <w:contextualSpacing/>
        <w:jc w:val="both"/>
        <w:rPr>
          <w:szCs w:val="24"/>
        </w:rPr>
      </w:pPr>
      <w:hyperlink r:id="rId9" w:history="1">
        <w:r w:rsidRPr="00651334" w:rsidR="009B77A7">
          <w:rPr>
            <w:rStyle w:val="Hyperlink"/>
            <w:szCs w:val="24"/>
          </w:rPr>
          <w:t>donadio@carpenterlipps.com</w:t>
        </w:r>
      </w:hyperlink>
      <w:r w:rsidRPr="00651334" w:rsidR="009B77A7">
        <w:rPr>
          <w:szCs w:val="24"/>
        </w:rPr>
        <w:t xml:space="preserve"> </w:t>
      </w:r>
    </w:p>
    <w:p w:rsidR="00C9746F" w:rsidRPr="00651334" w:rsidP="00C9746F" w14:paraId="0009CBAA" w14:textId="77777777">
      <w:pPr>
        <w:ind w:left="2880" w:firstLine="720"/>
        <w:contextualSpacing/>
        <w:jc w:val="both"/>
        <w:rPr>
          <w:szCs w:val="24"/>
        </w:rPr>
      </w:pPr>
      <w:r w:rsidRPr="00651334">
        <w:rPr>
          <w:szCs w:val="24"/>
        </w:rPr>
        <w:t>(willing to accept service by e-mail</w:t>
      </w:r>
    </w:p>
    <w:p w:rsidR="00C9746F" w:rsidRPr="00651334" w:rsidP="00C9746F" w14:paraId="12D6E21F" w14:textId="77777777">
      <w:pPr>
        <w:ind w:left="3960"/>
        <w:contextualSpacing/>
        <w:jc w:val="both"/>
        <w:rPr>
          <w:szCs w:val="24"/>
        </w:rPr>
      </w:pPr>
    </w:p>
    <w:p w:rsidR="00C9746F" w:rsidRPr="00651334" w:rsidP="00C9746F" w14:paraId="58AD7CEE" w14:textId="77777777">
      <w:pPr>
        <w:ind w:left="3600"/>
        <w:contextualSpacing/>
        <w:jc w:val="both"/>
        <w:rPr>
          <w:szCs w:val="24"/>
        </w:rPr>
      </w:pPr>
      <w:r w:rsidRPr="00651334">
        <w:rPr>
          <w:i/>
          <w:szCs w:val="24"/>
        </w:rPr>
        <w:t>Counsel for the Ohio Manufacturers’ Association</w:t>
      </w:r>
      <w:r w:rsidRPr="00651334">
        <w:rPr>
          <w:i/>
          <w:szCs w:val="24"/>
        </w:rPr>
        <w:tab/>
        <w:t xml:space="preserve"> Energy Group</w:t>
      </w:r>
    </w:p>
    <w:p w:rsidR="00C9746F" w:rsidRPr="00651334" w:rsidP="00C9746F" w14:paraId="129E8A67" w14:textId="77777777">
      <w:pPr>
        <w:spacing w:line="480" w:lineRule="auto"/>
        <w:jc w:val="both"/>
        <w:rPr>
          <w:i/>
          <w:szCs w:val="24"/>
        </w:rPr>
      </w:pPr>
    </w:p>
    <w:p w:rsidR="00C9746F" w:rsidRPr="00651334" w:rsidP="009030AA" w14:paraId="1C551BC1" w14:textId="77777777">
      <w:pPr>
        <w:pStyle w:val="ListParagraph"/>
        <w:autoSpaceDE w:val="0"/>
        <w:autoSpaceDN w:val="0"/>
        <w:adjustRightInd w:val="0"/>
        <w:ind w:left="3600"/>
        <w:rPr>
          <w:rStyle w:val="Hyperlink"/>
          <w:color w:val="auto"/>
          <w:szCs w:val="24"/>
          <w:u w:val="none"/>
        </w:rPr>
      </w:pPr>
    </w:p>
    <w:p w:rsidR="00322352" w:rsidRPr="00651334" w:rsidP="009B34A2" w14:paraId="51BF500C" w14:textId="336EC470">
      <w:pPr>
        <w:pStyle w:val="NormalWeb"/>
        <w:shd w:val="clear" w:color="auto" w:fill="FFFFFF"/>
        <w:spacing w:before="0" w:beforeAutospacing="0" w:after="0" w:afterAutospacing="0" w:line="480" w:lineRule="auto"/>
        <w:textAlignment w:val="baseline"/>
        <w:rPr>
          <w:rFonts w:eastAsiaTheme="minorHAnsi"/>
        </w:rPr>
      </w:pPr>
    </w:p>
    <w:p w:rsidR="00322352" w:rsidRPr="00651334" w:rsidP="009B34A2" w14:paraId="3C456B72" w14:textId="77777777">
      <w:pPr>
        <w:pStyle w:val="NormalWeb"/>
        <w:shd w:val="clear" w:color="auto" w:fill="FFFFFF"/>
        <w:spacing w:before="0" w:beforeAutospacing="0" w:after="0" w:afterAutospacing="0" w:line="480" w:lineRule="auto"/>
        <w:textAlignment w:val="baseline"/>
        <w:rPr>
          <w:rFonts w:eastAsiaTheme="minorHAnsi"/>
        </w:rPr>
        <w:sectPr w:rsidSect="00464DC6">
          <w:pgSz w:w="12240" w:h="15840"/>
          <w:pgMar w:top="1440" w:right="1440" w:bottom="1440" w:left="1440" w:header="720" w:footer="720" w:gutter="0"/>
          <w:pgNumType w:start="1"/>
          <w:cols w:space="720"/>
          <w:docGrid w:linePitch="360"/>
        </w:sectPr>
      </w:pPr>
    </w:p>
    <w:p w:rsidR="009030AA" w:rsidRPr="00651334" w:rsidP="009030AA" w14:paraId="00A92B98" w14:textId="77777777">
      <w:pPr>
        <w:jc w:val="center"/>
        <w:rPr>
          <w:b/>
          <w:bCs w:val="0"/>
          <w:szCs w:val="24"/>
          <w:u w:val="single"/>
        </w:rPr>
      </w:pPr>
      <w:r w:rsidRPr="00651334">
        <w:rPr>
          <w:b/>
          <w:szCs w:val="24"/>
          <w:u w:val="single"/>
        </w:rPr>
        <w:t>CERTIFICATE OF SERVICE</w:t>
      </w:r>
    </w:p>
    <w:p w:rsidR="009030AA" w:rsidRPr="00651334" w:rsidP="009030AA" w14:paraId="74FA0C48" w14:textId="77777777">
      <w:pPr>
        <w:jc w:val="center"/>
        <w:rPr>
          <w:szCs w:val="24"/>
          <w:u w:val="single"/>
        </w:rPr>
      </w:pPr>
    </w:p>
    <w:p w:rsidR="009030AA" w:rsidRPr="00651334" w:rsidP="009030AA" w14:paraId="37B60A7D" w14:textId="0740E4FB">
      <w:pPr>
        <w:spacing w:line="480" w:lineRule="auto"/>
        <w:rPr>
          <w:b/>
          <w:bCs w:val="0"/>
          <w:szCs w:val="24"/>
        </w:rPr>
      </w:pPr>
      <w:r w:rsidRPr="00651334">
        <w:rPr>
          <w:szCs w:val="24"/>
        </w:rPr>
        <w:tab/>
        <w:t>I hereby certify that a copy of th</w:t>
      </w:r>
      <w:r w:rsidRPr="00651334" w:rsidR="003379E1">
        <w:rPr>
          <w:szCs w:val="24"/>
        </w:rPr>
        <w:t>is</w:t>
      </w:r>
      <w:r w:rsidRPr="00651334">
        <w:rPr>
          <w:szCs w:val="24"/>
        </w:rPr>
        <w:t xml:space="preserve"> Motion was served on the persons stated below via electric transmission this </w:t>
      </w:r>
      <w:r w:rsidRPr="00651334" w:rsidR="00B136F6">
        <w:rPr>
          <w:szCs w:val="24"/>
        </w:rPr>
        <w:t>1</w:t>
      </w:r>
      <w:r w:rsidRPr="00651334" w:rsidR="00D5655C">
        <w:rPr>
          <w:szCs w:val="24"/>
        </w:rPr>
        <w:t>7th</w:t>
      </w:r>
      <w:r w:rsidRPr="00651334">
        <w:rPr>
          <w:szCs w:val="24"/>
        </w:rPr>
        <w:t xml:space="preserve"> day of </w:t>
      </w:r>
      <w:r w:rsidRPr="00651334" w:rsidR="00394390">
        <w:rPr>
          <w:szCs w:val="24"/>
        </w:rPr>
        <w:t>March</w:t>
      </w:r>
      <w:r w:rsidRPr="00651334" w:rsidR="00C90A01">
        <w:rPr>
          <w:szCs w:val="24"/>
        </w:rPr>
        <w:t xml:space="preserve"> </w:t>
      </w:r>
      <w:r w:rsidRPr="00651334">
        <w:rPr>
          <w:szCs w:val="24"/>
        </w:rPr>
        <w:t>2021.</w:t>
      </w:r>
    </w:p>
    <w:p w:rsidR="009030AA" w:rsidRPr="00651334" w:rsidP="009030AA" w14:paraId="3C3A43BD" w14:textId="77777777">
      <w:pPr>
        <w:rPr>
          <w:b/>
          <w:bCs w:val="0"/>
          <w:i/>
          <w:iCs/>
          <w:szCs w:val="24"/>
          <w:u w:val="single"/>
        </w:rPr>
      </w:pPr>
      <w:bookmarkStart w:id="11" w:name="_Hlk60904023"/>
      <w:r w:rsidRPr="00651334">
        <w:rPr>
          <w:szCs w:val="24"/>
        </w:rPr>
        <w:tab/>
      </w:r>
      <w:r w:rsidRPr="00651334">
        <w:rPr>
          <w:szCs w:val="24"/>
        </w:rPr>
        <w:tab/>
      </w:r>
      <w:r w:rsidRPr="00651334">
        <w:rPr>
          <w:szCs w:val="24"/>
        </w:rPr>
        <w:tab/>
      </w:r>
      <w:r w:rsidRPr="00651334">
        <w:rPr>
          <w:szCs w:val="24"/>
        </w:rPr>
        <w:tab/>
      </w:r>
      <w:r w:rsidRPr="00651334">
        <w:rPr>
          <w:szCs w:val="24"/>
        </w:rPr>
        <w:tab/>
      </w:r>
      <w:r w:rsidRPr="00651334">
        <w:rPr>
          <w:szCs w:val="24"/>
        </w:rPr>
        <w:tab/>
      </w:r>
      <w:r w:rsidRPr="00651334">
        <w:rPr>
          <w:i/>
          <w:iCs/>
          <w:szCs w:val="24"/>
          <w:u w:val="single"/>
        </w:rPr>
        <w:t>/s/ John Finnigan</w:t>
      </w:r>
    </w:p>
    <w:p w:rsidR="009030AA" w:rsidRPr="00651334" w:rsidP="009030AA" w14:paraId="22456D06" w14:textId="77777777">
      <w:pPr>
        <w:rPr>
          <w:b/>
          <w:bCs w:val="0"/>
          <w:szCs w:val="24"/>
        </w:rPr>
      </w:pPr>
      <w:r w:rsidRPr="00651334">
        <w:rPr>
          <w:szCs w:val="24"/>
        </w:rPr>
        <w:tab/>
      </w:r>
      <w:r w:rsidRPr="00651334">
        <w:rPr>
          <w:szCs w:val="24"/>
        </w:rPr>
        <w:tab/>
      </w:r>
      <w:r w:rsidRPr="00651334">
        <w:rPr>
          <w:szCs w:val="24"/>
        </w:rPr>
        <w:tab/>
      </w:r>
      <w:r w:rsidRPr="00651334">
        <w:rPr>
          <w:szCs w:val="24"/>
        </w:rPr>
        <w:tab/>
      </w:r>
      <w:r w:rsidRPr="00651334">
        <w:rPr>
          <w:szCs w:val="24"/>
        </w:rPr>
        <w:tab/>
      </w:r>
      <w:r w:rsidRPr="00651334">
        <w:rPr>
          <w:szCs w:val="24"/>
        </w:rPr>
        <w:tab/>
        <w:t>John Finnigan (0018689)</w:t>
      </w:r>
    </w:p>
    <w:p w:rsidR="009030AA" w:rsidRPr="00651334" w:rsidP="009030AA" w14:paraId="5C743DF8" w14:textId="77777777">
      <w:pPr>
        <w:rPr>
          <w:b/>
          <w:bCs w:val="0"/>
          <w:szCs w:val="24"/>
        </w:rPr>
      </w:pPr>
      <w:r w:rsidRPr="00651334">
        <w:rPr>
          <w:szCs w:val="24"/>
        </w:rPr>
        <w:tab/>
      </w:r>
      <w:r w:rsidRPr="00651334">
        <w:rPr>
          <w:szCs w:val="24"/>
        </w:rPr>
        <w:tab/>
      </w:r>
      <w:r w:rsidRPr="00651334">
        <w:rPr>
          <w:szCs w:val="24"/>
        </w:rPr>
        <w:tab/>
      </w:r>
      <w:r w:rsidRPr="00651334">
        <w:rPr>
          <w:szCs w:val="24"/>
        </w:rPr>
        <w:tab/>
      </w:r>
      <w:r w:rsidRPr="00651334">
        <w:rPr>
          <w:szCs w:val="24"/>
        </w:rPr>
        <w:tab/>
      </w:r>
      <w:r w:rsidRPr="00651334">
        <w:rPr>
          <w:szCs w:val="24"/>
        </w:rPr>
        <w:tab/>
        <w:t>Assistant Consumers’ Counsel</w:t>
      </w:r>
    </w:p>
    <w:bookmarkEnd w:id="11"/>
    <w:p w:rsidR="009030AA" w:rsidRPr="00651334" w:rsidP="009030AA" w14:paraId="727A352C" w14:textId="77777777">
      <w:pPr>
        <w:rPr>
          <w:b/>
          <w:bCs w:val="0"/>
          <w:szCs w:val="24"/>
        </w:rPr>
      </w:pPr>
    </w:p>
    <w:p w:rsidR="009030AA" w:rsidRPr="00651334" w:rsidP="009030AA" w14:paraId="5556D045" w14:textId="77777777">
      <w:pPr>
        <w:rPr>
          <w:b/>
          <w:bCs w:val="0"/>
          <w:szCs w:val="24"/>
        </w:rPr>
      </w:pPr>
      <w:r w:rsidRPr="00651334">
        <w:rPr>
          <w:szCs w:val="24"/>
        </w:rPr>
        <w:t>The PUCO’s e-filing system will electronically serve notice of the filing of this document on the following parties:</w:t>
      </w:r>
    </w:p>
    <w:p w:rsidR="009030AA" w:rsidRPr="00651334" w:rsidP="009030AA" w14:paraId="7E80C77F" w14:textId="77777777">
      <w:pPr>
        <w:rPr>
          <w:b/>
          <w:bCs w:val="0"/>
          <w:szCs w:val="24"/>
        </w:rPr>
      </w:pPr>
    </w:p>
    <w:p w:rsidR="00D8336B" w:rsidRPr="00651334" w:rsidP="00D8336B" w14:paraId="2CB17212" w14:textId="77777777">
      <w:pPr>
        <w:pStyle w:val="CommentText"/>
        <w:jc w:val="center"/>
        <w:rPr>
          <w:b/>
          <w:sz w:val="24"/>
          <w:szCs w:val="24"/>
          <w:u w:val="single"/>
        </w:rPr>
      </w:pPr>
      <w:r w:rsidRPr="00651334">
        <w:rPr>
          <w:b/>
          <w:sz w:val="24"/>
          <w:szCs w:val="24"/>
          <w:u w:val="single"/>
        </w:rPr>
        <w:t>SERVICE LIST</w:t>
      </w:r>
    </w:p>
    <w:p w:rsidR="00D8336B" w:rsidRPr="00651334" w:rsidP="00D8336B" w14:paraId="2E71EEF6" w14:textId="77777777">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D3254D3" w14:textId="77777777" w:rsidTr="00DB795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D8336B" w:rsidRPr="00651334" w:rsidP="00D8336B" w14:paraId="63E925B6" w14:textId="77777777">
            <w:pPr>
              <w:pStyle w:val="BodyText"/>
              <w:spacing w:line="240" w:lineRule="auto"/>
              <w:rPr>
                <w:rStyle w:val="Hyperlink"/>
                <w:rFonts w:eastAsiaTheme="minorHAnsi"/>
              </w:rPr>
            </w:pPr>
          </w:p>
          <w:p w:rsidR="00D8336B" w:rsidRPr="00651334" w:rsidP="00D8336B" w14:paraId="0258A8DD" w14:textId="77777777">
            <w:pPr>
              <w:pStyle w:val="BodyText"/>
              <w:spacing w:line="240" w:lineRule="auto"/>
              <w:rPr>
                <w:rStyle w:val="Hyperlink"/>
                <w:bCs/>
              </w:rPr>
            </w:pPr>
            <w:hyperlink r:id="rId14" w:history="1">
              <w:r w:rsidRPr="00651334" w:rsidR="000E7EDB">
                <w:rPr>
                  <w:rStyle w:val="Hyperlink"/>
                </w:rPr>
                <w:t>kyle</w:t>
              </w:r>
              <w:r w:rsidRPr="00651334" w:rsidR="000E7EDB">
                <w:rPr>
                  <w:rStyle w:val="Hyperlink"/>
                  <w:bCs/>
                </w:rPr>
                <w:t>.kern@ohioattorneygeneral.gov</w:t>
              </w:r>
            </w:hyperlink>
          </w:p>
          <w:p w:rsidR="00D8336B" w:rsidRPr="00651334" w:rsidP="00D8336B" w14:paraId="1E52CF6C" w14:textId="77777777">
            <w:pPr>
              <w:pStyle w:val="BodyText"/>
              <w:spacing w:line="240" w:lineRule="auto"/>
              <w:rPr>
                <w:rStyle w:val="Hyperlink"/>
                <w:bCs/>
              </w:rPr>
            </w:pPr>
            <w:hyperlink r:id="rId15" w:history="1">
              <w:r w:rsidRPr="00651334" w:rsidR="000E7EDB">
                <w:rPr>
                  <w:rStyle w:val="Hyperlink"/>
                  <w:bCs/>
                </w:rPr>
                <w:t>thomas.lindgren@ohioattorneygeneral.gov</w:t>
              </w:r>
            </w:hyperlink>
          </w:p>
          <w:p w:rsidR="00D8336B" w:rsidRPr="00651334" w:rsidP="00D8336B" w14:paraId="69EC315C" w14:textId="77777777">
            <w:pPr>
              <w:pStyle w:val="BodyText"/>
              <w:spacing w:line="240" w:lineRule="auto"/>
              <w:rPr>
                <w:rStyle w:val="Hyperlink"/>
              </w:rPr>
            </w:pPr>
          </w:p>
          <w:p w:rsidR="00D8336B" w:rsidRPr="00651334" w:rsidP="00D8336B" w14:paraId="252E8013" w14:textId="77777777">
            <w:pPr>
              <w:pStyle w:val="BodyText"/>
              <w:spacing w:line="240" w:lineRule="auto"/>
              <w:rPr>
                <w:bCs/>
              </w:rPr>
            </w:pPr>
            <w:r w:rsidRPr="00651334">
              <w:rPr>
                <w:bCs/>
              </w:rPr>
              <w:t>Attorney Examiners:</w:t>
            </w:r>
          </w:p>
          <w:p w:rsidR="00D8336B" w:rsidRPr="00651334" w:rsidP="00D8336B" w14:paraId="03F410BA" w14:textId="77777777">
            <w:pPr>
              <w:pStyle w:val="BodyText"/>
              <w:spacing w:line="240" w:lineRule="auto"/>
              <w:rPr>
                <w:bCs/>
              </w:rPr>
            </w:pPr>
            <w:hyperlink r:id="rId16" w:history="1">
              <w:r w:rsidRPr="00651334" w:rsidR="000E7EDB">
                <w:rPr>
                  <w:rStyle w:val="Hyperlink"/>
                </w:rPr>
                <w:t>patricia</w:t>
              </w:r>
              <w:r w:rsidRPr="00651334" w:rsidR="000E7EDB">
                <w:rPr>
                  <w:rStyle w:val="Hyperlink"/>
                  <w:bCs/>
                </w:rPr>
                <w:t>.schabo@puco.ohio.gov</w:t>
              </w:r>
            </w:hyperlink>
          </w:p>
          <w:p w:rsidR="00D8336B" w:rsidRPr="00651334" w:rsidP="005B20DF" w14:paraId="12DA6D42" w14:textId="76116B06">
            <w:pPr>
              <w:pStyle w:val="BodyText"/>
              <w:spacing w:line="240" w:lineRule="auto"/>
              <w:rPr>
                <w:bCs/>
              </w:rPr>
            </w:pPr>
            <w:hyperlink r:id="rId17" w:history="1">
              <w:r w:rsidRPr="00651334" w:rsidR="000E7EDB">
                <w:rPr>
                  <w:rStyle w:val="Hyperlink"/>
                  <w:bCs/>
                </w:rPr>
                <w:t>michael.williams@puco.ohio.gov</w:t>
              </w:r>
            </w:hyperlink>
          </w:p>
        </w:tc>
        <w:tc>
          <w:tcPr>
            <w:tcW w:w="4675" w:type="dxa"/>
          </w:tcPr>
          <w:p w:rsidR="00D8336B" w:rsidRPr="00651334" w:rsidP="00D8336B" w14:paraId="609E3C4A" w14:textId="77777777">
            <w:pPr>
              <w:autoSpaceDE w:val="0"/>
              <w:autoSpaceDN w:val="0"/>
              <w:adjustRightInd w:val="0"/>
              <w:ind w:left="342"/>
              <w:rPr>
                <w:szCs w:val="24"/>
              </w:rPr>
            </w:pPr>
          </w:p>
          <w:p w:rsidR="00D8336B" w:rsidP="00D8336B" w14:paraId="317BCF61" w14:textId="7C1E4736">
            <w:pPr>
              <w:autoSpaceDE w:val="0"/>
              <w:autoSpaceDN w:val="0"/>
              <w:adjustRightInd w:val="0"/>
              <w:ind w:left="342"/>
              <w:rPr>
                <w:rStyle w:val="Hyperlink"/>
                <w:szCs w:val="24"/>
              </w:rPr>
            </w:pPr>
            <w:hyperlink r:id="rId18" w:history="1">
              <w:r w:rsidRPr="00651334" w:rsidR="000E7EDB">
                <w:rPr>
                  <w:rStyle w:val="Hyperlink"/>
                  <w:szCs w:val="24"/>
                </w:rPr>
                <w:t>michael.schuler@aes.com</w:t>
              </w:r>
            </w:hyperlink>
          </w:p>
          <w:p w:rsidR="000E7EDB" w:rsidP="000E7EDB" w14:paraId="59C9AB89" w14:textId="7EA4FC44">
            <w:pPr>
              <w:autoSpaceDE w:val="0"/>
              <w:autoSpaceDN w:val="0"/>
              <w:adjustRightInd w:val="0"/>
              <w:ind w:left="342"/>
              <w:rPr>
                <w:bCs w:val="0"/>
                <w:szCs w:val="24"/>
              </w:rPr>
            </w:pPr>
            <w:hyperlink r:id="rId19" w:history="1">
              <w:r w:rsidRPr="00E05483">
                <w:rPr>
                  <w:rStyle w:val="Hyperlink"/>
                  <w:szCs w:val="24"/>
                </w:rPr>
                <w:t>randall.griffin@aes.com</w:t>
              </w:r>
            </w:hyperlink>
          </w:p>
          <w:p w:rsidR="00D8336B" w:rsidRPr="00651334" w:rsidP="00D8336B" w14:paraId="75CF96AC" w14:textId="77777777">
            <w:pPr>
              <w:autoSpaceDE w:val="0"/>
              <w:autoSpaceDN w:val="0"/>
              <w:adjustRightInd w:val="0"/>
              <w:ind w:left="342"/>
              <w:rPr>
                <w:rStyle w:val="Hyperlink"/>
                <w:bCs w:val="0"/>
                <w:szCs w:val="24"/>
              </w:rPr>
            </w:pPr>
            <w:hyperlink r:id="rId20" w:history="1">
              <w:r w:rsidRPr="00651334" w:rsidR="000E7EDB">
                <w:rPr>
                  <w:rStyle w:val="Hyperlink"/>
                  <w:szCs w:val="24"/>
                </w:rPr>
                <w:t>paul@carpenterlipps.com</w:t>
              </w:r>
            </w:hyperlink>
          </w:p>
          <w:p w:rsidR="00D8336B" w:rsidRPr="00651334" w:rsidP="00D8336B" w14:paraId="37D44DE7" w14:textId="77777777">
            <w:pPr>
              <w:autoSpaceDE w:val="0"/>
              <w:autoSpaceDN w:val="0"/>
              <w:adjustRightInd w:val="0"/>
              <w:ind w:left="342"/>
              <w:rPr>
                <w:rStyle w:val="Hyperlink"/>
                <w:szCs w:val="24"/>
              </w:rPr>
            </w:pPr>
            <w:hyperlink r:id="rId8" w:history="1">
              <w:r w:rsidRPr="00651334" w:rsidR="000E7EDB">
                <w:rPr>
                  <w:rStyle w:val="Hyperlink"/>
                  <w:szCs w:val="24"/>
                </w:rPr>
                <w:t>bojko@carpenterlipps.com</w:t>
              </w:r>
            </w:hyperlink>
          </w:p>
          <w:p w:rsidR="00D8336B" w:rsidRPr="00651334" w:rsidP="005B20DF" w14:paraId="7E3DB5B1" w14:textId="167C8BAC">
            <w:pPr>
              <w:autoSpaceDE w:val="0"/>
              <w:autoSpaceDN w:val="0"/>
              <w:adjustRightInd w:val="0"/>
              <w:ind w:left="342"/>
              <w:rPr>
                <w:bCs w:val="0"/>
                <w:szCs w:val="24"/>
              </w:rPr>
            </w:pPr>
            <w:hyperlink r:id="rId9" w:history="1">
              <w:r w:rsidRPr="00651334" w:rsidR="000E7EDB">
                <w:rPr>
                  <w:rStyle w:val="Hyperlink"/>
                  <w:szCs w:val="24"/>
                </w:rPr>
                <w:t>donadio@carpenterlipps.com</w:t>
              </w:r>
            </w:hyperlink>
          </w:p>
          <w:p w:rsidR="00D8336B" w:rsidRPr="00651334" w:rsidP="00D8336B" w14:paraId="20703A18" w14:textId="77777777">
            <w:pPr>
              <w:autoSpaceDE w:val="0"/>
              <w:autoSpaceDN w:val="0"/>
              <w:adjustRightInd w:val="0"/>
              <w:ind w:left="1100"/>
              <w:rPr>
                <w:rStyle w:val="Hyperlink"/>
                <w:szCs w:val="24"/>
              </w:rPr>
            </w:pPr>
          </w:p>
          <w:p w:rsidR="00D8336B" w:rsidRPr="00651334" w:rsidP="00D8336B" w14:paraId="0C7168B0" w14:textId="77777777">
            <w:pPr>
              <w:autoSpaceDE w:val="0"/>
              <w:autoSpaceDN w:val="0"/>
              <w:adjustRightInd w:val="0"/>
              <w:ind w:left="1100"/>
              <w:rPr>
                <w:rStyle w:val="Hyperlink"/>
                <w:bCs w:val="0"/>
                <w:szCs w:val="24"/>
              </w:rPr>
            </w:pPr>
          </w:p>
          <w:p w:rsidR="00D8336B" w:rsidRPr="00651334" w:rsidP="00D8336B" w14:paraId="75C9E3BA" w14:textId="77777777">
            <w:pPr>
              <w:pStyle w:val="CommentText"/>
              <w:rPr>
                <w:b/>
                <w:sz w:val="24"/>
                <w:szCs w:val="24"/>
                <w:u w:val="single"/>
              </w:rPr>
            </w:pPr>
          </w:p>
        </w:tc>
      </w:tr>
    </w:tbl>
    <w:p w:rsidR="009B34A2" w:rsidRPr="00651334" w:rsidP="00FA50BB" w14:paraId="698BA848" w14:textId="4859D278">
      <w:pPr>
        <w:pStyle w:val="CommentText"/>
        <w:rPr>
          <w:sz w:val="24"/>
          <w:szCs w:val="24"/>
          <w:u w:val="single"/>
        </w:rPr>
      </w:pPr>
    </w:p>
    <w:sectPr>
      <w:footnotePr>
        <w:numStart w:val="2"/>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21B" w14:paraId="7E13F6AC" w14:textId="365BD46D">
    <w:pPr>
      <w:pStyle w:val="Footer"/>
      <w:jc w:val="center"/>
    </w:pPr>
  </w:p>
  <w:p w:rsidR="00B136F6" w14:paraId="402894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60509"/>
      <w:docPartObj>
        <w:docPartGallery w:val="Page Numbers (Bottom of Page)"/>
        <w:docPartUnique/>
      </w:docPartObj>
    </w:sdtPr>
    <w:sdtEndPr>
      <w:rPr>
        <w:noProof/>
      </w:rPr>
    </w:sdtEndPr>
    <w:sdtContent>
      <w:p w:rsidR="0020621B" w14:paraId="1D233FF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732412"/>
      <w:docPartObj>
        <w:docPartGallery w:val="Page Numbers (Bottom of Page)"/>
        <w:docPartUnique/>
      </w:docPartObj>
    </w:sdtPr>
    <w:sdtEndPr>
      <w:rPr>
        <w:noProof/>
      </w:rPr>
    </w:sdtEndPr>
    <w:sdtContent>
      <w:p w:rsidR="005E0327" w14:paraId="52A30FDD" w14:textId="43C54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A06D1" w:rsidP="00F219D1" w14:paraId="3419600D" w14:textId="77777777">
      <w:r>
        <w:separator/>
      </w:r>
    </w:p>
  </w:footnote>
  <w:footnote w:type="continuationSeparator" w:id="1">
    <w:p w:rsidR="00AA06D1" w:rsidP="00F219D1" w14:paraId="6258275C" w14:textId="77777777">
      <w:r>
        <w:continuationSeparator/>
      </w:r>
    </w:p>
  </w:footnote>
  <w:footnote w:type="continuationNotice" w:id="2">
    <w:p w:rsidR="00AA06D1" w14:paraId="4D288FD0" w14:textId="77777777"/>
  </w:footnote>
  <w:footnote w:id="3">
    <w:p w:rsidR="0020621B" w:rsidRPr="00E17B9B" w:rsidP="0020621B" w14:paraId="41849B29" w14:textId="2F9DD9D5">
      <w:pPr>
        <w:rPr>
          <w:sz w:val="20"/>
          <w:szCs w:val="20"/>
        </w:rPr>
      </w:pPr>
      <w:r w:rsidRPr="00E17B9B">
        <w:rPr>
          <w:rStyle w:val="FootnoteReference"/>
          <w:sz w:val="20"/>
          <w:szCs w:val="20"/>
        </w:rPr>
        <w:footnoteRef/>
      </w:r>
      <w:r w:rsidRPr="00E17B9B">
        <w:rPr>
          <w:sz w:val="20"/>
          <w:szCs w:val="20"/>
        </w:rPr>
        <w:t xml:space="preserve"> </w:t>
      </w:r>
      <w:r w:rsidRPr="00E17B9B">
        <w:rPr>
          <w:bCs w:val="0"/>
          <w:color w:val="auto"/>
          <w:sz w:val="20"/>
          <w:szCs w:val="20"/>
        </w:rPr>
        <w:t xml:space="preserve">Runnerstone, LLC, </w:t>
      </w:r>
      <w:r w:rsidRPr="00E17B9B">
        <w:rPr>
          <w:bCs w:val="0"/>
          <w:i/>
          <w:iCs/>
          <w:color w:val="auto"/>
          <w:sz w:val="20"/>
          <w:szCs w:val="20"/>
        </w:rPr>
        <w:t xml:space="preserve">Ohio’s Costly – and Worsening – OVEC Situation </w:t>
      </w:r>
      <w:r w:rsidRPr="00E17B9B">
        <w:rPr>
          <w:bCs w:val="0"/>
          <w:color w:val="auto"/>
          <w:sz w:val="20"/>
          <w:szCs w:val="20"/>
        </w:rPr>
        <w:t xml:space="preserve">at 1 (Nov. 12, 2020), available at: </w:t>
      </w:r>
      <w:hyperlink r:id="rId1" w:history="1">
        <w:r w:rsidRPr="00E17B9B">
          <w:rPr>
            <w:bCs w:val="0"/>
            <w:color w:val="0563C1" w:themeColor="hyperlink"/>
            <w:sz w:val="20"/>
            <w:szCs w:val="20"/>
            <w:u w:val="single"/>
          </w:rPr>
          <w:t>https://www.ohiomfg.com/wp-content/uploads/Ohios-Worsening-OVEC-Situation-11.9.2020-Final.pdf</w:t>
        </w:r>
      </w:hyperlink>
      <w:r w:rsidRPr="00E17B9B">
        <w:rPr>
          <w:bCs w:val="0"/>
          <w:color w:val="0563C1" w:themeColor="hyperlink"/>
          <w:sz w:val="20"/>
          <w:szCs w:val="20"/>
          <w:u w:val="single"/>
        </w:rPr>
        <w:t>.</w:t>
      </w:r>
    </w:p>
  </w:footnote>
  <w:footnote w:id="4">
    <w:p w:rsidR="00B136F6" w:rsidP="007E4803" w14:paraId="1A4D6C40" w14:textId="4A026C47">
      <w:pPr>
        <w:pStyle w:val="FootnoteText"/>
        <w:spacing w:after="120"/>
      </w:pPr>
      <w:r w:rsidRPr="007E4803">
        <w:rPr>
          <w:rStyle w:val="FootnoteReference"/>
          <w:b w:val="0"/>
          <w:bCs w:val="0"/>
        </w:rPr>
        <w:footnoteRef/>
      </w:r>
      <w:r>
        <w:t xml:space="preserve"> </w:t>
      </w:r>
      <w:r w:rsidRPr="00226B2E">
        <w:rPr>
          <w:b w:val="0"/>
          <w:bCs w:val="0"/>
          <w:i/>
          <w:iCs/>
        </w:rPr>
        <w:t>In the Matter of the Review</w:t>
      </w:r>
      <w:r>
        <w:rPr>
          <w:b w:val="0"/>
          <w:bCs w:val="0"/>
          <w:i/>
          <w:iCs/>
        </w:rPr>
        <w:t xml:space="preserve"> </w:t>
      </w:r>
      <w:r w:rsidRPr="00226B2E">
        <w:rPr>
          <w:b w:val="0"/>
          <w:bCs w:val="0"/>
          <w:i/>
          <w:iCs/>
        </w:rPr>
        <w:t>of the</w:t>
      </w:r>
      <w:r>
        <w:rPr>
          <w:b w:val="0"/>
          <w:bCs w:val="0"/>
          <w:i/>
          <w:iCs/>
        </w:rPr>
        <w:t xml:space="preserve"> Power Purchase Agreement Rider of</w:t>
      </w:r>
      <w:r w:rsidRPr="00226B2E">
        <w:rPr>
          <w:b w:val="0"/>
          <w:bCs w:val="0"/>
          <w:i/>
          <w:iCs/>
        </w:rPr>
        <w:t xml:space="preserve"> Ohio</w:t>
      </w:r>
      <w:r>
        <w:rPr>
          <w:b w:val="0"/>
          <w:bCs w:val="0"/>
          <w:i/>
          <w:iCs/>
        </w:rPr>
        <w:t xml:space="preserve"> Power Company for 2018 </w:t>
      </w:r>
      <w:r w:rsidRPr="00226B2E">
        <w:rPr>
          <w:b w:val="0"/>
          <w:bCs w:val="0"/>
        </w:rPr>
        <w:t xml:space="preserve">Case No. 18-1004-EL-RDR Audit Report </w:t>
      </w:r>
      <w:r>
        <w:rPr>
          <w:b w:val="0"/>
          <w:bCs w:val="0"/>
        </w:rPr>
        <w:t xml:space="preserve">at 9 </w:t>
      </w:r>
      <w:r w:rsidRPr="00226B2E">
        <w:rPr>
          <w:b w:val="0"/>
          <w:bCs w:val="0"/>
        </w:rPr>
        <w:t>(Sept. 16, 2020).</w:t>
      </w:r>
    </w:p>
  </w:footnote>
  <w:footnote w:id="5">
    <w:p w:rsidR="00B136F6" w:rsidP="007E4803" w14:paraId="2877F491" w14:textId="1477CA81">
      <w:pPr>
        <w:pStyle w:val="FootnoteText"/>
        <w:spacing w:after="120"/>
      </w:pPr>
      <w:r w:rsidRPr="007E4803">
        <w:rPr>
          <w:rStyle w:val="FootnoteReference"/>
          <w:b w:val="0"/>
          <w:bCs w:val="0"/>
        </w:rPr>
        <w:footnoteRef/>
      </w:r>
      <w:r w:rsidRPr="007E4803">
        <w:rPr>
          <w:b w:val="0"/>
          <w:bCs w:val="0"/>
        </w:rPr>
        <w:t xml:space="preserve"> </w:t>
      </w:r>
      <w:r w:rsidRPr="00226B2E">
        <w:rPr>
          <w:b w:val="0"/>
          <w:bCs w:val="0"/>
          <w:i/>
          <w:iCs/>
        </w:rPr>
        <w:t>I</w:t>
      </w:r>
      <w:r>
        <w:rPr>
          <w:b w:val="0"/>
          <w:bCs w:val="0"/>
          <w:i/>
          <w:iCs/>
        </w:rPr>
        <w:t>d.</w:t>
      </w:r>
    </w:p>
  </w:footnote>
  <w:footnote w:id="6">
    <w:p w:rsidR="00B136F6" w:rsidRPr="00E05E4F" w:rsidP="007E4803" w14:paraId="5A160CF1" w14:textId="4490F72B">
      <w:pPr>
        <w:pStyle w:val="FootnoteText"/>
        <w:spacing w:after="120"/>
        <w:rPr>
          <w:b w:val="0"/>
          <w:bCs w:val="0"/>
        </w:rPr>
      </w:pPr>
      <w:r w:rsidRPr="007E4803">
        <w:rPr>
          <w:rStyle w:val="FootnoteReference"/>
          <w:b w:val="0"/>
          <w:bCs w:val="0"/>
        </w:rPr>
        <w:footnoteRef/>
      </w:r>
      <w:r w:rsidRPr="007E4803">
        <w:rPr>
          <w:b w:val="0"/>
          <w:bCs w:val="0"/>
        </w:rPr>
        <w:t xml:space="preserve"> </w:t>
      </w:r>
      <w:r>
        <w:rPr>
          <w:b w:val="0"/>
          <w:bCs w:val="0"/>
        </w:rPr>
        <w:t xml:space="preserve">Potomac Economics, </w:t>
      </w:r>
      <w:r>
        <w:rPr>
          <w:b w:val="0"/>
          <w:bCs w:val="0"/>
          <w:i/>
          <w:iCs/>
        </w:rPr>
        <w:t xml:space="preserve">A Review of the Commitment and Dispatch of Coal Generators in MISO </w:t>
      </w:r>
      <w:r>
        <w:rPr>
          <w:b w:val="0"/>
          <w:bCs w:val="0"/>
        </w:rPr>
        <w:t>at 2 (Sept. 2020).</w:t>
      </w:r>
    </w:p>
  </w:footnote>
  <w:footnote w:id="7">
    <w:p w:rsidR="00B136F6" w:rsidP="007E4803" w14:paraId="11BB0724" w14:textId="72DFF501">
      <w:pPr>
        <w:pStyle w:val="FootnoteText"/>
        <w:spacing w:after="120"/>
      </w:pPr>
      <w:r w:rsidRPr="007E4803">
        <w:rPr>
          <w:rStyle w:val="FootnoteReference"/>
          <w:b w:val="0"/>
          <w:bCs w:val="0"/>
        </w:rPr>
        <w:footnoteRef/>
      </w:r>
      <w:r w:rsidRPr="007E4803">
        <w:rPr>
          <w:b w:val="0"/>
          <w:bCs w:val="0"/>
        </w:rPr>
        <w:t xml:space="preserve"> </w:t>
      </w:r>
      <w:r w:rsidRPr="00226B2E">
        <w:rPr>
          <w:b w:val="0"/>
          <w:bCs w:val="0"/>
          <w:i/>
          <w:iCs/>
        </w:rPr>
        <w:t xml:space="preserve">In re Ohio Power PPA Rider, </w:t>
      </w:r>
      <w:r w:rsidRPr="00226B2E">
        <w:rPr>
          <w:b w:val="0"/>
          <w:bCs w:val="0"/>
        </w:rPr>
        <w:t>Case No. 14-1693-EL-RDR Opinion and Order at 89 (Mar. 31, 2016)</w:t>
      </w:r>
      <w:r>
        <w:rPr>
          <w:b w:val="0"/>
          <w:bCs w:val="0"/>
        </w:rPr>
        <w:t>.</w:t>
      </w:r>
    </w:p>
  </w:footnote>
  <w:footnote w:id="8">
    <w:p w:rsidR="00B136F6" w:rsidRPr="00C3793D" w:rsidP="007E4803" w14:paraId="703B5B56" w14:textId="14C70EFE">
      <w:pPr>
        <w:pStyle w:val="FootnoteText"/>
        <w:spacing w:after="120"/>
        <w:rPr>
          <w:b w:val="0"/>
          <w:bCs w:val="0"/>
          <w:i/>
          <w:iCs/>
        </w:rPr>
      </w:pPr>
      <w:r w:rsidRPr="007E4803">
        <w:rPr>
          <w:rStyle w:val="FootnoteReference"/>
          <w:b w:val="0"/>
          <w:bCs w:val="0"/>
        </w:rPr>
        <w:footnoteRef/>
      </w:r>
      <w:r w:rsidRPr="007E4803">
        <w:rPr>
          <w:b w:val="0"/>
          <w:bCs w:val="0"/>
        </w:rPr>
        <w:t xml:space="preserve"> </w:t>
      </w:r>
      <w:r>
        <w:rPr>
          <w:b w:val="0"/>
          <w:bCs w:val="0"/>
          <w:i/>
          <w:iCs/>
        </w:rPr>
        <w:t>Id.</w:t>
      </w:r>
    </w:p>
  </w:footnote>
  <w:footnote w:id="9">
    <w:p w:rsidR="00B136F6" w:rsidRPr="00E30114" w:rsidP="007E4803" w14:paraId="5FCD75B3" w14:textId="66D8E4CD">
      <w:pPr>
        <w:pStyle w:val="FootnoteText"/>
        <w:spacing w:after="120"/>
      </w:pPr>
      <w:r w:rsidRPr="007E4803">
        <w:rPr>
          <w:rStyle w:val="FootnoteReference"/>
          <w:b w:val="0"/>
          <w:bCs w:val="0"/>
        </w:rPr>
        <w:footnoteRef/>
      </w:r>
      <w:r>
        <w:t xml:space="preserve"> </w:t>
      </w:r>
      <w:r w:rsidRPr="00226B2E">
        <w:rPr>
          <w:b w:val="0"/>
          <w:bCs w:val="0"/>
          <w:i/>
          <w:iCs/>
        </w:rPr>
        <w:t xml:space="preserve">In re Ohio Power PPA Rider, </w:t>
      </w:r>
      <w:r w:rsidRPr="00226B2E">
        <w:rPr>
          <w:b w:val="0"/>
          <w:bCs w:val="0"/>
        </w:rPr>
        <w:t>Case No. 14-1693-EL-RDR</w:t>
      </w:r>
      <w:r>
        <w:rPr>
          <w:b w:val="0"/>
          <w:bCs w:val="0"/>
        </w:rPr>
        <w:t xml:space="preserve"> Brief for </w:t>
      </w:r>
      <w:r>
        <w:rPr>
          <w:b w:val="0"/>
          <w:bCs w:val="0"/>
          <w:i/>
          <w:iCs/>
        </w:rPr>
        <w:t xml:space="preserve">Amicus Curiae </w:t>
      </w:r>
      <w:r>
        <w:rPr>
          <w:b w:val="0"/>
          <w:bCs w:val="0"/>
        </w:rPr>
        <w:t xml:space="preserve">PJM Interconnection, L.L.C. at 4 (Feb. 1, 2016). </w:t>
      </w:r>
    </w:p>
  </w:footnote>
  <w:footnote w:id="10">
    <w:p w:rsidR="00B136F6" w:rsidRPr="00A76D16" w:rsidP="007E4803" w14:paraId="084E28E8" w14:textId="0FAF5241">
      <w:pPr>
        <w:pStyle w:val="FootnoteText"/>
        <w:spacing w:after="120"/>
        <w:rPr>
          <w:b w:val="0"/>
          <w:bCs w:val="0"/>
        </w:rPr>
      </w:pPr>
      <w:r w:rsidRPr="007E4803">
        <w:rPr>
          <w:rStyle w:val="FootnoteReference"/>
          <w:b w:val="0"/>
          <w:bCs w:val="0"/>
        </w:rPr>
        <w:footnoteRef/>
      </w:r>
      <w:r>
        <w:t xml:space="preserve"> </w:t>
      </w:r>
      <w:r>
        <w:rPr>
          <w:b w:val="0"/>
          <w:bCs w:val="0"/>
        </w:rPr>
        <w:t xml:space="preserve">Fitch Ratings, </w:t>
      </w:r>
      <w:r>
        <w:rPr>
          <w:b w:val="0"/>
          <w:bCs w:val="0"/>
          <w:i/>
          <w:iCs/>
        </w:rPr>
        <w:t xml:space="preserve">Fitch Affirms Ohio Valley Electric Corp. at ‘BBB-‘; Outlook Stable </w:t>
      </w:r>
      <w:r>
        <w:rPr>
          <w:b w:val="0"/>
          <w:bCs w:val="0"/>
        </w:rPr>
        <w:t>(Feb. 26, 2021).</w:t>
      </w:r>
    </w:p>
  </w:footnote>
  <w:footnote w:id="11">
    <w:p w:rsidR="00B136F6" w:rsidRPr="00226B2E" w:rsidP="007E4803" w14:paraId="50FB47C4" w14:textId="7C10B31B">
      <w:pPr>
        <w:pStyle w:val="FootnoteText"/>
        <w:spacing w:after="120"/>
      </w:pPr>
      <w:r w:rsidRPr="007E4803">
        <w:rPr>
          <w:rStyle w:val="FootnoteReference"/>
          <w:b w:val="0"/>
          <w:bCs w:val="0"/>
        </w:rPr>
        <w:footnoteRef/>
      </w:r>
      <w:r w:rsidRPr="007E4803">
        <w:rPr>
          <w:b w:val="0"/>
          <w:bCs w:val="0"/>
        </w:rPr>
        <w:t xml:space="preserve"> </w:t>
      </w:r>
      <w:r w:rsidRPr="00226B2E">
        <w:rPr>
          <w:b w:val="0"/>
          <w:bCs w:val="0"/>
          <w:i/>
          <w:iCs/>
        </w:rPr>
        <w:t>In the Matter of the Review of the Reconciliation Rider of Duke Energy Ohio, Inc.</w:t>
      </w:r>
      <w:r w:rsidRPr="00226B2E">
        <w:rPr>
          <w:b w:val="0"/>
          <w:bCs w:val="0"/>
        </w:rPr>
        <w:t xml:space="preserve">, Case No. 20-167-EL-RDR Audit Report (Oct. 21, 2020); </w:t>
      </w:r>
      <w:r w:rsidRPr="00226B2E">
        <w:rPr>
          <w:b w:val="0"/>
          <w:bCs w:val="0"/>
          <w:i/>
          <w:iCs/>
        </w:rPr>
        <w:t>In the Matter of the Review of the Reconciliation Rider of The Dayton Power &amp; Light Company</w:t>
      </w:r>
      <w:r w:rsidRPr="00226B2E">
        <w:rPr>
          <w:b w:val="0"/>
          <w:bCs w:val="0"/>
        </w:rPr>
        <w:t xml:space="preserve">, Case No. 20-165-EL-RDR Audit Report (Oct. 27, 2020); </w:t>
      </w:r>
      <w:r w:rsidRPr="00226B2E">
        <w:rPr>
          <w:b w:val="0"/>
          <w:bCs w:val="0"/>
          <w:i/>
          <w:iCs/>
        </w:rPr>
        <w:t>In the Matter of the Review of the</w:t>
      </w:r>
      <w:r>
        <w:rPr>
          <w:b w:val="0"/>
          <w:bCs w:val="0"/>
          <w:i/>
          <w:iCs/>
        </w:rPr>
        <w:t xml:space="preserve"> Power Purchase Agreement Rider of</w:t>
      </w:r>
      <w:r w:rsidRPr="00226B2E">
        <w:rPr>
          <w:b w:val="0"/>
          <w:bCs w:val="0"/>
          <w:i/>
          <w:iCs/>
        </w:rPr>
        <w:t xml:space="preserve"> Ohio</w:t>
      </w:r>
      <w:r>
        <w:rPr>
          <w:b w:val="0"/>
          <w:bCs w:val="0"/>
          <w:i/>
          <w:iCs/>
        </w:rPr>
        <w:t xml:space="preserve"> Power Company for 2018</w:t>
      </w:r>
      <w:r w:rsidRPr="00226B2E">
        <w:rPr>
          <w:b w:val="0"/>
          <w:bCs w:val="0"/>
        </w:rPr>
        <w:t>, Case No. 18-1004-EL-RDR Audit Report (Sept. 16, 2020).</w:t>
      </w:r>
    </w:p>
  </w:footnote>
  <w:footnote w:id="12">
    <w:p w:rsidR="00B136F6" w:rsidRPr="00226B2E" w:rsidP="007E4803" w14:paraId="3CB64B0C" w14:textId="1E8FBCE6">
      <w:pPr>
        <w:pStyle w:val="FootnoteText"/>
        <w:spacing w:after="120"/>
        <w:rPr>
          <w:b w:val="0"/>
          <w:bCs w:val="0"/>
        </w:rPr>
      </w:pPr>
      <w:r w:rsidRPr="007E4803">
        <w:rPr>
          <w:rStyle w:val="FootnoteReference"/>
          <w:b w:val="0"/>
          <w:bCs w:val="0"/>
        </w:rPr>
        <w:footnoteRef/>
      </w:r>
      <w:r w:rsidRPr="00226B2E">
        <w:t xml:space="preserve"> </w:t>
      </w:r>
      <w:r w:rsidRPr="00226B2E">
        <w:rPr>
          <w:b w:val="0"/>
          <w:bCs w:val="0"/>
        </w:rPr>
        <w:t>London Economics International LLC performed the Duke and AEP Ohio audits</w:t>
      </w:r>
      <w:r>
        <w:rPr>
          <w:b w:val="0"/>
          <w:bCs w:val="0"/>
        </w:rPr>
        <w:t>.</w:t>
      </w:r>
      <w:r w:rsidRPr="00226B2E">
        <w:rPr>
          <w:b w:val="0"/>
          <w:bCs w:val="0"/>
        </w:rPr>
        <w:t xml:space="preserve"> </w:t>
      </w:r>
      <w:r>
        <w:rPr>
          <w:b w:val="0"/>
          <w:bCs w:val="0"/>
        </w:rPr>
        <w:t>T</w:t>
      </w:r>
      <w:r w:rsidRPr="00226B2E">
        <w:rPr>
          <w:b w:val="0"/>
          <w:bCs w:val="0"/>
        </w:rPr>
        <w:t xml:space="preserve">heir reports </w:t>
      </w:r>
      <w:r>
        <w:rPr>
          <w:b w:val="0"/>
          <w:bCs w:val="0"/>
        </w:rPr>
        <w:t>appear to be</w:t>
      </w:r>
      <w:r w:rsidRPr="00226B2E">
        <w:rPr>
          <w:b w:val="0"/>
          <w:bCs w:val="0"/>
        </w:rPr>
        <w:t xml:space="preserve"> more thorough</w:t>
      </w:r>
      <w:r>
        <w:rPr>
          <w:b w:val="0"/>
          <w:bCs w:val="0"/>
        </w:rPr>
        <w:t xml:space="preserve"> in certain important respects</w:t>
      </w:r>
      <w:r w:rsidRPr="00226B2E">
        <w:rPr>
          <w:b w:val="0"/>
          <w:bCs w:val="0"/>
        </w:rPr>
        <w:t xml:space="preserve"> than the audit</w:t>
      </w:r>
      <w:r>
        <w:rPr>
          <w:b w:val="0"/>
          <w:bCs w:val="0"/>
        </w:rPr>
        <w:t xml:space="preserve"> of DP&amp;L</w:t>
      </w:r>
      <w:r w:rsidRPr="00226B2E">
        <w:rPr>
          <w:b w:val="0"/>
          <w:bCs w:val="0"/>
        </w:rPr>
        <w:t>, which was performed by Vantage Energy Consulting, LLC.</w:t>
      </w:r>
      <w:r>
        <w:rPr>
          <w:b w:val="0"/>
          <w:bCs w:val="0"/>
        </w:rPr>
        <w:t xml:space="preserve"> </w:t>
      </w:r>
      <w:r w:rsidRPr="00226B2E">
        <w:rPr>
          <w:b w:val="0"/>
          <w:bCs w:val="0"/>
        </w:rPr>
        <w:t xml:space="preserve">Both </w:t>
      </w:r>
      <w:r>
        <w:rPr>
          <w:b w:val="0"/>
          <w:bCs w:val="0"/>
        </w:rPr>
        <w:t>London</w:t>
      </w:r>
      <w:r w:rsidRPr="00226B2E">
        <w:rPr>
          <w:b w:val="0"/>
          <w:bCs w:val="0"/>
        </w:rPr>
        <w:t xml:space="preserve"> reports noted that, at times, the variable operating cost of OVEC’s electricity was greater than the price of electricity in the PJM day-ahead energy market.</w:t>
      </w:r>
      <w:r>
        <w:rPr>
          <w:b w:val="0"/>
          <w:bCs w:val="0"/>
        </w:rPr>
        <w:t xml:space="preserve"> </w:t>
      </w:r>
      <w:r w:rsidRPr="00226B2E">
        <w:rPr>
          <w:b w:val="0"/>
          <w:bCs w:val="0"/>
          <w:i/>
          <w:iCs/>
        </w:rPr>
        <w:t>In the Matter of the Review of the Reconciliation Rider of Duke Energy Ohio, Inc.</w:t>
      </w:r>
      <w:r w:rsidRPr="00226B2E">
        <w:rPr>
          <w:b w:val="0"/>
          <w:bCs w:val="0"/>
        </w:rPr>
        <w:t xml:space="preserve">, Case No. 20-167-EL-RDR Audit Report at 53 (Oct. 21, 2020); </w:t>
      </w:r>
      <w:r w:rsidRPr="00226B2E">
        <w:rPr>
          <w:b w:val="0"/>
          <w:bCs w:val="0"/>
          <w:i/>
          <w:iCs/>
        </w:rPr>
        <w:t>In the Matter of the Review of the</w:t>
      </w:r>
      <w:r>
        <w:rPr>
          <w:b w:val="0"/>
          <w:bCs w:val="0"/>
          <w:i/>
          <w:iCs/>
        </w:rPr>
        <w:t xml:space="preserve"> Power Purchase Agreement Rider of</w:t>
      </w:r>
      <w:r w:rsidRPr="00226B2E">
        <w:rPr>
          <w:b w:val="0"/>
          <w:bCs w:val="0"/>
          <w:i/>
          <w:iCs/>
        </w:rPr>
        <w:t xml:space="preserve"> Ohio</w:t>
      </w:r>
      <w:r>
        <w:rPr>
          <w:b w:val="0"/>
          <w:bCs w:val="0"/>
          <w:i/>
          <w:iCs/>
        </w:rPr>
        <w:t xml:space="preserve"> Power Company for 2018,</w:t>
      </w:r>
      <w:r w:rsidRPr="00226B2E">
        <w:rPr>
          <w:b w:val="0"/>
          <w:bCs w:val="0"/>
        </w:rPr>
        <w:t xml:space="preserve"> Case No. 18-1004-EL-RDR Audit Report at 52 (Sept. 16, 2020).</w:t>
      </w:r>
    </w:p>
  </w:footnote>
  <w:footnote w:id="13">
    <w:p w:rsidR="00B136F6" w:rsidP="007E4803" w14:paraId="509B89D0" w14:textId="53FB5CAD">
      <w:pPr>
        <w:pStyle w:val="FootnoteText"/>
        <w:spacing w:after="120"/>
      </w:pPr>
      <w:r w:rsidRPr="007E4803">
        <w:rPr>
          <w:rStyle w:val="FootnoteReference"/>
          <w:b w:val="0"/>
          <w:bCs w:val="0"/>
        </w:rPr>
        <w:footnoteRef/>
      </w:r>
      <w:r w:rsidRPr="007E4803">
        <w:rPr>
          <w:b w:val="0"/>
          <w:bCs w:val="0"/>
        </w:rPr>
        <w:t xml:space="preserve"> </w:t>
      </w:r>
      <w:r w:rsidRPr="00226B2E">
        <w:rPr>
          <w:b w:val="0"/>
          <w:bCs w:val="0"/>
          <w:i/>
          <w:iCs/>
        </w:rPr>
        <w:t xml:space="preserve">In the Matter of the Review of the </w:t>
      </w:r>
      <w:r>
        <w:rPr>
          <w:b w:val="0"/>
          <w:bCs w:val="0"/>
          <w:i/>
          <w:iCs/>
        </w:rPr>
        <w:t xml:space="preserve">Power Purchase Agreement Rider of </w:t>
      </w:r>
      <w:r w:rsidRPr="00226B2E">
        <w:rPr>
          <w:b w:val="0"/>
          <w:bCs w:val="0"/>
          <w:i/>
          <w:iCs/>
        </w:rPr>
        <w:t>Ohio</w:t>
      </w:r>
      <w:r>
        <w:rPr>
          <w:b w:val="0"/>
          <w:bCs w:val="0"/>
          <w:i/>
          <w:iCs/>
        </w:rPr>
        <w:t xml:space="preserve"> Power Company for 2018</w:t>
      </w:r>
      <w:r w:rsidRPr="00226B2E">
        <w:rPr>
          <w:b w:val="0"/>
          <w:bCs w:val="0"/>
        </w:rPr>
        <w:t xml:space="preserve">, Case No. 18-1004-EL-RDR Audit Report at </w:t>
      </w:r>
      <w:r>
        <w:rPr>
          <w:b w:val="0"/>
          <w:bCs w:val="0"/>
        </w:rPr>
        <w:t>9</w:t>
      </w:r>
      <w:r w:rsidRPr="00226B2E">
        <w:rPr>
          <w:b w:val="0"/>
          <w:bCs w:val="0"/>
        </w:rPr>
        <w:t xml:space="preserve"> (Sept. 16, 2020).</w:t>
      </w:r>
    </w:p>
  </w:footnote>
  <w:footnote w:id="14">
    <w:p w:rsidR="00B136F6" w:rsidP="007E4803" w14:paraId="310935FE" w14:textId="05F9A9E7">
      <w:pPr>
        <w:pStyle w:val="FootnoteText"/>
        <w:spacing w:after="120"/>
      </w:pPr>
      <w:r w:rsidRPr="007E4803">
        <w:rPr>
          <w:rStyle w:val="FootnoteReference"/>
          <w:b w:val="0"/>
          <w:bCs w:val="0"/>
        </w:rPr>
        <w:footnoteRef/>
      </w:r>
      <w:r w:rsidRPr="007E4803">
        <w:rPr>
          <w:b w:val="0"/>
          <w:bCs w:val="0"/>
        </w:rPr>
        <w:t xml:space="preserve"> </w:t>
      </w:r>
      <w:r w:rsidRPr="00226B2E">
        <w:rPr>
          <w:b w:val="0"/>
          <w:bCs w:val="0"/>
          <w:i/>
          <w:iCs/>
        </w:rPr>
        <w:t xml:space="preserve">In re Ohio Power PPA Rider, </w:t>
      </w:r>
      <w:r w:rsidRPr="00226B2E">
        <w:rPr>
          <w:b w:val="0"/>
          <w:bCs w:val="0"/>
        </w:rPr>
        <w:t>Case No. 14-1693-EL-RDR Opinion and Order at 89 (Mar. 31, 2016)</w:t>
      </w:r>
      <w:r>
        <w:rPr>
          <w:b w:val="0"/>
          <w:bCs w:val="0"/>
        </w:rPr>
        <w:t>.</w:t>
      </w:r>
    </w:p>
  </w:footnote>
  <w:footnote w:id="15">
    <w:p w:rsidR="00B136F6" w:rsidRPr="00226B2E" w:rsidP="007E4803" w14:paraId="7CDCB0C9" w14:textId="7C0AEAD7">
      <w:pPr>
        <w:pStyle w:val="FootnoteText"/>
        <w:spacing w:after="120"/>
        <w:rPr>
          <w:b w:val="0"/>
        </w:rPr>
      </w:pPr>
      <w:r w:rsidRPr="007E4803">
        <w:rPr>
          <w:rStyle w:val="FootnoteReference"/>
          <w:b w:val="0"/>
          <w:bCs w:val="0"/>
        </w:rPr>
        <w:footnoteRef/>
      </w:r>
      <w:r w:rsidRPr="007E4803">
        <w:rPr>
          <w:b w:val="0"/>
          <w:bCs w:val="0"/>
        </w:rPr>
        <w:t xml:space="preserve"> </w:t>
      </w:r>
      <w:r w:rsidRPr="00226B2E">
        <w:rPr>
          <w:b w:val="0"/>
          <w:bCs w:val="0"/>
        </w:rPr>
        <w:t xml:space="preserve">Runnerstone, LLC, </w:t>
      </w:r>
      <w:r w:rsidRPr="00226B2E">
        <w:rPr>
          <w:b w:val="0"/>
          <w:bCs w:val="0"/>
          <w:i/>
          <w:iCs/>
        </w:rPr>
        <w:t xml:space="preserve">Ohio’s Costly – and Worsening – OVEC Situation </w:t>
      </w:r>
      <w:r w:rsidRPr="00226B2E">
        <w:rPr>
          <w:b w:val="0"/>
          <w:bCs w:val="0"/>
        </w:rPr>
        <w:t xml:space="preserve">at 1 (Nov. 12, 2020), available at: </w:t>
      </w:r>
      <w:hyperlink r:id="rId1" w:history="1">
        <w:r w:rsidRPr="00226B2E">
          <w:rPr>
            <w:rStyle w:val="Hyperlink"/>
            <w:b w:val="0"/>
            <w:bCs w:val="0"/>
          </w:rPr>
          <w:t>https://www.ohiomfg.com/wp-content/uploads/Ohios-Worsening-OVEC-Situation-11.9.2020-Final.pdf</w:t>
        </w:r>
      </w:hyperlink>
      <w:r>
        <w:rPr>
          <w:rStyle w:val="Hyperlink"/>
          <w:b w:val="0"/>
          <w:bCs w:val="0"/>
        </w:rPr>
        <w:t>.</w:t>
      </w:r>
    </w:p>
  </w:footnote>
  <w:footnote w:id="16">
    <w:p w:rsidR="00B136F6" w:rsidRPr="00A76D16" w:rsidP="007E4803" w14:paraId="5F96D4F7" w14:textId="2A44FC66">
      <w:pPr>
        <w:pStyle w:val="FootnoteText"/>
        <w:spacing w:after="120"/>
        <w:rPr>
          <w:b w:val="0"/>
          <w:bCs w:val="0"/>
        </w:rPr>
      </w:pPr>
      <w:r w:rsidRPr="007E4803">
        <w:rPr>
          <w:rStyle w:val="FootnoteReference"/>
          <w:b w:val="0"/>
          <w:bCs w:val="0"/>
        </w:rPr>
        <w:footnoteRef/>
      </w:r>
      <w:r w:rsidRPr="007E4803">
        <w:rPr>
          <w:b w:val="0"/>
          <w:bCs w:val="0"/>
        </w:rPr>
        <w:t xml:space="preserve"> </w:t>
      </w:r>
      <w:r>
        <w:rPr>
          <w:b w:val="0"/>
          <w:bCs w:val="0"/>
        </w:rPr>
        <w:t>Fitch Ratings, “</w:t>
      </w:r>
      <w:r>
        <w:rPr>
          <w:b w:val="0"/>
          <w:bCs w:val="0"/>
          <w:i/>
          <w:iCs/>
        </w:rPr>
        <w:t xml:space="preserve">Fitch Affirms Ohio Valley Electric Corp. at ‘BBB-‘; Outlook Stable” </w:t>
      </w:r>
      <w:r>
        <w:rPr>
          <w:b w:val="0"/>
          <w:bCs w:val="0"/>
        </w:rPr>
        <w:t>(Feb. 26, 2021).</w:t>
      </w:r>
    </w:p>
  </w:footnote>
  <w:footnote w:id="17">
    <w:p w:rsidR="00B136F6" w:rsidRPr="00C10DD8" w:rsidP="007E4803" w14:paraId="0A8D3009" w14:textId="17934620">
      <w:pPr>
        <w:pStyle w:val="FootnoteText"/>
        <w:spacing w:after="120"/>
        <w:rPr>
          <w:b w:val="0"/>
          <w:bCs w:val="0"/>
        </w:rPr>
      </w:pPr>
      <w:r w:rsidRPr="00C10DD8">
        <w:rPr>
          <w:rStyle w:val="FootnoteReference"/>
          <w:b w:val="0"/>
          <w:bCs w:val="0"/>
        </w:rPr>
        <w:footnoteRef/>
      </w:r>
      <w:r w:rsidRPr="00C10DD8">
        <w:rPr>
          <w:b w:val="0"/>
          <w:bCs w:val="0"/>
        </w:rPr>
        <w:t xml:space="preserve"> </w:t>
      </w:r>
      <w:r w:rsidRPr="00226B2E">
        <w:rPr>
          <w:b w:val="0"/>
          <w:bCs w:val="0"/>
          <w:i/>
          <w:iCs/>
        </w:rPr>
        <w:t>In the Matter of the Review</w:t>
      </w:r>
      <w:r>
        <w:rPr>
          <w:b w:val="0"/>
          <w:bCs w:val="0"/>
          <w:i/>
          <w:iCs/>
        </w:rPr>
        <w:t xml:space="preserve"> </w:t>
      </w:r>
      <w:r w:rsidRPr="00226B2E">
        <w:rPr>
          <w:b w:val="0"/>
          <w:bCs w:val="0"/>
          <w:i/>
          <w:iCs/>
        </w:rPr>
        <w:t>of the</w:t>
      </w:r>
      <w:r>
        <w:rPr>
          <w:b w:val="0"/>
          <w:bCs w:val="0"/>
          <w:i/>
          <w:iCs/>
        </w:rPr>
        <w:t xml:space="preserve"> </w:t>
      </w:r>
      <w:r w:rsidR="00514442">
        <w:rPr>
          <w:b w:val="0"/>
          <w:bCs w:val="0"/>
          <w:i/>
          <w:iCs/>
        </w:rPr>
        <w:t>Reconciliation</w:t>
      </w:r>
      <w:r>
        <w:rPr>
          <w:b w:val="0"/>
          <w:bCs w:val="0"/>
          <w:i/>
          <w:iCs/>
        </w:rPr>
        <w:t xml:space="preserve"> Rider of</w:t>
      </w:r>
      <w:r w:rsidRPr="00226B2E">
        <w:rPr>
          <w:b w:val="0"/>
          <w:bCs w:val="0"/>
          <w:i/>
          <w:iCs/>
        </w:rPr>
        <w:t xml:space="preserve"> </w:t>
      </w:r>
      <w:r w:rsidR="00514442">
        <w:rPr>
          <w:b w:val="0"/>
          <w:bCs w:val="0"/>
          <w:i/>
          <w:iCs/>
        </w:rPr>
        <w:t>The Dayton Power and Light</w:t>
      </w:r>
      <w:r>
        <w:rPr>
          <w:b w:val="0"/>
          <w:bCs w:val="0"/>
          <w:i/>
          <w:iCs/>
        </w:rPr>
        <w:t xml:space="preserve"> Company,</w:t>
      </w:r>
      <w:r w:rsidRPr="00226B2E">
        <w:rPr>
          <w:b w:val="0"/>
          <w:bCs w:val="0"/>
        </w:rPr>
        <w:t xml:space="preserve"> Case No. </w:t>
      </w:r>
      <w:r w:rsidR="00514442">
        <w:rPr>
          <w:b w:val="0"/>
          <w:bCs w:val="0"/>
        </w:rPr>
        <w:t>20</w:t>
      </w:r>
      <w:r w:rsidRPr="00226B2E">
        <w:rPr>
          <w:b w:val="0"/>
          <w:bCs w:val="0"/>
        </w:rPr>
        <w:t>-1</w:t>
      </w:r>
      <w:r w:rsidR="00514442">
        <w:rPr>
          <w:b w:val="0"/>
          <w:bCs w:val="0"/>
        </w:rPr>
        <w:t>65</w:t>
      </w:r>
      <w:r w:rsidRPr="00226B2E">
        <w:rPr>
          <w:b w:val="0"/>
          <w:bCs w:val="0"/>
        </w:rPr>
        <w:t xml:space="preserve">-EL-RDR </w:t>
      </w:r>
      <w:r w:rsidRPr="00C10DD8">
        <w:rPr>
          <w:b w:val="0"/>
          <w:bCs w:val="0"/>
        </w:rPr>
        <w:t>Entry at ¶ 1</w:t>
      </w:r>
      <w:r w:rsidR="00514442">
        <w:rPr>
          <w:b w:val="0"/>
          <w:bCs w:val="0"/>
        </w:rPr>
        <w:t>6</w:t>
      </w:r>
      <w:r w:rsidRPr="00C10DD8">
        <w:rPr>
          <w:b w:val="0"/>
          <w:bCs w:val="0"/>
        </w:rPr>
        <w:t xml:space="preserve"> (</w:t>
      </w:r>
      <w:r w:rsidR="00514442">
        <w:rPr>
          <w:b w:val="0"/>
          <w:bCs w:val="0"/>
        </w:rPr>
        <w:t>March 11</w:t>
      </w:r>
      <w:r w:rsidRPr="00C10DD8">
        <w:rPr>
          <w:b w:val="0"/>
          <w:bCs w:val="0"/>
        </w:rPr>
        <w:t>, 2020) (</w:t>
      </w:r>
      <w:r>
        <w:rPr>
          <w:b w:val="0"/>
          <w:bCs w:val="0"/>
        </w:rPr>
        <w:t>E</w:t>
      </w:r>
      <w:r w:rsidRPr="00C10DD8">
        <w:rPr>
          <w:b w:val="0"/>
          <w:bCs w:val="0"/>
        </w:rPr>
        <w:t>mphasis added).</w:t>
      </w:r>
    </w:p>
  </w:footnote>
  <w:footnote w:id="18">
    <w:p w:rsidR="00B136F6" w:rsidRPr="00C10DD8" w:rsidP="007E4803" w14:paraId="3F5CE4BE" w14:textId="037838EC">
      <w:pPr>
        <w:pStyle w:val="FootnoteText"/>
        <w:spacing w:after="120"/>
        <w:rPr>
          <w:b w:val="0"/>
          <w:bCs w:val="0"/>
        </w:rPr>
      </w:pPr>
      <w:r w:rsidRPr="009F3AC6">
        <w:rPr>
          <w:rStyle w:val="FootnoteReference"/>
          <w:b w:val="0"/>
          <w:bCs w:val="0"/>
        </w:rPr>
        <w:footnoteRef/>
      </w:r>
      <w:r>
        <w:t xml:space="preserve"> </w:t>
      </w:r>
      <w:r w:rsidRPr="007E4803">
        <w:rPr>
          <w:b w:val="0"/>
          <w:bCs w:val="0"/>
        </w:rPr>
        <w:t>O</w:t>
      </w:r>
      <w:r>
        <w:rPr>
          <w:b w:val="0"/>
          <w:bCs w:val="0"/>
        </w:rPr>
        <w:t>hio Admin. Code 4901-1-21(N); Civ. R. 32.</w:t>
      </w:r>
    </w:p>
  </w:footnote>
  <w:footnote w:id="19">
    <w:p w:rsidR="00B136F6" w:rsidRPr="00C10DD8" w:rsidP="007E4803" w14:paraId="433C411C" w14:textId="1681169D">
      <w:pPr>
        <w:pStyle w:val="FootnoteText"/>
        <w:spacing w:after="120"/>
        <w:rPr>
          <w:b w:val="0"/>
          <w:bCs w:val="0"/>
          <w:i/>
          <w:iCs/>
        </w:rPr>
      </w:pPr>
      <w:r w:rsidRPr="007E4803">
        <w:rPr>
          <w:rStyle w:val="FootnoteReference"/>
          <w:b w:val="0"/>
          <w:bCs w:val="0"/>
        </w:rPr>
        <w:footnoteRef/>
      </w:r>
      <w:r w:rsidRPr="007E4803">
        <w:rPr>
          <w:b w:val="0"/>
          <w:bCs w:val="0"/>
        </w:rPr>
        <w:t xml:space="preserve"> </w:t>
      </w:r>
      <w:r>
        <w:rPr>
          <w:b w:val="0"/>
          <w:bCs w:val="0"/>
        </w:rPr>
        <w:t>PUCO Audit Report of AEP at 52.</w:t>
      </w:r>
    </w:p>
  </w:footnote>
  <w:footnote w:id="20">
    <w:p w:rsidR="00B136F6" w:rsidRPr="00C10DD8" w:rsidP="007E4803" w14:paraId="3A982930" w14:textId="40246779">
      <w:pPr>
        <w:pStyle w:val="FootnoteText"/>
        <w:spacing w:after="120"/>
        <w:rPr>
          <w:b w:val="0"/>
          <w:bCs w:val="0"/>
        </w:rPr>
      </w:pPr>
      <w:r w:rsidRPr="007E4803">
        <w:rPr>
          <w:rStyle w:val="FootnoteReference"/>
          <w:b w:val="0"/>
          <w:bCs w:val="0"/>
        </w:rPr>
        <w:footnoteRef/>
      </w:r>
      <w:r w:rsidRPr="007E4803">
        <w:rPr>
          <w:b w:val="0"/>
          <w:bCs w:val="0"/>
        </w:rPr>
        <w:t xml:space="preserve"> </w:t>
      </w:r>
      <w:r>
        <w:rPr>
          <w:b w:val="0"/>
          <w:bCs w:val="0"/>
        </w:rPr>
        <w:t>PUCO Audit Report of AEP at 53.</w:t>
      </w:r>
    </w:p>
  </w:footnote>
  <w:footnote w:id="21">
    <w:p w:rsidR="00B136F6" w:rsidRPr="00C10DD8" w:rsidP="007E4803" w14:paraId="5A489F42" w14:textId="6D060AFC">
      <w:pPr>
        <w:pStyle w:val="FootnoteText"/>
        <w:spacing w:after="120"/>
        <w:rPr>
          <w:b w:val="0"/>
          <w:bCs w:val="0"/>
          <w:i/>
          <w:iCs/>
        </w:rPr>
      </w:pPr>
      <w:r w:rsidRPr="007E4803">
        <w:rPr>
          <w:rStyle w:val="FootnoteReference"/>
          <w:b w:val="0"/>
          <w:bCs w:val="0"/>
        </w:rPr>
        <w:footnoteRef/>
      </w:r>
      <w:r w:rsidRPr="007E4803">
        <w:rPr>
          <w:b w:val="0"/>
          <w:bCs w:val="0"/>
        </w:rPr>
        <w:t xml:space="preserve"> </w:t>
      </w:r>
      <w:r w:rsidRPr="00226B2E">
        <w:rPr>
          <w:b w:val="0"/>
          <w:bCs w:val="0"/>
          <w:i/>
          <w:iCs/>
        </w:rPr>
        <w:t xml:space="preserve">In re Ohio Power PPA Rider, </w:t>
      </w:r>
      <w:r w:rsidRPr="00226B2E">
        <w:rPr>
          <w:b w:val="0"/>
          <w:bCs w:val="0"/>
        </w:rPr>
        <w:t>Case No. 14-1693-EL-RDR Opinion and Order at 89 (Mar. 31, 2016)</w:t>
      </w:r>
      <w:r>
        <w:rPr>
          <w:b w:val="0"/>
          <w:bCs w:val="0"/>
        </w:rPr>
        <w:t>.</w:t>
      </w:r>
    </w:p>
  </w:footnote>
  <w:footnote w:id="22">
    <w:p w:rsidR="00B136F6" w:rsidRPr="00C10DD8" w:rsidP="007E4803" w14:paraId="64941849" w14:textId="072CF3FA">
      <w:pPr>
        <w:pStyle w:val="FootnoteText"/>
        <w:spacing w:after="120"/>
        <w:rPr>
          <w:b w:val="0"/>
          <w:bCs w:val="0"/>
        </w:rPr>
      </w:pPr>
      <w:r w:rsidRPr="00C10DD8">
        <w:rPr>
          <w:rStyle w:val="FootnoteReference"/>
          <w:b w:val="0"/>
          <w:bCs w:val="0"/>
        </w:rPr>
        <w:footnoteRef/>
      </w:r>
      <w:r w:rsidRPr="00C10DD8">
        <w:rPr>
          <w:b w:val="0"/>
          <w:bCs w:val="0"/>
        </w:rPr>
        <w:t xml:space="preserve"> </w:t>
      </w:r>
      <w:r w:rsidRPr="00226B2E">
        <w:rPr>
          <w:b w:val="0"/>
          <w:bCs w:val="0"/>
          <w:i/>
          <w:iCs/>
        </w:rPr>
        <w:t>In the Matter of the Review</w:t>
      </w:r>
      <w:r>
        <w:rPr>
          <w:b w:val="0"/>
          <w:bCs w:val="0"/>
          <w:i/>
          <w:iCs/>
        </w:rPr>
        <w:t xml:space="preserve"> </w:t>
      </w:r>
      <w:r w:rsidRPr="00226B2E">
        <w:rPr>
          <w:b w:val="0"/>
          <w:bCs w:val="0"/>
          <w:i/>
          <w:iCs/>
        </w:rPr>
        <w:t>of the</w:t>
      </w:r>
      <w:r>
        <w:rPr>
          <w:b w:val="0"/>
          <w:bCs w:val="0"/>
          <w:i/>
          <w:iCs/>
        </w:rPr>
        <w:t xml:space="preserve"> Reconciliation Rider of</w:t>
      </w:r>
      <w:r w:rsidRPr="00226B2E">
        <w:rPr>
          <w:b w:val="0"/>
          <w:bCs w:val="0"/>
          <w:i/>
          <w:iCs/>
        </w:rPr>
        <w:t xml:space="preserve"> </w:t>
      </w:r>
      <w:r>
        <w:rPr>
          <w:b w:val="0"/>
          <w:bCs w:val="0"/>
          <w:i/>
          <w:iCs/>
        </w:rPr>
        <w:t>The Dayton Power and Light Company,</w:t>
      </w:r>
      <w:r w:rsidRPr="00226B2E">
        <w:rPr>
          <w:b w:val="0"/>
          <w:bCs w:val="0"/>
        </w:rPr>
        <w:t xml:space="preserve"> Case No. </w:t>
      </w:r>
      <w:r>
        <w:rPr>
          <w:b w:val="0"/>
          <w:bCs w:val="0"/>
        </w:rPr>
        <w:t>20</w:t>
      </w:r>
      <w:r w:rsidRPr="00226B2E">
        <w:rPr>
          <w:b w:val="0"/>
          <w:bCs w:val="0"/>
        </w:rPr>
        <w:t>-1</w:t>
      </w:r>
      <w:r w:rsidR="00F95BBA">
        <w:rPr>
          <w:b w:val="0"/>
          <w:bCs w:val="0"/>
        </w:rPr>
        <w:t>65</w:t>
      </w:r>
      <w:r w:rsidRPr="00226B2E">
        <w:rPr>
          <w:b w:val="0"/>
          <w:bCs w:val="0"/>
        </w:rPr>
        <w:t xml:space="preserve">-EL-RDR </w:t>
      </w:r>
      <w:r w:rsidRPr="00C10DD8">
        <w:rPr>
          <w:b w:val="0"/>
          <w:bCs w:val="0"/>
        </w:rPr>
        <w:t>Entry at ¶ 1</w:t>
      </w:r>
      <w:r>
        <w:rPr>
          <w:b w:val="0"/>
          <w:bCs w:val="0"/>
        </w:rPr>
        <w:t>6</w:t>
      </w:r>
      <w:r w:rsidRPr="00C10DD8">
        <w:rPr>
          <w:b w:val="0"/>
          <w:bCs w:val="0"/>
        </w:rPr>
        <w:t xml:space="preserve"> (</w:t>
      </w:r>
      <w:r>
        <w:rPr>
          <w:b w:val="0"/>
          <w:bCs w:val="0"/>
        </w:rPr>
        <w:t>March 11</w:t>
      </w:r>
      <w:r w:rsidRPr="00C10DD8">
        <w:rPr>
          <w:b w:val="0"/>
          <w:bCs w:val="0"/>
        </w:rPr>
        <w:t>, 2020) (</w:t>
      </w:r>
      <w:r>
        <w:rPr>
          <w:b w:val="0"/>
          <w:bCs w:val="0"/>
        </w:rPr>
        <w:t>E</w:t>
      </w:r>
      <w:r w:rsidRPr="00C10DD8">
        <w:rPr>
          <w:b w:val="0"/>
          <w:bCs w:val="0"/>
        </w:rPr>
        <w:t>mphasis added).</w:t>
      </w:r>
    </w:p>
  </w:footnote>
  <w:footnote w:id="23">
    <w:p w:rsidR="00B136F6" w:rsidRPr="00226B2E" w:rsidP="007E4803" w14:paraId="62D3808B" w14:textId="5042B62B">
      <w:pPr>
        <w:pStyle w:val="FootnoteText"/>
        <w:spacing w:after="120"/>
        <w:rPr>
          <w:b w:val="0"/>
          <w:i/>
        </w:rPr>
      </w:pPr>
      <w:r w:rsidRPr="007E4803">
        <w:rPr>
          <w:rStyle w:val="FootnoteReference"/>
          <w:b w:val="0"/>
          <w:bCs w:val="0"/>
        </w:rPr>
        <w:footnoteRef/>
      </w:r>
      <w:r w:rsidRPr="007E4803">
        <w:rPr>
          <w:b w:val="0"/>
          <w:bCs w:val="0"/>
        </w:rPr>
        <w:t xml:space="preserve"> </w:t>
      </w:r>
      <w:r w:rsidRPr="00226B2E">
        <w:rPr>
          <w:b w:val="0"/>
          <w:bCs w:val="0"/>
          <w:i/>
          <w:iCs/>
        </w:rPr>
        <w:t xml:space="preserve">In re Ohio Power PPA Rider, </w:t>
      </w:r>
      <w:r w:rsidRPr="00226B2E">
        <w:rPr>
          <w:b w:val="0"/>
          <w:bCs w:val="0"/>
        </w:rPr>
        <w:t>Case No. 14-1693-EL-RDR Opinion and Order at 89 (Mar. 31, 2016)</w:t>
      </w:r>
      <w:r>
        <w:rPr>
          <w:b w:val="0"/>
          <w:bCs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6F6" w14:paraId="1FF387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4E47EED"/>
    <w:multiLevelType w:val="hybridMultilevel"/>
    <w:tmpl w:val="3662D7FA"/>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0"/>
  </w:num>
  <w:num w:numId="6">
    <w:abstractNumId w:val="0"/>
    <w:lvlOverride w:ilvl="0">
      <w:startOverride w:val="1"/>
    </w:lvlOverride>
  </w:num>
  <w:num w:numId="7">
    <w:abstractNumId w:val="0"/>
    <w:lvlOverride w:ilvl="0">
      <w:startOverride w:val="1"/>
    </w:lvlOverride>
  </w:num>
  <w:num w:numId="8">
    <w:abstractNumId w:val="1"/>
  </w:num>
  <w:num w:numId="9">
    <w:abstractNumId w:val="12"/>
  </w:num>
  <w:num w:numId="10">
    <w:abstractNumId w:val="11"/>
  </w:num>
  <w:num w:numId="11">
    <w:abstractNumId w:val="7"/>
  </w:num>
  <w:num w:numId="12">
    <w:abstractNumId w:val="10"/>
  </w:num>
  <w:num w:numId="13">
    <w:abstractNumId w:val="13"/>
  </w:num>
  <w:num w:numId="14">
    <w:abstractNumId w:val="6"/>
  </w:num>
  <w:num w:numId="15">
    <w:abstractNumId w:val="5"/>
  </w:num>
  <w:num w:numId="16">
    <w:abstractNumId w:val="6"/>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numStart w:val="2"/>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5108"/>
    <w:rsid w:val="00007A01"/>
    <w:rsid w:val="00012B24"/>
    <w:rsid w:val="00013800"/>
    <w:rsid w:val="00025E6F"/>
    <w:rsid w:val="00032005"/>
    <w:rsid w:val="00032099"/>
    <w:rsid w:val="00037357"/>
    <w:rsid w:val="00041AE8"/>
    <w:rsid w:val="0004267F"/>
    <w:rsid w:val="000551AB"/>
    <w:rsid w:val="00061C44"/>
    <w:rsid w:val="00064762"/>
    <w:rsid w:val="0006540C"/>
    <w:rsid w:val="00065D7B"/>
    <w:rsid w:val="00070701"/>
    <w:rsid w:val="00072899"/>
    <w:rsid w:val="0007352B"/>
    <w:rsid w:val="000818A9"/>
    <w:rsid w:val="00087869"/>
    <w:rsid w:val="00092E7F"/>
    <w:rsid w:val="00093263"/>
    <w:rsid w:val="00096478"/>
    <w:rsid w:val="000969A8"/>
    <w:rsid w:val="00097A34"/>
    <w:rsid w:val="00097E7A"/>
    <w:rsid w:val="000A1DED"/>
    <w:rsid w:val="000B0E98"/>
    <w:rsid w:val="000B1D1F"/>
    <w:rsid w:val="000B2075"/>
    <w:rsid w:val="000B7479"/>
    <w:rsid w:val="000C0A43"/>
    <w:rsid w:val="000C3A86"/>
    <w:rsid w:val="000C7E23"/>
    <w:rsid w:val="000C7E80"/>
    <w:rsid w:val="000D0EC3"/>
    <w:rsid w:val="000D18C7"/>
    <w:rsid w:val="000D1C5E"/>
    <w:rsid w:val="000D40A1"/>
    <w:rsid w:val="000D68F5"/>
    <w:rsid w:val="000E1A1F"/>
    <w:rsid w:val="000E1C1B"/>
    <w:rsid w:val="000E7EDB"/>
    <w:rsid w:val="000F0F5F"/>
    <w:rsid w:val="000F1514"/>
    <w:rsid w:val="000F1B21"/>
    <w:rsid w:val="000F747E"/>
    <w:rsid w:val="000F74D3"/>
    <w:rsid w:val="0010262B"/>
    <w:rsid w:val="00104905"/>
    <w:rsid w:val="00117595"/>
    <w:rsid w:val="00122815"/>
    <w:rsid w:val="00123326"/>
    <w:rsid w:val="00126CB5"/>
    <w:rsid w:val="00131CEE"/>
    <w:rsid w:val="001357A9"/>
    <w:rsid w:val="00135E70"/>
    <w:rsid w:val="00137700"/>
    <w:rsid w:val="00145FB3"/>
    <w:rsid w:val="00155A7B"/>
    <w:rsid w:val="00165A92"/>
    <w:rsid w:val="00180959"/>
    <w:rsid w:val="0018269A"/>
    <w:rsid w:val="001862C2"/>
    <w:rsid w:val="00197020"/>
    <w:rsid w:val="001A1ADB"/>
    <w:rsid w:val="001A21F1"/>
    <w:rsid w:val="001A52B2"/>
    <w:rsid w:val="001B19CC"/>
    <w:rsid w:val="001B4EE5"/>
    <w:rsid w:val="001B580C"/>
    <w:rsid w:val="001B616C"/>
    <w:rsid w:val="001B77D9"/>
    <w:rsid w:val="001C389B"/>
    <w:rsid w:val="001C4B65"/>
    <w:rsid w:val="001C7147"/>
    <w:rsid w:val="001C7CBF"/>
    <w:rsid w:val="001D115B"/>
    <w:rsid w:val="001D177D"/>
    <w:rsid w:val="001D1E48"/>
    <w:rsid w:val="001D3461"/>
    <w:rsid w:val="001D5906"/>
    <w:rsid w:val="001D5D8C"/>
    <w:rsid w:val="001D6014"/>
    <w:rsid w:val="001D7401"/>
    <w:rsid w:val="001F143D"/>
    <w:rsid w:val="002004DA"/>
    <w:rsid w:val="0020073C"/>
    <w:rsid w:val="002010C3"/>
    <w:rsid w:val="002052E9"/>
    <w:rsid w:val="0020621B"/>
    <w:rsid w:val="00212805"/>
    <w:rsid w:val="00212CAF"/>
    <w:rsid w:val="00213019"/>
    <w:rsid w:val="00216499"/>
    <w:rsid w:val="00216E45"/>
    <w:rsid w:val="00225D30"/>
    <w:rsid w:val="00226B2E"/>
    <w:rsid w:val="002326CA"/>
    <w:rsid w:val="00246EED"/>
    <w:rsid w:val="002521DB"/>
    <w:rsid w:val="00254D5B"/>
    <w:rsid w:val="00255992"/>
    <w:rsid w:val="00262784"/>
    <w:rsid w:val="0026389F"/>
    <w:rsid w:val="0027499C"/>
    <w:rsid w:val="00281A60"/>
    <w:rsid w:val="002865C3"/>
    <w:rsid w:val="002900A1"/>
    <w:rsid w:val="0029145D"/>
    <w:rsid w:val="00292F68"/>
    <w:rsid w:val="002932B7"/>
    <w:rsid w:val="002A7869"/>
    <w:rsid w:val="002B0AE1"/>
    <w:rsid w:val="002B539C"/>
    <w:rsid w:val="002C6236"/>
    <w:rsid w:val="002C79E0"/>
    <w:rsid w:val="002D1093"/>
    <w:rsid w:val="002D2FD9"/>
    <w:rsid w:val="002D716C"/>
    <w:rsid w:val="002E14B0"/>
    <w:rsid w:val="002E2A07"/>
    <w:rsid w:val="002E2DA8"/>
    <w:rsid w:val="002E596C"/>
    <w:rsid w:val="002F0842"/>
    <w:rsid w:val="002F6AF5"/>
    <w:rsid w:val="00301EC0"/>
    <w:rsid w:val="00302580"/>
    <w:rsid w:val="00302D3F"/>
    <w:rsid w:val="00315987"/>
    <w:rsid w:val="003159AC"/>
    <w:rsid w:val="00317B9B"/>
    <w:rsid w:val="00320A0A"/>
    <w:rsid w:val="00322213"/>
    <w:rsid w:val="00322352"/>
    <w:rsid w:val="0032557B"/>
    <w:rsid w:val="00326642"/>
    <w:rsid w:val="00326F5B"/>
    <w:rsid w:val="0033153E"/>
    <w:rsid w:val="00335924"/>
    <w:rsid w:val="003379E1"/>
    <w:rsid w:val="0034206D"/>
    <w:rsid w:val="0035164C"/>
    <w:rsid w:val="0035739A"/>
    <w:rsid w:val="003614AA"/>
    <w:rsid w:val="003635AC"/>
    <w:rsid w:val="00366615"/>
    <w:rsid w:val="00373483"/>
    <w:rsid w:val="003754F0"/>
    <w:rsid w:val="00384988"/>
    <w:rsid w:val="00384D72"/>
    <w:rsid w:val="0038588B"/>
    <w:rsid w:val="00386DD7"/>
    <w:rsid w:val="003875F6"/>
    <w:rsid w:val="003932EA"/>
    <w:rsid w:val="00394390"/>
    <w:rsid w:val="003A07D2"/>
    <w:rsid w:val="003A55E1"/>
    <w:rsid w:val="003A6394"/>
    <w:rsid w:val="003A6E86"/>
    <w:rsid w:val="003B0510"/>
    <w:rsid w:val="003B1B2E"/>
    <w:rsid w:val="003B4221"/>
    <w:rsid w:val="003B5E77"/>
    <w:rsid w:val="003B7D4B"/>
    <w:rsid w:val="003C0F3D"/>
    <w:rsid w:val="003C29B0"/>
    <w:rsid w:val="003C60F7"/>
    <w:rsid w:val="003D0D32"/>
    <w:rsid w:val="003D2593"/>
    <w:rsid w:val="003D41DE"/>
    <w:rsid w:val="003D5002"/>
    <w:rsid w:val="003F1E55"/>
    <w:rsid w:val="003F7232"/>
    <w:rsid w:val="004000BC"/>
    <w:rsid w:val="004011B2"/>
    <w:rsid w:val="00403814"/>
    <w:rsid w:val="00410724"/>
    <w:rsid w:val="004166D3"/>
    <w:rsid w:val="00416A44"/>
    <w:rsid w:val="004236E5"/>
    <w:rsid w:val="00425C33"/>
    <w:rsid w:val="00426455"/>
    <w:rsid w:val="00430DCE"/>
    <w:rsid w:val="00435759"/>
    <w:rsid w:val="00436C05"/>
    <w:rsid w:val="00443CB0"/>
    <w:rsid w:val="00444A99"/>
    <w:rsid w:val="00451E0C"/>
    <w:rsid w:val="00454EDF"/>
    <w:rsid w:val="00460041"/>
    <w:rsid w:val="00464DC6"/>
    <w:rsid w:val="00465FE5"/>
    <w:rsid w:val="00472552"/>
    <w:rsid w:val="0048520C"/>
    <w:rsid w:val="00492A3E"/>
    <w:rsid w:val="00494F12"/>
    <w:rsid w:val="004A2301"/>
    <w:rsid w:val="004A3104"/>
    <w:rsid w:val="004A4B13"/>
    <w:rsid w:val="004A550B"/>
    <w:rsid w:val="004A5A15"/>
    <w:rsid w:val="004A68B5"/>
    <w:rsid w:val="004A6E82"/>
    <w:rsid w:val="004B3AD5"/>
    <w:rsid w:val="004B4315"/>
    <w:rsid w:val="004B4E5E"/>
    <w:rsid w:val="004B76AB"/>
    <w:rsid w:val="004C1145"/>
    <w:rsid w:val="004C1FE5"/>
    <w:rsid w:val="004C6B46"/>
    <w:rsid w:val="004C7A47"/>
    <w:rsid w:val="004D2592"/>
    <w:rsid w:val="004E125D"/>
    <w:rsid w:val="004E517B"/>
    <w:rsid w:val="004E609D"/>
    <w:rsid w:val="004E6490"/>
    <w:rsid w:val="004E7B62"/>
    <w:rsid w:val="004F5265"/>
    <w:rsid w:val="004F5268"/>
    <w:rsid w:val="004F5DD3"/>
    <w:rsid w:val="004F6201"/>
    <w:rsid w:val="005056D9"/>
    <w:rsid w:val="00505CBB"/>
    <w:rsid w:val="00506D9E"/>
    <w:rsid w:val="00510A6D"/>
    <w:rsid w:val="00511BFC"/>
    <w:rsid w:val="00514442"/>
    <w:rsid w:val="00516BC5"/>
    <w:rsid w:val="005173D2"/>
    <w:rsid w:val="005179EC"/>
    <w:rsid w:val="00517C19"/>
    <w:rsid w:val="005262CF"/>
    <w:rsid w:val="00526F44"/>
    <w:rsid w:val="00530075"/>
    <w:rsid w:val="005319CF"/>
    <w:rsid w:val="00534558"/>
    <w:rsid w:val="00535039"/>
    <w:rsid w:val="00540469"/>
    <w:rsid w:val="0054169A"/>
    <w:rsid w:val="00542F15"/>
    <w:rsid w:val="0054329A"/>
    <w:rsid w:val="00544DD2"/>
    <w:rsid w:val="005476B8"/>
    <w:rsid w:val="00551B51"/>
    <w:rsid w:val="005533EE"/>
    <w:rsid w:val="00555CB9"/>
    <w:rsid w:val="005569DF"/>
    <w:rsid w:val="00556FBE"/>
    <w:rsid w:val="005759D6"/>
    <w:rsid w:val="0058098D"/>
    <w:rsid w:val="00580ECF"/>
    <w:rsid w:val="00580F2B"/>
    <w:rsid w:val="00583507"/>
    <w:rsid w:val="005901C9"/>
    <w:rsid w:val="0059155A"/>
    <w:rsid w:val="005944FB"/>
    <w:rsid w:val="00594693"/>
    <w:rsid w:val="005A087E"/>
    <w:rsid w:val="005A19B8"/>
    <w:rsid w:val="005A1E45"/>
    <w:rsid w:val="005A2FA6"/>
    <w:rsid w:val="005B15BD"/>
    <w:rsid w:val="005B20DF"/>
    <w:rsid w:val="005B3D08"/>
    <w:rsid w:val="005B3F02"/>
    <w:rsid w:val="005B74FF"/>
    <w:rsid w:val="005C3F48"/>
    <w:rsid w:val="005C79BA"/>
    <w:rsid w:val="005D6FF7"/>
    <w:rsid w:val="005E0327"/>
    <w:rsid w:val="005E5E4D"/>
    <w:rsid w:val="005F575C"/>
    <w:rsid w:val="0060145B"/>
    <w:rsid w:val="00605694"/>
    <w:rsid w:val="006170B9"/>
    <w:rsid w:val="00624885"/>
    <w:rsid w:val="00627720"/>
    <w:rsid w:val="006360EE"/>
    <w:rsid w:val="006363B6"/>
    <w:rsid w:val="00637B9B"/>
    <w:rsid w:val="00645FB8"/>
    <w:rsid w:val="00651334"/>
    <w:rsid w:val="006515DD"/>
    <w:rsid w:val="0065353B"/>
    <w:rsid w:val="00653A42"/>
    <w:rsid w:val="00656B4A"/>
    <w:rsid w:val="006572D2"/>
    <w:rsid w:val="00657FE2"/>
    <w:rsid w:val="006648A3"/>
    <w:rsid w:val="00664962"/>
    <w:rsid w:val="00665707"/>
    <w:rsid w:val="00671A30"/>
    <w:rsid w:val="00674312"/>
    <w:rsid w:val="00674B4F"/>
    <w:rsid w:val="006756C7"/>
    <w:rsid w:val="006775FF"/>
    <w:rsid w:val="006868C2"/>
    <w:rsid w:val="00690E56"/>
    <w:rsid w:val="00694BAF"/>
    <w:rsid w:val="006A16DF"/>
    <w:rsid w:val="006B2111"/>
    <w:rsid w:val="006C0B2B"/>
    <w:rsid w:val="006C6DDD"/>
    <w:rsid w:val="006D1B1C"/>
    <w:rsid w:val="006D2609"/>
    <w:rsid w:val="006D3BE2"/>
    <w:rsid w:val="006D4D67"/>
    <w:rsid w:val="006E053D"/>
    <w:rsid w:val="006E3B97"/>
    <w:rsid w:val="006F78D8"/>
    <w:rsid w:val="0070041D"/>
    <w:rsid w:val="00702604"/>
    <w:rsid w:val="00702D8B"/>
    <w:rsid w:val="00707FA3"/>
    <w:rsid w:val="00712279"/>
    <w:rsid w:val="00725131"/>
    <w:rsid w:val="00725FB4"/>
    <w:rsid w:val="00727217"/>
    <w:rsid w:val="00731561"/>
    <w:rsid w:val="0073660E"/>
    <w:rsid w:val="007366AD"/>
    <w:rsid w:val="00737BDE"/>
    <w:rsid w:val="007418CA"/>
    <w:rsid w:val="00742252"/>
    <w:rsid w:val="00743712"/>
    <w:rsid w:val="00744229"/>
    <w:rsid w:val="00746654"/>
    <w:rsid w:val="00754ABD"/>
    <w:rsid w:val="007573AA"/>
    <w:rsid w:val="00760078"/>
    <w:rsid w:val="00763922"/>
    <w:rsid w:val="007652A3"/>
    <w:rsid w:val="007675F4"/>
    <w:rsid w:val="00767B1C"/>
    <w:rsid w:val="00772F59"/>
    <w:rsid w:val="007754A0"/>
    <w:rsid w:val="007801D9"/>
    <w:rsid w:val="007826DB"/>
    <w:rsid w:val="00790A2D"/>
    <w:rsid w:val="00790CC7"/>
    <w:rsid w:val="007A10AF"/>
    <w:rsid w:val="007A23D8"/>
    <w:rsid w:val="007B31B2"/>
    <w:rsid w:val="007B4259"/>
    <w:rsid w:val="007B7E3B"/>
    <w:rsid w:val="007C08D1"/>
    <w:rsid w:val="007C5F92"/>
    <w:rsid w:val="007C63DE"/>
    <w:rsid w:val="007C6944"/>
    <w:rsid w:val="007C7F06"/>
    <w:rsid w:val="007D23A2"/>
    <w:rsid w:val="007D34A9"/>
    <w:rsid w:val="007D42BC"/>
    <w:rsid w:val="007D4800"/>
    <w:rsid w:val="007D5944"/>
    <w:rsid w:val="007D5C48"/>
    <w:rsid w:val="007E2339"/>
    <w:rsid w:val="007E288E"/>
    <w:rsid w:val="007E4322"/>
    <w:rsid w:val="007E4803"/>
    <w:rsid w:val="007E7F55"/>
    <w:rsid w:val="007F0B8C"/>
    <w:rsid w:val="007F424D"/>
    <w:rsid w:val="007F5123"/>
    <w:rsid w:val="008007E6"/>
    <w:rsid w:val="008026A0"/>
    <w:rsid w:val="00804B50"/>
    <w:rsid w:val="00805D30"/>
    <w:rsid w:val="00810AA8"/>
    <w:rsid w:val="00810B42"/>
    <w:rsid w:val="00811693"/>
    <w:rsid w:val="00813EA8"/>
    <w:rsid w:val="00821609"/>
    <w:rsid w:val="00821738"/>
    <w:rsid w:val="00822D55"/>
    <w:rsid w:val="0082302A"/>
    <w:rsid w:val="00827068"/>
    <w:rsid w:val="00827A7F"/>
    <w:rsid w:val="008438E7"/>
    <w:rsid w:val="008520F8"/>
    <w:rsid w:val="00852EB3"/>
    <w:rsid w:val="0085360C"/>
    <w:rsid w:val="00854F25"/>
    <w:rsid w:val="00855F71"/>
    <w:rsid w:val="00857F27"/>
    <w:rsid w:val="008628EE"/>
    <w:rsid w:val="00865606"/>
    <w:rsid w:val="00866AB5"/>
    <w:rsid w:val="00866B89"/>
    <w:rsid w:val="00870847"/>
    <w:rsid w:val="00871E9E"/>
    <w:rsid w:val="008720A2"/>
    <w:rsid w:val="00873153"/>
    <w:rsid w:val="0087608B"/>
    <w:rsid w:val="008768AB"/>
    <w:rsid w:val="00876AA8"/>
    <w:rsid w:val="008808FD"/>
    <w:rsid w:val="008819CE"/>
    <w:rsid w:val="0089060D"/>
    <w:rsid w:val="00891033"/>
    <w:rsid w:val="008972A1"/>
    <w:rsid w:val="008A26DA"/>
    <w:rsid w:val="008A3A66"/>
    <w:rsid w:val="008C02BE"/>
    <w:rsid w:val="008C2830"/>
    <w:rsid w:val="008C3330"/>
    <w:rsid w:val="008C3AB4"/>
    <w:rsid w:val="008C7F9C"/>
    <w:rsid w:val="008D25E5"/>
    <w:rsid w:val="008D33D6"/>
    <w:rsid w:val="008D58E3"/>
    <w:rsid w:val="008E2AD7"/>
    <w:rsid w:val="008E5153"/>
    <w:rsid w:val="008E6C4D"/>
    <w:rsid w:val="008F0087"/>
    <w:rsid w:val="008F041A"/>
    <w:rsid w:val="008F110F"/>
    <w:rsid w:val="008F1F04"/>
    <w:rsid w:val="008F7E9E"/>
    <w:rsid w:val="009030AA"/>
    <w:rsid w:val="00907FA9"/>
    <w:rsid w:val="00914CDD"/>
    <w:rsid w:val="0091663B"/>
    <w:rsid w:val="00917FAC"/>
    <w:rsid w:val="009352E0"/>
    <w:rsid w:val="0093721E"/>
    <w:rsid w:val="0094027C"/>
    <w:rsid w:val="00943330"/>
    <w:rsid w:val="00944206"/>
    <w:rsid w:val="009514A8"/>
    <w:rsid w:val="00960C02"/>
    <w:rsid w:val="009610DA"/>
    <w:rsid w:val="009640C3"/>
    <w:rsid w:val="00964192"/>
    <w:rsid w:val="0096465F"/>
    <w:rsid w:val="0096476B"/>
    <w:rsid w:val="009657D2"/>
    <w:rsid w:val="00965E39"/>
    <w:rsid w:val="00967960"/>
    <w:rsid w:val="00971193"/>
    <w:rsid w:val="009721AA"/>
    <w:rsid w:val="00974A42"/>
    <w:rsid w:val="009869AB"/>
    <w:rsid w:val="00987202"/>
    <w:rsid w:val="009A1EBA"/>
    <w:rsid w:val="009A516D"/>
    <w:rsid w:val="009A6405"/>
    <w:rsid w:val="009B34A2"/>
    <w:rsid w:val="009B41E6"/>
    <w:rsid w:val="009B49F5"/>
    <w:rsid w:val="009B77A7"/>
    <w:rsid w:val="009C0BFB"/>
    <w:rsid w:val="009C16BF"/>
    <w:rsid w:val="009D0068"/>
    <w:rsid w:val="009D1848"/>
    <w:rsid w:val="009D2FA1"/>
    <w:rsid w:val="009E14AE"/>
    <w:rsid w:val="009E437C"/>
    <w:rsid w:val="009E50E4"/>
    <w:rsid w:val="009E5267"/>
    <w:rsid w:val="009E79D5"/>
    <w:rsid w:val="009F3AC6"/>
    <w:rsid w:val="009F6CDA"/>
    <w:rsid w:val="00A00AC3"/>
    <w:rsid w:val="00A02688"/>
    <w:rsid w:val="00A03990"/>
    <w:rsid w:val="00A13237"/>
    <w:rsid w:val="00A15CD5"/>
    <w:rsid w:val="00A23D70"/>
    <w:rsid w:val="00A325C1"/>
    <w:rsid w:val="00A35285"/>
    <w:rsid w:val="00A35E4C"/>
    <w:rsid w:val="00A361C5"/>
    <w:rsid w:val="00A404DE"/>
    <w:rsid w:val="00A4142C"/>
    <w:rsid w:val="00A44199"/>
    <w:rsid w:val="00A47A07"/>
    <w:rsid w:val="00A533B4"/>
    <w:rsid w:val="00A55525"/>
    <w:rsid w:val="00A55956"/>
    <w:rsid w:val="00A5635E"/>
    <w:rsid w:val="00A61028"/>
    <w:rsid w:val="00A63276"/>
    <w:rsid w:val="00A64944"/>
    <w:rsid w:val="00A66606"/>
    <w:rsid w:val="00A76D16"/>
    <w:rsid w:val="00A77A25"/>
    <w:rsid w:val="00A831F6"/>
    <w:rsid w:val="00A84C37"/>
    <w:rsid w:val="00A927CE"/>
    <w:rsid w:val="00A96A7F"/>
    <w:rsid w:val="00A97BB1"/>
    <w:rsid w:val="00AA06D1"/>
    <w:rsid w:val="00AA0C07"/>
    <w:rsid w:val="00AA5544"/>
    <w:rsid w:val="00AB16B5"/>
    <w:rsid w:val="00AB2015"/>
    <w:rsid w:val="00AB7DA1"/>
    <w:rsid w:val="00AC1643"/>
    <w:rsid w:val="00AC2DE9"/>
    <w:rsid w:val="00AC66BB"/>
    <w:rsid w:val="00AC6E66"/>
    <w:rsid w:val="00AC7941"/>
    <w:rsid w:val="00AD0D4F"/>
    <w:rsid w:val="00AD338E"/>
    <w:rsid w:val="00AD5F83"/>
    <w:rsid w:val="00AD7DC6"/>
    <w:rsid w:val="00AE0FAE"/>
    <w:rsid w:val="00AE7249"/>
    <w:rsid w:val="00AE7327"/>
    <w:rsid w:val="00AF0FA4"/>
    <w:rsid w:val="00AF2B74"/>
    <w:rsid w:val="00AF2FB7"/>
    <w:rsid w:val="00AF640D"/>
    <w:rsid w:val="00AF6567"/>
    <w:rsid w:val="00AF6F9A"/>
    <w:rsid w:val="00AF71FA"/>
    <w:rsid w:val="00AF74D0"/>
    <w:rsid w:val="00B057F1"/>
    <w:rsid w:val="00B13180"/>
    <w:rsid w:val="00B136F6"/>
    <w:rsid w:val="00B13FFF"/>
    <w:rsid w:val="00B223CE"/>
    <w:rsid w:val="00B25DDE"/>
    <w:rsid w:val="00B27C6D"/>
    <w:rsid w:val="00B35D70"/>
    <w:rsid w:val="00B367FC"/>
    <w:rsid w:val="00B3726C"/>
    <w:rsid w:val="00B4315B"/>
    <w:rsid w:val="00B43F03"/>
    <w:rsid w:val="00B47EBC"/>
    <w:rsid w:val="00B55286"/>
    <w:rsid w:val="00B5715E"/>
    <w:rsid w:val="00B6216C"/>
    <w:rsid w:val="00B6439F"/>
    <w:rsid w:val="00B72136"/>
    <w:rsid w:val="00B81D86"/>
    <w:rsid w:val="00B828A5"/>
    <w:rsid w:val="00B84098"/>
    <w:rsid w:val="00B8720D"/>
    <w:rsid w:val="00B879A1"/>
    <w:rsid w:val="00B97D14"/>
    <w:rsid w:val="00BA0659"/>
    <w:rsid w:val="00BA113A"/>
    <w:rsid w:val="00BA24B8"/>
    <w:rsid w:val="00BA5798"/>
    <w:rsid w:val="00BB2680"/>
    <w:rsid w:val="00BB6E5D"/>
    <w:rsid w:val="00BC09C0"/>
    <w:rsid w:val="00BC0F3D"/>
    <w:rsid w:val="00BC6ED9"/>
    <w:rsid w:val="00BD1AA7"/>
    <w:rsid w:val="00BD51F8"/>
    <w:rsid w:val="00BD5CC5"/>
    <w:rsid w:val="00BE06E8"/>
    <w:rsid w:val="00BE15B1"/>
    <w:rsid w:val="00BE1994"/>
    <w:rsid w:val="00BE19D8"/>
    <w:rsid w:val="00BE29B7"/>
    <w:rsid w:val="00BE61E2"/>
    <w:rsid w:val="00BE6526"/>
    <w:rsid w:val="00BE7D6F"/>
    <w:rsid w:val="00BF3207"/>
    <w:rsid w:val="00BF3292"/>
    <w:rsid w:val="00BF496D"/>
    <w:rsid w:val="00BF4A1C"/>
    <w:rsid w:val="00C009B8"/>
    <w:rsid w:val="00C0686A"/>
    <w:rsid w:val="00C10DD8"/>
    <w:rsid w:val="00C24031"/>
    <w:rsid w:val="00C24212"/>
    <w:rsid w:val="00C31E85"/>
    <w:rsid w:val="00C335FB"/>
    <w:rsid w:val="00C35FA4"/>
    <w:rsid w:val="00C3793D"/>
    <w:rsid w:val="00C44A22"/>
    <w:rsid w:val="00C47FA3"/>
    <w:rsid w:val="00C51B31"/>
    <w:rsid w:val="00C51BDE"/>
    <w:rsid w:val="00C522D7"/>
    <w:rsid w:val="00C715E8"/>
    <w:rsid w:val="00C72D6E"/>
    <w:rsid w:val="00C739C1"/>
    <w:rsid w:val="00C76B6E"/>
    <w:rsid w:val="00C87B0B"/>
    <w:rsid w:val="00C90166"/>
    <w:rsid w:val="00C90A01"/>
    <w:rsid w:val="00C910CB"/>
    <w:rsid w:val="00C9746F"/>
    <w:rsid w:val="00CA12F5"/>
    <w:rsid w:val="00CA2645"/>
    <w:rsid w:val="00CA56F6"/>
    <w:rsid w:val="00CA6322"/>
    <w:rsid w:val="00CA7B5F"/>
    <w:rsid w:val="00CB1C44"/>
    <w:rsid w:val="00CB2E08"/>
    <w:rsid w:val="00CB7BAC"/>
    <w:rsid w:val="00CC03C5"/>
    <w:rsid w:val="00CC0CFC"/>
    <w:rsid w:val="00CC20B0"/>
    <w:rsid w:val="00CC26CB"/>
    <w:rsid w:val="00CC3CF0"/>
    <w:rsid w:val="00CC48C0"/>
    <w:rsid w:val="00CC6D47"/>
    <w:rsid w:val="00CD3539"/>
    <w:rsid w:val="00CD5FD9"/>
    <w:rsid w:val="00CD6F30"/>
    <w:rsid w:val="00CD7EC1"/>
    <w:rsid w:val="00CD7F51"/>
    <w:rsid w:val="00CE0854"/>
    <w:rsid w:val="00CE270E"/>
    <w:rsid w:val="00CF32EC"/>
    <w:rsid w:val="00CF33AC"/>
    <w:rsid w:val="00CF6F02"/>
    <w:rsid w:val="00CF6FC2"/>
    <w:rsid w:val="00D04C8C"/>
    <w:rsid w:val="00D051F0"/>
    <w:rsid w:val="00D109B1"/>
    <w:rsid w:val="00D1311B"/>
    <w:rsid w:val="00D13DA8"/>
    <w:rsid w:val="00D143B7"/>
    <w:rsid w:val="00D1720F"/>
    <w:rsid w:val="00D301DC"/>
    <w:rsid w:val="00D31889"/>
    <w:rsid w:val="00D45ADD"/>
    <w:rsid w:val="00D47168"/>
    <w:rsid w:val="00D54825"/>
    <w:rsid w:val="00D55F5B"/>
    <w:rsid w:val="00D5655C"/>
    <w:rsid w:val="00D57113"/>
    <w:rsid w:val="00D571CC"/>
    <w:rsid w:val="00D64D30"/>
    <w:rsid w:val="00D65075"/>
    <w:rsid w:val="00D66787"/>
    <w:rsid w:val="00D723F7"/>
    <w:rsid w:val="00D72616"/>
    <w:rsid w:val="00D745EC"/>
    <w:rsid w:val="00D81D66"/>
    <w:rsid w:val="00D8336B"/>
    <w:rsid w:val="00D87991"/>
    <w:rsid w:val="00D92AF7"/>
    <w:rsid w:val="00D92DF0"/>
    <w:rsid w:val="00D96285"/>
    <w:rsid w:val="00DA1E1D"/>
    <w:rsid w:val="00DA689A"/>
    <w:rsid w:val="00DB7953"/>
    <w:rsid w:val="00DC018D"/>
    <w:rsid w:val="00DC020F"/>
    <w:rsid w:val="00DC2D7B"/>
    <w:rsid w:val="00DC77B5"/>
    <w:rsid w:val="00DD0302"/>
    <w:rsid w:val="00DD1DDD"/>
    <w:rsid w:val="00DD7F4A"/>
    <w:rsid w:val="00DE7451"/>
    <w:rsid w:val="00DF113D"/>
    <w:rsid w:val="00E008F9"/>
    <w:rsid w:val="00E00CF7"/>
    <w:rsid w:val="00E044F2"/>
    <w:rsid w:val="00E04B01"/>
    <w:rsid w:val="00E05483"/>
    <w:rsid w:val="00E05E4F"/>
    <w:rsid w:val="00E1023B"/>
    <w:rsid w:val="00E11267"/>
    <w:rsid w:val="00E134DA"/>
    <w:rsid w:val="00E15389"/>
    <w:rsid w:val="00E1582B"/>
    <w:rsid w:val="00E17B9B"/>
    <w:rsid w:val="00E212F8"/>
    <w:rsid w:val="00E21BB5"/>
    <w:rsid w:val="00E22037"/>
    <w:rsid w:val="00E274E0"/>
    <w:rsid w:val="00E30114"/>
    <w:rsid w:val="00E31DF2"/>
    <w:rsid w:val="00E32367"/>
    <w:rsid w:val="00E369A1"/>
    <w:rsid w:val="00E37AB4"/>
    <w:rsid w:val="00E37B27"/>
    <w:rsid w:val="00E40C40"/>
    <w:rsid w:val="00E44CF7"/>
    <w:rsid w:val="00E46184"/>
    <w:rsid w:val="00E47F49"/>
    <w:rsid w:val="00E51266"/>
    <w:rsid w:val="00E61BE3"/>
    <w:rsid w:val="00E66100"/>
    <w:rsid w:val="00E66116"/>
    <w:rsid w:val="00E82C28"/>
    <w:rsid w:val="00E92341"/>
    <w:rsid w:val="00E928A4"/>
    <w:rsid w:val="00E9335E"/>
    <w:rsid w:val="00E946EB"/>
    <w:rsid w:val="00EA1DF5"/>
    <w:rsid w:val="00EA56B2"/>
    <w:rsid w:val="00EA67AC"/>
    <w:rsid w:val="00EB0CD0"/>
    <w:rsid w:val="00EB1261"/>
    <w:rsid w:val="00EC08BD"/>
    <w:rsid w:val="00EC344E"/>
    <w:rsid w:val="00EC4499"/>
    <w:rsid w:val="00EC5E47"/>
    <w:rsid w:val="00ED135D"/>
    <w:rsid w:val="00ED1F04"/>
    <w:rsid w:val="00ED5D34"/>
    <w:rsid w:val="00ED6EC9"/>
    <w:rsid w:val="00EE2FAA"/>
    <w:rsid w:val="00EE5173"/>
    <w:rsid w:val="00EE5B94"/>
    <w:rsid w:val="00EE60DA"/>
    <w:rsid w:val="00EF6402"/>
    <w:rsid w:val="00F01119"/>
    <w:rsid w:val="00F0178B"/>
    <w:rsid w:val="00F04FAF"/>
    <w:rsid w:val="00F050B9"/>
    <w:rsid w:val="00F072DA"/>
    <w:rsid w:val="00F07ACF"/>
    <w:rsid w:val="00F1098B"/>
    <w:rsid w:val="00F114E1"/>
    <w:rsid w:val="00F13390"/>
    <w:rsid w:val="00F209CA"/>
    <w:rsid w:val="00F219D1"/>
    <w:rsid w:val="00F220A1"/>
    <w:rsid w:val="00F22542"/>
    <w:rsid w:val="00F237E5"/>
    <w:rsid w:val="00F241EC"/>
    <w:rsid w:val="00F27B3B"/>
    <w:rsid w:val="00F33871"/>
    <w:rsid w:val="00F34E14"/>
    <w:rsid w:val="00F36B07"/>
    <w:rsid w:val="00F4001B"/>
    <w:rsid w:val="00F42A1A"/>
    <w:rsid w:val="00F442DC"/>
    <w:rsid w:val="00F46537"/>
    <w:rsid w:val="00F46C66"/>
    <w:rsid w:val="00F50379"/>
    <w:rsid w:val="00F53D83"/>
    <w:rsid w:val="00F54FD1"/>
    <w:rsid w:val="00F55CE0"/>
    <w:rsid w:val="00F67F26"/>
    <w:rsid w:val="00F705CB"/>
    <w:rsid w:val="00F74BD2"/>
    <w:rsid w:val="00F82136"/>
    <w:rsid w:val="00F85477"/>
    <w:rsid w:val="00F87E78"/>
    <w:rsid w:val="00F917B4"/>
    <w:rsid w:val="00F92351"/>
    <w:rsid w:val="00F95BBA"/>
    <w:rsid w:val="00F96B3A"/>
    <w:rsid w:val="00F97099"/>
    <w:rsid w:val="00FA0C0F"/>
    <w:rsid w:val="00FA50BB"/>
    <w:rsid w:val="00FA534A"/>
    <w:rsid w:val="00FA6CB9"/>
    <w:rsid w:val="00FB2922"/>
    <w:rsid w:val="00FC6CFB"/>
    <w:rsid w:val="00FC70BF"/>
    <w:rsid w:val="00FD402C"/>
    <w:rsid w:val="00FE0EDD"/>
    <w:rsid w:val="00FE2BC8"/>
    <w:rsid w:val="00FE35BF"/>
    <w:rsid w:val="00FE7F16"/>
    <w:rsid w:val="00FF0E69"/>
    <w:rsid w:val="00FF2BBB"/>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6A"/>
  </w:style>
  <w:style w:type="paragraph" w:styleId="Heading1">
    <w:name w:val="heading 1"/>
    <w:basedOn w:val="Normal"/>
    <w:next w:val="Normal"/>
    <w:link w:val="Heading1Char"/>
    <w:autoRedefine/>
    <w:uiPriority w:val="9"/>
    <w:qFormat/>
    <w:rsid w:val="00C35FA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C90A01"/>
    <w:pPr>
      <w:keepNext/>
      <w:keepLines/>
      <w:numPr>
        <w:numId w:val="17"/>
      </w:numPr>
      <w:spacing w:after="12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C35FA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aliases w:val=" Char,Char"/>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3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5E0327"/>
    <w:pPr>
      <w:tabs>
        <w:tab w:val="decimal" w:leader="dot" w:pos="9360"/>
      </w:tabs>
      <w:spacing w:after="240"/>
      <w:ind w:left="720" w:hanging="720"/>
    </w:pPr>
    <w:rPr>
      <w:caps/>
      <w:color w:val="auto"/>
    </w:rPr>
  </w:style>
  <w:style w:type="paragraph" w:styleId="TOC2">
    <w:name w:val="toc 2"/>
    <w:basedOn w:val="Normal"/>
    <w:next w:val="Normal"/>
    <w:autoRedefine/>
    <w:uiPriority w:val="39"/>
    <w:unhideWhenUsed/>
    <w:qFormat/>
    <w:rsid w:val="005E0327"/>
    <w:pPr>
      <w:tabs>
        <w:tab w:val="decimal" w:leader="dot" w:pos="9360"/>
      </w:tabs>
      <w:spacing w:after="240"/>
      <w:ind w:left="1440" w:hanging="720"/>
    </w:pPr>
    <w:rPr>
      <w:color w:val="auto"/>
    </w:rPr>
  </w:style>
  <w:style w:type="paragraph" w:styleId="TOC3">
    <w:name w:val="toc 3"/>
    <w:basedOn w:val="Normal"/>
    <w:next w:val="Normal"/>
    <w:autoRedefine/>
    <w:uiPriority w:val="39"/>
    <w:unhideWhenUsed/>
    <w:qFormat/>
    <w:rsid w:val="00C35FA4"/>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sid w:val="00C90A01"/>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
    <w:name w:val="Unresolved Mention"/>
    <w:basedOn w:val="DefaultParagraphFont"/>
    <w:uiPriority w:val="99"/>
    <w:rsid w:val="000E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kyle.kern@ohioattorneygeneral.gov" TargetMode="External" /><Relationship Id="rId15" Type="http://schemas.openxmlformats.org/officeDocument/2006/relationships/hyperlink" Target="mailto:thomas.lindgren@ohioattorneygeneral.gov" TargetMode="External" /><Relationship Id="rId16" Type="http://schemas.openxmlformats.org/officeDocument/2006/relationships/hyperlink" Target="mailto:patricia.schabo@puco.ohio.gov" TargetMode="External" /><Relationship Id="rId17" Type="http://schemas.openxmlformats.org/officeDocument/2006/relationships/hyperlink" Target="mailto:michael.williams@puco.ohio.gov" TargetMode="External" /><Relationship Id="rId18" Type="http://schemas.openxmlformats.org/officeDocument/2006/relationships/hyperlink" Target="mailto:michael.schuler@aes.com" TargetMode="External" /><Relationship Id="rId19" Type="http://schemas.openxmlformats.org/officeDocument/2006/relationships/hyperlink" Target="mailto:randall.griffin@aes.com"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bojko@carpenterlipps.com" TargetMode="External" /><Relationship Id="rId9" Type="http://schemas.openxmlformats.org/officeDocument/2006/relationships/hyperlink" Target="mailto:donadio@carpenterlipps.com"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ohiomfg.com/wp-content/uploads/Ohios-Worsening-OVEC-Situation-11.9.2020-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F13-BE5D-4B1B-A089-29EE1C3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18-1004 Motion to depose auditor (kwb rev) (823673).DOCX</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2021-03-17T13:46:03Z</dcterms:created>
  <dcterms:modified xsi:type="dcterms:W3CDTF">2021-03-17T13:46:03Z</dcterms:modified>
</cp:coreProperties>
</file>