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F483D" w:rsidRPr="00F65B59" w:rsidP="00F65B59" w14:paraId="665C20B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F65B59">
        <w:rPr>
          <w:rFonts w:ascii="Times New Roman" w:hAnsi="Times New Roman" w:cs="Times New Roman"/>
          <w:b/>
          <w:bCs/>
          <w:sz w:val="24"/>
          <w:szCs w:val="24"/>
        </w:rPr>
        <w:t>BEFORE</w:t>
      </w:r>
    </w:p>
    <w:p w:rsidR="00AF483D" w:rsidRPr="00F65B59" w:rsidP="00AF483D" w14:paraId="77607B59" w14:textId="77777777">
      <w:pPr>
        <w:pStyle w:val="HTMLPreformatted"/>
        <w:jc w:val="center"/>
        <w:rPr>
          <w:rFonts w:ascii="Times New Roman" w:hAnsi="Times New Roman" w:cs="Times New Roman"/>
          <w:sz w:val="24"/>
          <w:szCs w:val="24"/>
        </w:rPr>
      </w:pPr>
      <w:r w:rsidRPr="00F65B59">
        <w:rPr>
          <w:rFonts w:ascii="Times New Roman" w:hAnsi="Times New Roman" w:cs="Times New Roman"/>
          <w:b/>
          <w:bCs/>
          <w:sz w:val="24"/>
          <w:szCs w:val="24"/>
        </w:rPr>
        <w:t>THE PUBLIC UTILITIES COMMISSION OF OHIO</w:t>
      </w:r>
    </w:p>
    <w:p w:rsidR="00AF483D" w:rsidRPr="00F65B59" w14:paraId="4B69083B"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639812FC" w14:textId="77777777" w:rsidTr="00AF483D">
        <w:tblPrEx>
          <w:tblW w:w="9092" w:type="dxa"/>
          <w:tblLook w:val="01E0"/>
        </w:tblPrEx>
        <w:trPr>
          <w:trHeight w:val="807"/>
        </w:trPr>
        <w:tc>
          <w:tcPr>
            <w:tcW w:w="4332" w:type="dxa"/>
            <w:shd w:val="clear" w:color="auto" w:fill="auto"/>
          </w:tcPr>
          <w:p w:rsidR="00AF483D" w:rsidRPr="00F65B59" w:rsidP="00AF483D" w14:paraId="176DA5DD" w14:textId="77777777">
            <w:pPr>
              <w:pStyle w:val="HTMLPreformatted"/>
              <w:rPr>
                <w:rFonts w:ascii="Times New Roman" w:hAnsi="Times New Roman" w:cs="Times New Roman"/>
                <w:sz w:val="24"/>
                <w:szCs w:val="24"/>
              </w:rPr>
            </w:pPr>
            <w:r w:rsidRPr="00F65B59">
              <w:rPr>
                <w:rFonts w:ascii="Times New Roman" w:hAnsi="Times New Roman" w:cs="Times New Roman"/>
                <w:sz w:val="24"/>
                <w:szCs w:val="24"/>
              </w:rPr>
              <w:t>In the Matter of the Application of Ohio Power Company to Update the Energy Efficiency and Peak Demand Reduction Rider.</w:t>
            </w:r>
          </w:p>
        </w:tc>
        <w:tc>
          <w:tcPr>
            <w:tcW w:w="360" w:type="dxa"/>
            <w:shd w:val="clear" w:color="auto" w:fill="auto"/>
          </w:tcPr>
          <w:p w:rsidR="00AF483D" w:rsidRPr="00F65B59" w14:paraId="6480CE5F" w14:textId="77777777">
            <w:pPr>
              <w:pStyle w:val="HTMLPreformatted"/>
              <w:rPr>
                <w:rFonts w:ascii="Times New Roman" w:hAnsi="Times New Roman" w:cs="Times New Roman"/>
                <w:sz w:val="24"/>
                <w:szCs w:val="24"/>
              </w:rPr>
            </w:pPr>
            <w:r w:rsidRPr="00F65B59">
              <w:rPr>
                <w:rFonts w:ascii="Times New Roman" w:hAnsi="Times New Roman" w:cs="Times New Roman"/>
                <w:sz w:val="24"/>
                <w:szCs w:val="24"/>
              </w:rPr>
              <w:t>)</w:t>
            </w:r>
          </w:p>
          <w:p w:rsidR="00AF483D" w:rsidRPr="00F65B59" w14:paraId="3C7A1077" w14:textId="77777777">
            <w:pPr>
              <w:pStyle w:val="HTMLPreformatted"/>
              <w:rPr>
                <w:rFonts w:ascii="Times New Roman" w:hAnsi="Times New Roman" w:cs="Times New Roman"/>
                <w:sz w:val="24"/>
                <w:szCs w:val="24"/>
              </w:rPr>
            </w:pPr>
            <w:r w:rsidRPr="00F65B59">
              <w:rPr>
                <w:rFonts w:ascii="Times New Roman" w:hAnsi="Times New Roman" w:cs="Times New Roman"/>
                <w:sz w:val="24"/>
                <w:szCs w:val="24"/>
              </w:rPr>
              <w:t>)</w:t>
            </w:r>
          </w:p>
          <w:p w:rsidR="00AF483D" w:rsidRPr="00F65B59" w14:paraId="31D68C09" w14:textId="77777777">
            <w:pPr>
              <w:pStyle w:val="HTMLPreformatted"/>
              <w:rPr>
                <w:rFonts w:ascii="Times New Roman" w:hAnsi="Times New Roman" w:cs="Times New Roman"/>
                <w:sz w:val="24"/>
                <w:szCs w:val="24"/>
              </w:rPr>
            </w:pPr>
            <w:r w:rsidRPr="00F65B59">
              <w:rPr>
                <w:rFonts w:ascii="Times New Roman" w:hAnsi="Times New Roman" w:cs="Times New Roman"/>
                <w:sz w:val="24"/>
                <w:szCs w:val="24"/>
              </w:rPr>
              <w:t>)</w:t>
            </w:r>
          </w:p>
          <w:p w:rsidR="00AF483D" w:rsidRPr="00F65B59" w14:paraId="0EC6F0D7" w14:textId="77777777">
            <w:pPr>
              <w:pStyle w:val="HTMLPreformatted"/>
              <w:rPr>
                <w:rFonts w:ascii="Times New Roman" w:hAnsi="Times New Roman" w:cs="Times New Roman"/>
                <w:sz w:val="24"/>
                <w:szCs w:val="24"/>
              </w:rPr>
            </w:pPr>
            <w:r w:rsidRPr="00F65B59">
              <w:rPr>
                <w:rFonts w:ascii="Times New Roman" w:hAnsi="Times New Roman" w:cs="Times New Roman"/>
                <w:sz w:val="24"/>
                <w:szCs w:val="24"/>
              </w:rPr>
              <w:t>)</w:t>
            </w:r>
          </w:p>
        </w:tc>
        <w:tc>
          <w:tcPr>
            <w:tcW w:w="4400" w:type="dxa"/>
            <w:shd w:val="clear" w:color="auto" w:fill="auto"/>
          </w:tcPr>
          <w:p w:rsidR="00AF483D" w:rsidRPr="00F65B59" w14:paraId="01122B18" w14:textId="77777777">
            <w:pPr>
              <w:pStyle w:val="HTMLPreformatted"/>
              <w:rPr>
                <w:rFonts w:ascii="Times New Roman" w:hAnsi="Times New Roman" w:cs="Times New Roman"/>
                <w:sz w:val="24"/>
                <w:szCs w:val="24"/>
              </w:rPr>
            </w:pPr>
          </w:p>
          <w:p w:rsidR="00AF483D" w:rsidRPr="00F65B59" w14:paraId="310BFA08" w14:textId="77777777">
            <w:pPr>
              <w:pStyle w:val="HTMLPreformatted"/>
              <w:rPr>
                <w:rFonts w:ascii="Times New Roman" w:hAnsi="Times New Roman" w:cs="Times New Roman"/>
                <w:sz w:val="24"/>
                <w:szCs w:val="24"/>
              </w:rPr>
            </w:pPr>
            <w:r w:rsidRPr="00F65B59">
              <w:rPr>
                <w:rFonts w:ascii="Times New Roman" w:hAnsi="Times New Roman" w:cs="Times New Roman"/>
                <w:sz w:val="24"/>
                <w:szCs w:val="24"/>
              </w:rPr>
              <w:t>Case No. 18-0874-EL-RDR</w:t>
            </w:r>
          </w:p>
          <w:p w:rsidR="00AF483D" w:rsidRPr="00F65B59" w14:paraId="3383D53B" w14:textId="77777777">
            <w:pPr>
              <w:pStyle w:val="HTMLPreformatted"/>
              <w:rPr>
                <w:rFonts w:ascii="Times New Roman" w:hAnsi="Times New Roman" w:cs="Times New Roman"/>
                <w:sz w:val="24"/>
                <w:szCs w:val="24"/>
              </w:rPr>
            </w:pPr>
          </w:p>
        </w:tc>
      </w:tr>
    </w:tbl>
    <w:p w:rsidR="00AF483D" w:rsidRPr="00F65B59" w14:paraId="5C1D27DF" w14:textId="77777777">
      <w:pPr>
        <w:pStyle w:val="HTMLPreformatted"/>
        <w:rPr>
          <w:rFonts w:ascii="Times New Roman" w:hAnsi="Times New Roman" w:cs="Times New Roman"/>
          <w:sz w:val="24"/>
          <w:szCs w:val="24"/>
        </w:rPr>
      </w:pPr>
    </w:p>
    <w:p w:rsidR="00AF483D" w:rsidRPr="00F65B59" w14:paraId="658F81C2" w14:textId="77777777">
      <w:pPr>
        <w:pStyle w:val="HTMLPreformatted"/>
        <w:pBdr>
          <w:top w:val="single" w:sz="12" w:space="1" w:color="auto"/>
        </w:pBdr>
        <w:rPr>
          <w:rFonts w:ascii="Times New Roman" w:hAnsi="Times New Roman" w:cs="Times New Roman"/>
          <w:sz w:val="24"/>
          <w:szCs w:val="24"/>
        </w:rPr>
      </w:pPr>
    </w:p>
    <w:p w:rsidR="00AF483D" w:rsidRPr="00F65B59" w14:paraId="4D71D0F5" w14:textId="77777777">
      <w:pPr>
        <w:jc w:val="center"/>
        <w:rPr>
          <w:b/>
          <w:bCs/>
          <w:szCs w:val="24"/>
        </w:rPr>
      </w:pPr>
      <w:r w:rsidRPr="00F65B59">
        <w:rPr>
          <w:b/>
          <w:bCs/>
          <w:szCs w:val="24"/>
        </w:rPr>
        <w:t>COMMENTS</w:t>
      </w:r>
    </w:p>
    <w:p w:rsidR="00AF483D" w:rsidRPr="00F65B59" w14:paraId="226A2CE9" w14:textId="77777777">
      <w:pPr>
        <w:jc w:val="center"/>
        <w:rPr>
          <w:b/>
          <w:bCs/>
          <w:szCs w:val="24"/>
        </w:rPr>
      </w:pPr>
      <w:r w:rsidRPr="00F65B59">
        <w:rPr>
          <w:b/>
          <w:bCs/>
          <w:szCs w:val="24"/>
        </w:rPr>
        <w:t>BY</w:t>
      </w:r>
    </w:p>
    <w:p w:rsidR="00AF483D" w:rsidRPr="00F65B59" w14:paraId="5E499B51" w14:textId="77777777">
      <w:pPr>
        <w:jc w:val="center"/>
        <w:rPr>
          <w:b/>
          <w:bCs/>
          <w:szCs w:val="24"/>
        </w:rPr>
      </w:pPr>
      <w:r w:rsidRPr="00F65B59">
        <w:rPr>
          <w:b/>
          <w:bCs/>
          <w:szCs w:val="24"/>
        </w:rPr>
        <w:t>THE OFFICE OF THE OHIO CONSUMERS’ COUNSEL</w:t>
      </w:r>
    </w:p>
    <w:p w:rsidR="00AF483D" w:rsidRPr="00F65B59" w14:paraId="48D866DD" w14:textId="77777777">
      <w:pPr>
        <w:pBdr>
          <w:bottom w:val="single" w:sz="12" w:space="1" w:color="auto"/>
        </w:pBdr>
        <w:tabs>
          <w:tab w:val="left" w:pos="4320"/>
        </w:tabs>
        <w:rPr>
          <w:szCs w:val="24"/>
        </w:rPr>
      </w:pPr>
    </w:p>
    <w:p w:rsidR="00AF483D" w:rsidRPr="00F65B59" w14:paraId="30EF1077" w14:textId="77777777">
      <w:pPr>
        <w:tabs>
          <w:tab w:val="left" w:pos="4320"/>
        </w:tabs>
        <w:rPr>
          <w:szCs w:val="24"/>
        </w:rPr>
      </w:pPr>
    </w:p>
    <w:p w:rsidR="0033023C" w:rsidRPr="00F65B59" w:rsidP="00F65B59" w14:paraId="5E577973" w14:textId="77777777">
      <w:pPr>
        <w:pStyle w:val="BodyTextIndent3"/>
        <w:widowControl w:val="0"/>
        <w:spacing w:line="480" w:lineRule="auto"/>
        <w:rPr>
          <w:szCs w:val="24"/>
        </w:rPr>
      </w:pPr>
      <w:r w:rsidRPr="00F65B59">
        <w:rPr>
          <w:szCs w:val="24"/>
        </w:rPr>
        <w:t>A million consumers are being asked to pay AEP an incredible $31 million in profit for energy efficiency measures that consumers could buy in a store or online</w:t>
      </w:r>
      <w:r w:rsidRPr="00F65B59" w:rsidR="007A26A1">
        <w:rPr>
          <w:szCs w:val="24"/>
        </w:rPr>
        <w:t xml:space="preserve"> </w:t>
      </w:r>
      <w:r w:rsidRPr="00F65B59">
        <w:rPr>
          <w:szCs w:val="24"/>
        </w:rPr>
        <w:t xml:space="preserve">without </w:t>
      </w:r>
      <w:r w:rsidRPr="00F65B59" w:rsidR="007A26A1">
        <w:rPr>
          <w:szCs w:val="24"/>
        </w:rPr>
        <w:t>any charge for AEP’s</w:t>
      </w:r>
      <w:r w:rsidRPr="00F65B59">
        <w:rPr>
          <w:szCs w:val="24"/>
        </w:rPr>
        <w:t xml:space="preserve"> profits. </w:t>
      </w:r>
      <w:r w:rsidRPr="00F65B59" w:rsidR="00522A57">
        <w:rPr>
          <w:szCs w:val="24"/>
        </w:rPr>
        <w:t>A</w:t>
      </w:r>
      <w:r w:rsidRPr="00F65B59" w:rsidR="00D63BAC">
        <w:rPr>
          <w:szCs w:val="24"/>
        </w:rPr>
        <w:t>t a minimum</w:t>
      </w:r>
      <w:r w:rsidRPr="00F65B59" w:rsidR="00522A57">
        <w:rPr>
          <w:szCs w:val="24"/>
        </w:rPr>
        <w:t>,</w:t>
      </w:r>
      <w:r w:rsidRPr="00F65B59" w:rsidR="00D63BAC">
        <w:rPr>
          <w:szCs w:val="24"/>
        </w:rPr>
        <w:t xml:space="preserve"> t</w:t>
      </w:r>
      <w:r w:rsidRPr="00F65B59" w:rsidR="00E5101E">
        <w:rPr>
          <w:szCs w:val="24"/>
        </w:rPr>
        <w:t>he Public Utilities Commission of Ohio (“PUCO”) should</w:t>
      </w:r>
      <w:r w:rsidRPr="00F65B59" w:rsidR="00D63BAC">
        <w:rPr>
          <w:szCs w:val="24"/>
        </w:rPr>
        <w:t xml:space="preserve"> spare consumers from paying at least </w:t>
      </w:r>
      <w:r w:rsidRPr="00F65B59" w:rsidR="00522A57">
        <w:rPr>
          <w:szCs w:val="24"/>
        </w:rPr>
        <w:t>$5.6</w:t>
      </w:r>
      <w:r w:rsidRPr="00F65B59" w:rsidR="00D63BAC">
        <w:rPr>
          <w:szCs w:val="24"/>
        </w:rPr>
        <w:t xml:space="preserve"> million for profits due to a tax change and should reduce</w:t>
      </w:r>
      <w:r w:rsidRPr="00F65B59" w:rsidR="00522A57">
        <w:rPr>
          <w:szCs w:val="24"/>
        </w:rPr>
        <w:t xml:space="preserve"> </w:t>
      </w:r>
      <w:r w:rsidRPr="00F65B59" w:rsidR="00E5101E">
        <w:rPr>
          <w:szCs w:val="24"/>
        </w:rPr>
        <w:t>charges to customers for AEP Ohio’s energy efficiency programs by $279,525</w:t>
      </w:r>
      <w:r w:rsidRPr="00F65B59" w:rsidR="00D63BAC">
        <w:rPr>
          <w:szCs w:val="24"/>
        </w:rPr>
        <w:t xml:space="preserve"> (</w:t>
      </w:r>
      <w:r w:rsidRPr="00F65B59" w:rsidR="00E5101E">
        <w:rPr>
          <w:szCs w:val="24"/>
        </w:rPr>
        <w:t>plus carrying charges</w:t>
      </w:r>
      <w:r w:rsidRPr="00F65B59" w:rsidR="00D63BAC">
        <w:rPr>
          <w:szCs w:val="24"/>
        </w:rPr>
        <w:t>) for inappropriate charges that AEP packed into its costs</w:t>
      </w:r>
      <w:r w:rsidRPr="00F65B59" w:rsidR="00E5101E">
        <w:rPr>
          <w:szCs w:val="24"/>
        </w:rPr>
        <w:t>.</w:t>
      </w:r>
      <w:r>
        <w:rPr>
          <w:rStyle w:val="FootnoteReference"/>
          <w:szCs w:val="24"/>
        </w:rPr>
        <w:footnoteReference w:id="2"/>
      </w:r>
      <w:r w:rsidRPr="00F65B59" w:rsidR="00E5101E">
        <w:rPr>
          <w:szCs w:val="24"/>
        </w:rPr>
        <w:t xml:space="preserve"> </w:t>
      </w:r>
    </w:p>
    <w:p w:rsidR="00E5101E" w:rsidRPr="00F65B59" w:rsidP="00F65B59" w14:paraId="5CDB10E9" w14:textId="77777777">
      <w:pPr>
        <w:pStyle w:val="BodyTextIndent3"/>
        <w:widowControl w:val="0"/>
        <w:spacing w:line="480" w:lineRule="auto"/>
        <w:rPr>
          <w:szCs w:val="24"/>
        </w:rPr>
      </w:pPr>
      <w:r w:rsidRPr="00F65B59">
        <w:rPr>
          <w:szCs w:val="24"/>
        </w:rPr>
        <w:t>The PUCO should reduce charges to customers further to account for the fact that</w:t>
      </w:r>
      <w:r w:rsidRPr="00F65B59" w:rsidR="003139F0">
        <w:rPr>
          <w:szCs w:val="24"/>
        </w:rPr>
        <w:t xml:space="preserve"> the</w:t>
      </w:r>
      <w:r w:rsidRPr="00F65B59">
        <w:rPr>
          <w:szCs w:val="24"/>
        </w:rPr>
        <w:t xml:space="preserve"> Staff may not have reviewed every invoice. It should also reduce charges to customers to encourage AEP to improve its accounting practices so that the improper charges found in </w:t>
      </w:r>
      <w:r w:rsidRPr="00F65B59" w:rsidR="00522A57">
        <w:rPr>
          <w:szCs w:val="24"/>
        </w:rPr>
        <w:t xml:space="preserve">the </w:t>
      </w:r>
      <w:r w:rsidRPr="00F65B59">
        <w:rPr>
          <w:szCs w:val="24"/>
        </w:rPr>
        <w:t>Staff’s review are not included in future cases. And t</w:t>
      </w:r>
      <w:r w:rsidRPr="00F65B59">
        <w:rPr>
          <w:szCs w:val="24"/>
        </w:rPr>
        <w:t xml:space="preserve">he PUCO should reduce AEP’s charges to customers for </w:t>
      </w:r>
      <w:r w:rsidRPr="00F65B59" w:rsidR="00C833F1">
        <w:rPr>
          <w:szCs w:val="24"/>
        </w:rPr>
        <w:t xml:space="preserve">its </w:t>
      </w:r>
      <w:r w:rsidRPr="00F65B59">
        <w:rPr>
          <w:szCs w:val="24"/>
        </w:rPr>
        <w:t xml:space="preserve">profits (“shared savings”) by $5.6 million because AEP </w:t>
      </w:r>
      <w:r w:rsidRPr="00F65B59" w:rsidR="00DD0D82">
        <w:rPr>
          <w:szCs w:val="24"/>
        </w:rPr>
        <w:t>over</w:t>
      </w:r>
      <w:r w:rsidRPr="00F65B59">
        <w:rPr>
          <w:szCs w:val="24"/>
        </w:rPr>
        <w:t>charged customers based on a 35% federal income tax rate when it should have used the current 21% federal income tax rate.</w:t>
      </w:r>
    </w:p>
    <w:p w:rsidR="00A56872" w:rsidRPr="00F65B59" w:rsidP="00F65B59" w14:paraId="5B249635" w14:textId="77777777">
      <w:pPr>
        <w:pStyle w:val="BodyTextIndent3"/>
        <w:spacing w:line="480" w:lineRule="auto"/>
        <w:rPr>
          <w:szCs w:val="24"/>
        </w:rPr>
      </w:pPr>
      <w:r w:rsidRPr="00F65B59">
        <w:rPr>
          <w:szCs w:val="24"/>
        </w:rPr>
        <w:t xml:space="preserve">In its audit, the PUCO Staff found that AEP included charges that are unrelated to energy efficiency. This includes (i) $136,558 for incentive payments to employees, (ii) $25,987 for </w:t>
      </w:r>
      <w:r w:rsidRPr="00F65B59">
        <w:rPr>
          <w:szCs w:val="24"/>
        </w:rPr>
        <w:t>stock-based compensation, (iii) $4,474 for restricted stock units, (iv) $38,249 for meals, food, entertainment, and drinks, (v) $15,000 for promotional sponsorships, and (vi) $59,257 for</w:t>
      </w:r>
      <w:r w:rsidRPr="00F65B59" w:rsidR="00995C94">
        <w:rPr>
          <w:szCs w:val="24"/>
        </w:rPr>
        <w:t xml:space="preserve"> gifts, costumes, membership dues, association fees, conferences, zoo tickets, and other miscellaneous items.</w:t>
      </w:r>
      <w:r>
        <w:rPr>
          <w:rStyle w:val="FootnoteReference"/>
          <w:szCs w:val="24"/>
        </w:rPr>
        <w:footnoteReference w:id="3"/>
      </w:r>
      <w:r w:rsidRPr="00F65B59" w:rsidR="00995C94">
        <w:rPr>
          <w:szCs w:val="24"/>
        </w:rPr>
        <w:t xml:space="preserve"> The PUCO has consistently ruled that these are not appropriate charges to consumers in an energy efficiency rider.</w:t>
      </w:r>
      <w:r>
        <w:rPr>
          <w:rStyle w:val="FootnoteReference"/>
          <w:szCs w:val="24"/>
        </w:rPr>
        <w:footnoteReference w:id="4"/>
      </w:r>
      <w:r w:rsidRPr="00F65B59" w:rsidR="00995C94">
        <w:rPr>
          <w:szCs w:val="24"/>
        </w:rPr>
        <w:t xml:space="preserve"> It should do the same here. Charges to customers should be reduced by $279,525 to eliminate these types of expenses.</w:t>
      </w:r>
    </w:p>
    <w:p w:rsidR="00A56872" w:rsidRPr="00F65B59" w:rsidP="00F65B59" w14:paraId="25A347BF" w14:textId="77777777">
      <w:pPr>
        <w:pStyle w:val="BodyTextIndent3"/>
        <w:spacing w:line="480" w:lineRule="auto"/>
        <w:rPr>
          <w:szCs w:val="24"/>
        </w:rPr>
      </w:pPr>
      <w:r w:rsidRPr="00F65B59">
        <w:rPr>
          <w:szCs w:val="24"/>
        </w:rPr>
        <w:t>To adequately protect customers, however, the PUCO must do more than just a dollar-for-dollar disallowance.</w:t>
      </w:r>
      <w:r w:rsidRPr="00F65B59" w:rsidR="008B625C">
        <w:rPr>
          <w:szCs w:val="24"/>
        </w:rPr>
        <w:t xml:space="preserve"> I</w:t>
      </w:r>
      <w:r w:rsidRPr="00F65B59">
        <w:rPr>
          <w:szCs w:val="24"/>
        </w:rPr>
        <w:t xml:space="preserve">f the utility receives only a dollar-for-dollar disallowance, then it has no incentive to improve its accounting. In fact, it has an incentive to keep including these types of improper charges </w:t>
      </w:r>
      <w:r w:rsidRPr="00F65B59" w:rsidR="00C833F1">
        <w:rPr>
          <w:szCs w:val="24"/>
        </w:rPr>
        <w:t>i</w:t>
      </w:r>
      <w:r w:rsidRPr="00F65B59">
        <w:rPr>
          <w:szCs w:val="24"/>
        </w:rPr>
        <w:t>n the hope that the PUCO Staff doesn’t catch them in its audit. Without an additional penalty</w:t>
      </w:r>
      <w:r w:rsidRPr="00F65B59" w:rsidR="00EB2416">
        <w:rPr>
          <w:szCs w:val="24"/>
        </w:rPr>
        <w:t>—beyond a dollar-for-dollar disallowance—</w:t>
      </w:r>
      <w:r w:rsidRPr="00F65B59">
        <w:rPr>
          <w:szCs w:val="24"/>
        </w:rPr>
        <w:t xml:space="preserve">for including these charges, AEP (and other utilities) will </w:t>
      </w:r>
      <w:r w:rsidRPr="00F65B59" w:rsidR="00EB2416">
        <w:rPr>
          <w:szCs w:val="24"/>
        </w:rPr>
        <w:t>keep including improper charges in riders.</w:t>
      </w:r>
      <w:r w:rsidRPr="00F65B59" w:rsidR="0033023C">
        <w:rPr>
          <w:szCs w:val="24"/>
        </w:rPr>
        <w:t xml:space="preserve"> To adequately incent AEP to improve its accounting, an appropriate penalty would be triple the actual amount of overcharges resulting from poor accounting.</w:t>
      </w:r>
    </w:p>
    <w:p w:rsidR="00EB2416" w:rsidRPr="00F65B59" w:rsidP="00F65B59" w14:paraId="040431B9" w14:textId="77777777">
      <w:pPr>
        <w:pStyle w:val="BodyTextIndent3"/>
        <w:spacing w:line="480" w:lineRule="auto"/>
        <w:rPr>
          <w:szCs w:val="24"/>
        </w:rPr>
      </w:pPr>
      <w:r w:rsidRPr="00F65B59">
        <w:rPr>
          <w:szCs w:val="24"/>
        </w:rPr>
        <w:t xml:space="preserve">Further, it is not clear whether the PUCO Staff reviewed every invoice as part of its audit. If it did not, then the recommended disallowances would represent only a portion of the amount that should be disallowed. For example, if the PUCO Staff reviewed 50% of invoices, then the PUCO Staff’s recommended disallowance should be doubled to extrapolate the sample to the entire population of invoices. If the PUCO Staff reviewed 10% of invoices, then it should be increased by a factor of ten. And so on. Otherwise, the utility would effectively be allowed to charge customers for any improper charges found in the invoices that were not reviewed. OCC </w:t>
      </w:r>
      <w:r w:rsidRPr="00F65B59">
        <w:rPr>
          <w:szCs w:val="24"/>
        </w:rPr>
        <w:t xml:space="preserve">recommends that the PUCO Staff </w:t>
      </w:r>
      <w:r w:rsidRPr="00F65B59" w:rsidR="0033023C">
        <w:rPr>
          <w:szCs w:val="24"/>
        </w:rPr>
        <w:t xml:space="preserve">be required to </w:t>
      </w:r>
      <w:r w:rsidRPr="00F65B59">
        <w:rPr>
          <w:szCs w:val="24"/>
        </w:rPr>
        <w:t>supplement its report to identify the methodology it used, including an assessment of what percentage of invoices it reviewed.</w:t>
      </w:r>
    </w:p>
    <w:p w:rsidR="003A5A16" w:rsidRPr="00F65B59" w:rsidP="00F65B59" w14:paraId="2FF436B0" w14:textId="77777777">
      <w:pPr>
        <w:pStyle w:val="BodyTextIndent3"/>
        <w:widowControl w:val="0"/>
        <w:spacing w:line="480" w:lineRule="auto"/>
        <w:rPr>
          <w:szCs w:val="24"/>
        </w:rPr>
      </w:pPr>
      <w:r w:rsidRPr="00F65B59">
        <w:rPr>
          <w:szCs w:val="24"/>
        </w:rPr>
        <w:t>Further, t</w:t>
      </w:r>
      <w:r w:rsidRPr="00F65B59" w:rsidR="00995C94">
        <w:rPr>
          <w:szCs w:val="24"/>
        </w:rPr>
        <w:t>he Staff’s recommendation does not adequately protect consumers because it fail</w:t>
      </w:r>
      <w:r w:rsidRPr="00F65B59">
        <w:rPr>
          <w:szCs w:val="24"/>
        </w:rPr>
        <w:t xml:space="preserve">s to address the tax implications of AEP’s charges to consumers for utility profits. If AEP meets certain benchmarks, it </w:t>
      </w:r>
      <w:r w:rsidRPr="00F65B59" w:rsidR="00A16270">
        <w:rPr>
          <w:szCs w:val="24"/>
        </w:rPr>
        <w:t xml:space="preserve">can </w:t>
      </w:r>
      <w:r w:rsidRPr="00F65B59">
        <w:rPr>
          <w:szCs w:val="24"/>
        </w:rPr>
        <w:t>charge customers for “shared savings,” which is another way of saying utility profits. Customers also pay for AEP’s taxes on those profits.</w:t>
      </w:r>
    </w:p>
    <w:p w:rsidR="00E5101E" w:rsidRPr="00F65B59" w:rsidP="00F65B59" w14:paraId="46E2C56B" w14:textId="77777777">
      <w:pPr>
        <w:pStyle w:val="BodyTextIndent3"/>
        <w:widowControl w:val="0"/>
        <w:spacing w:line="480" w:lineRule="auto"/>
        <w:rPr>
          <w:szCs w:val="24"/>
        </w:rPr>
      </w:pPr>
      <w:r w:rsidRPr="00F65B59">
        <w:rPr>
          <w:szCs w:val="24"/>
        </w:rPr>
        <w:t>As Industrial Energy Users-Ohio (“IEU”) explained in its objections in this case, AEP is seeking to charge customers for profits on its 2017 energy efficiency programs using a 35% federal income tax rate.</w:t>
      </w:r>
      <w:r>
        <w:rPr>
          <w:rStyle w:val="FootnoteReference"/>
          <w:szCs w:val="24"/>
        </w:rPr>
        <w:footnoteReference w:id="5"/>
      </w:r>
      <w:r w:rsidRPr="00F65B59">
        <w:rPr>
          <w:szCs w:val="24"/>
        </w:rPr>
        <w:t xml:space="preserve"> But effective January 1, 2018, the federal income tax rate was lowered to 21%. Thus, IEU argued, these profits should be taxed at the 21% rate, not the 35% rate.</w:t>
      </w:r>
      <w:r>
        <w:rPr>
          <w:rStyle w:val="FootnoteReference"/>
          <w:szCs w:val="24"/>
        </w:rPr>
        <w:footnoteReference w:id="6"/>
      </w:r>
      <w:r w:rsidRPr="00F65B59">
        <w:rPr>
          <w:szCs w:val="24"/>
        </w:rPr>
        <w:t xml:space="preserve"> IEU is correct.</w:t>
      </w:r>
    </w:p>
    <w:p w:rsidR="003A5A16" w:rsidRPr="00F65B59" w:rsidP="00F65B59" w14:paraId="04BC7EA7" w14:textId="77777777">
      <w:pPr>
        <w:pStyle w:val="BodyTextIndent3"/>
        <w:widowControl w:val="0"/>
        <w:spacing w:line="480" w:lineRule="auto"/>
        <w:rPr>
          <w:szCs w:val="24"/>
        </w:rPr>
      </w:pPr>
      <w:r w:rsidRPr="00F65B59">
        <w:rPr>
          <w:szCs w:val="24"/>
        </w:rPr>
        <w:t>Charges for “shared savings” are allowed only if AEP exceeds the annual statutory energy savings benchmarks. The amount of shared savings that AEP is allowed to charge customers is based on two primary factors: (1) the extent to which AEP exceeds the statutory energy savings benchmark, and (2) the net benefits</w:t>
      </w:r>
      <w:r w:rsidRPr="00F65B59" w:rsidR="004B6CE2">
        <w:rPr>
          <w:szCs w:val="24"/>
        </w:rPr>
        <w:t xml:space="preserve"> to consumers</w:t>
      </w:r>
      <w:r w:rsidRPr="00F65B59">
        <w:rPr>
          <w:szCs w:val="24"/>
        </w:rPr>
        <w:t xml:space="preserve"> that result from the programs.</w:t>
      </w:r>
    </w:p>
    <w:p w:rsidR="003A5A16" w:rsidRPr="00F65B59" w:rsidP="00F65B59" w14:paraId="4E538BE8" w14:textId="77777777">
      <w:pPr>
        <w:pStyle w:val="BodyTextIndent3"/>
        <w:spacing w:line="480" w:lineRule="auto"/>
        <w:rPr>
          <w:szCs w:val="24"/>
        </w:rPr>
      </w:pPr>
      <w:r w:rsidRPr="00F65B59">
        <w:rPr>
          <w:szCs w:val="24"/>
        </w:rPr>
        <w:t xml:space="preserve">In this case, </w:t>
      </w:r>
      <w:r w:rsidRPr="00F65B59" w:rsidR="00522A57">
        <w:rPr>
          <w:szCs w:val="24"/>
        </w:rPr>
        <w:t xml:space="preserve">the </w:t>
      </w:r>
      <w:r w:rsidRPr="00F65B59">
        <w:rPr>
          <w:szCs w:val="24"/>
        </w:rPr>
        <w:t>Staff audited AEP’s charges to customers for programs that were offered in 2017. Shared savings for 2017 cannot be calculated until 2017 is over</w:t>
      </w:r>
      <w:r w:rsidRPr="00F65B59" w:rsidR="004B6CE2">
        <w:rPr>
          <w:szCs w:val="24"/>
        </w:rPr>
        <w:t>. That’s</w:t>
      </w:r>
      <w:r w:rsidRPr="00F65B59">
        <w:rPr>
          <w:szCs w:val="24"/>
        </w:rPr>
        <w:t xml:space="preserve"> because only after the year is complete is it possible to know the extent to which AEP has exceeded the statutory energy savings benchmarks</w:t>
      </w:r>
      <w:r w:rsidRPr="00F65B59" w:rsidR="004B6CE2">
        <w:rPr>
          <w:szCs w:val="24"/>
        </w:rPr>
        <w:t>.</w:t>
      </w:r>
      <w:r w:rsidRPr="00F65B59">
        <w:rPr>
          <w:szCs w:val="24"/>
        </w:rPr>
        <w:t xml:space="preserve"> </w:t>
      </w:r>
      <w:r w:rsidRPr="00F65B59" w:rsidR="004B6CE2">
        <w:rPr>
          <w:szCs w:val="24"/>
        </w:rPr>
        <w:t>A</w:t>
      </w:r>
      <w:r w:rsidRPr="00F65B59">
        <w:rPr>
          <w:szCs w:val="24"/>
        </w:rPr>
        <w:t xml:space="preserve">nd only after the year is over is it possible to know the net benefits that result from the programs. Thus, any charges for shared savings could not be determined until 2018, at the earliest. And in 2018, the federal income tax rate was 21%, not </w:t>
      </w:r>
      <w:r w:rsidRPr="00F65B59">
        <w:rPr>
          <w:szCs w:val="24"/>
        </w:rPr>
        <w:t>35%. Thus, AEP’s shared savings for 2017 should be calculated based on a 21% federal income tax rate.</w:t>
      </w:r>
    </w:p>
    <w:p w:rsidR="00E5101E" w:rsidRPr="00F65B59" w:rsidP="00F65B59" w14:paraId="762B28CE" w14:textId="77777777">
      <w:pPr>
        <w:pStyle w:val="BodyTextIndent3"/>
        <w:widowControl w:val="0"/>
        <w:spacing w:line="480" w:lineRule="auto"/>
        <w:rPr>
          <w:szCs w:val="24"/>
        </w:rPr>
      </w:pPr>
      <w:r w:rsidRPr="00F65B59">
        <w:rPr>
          <w:szCs w:val="24"/>
        </w:rPr>
        <w:t>Using a 21% federal income tax rate, AEP can charge customers a maximum of $25</w:t>
      </w:r>
      <w:r w:rsidRPr="00F65B59" w:rsidR="00342868">
        <w:rPr>
          <w:szCs w:val="24"/>
        </w:rPr>
        <w:t>,640,072</w:t>
      </w:r>
      <w:r w:rsidRPr="00F65B59">
        <w:rPr>
          <w:szCs w:val="24"/>
        </w:rPr>
        <w:t xml:space="preserve"> for </w:t>
      </w:r>
      <w:r w:rsidRPr="00F65B59" w:rsidR="004B6CE2">
        <w:rPr>
          <w:szCs w:val="24"/>
        </w:rPr>
        <w:t>profits (</w:t>
      </w:r>
      <w:r w:rsidRPr="00F65B59">
        <w:rPr>
          <w:szCs w:val="24"/>
        </w:rPr>
        <w:t>shared savings</w:t>
      </w:r>
      <w:r w:rsidRPr="00F65B59" w:rsidR="004B6CE2">
        <w:rPr>
          <w:szCs w:val="24"/>
        </w:rPr>
        <w:t>)</w:t>
      </w:r>
      <w:r w:rsidRPr="00F65B59">
        <w:rPr>
          <w:szCs w:val="24"/>
        </w:rPr>
        <w:t>.</w:t>
      </w:r>
      <w:r>
        <w:rPr>
          <w:rStyle w:val="FootnoteReference"/>
          <w:szCs w:val="24"/>
        </w:rPr>
        <w:footnoteReference w:id="7"/>
      </w:r>
      <w:r w:rsidRPr="00F65B59" w:rsidR="00342868">
        <w:rPr>
          <w:szCs w:val="24"/>
        </w:rPr>
        <w:t xml:space="preserve"> Using a 35% federal income tax rate, AEP seeks to charge customers $31,197,257 instead.</w:t>
      </w:r>
      <w:r>
        <w:rPr>
          <w:rStyle w:val="FootnoteReference"/>
          <w:szCs w:val="24"/>
        </w:rPr>
        <w:footnoteReference w:id="8"/>
      </w:r>
      <w:r w:rsidRPr="00F65B59" w:rsidR="00342868">
        <w:rPr>
          <w:szCs w:val="24"/>
        </w:rPr>
        <w:t xml:space="preserve"> Charges to customers should be reduced by the difference: $5,557,185.</w:t>
      </w:r>
    </w:p>
    <w:p w:rsidR="00AF483D" w:rsidRPr="00F65B59" w:rsidP="00F65B59" w14:paraId="70C96BC2" w14:textId="77777777">
      <w:pPr>
        <w:pStyle w:val="BodyTextIndent3"/>
        <w:widowControl w:val="0"/>
        <w:ind w:left="3960" w:firstLine="0"/>
        <w:rPr>
          <w:szCs w:val="24"/>
        </w:rPr>
      </w:pPr>
      <w:r w:rsidRPr="00F65B59">
        <w:rPr>
          <w:szCs w:val="24"/>
        </w:rPr>
        <w:t>Respectfully submitted,</w:t>
      </w:r>
    </w:p>
    <w:p w:rsidR="00AF483D" w:rsidRPr="00F65B59" w:rsidP="00F65B59" w14:paraId="7A37D44E" w14:textId="77777777">
      <w:pPr>
        <w:pStyle w:val="Footer"/>
        <w:tabs>
          <w:tab w:val="clear" w:pos="4320"/>
          <w:tab w:val="clear" w:pos="8640"/>
        </w:tabs>
        <w:spacing w:before="240"/>
        <w:ind w:left="3960"/>
        <w:rPr>
          <w:sz w:val="24"/>
          <w:szCs w:val="24"/>
        </w:rPr>
      </w:pPr>
      <w:r w:rsidRPr="00F65B59">
        <w:rPr>
          <w:sz w:val="24"/>
          <w:szCs w:val="24"/>
        </w:rPr>
        <w:t>Bruce Weston (#0016973)</w:t>
      </w:r>
    </w:p>
    <w:p w:rsidR="00AF483D" w:rsidRPr="00F65B59" w:rsidP="00F65B59" w14:paraId="4AD8A4A7" w14:textId="77777777">
      <w:pPr>
        <w:ind w:left="3960"/>
        <w:rPr>
          <w:szCs w:val="24"/>
        </w:rPr>
      </w:pPr>
      <w:r w:rsidRPr="00F65B59">
        <w:rPr>
          <w:szCs w:val="24"/>
        </w:rPr>
        <w:t>Ohio Consumers’ Counsel</w:t>
      </w:r>
    </w:p>
    <w:p w:rsidR="00AF483D" w:rsidRPr="00F65B59" w:rsidP="00F65B59" w14:paraId="74317F4B" w14:textId="77777777">
      <w:pPr>
        <w:ind w:left="3960"/>
        <w:rPr>
          <w:szCs w:val="24"/>
        </w:rPr>
      </w:pPr>
      <w:r w:rsidRPr="00F65B59">
        <w:rPr>
          <w:szCs w:val="24"/>
        </w:rPr>
        <w:tab/>
      </w:r>
    </w:p>
    <w:p w:rsidR="00AF483D" w:rsidRPr="00F65B59" w:rsidP="00F65B59" w14:paraId="29ED5E47" w14:textId="77777777">
      <w:pPr>
        <w:ind w:left="3960"/>
        <w:rPr>
          <w:szCs w:val="24"/>
        </w:rPr>
      </w:pPr>
      <w:r w:rsidRPr="00F65B59">
        <w:rPr>
          <w:i/>
          <w:szCs w:val="24"/>
          <w:u w:val="single"/>
        </w:rPr>
        <w:t>/s/ Christopher Healey</w:t>
      </w:r>
      <w:r w:rsidRPr="00F65B59" w:rsidR="00342868">
        <w:rPr>
          <w:i/>
          <w:szCs w:val="24"/>
          <w:u w:val="single"/>
        </w:rPr>
        <w:tab/>
      </w:r>
      <w:r w:rsidRPr="00F65B59" w:rsidR="00342868">
        <w:rPr>
          <w:i/>
          <w:szCs w:val="24"/>
          <w:u w:val="single"/>
        </w:rPr>
        <w:tab/>
      </w:r>
      <w:r w:rsidRPr="00F65B59" w:rsidR="00342868">
        <w:rPr>
          <w:i/>
          <w:szCs w:val="24"/>
          <w:u w:val="single"/>
        </w:rPr>
        <w:tab/>
      </w:r>
    </w:p>
    <w:p w:rsidR="00AF483D" w:rsidRPr="00F65B59" w:rsidP="00F65B59" w14:paraId="1246915A" w14:textId="77777777">
      <w:pPr>
        <w:ind w:left="3960"/>
        <w:rPr>
          <w:szCs w:val="24"/>
        </w:rPr>
      </w:pPr>
      <w:r w:rsidRPr="00F65B59">
        <w:rPr>
          <w:szCs w:val="24"/>
        </w:rPr>
        <w:t>Christopher Healey (0086027)</w:t>
      </w:r>
    </w:p>
    <w:p w:rsidR="00AF483D" w:rsidRPr="00F65B59" w:rsidP="00F65B59" w14:paraId="3842EF14" w14:textId="77777777">
      <w:pPr>
        <w:ind w:left="3960"/>
        <w:rPr>
          <w:szCs w:val="24"/>
        </w:rPr>
      </w:pPr>
      <w:r w:rsidRPr="00F65B59">
        <w:rPr>
          <w:szCs w:val="24"/>
        </w:rPr>
        <w:t>Counsel of Record</w:t>
      </w:r>
    </w:p>
    <w:p w:rsidR="00AF483D" w:rsidRPr="00F65B59" w:rsidP="00F65B59" w14:paraId="7ADAB3BE" w14:textId="77777777">
      <w:pPr>
        <w:pStyle w:val="Heading1"/>
        <w:ind w:left="3960"/>
        <w:rPr>
          <w:u w:val="none"/>
        </w:rPr>
      </w:pPr>
      <w:r w:rsidRPr="00F65B59">
        <w:rPr>
          <w:u w:val="none"/>
        </w:rPr>
        <w:tab/>
      </w:r>
    </w:p>
    <w:p w:rsidR="00AF483D" w:rsidRPr="00F65B59" w:rsidP="00F65B59" w14:paraId="332E8C4A" w14:textId="77777777">
      <w:pPr>
        <w:pStyle w:val="Heading1"/>
        <w:ind w:left="3960"/>
        <w:rPr>
          <w:u w:val="none"/>
        </w:rPr>
      </w:pPr>
      <w:r w:rsidRPr="00F65B59">
        <w:rPr>
          <w:u w:val="none"/>
        </w:rPr>
        <w:t>Office of the Ohio Consumers’ Counsel</w:t>
      </w:r>
    </w:p>
    <w:p w:rsidR="00AF483D" w:rsidRPr="00F65B59" w:rsidP="00F65B59" w14:paraId="1BC8CDEC" w14:textId="77777777">
      <w:pPr>
        <w:pStyle w:val="Heading1"/>
        <w:ind w:left="3960"/>
        <w:rPr>
          <w:b w:val="0"/>
          <w:u w:val="none"/>
        </w:rPr>
      </w:pPr>
      <w:r w:rsidRPr="00F65B59">
        <w:rPr>
          <w:b w:val="0"/>
          <w:u w:val="none"/>
        </w:rPr>
        <w:t>65 East State Street, 7th Floor</w:t>
      </w:r>
    </w:p>
    <w:p w:rsidR="00AF483D" w:rsidRPr="00F65B59" w:rsidP="00F65B59" w14:paraId="0190A4D0" w14:textId="77777777">
      <w:pPr>
        <w:pStyle w:val="Heading1"/>
        <w:ind w:left="3960"/>
        <w:rPr>
          <w:b w:val="0"/>
          <w:u w:val="none"/>
        </w:rPr>
      </w:pPr>
      <w:r w:rsidRPr="00F65B59">
        <w:rPr>
          <w:b w:val="0"/>
          <w:u w:val="none"/>
        </w:rPr>
        <w:t>Columbus, Ohio 43215</w:t>
      </w:r>
    </w:p>
    <w:p w:rsidR="00AF483D" w:rsidRPr="00F65B59" w:rsidP="00F65B59" w14:paraId="250F7D61" w14:textId="77777777">
      <w:pPr>
        <w:autoSpaceDE w:val="0"/>
        <w:autoSpaceDN w:val="0"/>
        <w:adjustRightInd w:val="0"/>
        <w:ind w:left="3960"/>
        <w:rPr>
          <w:szCs w:val="24"/>
        </w:rPr>
      </w:pPr>
      <w:r w:rsidRPr="00F65B59">
        <w:rPr>
          <w:szCs w:val="24"/>
        </w:rPr>
        <w:t>Telephone: (614) 466-9571</w:t>
      </w:r>
    </w:p>
    <w:p w:rsidR="00AF483D" w:rsidRPr="00F65B59" w:rsidP="00F65B59" w14:paraId="5E49C675" w14:textId="77777777">
      <w:pPr>
        <w:autoSpaceDE w:val="0"/>
        <w:autoSpaceDN w:val="0"/>
        <w:adjustRightInd w:val="0"/>
        <w:ind w:left="3960"/>
        <w:rPr>
          <w:szCs w:val="24"/>
        </w:rPr>
      </w:pPr>
      <w:hyperlink r:id="rId6" w:history="1">
        <w:r w:rsidRPr="00F65B59">
          <w:rPr>
            <w:rStyle w:val="Hyperlink"/>
            <w:szCs w:val="24"/>
          </w:rPr>
          <w:t>Christopher.healey@occ.ohio.gov</w:t>
        </w:r>
      </w:hyperlink>
    </w:p>
    <w:p w:rsidR="00AF483D" w:rsidRPr="00F65B59" w:rsidP="00AF483D" w14:paraId="4F4F6223" w14:textId="77777777">
      <w:pPr>
        <w:ind w:left="3960"/>
        <w:rPr>
          <w:szCs w:val="24"/>
        </w:rPr>
      </w:pPr>
      <w:r w:rsidRPr="00F65B59">
        <w:rPr>
          <w:szCs w:val="24"/>
        </w:rPr>
        <w:t>(willing to accept service by e-mail)</w:t>
      </w:r>
    </w:p>
    <w:p w:rsidR="00AF483D" w:rsidRPr="00F65B59" w:rsidP="00AF483D" w14:paraId="3374C2F7" w14:textId="77777777">
      <w:pPr>
        <w:ind w:left="3960"/>
        <w:rPr>
          <w:szCs w:val="24"/>
        </w:rPr>
      </w:pPr>
      <w:r w:rsidRPr="00F65B59">
        <w:rPr>
          <w:szCs w:val="24"/>
        </w:rPr>
        <w:tab/>
      </w:r>
      <w:r w:rsidRPr="00F65B59">
        <w:rPr>
          <w:szCs w:val="24"/>
        </w:rPr>
        <w:tab/>
      </w:r>
      <w:r w:rsidRPr="00F65B59">
        <w:rPr>
          <w:szCs w:val="24"/>
        </w:rPr>
        <w:tab/>
      </w:r>
      <w:r w:rsidRPr="00F65B59">
        <w:rPr>
          <w:szCs w:val="24"/>
        </w:rPr>
        <w:tab/>
      </w:r>
      <w:r w:rsidRPr="00F65B59">
        <w:rPr>
          <w:szCs w:val="24"/>
        </w:rPr>
        <w:tab/>
      </w:r>
      <w:r w:rsidRPr="00F65B59">
        <w:rPr>
          <w:szCs w:val="24"/>
        </w:rPr>
        <w:tab/>
      </w:r>
    </w:p>
    <w:p w:rsidR="00AF483D" w:rsidRPr="00F65B59" w:rsidP="00AF483D" w14:paraId="216846F0" w14:textId="77777777">
      <w:pPr>
        <w:ind w:left="3960"/>
        <w:rPr>
          <w:szCs w:val="24"/>
        </w:rPr>
      </w:pPr>
    </w:p>
    <w:p w:rsidR="00AF483D" w:rsidRPr="00F65B59" w14:paraId="38762A6C" w14:textId="77777777">
      <w:pPr>
        <w:rPr>
          <w:szCs w:val="24"/>
        </w:rPr>
      </w:pPr>
    </w:p>
    <w:p w:rsidR="00AF483D" w:rsidRPr="00F65B59" w14:paraId="284644C8" w14:textId="77777777">
      <w:pPr>
        <w:rPr>
          <w:szCs w:val="24"/>
        </w:rPr>
      </w:pPr>
    </w:p>
    <w:p w:rsidR="00AF483D" w:rsidRPr="00F65B59" w14:paraId="2AC97470" w14:textId="77777777">
      <w:pPr>
        <w:ind w:left="4320" w:firstLine="720"/>
        <w:jc w:val="both"/>
        <w:rPr>
          <w:szCs w:val="24"/>
        </w:rPr>
      </w:pPr>
    </w:p>
    <w:p w:rsidR="00AF483D" w:rsidRPr="00F65B59" w14:paraId="0D84C6FB" w14:textId="77777777">
      <w:pPr>
        <w:pStyle w:val="HTMLPreformatted"/>
        <w:jc w:val="center"/>
        <w:rPr>
          <w:rFonts w:ascii="Times New Roman" w:hAnsi="Times New Roman" w:cs="Times New Roman"/>
          <w:b/>
          <w:bCs/>
          <w:sz w:val="24"/>
          <w:szCs w:val="24"/>
        </w:rPr>
        <w:sectPr w:rsidSect="00F65B59">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26"/>
        </w:sectPr>
      </w:pPr>
    </w:p>
    <w:p w:rsidR="00AF483D" w:rsidRPr="00F65B59" w14:paraId="39D239F1" w14:textId="77777777">
      <w:pPr>
        <w:jc w:val="center"/>
        <w:rPr>
          <w:b/>
          <w:bCs/>
          <w:szCs w:val="24"/>
          <w:u w:val="single"/>
        </w:rPr>
      </w:pPr>
      <w:r w:rsidRPr="00F65B59">
        <w:rPr>
          <w:b/>
          <w:bCs/>
          <w:szCs w:val="24"/>
          <w:u w:val="single"/>
        </w:rPr>
        <w:t>CERTIFICATE OF SERVICE</w:t>
      </w:r>
    </w:p>
    <w:p w:rsidR="00AF483D" w:rsidRPr="00F65B59" w14:paraId="51059337" w14:textId="37872C3B">
      <w:pPr>
        <w:spacing w:line="480" w:lineRule="atLeast"/>
        <w:rPr>
          <w:szCs w:val="24"/>
        </w:rPr>
      </w:pPr>
      <w:r w:rsidRPr="00F65B59">
        <w:rPr>
          <w:szCs w:val="24"/>
        </w:rPr>
        <w:tab/>
        <w:t>I hereby certify that a copy of th</w:t>
      </w:r>
      <w:r w:rsidRPr="00F65B59" w:rsidR="00342868">
        <w:rPr>
          <w:szCs w:val="24"/>
        </w:rPr>
        <w:t xml:space="preserve">ese Comments </w:t>
      </w:r>
      <w:r w:rsidRPr="00F65B59">
        <w:rPr>
          <w:szCs w:val="24"/>
        </w:rPr>
        <w:t xml:space="preserve">was served on the persons stated below via electronic transmission, this </w:t>
      </w:r>
      <w:r w:rsidRPr="00F65B59" w:rsidR="008052FF">
        <w:rPr>
          <w:szCs w:val="24"/>
        </w:rPr>
        <w:t>25th</w:t>
      </w:r>
      <w:r w:rsidRPr="00F65B59">
        <w:rPr>
          <w:szCs w:val="24"/>
        </w:rPr>
        <w:t xml:space="preserve"> day of </w:t>
      </w:r>
      <w:r w:rsidRPr="00F65B59" w:rsidR="008B625C">
        <w:rPr>
          <w:szCs w:val="24"/>
        </w:rPr>
        <w:t>September</w:t>
      </w:r>
      <w:r w:rsidRPr="00F65B59" w:rsidR="00342868">
        <w:rPr>
          <w:szCs w:val="24"/>
        </w:rPr>
        <w:t xml:space="preserve"> 2020</w:t>
      </w:r>
      <w:r w:rsidRPr="00F65B59">
        <w:rPr>
          <w:szCs w:val="24"/>
        </w:rPr>
        <w:t>.</w:t>
      </w:r>
    </w:p>
    <w:p w:rsidR="00AF483D" w:rsidRPr="00F65B59" w14:paraId="5DED7574" w14:textId="77777777">
      <w:pPr>
        <w:spacing w:line="480" w:lineRule="atLeast"/>
        <w:rPr>
          <w:szCs w:val="24"/>
        </w:rPr>
      </w:pPr>
    </w:p>
    <w:p w:rsidR="00AF483D" w:rsidRPr="00F65B59" w14:paraId="79BFC020" w14:textId="77777777">
      <w:pPr>
        <w:tabs>
          <w:tab w:val="left" w:pos="4320"/>
        </w:tabs>
        <w:rPr>
          <w:szCs w:val="24"/>
        </w:rPr>
      </w:pPr>
      <w:r w:rsidRPr="00F65B59">
        <w:rPr>
          <w:szCs w:val="24"/>
        </w:rPr>
        <w:tab/>
      </w:r>
      <w:r w:rsidRPr="00F65B59">
        <w:rPr>
          <w:i/>
          <w:szCs w:val="24"/>
          <w:u w:val="single"/>
        </w:rPr>
        <w:t>/s/ Christopher Healey</w:t>
      </w:r>
      <w:r w:rsidRPr="00F65B59">
        <w:rPr>
          <w:i/>
          <w:szCs w:val="24"/>
          <w:u w:val="single"/>
        </w:rPr>
        <w:tab/>
      </w:r>
      <w:r w:rsidRPr="00F65B59">
        <w:rPr>
          <w:i/>
          <w:szCs w:val="24"/>
          <w:u w:val="single"/>
        </w:rPr>
        <w:tab/>
      </w:r>
    </w:p>
    <w:p w:rsidR="00AF483D" w:rsidRPr="00F65B59" w14:paraId="4C3A756C" w14:textId="77777777">
      <w:pPr>
        <w:tabs>
          <w:tab w:val="left" w:pos="4320"/>
        </w:tabs>
        <w:rPr>
          <w:szCs w:val="24"/>
        </w:rPr>
      </w:pPr>
      <w:r w:rsidRPr="00F65B59">
        <w:rPr>
          <w:szCs w:val="24"/>
        </w:rPr>
        <w:tab/>
        <w:t>Christopher Healey</w:t>
      </w:r>
    </w:p>
    <w:p w:rsidR="00AF483D" w:rsidRPr="00F65B59" w14:paraId="79B79C5A" w14:textId="77777777">
      <w:pPr>
        <w:tabs>
          <w:tab w:val="left" w:pos="4320"/>
        </w:tabs>
        <w:rPr>
          <w:szCs w:val="24"/>
        </w:rPr>
      </w:pPr>
      <w:r w:rsidRPr="00F65B59">
        <w:rPr>
          <w:szCs w:val="24"/>
        </w:rPr>
        <w:tab/>
        <w:t>Counsel of Record</w:t>
      </w:r>
    </w:p>
    <w:p w:rsidR="00AF483D" w:rsidRPr="00F65B59" w14:paraId="13F62D06" w14:textId="77777777">
      <w:pPr>
        <w:pStyle w:val="CommentSubject"/>
        <w:rPr>
          <w:szCs w:val="24"/>
        </w:rPr>
      </w:pPr>
    </w:p>
    <w:p w:rsidR="00F675F2" w:rsidRPr="00F65B59" w:rsidP="00F675F2" w14:paraId="6629EA43" w14:textId="77777777">
      <w:pPr>
        <w:rPr>
          <w:szCs w:val="24"/>
        </w:rPr>
      </w:pPr>
      <w:r w:rsidRPr="00F65B59">
        <w:rPr>
          <w:szCs w:val="24"/>
        </w:rPr>
        <w:t>The PUCO’s e-filing system will electronically serve notice of the filing of this document on the following parties:</w:t>
      </w:r>
    </w:p>
    <w:p w:rsidR="00F675F2" w:rsidRPr="00F65B59" w:rsidP="00F675F2" w14:paraId="710CF72F" w14:textId="77777777">
      <w:pPr>
        <w:pStyle w:val="CommentText"/>
      </w:pPr>
    </w:p>
    <w:p w:rsidR="00AF483D" w:rsidRPr="00F65B59" w14:paraId="1973C707" w14:textId="77777777">
      <w:pPr>
        <w:pStyle w:val="CommentText"/>
      </w:pPr>
    </w:p>
    <w:p w:rsidR="00F675F2" w:rsidRPr="00F65B59" w14:paraId="09A72240" w14:textId="77777777">
      <w:pPr>
        <w:pStyle w:val="CommentText"/>
      </w:pPr>
    </w:p>
    <w:p w:rsidR="00F675F2" w:rsidRPr="00F65B59" w:rsidP="00F675F2" w14:paraId="6BD9A865" w14:textId="77777777">
      <w:pPr>
        <w:pStyle w:val="CommentText"/>
        <w:jc w:val="center"/>
        <w:rPr>
          <w:b/>
          <w:u w:val="single"/>
        </w:rPr>
      </w:pPr>
      <w:r w:rsidRPr="00F65B59">
        <w:rPr>
          <w:b/>
          <w:u w:val="single"/>
        </w:rPr>
        <w:t>SERVICE LIST</w:t>
      </w:r>
    </w:p>
    <w:p w:rsidR="00F675F2" w:rsidRPr="00F65B59" w:rsidP="00F675F2" w14:paraId="181E1EE8" w14:textId="77777777">
      <w:pPr>
        <w:pStyle w:val="CommentText"/>
        <w:jc w:val="center"/>
        <w:rPr>
          <w:b/>
          <w:u w:val="single"/>
        </w:rPr>
      </w:pPr>
    </w:p>
    <w:p w:rsidR="00F675F2" w:rsidRPr="00F65B59" w:rsidP="00F675F2" w14:paraId="569479A1" w14:textId="77777777">
      <w:pPr>
        <w:pStyle w:val="CommentText"/>
        <w:jc w:val="center"/>
        <w:rPr>
          <w:b/>
          <w:u w:val="single"/>
        </w:rPr>
      </w:pPr>
    </w:p>
    <w:tbl>
      <w:tblPr>
        <w:tblW w:w="0" w:type="auto"/>
        <w:tblLook w:val="04A0"/>
      </w:tblPr>
      <w:tblGrid>
        <w:gridCol w:w="4428"/>
        <w:gridCol w:w="4428"/>
      </w:tblGrid>
      <w:tr w14:paraId="546F09CC" w14:textId="77777777" w:rsidTr="00356483">
        <w:tblPrEx>
          <w:tblW w:w="0" w:type="auto"/>
          <w:tblLook w:val="04A0"/>
        </w:tblPrEx>
        <w:tc>
          <w:tcPr>
            <w:tcW w:w="4428" w:type="dxa"/>
            <w:shd w:val="clear" w:color="auto" w:fill="auto"/>
          </w:tcPr>
          <w:p w:rsidR="00F675F2" w:rsidRPr="00F65B59" w:rsidP="00356483" w14:paraId="190AFD0B" w14:textId="77777777">
            <w:pPr>
              <w:rPr>
                <w:szCs w:val="24"/>
              </w:rPr>
            </w:pPr>
            <w:hyperlink r:id="rId11" w:history="1">
              <w:r w:rsidRPr="00F65B59">
                <w:rPr>
                  <w:rStyle w:val="Hyperlink"/>
                  <w:szCs w:val="24"/>
                </w:rPr>
                <w:t>jodi.bair@ohioattorneygeneral.gov</w:t>
              </w:r>
            </w:hyperlink>
          </w:p>
          <w:p w:rsidR="00F675F2" w:rsidRPr="00F65B59" w:rsidP="00356483" w14:paraId="559A4385" w14:textId="77777777">
            <w:pPr>
              <w:rPr>
                <w:szCs w:val="24"/>
              </w:rPr>
            </w:pPr>
            <w:hyperlink r:id="rId12" w:history="1">
              <w:r w:rsidRPr="00F65B59">
                <w:rPr>
                  <w:rStyle w:val="Hyperlink"/>
                  <w:szCs w:val="24"/>
                </w:rPr>
                <w:t>mpritchard@mwncmh.com</w:t>
              </w:r>
            </w:hyperlink>
          </w:p>
          <w:p w:rsidR="00F675F2" w:rsidRPr="00F65B59" w:rsidP="00356483" w14:paraId="1A1D2BD2" w14:textId="77777777">
            <w:pPr>
              <w:rPr>
                <w:szCs w:val="24"/>
              </w:rPr>
            </w:pPr>
          </w:p>
        </w:tc>
        <w:tc>
          <w:tcPr>
            <w:tcW w:w="4428" w:type="dxa"/>
            <w:shd w:val="clear" w:color="auto" w:fill="auto"/>
          </w:tcPr>
          <w:p w:rsidR="00F675F2" w:rsidRPr="00F65B59" w:rsidP="00356483" w14:paraId="6C26DD58" w14:textId="77777777">
            <w:pPr>
              <w:ind w:left="1337"/>
              <w:rPr>
                <w:bCs/>
                <w:szCs w:val="24"/>
              </w:rPr>
            </w:pPr>
            <w:hyperlink r:id="rId13" w:history="1">
              <w:r w:rsidRPr="00F65B59">
                <w:rPr>
                  <w:rStyle w:val="Hyperlink"/>
                  <w:bCs/>
                  <w:szCs w:val="24"/>
                </w:rPr>
                <w:t>stnourse@aep.com</w:t>
              </w:r>
            </w:hyperlink>
          </w:p>
          <w:p w:rsidR="00F675F2" w:rsidRPr="00F65B59" w:rsidP="00356483" w14:paraId="2A0672CE" w14:textId="77777777">
            <w:pPr>
              <w:rPr>
                <w:bCs/>
                <w:szCs w:val="24"/>
              </w:rPr>
            </w:pPr>
          </w:p>
        </w:tc>
      </w:tr>
      <w:tr w14:paraId="35DC8659" w14:textId="77777777" w:rsidTr="00356483">
        <w:tblPrEx>
          <w:tblW w:w="0" w:type="auto"/>
          <w:tblLook w:val="04A0"/>
        </w:tblPrEx>
        <w:tc>
          <w:tcPr>
            <w:tcW w:w="4428" w:type="dxa"/>
            <w:shd w:val="clear" w:color="auto" w:fill="auto"/>
          </w:tcPr>
          <w:p w:rsidR="00F675F2" w:rsidRPr="00F65B59" w:rsidP="00356483" w14:paraId="42D7C375" w14:textId="77777777">
            <w:pPr>
              <w:pStyle w:val="BodyText"/>
              <w:rPr>
                <w:bCs/>
                <w:szCs w:val="24"/>
              </w:rPr>
            </w:pPr>
          </w:p>
          <w:p w:rsidR="00F675F2" w:rsidRPr="00F65B59" w:rsidP="00356483" w14:paraId="6A722C01" w14:textId="77777777">
            <w:pPr>
              <w:pStyle w:val="BodyText"/>
              <w:rPr>
                <w:bCs/>
                <w:szCs w:val="24"/>
              </w:rPr>
            </w:pPr>
            <w:r w:rsidRPr="00F65B59">
              <w:rPr>
                <w:bCs/>
                <w:szCs w:val="24"/>
              </w:rPr>
              <w:t>Attorney Examiners:</w:t>
            </w:r>
          </w:p>
          <w:p w:rsidR="00F675F2" w:rsidRPr="00F65B59" w:rsidP="00356483" w14:paraId="390F0DA9" w14:textId="77777777">
            <w:pPr>
              <w:pStyle w:val="BodyText"/>
              <w:rPr>
                <w:bCs/>
                <w:szCs w:val="24"/>
              </w:rPr>
            </w:pPr>
          </w:p>
          <w:p w:rsidR="00F675F2" w:rsidRPr="00F65B59" w:rsidP="00356483" w14:paraId="118BEA6F" w14:textId="77777777">
            <w:pPr>
              <w:pStyle w:val="BodyText"/>
              <w:rPr>
                <w:bCs/>
                <w:szCs w:val="24"/>
              </w:rPr>
            </w:pPr>
            <w:hyperlink r:id="rId14" w:history="1">
              <w:r w:rsidRPr="00F65B59">
                <w:rPr>
                  <w:rStyle w:val="Hyperlink"/>
                  <w:bCs/>
                  <w:szCs w:val="24"/>
                </w:rPr>
                <w:t>Sarah.parrot@puc.state.oh.us</w:t>
              </w:r>
            </w:hyperlink>
          </w:p>
          <w:p w:rsidR="00F675F2" w:rsidRPr="00F65B59" w:rsidP="00356483" w14:paraId="3FAD563A" w14:textId="77777777">
            <w:pPr>
              <w:pStyle w:val="BodyText"/>
              <w:rPr>
                <w:bCs/>
                <w:szCs w:val="24"/>
              </w:rPr>
            </w:pPr>
            <w:hyperlink r:id="rId15" w:history="1">
              <w:r w:rsidRPr="00F65B59">
                <w:rPr>
                  <w:rStyle w:val="Hyperlink"/>
                  <w:bCs/>
                  <w:szCs w:val="24"/>
                </w:rPr>
                <w:t>Greta.see@puc.state.oh.us</w:t>
              </w:r>
            </w:hyperlink>
          </w:p>
          <w:p w:rsidR="00F675F2" w:rsidRPr="00F65B59" w:rsidP="00356483" w14:paraId="77D1C7DB" w14:textId="77777777">
            <w:pPr>
              <w:pStyle w:val="BodyText"/>
              <w:rPr>
                <w:bCs/>
                <w:szCs w:val="24"/>
              </w:rPr>
            </w:pPr>
          </w:p>
        </w:tc>
        <w:tc>
          <w:tcPr>
            <w:tcW w:w="4428" w:type="dxa"/>
            <w:shd w:val="clear" w:color="auto" w:fill="auto"/>
          </w:tcPr>
          <w:p w:rsidR="00F675F2" w:rsidRPr="00F65B59" w:rsidP="00356483" w14:paraId="45ED2620" w14:textId="77777777">
            <w:pPr>
              <w:pStyle w:val="BodyText"/>
              <w:rPr>
                <w:bCs/>
                <w:szCs w:val="24"/>
              </w:rPr>
            </w:pPr>
          </w:p>
        </w:tc>
      </w:tr>
    </w:tbl>
    <w:p w:rsidR="00F675F2" w:rsidRPr="00F65B59" w:rsidP="00F675F2" w14:paraId="681ACD4F" w14:textId="77777777">
      <w:pPr>
        <w:pStyle w:val="BodyText"/>
        <w:rPr>
          <w:b/>
          <w:bCs/>
          <w:szCs w:val="24"/>
        </w:rPr>
      </w:pPr>
    </w:p>
    <w:sectPr w:rsidSect="00F65B59">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83D" w14:paraId="21127F1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F483D" w14:paraId="5DA34A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83D" w14:paraId="54BED38A" w14:textId="77777777">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8052FF">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83D" w14:paraId="3B3A06BB" w14:textId="77777777">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42868">
      <w:rPr>
        <w:rStyle w:val="PageNumber"/>
        <w:noProof/>
        <w:sz w:val="24"/>
        <w:szCs w:val="24"/>
      </w:rPr>
      <w:t>5</w:t>
    </w:r>
    <w:r>
      <w:rPr>
        <w:rStyle w:val="PageNumber"/>
        <w:sz w:val="24"/>
        <w:szCs w:val="24"/>
      </w:rPr>
      <w:fldChar w:fldCharType="end"/>
    </w:r>
  </w:p>
  <w:p w:rsidR="00AF483D" w14:paraId="3C2102AF" w14:textId="77777777">
    <w:pPr>
      <w:pStyle w:val="Footer"/>
      <w:framePr w:wrap="around" w:vAnchor="text" w:hAnchor="margin" w:xAlign="center" w:y="1"/>
      <w:rPr>
        <w:rStyle w:val="PageNumber"/>
      </w:rPr>
    </w:pPr>
  </w:p>
  <w:p w:rsidR="00AF483D" w14:paraId="5970C9B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75F2" w:rsidRPr="00F675F2" w14:paraId="15886F29" w14:textId="77777777">
    <w:pPr>
      <w:pStyle w:val="Footer"/>
      <w:jc w:val="center"/>
      <w:rPr>
        <w:sz w:val="24"/>
        <w:szCs w:val="24"/>
      </w:rPr>
    </w:pPr>
    <w:r w:rsidRPr="00F675F2">
      <w:rPr>
        <w:sz w:val="24"/>
        <w:szCs w:val="24"/>
      </w:rPr>
      <w:fldChar w:fldCharType="begin"/>
    </w:r>
    <w:r w:rsidRPr="00F675F2">
      <w:rPr>
        <w:sz w:val="24"/>
        <w:szCs w:val="24"/>
      </w:rPr>
      <w:instrText xml:space="preserve"> PAGE   \* MERGEFORMAT </w:instrText>
    </w:r>
    <w:r w:rsidRPr="00F675F2">
      <w:rPr>
        <w:sz w:val="24"/>
        <w:szCs w:val="24"/>
      </w:rPr>
      <w:fldChar w:fldCharType="separate"/>
    </w:r>
    <w:r w:rsidR="008052FF">
      <w:rPr>
        <w:noProof/>
        <w:sz w:val="24"/>
        <w:szCs w:val="24"/>
      </w:rPr>
      <w:t>5</w:t>
    </w:r>
    <w:r w:rsidRPr="00F675F2">
      <w:rPr>
        <w:noProof/>
        <w:sz w:val="24"/>
        <w:szCs w:val="24"/>
      </w:rPr>
      <w:fldChar w:fldCharType="end"/>
    </w:r>
  </w:p>
  <w:p w:rsidR="00AF483D" w:rsidRPr="00FE05A8" w:rsidP="00AF483D" w14:paraId="2E1D29B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1C29" w14:paraId="67434CC1" w14:textId="77777777">
      <w:r>
        <w:separator/>
      </w:r>
    </w:p>
  </w:footnote>
  <w:footnote w:type="continuationSeparator" w:id="1">
    <w:p w:rsidR="00AD1C29" w14:paraId="247774D7" w14:textId="77777777">
      <w:r>
        <w:continuationSeparator/>
      </w:r>
    </w:p>
  </w:footnote>
  <w:footnote w:id="2">
    <w:p w:rsidR="00E5101E" w:rsidP="00DB3094" w14:paraId="715F67FE" w14:textId="77777777">
      <w:pPr>
        <w:pStyle w:val="FootnoteText"/>
        <w:spacing w:after="120"/>
      </w:pPr>
      <w:r>
        <w:rPr>
          <w:rStyle w:val="FootnoteReference"/>
        </w:rPr>
        <w:footnoteRef/>
      </w:r>
      <w:r>
        <w:t xml:space="preserve"> Staff Review and Recommendation at 4 (July 20, 2020).</w:t>
      </w:r>
    </w:p>
  </w:footnote>
  <w:footnote w:id="3">
    <w:p w:rsidR="00995C94" w:rsidRPr="00995C94" w:rsidP="00DB3094" w14:paraId="74256E23" w14:textId="77777777">
      <w:pPr>
        <w:pStyle w:val="FootnoteText"/>
        <w:spacing w:after="120"/>
      </w:pPr>
      <w:r>
        <w:rPr>
          <w:rStyle w:val="FootnoteReference"/>
        </w:rPr>
        <w:footnoteRef/>
      </w:r>
      <w:r>
        <w:t xml:space="preserve"> </w:t>
      </w:r>
      <w:r>
        <w:rPr>
          <w:i/>
        </w:rPr>
        <w:t>Id.</w:t>
      </w:r>
      <w:r>
        <w:t xml:space="preserve"> at 2-4.</w:t>
      </w:r>
    </w:p>
  </w:footnote>
  <w:footnote w:id="4">
    <w:p w:rsidR="00995C94" w:rsidRPr="00995C94" w:rsidP="00DB3094" w14:paraId="5AFF2016" w14:textId="77777777">
      <w:pPr>
        <w:pStyle w:val="FootnoteText"/>
        <w:spacing w:after="120"/>
      </w:pPr>
      <w:r>
        <w:rPr>
          <w:rStyle w:val="FootnoteReference"/>
        </w:rPr>
        <w:footnoteRef/>
      </w:r>
      <w:r>
        <w:t xml:space="preserve"> </w:t>
      </w:r>
      <w:r>
        <w:rPr>
          <w:i/>
        </w:rPr>
        <w:t>See, e.g., In re Application of Duke Energy Ohio, Inc. for Recovery of Program Costs, Lost Distribution Revenue, &amp; Performance Incentives Related to its Energy Efficiency &amp; Demand Response Programs</w:t>
      </w:r>
      <w:r>
        <w:t>, Case Nos. 16-664-EL-RDR, 17-781-EL-RDR, Finding &amp; Order (May 15, 2019).</w:t>
      </w:r>
    </w:p>
  </w:footnote>
  <w:footnote w:id="5">
    <w:p w:rsidR="003A5A16" w:rsidP="00DB3094" w14:paraId="087ED113" w14:textId="77777777">
      <w:pPr>
        <w:pStyle w:val="FootnoteText"/>
        <w:spacing w:after="120"/>
      </w:pPr>
      <w:r>
        <w:rPr>
          <w:rStyle w:val="FootnoteReference"/>
        </w:rPr>
        <w:footnoteRef/>
      </w:r>
      <w:r>
        <w:t xml:space="preserve"> Objections of Industrial Energy Users-Ohio (June 14, 2018).</w:t>
      </w:r>
    </w:p>
  </w:footnote>
  <w:footnote w:id="6">
    <w:p w:rsidR="003A5A16" w:rsidRPr="003A5A16" w:rsidP="00DB3094" w14:paraId="04277AA8" w14:textId="77777777">
      <w:pPr>
        <w:pStyle w:val="FootnoteText"/>
        <w:spacing w:after="120"/>
      </w:pPr>
      <w:r>
        <w:rPr>
          <w:rStyle w:val="FootnoteReference"/>
        </w:rPr>
        <w:footnoteRef/>
      </w:r>
      <w:r>
        <w:t xml:space="preserve"> </w:t>
      </w:r>
      <w:r>
        <w:rPr>
          <w:i/>
        </w:rPr>
        <w:t>Id.</w:t>
      </w:r>
    </w:p>
  </w:footnote>
  <w:footnote w:id="7">
    <w:p w:rsidR="003A5A16" w:rsidRPr="003A5A16" w:rsidP="00DB3094" w14:paraId="79992DB5" w14:textId="77777777">
      <w:pPr>
        <w:pStyle w:val="FootnoteText"/>
        <w:spacing w:after="120"/>
      </w:pPr>
      <w:r>
        <w:rPr>
          <w:rStyle w:val="FootnoteReference"/>
        </w:rPr>
        <w:footnoteRef/>
      </w:r>
      <w:r>
        <w:t xml:space="preserve"> </w:t>
      </w:r>
      <w:r>
        <w:rPr>
          <w:i/>
        </w:rPr>
        <w:t>See</w:t>
      </w:r>
      <w:r>
        <w:t xml:space="preserve"> Application, Schedule 3</w:t>
      </w:r>
      <w:r w:rsidR="00342868">
        <w:t xml:space="preserve"> (calculating tax gross up of $20 million in shared savings based on a 21% federal income tax rate).</w:t>
      </w:r>
    </w:p>
  </w:footnote>
  <w:footnote w:id="8">
    <w:p w:rsidR="00342868" w:rsidRPr="00342868" w:rsidP="00DB3094" w14:paraId="047B7F2E" w14:textId="77777777">
      <w:pPr>
        <w:pStyle w:val="FootnoteText"/>
        <w:spacing w:after="120"/>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83D" w14:paraId="431F0B9A"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83D" w14:paraId="4A694818" w14:textId="77777777">
    <w:pPr>
      <w:pStyle w:val="Header"/>
      <w:jc w:val="center"/>
    </w:pPr>
  </w:p>
  <w:p w:rsidR="00AF483D" w14:paraId="43FF8DD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83D" w14:paraId="15C201B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83D" w14:paraId="01E0B5F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483D" w14:paraId="0FA8D2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2"/>
    <w:rsid w:val="00017457"/>
    <w:rsid w:val="00056F1C"/>
    <w:rsid w:val="000931D1"/>
    <w:rsid w:val="000A3129"/>
    <w:rsid w:val="00140550"/>
    <w:rsid w:val="001736B5"/>
    <w:rsid w:val="00190F8B"/>
    <w:rsid w:val="00211F53"/>
    <w:rsid w:val="00220593"/>
    <w:rsid w:val="00262DA8"/>
    <w:rsid w:val="00286600"/>
    <w:rsid w:val="002A13EB"/>
    <w:rsid w:val="002A4912"/>
    <w:rsid w:val="002B2EFB"/>
    <w:rsid w:val="003139F0"/>
    <w:rsid w:val="0033023C"/>
    <w:rsid w:val="00342868"/>
    <w:rsid w:val="00355F39"/>
    <w:rsid w:val="00356483"/>
    <w:rsid w:val="00363DBA"/>
    <w:rsid w:val="003A5A16"/>
    <w:rsid w:val="003A781C"/>
    <w:rsid w:val="00411990"/>
    <w:rsid w:val="004B6CE2"/>
    <w:rsid w:val="00522A57"/>
    <w:rsid w:val="00610EBF"/>
    <w:rsid w:val="00624FE4"/>
    <w:rsid w:val="00652708"/>
    <w:rsid w:val="00656D02"/>
    <w:rsid w:val="007A26A1"/>
    <w:rsid w:val="008052FF"/>
    <w:rsid w:val="008B625C"/>
    <w:rsid w:val="008B6359"/>
    <w:rsid w:val="00932F6A"/>
    <w:rsid w:val="00995C94"/>
    <w:rsid w:val="00A1033D"/>
    <w:rsid w:val="00A16270"/>
    <w:rsid w:val="00A56872"/>
    <w:rsid w:val="00AB3F7B"/>
    <w:rsid w:val="00AD1C29"/>
    <w:rsid w:val="00AF483D"/>
    <w:rsid w:val="00B67F33"/>
    <w:rsid w:val="00C833F1"/>
    <w:rsid w:val="00CC6E18"/>
    <w:rsid w:val="00D128F1"/>
    <w:rsid w:val="00D265EA"/>
    <w:rsid w:val="00D63BAC"/>
    <w:rsid w:val="00D91F5A"/>
    <w:rsid w:val="00DB3094"/>
    <w:rsid w:val="00DC3DC6"/>
    <w:rsid w:val="00DD0D82"/>
    <w:rsid w:val="00DD5E7E"/>
    <w:rsid w:val="00DD74C6"/>
    <w:rsid w:val="00E1305A"/>
    <w:rsid w:val="00E5101E"/>
    <w:rsid w:val="00EB2416"/>
    <w:rsid w:val="00F438B5"/>
    <w:rsid w:val="00F65B59"/>
    <w:rsid w:val="00F675F2"/>
    <w:rsid w:val="00FC3486"/>
    <w:rsid w:val="00FE05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8B5"/>
    <w:rPr>
      <w:sz w:val="24"/>
    </w:rPr>
  </w:style>
  <w:style w:type="paragraph" w:styleId="Heading1">
    <w:name w:val="heading 1"/>
    <w:basedOn w:val="Normal"/>
    <w:next w:val="Normal"/>
    <w:qFormat/>
    <w:rsid w:val="00F438B5"/>
    <w:pPr>
      <w:keepNext/>
      <w:outlineLvl w:val="0"/>
    </w:pPr>
    <w:rPr>
      <w:b/>
      <w:szCs w:val="24"/>
      <w:u w:val="single"/>
    </w:rPr>
  </w:style>
  <w:style w:type="paragraph" w:styleId="Heading2">
    <w:name w:val="heading 2"/>
    <w:basedOn w:val="Normal"/>
    <w:next w:val="Normal"/>
    <w:qFormat/>
    <w:rsid w:val="00F438B5"/>
    <w:pPr>
      <w:keepNext/>
      <w:tabs>
        <w:tab w:val="left" w:pos="4320"/>
      </w:tabs>
      <w:jc w:val="center"/>
      <w:outlineLvl w:val="1"/>
    </w:pPr>
    <w:rPr>
      <w:b/>
    </w:rPr>
  </w:style>
  <w:style w:type="paragraph" w:styleId="Heading3">
    <w:name w:val="heading 3"/>
    <w:basedOn w:val="Normal"/>
    <w:next w:val="Normal"/>
    <w:qFormat/>
    <w:rsid w:val="00F438B5"/>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4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F438B5"/>
    <w:pPr>
      <w:tabs>
        <w:tab w:val="center" w:pos="4320"/>
        <w:tab w:val="right" w:pos="8640"/>
      </w:tabs>
    </w:pPr>
    <w:rPr>
      <w:sz w:val="20"/>
    </w:rPr>
  </w:style>
  <w:style w:type="character" w:styleId="Hyperlink">
    <w:name w:val="Hyperlink"/>
    <w:rsid w:val="00F438B5"/>
    <w:rPr>
      <w:color w:val="0000FF"/>
      <w:u w:val="single"/>
    </w:rPr>
  </w:style>
  <w:style w:type="paragraph" w:styleId="FootnoteText">
    <w:name w:val="footnote text"/>
    <w:basedOn w:val="Normal"/>
    <w:semiHidden/>
    <w:rsid w:val="00F438B5"/>
    <w:rPr>
      <w:sz w:val="20"/>
    </w:rPr>
  </w:style>
  <w:style w:type="character" w:styleId="FootnoteReference">
    <w:name w:val="footnote reference"/>
    <w:semiHidden/>
    <w:rsid w:val="00F438B5"/>
    <w:rPr>
      <w:vertAlign w:val="superscript"/>
    </w:rPr>
  </w:style>
  <w:style w:type="paragraph" w:styleId="BodyTextIndent">
    <w:name w:val="Body Text Indent"/>
    <w:basedOn w:val="Normal"/>
    <w:rsid w:val="00F438B5"/>
    <w:pPr>
      <w:spacing w:line="480" w:lineRule="auto"/>
      <w:ind w:firstLine="720"/>
    </w:pPr>
  </w:style>
  <w:style w:type="paragraph" w:styleId="BodyTextIndent3">
    <w:name w:val="Body Text Indent 3"/>
    <w:basedOn w:val="Normal"/>
    <w:rsid w:val="00F438B5"/>
    <w:pPr>
      <w:spacing w:line="480" w:lineRule="atLeast"/>
      <w:ind w:firstLine="720"/>
    </w:pPr>
  </w:style>
  <w:style w:type="paragraph" w:styleId="BodyTextIndent2">
    <w:name w:val="Body Text Indent 2"/>
    <w:basedOn w:val="Normal"/>
    <w:rsid w:val="00F438B5"/>
    <w:pPr>
      <w:tabs>
        <w:tab w:val="left" w:pos="720"/>
      </w:tabs>
      <w:spacing w:before="240" w:after="240"/>
      <w:ind w:left="1464" w:hanging="744"/>
    </w:pPr>
  </w:style>
  <w:style w:type="character" w:styleId="PageNumber">
    <w:name w:val="page number"/>
    <w:basedOn w:val="DefaultParagraphFont"/>
    <w:rsid w:val="00F438B5"/>
  </w:style>
  <w:style w:type="paragraph" w:styleId="BodyText">
    <w:name w:val="Body Text"/>
    <w:basedOn w:val="Normal"/>
    <w:link w:val="BodyTextChar"/>
    <w:rsid w:val="00F438B5"/>
    <w:pPr>
      <w:jc w:val="both"/>
    </w:pPr>
  </w:style>
  <w:style w:type="paragraph" w:styleId="BlockText">
    <w:name w:val="Block Text"/>
    <w:basedOn w:val="Normal"/>
    <w:rsid w:val="00F438B5"/>
    <w:pPr>
      <w:ind w:left="1440" w:right="720"/>
    </w:pPr>
  </w:style>
  <w:style w:type="paragraph" w:styleId="EndnoteText">
    <w:name w:val="endnote text"/>
    <w:basedOn w:val="Normal"/>
    <w:semiHidden/>
    <w:rsid w:val="00F438B5"/>
    <w:rPr>
      <w:sz w:val="20"/>
    </w:rPr>
  </w:style>
  <w:style w:type="character" w:styleId="EndnoteReference">
    <w:name w:val="endnote reference"/>
    <w:semiHidden/>
    <w:rsid w:val="00F438B5"/>
    <w:rPr>
      <w:vertAlign w:val="superscript"/>
    </w:rPr>
  </w:style>
  <w:style w:type="paragraph" w:styleId="BodyText2">
    <w:name w:val="Body Text 2"/>
    <w:basedOn w:val="Normal"/>
    <w:rsid w:val="00F438B5"/>
    <w:pPr>
      <w:spacing w:line="480" w:lineRule="auto"/>
      <w:ind w:right="1440"/>
    </w:pPr>
  </w:style>
  <w:style w:type="paragraph" w:styleId="Header">
    <w:name w:val="header"/>
    <w:basedOn w:val="Normal"/>
    <w:rsid w:val="00F438B5"/>
    <w:pPr>
      <w:tabs>
        <w:tab w:val="center" w:pos="4320"/>
        <w:tab w:val="right" w:pos="8640"/>
      </w:tabs>
    </w:pPr>
  </w:style>
  <w:style w:type="paragraph" w:styleId="BalloonText">
    <w:name w:val="Balloon Text"/>
    <w:basedOn w:val="Normal"/>
    <w:semiHidden/>
    <w:rsid w:val="00F438B5"/>
    <w:rPr>
      <w:rFonts w:ascii="Lucida Grande" w:hAnsi="Lucida Grande"/>
      <w:sz w:val="18"/>
      <w:szCs w:val="18"/>
    </w:rPr>
  </w:style>
  <w:style w:type="character" w:styleId="CommentReference">
    <w:name w:val="annotation reference"/>
    <w:semiHidden/>
    <w:rsid w:val="00F438B5"/>
    <w:rPr>
      <w:sz w:val="18"/>
    </w:rPr>
  </w:style>
  <w:style w:type="paragraph" w:styleId="CommentText">
    <w:name w:val="annotation text"/>
    <w:basedOn w:val="Normal"/>
    <w:link w:val="CommentTextChar"/>
    <w:uiPriority w:val="99"/>
    <w:rsid w:val="00F438B5"/>
    <w:rPr>
      <w:szCs w:val="24"/>
    </w:rPr>
  </w:style>
  <w:style w:type="paragraph" w:styleId="CommentSubject">
    <w:name w:val="annotation subject"/>
    <w:basedOn w:val="CommentText"/>
    <w:next w:val="CommentText"/>
    <w:semiHidden/>
    <w:rsid w:val="00F438B5"/>
    <w:rPr>
      <w:szCs w:val="20"/>
    </w:rPr>
  </w:style>
  <w:style w:type="character" w:styleId="FollowedHyperlink">
    <w:name w:val="FollowedHyperlink"/>
    <w:rsid w:val="00F438B5"/>
    <w:rPr>
      <w:color w:val="800080"/>
      <w:u w:val="single"/>
    </w:rPr>
  </w:style>
  <w:style w:type="character" w:customStyle="1" w:styleId="term1">
    <w:name w:val="term1"/>
    <w:rsid w:val="00F438B5"/>
    <w:rPr>
      <w:b/>
      <w:bCs/>
    </w:rPr>
  </w:style>
  <w:style w:type="table" w:styleId="TableGrid">
    <w:name w:val="Table Grid"/>
    <w:basedOn w:val="TableNormal"/>
    <w:rsid w:val="00F4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F438B5"/>
    <w:pPr>
      <w:suppressAutoHyphens/>
      <w:spacing w:line="480" w:lineRule="atLeast"/>
      <w:ind w:firstLine="720"/>
    </w:pPr>
    <w:rPr>
      <w:lang w:eastAsia="ar-SA"/>
    </w:rPr>
  </w:style>
  <w:style w:type="character" w:customStyle="1" w:styleId="UnresolvedMention1">
    <w:name w:val="Unresolved Mention1"/>
    <w:uiPriority w:val="99"/>
    <w:semiHidden/>
    <w:unhideWhenUsed/>
    <w:rsid w:val="00CB170C"/>
    <w:rPr>
      <w:color w:val="605E5C"/>
      <w:shd w:val="clear" w:color="auto" w:fill="E1DFDD"/>
    </w:rPr>
  </w:style>
  <w:style w:type="character" w:customStyle="1" w:styleId="BodyTextChar">
    <w:name w:val="Body Text Char"/>
    <w:link w:val="BodyText"/>
    <w:rsid w:val="00F675F2"/>
    <w:rPr>
      <w:sz w:val="24"/>
    </w:rPr>
  </w:style>
  <w:style w:type="character" w:customStyle="1" w:styleId="CommentTextChar">
    <w:name w:val="Comment Text Char"/>
    <w:link w:val="CommentText"/>
    <w:uiPriority w:val="99"/>
    <w:rsid w:val="00F675F2"/>
    <w:rPr>
      <w:sz w:val="24"/>
      <w:szCs w:val="24"/>
    </w:rPr>
  </w:style>
  <w:style w:type="character" w:customStyle="1" w:styleId="FooterChar">
    <w:name w:val="Footer Char"/>
    <w:link w:val="Footer"/>
    <w:uiPriority w:val="99"/>
    <w:rsid w:val="00F675F2"/>
  </w:style>
  <w:style w:type="character" w:styleId="LineNumber">
    <w:name w:val="line number"/>
    <w:rsid w:val="00F6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yperlink" Target="mailto:jodi.bair@ohioattorneygeneral.gov" TargetMode="External" /><Relationship Id="rId12" Type="http://schemas.openxmlformats.org/officeDocument/2006/relationships/hyperlink" Target="mailto:mpritchard@mwncmh.com" TargetMode="External" /><Relationship Id="rId13" Type="http://schemas.openxmlformats.org/officeDocument/2006/relationships/hyperlink" Target="mailto:stnourse@aep.com" TargetMode="External" /><Relationship Id="rId14" Type="http://schemas.openxmlformats.org/officeDocument/2006/relationships/hyperlink" Target="mailto:Sarah.parrot@puc.state.oh.us" TargetMode="External" /><Relationship Id="rId15" Type="http://schemas.openxmlformats.org/officeDocument/2006/relationships/hyperlink" Target="mailto:Greta.see@puc.state.oh.us" TargetMode="Externa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65583-5D11-4274-B5CF-29BAD9E7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AEP 18-874 Comments on Staff Report w/dfs  (00146392.DOCX;1)</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2020-09-25T20:07:05Z</dcterms:created>
  <dcterms:modified xsi:type="dcterms:W3CDTF">2020-09-25T20:07:05Z</dcterms:modified>
</cp:coreProperties>
</file>