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A50745" w14:paraId="7F2E05C7" w14:textId="77777777">
      <w:pPr>
        <w:pStyle w:val="HTMLPreformatted"/>
        <w:jc w:val="center"/>
        <w:rPr>
          <w:rFonts w:ascii="Times New Roman" w:hAnsi="Times New Roman" w:cs="Times New Roman"/>
          <w:b/>
          <w:bCs/>
          <w:sz w:val="24"/>
          <w:szCs w:val="24"/>
        </w:rPr>
      </w:pPr>
      <w:r w:rsidRPr="00A50745">
        <w:rPr>
          <w:rFonts w:ascii="Times New Roman" w:hAnsi="Times New Roman" w:cs="Times New Roman"/>
          <w:b/>
          <w:bCs/>
          <w:sz w:val="24"/>
          <w:szCs w:val="24"/>
        </w:rPr>
        <w:t>BEFORE</w:t>
      </w:r>
    </w:p>
    <w:p w:rsidR="00A044B5" w:rsidRPr="00A50745" w14:paraId="23A09556" w14:textId="77777777">
      <w:pPr>
        <w:pStyle w:val="HTMLPreformatted"/>
        <w:jc w:val="center"/>
        <w:rPr>
          <w:rFonts w:ascii="Times New Roman" w:hAnsi="Times New Roman" w:cs="Times New Roman"/>
          <w:sz w:val="24"/>
          <w:szCs w:val="24"/>
        </w:rPr>
      </w:pPr>
      <w:r w:rsidRPr="00A50745">
        <w:rPr>
          <w:rFonts w:ascii="Times New Roman" w:hAnsi="Times New Roman" w:cs="Times New Roman"/>
          <w:b/>
          <w:bCs/>
          <w:sz w:val="24"/>
          <w:szCs w:val="24"/>
        </w:rPr>
        <w:t>THE PUBLIC UTILITIES COMMISSION OF OHIO</w:t>
      </w:r>
    </w:p>
    <w:p w:rsidR="00A044B5" w:rsidRPr="00A50745" w14:paraId="628DC966" w14:textId="77777777">
      <w:pPr>
        <w:pStyle w:val="HTMLPreformatted"/>
        <w:rPr>
          <w:rFonts w:ascii="Times New Roman" w:hAnsi="Times New Roman" w:cs="Times New Roman"/>
          <w:sz w:val="24"/>
          <w:szCs w:val="24"/>
        </w:rPr>
      </w:pPr>
    </w:p>
    <w:tbl>
      <w:tblPr>
        <w:tblW w:w="8729" w:type="dxa"/>
        <w:tblInd w:w="-108" w:type="dxa"/>
        <w:tblLook w:val="01E0"/>
      </w:tblPr>
      <w:tblGrid>
        <w:gridCol w:w="4183"/>
        <w:gridCol w:w="605"/>
        <w:gridCol w:w="3941"/>
      </w:tblGrid>
      <w:tr w14:paraId="1255BFC3" w14:textId="77777777" w:rsidTr="00C94D3B">
        <w:tblPrEx>
          <w:tblW w:w="8729" w:type="dxa"/>
          <w:tblInd w:w="-108" w:type="dxa"/>
          <w:tblLook w:val="01E0"/>
        </w:tblPrEx>
        <w:trPr>
          <w:trHeight w:val="665"/>
        </w:trPr>
        <w:tc>
          <w:tcPr>
            <w:tcW w:w="4183" w:type="dxa"/>
            <w:shd w:val="clear" w:color="auto" w:fill="auto"/>
          </w:tcPr>
          <w:p w:rsidR="00CF4DC0" w:rsidRPr="00095103" w:rsidP="00C94D3B" w14:paraId="31EB430C" w14:textId="77777777">
            <w:pPr>
              <w:autoSpaceDE w:val="0"/>
              <w:autoSpaceDN w:val="0"/>
              <w:adjustRightInd w:val="0"/>
            </w:pPr>
            <w:r w:rsidRPr="00095103">
              <w:t>In the Matter of</w:t>
            </w:r>
            <w:r>
              <w:t xml:space="preserve"> t</w:t>
            </w:r>
            <w:r w:rsidRPr="00095103">
              <w:t xml:space="preserve">he Application of Ohio Edison Company, </w:t>
            </w:r>
            <w:r>
              <w:t>t</w:t>
            </w:r>
            <w:r w:rsidRPr="00095103">
              <w:t xml:space="preserve">he Cleveland Electric Illuminating Company, </w:t>
            </w:r>
            <w:r>
              <w:t>a</w:t>
            </w:r>
            <w:r w:rsidRPr="00095103">
              <w:t xml:space="preserve">nd the Toledo Edison Company for Approval of Tariff Amendments.  </w:t>
            </w:r>
          </w:p>
        </w:tc>
        <w:tc>
          <w:tcPr>
            <w:tcW w:w="605" w:type="dxa"/>
            <w:shd w:val="clear" w:color="auto" w:fill="auto"/>
          </w:tcPr>
          <w:p w:rsidR="00CF4DC0" w:rsidRPr="00095103" w:rsidP="00C94D3B" w14:paraId="2977F34F" w14:textId="77777777">
            <w:pPr>
              <w:pStyle w:val="HTMLPreformatted"/>
              <w:jc w:val="center"/>
              <w:rPr>
                <w:rFonts w:ascii="Times New Roman" w:hAnsi="Times New Roman" w:cs="Times New Roman"/>
                <w:sz w:val="24"/>
                <w:szCs w:val="24"/>
              </w:rPr>
            </w:pPr>
            <w:r w:rsidRPr="00095103">
              <w:rPr>
                <w:rFonts w:ascii="Times New Roman" w:hAnsi="Times New Roman" w:cs="Times New Roman"/>
                <w:sz w:val="24"/>
                <w:szCs w:val="24"/>
              </w:rPr>
              <w:t>)</w:t>
            </w:r>
          </w:p>
          <w:p w:rsidR="00CF4DC0" w:rsidRPr="00095103" w:rsidP="00C94D3B" w14:paraId="79BDF044" w14:textId="77777777">
            <w:pPr>
              <w:pStyle w:val="HTMLPreformatted"/>
              <w:jc w:val="center"/>
              <w:rPr>
                <w:rFonts w:ascii="Times New Roman" w:hAnsi="Times New Roman" w:cs="Times New Roman"/>
                <w:sz w:val="24"/>
                <w:szCs w:val="24"/>
              </w:rPr>
            </w:pPr>
            <w:r w:rsidRPr="00095103">
              <w:rPr>
                <w:rFonts w:ascii="Times New Roman" w:hAnsi="Times New Roman" w:cs="Times New Roman"/>
                <w:sz w:val="24"/>
                <w:szCs w:val="24"/>
              </w:rPr>
              <w:t>)</w:t>
            </w:r>
          </w:p>
          <w:p w:rsidR="00CF4DC0" w:rsidRPr="00095103" w:rsidP="00C94D3B" w14:paraId="06B7675A" w14:textId="77777777">
            <w:pPr>
              <w:pStyle w:val="HTMLPreformatted"/>
              <w:jc w:val="center"/>
              <w:rPr>
                <w:rFonts w:ascii="Times New Roman" w:hAnsi="Times New Roman" w:cs="Times New Roman"/>
                <w:sz w:val="24"/>
                <w:szCs w:val="24"/>
              </w:rPr>
            </w:pPr>
            <w:r w:rsidRPr="00095103">
              <w:rPr>
                <w:rFonts w:ascii="Times New Roman" w:hAnsi="Times New Roman" w:cs="Times New Roman"/>
                <w:sz w:val="24"/>
                <w:szCs w:val="24"/>
              </w:rPr>
              <w:t>)</w:t>
            </w:r>
          </w:p>
          <w:p w:rsidR="00CF4DC0" w:rsidRPr="00095103" w:rsidP="00C94D3B" w14:paraId="4504AAE8" w14:textId="77777777">
            <w:pPr>
              <w:pStyle w:val="HTMLPreformatted"/>
              <w:jc w:val="center"/>
              <w:rPr>
                <w:rFonts w:ascii="Times New Roman" w:hAnsi="Times New Roman" w:cs="Times New Roman"/>
                <w:sz w:val="24"/>
                <w:szCs w:val="24"/>
              </w:rPr>
            </w:pPr>
            <w:r w:rsidRPr="00095103">
              <w:rPr>
                <w:rFonts w:ascii="Times New Roman" w:hAnsi="Times New Roman" w:cs="Times New Roman"/>
                <w:sz w:val="24"/>
                <w:szCs w:val="24"/>
              </w:rPr>
              <w:t>)</w:t>
            </w:r>
          </w:p>
          <w:p w:rsidR="00CF4DC0" w:rsidRPr="00095103" w:rsidP="00C94D3B" w14:paraId="5F1D5D7F" w14:textId="77777777">
            <w:pPr>
              <w:pStyle w:val="HTMLPreformatted"/>
              <w:jc w:val="center"/>
              <w:rPr>
                <w:rFonts w:ascii="Times New Roman" w:hAnsi="Times New Roman" w:cs="Times New Roman"/>
                <w:sz w:val="24"/>
                <w:szCs w:val="24"/>
              </w:rPr>
            </w:pPr>
            <w:r w:rsidRPr="00095103">
              <w:rPr>
                <w:rFonts w:ascii="Times New Roman" w:hAnsi="Times New Roman" w:cs="Times New Roman"/>
                <w:sz w:val="24"/>
                <w:szCs w:val="24"/>
              </w:rPr>
              <w:t>)</w:t>
            </w:r>
          </w:p>
        </w:tc>
        <w:tc>
          <w:tcPr>
            <w:tcW w:w="3941" w:type="dxa"/>
            <w:shd w:val="clear" w:color="auto" w:fill="auto"/>
          </w:tcPr>
          <w:p w:rsidR="00CF4DC0" w:rsidRPr="00095103" w:rsidP="00C94D3B" w14:paraId="0498BB77" w14:textId="77777777">
            <w:pPr>
              <w:pStyle w:val="HTMLPreformatted"/>
              <w:rPr>
                <w:rFonts w:ascii="Times New Roman" w:hAnsi="Times New Roman" w:cs="Times New Roman"/>
                <w:sz w:val="24"/>
                <w:szCs w:val="24"/>
              </w:rPr>
            </w:pPr>
          </w:p>
          <w:p w:rsidR="00CF4DC0" w:rsidRPr="00095103" w:rsidP="00C94D3B" w14:paraId="725C6E0A" w14:textId="77777777">
            <w:pPr>
              <w:pStyle w:val="HTMLPreformatted"/>
              <w:rPr>
                <w:rFonts w:ascii="Times New Roman" w:hAnsi="Times New Roman" w:cs="Times New Roman"/>
                <w:sz w:val="24"/>
                <w:szCs w:val="24"/>
              </w:rPr>
            </w:pPr>
          </w:p>
          <w:p w:rsidR="00CF4DC0" w:rsidRPr="00095103" w:rsidP="00C94D3B" w14:paraId="5EF65D1B" w14:textId="77777777">
            <w:pPr>
              <w:pStyle w:val="HTMLPreformatted"/>
              <w:rPr>
                <w:rFonts w:ascii="Times New Roman" w:eastAsia="Times New Roman" w:hAnsi="Times New Roman" w:cs="Times New Roman"/>
                <w:sz w:val="24"/>
                <w:szCs w:val="24"/>
              </w:rPr>
            </w:pPr>
            <w:r w:rsidRPr="00095103">
              <w:rPr>
                <w:rFonts w:ascii="Times New Roman" w:eastAsia="Times New Roman" w:hAnsi="Times New Roman" w:cs="Times New Roman"/>
                <w:sz w:val="24"/>
                <w:szCs w:val="24"/>
              </w:rPr>
              <w:t>C</w:t>
            </w:r>
            <w:r>
              <w:rPr>
                <w:rFonts w:ascii="Times New Roman" w:eastAsia="Times New Roman" w:hAnsi="Times New Roman" w:cs="Times New Roman"/>
                <w:sz w:val="24"/>
                <w:szCs w:val="24"/>
              </w:rPr>
              <w:t>ase No</w:t>
            </w:r>
            <w:r w:rsidRPr="00095103">
              <w:rPr>
                <w:rFonts w:ascii="Times New Roman" w:eastAsia="Times New Roman" w:hAnsi="Times New Roman" w:cs="Times New Roman"/>
                <w:sz w:val="24"/>
                <w:szCs w:val="24"/>
              </w:rPr>
              <w:t>. 22-1127-EL-ATA</w:t>
            </w:r>
          </w:p>
          <w:p w:rsidR="00CF4DC0" w:rsidRPr="00095103" w:rsidP="00C94D3B" w14:paraId="2C5ECF2B" w14:textId="77777777">
            <w:pPr>
              <w:pStyle w:val="HTMLPreformatted"/>
              <w:rPr>
                <w:rFonts w:ascii="Times New Roman" w:hAnsi="Times New Roman" w:cs="Times New Roman"/>
                <w:sz w:val="24"/>
                <w:szCs w:val="24"/>
              </w:rPr>
            </w:pPr>
          </w:p>
          <w:p w:rsidR="00CF4DC0" w:rsidRPr="00095103" w:rsidP="00C94D3B" w14:paraId="4C3E6FD9" w14:textId="77777777">
            <w:pPr>
              <w:pStyle w:val="HTMLPreformatted"/>
              <w:rPr>
                <w:rFonts w:ascii="Times New Roman" w:hAnsi="Times New Roman" w:cs="Times New Roman"/>
                <w:sz w:val="24"/>
                <w:szCs w:val="24"/>
              </w:rPr>
            </w:pPr>
          </w:p>
        </w:tc>
      </w:tr>
    </w:tbl>
    <w:p w:rsidR="00A044B5" w:rsidRPr="00A50745" w14:paraId="6D337942" w14:textId="77777777">
      <w:pPr>
        <w:pStyle w:val="HTMLPreformatted"/>
        <w:rPr>
          <w:rFonts w:ascii="Times New Roman" w:hAnsi="Times New Roman" w:cs="Times New Roman"/>
          <w:sz w:val="24"/>
          <w:szCs w:val="24"/>
        </w:rPr>
      </w:pPr>
      <w:r w:rsidRPr="00A50745">
        <w:rPr>
          <w:rFonts w:ascii="Times New Roman" w:hAnsi="Times New Roman" w:cs="Times New Roman"/>
          <w:sz w:val="24"/>
          <w:szCs w:val="24"/>
        </w:rPr>
        <w:tab/>
      </w:r>
    </w:p>
    <w:p w:rsidR="00A044B5" w:rsidRPr="00A50745" w14:paraId="6ABFD415" w14:textId="77777777">
      <w:pPr>
        <w:pStyle w:val="HTMLPreformatted"/>
        <w:pBdr>
          <w:top w:val="single" w:sz="12" w:space="1" w:color="auto"/>
        </w:pBdr>
        <w:rPr>
          <w:rFonts w:ascii="Times New Roman" w:hAnsi="Times New Roman" w:cs="Times New Roman"/>
          <w:sz w:val="24"/>
          <w:szCs w:val="24"/>
        </w:rPr>
      </w:pPr>
    </w:p>
    <w:p w:rsidR="00A044B5" w:rsidRPr="00A50745" w14:paraId="5C381440" w14:textId="77777777">
      <w:pPr>
        <w:jc w:val="center"/>
        <w:rPr>
          <w:b/>
          <w:bCs/>
          <w:szCs w:val="24"/>
        </w:rPr>
      </w:pPr>
      <w:r w:rsidRPr="00A50745">
        <w:rPr>
          <w:b/>
          <w:bCs/>
          <w:szCs w:val="24"/>
        </w:rPr>
        <w:t>MOTION TO INTERVENE</w:t>
      </w:r>
      <w:r w:rsidRPr="00A50745" w:rsidR="00083FD3">
        <w:rPr>
          <w:b/>
          <w:bCs/>
          <w:szCs w:val="24"/>
        </w:rPr>
        <w:t xml:space="preserve"> </w:t>
      </w:r>
    </w:p>
    <w:p w:rsidR="00A044B5" w:rsidRPr="00A50745" w14:paraId="6E6DC74B" w14:textId="77777777">
      <w:pPr>
        <w:jc w:val="center"/>
        <w:rPr>
          <w:b/>
          <w:bCs/>
          <w:szCs w:val="24"/>
        </w:rPr>
      </w:pPr>
      <w:r w:rsidRPr="00A50745">
        <w:rPr>
          <w:b/>
          <w:bCs/>
          <w:szCs w:val="24"/>
        </w:rPr>
        <w:t>BY</w:t>
      </w:r>
    </w:p>
    <w:p w:rsidR="00A044B5" w:rsidRPr="00A50745" w14:paraId="0483859B" w14:textId="77777777">
      <w:pPr>
        <w:jc w:val="center"/>
        <w:rPr>
          <w:b/>
          <w:bCs/>
          <w:szCs w:val="24"/>
        </w:rPr>
      </w:pPr>
      <w:r w:rsidRPr="00A50745">
        <w:rPr>
          <w:b/>
          <w:bCs/>
          <w:szCs w:val="24"/>
        </w:rPr>
        <w:t>OFFICE OF THE OHIO CONSUMERS’ COUNSEL</w:t>
      </w:r>
    </w:p>
    <w:p w:rsidR="00A044B5" w:rsidRPr="00A50745" w14:paraId="44A93A70" w14:textId="77777777">
      <w:pPr>
        <w:pBdr>
          <w:bottom w:val="single" w:sz="12" w:space="1" w:color="auto"/>
        </w:pBdr>
        <w:tabs>
          <w:tab w:val="left" w:pos="4320"/>
        </w:tabs>
        <w:rPr>
          <w:szCs w:val="24"/>
        </w:rPr>
      </w:pPr>
    </w:p>
    <w:p w:rsidR="00A044B5" w:rsidRPr="00A50745" w14:paraId="2B33BE32" w14:textId="77777777">
      <w:pPr>
        <w:tabs>
          <w:tab w:val="left" w:pos="4320"/>
        </w:tabs>
        <w:rPr>
          <w:szCs w:val="24"/>
        </w:rPr>
      </w:pPr>
    </w:p>
    <w:p w:rsidR="00A0158E" w:rsidRPr="00A50745" w:rsidP="000127EE" w14:paraId="52E951C4" w14:textId="21EE02D0">
      <w:pPr>
        <w:pStyle w:val="BodyTextIndent3"/>
        <w:widowControl w:val="0"/>
        <w:spacing w:line="480" w:lineRule="auto"/>
        <w:rPr>
          <w:szCs w:val="24"/>
        </w:rPr>
      </w:pPr>
      <w:r w:rsidRPr="00A50745">
        <w:rPr>
          <w:szCs w:val="24"/>
        </w:rPr>
        <w:t>The Office of the Ohio Consumers’ Counsel (“OCC”) moves to intervene</w:t>
      </w:r>
      <w:r w:rsidRPr="00A50745" w:rsidR="006514B1">
        <w:rPr>
          <w:szCs w:val="24"/>
        </w:rPr>
        <w:t>.</w:t>
      </w:r>
      <w:r>
        <w:rPr>
          <w:rStyle w:val="FootnoteReference"/>
          <w:szCs w:val="24"/>
        </w:rPr>
        <w:footnoteReference w:id="2"/>
      </w:r>
      <w:r w:rsidRPr="00A50745" w:rsidR="00CE4DDF">
        <w:rPr>
          <w:szCs w:val="24"/>
        </w:rPr>
        <w:t xml:space="preserve"> H</w:t>
      </w:r>
      <w:r w:rsidRPr="00A50745">
        <w:rPr>
          <w:szCs w:val="24"/>
        </w:rPr>
        <w:t>ere</w:t>
      </w:r>
      <w:r w:rsidRPr="00A50745" w:rsidR="00CE4DDF">
        <w:rPr>
          <w:szCs w:val="24"/>
        </w:rPr>
        <w:t>,</w:t>
      </w:r>
      <w:r w:rsidRPr="00A50745">
        <w:rPr>
          <w:szCs w:val="24"/>
        </w:rPr>
        <w:t xml:space="preserve"> </w:t>
      </w:r>
      <w:r w:rsidR="006369A0">
        <w:rPr>
          <w:szCs w:val="24"/>
        </w:rPr>
        <w:t>t</w:t>
      </w:r>
      <w:r w:rsidRPr="00A50745" w:rsidR="006514B1">
        <w:rPr>
          <w:szCs w:val="24"/>
        </w:rPr>
        <w:t xml:space="preserve">he </w:t>
      </w:r>
      <w:r w:rsidRPr="00A50745">
        <w:rPr>
          <w:szCs w:val="24"/>
        </w:rPr>
        <w:t xml:space="preserve">FirstEnergy </w:t>
      </w:r>
      <w:r w:rsidRPr="00A50745" w:rsidR="006514B1">
        <w:rPr>
          <w:szCs w:val="24"/>
        </w:rPr>
        <w:t>Utilities</w:t>
      </w:r>
      <w:r w:rsidRPr="00A50745">
        <w:rPr>
          <w:szCs w:val="24"/>
        </w:rPr>
        <w:t xml:space="preserve"> </w:t>
      </w:r>
      <w:r w:rsidRPr="00A50745" w:rsidR="006514B1">
        <w:rPr>
          <w:szCs w:val="24"/>
        </w:rPr>
        <w:t>are</w:t>
      </w:r>
      <w:r w:rsidRPr="00A50745">
        <w:rPr>
          <w:szCs w:val="24"/>
        </w:rPr>
        <w:t xml:space="preserve"> proposing </w:t>
      </w:r>
      <w:r w:rsidRPr="00A50745" w:rsidR="006F1D84">
        <w:rPr>
          <w:szCs w:val="24"/>
        </w:rPr>
        <w:t xml:space="preserve">tariffs </w:t>
      </w:r>
      <w:r w:rsidRPr="00A50745">
        <w:rPr>
          <w:szCs w:val="24"/>
        </w:rPr>
        <w:t xml:space="preserve">that </w:t>
      </w:r>
      <w:r w:rsidRPr="00A50745" w:rsidR="006F1D84">
        <w:rPr>
          <w:szCs w:val="24"/>
        </w:rPr>
        <w:t xml:space="preserve">put limitations on </w:t>
      </w:r>
      <w:r w:rsidRPr="00A50745">
        <w:rPr>
          <w:szCs w:val="24"/>
        </w:rPr>
        <w:t>governmental aggregators</w:t>
      </w:r>
      <w:r w:rsidRPr="00A50745" w:rsidR="00CE4DDF">
        <w:rPr>
          <w:szCs w:val="24"/>
        </w:rPr>
        <w:t>’</w:t>
      </w:r>
      <w:r w:rsidRPr="00A50745">
        <w:rPr>
          <w:szCs w:val="24"/>
        </w:rPr>
        <w:t xml:space="preserve"> </w:t>
      </w:r>
      <w:r w:rsidRPr="00A50745" w:rsidR="006F1D84">
        <w:rPr>
          <w:szCs w:val="24"/>
        </w:rPr>
        <w:t>ability to</w:t>
      </w:r>
      <w:r w:rsidRPr="00A50745">
        <w:rPr>
          <w:szCs w:val="24"/>
        </w:rPr>
        <w:t xml:space="preserve"> re-enroll consumers (that they returned to the </w:t>
      </w:r>
      <w:r w:rsidRPr="00A50745" w:rsidR="00CE4DDF">
        <w:rPr>
          <w:szCs w:val="24"/>
        </w:rPr>
        <w:t xml:space="preserve">utilities’ </w:t>
      </w:r>
      <w:r w:rsidRPr="00A50745">
        <w:rPr>
          <w:szCs w:val="24"/>
        </w:rPr>
        <w:t xml:space="preserve">standard service offer) during a minimum-stay period of 12 months. </w:t>
      </w:r>
      <w:r w:rsidRPr="00A50745" w:rsidR="006514B1">
        <w:rPr>
          <w:szCs w:val="24"/>
        </w:rPr>
        <w:t>The FirstEnergy Utilities’</w:t>
      </w:r>
      <w:r w:rsidRPr="00A50745">
        <w:rPr>
          <w:szCs w:val="24"/>
        </w:rPr>
        <w:t xml:space="preserve"> proposal</w:t>
      </w:r>
      <w:r w:rsidRPr="00A50745" w:rsidR="00CE4DDF">
        <w:rPr>
          <w:szCs w:val="24"/>
        </w:rPr>
        <w:t xml:space="preserve">, if </w:t>
      </w:r>
      <w:r w:rsidRPr="00A50745" w:rsidR="00E6502F">
        <w:rPr>
          <w:szCs w:val="24"/>
        </w:rPr>
        <w:t>clarified to apply</w:t>
      </w:r>
      <w:r w:rsidRPr="00A50745" w:rsidR="00CE4DDF">
        <w:rPr>
          <w:szCs w:val="24"/>
        </w:rPr>
        <w:t xml:space="preserve"> prospectively and not retroactively,</w:t>
      </w:r>
      <w:r w:rsidRPr="00A50745">
        <w:rPr>
          <w:szCs w:val="24"/>
        </w:rPr>
        <w:t xml:space="preserve"> </w:t>
      </w:r>
      <w:r w:rsidRPr="00A50745" w:rsidR="00CE4DDF">
        <w:rPr>
          <w:szCs w:val="24"/>
        </w:rPr>
        <w:t>could</w:t>
      </w:r>
      <w:r w:rsidRPr="00A50745">
        <w:rPr>
          <w:szCs w:val="24"/>
        </w:rPr>
        <w:t xml:space="preserve"> benefit consumers by moderating electricity prices in the utilities’ standard-offer auctions</w:t>
      </w:r>
      <w:r w:rsidRPr="00A50745" w:rsidR="006F1D84">
        <w:rPr>
          <w:szCs w:val="24"/>
        </w:rPr>
        <w:t xml:space="preserve"> </w:t>
      </w:r>
      <w:bookmarkStart w:id="0" w:name="_Hlk123826198"/>
      <w:r w:rsidRPr="00A50745" w:rsidR="00E6502F">
        <w:rPr>
          <w:szCs w:val="24"/>
        </w:rPr>
        <w:t>through</w:t>
      </w:r>
      <w:r w:rsidRPr="00A50745" w:rsidR="006F1D84">
        <w:rPr>
          <w:szCs w:val="24"/>
        </w:rPr>
        <w:t xml:space="preserve"> </w:t>
      </w:r>
      <w:r w:rsidRPr="00A50745" w:rsidR="00CE4DDF">
        <w:rPr>
          <w:szCs w:val="24"/>
        </w:rPr>
        <w:t>reducing</w:t>
      </w:r>
      <w:r w:rsidRPr="00A50745" w:rsidR="006F1D84">
        <w:rPr>
          <w:szCs w:val="24"/>
        </w:rPr>
        <w:t xml:space="preserve"> </w:t>
      </w:r>
      <w:r w:rsidRPr="00A50745" w:rsidR="00CE4DDF">
        <w:rPr>
          <w:szCs w:val="24"/>
        </w:rPr>
        <w:t>un</w:t>
      </w:r>
      <w:r w:rsidRPr="00A50745" w:rsidR="006F1D84">
        <w:rPr>
          <w:szCs w:val="24"/>
        </w:rPr>
        <w:t>certainty for suppliers in the auction process</w:t>
      </w:r>
      <w:r w:rsidRPr="00A50745">
        <w:rPr>
          <w:szCs w:val="24"/>
        </w:rPr>
        <w:t>.</w:t>
      </w:r>
      <w:bookmarkEnd w:id="0"/>
      <w:r w:rsidRPr="00A50745">
        <w:rPr>
          <w:szCs w:val="24"/>
        </w:rPr>
        <w:t xml:space="preserve"> That moderating effect for standard-offer prices should result by limiting the risk for suppliers bidding in the auction to later face a significant reduction in electric load from when they bid in the auction. </w:t>
      </w:r>
    </w:p>
    <w:p w:rsidR="00A0158E" w:rsidRPr="00A50745" w:rsidP="000127EE" w14:paraId="5BF2A48B" w14:textId="3741C468">
      <w:pPr>
        <w:pStyle w:val="BodyTextIndent3"/>
        <w:widowControl w:val="0"/>
        <w:spacing w:line="480" w:lineRule="auto"/>
        <w:rPr>
          <w:szCs w:val="24"/>
        </w:rPr>
      </w:pPr>
      <w:r w:rsidRPr="00A50745">
        <w:rPr>
          <w:szCs w:val="24"/>
        </w:rPr>
        <w:t xml:space="preserve">Importantly, </w:t>
      </w:r>
      <w:r w:rsidR="00AD3B75">
        <w:rPr>
          <w:szCs w:val="24"/>
        </w:rPr>
        <w:t>t</w:t>
      </w:r>
      <w:r w:rsidRPr="00A50745" w:rsidR="006514B1">
        <w:rPr>
          <w:szCs w:val="24"/>
        </w:rPr>
        <w:t xml:space="preserve">he </w:t>
      </w:r>
      <w:r w:rsidRPr="00A50745">
        <w:rPr>
          <w:szCs w:val="24"/>
        </w:rPr>
        <w:t xml:space="preserve">FirstEnergy </w:t>
      </w:r>
      <w:r w:rsidRPr="00A50745" w:rsidR="006514B1">
        <w:rPr>
          <w:szCs w:val="24"/>
        </w:rPr>
        <w:t>Utilities’</w:t>
      </w:r>
      <w:r w:rsidRPr="00A50745">
        <w:rPr>
          <w:szCs w:val="24"/>
        </w:rPr>
        <w:t xml:space="preserve"> proposed minimum stay </w:t>
      </w:r>
      <w:r w:rsidRPr="00A50745" w:rsidR="00B84F66">
        <w:rPr>
          <w:szCs w:val="24"/>
        </w:rPr>
        <w:t xml:space="preserve">should </w:t>
      </w:r>
      <w:r w:rsidRPr="00A50745">
        <w:rPr>
          <w:szCs w:val="24"/>
        </w:rPr>
        <w:t>not alter an individual consumer’s right to switch from the utilities’ standard offer to a</w:t>
      </w:r>
      <w:r w:rsidRPr="00A50745" w:rsidR="00E6502F">
        <w:rPr>
          <w:szCs w:val="24"/>
        </w:rPr>
        <w:t>nother supplier</w:t>
      </w:r>
      <w:r w:rsidRPr="00A50745">
        <w:rPr>
          <w:szCs w:val="24"/>
        </w:rPr>
        <w:t xml:space="preserve"> or vice-versa. </w:t>
      </w:r>
      <w:r w:rsidRPr="00A50745" w:rsidR="006514B1">
        <w:rPr>
          <w:szCs w:val="24"/>
        </w:rPr>
        <w:t>The FirstEnergy Utilities’</w:t>
      </w:r>
      <w:r w:rsidRPr="00A50745">
        <w:rPr>
          <w:szCs w:val="24"/>
        </w:rPr>
        <w:t xml:space="preserve"> proposal only applies</w:t>
      </w:r>
      <w:r w:rsidRPr="00A50745" w:rsidR="00E6502F">
        <w:rPr>
          <w:szCs w:val="24"/>
        </w:rPr>
        <w:t xml:space="preserve"> (and should only apply)</w:t>
      </w:r>
      <w:r w:rsidRPr="00A50745">
        <w:rPr>
          <w:szCs w:val="24"/>
        </w:rPr>
        <w:t xml:space="preserve"> to </w:t>
      </w:r>
      <w:r w:rsidRPr="00A50745">
        <w:rPr>
          <w:i/>
          <w:iCs/>
          <w:szCs w:val="24"/>
        </w:rPr>
        <w:t>governmental</w:t>
      </w:r>
      <w:r w:rsidRPr="00A50745">
        <w:rPr>
          <w:szCs w:val="24"/>
        </w:rPr>
        <w:t xml:space="preserve"> </w:t>
      </w:r>
      <w:r w:rsidRPr="00A50745">
        <w:rPr>
          <w:i/>
          <w:iCs/>
          <w:szCs w:val="24"/>
        </w:rPr>
        <w:t>aggregators</w:t>
      </w:r>
      <w:r w:rsidRPr="00A50745">
        <w:rPr>
          <w:szCs w:val="24"/>
        </w:rPr>
        <w:t xml:space="preserve"> by limiting their </w:t>
      </w:r>
      <w:r w:rsidRPr="00A50745" w:rsidR="006F1D84">
        <w:rPr>
          <w:szCs w:val="24"/>
        </w:rPr>
        <w:t xml:space="preserve">ability to </w:t>
      </w:r>
      <w:r w:rsidRPr="00A50745">
        <w:rPr>
          <w:szCs w:val="24"/>
        </w:rPr>
        <w:t xml:space="preserve">re-enroll consumers </w:t>
      </w:r>
      <w:r w:rsidRPr="00A50745" w:rsidR="00E6502F">
        <w:rPr>
          <w:szCs w:val="24"/>
        </w:rPr>
        <w:t>from</w:t>
      </w:r>
      <w:r w:rsidRPr="00A50745">
        <w:rPr>
          <w:szCs w:val="24"/>
        </w:rPr>
        <w:t xml:space="preserve"> </w:t>
      </w:r>
      <w:r w:rsidRPr="00A50745" w:rsidR="006514B1">
        <w:rPr>
          <w:szCs w:val="24"/>
        </w:rPr>
        <w:t xml:space="preserve">the </w:t>
      </w:r>
      <w:r w:rsidRPr="00A50745">
        <w:rPr>
          <w:szCs w:val="24"/>
        </w:rPr>
        <w:t xml:space="preserve">FirstEnergy </w:t>
      </w:r>
      <w:r w:rsidRPr="00A50745" w:rsidR="006514B1">
        <w:rPr>
          <w:szCs w:val="24"/>
        </w:rPr>
        <w:t>Utilities’</w:t>
      </w:r>
      <w:r w:rsidRPr="00A50745">
        <w:rPr>
          <w:szCs w:val="24"/>
        </w:rPr>
        <w:t xml:space="preserve"> standard offer, within 12 months </w:t>
      </w:r>
      <w:r w:rsidRPr="00A50745" w:rsidR="006F1D84">
        <w:rPr>
          <w:szCs w:val="24"/>
        </w:rPr>
        <w:t>from</w:t>
      </w:r>
      <w:r w:rsidRPr="00A50745">
        <w:rPr>
          <w:szCs w:val="24"/>
        </w:rPr>
        <w:t xml:space="preserve"> when an aggregator returned consumers to the standard offer.</w:t>
      </w:r>
    </w:p>
    <w:p w:rsidR="00250C8F" w:rsidRPr="00A50745" w:rsidP="000127EE" w14:paraId="27A3C4B3" w14:textId="73B8D748">
      <w:pPr>
        <w:spacing w:line="480" w:lineRule="auto"/>
        <w:ind w:firstLine="720"/>
        <w:rPr>
          <w:szCs w:val="24"/>
        </w:rPr>
      </w:pPr>
      <w:r w:rsidRPr="00A50745">
        <w:rPr>
          <w:szCs w:val="24"/>
        </w:rPr>
        <w:t xml:space="preserve">The FirstEnergy </w:t>
      </w:r>
      <w:r w:rsidRPr="00A50745" w:rsidR="006514B1">
        <w:rPr>
          <w:szCs w:val="24"/>
        </w:rPr>
        <w:t xml:space="preserve">Utilities’ </w:t>
      </w:r>
      <w:r w:rsidRPr="00A50745">
        <w:rPr>
          <w:szCs w:val="24"/>
        </w:rPr>
        <w:t xml:space="preserve">tariffs are of particular interest because NOPEC’s return of its consumers were to </w:t>
      </w:r>
      <w:r w:rsidRPr="00A50745" w:rsidR="006514B1">
        <w:rPr>
          <w:szCs w:val="24"/>
        </w:rPr>
        <w:t xml:space="preserve">the </w:t>
      </w:r>
      <w:r w:rsidRPr="00A50745">
        <w:rPr>
          <w:szCs w:val="24"/>
        </w:rPr>
        <w:t>FirstEnergy</w:t>
      </w:r>
      <w:r w:rsidRPr="00A50745" w:rsidR="006514B1">
        <w:rPr>
          <w:szCs w:val="24"/>
        </w:rPr>
        <w:t xml:space="preserve"> Utilities’</w:t>
      </w:r>
      <w:r w:rsidRPr="00A50745">
        <w:rPr>
          <w:szCs w:val="24"/>
        </w:rPr>
        <w:t xml:space="preserve"> </w:t>
      </w:r>
      <w:r w:rsidR="00CF6ADE">
        <w:rPr>
          <w:szCs w:val="24"/>
        </w:rPr>
        <w:t>s</w:t>
      </w:r>
      <w:r w:rsidRPr="00A50745">
        <w:rPr>
          <w:szCs w:val="24"/>
        </w:rPr>
        <w:t xml:space="preserve">tandard </w:t>
      </w:r>
      <w:r w:rsidR="00CF6ADE">
        <w:rPr>
          <w:szCs w:val="24"/>
        </w:rPr>
        <w:t>s</w:t>
      </w:r>
      <w:r w:rsidRPr="00A50745">
        <w:rPr>
          <w:szCs w:val="24"/>
        </w:rPr>
        <w:t xml:space="preserve">ervice </w:t>
      </w:r>
      <w:r w:rsidR="00CF6ADE">
        <w:rPr>
          <w:szCs w:val="24"/>
        </w:rPr>
        <w:t>o</w:t>
      </w:r>
      <w:r w:rsidRPr="00A50745">
        <w:rPr>
          <w:szCs w:val="24"/>
        </w:rPr>
        <w:t xml:space="preserve">ffer. </w:t>
      </w:r>
      <w:r w:rsidRPr="00A50745" w:rsidR="00E6502F">
        <w:rPr>
          <w:szCs w:val="24"/>
        </w:rPr>
        <w:t>But</w:t>
      </w:r>
      <w:r w:rsidRPr="00A50745" w:rsidR="00EA0224">
        <w:rPr>
          <w:szCs w:val="24"/>
        </w:rPr>
        <w:t xml:space="preserve"> the tariffs</w:t>
      </w:r>
      <w:r w:rsidRPr="00A50745">
        <w:rPr>
          <w:szCs w:val="24"/>
        </w:rPr>
        <w:t xml:space="preserve"> </w:t>
      </w:r>
      <w:r w:rsidRPr="00A50745" w:rsidR="00EA0224">
        <w:rPr>
          <w:szCs w:val="24"/>
        </w:rPr>
        <w:t xml:space="preserve">are </w:t>
      </w:r>
      <w:r w:rsidRPr="00A50745">
        <w:rPr>
          <w:szCs w:val="24"/>
        </w:rPr>
        <w:t xml:space="preserve">unclear with respect to the applicability of those tariffs to NOPEC and to its intention to </w:t>
      </w:r>
      <w:r w:rsidRPr="00A50745" w:rsidR="00E6502F">
        <w:rPr>
          <w:szCs w:val="24"/>
        </w:rPr>
        <w:t xml:space="preserve">possibly </w:t>
      </w:r>
      <w:r w:rsidRPr="00A50745">
        <w:rPr>
          <w:szCs w:val="24"/>
        </w:rPr>
        <w:t>serve consumers in an opt-out aggregation beginning June 1, 2023.</w:t>
      </w:r>
      <w:r>
        <w:rPr>
          <w:rStyle w:val="FootnoteReference"/>
          <w:szCs w:val="24"/>
        </w:rPr>
        <w:footnoteReference w:id="3"/>
      </w:r>
      <w:r w:rsidR="00A50745">
        <w:rPr>
          <w:szCs w:val="24"/>
        </w:rPr>
        <w:t xml:space="preserve"> </w:t>
      </w:r>
      <w:r w:rsidRPr="00A50745">
        <w:rPr>
          <w:szCs w:val="24"/>
        </w:rPr>
        <w:t>This issue requires clarification</w:t>
      </w:r>
      <w:r w:rsidRPr="00A50745" w:rsidR="00B84F66">
        <w:rPr>
          <w:szCs w:val="24"/>
        </w:rPr>
        <w:t xml:space="preserve"> in the tariffs, so that NOPEC is not prevented from re-enrolling consumers on June 1, 2023</w:t>
      </w:r>
      <w:r w:rsidRPr="00A50745">
        <w:rPr>
          <w:szCs w:val="24"/>
        </w:rPr>
        <w:t>.</w:t>
      </w:r>
    </w:p>
    <w:p w:rsidR="00250C8F" w:rsidRPr="00A50745" w:rsidP="000127EE" w14:paraId="50BDCDC2" w14:textId="11237280">
      <w:pPr>
        <w:pStyle w:val="BodyTextIndent3"/>
        <w:widowControl w:val="0"/>
        <w:spacing w:line="480" w:lineRule="auto"/>
        <w:rPr>
          <w:szCs w:val="24"/>
        </w:rPr>
      </w:pPr>
      <w:r w:rsidRPr="00A50745">
        <w:rPr>
          <w:szCs w:val="24"/>
        </w:rPr>
        <w:t xml:space="preserve">Although </w:t>
      </w:r>
      <w:r w:rsidRPr="00A50745" w:rsidR="00E6502F">
        <w:rPr>
          <w:szCs w:val="24"/>
        </w:rPr>
        <w:t xml:space="preserve">we are </w:t>
      </w:r>
      <w:r w:rsidRPr="00A50745">
        <w:rPr>
          <w:szCs w:val="24"/>
        </w:rPr>
        <w:t xml:space="preserve">generally supportive of </w:t>
      </w:r>
      <w:r w:rsidRPr="00A50745" w:rsidR="006514B1">
        <w:rPr>
          <w:szCs w:val="24"/>
        </w:rPr>
        <w:t xml:space="preserve">the </w:t>
      </w:r>
      <w:r w:rsidRPr="00A50745">
        <w:rPr>
          <w:szCs w:val="24"/>
        </w:rPr>
        <w:t>FirstEnergy</w:t>
      </w:r>
      <w:r w:rsidRPr="00A50745" w:rsidR="006514B1">
        <w:rPr>
          <w:szCs w:val="24"/>
        </w:rPr>
        <w:t xml:space="preserve"> Utilities’</w:t>
      </w:r>
      <w:r w:rsidRPr="00A50745">
        <w:rPr>
          <w:szCs w:val="24"/>
        </w:rPr>
        <w:t xml:space="preserve"> proposed tariffs, additional consumer protection is necessary. The PUCO should clarify in its order approving the electric distribution utilities’ tariffs that they are effective only after the PUCO’s formal approval of the tariffs, and those tariffs will be applied prospectively, and not retroactively.</w:t>
      </w:r>
      <w:r w:rsidR="00A50745">
        <w:rPr>
          <w:szCs w:val="24"/>
        </w:rPr>
        <w:t xml:space="preserve"> </w:t>
      </w:r>
      <w:r w:rsidRPr="00A50745" w:rsidR="00E6502F">
        <w:rPr>
          <w:szCs w:val="24"/>
        </w:rPr>
        <w:t>That means</w:t>
      </w:r>
      <w:r w:rsidRPr="00A50745" w:rsidR="00447B0F">
        <w:rPr>
          <w:szCs w:val="24"/>
        </w:rPr>
        <w:t xml:space="preserve"> that, as stated,</w:t>
      </w:r>
      <w:r w:rsidRPr="00A50745" w:rsidR="00E6502F">
        <w:rPr>
          <w:szCs w:val="24"/>
        </w:rPr>
        <w:t xml:space="preserve"> the tariffs would not prevent NOPEC from re-enrolling consumers as of June 1, 2023. </w:t>
      </w:r>
      <w:r w:rsidRPr="00A50745" w:rsidR="00FB57AE">
        <w:rPr>
          <w:szCs w:val="24"/>
        </w:rPr>
        <w:t xml:space="preserve">In this time of soaring energy prices, NOPEC’s </w:t>
      </w:r>
      <w:r w:rsidRPr="00A50745" w:rsidR="00E6502F">
        <w:rPr>
          <w:szCs w:val="24"/>
        </w:rPr>
        <w:t xml:space="preserve">ability to </w:t>
      </w:r>
      <w:r w:rsidRPr="00A50745" w:rsidR="00FB57AE">
        <w:rPr>
          <w:szCs w:val="24"/>
        </w:rPr>
        <w:t>participat</w:t>
      </w:r>
      <w:r w:rsidRPr="00A50745" w:rsidR="00E6502F">
        <w:rPr>
          <w:szCs w:val="24"/>
        </w:rPr>
        <w:t>e</w:t>
      </w:r>
      <w:r w:rsidRPr="00A50745" w:rsidR="00FB57AE">
        <w:rPr>
          <w:szCs w:val="24"/>
        </w:rPr>
        <w:t xml:space="preserve"> in the market is important </w:t>
      </w:r>
      <w:r w:rsidRPr="00A50745" w:rsidR="00E6502F">
        <w:rPr>
          <w:szCs w:val="24"/>
        </w:rPr>
        <w:t>for</w:t>
      </w:r>
      <w:r w:rsidRPr="00A50745" w:rsidR="00FB57AE">
        <w:rPr>
          <w:szCs w:val="24"/>
        </w:rPr>
        <w:t xml:space="preserve"> consumers </w:t>
      </w:r>
      <w:r w:rsidRPr="00A50745" w:rsidR="00E6502F">
        <w:rPr>
          <w:szCs w:val="24"/>
        </w:rPr>
        <w:t xml:space="preserve">to have </w:t>
      </w:r>
      <w:r w:rsidRPr="00A50745" w:rsidR="00FB57AE">
        <w:rPr>
          <w:szCs w:val="24"/>
        </w:rPr>
        <w:t>alternative</w:t>
      </w:r>
      <w:r w:rsidRPr="00A50745" w:rsidR="00E6502F">
        <w:rPr>
          <w:szCs w:val="24"/>
        </w:rPr>
        <w:t xml:space="preserve"> (and possible </w:t>
      </w:r>
      <w:r w:rsidRPr="00A50745" w:rsidR="002D4405">
        <w:rPr>
          <w:szCs w:val="24"/>
        </w:rPr>
        <w:t>lower-priced</w:t>
      </w:r>
      <w:r w:rsidRPr="00A50745" w:rsidR="00E6502F">
        <w:rPr>
          <w:szCs w:val="24"/>
        </w:rPr>
        <w:t>)</w:t>
      </w:r>
      <w:r w:rsidRPr="00A50745" w:rsidR="00FB57AE">
        <w:rPr>
          <w:szCs w:val="24"/>
        </w:rPr>
        <w:t xml:space="preserve"> choices in their energy </w:t>
      </w:r>
      <w:r w:rsidRPr="00A50745" w:rsidR="00B80384">
        <w:rPr>
          <w:szCs w:val="24"/>
        </w:rPr>
        <w:t>purchases.</w:t>
      </w:r>
    </w:p>
    <w:p w:rsidR="00A044B5" w:rsidRPr="00A50745" w:rsidP="000127EE" w14:paraId="1C8B774D" w14:textId="671B9919">
      <w:pPr>
        <w:pStyle w:val="BodyTextIndent3"/>
        <w:widowControl w:val="0"/>
        <w:spacing w:line="480" w:lineRule="auto"/>
        <w:rPr>
          <w:szCs w:val="24"/>
        </w:rPr>
      </w:pPr>
      <w:r w:rsidRPr="00A50745">
        <w:rPr>
          <w:szCs w:val="24"/>
        </w:rPr>
        <w:t>OCC is filing on</w:t>
      </w:r>
      <w:r w:rsidRPr="00A50745" w:rsidR="00D55177">
        <w:rPr>
          <w:szCs w:val="24"/>
        </w:rPr>
        <w:t xml:space="preserve"> behalf of </w:t>
      </w:r>
      <w:r w:rsidRPr="00A50745" w:rsidR="002D4405">
        <w:rPr>
          <w:szCs w:val="24"/>
        </w:rPr>
        <w:t>the</w:t>
      </w:r>
      <w:r w:rsidRPr="00A50745">
        <w:rPr>
          <w:szCs w:val="24"/>
        </w:rPr>
        <w:t xml:space="preserve"> residential utility </w:t>
      </w:r>
      <w:r w:rsidRPr="00A50745" w:rsidR="00566AEE">
        <w:rPr>
          <w:szCs w:val="24"/>
        </w:rPr>
        <w:t>consumers</w:t>
      </w:r>
      <w:r w:rsidRPr="00A50745">
        <w:rPr>
          <w:szCs w:val="24"/>
        </w:rPr>
        <w:t xml:space="preserve"> of </w:t>
      </w:r>
      <w:r w:rsidRPr="00A50745" w:rsidR="006514B1">
        <w:rPr>
          <w:szCs w:val="24"/>
        </w:rPr>
        <w:t xml:space="preserve">the </w:t>
      </w:r>
      <w:r w:rsidRPr="00A50745" w:rsidR="007631F4">
        <w:rPr>
          <w:szCs w:val="24"/>
        </w:rPr>
        <w:t>FirstEnergy</w:t>
      </w:r>
      <w:r w:rsidRPr="00A50745" w:rsidR="006514B1">
        <w:rPr>
          <w:szCs w:val="24"/>
        </w:rPr>
        <w:t xml:space="preserve"> Utilities.</w:t>
      </w:r>
      <w:r w:rsidRPr="00A50745" w:rsidR="007631F4">
        <w:rPr>
          <w:szCs w:val="24"/>
        </w:rPr>
        <w:t xml:space="preserve"> </w:t>
      </w:r>
      <w:r w:rsidRPr="00A50745">
        <w:rPr>
          <w:szCs w:val="24"/>
        </w:rPr>
        <w:t>The reasons the Public Utilities C</w:t>
      </w:r>
      <w:r w:rsidRPr="00A50745" w:rsidR="00641070">
        <w:rPr>
          <w:szCs w:val="24"/>
        </w:rPr>
        <w:t>ommission of Ohio (“PUCO”</w:t>
      </w:r>
      <w:r w:rsidRPr="00A50745">
        <w:rPr>
          <w:szCs w:val="24"/>
        </w:rPr>
        <w:t>) should grant OCC’s Motion are further set forth in the attached Memorandum in Support.</w:t>
      </w:r>
    </w:p>
    <w:p w:rsidR="00A044B5" w:rsidRPr="00A50745" w14:paraId="2D6C8710" w14:textId="77777777">
      <w:pPr>
        <w:pStyle w:val="BodyTextIndent3"/>
        <w:widowControl w:val="0"/>
        <w:ind w:left="3600" w:right="-672"/>
        <w:rPr>
          <w:szCs w:val="24"/>
        </w:rPr>
      </w:pPr>
      <w:r w:rsidRPr="00A50745">
        <w:rPr>
          <w:szCs w:val="24"/>
        </w:rPr>
        <w:br w:type="page"/>
      </w:r>
      <w:r w:rsidRPr="00A50745">
        <w:rPr>
          <w:szCs w:val="24"/>
        </w:rPr>
        <w:t>Respectfully submitted,</w:t>
      </w:r>
    </w:p>
    <w:p w:rsidR="002354D4" w:rsidRPr="00A50745" w:rsidP="002354D4" w14:paraId="37862C3B" w14:textId="77777777">
      <w:pPr>
        <w:jc w:val="both"/>
        <w:rPr>
          <w:szCs w:val="24"/>
        </w:rPr>
      </w:pPr>
      <w:r w:rsidRPr="00A50745">
        <w:rPr>
          <w:szCs w:val="24"/>
        </w:rPr>
        <w:tab/>
      </w:r>
    </w:p>
    <w:p w:rsidR="002354D4" w:rsidRPr="00A50745" w:rsidP="002354D4" w14:paraId="315BAED9" w14:textId="77777777">
      <w:pPr>
        <w:ind w:left="4320"/>
        <w:jc w:val="both"/>
        <w:rPr>
          <w:szCs w:val="24"/>
        </w:rPr>
      </w:pPr>
      <w:r w:rsidRPr="00A50745">
        <w:rPr>
          <w:szCs w:val="24"/>
        </w:rPr>
        <w:t>Bruce Weston (0016973)</w:t>
      </w:r>
    </w:p>
    <w:p w:rsidR="002354D4" w:rsidRPr="00A50745" w:rsidP="002354D4" w14:paraId="254F8563" w14:textId="77777777">
      <w:pPr>
        <w:tabs>
          <w:tab w:val="left" w:pos="4320"/>
        </w:tabs>
        <w:ind w:left="4320" w:hanging="450"/>
        <w:jc w:val="both"/>
        <w:rPr>
          <w:szCs w:val="24"/>
        </w:rPr>
      </w:pPr>
      <w:r w:rsidRPr="00A50745">
        <w:rPr>
          <w:szCs w:val="24"/>
        </w:rPr>
        <w:tab/>
        <w:t>Ohio Consumers’ Counsel</w:t>
      </w:r>
    </w:p>
    <w:p w:rsidR="002354D4" w:rsidRPr="00A50745" w:rsidP="002354D4" w14:paraId="76BCF689" w14:textId="77777777">
      <w:pPr>
        <w:tabs>
          <w:tab w:val="left" w:pos="4320"/>
        </w:tabs>
        <w:ind w:left="4320"/>
        <w:jc w:val="both"/>
        <w:rPr>
          <w:szCs w:val="24"/>
        </w:rPr>
      </w:pPr>
    </w:p>
    <w:p w:rsidR="00697F12" w:rsidRPr="00A50745" w:rsidP="00697F12" w14:paraId="4A4AE23A" w14:textId="77777777">
      <w:pPr>
        <w:tabs>
          <w:tab w:val="left" w:pos="4320"/>
        </w:tabs>
        <w:ind w:left="4320"/>
        <w:jc w:val="both"/>
        <w:rPr>
          <w:i/>
          <w:iCs/>
          <w:szCs w:val="24"/>
          <w:u w:val="single"/>
        </w:rPr>
      </w:pPr>
      <w:r w:rsidRPr="00A50745">
        <w:rPr>
          <w:i/>
          <w:iCs/>
          <w:szCs w:val="24"/>
          <w:u w:val="single"/>
        </w:rPr>
        <w:t>/s/ William J. Michael</w:t>
      </w:r>
      <w:r w:rsidRPr="00A50745">
        <w:rPr>
          <w:i/>
          <w:iCs/>
          <w:szCs w:val="24"/>
          <w:u w:val="single"/>
        </w:rPr>
        <w:tab/>
      </w:r>
    </w:p>
    <w:p w:rsidR="00697F12" w:rsidRPr="00A50745" w:rsidP="00697F12" w14:paraId="35D599AC" w14:textId="77777777">
      <w:pPr>
        <w:tabs>
          <w:tab w:val="left" w:pos="4320"/>
        </w:tabs>
        <w:ind w:left="4320"/>
        <w:jc w:val="both"/>
        <w:rPr>
          <w:szCs w:val="24"/>
        </w:rPr>
      </w:pPr>
      <w:r w:rsidRPr="00A50745">
        <w:rPr>
          <w:szCs w:val="24"/>
        </w:rPr>
        <w:t>William J. Michael (0070921)</w:t>
      </w:r>
    </w:p>
    <w:p w:rsidR="00697F12" w:rsidRPr="00A50745" w:rsidP="00697F12" w14:paraId="5E7523B7" w14:textId="77777777">
      <w:pPr>
        <w:tabs>
          <w:tab w:val="left" w:pos="4320"/>
        </w:tabs>
        <w:ind w:left="4320"/>
        <w:jc w:val="both"/>
        <w:rPr>
          <w:szCs w:val="24"/>
        </w:rPr>
      </w:pPr>
      <w:r w:rsidRPr="00A50745">
        <w:rPr>
          <w:szCs w:val="24"/>
        </w:rPr>
        <w:t>Counsel of Record</w:t>
      </w:r>
    </w:p>
    <w:p w:rsidR="00697F12" w:rsidRPr="00A50745" w:rsidP="00697F12" w14:paraId="4EE80137" w14:textId="77777777">
      <w:pPr>
        <w:tabs>
          <w:tab w:val="left" w:pos="4320"/>
        </w:tabs>
        <w:ind w:left="4320"/>
        <w:jc w:val="both"/>
        <w:rPr>
          <w:szCs w:val="24"/>
        </w:rPr>
      </w:pPr>
      <w:r w:rsidRPr="00A50745">
        <w:rPr>
          <w:szCs w:val="24"/>
        </w:rPr>
        <w:t>Ambrosia E. Wilson (0096598)</w:t>
      </w:r>
    </w:p>
    <w:p w:rsidR="00697F12" w:rsidRPr="00A50745" w:rsidP="00697F12" w14:paraId="35837DBD" w14:textId="77777777">
      <w:pPr>
        <w:tabs>
          <w:tab w:val="left" w:pos="4320"/>
        </w:tabs>
        <w:ind w:left="4320"/>
        <w:jc w:val="both"/>
        <w:rPr>
          <w:szCs w:val="24"/>
        </w:rPr>
      </w:pPr>
      <w:r w:rsidRPr="00A50745">
        <w:rPr>
          <w:szCs w:val="24"/>
        </w:rPr>
        <w:t>Connor D. Semple (0101102)</w:t>
      </w:r>
    </w:p>
    <w:p w:rsidR="00697F12" w:rsidRPr="00A50745" w:rsidP="00697F12" w14:paraId="107B7E93" w14:textId="77777777">
      <w:pPr>
        <w:tabs>
          <w:tab w:val="left" w:pos="3870"/>
          <w:tab w:val="left" w:pos="4320"/>
        </w:tabs>
        <w:ind w:left="4320"/>
        <w:jc w:val="both"/>
        <w:rPr>
          <w:szCs w:val="24"/>
        </w:rPr>
      </w:pPr>
      <w:r w:rsidRPr="00A50745">
        <w:rPr>
          <w:szCs w:val="24"/>
        </w:rPr>
        <w:t>Assistant Consumers’ Counsel</w:t>
      </w:r>
    </w:p>
    <w:p w:rsidR="00697F12" w:rsidRPr="00A50745" w:rsidP="00697F12" w14:paraId="6CB388BE" w14:textId="77777777">
      <w:pPr>
        <w:tabs>
          <w:tab w:val="left" w:pos="3870"/>
          <w:tab w:val="left" w:pos="4320"/>
        </w:tabs>
        <w:ind w:left="4320"/>
        <w:jc w:val="both"/>
        <w:rPr>
          <w:szCs w:val="24"/>
        </w:rPr>
      </w:pPr>
    </w:p>
    <w:p w:rsidR="00697F12" w:rsidRPr="00A50745" w:rsidP="00697F12" w14:paraId="3E91DBD5" w14:textId="77777777">
      <w:pPr>
        <w:ind w:left="4320"/>
        <w:jc w:val="both"/>
        <w:rPr>
          <w:b/>
          <w:bCs/>
          <w:szCs w:val="24"/>
        </w:rPr>
      </w:pPr>
      <w:r w:rsidRPr="00A50745">
        <w:rPr>
          <w:b/>
          <w:bCs/>
          <w:szCs w:val="24"/>
        </w:rPr>
        <w:t>Office of the Ohio Consumers' Counsel</w:t>
      </w:r>
    </w:p>
    <w:p w:rsidR="00697F12" w:rsidRPr="00A50745" w:rsidP="00697F12" w14:paraId="7CAB4920" w14:textId="77777777">
      <w:pPr>
        <w:ind w:left="4320"/>
        <w:jc w:val="both"/>
        <w:rPr>
          <w:szCs w:val="24"/>
        </w:rPr>
      </w:pPr>
      <w:r w:rsidRPr="00A50745">
        <w:rPr>
          <w:szCs w:val="24"/>
        </w:rPr>
        <w:t>65 East State Street, Suite 700</w:t>
      </w:r>
    </w:p>
    <w:p w:rsidR="00697F12" w:rsidRPr="00A50745" w:rsidP="00697F12" w14:paraId="52214D28" w14:textId="568EC0AD">
      <w:pPr>
        <w:ind w:left="4320"/>
        <w:jc w:val="both"/>
        <w:rPr>
          <w:szCs w:val="24"/>
        </w:rPr>
      </w:pPr>
      <w:r w:rsidRPr="00A50745">
        <w:rPr>
          <w:szCs w:val="24"/>
        </w:rPr>
        <w:t>Columbus, Ohio 43215</w:t>
      </w:r>
    </w:p>
    <w:p w:rsidR="00697F12" w:rsidRPr="00A50745" w:rsidP="00697F12" w14:paraId="6299CD2C" w14:textId="77777777">
      <w:pPr>
        <w:autoSpaceDE w:val="0"/>
        <w:autoSpaceDN w:val="0"/>
        <w:adjustRightInd w:val="0"/>
        <w:ind w:left="4320"/>
        <w:jc w:val="both"/>
        <w:rPr>
          <w:szCs w:val="24"/>
        </w:rPr>
      </w:pPr>
      <w:r w:rsidRPr="00A50745">
        <w:rPr>
          <w:szCs w:val="24"/>
        </w:rPr>
        <w:t>Telephone: [Michael]: (614) 466-1291</w:t>
      </w:r>
    </w:p>
    <w:p w:rsidR="00697F12" w:rsidRPr="00A50745" w:rsidP="00697F12" w14:paraId="4161026D" w14:textId="77777777">
      <w:pPr>
        <w:autoSpaceDE w:val="0"/>
        <w:autoSpaceDN w:val="0"/>
        <w:adjustRightInd w:val="0"/>
        <w:ind w:left="4320"/>
        <w:jc w:val="both"/>
        <w:rPr>
          <w:szCs w:val="24"/>
        </w:rPr>
      </w:pPr>
      <w:r w:rsidRPr="00A50745">
        <w:rPr>
          <w:szCs w:val="24"/>
        </w:rPr>
        <w:t>Telephone: [Wilson]: (614) 466-1292</w:t>
      </w:r>
    </w:p>
    <w:p w:rsidR="00697F12" w:rsidRPr="00A50745" w:rsidP="00697F12" w14:paraId="41A6E996" w14:textId="77777777">
      <w:pPr>
        <w:autoSpaceDE w:val="0"/>
        <w:autoSpaceDN w:val="0"/>
        <w:adjustRightInd w:val="0"/>
        <w:ind w:left="4320"/>
        <w:jc w:val="both"/>
        <w:rPr>
          <w:szCs w:val="24"/>
        </w:rPr>
      </w:pPr>
      <w:r w:rsidRPr="00A50745">
        <w:rPr>
          <w:szCs w:val="24"/>
        </w:rPr>
        <w:t>Telephone: [Semple]: (614) 466-9565</w:t>
      </w:r>
    </w:p>
    <w:p w:rsidR="00697F12" w:rsidRPr="00A50745" w:rsidP="00697F12" w14:paraId="3B5BFF1A" w14:textId="7D1F5CAF">
      <w:pPr>
        <w:ind w:left="4320"/>
        <w:jc w:val="both"/>
        <w:rPr>
          <w:szCs w:val="24"/>
        </w:rPr>
      </w:pPr>
      <w:hyperlink r:id="rId6" w:history="1">
        <w:r w:rsidRPr="00A50745" w:rsidR="00595E81">
          <w:rPr>
            <w:rStyle w:val="Hyperlink"/>
            <w:szCs w:val="24"/>
          </w:rPr>
          <w:t>william.michael@occ.ohio.gov</w:t>
        </w:r>
      </w:hyperlink>
    </w:p>
    <w:p w:rsidR="00697F12" w:rsidRPr="00A50745" w:rsidP="00697F12" w14:paraId="53565998" w14:textId="7FDC8955">
      <w:pPr>
        <w:ind w:left="4320"/>
        <w:jc w:val="both"/>
        <w:rPr>
          <w:szCs w:val="24"/>
        </w:rPr>
      </w:pPr>
      <w:hyperlink r:id="rId7" w:history="1">
        <w:r w:rsidRPr="00A50745" w:rsidR="00595E81">
          <w:rPr>
            <w:rStyle w:val="Hyperlink"/>
            <w:szCs w:val="24"/>
          </w:rPr>
          <w:t>ambrosia.wilson@occ.ohio.gov</w:t>
        </w:r>
      </w:hyperlink>
    </w:p>
    <w:p w:rsidR="00697F12" w:rsidRPr="00A50745" w:rsidP="00697F12" w14:paraId="32B7EB32" w14:textId="31ABEB50">
      <w:pPr>
        <w:ind w:left="4320"/>
        <w:jc w:val="both"/>
        <w:rPr>
          <w:szCs w:val="24"/>
        </w:rPr>
      </w:pPr>
      <w:hyperlink r:id="rId8" w:history="1">
        <w:r w:rsidRPr="00A50745" w:rsidR="00595E81">
          <w:rPr>
            <w:rStyle w:val="Hyperlink"/>
            <w:szCs w:val="24"/>
          </w:rPr>
          <w:t>connor.semple@occ.ohio.gov</w:t>
        </w:r>
      </w:hyperlink>
    </w:p>
    <w:p w:rsidR="00697F12" w:rsidRPr="00A50745" w:rsidP="00697F12" w14:paraId="54C6A1DF" w14:textId="77777777">
      <w:pPr>
        <w:ind w:left="4320" w:hanging="4320"/>
        <w:jc w:val="both"/>
        <w:rPr>
          <w:szCs w:val="24"/>
        </w:rPr>
      </w:pPr>
      <w:r w:rsidRPr="00A50745">
        <w:rPr>
          <w:szCs w:val="24"/>
        </w:rPr>
        <w:tab/>
        <w:t>(willing to accept service by e-mail)</w:t>
      </w:r>
    </w:p>
    <w:p w:rsidR="00A044B5" w:rsidRPr="00A50745" w:rsidP="002354D4" w14:paraId="633CD781" w14:textId="77777777">
      <w:pPr>
        <w:pStyle w:val="Footer"/>
        <w:tabs>
          <w:tab w:val="left" w:pos="4320"/>
          <w:tab w:val="clear" w:pos="8640"/>
        </w:tabs>
        <w:spacing w:before="240"/>
        <w:ind w:left="4320"/>
        <w:rPr>
          <w:sz w:val="24"/>
          <w:szCs w:val="24"/>
        </w:rPr>
      </w:pPr>
      <w:r w:rsidRPr="00A50745">
        <w:rPr>
          <w:sz w:val="24"/>
          <w:szCs w:val="24"/>
        </w:rPr>
        <w:tab/>
      </w:r>
      <w:r w:rsidRPr="00A50745">
        <w:rPr>
          <w:sz w:val="24"/>
          <w:szCs w:val="24"/>
        </w:rPr>
        <w:tab/>
      </w:r>
      <w:r w:rsidRPr="00A50745">
        <w:rPr>
          <w:sz w:val="24"/>
          <w:szCs w:val="24"/>
        </w:rPr>
        <w:tab/>
      </w:r>
      <w:r w:rsidRPr="00A50745">
        <w:rPr>
          <w:sz w:val="24"/>
          <w:szCs w:val="24"/>
        </w:rPr>
        <w:tab/>
      </w:r>
      <w:r w:rsidRPr="00A50745">
        <w:rPr>
          <w:sz w:val="24"/>
          <w:szCs w:val="24"/>
        </w:rPr>
        <w:tab/>
      </w:r>
      <w:r w:rsidRPr="00A50745">
        <w:rPr>
          <w:sz w:val="24"/>
          <w:szCs w:val="24"/>
        </w:rPr>
        <w:tab/>
      </w:r>
    </w:p>
    <w:p w:rsidR="00A044B5" w:rsidRPr="00A50745" w14:paraId="3024547E" w14:textId="77777777">
      <w:pPr>
        <w:rPr>
          <w:szCs w:val="24"/>
        </w:rPr>
      </w:pPr>
    </w:p>
    <w:p w:rsidR="00A044B5" w:rsidRPr="00A50745" w14:paraId="7CCA3D70" w14:textId="77777777">
      <w:pPr>
        <w:rPr>
          <w:szCs w:val="24"/>
        </w:rPr>
      </w:pPr>
    </w:p>
    <w:p w:rsidR="00A044B5" w:rsidRPr="00A50745" w14:paraId="75A3DF74" w14:textId="77777777">
      <w:pPr>
        <w:rPr>
          <w:szCs w:val="24"/>
        </w:rPr>
      </w:pPr>
    </w:p>
    <w:p w:rsidR="00A044B5" w:rsidRPr="00A50745" w14:paraId="2AC06964" w14:textId="77777777">
      <w:pPr>
        <w:ind w:left="4320" w:firstLine="720"/>
        <w:jc w:val="both"/>
        <w:rPr>
          <w:szCs w:val="24"/>
        </w:rPr>
      </w:pPr>
    </w:p>
    <w:p w:rsidR="00A044B5" w:rsidRPr="00A50745" w14:paraId="3297EBBC" w14:textId="77777777">
      <w:pPr>
        <w:pStyle w:val="HTMLPreformatted"/>
        <w:jc w:val="center"/>
        <w:rPr>
          <w:rFonts w:ascii="Times New Roman" w:hAnsi="Times New Roman" w:cs="Times New Roman"/>
          <w:b/>
          <w:bCs/>
          <w:sz w:val="24"/>
          <w:szCs w:val="24"/>
        </w:rPr>
        <w:sectPr>
          <w:headerReference w:type="default" r:id="rId9"/>
          <w:footerReference w:type="even" r:id="rId10"/>
          <w:footerReference w:type="default" r:id="rId11"/>
          <w:pgSz w:w="12240" w:h="15840"/>
          <w:pgMar w:top="1440" w:right="1800" w:bottom="1440" w:left="1800" w:header="720" w:footer="720" w:gutter="0"/>
          <w:cols w:space="720"/>
          <w:titlePg/>
          <w:docGrid w:linePitch="65"/>
        </w:sectPr>
      </w:pPr>
    </w:p>
    <w:p w:rsidR="00A044B5" w:rsidRPr="00A50745" w14:paraId="093B4CF0" w14:textId="77777777">
      <w:pPr>
        <w:pStyle w:val="HTMLPreformatted"/>
        <w:jc w:val="center"/>
        <w:rPr>
          <w:rFonts w:ascii="Times New Roman" w:hAnsi="Times New Roman" w:cs="Times New Roman"/>
          <w:b/>
          <w:bCs/>
          <w:sz w:val="24"/>
          <w:szCs w:val="24"/>
        </w:rPr>
      </w:pPr>
      <w:r w:rsidRPr="00A50745">
        <w:rPr>
          <w:rFonts w:ascii="Times New Roman" w:hAnsi="Times New Roman" w:cs="Times New Roman"/>
          <w:b/>
          <w:bCs/>
          <w:sz w:val="24"/>
          <w:szCs w:val="24"/>
        </w:rPr>
        <w:t>BEFORE</w:t>
      </w:r>
    </w:p>
    <w:p w:rsidR="00A044B5" w:rsidRPr="00A50745" w14:paraId="43034B29" w14:textId="77777777">
      <w:pPr>
        <w:pStyle w:val="HTMLPreformatted"/>
        <w:jc w:val="center"/>
        <w:rPr>
          <w:rFonts w:ascii="Times New Roman" w:hAnsi="Times New Roman" w:cs="Times New Roman"/>
          <w:sz w:val="24"/>
          <w:szCs w:val="24"/>
        </w:rPr>
      </w:pPr>
      <w:r w:rsidRPr="00A50745">
        <w:rPr>
          <w:rFonts w:ascii="Times New Roman" w:hAnsi="Times New Roman" w:cs="Times New Roman"/>
          <w:b/>
          <w:bCs/>
          <w:sz w:val="24"/>
          <w:szCs w:val="24"/>
        </w:rPr>
        <w:t>THE PUBLIC UTILITIES COMMISSION OF OHIO</w:t>
      </w:r>
    </w:p>
    <w:p w:rsidR="00A044B5" w:rsidRPr="00A50745" w14:paraId="706731AB" w14:textId="77777777">
      <w:pPr>
        <w:pStyle w:val="HTMLPreformatted"/>
        <w:rPr>
          <w:rFonts w:ascii="Times New Roman" w:hAnsi="Times New Roman" w:cs="Times New Roman"/>
          <w:sz w:val="24"/>
          <w:szCs w:val="24"/>
        </w:rPr>
      </w:pPr>
    </w:p>
    <w:tbl>
      <w:tblPr>
        <w:tblW w:w="8729" w:type="dxa"/>
        <w:tblInd w:w="-108" w:type="dxa"/>
        <w:tblLook w:val="01E0"/>
      </w:tblPr>
      <w:tblGrid>
        <w:gridCol w:w="4183"/>
        <w:gridCol w:w="605"/>
        <w:gridCol w:w="3941"/>
      </w:tblGrid>
      <w:tr w14:paraId="2E019FD0" w14:textId="77777777" w:rsidTr="00C94D3B">
        <w:tblPrEx>
          <w:tblW w:w="8729" w:type="dxa"/>
          <w:tblInd w:w="-108" w:type="dxa"/>
          <w:tblLook w:val="01E0"/>
        </w:tblPrEx>
        <w:trPr>
          <w:trHeight w:val="665"/>
        </w:trPr>
        <w:tc>
          <w:tcPr>
            <w:tcW w:w="4183" w:type="dxa"/>
            <w:shd w:val="clear" w:color="auto" w:fill="auto"/>
          </w:tcPr>
          <w:p w:rsidR="00F9505C" w:rsidRPr="00095103" w:rsidP="00C94D3B" w14:paraId="4EE1880A" w14:textId="77777777">
            <w:pPr>
              <w:autoSpaceDE w:val="0"/>
              <w:autoSpaceDN w:val="0"/>
              <w:adjustRightInd w:val="0"/>
            </w:pPr>
            <w:r w:rsidRPr="00095103">
              <w:t>In the Matter of</w:t>
            </w:r>
            <w:r>
              <w:t xml:space="preserve"> t</w:t>
            </w:r>
            <w:r w:rsidRPr="00095103">
              <w:t xml:space="preserve">he Application of Ohio Edison Company, </w:t>
            </w:r>
            <w:r>
              <w:t>t</w:t>
            </w:r>
            <w:r w:rsidRPr="00095103">
              <w:t xml:space="preserve">he Cleveland Electric Illuminating Company, </w:t>
            </w:r>
            <w:r>
              <w:t>a</w:t>
            </w:r>
            <w:r w:rsidRPr="00095103">
              <w:t xml:space="preserve">nd the Toledo Edison Company for Approval of Tariff Amendments.  </w:t>
            </w:r>
          </w:p>
        </w:tc>
        <w:tc>
          <w:tcPr>
            <w:tcW w:w="605" w:type="dxa"/>
            <w:shd w:val="clear" w:color="auto" w:fill="auto"/>
          </w:tcPr>
          <w:p w:rsidR="00F9505C" w:rsidRPr="00095103" w:rsidP="00C94D3B" w14:paraId="3D2CCD63" w14:textId="77777777">
            <w:pPr>
              <w:pStyle w:val="HTMLPreformatted"/>
              <w:jc w:val="center"/>
              <w:rPr>
                <w:rFonts w:ascii="Times New Roman" w:hAnsi="Times New Roman" w:cs="Times New Roman"/>
                <w:sz w:val="24"/>
                <w:szCs w:val="24"/>
              </w:rPr>
            </w:pPr>
            <w:r w:rsidRPr="00095103">
              <w:rPr>
                <w:rFonts w:ascii="Times New Roman" w:hAnsi="Times New Roman" w:cs="Times New Roman"/>
                <w:sz w:val="24"/>
                <w:szCs w:val="24"/>
              </w:rPr>
              <w:t>)</w:t>
            </w:r>
          </w:p>
          <w:p w:rsidR="00F9505C" w:rsidRPr="00095103" w:rsidP="00C94D3B" w14:paraId="7AD01C10" w14:textId="77777777">
            <w:pPr>
              <w:pStyle w:val="HTMLPreformatted"/>
              <w:jc w:val="center"/>
              <w:rPr>
                <w:rFonts w:ascii="Times New Roman" w:hAnsi="Times New Roman" w:cs="Times New Roman"/>
                <w:sz w:val="24"/>
                <w:szCs w:val="24"/>
              </w:rPr>
            </w:pPr>
            <w:r w:rsidRPr="00095103">
              <w:rPr>
                <w:rFonts w:ascii="Times New Roman" w:hAnsi="Times New Roman" w:cs="Times New Roman"/>
                <w:sz w:val="24"/>
                <w:szCs w:val="24"/>
              </w:rPr>
              <w:t>)</w:t>
            </w:r>
          </w:p>
          <w:p w:rsidR="00F9505C" w:rsidRPr="00095103" w:rsidP="00C94D3B" w14:paraId="1CD18E7F" w14:textId="77777777">
            <w:pPr>
              <w:pStyle w:val="HTMLPreformatted"/>
              <w:jc w:val="center"/>
              <w:rPr>
                <w:rFonts w:ascii="Times New Roman" w:hAnsi="Times New Roman" w:cs="Times New Roman"/>
                <w:sz w:val="24"/>
                <w:szCs w:val="24"/>
              </w:rPr>
            </w:pPr>
            <w:r w:rsidRPr="00095103">
              <w:rPr>
                <w:rFonts w:ascii="Times New Roman" w:hAnsi="Times New Roman" w:cs="Times New Roman"/>
                <w:sz w:val="24"/>
                <w:szCs w:val="24"/>
              </w:rPr>
              <w:t>)</w:t>
            </w:r>
          </w:p>
          <w:p w:rsidR="00F9505C" w:rsidRPr="00095103" w:rsidP="00C94D3B" w14:paraId="2E545B34" w14:textId="77777777">
            <w:pPr>
              <w:pStyle w:val="HTMLPreformatted"/>
              <w:jc w:val="center"/>
              <w:rPr>
                <w:rFonts w:ascii="Times New Roman" w:hAnsi="Times New Roman" w:cs="Times New Roman"/>
                <w:sz w:val="24"/>
                <w:szCs w:val="24"/>
              </w:rPr>
            </w:pPr>
            <w:r w:rsidRPr="00095103">
              <w:rPr>
                <w:rFonts w:ascii="Times New Roman" w:hAnsi="Times New Roman" w:cs="Times New Roman"/>
                <w:sz w:val="24"/>
                <w:szCs w:val="24"/>
              </w:rPr>
              <w:t>)</w:t>
            </w:r>
          </w:p>
          <w:p w:rsidR="00F9505C" w:rsidRPr="00095103" w:rsidP="00C94D3B" w14:paraId="753BB526" w14:textId="77777777">
            <w:pPr>
              <w:pStyle w:val="HTMLPreformatted"/>
              <w:jc w:val="center"/>
              <w:rPr>
                <w:rFonts w:ascii="Times New Roman" w:hAnsi="Times New Roman" w:cs="Times New Roman"/>
                <w:sz w:val="24"/>
                <w:szCs w:val="24"/>
              </w:rPr>
            </w:pPr>
            <w:r w:rsidRPr="00095103">
              <w:rPr>
                <w:rFonts w:ascii="Times New Roman" w:hAnsi="Times New Roman" w:cs="Times New Roman"/>
                <w:sz w:val="24"/>
                <w:szCs w:val="24"/>
              </w:rPr>
              <w:t>)</w:t>
            </w:r>
          </w:p>
        </w:tc>
        <w:tc>
          <w:tcPr>
            <w:tcW w:w="3941" w:type="dxa"/>
            <w:shd w:val="clear" w:color="auto" w:fill="auto"/>
          </w:tcPr>
          <w:p w:rsidR="00F9505C" w:rsidRPr="00095103" w:rsidP="00C94D3B" w14:paraId="0EA17C27" w14:textId="77777777">
            <w:pPr>
              <w:pStyle w:val="HTMLPreformatted"/>
              <w:rPr>
                <w:rFonts w:ascii="Times New Roman" w:hAnsi="Times New Roman" w:cs="Times New Roman"/>
                <w:sz w:val="24"/>
                <w:szCs w:val="24"/>
              </w:rPr>
            </w:pPr>
          </w:p>
          <w:p w:rsidR="00F9505C" w:rsidRPr="00095103" w:rsidP="00C94D3B" w14:paraId="642495B2" w14:textId="77777777">
            <w:pPr>
              <w:pStyle w:val="HTMLPreformatted"/>
              <w:rPr>
                <w:rFonts w:ascii="Times New Roman" w:hAnsi="Times New Roman" w:cs="Times New Roman"/>
                <w:sz w:val="24"/>
                <w:szCs w:val="24"/>
              </w:rPr>
            </w:pPr>
          </w:p>
          <w:p w:rsidR="00F9505C" w:rsidRPr="00095103" w:rsidP="00C94D3B" w14:paraId="6A8FA9F9" w14:textId="77777777">
            <w:pPr>
              <w:pStyle w:val="HTMLPreformatted"/>
              <w:rPr>
                <w:rFonts w:ascii="Times New Roman" w:eastAsia="Times New Roman" w:hAnsi="Times New Roman" w:cs="Times New Roman"/>
                <w:sz w:val="24"/>
                <w:szCs w:val="24"/>
              </w:rPr>
            </w:pPr>
            <w:r w:rsidRPr="00095103">
              <w:rPr>
                <w:rFonts w:ascii="Times New Roman" w:eastAsia="Times New Roman" w:hAnsi="Times New Roman" w:cs="Times New Roman"/>
                <w:sz w:val="24"/>
                <w:szCs w:val="24"/>
              </w:rPr>
              <w:t>C</w:t>
            </w:r>
            <w:r>
              <w:rPr>
                <w:rFonts w:ascii="Times New Roman" w:eastAsia="Times New Roman" w:hAnsi="Times New Roman" w:cs="Times New Roman"/>
                <w:sz w:val="24"/>
                <w:szCs w:val="24"/>
              </w:rPr>
              <w:t>ase No</w:t>
            </w:r>
            <w:r w:rsidRPr="00095103">
              <w:rPr>
                <w:rFonts w:ascii="Times New Roman" w:eastAsia="Times New Roman" w:hAnsi="Times New Roman" w:cs="Times New Roman"/>
                <w:sz w:val="24"/>
                <w:szCs w:val="24"/>
              </w:rPr>
              <w:t>. 22-1127-EL-ATA</w:t>
            </w:r>
          </w:p>
          <w:p w:rsidR="00F9505C" w:rsidRPr="00095103" w:rsidP="00C94D3B" w14:paraId="2478AD45" w14:textId="77777777">
            <w:pPr>
              <w:pStyle w:val="HTMLPreformatted"/>
              <w:rPr>
                <w:rFonts w:ascii="Times New Roman" w:hAnsi="Times New Roman" w:cs="Times New Roman"/>
                <w:sz w:val="24"/>
                <w:szCs w:val="24"/>
              </w:rPr>
            </w:pPr>
          </w:p>
          <w:p w:rsidR="00F9505C" w:rsidRPr="00095103" w:rsidP="00C94D3B" w14:paraId="449BF48D" w14:textId="77777777">
            <w:pPr>
              <w:pStyle w:val="HTMLPreformatted"/>
              <w:rPr>
                <w:rFonts w:ascii="Times New Roman" w:hAnsi="Times New Roman" w:cs="Times New Roman"/>
                <w:sz w:val="24"/>
                <w:szCs w:val="24"/>
              </w:rPr>
            </w:pPr>
          </w:p>
        </w:tc>
      </w:tr>
    </w:tbl>
    <w:p w:rsidR="00A044B5" w:rsidRPr="00A50745" w14:paraId="65486117" w14:textId="77777777">
      <w:pPr>
        <w:pStyle w:val="Heading2"/>
        <w:pBdr>
          <w:bottom w:val="single" w:sz="12" w:space="1" w:color="auto"/>
        </w:pBdr>
        <w:jc w:val="left"/>
        <w:rPr>
          <w:b w:val="0"/>
          <w:szCs w:val="24"/>
        </w:rPr>
      </w:pPr>
    </w:p>
    <w:p w:rsidR="00A044B5" w:rsidRPr="00A50745" w14:paraId="24C1ACF0" w14:textId="77777777">
      <w:pPr>
        <w:pStyle w:val="Heading2"/>
        <w:rPr>
          <w:szCs w:val="24"/>
        </w:rPr>
      </w:pPr>
    </w:p>
    <w:p w:rsidR="00A044B5" w:rsidRPr="00A50745" w14:paraId="35143726" w14:textId="77777777">
      <w:pPr>
        <w:pStyle w:val="Heading2"/>
        <w:pBdr>
          <w:bottom w:val="single" w:sz="12" w:space="1" w:color="auto"/>
        </w:pBdr>
        <w:rPr>
          <w:szCs w:val="24"/>
        </w:rPr>
      </w:pPr>
      <w:r w:rsidRPr="00A50745">
        <w:rPr>
          <w:szCs w:val="24"/>
        </w:rPr>
        <w:t>MEMORANDUM IN SUPPORT</w:t>
      </w:r>
      <w:r w:rsidRPr="00A50745">
        <w:rPr>
          <w:szCs w:val="24"/>
        </w:rPr>
        <w:br/>
      </w:r>
    </w:p>
    <w:p w:rsidR="00A044B5" w:rsidRPr="00A50745" w14:paraId="63947CFA" w14:textId="77777777">
      <w:pPr>
        <w:pStyle w:val="BodyTextIndent"/>
        <w:spacing w:line="240" w:lineRule="auto"/>
        <w:ind w:firstLine="0"/>
        <w:rPr>
          <w:b/>
          <w:bCs/>
          <w:szCs w:val="24"/>
        </w:rPr>
      </w:pPr>
    </w:p>
    <w:p w:rsidR="00EA0224" w:rsidRPr="00A50745" w:rsidP="00C527F4" w14:paraId="528B6A4C" w14:textId="0F3B7EBE">
      <w:pPr>
        <w:pStyle w:val="BodyTextIndent3"/>
        <w:widowControl w:val="0"/>
        <w:spacing w:line="480" w:lineRule="auto"/>
        <w:rPr>
          <w:szCs w:val="24"/>
        </w:rPr>
      </w:pPr>
      <w:r w:rsidRPr="00A50745">
        <w:rPr>
          <w:szCs w:val="24"/>
        </w:rPr>
        <w:t xml:space="preserve">The </w:t>
      </w:r>
      <w:r w:rsidRPr="00A50745" w:rsidR="007631F4">
        <w:rPr>
          <w:szCs w:val="24"/>
        </w:rPr>
        <w:t xml:space="preserve">FirstEnergy </w:t>
      </w:r>
      <w:r w:rsidRPr="00A50745">
        <w:rPr>
          <w:szCs w:val="24"/>
        </w:rPr>
        <w:t>Utilities have</w:t>
      </w:r>
      <w:r w:rsidRPr="00A50745" w:rsidR="007631F4">
        <w:rPr>
          <w:szCs w:val="24"/>
        </w:rPr>
        <w:t xml:space="preserve"> applied to revise </w:t>
      </w:r>
      <w:r w:rsidR="00CF6ADE">
        <w:rPr>
          <w:szCs w:val="24"/>
        </w:rPr>
        <w:t>their</w:t>
      </w:r>
      <w:r w:rsidRPr="00A50745" w:rsidR="007631F4">
        <w:rPr>
          <w:szCs w:val="24"/>
        </w:rPr>
        <w:t xml:space="preserve"> supplier tariff to provide for a “minimum stay” requirement.</w:t>
      </w:r>
      <w:r>
        <w:rPr>
          <w:rStyle w:val="FootnoteReference"/>
          <w:szCs w:val="24"/>
        </w:rPr>
        <w:footnoteReference w:id="4"/>
      </w:r>
      <w:r w:rsidRPr="00A50745" w:rsidR="007631F4">
        <w:rPr>
          <w:szCs w:val="24"/>
        </w:rPr>
        <w:t xml:space="preserve"> </w:t>
      </w:r>
      <w:r w:rsidR="00CF6ADE">
        <w:rPr>
          <w:szCs w:val="24"/>
        </w:rPr>
        <w:t>Their</w:t>
      </w:r>
      <w:r w:rsidRPr="00A50745" w:rsidR="00736306">
        <w:rPr>
          <w:szCs w:val="24"/>
        </w:rPr>
        <w:t xml:space="preserve"> proposal would prevent governmental aggregators that serve more than </w:t>
      </w:r>
      <w:r w:rsidRPr="00A50745" w:rsidR="0082492E">
        <w:rPr>
          <w:szCs w:val="24"/>
        </w:rPr>
        <w:t>2</w:t>
      </w:r>
      <w:r w:rsidRPr="00A50745" w:rsidR="00736306">
        <w:rPr>
          <w:szCs w:val="24"/>
        </w:rPr>
        <w:t>5,000</w:t>
      </w:r>
      <w:r w:rsidRPr="00A50745" w:rsidR="0082492E">
        <w:rPr>
          <w:szCs w:val="24"/>
        </w:rPr>
        <w:t xml:space="preserve"> customers or a </w:t>
      </w:r>
      <w:r w:rsidRPr="00A50745" w:rsidR="009F4BA8">
        <w:rPr>
          <w:szCs w:val="24"/>
        </w:rPr>
        <w:t>25-megawatt</w:t>
      </w:r>
      <w:r w:rsidRPr="00A50745" w:rsidR="0082492E">
        <w:rPr>
          <w:szCs w:val="24"/>
        </w:rPr>
        <w:t xml:space="preserve"> load</w:t>
      </w:r>
      <w:r w:rsidRPr="00A50745" w:rsidR="00736306">
        <w:rPr>
          <w:szCs w:val="24"/>
        </w:rPr>
        <w:t xml:space="preserve"> from re-enrolling consumers </w:t>
      </w:r>
      <w:r w:rsidRPr="00A50745" w:rsidR="003771DC">
        <w:rPr>
          <w:szCs w:val="24"/>
        </w:rPr>
        <w:t>they</w:t>
      </w:r>
      <w:r w:rsidRPr="00A50745" w:rsidR="00736306">
        <w:rPr>
          <w:szCs w:val="24"/>
        </w:rPr>
        <w:t xml:space="preserve"> had returned to </w:t>
      </w:r>
      <w:r w:rsidRPr="00A50745">
        <w:rPr>
          <w:szCs w:val="24"/>
        </w:rPr>
        <w:t>the FirstEnergy Utilities’</w:t>
      </w:r>
      <w:r w:rsidRPr="00A50745" w:rsidR="00736306">
        <w:rPr>
          <w:szCs w:val="24"/>
        </w:rPr>
        <w:t xml:space="preserve"> standard-offer service until 12 months have passed. This would prevent aggregators from frequently </w:t>
      </w:r>
      <w:r w:rsidRPr="00A50745" w:rsidR="007C0ABE">
        <w:rPr>
          <w:szCs w:val="24"/>
        </w:rPr>
        <w:t xml:space="preserve">returning </w:t>
      </w:r>
      <w:r w:rsidRPr="00A50745" w:rsidR="00736306">
        <w:rPr>
          <w:szCs w:val="24"/>
        </w:rPr>
        <w:t xml:space="preserve">and re-enrolling consumers, potentially creating unpredictable demand for default service with potentially higher prices for standard-offer consumers. OCC has authority under law to represent the interests of </w:t>
      </w:r>
      <w:r w:rsidRPr="00A50745">
        <w:rPr>
          <w:szCs w:val="24"/>
        </w:rPr>
        <w:t>the FirstEnergy Utilities’</w:t>
      </w:r>
      <w:r w:rsidRPr="00A50745" w:rsidR="00736306">
        <w:rPr>
          <w:szCs w:val="24"/>
        </w:rPr>
        <w:t xml:space="preserve"> consumers, pursuant to R.C. Chapter 4911.</w:t>
      </w:r>
    </w:p>
    <w:p w:rsidR="00EA0224" w:rsidRPr="00A50745" w:rsidP="00C527F4" w14:paraId="4979B987" w14:textId="463E076B">
      <w:pPr>
        <w:spacing w:line="480" w:lineRule="auto"/>
        <w:ind w:firstLine="720"/>
        <w:rPr>
          <w:szCs w:val="24"/>
        </w:rPr>
      </w:pPr>
      <w:bookmarkStart w:id="1" w:name="_Hlk123825907"/>
      <w:r w:rsidRPr="00A50745">
        <w:rPr>
          <w:szCs w:val="24"/>
        </w:rPr>
        <w:t xml:space="preserve">The FirstEnergy </w:t>
      </w:r>
      <w:r w:rsidRPr="00A50745" w:rsidR="006514B1">
        <w:rPr>
          <w:szCs w:val="24"/>
        </w:rPr>
        <w:t xml:space="preserve">Utilities’ </w:t>
      </w:r>
      <w:r w:rsidRPr="00A50745">
        <w:rPr>
          <w:szCs w:val="24"/>
        </w:rPr>
        <w:t>tariffs are of particular interest because</w:t>
      </w:r>
      <w:r w:rsidRPr="00A50745" w:rsidR="003771DC">
        <w:rPr>
          <w:szCs w:val="24"/>
        </w:rPr>
        <w:t>,</w:t>
      </w:r>
      <w:r w:rsidRPr="00A50745">
        <w:rPr>
          <w:szCs w:val="24"/>
        </w:rPr>
        <w:t xml:space="preserve"> in August 2022, NOPEC returned its consumers to </w:t>
      </w:r>
      <w:r w:rsidRPr="00A50745" w:rsidR="006514B1">
        <w:rPr>
          <w:szCs w:val="24"/>
        </w:rPr>
        <w:t xml:space="preserve">the </w:t>
      </w:r>
      <w:r w:rsidRPr="00A50745">
        <w:rPr>
          <w:szCs w:val="24"/>
        </w:rPr>
        <w:t>FirstEnergy</w:t>
      </w:r>
      <w:r w:rsidRPr="00A50745" w:rsidR="006514B1">
        <w:rPr>
          <w:szCs w:val="24"/>
        </w:rPr>
        <w:t xml:space="preserve"> Utilities’</w:t>
      </w:r>
      <w:r w:rsidRPr="00A50745">
        <w:rPr>
          <w:szCs w:val="24"/>
        </w:rPr>
        <w:t xml:space="preserve"> </w:t>
      </w:r>
      <w:r w:rsidR="00CF6ADE">
        <w:rPr>
          <w:szCs w:val="24"/>
        </w:rPr>
        <w:t>s</w:t>
      </w:r>
      <w:r w:rsidRPr="00A50745">
        <w:rPr>
          <w:szCs w:val="24"/>
        </w:rPr>
        <w:t xml:space="preserve">tandard </w:t>
      </w:r>
      <w:r w:rsidR="00CF6ADE">
        <w:rPr>
          <w:szCs w:val="24"/>
        </w:rPr>
        <w:t>s</w:t>
      </w:r>
      <w:r w:rsidRPr="00A50745">
        <w:rPr>
          <w:szCs w:val="24"/>
        </w:rPr>
        <w:t xml:space="preserve">ervice </w:t>
      </w:r>
      <w:r w:rsidR="00CF6ADE">
        <w:rPr>
          <w:szCs w:val="24"/>
        </w:rPr>
        <w:t>o</w:t>
      </w:r>
      <w:r w:rsidRPr="00A50745">
        <w:rPr>
          <w:szCs w:val="24"/>
        </w:rPr>
        <w:t xml:space="preserve">ffer. </w:t>
      </w:r>
      <w:r w:rsidRPr="00A50745" w:rsidR="00FB57AE">
        <w:rPr>
          <w:szCs w:val="24"/>
        </w:rPr>
        <w:t xml:space="preserve">Of course, these tariffs were not effective at that time. It is noteworthy that </w:t>
      </w:r>
      <w:r w:rsidRPr="00A50745">
        <w:rPr>
          <w:szCs w:val="24"/>
        </w:rPr>
        <w:t xml:space="preserve">the tariffs are unclear with respect to the applicability of the tariffs to NOPEC and to its intention to </w:t>
      </w:r>
      <w:r w:rsidRPr="00A50745" w:rsidR="003771DC">
        <w:rPr>
          <w:szCs w:val="24"/>
        </w:rPr>
        <w:t xml:space="preserve">possibly </w:t>
      </w:r>
      <w:r w:rsidRPr="00A50745">
        <w:rPr>
          <w:szCs w:val="24"/>
        </w:rPr>
        <w:t>serve consumers in an opt-out aggregation beginning June 1, 2023.</w:t>
      </w:r>
      <w:r>
        <w:rPr>
          <w:rStyle w:val="FootnoteReference"/>
          <w:szCs w:val="24"/>
        </w:rPr>
        <w:footnoteReference w:id="5"/>
      </w:r>
      <w:r w:rsidR="00A50745">
        <w:rPr>
          <w:szCs w:val="24"/>
        </w:rPr>
        <w:t xml:space="preserve"> </w:t>
      </w:r>
      <w:r w:rsidRPr="00A50745">
        <w:rPr>
          <w:szCs w:val="24"/>
        </w:rPr>
        <w:t xml:space="preserve">This issue </w:t>
      </w:r>
      <w:r w:rsidRPr="00A50745">
        <w:rPr>
          <w:szCs w:val="24"/>
        </w:rPr>
        <w:t>requires clarification</w:t>
      </w:r>
      <w:r w:rsidRPr="00A50745" w:rsidR="003771DC">
        <w:rPr>
          <w:szCs w:val="24"/>
        </w:rPr>
        <w:t>, in favor of allowing NOPEC to re-enroll consumers as of June 1, 2023</w:t>
      </w:r>
      <w:r w:rsidRPr="00A50745">
        <w:rPr>
          <w:szCs w:val="24"/>
        </w:rPr>
        <w:t>.</w:t>
      </w:r>
    </w:p>
    <w:p w:rsidR="00736306" w:rsidRPr="00A50745" w:rsidP="00C527F4" w14:paraId="5DCF5AAA" w14:textId="40E38828">
      <w:pPr>
        <w:pStyle w:val="BodyTextIndent3"/>
        <w:widowControl w:val="0"/>
        <w:spacing w:line="480" w:lineRule="auto"/>
        <w:rPr>
          <w:szCs w:val="24"/>
        </w:rPr>
      </w:pPr>
      <w:r w:rsidRPr="00A50745">
        <w:rPr>
          <w:szCs w:val="24"/>
        </w:rPr>
        <w:t xml:space="preserve">Although </w:t>
      </w:r>
      <w:r w:rsidRPr="00A50745" w:rsidR="003771DC">
        <w:rPr>
          <w:szCs w:val="24"/>
        </w:rPr>
        <w:t xml:space="preserve">we are </w:t>
      </w:r>
      <w:r w:rsidRPr="00A50745">
        <w:rPr>
          <w:szCs w:val="24"/>
        </w:rPr>
        <w:t xml:space="preserve">generally supportive of </w:t>
      </w:r>
      <w:r w:rsidRPr="00A50745" w:rsidR="006514B1">
        <w:rPr>
          <w:szCs w:val="24"/>
        </w:rPr>
        <w:t xml:space="preserve">the </w:t>
      </w:r>
      <w:r w:rsidRPr="00A50745">
        <w:rPr>
          <w:szCs w:val="24"/>
        </w:rPr>
        <w:t>FirstEnergy</w:t>
      </w:r>
      <w:r w:rsidRPr="00A50745" w:rsidR="006514B1">
        <w:rPr>
          <w:szCs w:val="24"/>
        </w:rPr>
        <w:t xml:space="preserve"> Utilities’</w:t>
      </w:r>
      <w:r w:rsidRPr="00A50745">
        <w:rPr>
          <w:szCs w:val="24"/>
        </w:rPr>
        <w:t xml:space="preserve"> proposed tariffs, additional consumer protection is necessary. The PUCO should clarify in its order approving the electric distribution utilities’ tariffs that they are effective only after the PUCO’s formal approval of the tariffs, and those tariffs will be applied prospectively, and not retroactively.</w:t>
      </w:r>
      <w:r w:rsidR="00A50745">
        <w:rPr>
          <w:szCs w:val="24"/>
        </w:rPr>
        <w:t xml:space="preserve"> </w:t>
      </w:r>
    </w:p>
    <w:bookmarkEnd w:id="1"/>
    <w:p w:rsidR="00736306" w:rsidRPr="00A50745" w:rsidP="00C527F4" w14:paraId="76D617CD" w14:textId="1240C57C">
      <w:pPr>
        <w:pStyle w:val="BodyTextIndent3"/>
        <w:widowControl w:val="0"/>
        <w:spacing w:line="480" w:lineRule="auto"/>
        <w:rPr>
          <w:szCs w:val="24"/>
        </w:rPr>
      </w:pPr>
      <w:r w:rsidRPr="00A50745">
        <w:rPr>
          <w:szCs w:val="24"/>
        </w:rPr>
        <w:t xml:space="preserve">R.C. 4903.221 provides, in part, that any person “who may be adversely affected” by a PUCO proceeding is entitled to seek intervention in that proceeding. The interests of Ohio’s residential consumers may be “adversely affected” if consumers are unrepresented in this proceeding where </w:t>
      </w:r>
      <w:r w:rsidRPr="00A50745" w:rsidR="006514B1">
        <w:rPr>
          <w:szCs w:val="24"/>
        </w:rPr>
        <w:t xml:space="preserve">the </w:t>
      </w:r>
      <w:r w:rsidRPr="00A50745">
        <w:rPr>
          <w:szCs w:val="24"/>
        </w:rPr>
        <w:t xml:space="preserve">FirstEnergy </w:t>
      </w:r>
      <w:r w:rsidRPr="00A50745" w:rsidR="006514B1">
        <w:rPr>
          <w:szCs w:val="24"/>
        </w:rPr>
        <w:t>Utilities</w:t>
      </w:r>
      <w:r w:rsidRPr="00A50745">
        <w:rPr>
          <w:szCs w:val="24"/>
        </w:rPr>
        <w:t xml:space="preserve"> proposed to determine how frequently consumers may be moved back and forth from standard-offer service to a governmental aggregation program. Thus, this element of the intervention standard in R.C. 4903.221 is satisfied. </w:t>
      </w:r>
    </w:p>
    <w:p w:rsidR="00736306" w:rsidRPr="00A50745" w:rsidP="00C527F4" w14:paraId="0E5C10D5" w14:textId="77777777">
      <w:pPr>
        <w:spacing w:line="480" w:lineRule="auto"/>
        <w:ind w:firstLine="720"/>
        <w:rPr>
          <w:szCs w:val="24"/>
        </w:rPr>
      </w:pPr>
      <w:r w:rsidRPr="00A50745">
        <w:rPr>
          <w:szCs w:val="24"/>
        </w:rPr>
        <w:t>R.C. 4903.221(B) requires the PUCO to consider the following criteria in ruling on motions to intervene:</w:t>
      </w:r>
    </w:p>
    <w:p w:rsidR="00736306" w:rsidRPr="00A50745" w:rsidP="00FE554E" w14:paraId="7CFE6A81" w14:textId="77777777">
      <w:pPr>
        <w:ind w:left="1440" w:right="720" w:hanging="720"/>
        <w:rPr>
          <w:szCs w:val="24"/>
        </w:rPr>
      </w:pPr>
      <w:r w:rsidRPr="00A50745">
        <w:rPr>
          <w:szCs w:val="24"/>
        </w:rPr>
        <w:t>(1)</w:t>
      </w:r>
      <w:r w:rsidRPr="00A50745">
        <w:rPr>
          <w:szCs w:val="24"/>
        </w:rPr>
        <w:tab/>
        <w:t>The nature and extent of the prospective intervenor’s interest;</w:t>
      </w:r>
    </w:p>
    <w:p w:rsidR="00736306" w:rsidRPr="00A50745" w:rsidP="00FE554E" w14:paraId="4748E0BB" w14:textId="77777777">
      <w:pPr>
        <w:spacing w:before="240"/>
        <w:ind w:left="1440" w:right="720" w:hanging="720"/>
        <w:rPr>
          <w:szCs w:val="24"/>
        </w:rPr>
      </w:pPr>
      <w:r w:rsidRPr="00A50745">
        <w:rPr>
          <w:szCs w:val="24"/>
        </w:rPr>
        <w:t>(2)</w:t>
      </w:r>
      <w:r w:rsidRPr="00A50745">
        <w:rPr>
          <w:szCs w:val="24"/>
        </w:rPr>
        <w:tab/>
        <w:t>The legal position advanced by the prospective intervenor and its probable relation to the merits of the case;</w:t>
      </w:r>
    </w:p>
    <w:p w:rsidR="00736306" w:rsidRPr="00A50745" w:rsidP="00FE554E" w14:paraId="51E2482A" w14:textId="77777777">
      <w:pPr>
        <w:spacing w:before="240"/>
        <w:ind w:left="1440" w:right="720" w:hanging="720"/>
        <w:rPr>
          <w:szCs w:val="24"/>
        </w:rPr>
      </w:pPr>
      <w:r w:rsidRPr="00A50745">
        <w:rPr>
          <w:szCs w:val="24"/>
        </w:rPr>
        <w:t>(3)</w:t>
      </w:r>
      <w:r w:rsidRPr="00A50745">
        <w:rPr>
          <w:szCs w:val="24"/>
        </w:rPr>
        <w:tab/>
        <w:t>Whether the intervention by the prospective intervenor will unduly prolong or delay the proceeding; and</w:t>
      </w:r>
    </w:p>
    <w:p w:rsidR="00736306" w:rsidRPr="00A50745" w:rsidP="00FE554E" w14:paraId="70F7521D" w14:textId="77777777">
      <w:pPr>
        <w:pStyle w:val="BodyTextIndent2"/>
        <w:tabs>
          <w:tab w:val="clear" w:pos="720"/>
        </w:tabs>
        <w:ind w:left="1440" w:right="720" w:hanging="720"/>
        <w:rPr>
          <w:szCs w:val="24"/>
        </w:rPr>
      </w:pPr>
      <w:r w:rsidRPr="00A50745">
        <w:rPr>
          <w:szCs w:val="24"/>
        </w:rPr>
        <w:t>(4)</w:t>
      </w:r>
      <w:r w:rsidRPr="00A50745">
        <w:rPr>
          <w:szCs w:val="24"/>
        </w:rPr>
        <w:tab/>
        <w:t>Whether the prospective intervenor will significantly contribute to the full development and equitable resolution of the factual issues.</w:t>
      </w:r>
    </w:p>
    <w:p w:rsidR="00736306" w:rsidRPr="00A50745" w:rsidP="00736306" w14:paraId="5B162116" w14:textId="53E71B40">
      <w:pPr>
        <w:pStyle w:val="BodyTextIndent3"/>
        <w:spacing w:line="480" w:lineRule="auto"/>
        <w:rPr>
          <w:szCs w:val="24"/>
        </w:rPr>
      </w:pPr>
      <w:r w:rsidRPr="00A50745">
        <w:rPr>
          <w:szCs w:val="24"/>
        </w:rPr>
        <w:t xml:space="preserve">First, the nature and extent of OCC’s interest is representing the residential consumers of </w:t>
      </w:r>
      <w:r w:rsidRPr="00A50745" w:rsidR="006514B1">
        <w:rPr>
          <w:szCs w:val="24"/>
        </w:rPr>
        <w:t xml:space="preserve">the </w:t>
      </w:r>
      <w:r w:rsidRPr="00A50745">
        <w:rPr>
          <w:szCs w:val="24"/>
        </w:rPr>
        <w:t xml:space="preserve">FirstEnergy </w:t>
      </w:r>
      <w:r w:rsidRPr="00A50745" w:rsidR="006514B1">
        <w:rPr>
          <w:szCs w:val="24"/>
        </w:rPr>
        <w:t>Utilities</w:t>
      </w:r>
      <w:r w:rsidRPr="00A50745">
        <w:rPr>
          <w:szCs w:val="24"/>
        </w:rPr>
        <w:t xml:space="preserve"> in this case involving how long governmental </w:t>
      </w:r>
      <w:r w:rsidRPr="00A50745">
        <w:rPr>
          <w:szCs w:val="24"/>
        </w:rPr>
        <w:t xml:space="preserve">aggregators must wait before re-enrolling consumers they returned to </w:t>
      </w:r>
      <w:r w:rsidRPr="00A50745" w:rsidR="006514B1">
        <w:rPr>
          <w:szCs w:val="24"/>
        </w:rPr>
        <w:t xml:space="preserve">the </w:t>
      </w:r>
      <w:r w:rsidRPr="00A50745">
        <w:rPr>
          <w:szCs w:val="24"/>
        </w:rPr>
        <w:t xml:space="preserve">FirstEnergy </w:t>
      </w:r>
      <w:r w:rsidRPr="00A50745" w:rsidR="006514B1">
        <w:rPr>
          <w:szCs w:val="24"/>
        </w:rPr>
        <w:t>Utilities’</w:t>
      </w:r>
      <w:r w:rsidRPr="00A50745">
        <w:rPr>
          <w:szCs w:val="24"/>
        </w:rPr>
        <w:t xml:space="preserve"> standard-offer service</w:t>
      </w:r>
      <w:bookmarkStart w:id="2" w:name="_Hlk123826008"/>
      <w:r w:rsidRPr="00A50745">
        <w:rPr>
          <w:szCs w:val="24"/>
        </w:rPr>
        <w:t xml:space="preserve">. </w:t>
      </w:r>
      <w:r w:rsidRPr="00A50745" w:rsidR="00FB57AE">
        <w:rPr>
          <w:szCs w:val="24"/>
        </w:rPr>
        <w:t>Importantly, these tariffs should not</w:t>
      </w:r>
      <w:r w:rsidRPr="00A50745" w:rsidR="003771DC">
        <w:rPr>
          <w:szCs w:val="24"/>
        </w:rPr>
        <w:t xml:space="preserve"> and cannot legally</w:t>
      </w:r>
      <w:r w:rsidRPr="00A50745" w:rsidR="00FB57AE">
        <w:rPr>
          <w:szCs w:val="24"/>
        </w:rPr>
        <w:t xml:space="preserve"> be implemented </w:t>
      </w:r>
      <w:r w:rsidRPr="00A50745" w:rsidR="00B80384">
        <w:rPr>
          <w:szCs w:val="24"/>
        </w:rPr>
        <w:t>retroactively</w:t>
      </w:r>
      <w:r w:rsidRPr="00A50745" w:rsidR="003771DC">
        <w:rPr>
          <w:szCs w:val="24"/>
        </w:rPr>
        <w:t>. That means</w:t>
      </w:r>
      <w:r w:rsidRPr="00A50745" w:rsidR="00B80384">
        <w:rPr>
          <w:szCs w:val="24"/>
        </w:rPr>
        <w:t xml:space="preserve"> </w:t>
      </w:r>
      <w:r w:rsidRPr="00A50745" w:rsidR="00FB57AE">
        <w:rPr>
          <w:szCs w:val="24"/>
        </w:rPr>
        <w:t xml:space="preserve">the minimum stay </w:t>
      </w:r>
      <w:r w:rsidRPr="00A50745" w:rsidR="00B80384">
        <w:rPr>
          <w:szCs w:val="24"/>
        </w:rPr>
        <w:t xml:space="preserve">would </w:t>
      </w:r>
      <w:r w:rsidRPr="00A50745" w:rsidR="003771DC">
        <w:rPr>
          <w:szCs w:val="24"/>
        </w:rPr>
        <w:t xml:space="preserve">not </w:t>
      </w:r>
      <w:r w:rsidRPr="00A50745" w:rsidR="00B80384">
        <w:rPr>
          <w:szCs w:val="24"/>
        </w:rPr>
        <w:t xml:space="preserve">prevent </w:t>
      </w:r>
      <w:r w:rsidRPr="00A50745" w:rsidR="003771DC">
        <w:rPr>
          <w:szCs w:val="24"/>
        </w:rPr>
        <w:t xml:space="preserve">NOPEC’s </w:t>
      </w:r>
      <w:r w:rsidRPr="00A50745" w:rsidR="00B80384">
        <w:rPr>
          <w:szCs w:val="24"/>
        </w:rPr>
        <w:t>participation in the market this year</w:t>
      </w:r>
      <w:r w:rsidRPr="00A50745" w:rsidR="003771DC">
        <w:rPr>
          <w:szCs w:val="24"/>
        </w:rPr>
        <w:t>. NOPEC’s participation could</w:t>
      </w:r>
      <w:r w:rsidRPr="00A50745" w:rsidR="00B80384">
        <w:rPr>
          <w:szCs w:val="24"/>
        </w:rPr>
        <w:t xml:space="preserve"> give consumers alternative</w:t>
      </w:r>
      <w:r w:rsidRPr="00A50745" w:rsidR="003771DC">
        <w:rPr>
          <w:szCs w:val="24"/>
        </w:rPr>
        <w:t xml:space="preserve"> </w:t>
      </w:r>
      <w:r w:rsidRPr="00A50745" w:rsidR="00B80384">
        <w:rPr>
          <w:szCs w:val="24"/>
        </w:rPr>
        <w:t>choices during these times of soaring energy prices.</w:t>
      </w:r>
      <w:r w:rsidR="00A50745">
        <w:rPr>
          <w:szCs w:val="24"/>
        </w:rPr>
        <w:t xml:space="preserve"> </w:t>
      </w:r>
      <w:bookmarkEnd w:id="2"/>
      <w:r w:rsidRPr="00A50745">
        <w:rPr>
          <w:szCs w:val="24"/>
        </w:rPr>
        <w:t>As Ohio’s residential utility consumer advocate, OCC’s interests in this case are different than that of any other party.</w:t>
      </w:r>
    </w:p>
    <w:p w:rsidR="00736306" w:rsidRPr="00A50745" w:rsidP="00736306" w14:paraId="7B004140" w14:textId="131A05B9">
      <w:pPr>
        <w:pStyle w:val="Footer"/>
        <w:tabs>
          <w:tab w:val="clear" w:pos="4320"/>
          <w:tab w:val="clear" w:pos="8640"/>
        </w:tabs>
        <w:spacing w:line="480" w:lineRule="auto"/>
        <w:ind w:firstLine="720"/>
        <w:rPr>
          <w:sz w:val="24"/>
          <w:szCs w:val="24"/>
        </w:rPr>
      </w:pPr>
      <w:r w:rsidRPr="00A50745">
        <w:rPr>
          <w:sz w:val="24"/>
          <w:szCs w:val="24"/>
        </w:rPr>
        <w:t xml:space="preserve">Second, OCC’s advocacy for residential consumers will include, among other things, advancing the following position. </w:t>
      </w:r>
      <w:r w:rsidRPr="00A50745" w:rsidR="00EA0224">
        <w:rPr>
          <w:sz w:val="24"/>
          <w:szCs w:val="24"/>
        </w:rPr>
        <w:t>Prospectively, a</w:t>
      </w:r>
      <w:r w:rsidRPr="00A50745">
        <w:rPr>
          <w:sz w:val="24"/>
          <w:szCs w:val="24"/>
        </w:rPr>
        <w:t xml:space="preserve"> minimum stay requirement of reasonable length would have the consumer benefit of reducing uncertainty in the competitive market by limiting the re-enrollment and return of consumers from and to </w:t>
      </w:r>
      <w:r w:rsidRPr="00A50745" w:rsidR="006514B1">
        <w:rPr>
          <w:sz w:val="24"/>
          <w:szCs w:val="24"/>
        </w:rPr>
        <w:t xml:space="preserve">the </w:t>
      </w:r>
      <w:r w:rsidRPr="00A50745">
        <w:rPr>
          <w:sz w:val="24"/>
          <w:szCs w:val="24"/>
        </w:rPr>
        <w:t xml:space="preserve">FirstEnergy </w:t>
      </w:r>
      <w:r w:rsidRPr="00A50745" w:rsidR="006514B1">
        <w:rPr>
          <w:sz w:val="24"/>
          <w:szCs w:val="24"/>
        </w:rPr>
        <w:t>Utilities’</w:t>
      </w:r>
      <w:r w:rsidRPr="00A50745">
        <w:rPr>
          <w:sz w:val="24"/>
          <w:szCs w:val="24"/>
        </w:rPr>
        <w:t xml:space="preserve"> standard offer.</w:t>
      </w:r>
      <w:r w:rsidRPr="00A50745" w:rsidR="00522745">
        <w:rPr>
          <w:sz w:val="24"/>
          <w:szCs w:val="24"/>
        </w:rPr>
        <w:t xml:space="preserve"> And, with a prospective tariff implementation, NOPEC’s ability to re-enroll consumers from the standard-offers this year would </w:t>
      </w:r>
      <w:r w:rsidRPr="00A50745" w:rsidR="007A2DB3">
        <w:rPr>
          <w:sz w:val="24"/>
          <w:szCs w:val="24"/>
        </w:rPr>
        <w:t>not be prevented.</w:t>
      </w:r>
      <w:r w:rsidR="00A50745">
        <w:rPr>
          <w:sz w:val="24"/>
          <w:szCs w:val="24"/>
        </w:rPr>
        <w:t xml:space="preserve"> </w:t>
      </w:r>
      <w:r w:rsidRPr="00A50745" w:rsidR="003771DC">
        <w:rPr>
          <w:sz w:val="24"/>
          <w:szCs w:val="24"/>
        </w:rPr>
        <w:t>Th</w:t>
      </w:r>
      <w:r w:rsidRPr="00A50745" w:rsidR="003A51B5">
        <w:rPr>
          <w:sz w:val="24"/>
          <w:szCs w:val="24"/>
        </w:rPr>
        <w:t>ese results</w:t>
      </w:r>
      <w:r w:rsidRPr="00A50745" w:rsidR="003771DC">
        <w:rPr>
          <w:sz w:val="24"/>
          <w:szCs w:val="24"/>
        </w:rPr>
        <w:t xml:space="preserve"> in turn could moderate the prices that are the outcome of the standard-offer auctions.</w:t>
      </w:r>
      <w:r w:rsidR="00A50745">
        <w:rPr>
          <w:sz w:val="24"/>
          <w:szCs w:val="24"/>
        </w:rPr>
        <w:t xml:space="preserve"> </w:t>
      </w:r>
      <w:r w:rsidRPr="00A50745">
        <w:rPr>
          <w:sz w:val="24"/>
          <w:szCs w:val="24"/>
        </w:rPr>
        <w:t xml:space="preserve">OCC’s position is therefore directly related to the merits of the application to amend supplier tariffs to include a minimum stay. </w:t>
      </w:r>
    </w:p>
    <w:p w:rsidR="00A044B5" w:rsidRPr="00A50745" w:rsidP="00736306" w14:paraId="53D4228B" w14:textId="6933D1C9">
      <w:pPr>
        <w:pStyle w:val="BodyTextIndent3"/>
        <w:widowControl w:val="0"/>
        <w:spacing w:line="480" w:lineRule="auto"/>
        <w:ind w:right="-24"/>
        <w:rPr>
          <w:szCs w:val="24"/>
        </w:rPr>
      </w:pPr>
      <w:r w:rsidRPr="00A50745">
        <w:rPr>
          <w:szCs w:val="24"/>
        </w:rPr>
        <w:t>Third, OCC’s intervention will not unduly prolong or delay the proceedings.</w:t>
      </w:r>
      <w:r w:rsidR="00A50745">
        <w:rPr>
          <w:szCs w:val="24"/>
        </w:rPr>
        <w:t xml:space="preserve"> </w:t>
      </w:r>
      <w:r w:rsidRPr="00A50745">
        <w:rPr>
          <w:szCs w:val="24"/>
        </w:rPr>
        <w:t>OCC, with its longstanding expertise and experience in PUCO proceedings, will duly allow for the efficient processing of the case with consideration of the public interest.</w:t>
      </w:r>
    </w:p>
    <w:p w:rsidR="00A044B5" w:rsidRPr="00A50745" w14:paraId="0C3E16BA" w14:textId="77777777">
      <w:pPr>
        <w:pStyle w:val="Footer"/>
        <w:tabs>
          <w:tab w:val="clear" w:pos="4320"/>
          <w:tab w:val="clear" w:pos="8640"/>
        </w:tabs>
        <w:spacing w:line="480" w:lineRule="auto"/>
        <w:ind w:firstLine="720"/>
        <w:rPr>
          <w:sz w:val="24"/>
          <w:szCs w:val="24"/>
        </w:rPr>
      </w:pPr>
      <w:r w:rsidRPr="00A50745">
        <w:rPr>
          <w:sz w:val="24"/>
          <w:szCs w:val="24"/>
        </w:rPr>
        <w:t>Fourth, OCC’s intervention will significantly contribute to the full development and equitable res</w:t>
      </w:r>
      <w:r w:rsidRPr="00A50745" w:rsidR="002A4912">
        <w:rPr>
          <w:sz w:val="24"/>
          <w:szCs w:val="24"/>
        </w:rPr>
        <w:t xml:space="preserve">olution of the factual issues. </w:t>
      </w:r>
      <w:r w:rsidRPr="00A50745">
        <w:rPr>
          <w:sz w:val="24"/>
          <w:szCs w:val="24"/>
        </w:rPr>
        <w:t xml:space="preserve">OCC will obtain and develop information that the PUCO should consider for equitably and lawfully deciding the case in the public interest. </w:t>
      </w:r>
    </w:p>
    <w:p w:rsidR="00A044B5" w:rsidRPr="00A50745" w14:paraId="44FA8415" w14:textId="07D8F46B">
      <w:pPr>
        <w:pStyle w:val="WW-BodyTextIndent3"/>
        <w:widowControl w:val="0"/>
        <w:spacing w:line="480" w:lineRule="auto"/>
        <w:ind w:right="-24"/>
        <w:rPr>
          <w:szCs w:val="24"/>
        </w:rPr>
      </w:pPr>
      <w:r w:rsidRPr="00A50745">
        <w:rPr>
          <w:szCs w:val="24"/>
        </w:rPr>
        <w:t>OCC also satisfies the intervention criteria in the Ohio Administrative Code (which are subordinate to the criteria that OCC satisf</w:t>
      </w:r>
      <w:r w:rsidRPr="00A50745" w:rsidR="002A4912">
        <w:rPr>
          <w:szCs w:val="24"/>
        </w:rPr>
        <w:t xml:space="preserve">ies in the Ohio Revised Code). </w:t>
      </w:r>
      <w:r w:rsidRPr="00A50745">
        <w:rPr>
          <w:szCs w:val="24"/>
        </w:rPr>
        <w:t xml:space="preserve">To intervene, a party should have a “real and substantial interest” according to </w:t>
      </w:r>
      <w:r w:rsidRPr="00A50745" w:rsidR="006514B1">
        <w:rPr>
          <w:szCs w:val="24"/>
        </w:rPr>
        <w:t>O.A.C.</w:t>
      </w:r>
      <w:r w:rsidRPr="00A50745" w:rsidR="002A4912">
        <w:rPr>
          <w:szCs w:val="24"/>
        </w:rPr>
        <w:t xml:space="preserve"> 4901-1-11(A)(2). </w:t>
      </w:r>
      <w:r w:rsidRPr="00A50745">
        <w:rPr>
          <w:szCs w:val="24"/>
        </w:rPr>
        <w:t xml:space="preserve">As the advocate for residential utility </w:t>
      </w:r>
      <w:r w:rsidRPr="00A50745" w:rsidR="00566AEE">
        <w:rPr>
          <w:szCs w:val="24"/>
        </w:rPr>
        <w:t>consumers</w:t>
      </w:r>
      <w:r w:rsidRPr="00A50745">
        <w:rPr>
          <w:szCs w:val="24"/>
        </w:rPr>
        <w:t xml:space="preserve">, OCC has a </w:t>
      </w:r>
      <w:r w:rsidRPr="00A50745" w:rsidR="003878AB">
        <w:rPr>
          <w:szCs w:val="24"/>
        </w:rPr>
        <w:t xml:space="preserve">real and substantial interest in this case where </w:t>
      </w:r>
      <w:r w:rsidRPr="00A50745" w:rsidR="00257ED9">
        <w:rPr>
          <w:szCs w:val="24"/>
        </w:rPr>
        <w:t xml:space="preserve">the PUCO will determine how frequently </w:t>
      </w:r>
      <w:r w:rsidRPr="00A50745" w:rsidR="003878AB">
        <w:rPr>
          <w:szCs w:val="24"/>
        </w:rPr>
        <w:t xml:space="preserve">governmental </w:t>
      </w:r>
      <w:r w:rsidRPr="00A50745" w:rsidR="00AD313C">
        <w:rPr>
          <w:szCs w:val="24"/>
        </w:rPr>
        <w:t>aggregators</w:t>
      </w:r>
      <w:r w:rsidRPr="00A50745" w:rsidR="003878AB">
        <w:rPr>
          <w:szCs w:val="24"/>
        </w:rPr>
        <w:t xml:space="preserve"> </w:t>
      </w:r>
      <w:r w:rsidRPr="00A50745" w:rsidR="00257ED9">
        <w:rPr>
          <w:szCs w:val="24"/>
        </w:rPr>
        <w:t>can</w:t>
      </w:r>
      <w:r w:rsidRPr="00A50745" w:rsidR="003878AB">
        <w:rPr>
          <w:szCs w:val="24"/>
        </w:rPr>
        <w:t xml:space="preserve"> re</w:t>
      </w:r>
      <w:r w:rsidRPr="00A50745" w:rsidR="003A51B5">
        <w:rPr>
          <w:szCs w:val="24"/>
        </w:rPr>
        <w:t>-</w:t>
      </w:r>
      <w:r w:rsidRPr="00A50745" w:rsidR="003878AB">
        <w:rPr>
          <w:szCs w:val="24"/>
        </w:rPr>
        <w:t xml:space="preserve">enroll consumers </w:t>
      </w:r>
      <w:r w:rsidRPr="00A50745" w:rsidR="00AD313C">
        <w:rPr>
          <w:szCs w:val="24"/>
        </w:rPr>
        <w:t xml:space="preserve">they previously </w:t>
      </w:r>
      <w:r w:rsidRPr="00A50745" w:rsidR="007C0ABE">
        <w:rPr>
          <w:szCs w:val="24"/>
        </w:rPr>
        <w:t>returned to</w:t>
      </w:r>
      <w:r w:rsidRPr="00A50745" w:rsidR="003A51B5">
        <w:rPr>
          <w:szCs w:val="24"/>
        </w:rPr>
        <w:t xml:space="preserve"> the</w:t>
      </w:r>
      <w:r w:rsidRPr="00A50745" w:rsidR="007C0ABE">
        <w:rPr>
          <w:szCs w:val="24"/>
        </w:rPr>
        <w:t xml:space="preserve"> standard </w:t>
      </w:r>
      <w:r w:rsidRPr="00A50745" w:rsidR="00865414">
        <w:rPr>
          <w:szCs w:val="24"/>
        </w:rPr>
        <w:t xml:space="preserve">service </w:t>
      </w:r>
      <w:r w:rsidRPr="00A50745" w:rsidR="007C0ABE">
        <w:rPr>
          <w:szCs w:val="24"/>
        </w:rPr>
        <w:t>offer.</w:t>
      </w:r>
    </w:p>
    <w:p w:rsidR="00A044B5" w:rsidRPr="00A50745" w14:paraId="59AA0167" w14:textId="2A081BDF">
      <w:pPr>
        <w:pStyle w:val="BodyTextIndent3"/>
        <w:widowControl w:val="0"/>
        <w:spacing w:line="480" w:lineRule="auto"/>
        <w:ind w:right="-24"/>
        <w:rPr>
          <w:szCs w:val="24"/>
        </w:rPr>
      </w:pPr>
      <w:r w:rsidRPr="00A50745">
        <w:rPr>
          <w:szCs w:val="24"/>
        </w:rPr>
        <w:t xml:space="preserve">In addition, OCC meets the criteria of </w:t>
      </w:r>
      <w:r w:rsidRPr="00A50745" w:rsidR="006514B1">
        <w:rPr>
          <w:szCs w:val="24"/>
        </w:rPr>
        <w:t>O.A.C.</w:t>
      </w:r>
      <w:r w:rsidRPr="00A50745">
        <w:rPr>
          <w:szCs w:val="24"/>
        </w:rPr>
        <w:t xml:space="preserve"> 4901-1-11(B)(1)-(4).</w:t>
      </w:r>
      <w:r w:rsidR="00A50745">
        <w:rPr>
          <w:szCs w:val="24"/>
        </w:rPr>
        <w:t xml:space="preserve"> </w:t>
      </w:r>
      <w:r w:rsidRPr="00A50745">
        <w:rPr>
          <w:szCs w:val="24"/>
        </w:rPr>
        <w:t>These criteria mirror the statutory criteria in R.C. 4903.221(B) that OCC already has addressed and that OCC satisfies.</w:t>
      </w:r>
    </w:p>
    <w:p w:rsidR="00A044B5" w:rsidRPr="00A50745" w14:paraId="6A04BC35" w14:textId="2C9B28F0">
      <w:pPr>
        <w:pStyle w:val="BodyTextIndent3"/>
        <w:widowControl w:val="0"/>
        <w:spacing w:line="480" w:lineRule="auto"/>
        <w:ind w:right="-24"/>
        <w:rPr>
          <w:szCs w:val="24"/>
        </w:rPr>
      </w:pPr>
      <w:r w:rsidRPr="00A50745">
        <w:rPr>
          <w:szCs w:val="24"/>
        </w:rPr>
        <w:t>O.A.C. 4901-1-11(</w:t>
      </w:r>
      <w:r w:rsidRPr="00A50745" w:rsidR="00A5514C">
        <w:rPr>
          <w:szCs w:val="24"/>
        </w:rPr>
        <w:t>B)(5) states that the PUCO</w:t>
      </w:r>
      <w:r w:rsidRPr="00A50745">
        <w:rPr>
          <w:szCs w:val="24"/>
        </w:rPr>
        <w:t xml:space="preserve"> shall consider </w:t>
      </w:r>
      <w:r w:rsidRPr="00A50745" w:rsidR="00760DE9">
        <w:rPr>
          <w:szCs w:val="24"/>
        </w:rPr>
        <w:t xml:space="preserve">“The </w:t>
      </w:r>
      <w:r w:rsidRPr="00A50745">
        <w:rPr>
          <w:szCs w:val="24"/>
        </w:rPr>
        <w:t>extent to which the person’s interest is rep</w:t>
      </w:r>
      <w:r w:rsidRPr="00A50745" w:rsidR="002A4912">
        <w:rPr>
          <w:szCs w:val="24"/>
        </w:rPr>
        <w:t xml:space="preserve">resented by existing parties.” </w:t>
      </w:r>
      <w:r w:rsidRPr="00A50745">
        <w:rPr>
          <w:szCs w:val="24"/>
        </w:rPr>
        <w:t xml:space="preserve">While OCC does not concede the lawfulness of this criterion, OCC satisfies this criterion in that it uniquely has been designated as the state representative of the interests of Ohio’s </w:t>
      </w:r>
      <w:r w:rsidRPr="00A50745" w:rsidR="002A4912">
        <w:rPr>
          <w:szCs w:val="24"/>
        </w:rPr>
        <w:t xml:space="preserve">residential utility </w:t>
      </w:r>
      <w:r w:rsidRPr="00A50745" w:rsidR="00566AEE">
        <w:rPr>
          <w:szCs w:val="24"/>
        </w:rPr>
        <w:t>consumers</w:t>
      </w:r>
      <w:r w:rsidRPr="00A50745" w:rsidR="002A4912">
        <w:rPr>
          <w:szCs w:val="24"/>
        </w:rPr>
        <w:t xml:space="preserve">. </w:t>
      </w:r>
      <w:r w:rsidRPr="00A50745">
        <w:rPr>
          <w:szCs w:val="24"/>
        </w:rPr>
        <w:t>That interest is different from, and not represented by, any other entity in Ohio.</w:t>
      </w:r>
    </w:p>
    <w:p w:rsidR="00A044B5" w:rsidRPr="00A50745" w14:paraId="52B53DC1" w14:textId="79BC8B3C">
      <w:pPr>
        <w:pStyle w:val="WW-BodyTextIndent3"/>
        <w:widowControl w:val="0"/>
        <w:spacing w:line="480" w:lineRule="auto"/>
        <w:ind w:right="-24"/>
        <w:rPr>
          <w:szCs w:val="24"/>
        </w:rPr>
      </w:pPr>
      <w:r w:rsidRPr="00A50745">
        <w:rPr>
          <w:szCs w:val="24"/>
        </w:rPr>
        <w:t>Moreover, the Supreme Court of Ohio confirmed OCC’s right to intervene in PUCO proceedings, in deciding two appeals in which OCC claimed the PUCO erred</w:t>
      </w:r>
      <w:r w:rsidRPr="00A50745" w:rsidR="002A4912">
        <w:rPr>
          <w:szCs w:val="24"/>
        </w:rPr>
        <w:t xml:space="preserve"> by denying its interventions. </w:t>
      </w:r>
      <w:r w:rsidRPr="00A50745">
        <w:rPr>
          <w:szCs w:val="24"/>
        </w:rPr>
        <w:t>The Court found that the PUCO abused its discretion in denying OCC’s interventions and that OCC should have been granted intervention in both proceedings.</w:t>
      </w:r>
      <w:r>
        <w:rPr>
          <w:rStyle w:val="FootnoteReference"/>
          <w:szCs w:val="24"/>
        </w:rPr>
        <w:footnoteReference w:id="6"/>
      </w:r>
      <w:r w:rsidR="00A50745">
        <w:rPr>
          <w:szCs w:val="24"/>
        </w:rPr>
        <w:t xml:space="preserve"> </w:t>
      </w:r>
    </w:p>
    <w:p w:rsidR="00A044B5" w:rsidRPr="00A50745" w14:paraId="0E0F02A9" w14:textId="577E544E">
      <w:pPr>
        <w:spacing w:line="480" w:lineRule="auto"/>
        <w:ind w:firstLine="720"/>
        <w:rPr>
          <w:szCs w:val="24"/>
        </w:rPr>
      </w:pPr>
      <w:r w:rsidRPr="00A50745">
        <w:rPr>
          <w:szCs w:val="24"/>
        </w:rPr>
        <w:t xml:space="preserve">OCC meets the criteria set forth in R.C. 4903.221, </w:t>
      </w:r>
      <w:r w:rsidRPr="00A50745" w:rsidR="00215524">
        <w:rPr>
          <w:szCs w:val="24"/>
        </w:rPr>
        <w:t>O.A.C.</w:t>
      </w:r>
      <w:r w:rsidRPr="00A50745">
        <w:rPr>
          <w:szCs w:val="24"/>
        </w:rPr>
        <w:t xml:space="preserve"> 4901-1-11, and the precedent established by the Supreme C</w:t>
      </w:r>
      <w:r w:rsidRPr="00A50745" w:rsidR="002A4912">
        <w:rPr>
          <w:szCs w:val="24"/>
        </w:rPr>
        <w:t xml:space="preserve">ourt of Ohio for intervention. </w:t>
      </w:r>
      <w:r w:rsidRPr="00A50745">
        <w:rPr>
          <w:szCs w:val="24"/>
        </w:rPr>
        <w:t xml:space="preserve">On behalf of Ohio residential </w:t>
      </w:r>
      <w:r w:rsidRPr="00A50745" w:rsidR="00566AEE">
        <w:rPr>
          <w:szCs w:val="24"/>
        </w:rPr>
        <w:t>consumers</w:t>
      </w:r>
      <w:r w:rsidRPr="00A50745" w:rsidR="00A5514C">
        <w:rPr>
          <w:szCs w:val="24"/>
        </w:rPr>
        <w:t>, the PUCO</w:t>
      </w:r>
      <w:r w:rsidRPr="00A50745">
        <w:rPr>
          <w:szCs w:val="24"/>
        </w:rPr>
        <w:t xml:space="preserve"> should grant OCC’s Motion to Intervene.</w:t>
      </w:r>
    </w:p>
    <w:p w:rsidR="00102853" w:rsidRPr="00102853" w:rsidP="00102853" w14:paraId="2E7F62F8" w14:textId="2EA2C9BD">
      <w:pPr>
        <w:ind w:left="3960"/>
        <w:rPr>
          <w:rFonts w:eastAsia="Calibri"/>
          <w:szCs w:val="24"/>
        </w:rPr>
      </w:pPr>
      <w:r w:rsidRPr="00102853">
        <w:rPr>
          <w:rFonts w:eastAsia="Calibri"/>
          <w:szCs w:val="24"/>
        </w:rPr>
        <w:t>Respectfully submitted,</w:t>
      </w:r>
    </w:p>
    <w:p w:rsidR="00102853" w:rsidRPr="00102853" w:rsidP="00102853" w14:paraId="680490AB" w14:textId="77777777">
      <w:pPr>
        <w:ind w:left="3960"/>
        <w:rPr>
          <w:rFonts w:eastAsia="Calibri"/>
          <w:szCs w:val="24"/>
        </w:rPr>
      </w:pPr>
    </w:p>
    <w:p w:rsidR="00102853" w:rsidRPr="00102853" w:rsidP="00102853" w14:paraId="122EE264" w14:textId="77777777">
      <w:pPr>
        <w:tabs>
          <w:tab w:val="left" w:pos="4320"/>
        </w:tabs>
        <w:ind w:left="3960"/>
        <w:rPr>
          <w:szCs w:val="24"/>
        </w:rPr>
      </w:pPr>
      <w:r w:rsidRPr="00102853">
        <w:rPr>
          <w:szCs w:val="24"/>
        </w:rPr>
        <w:t>Bruce Weston (0016973)</w:t>
      </w:r>
    </w:p>
    <w:p w:rsidR="00102853" w:rsidRPr="00102853" w:rsidP="00102853" w14:paraId="2BAFC9E1" w14:textId="77777777">
      <w:pPr>
        <w:tabs>
          <w:tab w:val="left" w:pos="4320"/>
        </w:tabs>
        <w:ind w:left="3960"/>
        <w:rPr>
          <w:rFonts w:eastAsia="Calibri"/>
          <w:szCs w:val="24"/>
        </w:rPr>
      </w:pPr>
      <w:r w:rsidRPr="00102853">
        <w:rPr>
          <w:rFonts w:eastAsia="Calibri"/>
          <w:szCs w:val="24"/>
        </w:rPr>
        <w:t>Ohio Consumers’ Counsel</w:t>
      </w:r>
    </w:p>
    <w:p w:rsidR="00102853" w:rsidRPr="00102853" w:rsidP="00102853" w14:paraId="11E09562" w14:textId="77777777">
      <w:pPr>
        <w:tabs>
          <w:tab w:val="left" w:pos="4320"/>
        </w:tabs>
        <w:ind w:left="3960"/>
        <w:rPr>
          <w:rFonts w:eastAsia="Calibri"/>
          <w:szCs w:val="24"/>
        </w:rPr>
      </w:pPr>
    </w:p>
    <w:p w:rsidR="00102853" w:rsidRPr="00102853" w:rsidP="00102853" w14:paraId="6FCF7F81" w14:textId="77777777">
      <w:pPr>
        <w:tabs>
          <w:tab w:val="left" w:pos="4320"/>
        </w:tabs>
        <w:ind w:left="3960"/>
        <w:rPr>
          <w:rFonts w:eastAsia="Calibri"/>
          <w:szCs w:val="24"/>
        </w:rPr>
      </w:pPr>
      <w:r w:rsidRPr="00102853">
        <w:rPr>
          <w:rFonts w:eastAsia="Calibri"/>
          <w:i/>
          <w:szCs w:val="24"/>
          <w:u w:val="single"/>
        </w:rPr>
        <w:t>/s/ William J. Michael</w:t>
      </w:r>
    </w:p>
    <w:p w:rsidR="00102853" w:rsidRPr="00102853" w:rsidP="00102853" w14:paraId="065B6CD5" w14:textId="77777777">
      <w:pPr>
        <w:ind w:left="3960"/>
        <w:contextualSpacing/>
        <w:rPr>
          <w:szCs w:val="24"/>
        </w:rPr>
      </w:pPr>
      <w:r w:rsidRPr="00102853">
        <w:rPr>
          <w:szCs w:val="24"/>
        </w:rPr>
        <w:t>William J. Michael (0070921)</w:t>
      </w:r>
    </w:p>
    <w:p w:rsidR="00102853" w:rsidRPr="00102853" w:rsidP="00102853" w14:paraId="7C6AC951" w14:textId="77777777">
      <w:pPr>
        <w:autoSpaceDE w:val="0"/>
        <w:autoSpaceDN w:val="0"/>
        <w:adjustRightInd w:val="0"/>
        <w:ind w:left="3960"/>
        <w:contextualSpacing/>
        <w:rPr>
          <w:rFonts w:eastAsia="Calibri"/>
          <w:szCs w:val="24"/>
        </w:rPr>
      </w:pPr>
      <w:r w:rsidRPr="00102853">
        <w:rPr>
          <w:rFonts w:eastAsia="Calibri"/>
          <w:szCs w:val="24"/>
        </w:rPr>
        <w:t xml:space="preserve">Counsel of Record </w:t>
      </w:r>
    </w:p>
    <w:p w:rsidR="00102853" w:rsidRPr="00102853" w:rsidP="00102853" w14:paraId="27BA337F" w14:textId="77777777">
      <w:pPr>
        <w:autoSpaceDE w:val="0"/>
        <w:autoSpaceDN w:val="0"/>
        <w:adjustRightInd w:val="0"/>
        <w:ind w:left="3960"/>
        <w:contextualSpacing/>
        <w:rPr>
          <w:rFonts w:eastAsia="Calibri"/>
          <w:szCs w:val="24"/>
        </w:rPr>
      </w:pPr>
      <w:r w:rsidRPr="00102853">
        <w:rPr>
          <w:rFonts w:eastAsia="Calibri"/>
          <w:szCs w:val="24"/>
        </w:rPr>
        <w:t xml:space="preserve">Ambrosia E. Wilson (0096598) </w:t>
      </w:r>
    </w:p>
    <w:p w:rsidR="00102853" w:rsidRPr="00102853" w:rsidP="00102853" w14:paraId="2D564769" w14:textId="77777777">
      <w:pPr>
        <w:ind w:left="3960"/>
        <w:rPr>
          <w:rFonts w:eastAsia="Calibri"/>
          <w:szCs w:val="24"/>
        </w:rPr>
      </w:pPr>
      <w:r w:rsidRPr="00102853">
        <w:rPr>
          <w:rFonts w:eastAsia="Calibri"/>
          <w:szCs w:val="24"/>
        </w:rPr>
        <w:t>Connor D. Semple (0101102)</w:t>
      </w:r>
    </w:p>
    <w:p w:rsidR="00102853" w:rsidRPr="00102853" w:rsidP="00102853" w14:paraId="61FE4A6E" w14:textId="77777777">
      <w:pPr>
        <w:autoSpaceDE w:val="0"/>
        <w:autoSpaceDN w:val="0"/>
        <w:adjustRightInd w:val="0"/>
        <w:ind w:left="3960"/>
        <w:contextualSpacing/>
        <w:rPr>
          <w:rFonts w:eastAsia="Calibri"/>
          <w:szCs w:val="24"/>
        </w:rPr>
      </w:pPr>
      <w:r w:rsidRPr="00102853">
        <w:rPr>
          <w:rFonts w:eastAsia="Calibri"/>
          <w:szCs w:val="24"/>
        </w:rPr>
        <w:t xml:space="preserve">Assistant Consumers' Counsel </w:t>
      </w:r>
    </w:p>
    <w:p w:rsidR="00102853" w:rsidRPr="00102853" w:rsidP="00102853" w14:paraId="737A3C25" w14:textId="77777777">
      <w:pPr>
        <w:autoSpaceDE w:val="0"/>
        <w:autoSpaceDN w:val="0"/>
        <w:adjustRightInd w:val="0"/>
        <w:ind w:left="3960"/>
        <w:contextualSpacing/>
        <w:rPr>
          <w:rFonts w:eastAsia="Calibri"/>
          <w:szCs w:val="24"/>
        </w:rPr>
      </w:pPr>
    </w:p>
    <w:p w:rsidR="00102853" w:rsidRPr="00102853" w:rsidP="00102853" w14:paraId="33623DA5" w14:textId="77777777">
      <w:pPr>
        <w:ind w:left="3960"/>
        <w:rPr>
          <w:rFonts w:eastAsia="Calibri"/>
          <w:b/>
          <w:bCs/>
          <w:szCs w:val="24"/>
        </w:rPr>
      </w:pPr>
      <w:r w:rsidRPr="00102853">
        <w:rPr>
          <w:rFonts w:eastAsia="Calibri"/>
          <w:b/>
          <w:bCs/>
          <w:szCs w:val="24"/>
        </w:rPr>
        <w:t xml:space="preserve">Office of the Ohio Consumers' Counsel </w:t>
      </w:r>
    </w:p>
    <w:p w:rsidR="00102853" w:rsidRPr="00102853" w:rsidP="00102853" w14:paraId="5AE3B37D" w14:textId="77777777">
      <w:pPr>
        <w:autoSpaceDE w:val="0"/>
        <w:autoSpaceDN w:val="0"/>
        <w:adjustRightInd w:val="0"/>
        <w:ind w:left="3960"/>
        <w:contextualSpacing/>
        <w:rPr>
          <w:rFonts w:eastAsia="Calibri"/>
          <w:szCs w:val="24"/>
        </w:rPr>
      </w:pPr>
      <w:r w:rsidRPr="00102853">
        <w:rPr>
          <w:rFonts w:eastAsia="Calibri"/>
          <w:szCs w:val="24"/>
        </w:rPr>
        <w:t xml:space="preserve">65 East State Street, Suite 700 </w:t>
      </w:r>
    </w:p>
    <w:p w:rsidR="00102853" w:rsidRPr="00102853" w:rsidP="00102853" w14:paraId="6C69A65D" w14:textId="77777777">
      <w:pPr>
        <w:autoSpaceDE w:val="0"/>
        <w:autoSpaceDN w:val="0"/>
        <w:adjustRightInd w:val="0"/>
        <w:ind w:left="3960"/>
        <w:contextualSpacing/>
        <w:rPr>
          <w:szCs w:val="24"/>
        </w:rPr>
      </w:pPr>
      <w:r w:rsidRPr="00102853">
        <w:rPr>
          <w:rFonts w:eastAsia="Calibri"/>
          <w:szCs w:val="24"/>
        </w:rPr>
        <w:t>Columbus, Ohio 43215</w:t>
      </w:r>
    </w:p>
    <w:p w:rsidR="00102853" w:rsidRPr="00102853" w:rsidP="00102853" w14:paraId="2C202377" w14:textId="77777777">
      <w:pPr>
        <w:autoSpaceDE w:val="0"/>
        <w:autoSpaceDN w:val="0"/>
        <w:adjustRightInd w:val="0"/>
        <w:ind w:left="3960"/>
        <w:contextualSpacing/>
        <w:rPr>
          <w:szCs w:val="24"/>
        </w:rPr>
      </w:pPr>
      <w:r w:rsidRPr="00102853">
        <w:rPr>
          <w:szCs w:val="24"/>
        </w:rPr>
        <w:t>Telephone [Michael]: (614) 466-1291</w:t>
      </w:r>
    </w:p>
    <w:p w:rsidR="00102853" w:rsidRPr="00102853" w:rsidP="00102853" w14:paraId="67FD5270" w14:textId="77777777">
      <w:pPr>
        <w:ind w:left="3960"/>
        <w:rPr>
          <w:rFonts w:eastAsia="Calibri"/>
          <w:szCs w:val="24"/>
        </w:rPr>
      </w:pPr>
      <w:r w:rsidRPr="00102853">
        <w:rPr>
          <w:rFonts w:eastAsia="Calibri"/>
          <w:szCs w:val="24"/>
        </w:rPr>
        <w:t xml:space="preserve">Telephone [Wilson]: (614) 466-1292 </w:t>
      </w:r>
    </w:p>
    <w:p w:rsidR="00102853" w:rsidRPr="00102853" w:rsidP="00102853" w14:paraId="7C507417" w14:textId="77777777">
      <w:pPr>
        <w:autoSpaceDE w:val="0"/>
        <w:autoSpaceDN w:val="0"/>
        <w:adjustRightInd w:val="0"/>
        <w:ind w:left="3960"/>
        <w:rPr>
          <w:rFonts w:eastAsia="Calibri"/>
          <w:szCs w:val="24"/>
        </w:rPr>
      </w:pPr>
      <w:r w:rsidRPr="00102853">
        <w:rPr>
          <w:rFonts w:eastAsia="Calibri"/>
          <w:szCs w:val="24"/>
        </w:rPr>
        <w:t>Telephone [Semple]: (614) 466-9565</w:t>
      </w:r>
    </w:p>
    <w:p w:rsidR="00102853" w:rsidRPr="00102853" w:rsidP="00102853" w14:paraId="35829BA7" w14:textId="77777777">
      <w:pPr>
        <w:ind w:left="3960"/>
        <w:rPr>
          <w:color w:val="0000FF"/>
          <w:szCs w:val="24"/>
          <w:u w:val="single"/>
        </w:rPr>
      </w:pPr>
      <w:hyperlink r:id="rId6" w:history="1">
        <w:r w:rsidRPr="00102853" w:rsidR="00595E81">
          <w:rPr>
            <w:color w:val="0000FF"/>
            <w:szCs w:val="24"/>
            <w:u w:val="single"/>
          </w:rPr>
          <w:t>william.michael@occ.ohio.gov</w:t>
        </w:r>
      </w:hyperlink>
    </w:p>
    <w:p w:rsidR="00102853" w:rsidRPr="00102853" w:rsidP="00102853" w14:paraId="6E9A34E6" w14:textId="77777777">
      <w:pPr>
        <w:autoSpaceDE w:val="0"/>
        <w:autoSpaceDN w:val="0"/>
        <w:adjustRightInd w:val="0"/>
        <w:ind w:left="3960"/>
        <w:contextualSpacing/>
        <w:rPr>
          <w:rFonts w:eastAsia="Calibri"/>
          <w:szCs w:val="24"/>
        </w:rPr>
      </w:pPr>
      <w:hyperlink r:id="rId12" w:history="1">
        <w:r w:rsidRPr="00102853" w:rsidR="00595E81">
          <w:rPr>
            <w:rFonts w:eastAsia="Calibri"/>
            <w:color w:val="0000FF"/>
            <w:szCs w:val="24"/>
            <w:u w:val="single"/>
          </w:rPr>
          <w:t>ambrosia.wilson@occ.ohio.gov</w:t>
        </w:r>
      </w:hyperlink>
      <w:r w:rsidRPr="00102853" w:rsidR="00595E81">
        <w:rPr>
          <w:rFonts w:eastAsia="Calibri"/>
          <w:szCs w:val="24"/>
        </w:rPr>
        <w:t xml:space="preserve"> </w:t>
      </w:r>
    </w:p>
    <w:p w:rsidR="00102853" w:rsidRPr="00102853" w:rsidP="00102853" w14:paraId="2CEC5697" w14:textId="77777777">
      <w:pPr>
        <w:ind w:left="3960"/>
        <w:jc w:val="both"/>
        <w:rPr>
          <w:rFonts w:eastAsia="Calibri"/>
          <w:szCs w:val="24"/>
        </w:rPr>
      </w:pPr>
      <w:hyperlink r:id="rId8" w:history="1">
        <w:r w:rsidRPr="00102853" w:rsidR="00595E81">
          <w:rPr>
            <w:rFonts w:eastAsia="Calibri"/>
            <w:color w:val="0000FF"/>
            <w:szCs w:val="24"/>
            <w:u w:val="single"/>
          </w:rPr>
          <w:t>connor.semple@occ.ohio.gov</w:t>
        </w:r>
      </w:hyperlink>
    </w:p>
    <w:p w:rsidR="00102853" w:rsidRPr="00102853" w:rsidP="00102853" w14:paraId="01C29C3A" w14:textId="77777777">
      <w:pPr>
        <w:tabs>
          <w:tab w:val="left" w:pos="937"/>
        </w:tabs>
        <w:spacing w:after="160" w:line="259" w:lineRule="auto"/>
        <w:ind w:left="3960"/>
        <w:rPr>
          <w:rFonts w:eastAsia="Calibri"/>
          <w:szCs w:val="24"/>
        </w:rPr>
      </w:pPr>
      <w:r w:rsidRPr="00102853">
        <w:rPr>
          <w:rFonts w:eastAsia="Calibri"/>
          <w:szCs w:val="24"/>
        </w:rPr>
        <w:t>(willing to accept service by e-mail)</w:t>
      </w:r>
    </w:p>
    <w:p w:rsidR="00A044B5" w:rsidRPr="00A50745" w:rsidP="00102853" w14:paraId="4072AFFC" w14:textId="21F0077B">
      <w:pPr>
        <w:pStyle w:val="BodyTextIndent3"/>
        <w:widowControl w:val="0"/>
        <w:spacing w:line="480" w:lineRule="auto"/>
        <w:ind w:left="3600" w:right="-672" w:firstLine="0"/>
        <w:rPr>
          <w:szCs w:val="24"/>
        </w:rPr>
      </w:pPr>
    </w:p>
    <w:p w:rsidR="00A044B5" w:rsidRPr="00A50745" w14:paraId="0AD63FD3" w14:textId="77777777">
      <w:pPr>
        <w:rPr>
          <w:szCs w:val="24"/>
        </w:rPr>
      </w:pPr>
      <w:r w:rsidRPr="00A50745">
        <w:rPr>
          <w:szCs w:val="24"/>
        </w:rPr>
        <w:tab/>
      </w:r>
      <w:r w:rsidRPr="00A50745">
        <w:rPr>
          <w:szCs w:val="24"/>
        </w:rPr>
        <w:tab/>
      </w:r>
      <w:r w:rsidRPr="00A50745">
        <w:rPr>
          <w:szCs w:val="24"/>
        </w:rPr>
        <w:tab/>
      </w:r>
      <w:r w:rsidRPr="00A50745">
        <w:rPr>
          <w:szCs w:val="24"/>
        </w:rPr>
        <w:tab/>
      </w:r>
      <w:r w:rsidRPr="00A50745">
        <w:rPr>
          <w:szCs w:val="24"/>
        </w:rPr>
        <w:tab/>
      </w:r>
      <w:r w:rsidRPr="00A50745">
        <w:rPr>
          <w:szCs w:val="24"/>
        </w:rPr>
        <w:tab/>
      </w:r>
    </w:p>
    <w:p w:rsidR="00A044B5" w:rsidRPr="00A50745" w14:paraId="585B3CFF" w14:textId="77777777">
      <w:pPr>
        <w:jc w:val="center"/>
        <w:rPr>
          <w:b/>
          <w:bCs/>
          <w:szCs w:val="24"/>
          <w:u w:val="single"/>
        </w:rPr>
      </w:pPr>
      <w:r w:rsidRPr="00A50745">
        <w:rPr>
          <w:szCs w:val="24"/>
        </w:rPr>
        <w:br w:type="page"/>
      </w:r>
      <w:r w:rsidRPr="00A50745">
        <w:rPr>
          <w:b/>
          <w:bCs/>
          <w:szCs w:val="24"/>
          <w:u w:val="single"/>
        </w:rPr>
        <w:t>CERTIFICATE OF SERVICE</w:t>
      </w:r>
    </w:p>
    <w:p w:rsidR="00A044B5" w:rsidRPr="00A50745" w14:paraId="3F3FD715" w14:textId="3E7DFEA9">
      <w:pPr>
        <w:spacing w:line="480" w:lineRule="atLeast"/>
        <w:rPr>
          <w:szCs w:val="24"/>
        </w:rPr>
      </w:pPr>
      <w:r w:rsidRPr="00A50745">
        <w:rPr>
          <w:szCs w:val="24"/>
        </w:rPr>
        <w:tab/>
        <w:t xml:space="preserve">I hereby certify that a copy of </w:t>
      </w:r>
      <w:r w:rsidRPr="00264882">
        <w:rPr>
          <w:szCs w:val="24"/>
        </w:rPr>
        <w:t>this Motion to Intervene was served on the persons stated below via</w:t>
      </w:r>
      <w:r w:rsidRPr="00264882" w:rsidR="002A4912">
        <w:rPr>
          <w:szCs w:val="24"/>
        </w:rPr>
        <w:t xml:space="preserve"> electronic transmission</w:t>
      </w:r>
      <w:r w:rsidRPr="00264882">
        <w:rPr>
          <w:szCs w:val="24"/>
        </w:rPr>
        <w:t xml:space="preserve">, this </w:t>
      </w:r>
      <w:r w:rsidR="00264882">
        <w:rPr>
          <w:szCs w:val="24"/>
        </w:rPr>
        <w:t>6</w:t>
      </w:r>
      <w:r w:rsidRPr="00264882" w:rsidR="00264882">
        <w:rPr>
          <w:szCs w:val="24"/>
          <w:vertAlign w:val="superscript"/>
        </w:rPr>
        <w:t>th</w:t>
      </w:r>
      <w:r w:rsidR="00264882">
        <w:rPr>
          <w:szCs w:val="24"/>
        </w:rPr>
        <w:t xml:space="preserve"> </w:t>
      </w:r>
      <w:r w:rsidRPr="00264882">
        <w:rPr>
          <w:szCs w:val="24"/>
        </w:rPr>
        <w:t>day</w:t>
      </w:r>
      <w:r w:rsidRPr="00A50745">
        <w:rPr>
          <w:szCs w:val="24"/>
        </w:rPr>
        <w:t xml:space="preserve"> of </w:t>
      </w:r>
      <w:r w:rsidR="00264882">
        <w:rPr>
          <w:szCs w:val="24"/>
        </w:rPr>
        <w:t>January</w:t>
      </w:r>
      <w:r w:rsidRPr="00A50745">
        <w:rPr>
          <w:szCs w:val="24"/>
        </w:rPr>
        <w:t xml:space="preserve"> 20</w:t>
      </w:r>
      <w:r w:rsidRPr="00A50745" w:rsidR="002354D4">
        <w:rPr>
          <w:szCs w:val="24"/>
        </w:rPr>
        <w:t>2</w:t>
      </w:r>
      <w:r w:rsidR="00B27DE5">
        <w:rPr>
          <w:szCs w:val="24"/>
        </w:rPr>
        <w:t>3</w:t>
      </w:r>
      <w:r w:rsidRPr="00A50745">
        <w:rPr>
          <w:szCs w:val="24"/>
        </w:rPr>
        <w:t>.</w:t>
      </w:r>
    </w:p>
    <w:p w:rsidR="00A044B5" w:rsidRPr="00A50745" w:rsidP="00B27DE5" w14:paraId="0F2B0F4F" w14:textId="77777777">
      <w:pPr>
        <w:rPr>
          <w:szCs w:val="24"/>
        </w:rPr>
      </w:pPr>
    </w:p>
    <w:p w:rsidR="00A044B5" w:rsidRPr="00A50745" w14:paraId="01F6F28A" w14:textId="4CC36FB1">
      <w:pPr>
        <w:tabs>
          <w:tab w:val="left" w:pos="4320"/>
        </w:tabs>
        <w:rPr>
          <w:i/>
          <w:iCs/>
          <w:szCs w:val="24"/>
          <w:u w:val="single"/>
        </w:rPr>
      </w:pPr>
      <w:r w:rsidRPr="00A50745">
        <w:rPr>
          <w:szCs w:val="24"/>
        </w:rPr>
        <w:tab/>
      </w:r>
      <w:r w:rsidRPr="00A50745" w:rsidR="002354D4">
        <w:rPr>
          <w:i/>
          <w:iCs/>
          <w:szCs w:val="24"/>
          <w:u w:val="single"/>
        </w:rPr>
        <w:t xml:space="preserve">/s/ </w:t>
      </w:r>
      <w:r w:rsidRPr="00A50745" w:rsidR="008D52FF">
        <w:rPr>
          <w:i/>
          <w:iCs/>
          <w:szCs w:val="24"/>
          <w:u w:val="single"/>
        </w:rPr>
        <w:t>William J. Michael</w:t>
      </w:r>
    </w:p>
    <w:p w:rsidR="00A044B5" w:rsidRPr="00A50745" w14:paraId="79C34B61" w14:textId="77777777">
      <w:pPr>
        <w:tabs>
          <w:tab w:val="left" w:pos="4320"/>
        </w:tabs>
        <w:rPr>
          <w:szCs w:val="24"/>
        </w:rPr>
      </w:pPr>
      <w:r w:rsidRPr="00A50745">
        <w:rPr>
          <w:szCs w:val="24"/>
        </w:rPr>
        <w:tab/>
      </w:r>
      <w:r w:rsidRPr="00A50745" w:rsidR="008D52FF">
        <w:rPr>
          <w:szCs w:val="24"/>
        </w:rPr>
        <w:t>William J. Michael</w:t>
      </w:r>
    </w:p>
    <w:p w:rsidR="00A044B5" w14:paraId="542FD1BC" w14:textId="1C34FC39">
      <w:pPr>
        <w:tabs>
          <w:tab w:val="left" w:pos="4320"/>
        </w:tabs>
        <w:rPr>
          <w:szCs w:val="24"/>
        </w:rPr>
      </w:pPr>
      <w:r w:rsidRPr="00A50745">
        <w:rPr>
          <w:szCs w:val="24"/>
        </w:rPr>
        <w:tab/>
        <w:t>Assistant Consumers’ Counsel</w:t>
      </w:r>
    </w:p>
    <w:p w:rsidR="004D36AE" w:rsidRPr="00A50745" w14:paraId="37BCCAA2" w14:textId="77777777">
      <w:pPr>
        <w:tabs>
          <w:tab w:val="left" w:pos="4320"/>
        </w:tabs>
        <w:rPr>
          <w:szCs w:val="24"/>
        </w:rPr>
      </w:pPr>
    </w:p>
    <w:p w:rsidR="00A044B5" w:rsidRPr="00A50745" w:rsidP="004D36AE" w14:paraId="498DEFB0" w14:textId="372EDF30">
      <w:pPr>
        <w:pStyle w:val="CommentText"/>
      </w:pPr>
      <w:r w:rsidRPr="00DA0016">
        <w:t>The PUCO’s e-filing system will electronically serve notice of the filing of this document on the following parties:</w:t>
      </w:r>
    </w:p>
    <w:p w:rsidR="00A044B5" w:rsidRPr="00A50745" w14:paraId="65311D55" w14:textId="77777777">
      <w:pPr>
        <w:pStyle w:val="CommentText"/>
      </w:pPr>
    </w:p>
    <w:p w:rsidR="00A044B5" w14:paraId="283F4363" w14:textId="28F537F5">
      <w:pPr>
        <w:pStyle w:val="CommentText"/>
        <w:jc w:val="center"/>
        <w:rPr>
          <w:b/>
          <w:u w:val="single"/>
        </w:rPr>
      </w:pPr>
      <w:r w:rsidRPr="00A50745">
        <w:rPr>
          <w:b/>
          <w:u w:val="single"/>
        </w:rPr>
        <w:t>SERVICE LIST</w:t>
      </w:r>
    </w:p>
    <w:p w:rsidR="005803F3" w:rsidRPr="00A50745" w14:paraId="627077C3" w14:textId="77777777">
      <w:pPr>
        <w:pStyle w:val="CommentText"/>
        <w:jc w:val="center"/>
        <w:rPr>
          <w:b/>
          <w:u w:val="single"/>
        </w:rPr>
      </w:pPr>
    </w:p>
    <w:tbl>
      <w:tblPr>
        <w:tblW w:w="0" w:type="auto"/>
        <w:tblLook w:val="01E0"/>
      </w:tblPr>
      <w:tblGrid>
        <w:gridCol w:w="4327"/>
        <w:gridCol w:w="4313"/>
      </w:tblGrid>
      <w:tr w14:paraId="3FF8770D" w14:textId="77777777" w:rsidTr="004D36AE">
        <w:tblPrEx>
          <w:tblW w:w="0" w:type="auto"/>
          <w:tblLook w:val="01E0"/>
        </w:tblPrEx>
        <w:tc>
          <w:tcPr>
            <w:tcW w:w="4327" w:type="dxa"/>
            <w:shd w:val="clear" w:color="auto" w:fill="auto"/>
          </w:tcPr>
          <w:p w:rsidR="004D79B8" w:rsidRPr="00576F00" w:rsidP="00C94D3B" w14:paraId="0B527C43" w14:textId="76E4E2F7">
            <w:pPr>
              <w:autoSpaceDE w:val="0"/>
              <w:autoSpaceDN w:val="0"/>
              <w:adjustRightInd w:val="0"/>
              <w:rPr>
                <w:color w:val="0000FF"/>
              </w:rPr>
            </w:pPr>
            <w:hyperlink r:id="rId13" w:history="1">
              <w:r w:rsidRPr="00576F00" w:rsidR="00595E81">
                <w:rPr>
                  <w:rStyle w:val="Hyperlink"/>
                </w:rPr>
                <w:t>j</w:t>
              </w:r>
              <w:r w:rsidRPr="00E4412D" w:rsidR="00595E81">
                <w:rPr>
                  <w:rStyle w:val="Hyperlink"/>
                  <w:bCs/>
                </w:rPr>
                <w:t>ohn.jones@ohioAGO.gov</w:t>
              </w:r>
            </w:hyperlink>
          </w:p>
          <w:p w:rsidR="004D79B8" w:rsidP="00C94D3B" w14:paraId="7675C16C" w14:textId="77777777">
            <w:pPr>
              <w:autoSpaceDE w:val="0"/>
              <w:autoSpaceDN w:val="0"/>
              <w:adjustRightInd w:val="0"/>
              <w:rPr>
                <w:bCs/>
              </w:rPr>
            </w:pPr>
          </w:p>
          <w:p w:rsidR="004D79B8" w:rsidP="00C94D3B" w14:paraId="1E8A3716" w14:textId="77777777">
            <w:pPr>
              <w:autoSpaceDE w:val="0"/>
              <w:autoSpaceDN w:val="0"/>
              <w:adjustRightInd w:val="0"/>
              <w:rPr>
                <w:bCs/>
              </w:rPr>
            </w:pPr>
            <w:r>
              <w:rPr>
                <w:bCs/>
              </w:rPr>
              <w:t>Attorney Examiner:</w:t>
            </w:r>
          </w:p>
          <w:p w:rsidR="004D79B8" w:rsidRPr="00576F00" w:rsidP="00C94D3B" w14:paraId="376FFB5E" w14:textId="77777777">
            <w:pPr>
              <w:autoSpaceDE w:val="0"/>
              <w:autoSpaceDN w:val="0"/>
              <w:adjustRightInd w:val="0"/>
              <w:rPr>
                <w:bCs/>
                <w:color w:val="0000FF"/>
              </w:rPr>
            </w:pPr>
            <w:hyperlink r:id="rId14" w:history="1">
              <w:r w:rsidRPr="00576F00" w:rsidR="00595E81">
                <w:rPr>
                  <w:rStyle w:val="Hyperlink"/>
                  <w:bCs/>
                </w:rPr>
                <w:t>jacqueline.st.john@puco.ohio.gov</w:t>
              </w:r>
            </w:hyperlink>
          </w:p>
          <w:p w:rsidR="004D79B8" w:rsidRPr="00E4412D" w:rsidP="00C94D3B" w14:paraId="5E0B1DB6" w14:textId="77777777">
            <w:pPr>
              <w:autoSpaceDE w:val="0"/>
              <w:autoSpaceDN w:val="0"/>
              <w:adjustRightInd w:val="0"/>
              <w:rPr>
                <w:bCs/>
              </w:rPr>
            </w:pPr>
          </w:p>
          <w:p w:rsidR="004D79B8" w:rsidRPr="00E4412D" w:rsidP="00C94D3B" w14:paraId="6B7FC3C7" w14:textId="77777777">
            <w:pPr>
              <w:autoSpaceDE w:val="0"/>
              <w:autoSpaceDN w:val="0"/>
              <w:adjustRightInd w:val="0"/>
              <w:rPr>
                <w:bCs/>
              </w:rPr>
            </w:pPr>
          </w:p>
        </w:tc>
        <w:tc>
          <w:tcPr>
            <w:tcW w:w="4313" w:type="dxa"/>
            <w:shd w:val="clear" w:color="auto" w:fill="auto"/>
          </w:tcPr>
          <w:p w:rsidR="004D79B8" w:rsidRPr="00576F00" w:rsidP="00C94D3B" w14:paraId="1F86A261" w14:textId="77777777">
            <w:pPr>
              <w:jc w:val="both"/>
              <w:rPr>
                <w:bCs/>
                <w:color w:val="0000FF"/>
              </w:rPr>
            </w:pPr>
            <w:hyperlink r:id="rId15" w:history="1">
              <w:r w:rsidRPr="00576F00" w:rsidR="00595E81">
                <w:rPr>
                  <w:rStyle w:val="Hyperlink"/>
                  <w:bCs/>
                </w:rPr>
                <w:t>cwatchorn@firstenergycorp.com</w:t>
              </w:r>
            </w:hyperlink>
          </w:p>
          <w:p w:rsidR="004D79B8" w:rsidP="00C94D3B" w14:paraId="0B102B19" w14:textId="77777777">
            <w:pPr>
              <w:jc w:val="both"/>
              <w:rPr>
                <w:bCs/>
              </w:rPr>
            </w:pPr>
          </w:p>
          <w:p w:rsidR="004D79B8" w:rsidRPr="00E4412D" w:rsidP="00C94D3B" w14:paraId="065218FB" w14:textId="77777777">
            <w:pPr>
              <w:jc w:val="both"/>
              <w:rPr>
                <w:bCs/>
              </w:rPr>
            </w:pPr>
          </w:p>
          <w:p w:rsidR="004D79B8" w:rsidRPr="00E4412D" w:rsidP="00C94D3B" w14:paraId="1694FFD2" w14:textId="77777777">
            <w:pPr>
              <w:jc w:val="both"/>
              <w:rPr>
                <w:bCs/>
              </w:rPr>
            </w:pPr>
          </w:p>
          <w:p w:rsidR="004D79B8" w:rsidRPr="00E4412D" w:rsidP="00C94D3B" w14:paraId="6D26DC53" w14:textId="77777777">
            <w:pPr>
              <w:jc w:val="both"/>
              <w:rPr>
                <w:bCs/>
              </w:rPr>
            </w:pPr>
          </w:p>
          <w:p w:rsidR="004D79B8" w:rsidRPr="00E4412D" w:rsidP="00C94D3B" w14:paraId="06DF4F79" w14:textId="77777777">
            <w:pPr>
              <w:jc w:val="both"/>
              <w:rPr>
                <w:bCs/>
              </w:rPr>
            </w:pPr>
          </w:p>
        </w:tc>
      </w:tr>
    </w:tbl>
    <w:p w:rsidR="00A044B5" w:rsidRPr="00A50745" w14:paraId="0A5C743B" w14:textId="77777777">
      <w:pPr>
        <w:pStyle w:val="BodyText"/>
        <w:rPr>
          <w:b/>
          <w:bCs/>
          <w:szCs w:val="24"/>
        </w:rPr>
      </w:pPr>
    </w:p>
    <w:sectPr w:rsidSect="00E910FF">
      <w:headerReference w:type="even" r:id="rId16"/>
      <w:headerReference w:type="default" r:id="rId17"/>
      <w:footerReference w:type="default" r:id="rId18"/>
      <w:headerReference w:type="first" r:id="rId19"/>
      <w:footerReference w:type="first" r:id="rId20"/>
      <w:pgSz w:w="12240" w:h="15840"/>
      <w:pgMar w:top="1440" w:right="1800" w:bottom="1440" w:left="180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C3DE6B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4DC948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9207271"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201526">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3223218"/>
      <w:docPartObj>
        <w:docPartGallery w:val="Page Numbers (Bottom of Page)"/>
        <w:docPartUnique/>
      </w:docPartObj>
    </w:sdtPr>
    <w:sdtEndPr>
      <w:rPr>
        <w:noProof/>
        <w:sz w:val="24"/>
        <w:szCs w:val="24"/>
      </w:rPr>
    </w:sdtEndPr>
    <w:sdtContent>
      <w:p w:rsidR="00E910FF" w:rsidRPr="00E910FF" w14:paraId="096241C5" w14:textId="181E837C">
        <w:pPr>
          <w:pStyle w:val="Footer"/>
          <w:jc w:val="center"/>
          <w:rPr>
            <w:sz w:val="24"/>
            <w:szCs w:val="24"/>
          </w:rPr>
        </w:pPr>
        <w:r w:rsidRPr="00E910FF">
          <w:rPr>
            <w:sz w:val="24"/>
            <w:szCs w:val="24"/>
          </w:rPr>
          <w:fldChar w:fldCharType="begin"/>
        </w:r>
        <w:r w:rsidRPr="00E910FF">
          <w:rPr>
            <w:sz w:val="24"/>
            <w:szCs w:val="24"/>
          </w:rPr>
          <w:instrText xml:space="preserve"> PAGE   \* MERGEFORMAT </w:instrText>
        </w:r>
        <w:r w:rsidRPr="00E910FF">
          <w:rPr>
            <w:sz w:val="24"/>
            <w:szCs w:val="24"/>
          </w:rPr>
          <w:fldChar w:fldCharType="separate"/>
        </w:r>
        <w:r w:rsidRPr="00E910FF">
          <w:rPr>
            <w:noProof/>
            <w:sz w:val="24"/>
            <w:szCs w:val="24"/>
          </w:rPr>
          <w:t>2</w:t>
        </w:r>
        <w:r w:rsidRPr="00E910FF">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58CFF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7311" w14:paraId="311C3FCF" w14:textId="77777777">
      <w:r>
        <w:separator/>
      </w:r>
    </w:p>
  </w:footnote>
  <w:footnote w:type="continuationSeparator" w:id="1">
    <w:p w:rsidR="00567311" w14:paraId="653968CA" w14:textId="77777777">
      <w:r>
        <w:continuationSeparator/>
      </w:r>
    </w:p>
  </w:footnote>
  <w:footnote w:id="2">
    <w:p w:rsidR="00A0158E" w:rsidP="00530A7B" w14:paraId="15AD54AD" w14:textId="60AFC159">
      <w:pPr>
        <w:pStyle w:val="FootnoteText"/>
        <w:spacing w:after="120"/>
      </w:pPr>
      <w:r>
        <w:rPr>
          <w:rStyle w:val="FootnoteReference"/>
        </w:rPr>
        <w:footnoteRef/>
      </w:r>
      <w:r>
        <w:t xml:space="preserve"> </w:t>
      </w:r>
      <w:r>
        <w:rPr>
          <w:i/>
        </w:rPr>
        <w:t>See</w:t>
      </w:r>
      <w:r>
        <w:t xml:space="preserve"> R.C. Chapter 4911, R.C. 4903.221 and </w:t>
      </w:r>
      <w:r w:rsidR="006514B1">
        <w:t>O.A.C.</w:t>
      </w:r>
      <w:r>
        <w:t xml:space="preserve"> 4901-1-11.</w:t>
      </w:r>
    </w:p>
  </w:footnote>
  <w:footnote w:id="3">
    <w:p w:rsidR="00250C8F" w:rsidRPr="00A71817" w:rsidP="00530A7B" w14:paraId="3596324D" w14:textId="51996BF7">
      <w:pPr>
        <w:pStyle w:val="FootnoteText"/>
        <w:spacing w:after="120"/>
      </w:pPr>
      <w:r>
        <w:rPr>
          <w:rStyle w:val="FootnoteReference"/>
        </w:rPr>
        <w:footnoteRef/>
      </w:r>
      <w:r>
        <w:t xml:space="preserve"> </w:t>
      </w:r>
      <w:r>
        <w:rPr>
          <w:i/>
          <w:iCs/>
        </w:rPr>
        <w:t xml:space="preserve">See, e.g., </w:t>
      </w:r>
      <w:r>
        <w:t>FirstEnergy’s Applications, Exhibits (effective date of “TBD”).</w:t>
      </w:r>
    </w:p>
  </w:footnote>
  <w:footnote w:id="4">
    <w:p w:rsidR="00AD313C" w:rsidP="00530A7B" w14:paraId="5E147934" w14:textId="77777777">
      <w:pPr>
        <w:pStyle w:val="FootnoteText"/>
        <w:spacing w:after="120"/>
      </w:pPr>
      <w:r>
        <w:rPr>
          <w:rStyle w:val="FootnoteReference"/>
        </w:rPr>
        <w:footnoteRef/>
      </w:r>
      <w:r>
        <w:t xml:space="preserve"> Application at 1.</w:t>
      </w:r>
    </w:p>
  </w:footnote>
  <w:footnote w:id="5">
    <w:p w:rsidR="00EA0224" w:rsidRPr="00A71817" w:rsidP="00530A7B" w14:paraId="527AB9CC" w14:textId="100BA17D">
      <w:pPr>
        <w:pStyle w:val="FootnoteText"/>
        <w:spacing w:after="120"/>
      </w:pPr>
      <w:r>
        <w:rPr>
          <w:rStyle w:val="FootnoteReference"/>
        </w:rPr>
        <w:footnoteRef/>
      </w:r>
      <w:r>
        <w:t xml:space="preserve"> </w:t>
      </w:r>
      <w:r>
        <w:rPr>
          <w:i/>
          <w:iCs/>
        </w:rPr>
        <w:t xml:space="preserve">See, e.g., </w:t>
      </w:r>
      <w:r>
        <w:t>FirstEnergy’s Applications, Exhibits (effective date of “TBD”).</w:t>
      </w:r>
    </w:p>
  </w:footnote>
  <w:footnote w:id="6">
    <w:p w:rsidR="00A044B5" w:rsidP="00530A7B" w14:paraId="4936B541" w14:textId="0A950004">
      <w:pPr>
        <w:pStyle w:val="FootnoteText"/>
        <w:spacing w:after="120"/>
      </w:pPr>
      <w:r>
        <w:rPr>
          <w:rStyle w:val="FootnoteReference"/>
        </w:rPr>
        <w:footnoteRef/>
      </w:r>
      <w:r>
        <w:rPr>
          <w:i/>
        </w:rPr>
        <w:t xml:space="preserve"> See Ohio Consumers’ Counsel v. Pub. Util. Comm</w:t>
      </w:r>
      <w:r>
        <w:t>., 111 Ohio St.3d 384</w:t>
      </w:r>
      <w:r w:rsidR="002A4912">
        <w:t>, 2006-Ohio-5853, ¶¶</w:t>
      </w:r>
      <w:r w:rsidR="00530A7B">
        <w:t xml:space="preserve"> </w:t>
      </w:r>
      <w:r w:rsidR="002A4912">
        <w:t>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3606767"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C09955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CB6329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C3537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127EE"/>
    <w:rsid w:val="0001646C"/>
    <w:rsid w:val="000426D4"/>
    <w:rsid w:val="00082870"/>
    <w:rsid w:val="00083FD3"/>
    <w:rsid w:val="00090792"/>
    <w:rsid w:val="00095103"/>
    <w:rsid w:val="000B3592"/>
    <w:rsid w:val="00102853"/>
    <w:rsid w:val="001406BF"/>
    <w:rsid w:val="0014106B"/>
    <w:rsid w:val="001D0897"/>
    <w:rsid w:val="00201526"/>
    <w:rsid w:val="00215524"/>
    <w:rsid w:val="0023027D"/>
    <w:rsid w:val="002354D4"/>
    <w:rsid w:val="00250C8F"/>
    <w:rsid w:val="00257ED9"/>
    <w:rsid w:val="00264882"/>
    <w:rsid w:val="00270856"/>
    <w:rsid w:val="002A4912"/>
    <w:rsid w:val="002A63F7"/>
    <w:rsid w:val="002D4405"/>
    <w:rsid w:val="0031242C"/>
    <w:rsid w:val="00327793"/>
    <w:rsid w:val="00355E2B"/>
    <w:rsid w:val="003746C8"/>
    <w:rsid w:val="003771DC"/>
    <w:rsid w:val="003878AB"/>
    <w:rsid w:val="003A51B5"/>
    <w:rsid w:val="003B7CA8"/>
    <w:rsid w:val="003F0FBF"/>
    <w:rsid w:val="00404350"/>
    <w:rsid w:val="00447B0F"/>
    <w:rsid w:val="004C16D0"/>
    <w:rsid w:val="004D36AE"/>
    <w:rsid w:val="004D79B8"/>
    <w:rsid w:val="004F0700"/>
    <w:rsid w:val="005069D3"/>
    <w:rsid w:val="0051520D"/>
    <w:rsid w:val="00522745"/>
    <w:rsid w:val="00530A7B"/>
    <w:rsid w:val="00554525"/>
    <w:rsid w:val="00566AEE"/>
    <w:rsid w:val="00567311"/>
    <w:rsid w:val="00571A2D"/>
    <w:rsid w:val="00576F00"/>
    <w:rsid w:val="005803F3"/>
    <w:rsid w:val="00595E81"/>
    <w:rsid w:val="005A6744"/>
    <w:rsid w:val="005B5117"/>
    <w:rsid w:val="00615095"/>
    <w:rsid w:val="0062016F"/>
    <w:rsid w:val="0062108F"/>
    <w:rsid w:val="006369A0"/>
    <w:rsid w:val="00641070"/>
    <w:rsid w:val="006514B1"/>
    <w:rsid w:val="00697F12"/>
    <w:rsid w:val="006D775F"/>
    <w:rsid w:val="006F1D84"/>
    <w:rsid w:val="00711196"/>
    <w:rsid w:val="00730C0C"/>
    <w:rsid w:val="00736306"/>
    <w:rsid w:val="00760DE9"/>
    <w:rsid w:val="007631F4"/>
    <w:rsid w:val="007A2DB3"/>
    <w:rsid w:val="007B0880"/>
    <w:rsid w:val="007C0ABE"/>
    <w:rsid w:val="0082492E"/>
    <w:rsid w:val="00851EF8"/>
    <w:rsid w:val="00865414"/>
    <w:rsid w:val="008D3A4F"/>
    <w:rsid w:val="008D52FF"/>
    <w:rsid w:val="008F4272"/>
    <w:rsid w:val="008F6DEC"/>
    <w:rsid w:val="009120DB"/>
    <w:rsid w:val="009B6D8B"/>
    <w:rsid w:val="009F4BA8"/>
    <w:rsid w:val="00A0158E"/>
    <w:rsid w:val="00A044B5"/>
    <w:rsid w:val="00A048F9"/>
    <w:rsid w:val="00A217D8"/>
    <w:rsid w:val="00A455D7"/>
    <w:rsid w:val="00A50745"/>
    <w:rsid w:val="00A5514C"/>
    <w:rsid w:val="00A71817"/>
    <w:rsid w:val="00AC102B"/>
    <w:rsid w:val="00AC5BF1"/>
    <w:rsid w:val="00AD135E"/>
    <w:rsid w:val="00AD313C"/>
    <w:rsid w:val="00AD3B75"/>
    <w:rsid w:val="00AE437E"/>
    <w:rsid w:val="00B258F4"/>
    <w:rsid w:val="00B27DE5"/>
    <w:rsid w:val="00B80384"/>
    <w:rsid w:val="00B81621"/>
    <w:rsid w:val="00B84F66"/>
    <w:rsid w:val="00BA335C"/>
    <w:rsid w:val="00BC7AB9"/>
    <w:rsid w:val="00BD1050"/>
    <w:rsid w:val="00C3006F"/>
    <w:rsid w:val="00C47A4C"/>
    <w:rsid w:val="00C47D17"/>
    <w:rsid w:val="00C527F4"/>
    <w:rsid w:val="00C82076"/>
    <w:rsid w:val="00C852BD"/>
    <w:rsid w:val="00C910AC"/>
    <w:rsid w:val="00C94D3B"/>
    <w:rsid w:val="00C96004"/>
    <w:rsid w:val="00CC072E"/>
    <w:rsid w:val="00CE4DDF"/>
    <w:rsid w:val="00CF4DC0"/>
    <w:rsid w:val="00CF6ADE"/>
    <w:rsid w:val="00D474A9"/>
    <w:rsid w:val="00D51026"/>
    <w:rsid w:val="00D55177"/>
    <w:rsid w:val="00D57504"/>
    <w:rsid w:val="00D74BAB"/>
    <w:rsid w:val="00DA0016"/>
    <w:rsid w:val="00DE3BDA"/>
    <w:rsid w:val="00DE4C37"/>
    <w:rsid w:val="00E1189D"/>
    <w:rsid w:val="00E23A04"/>
    <w:rsid w:val="00E322FE"/>
    <w:rsid w:val="00E4412D"/>
    <w:rsid w:val="00E6502F"/>
    <w:rsid w:val="00E910FF"/>
    <w:rsid w:val="00EA0224"/>
    <w:rsid w:val="00EE7370"/>
    <w:rsid w:val="00EF3AD6"/>
    <w:rsid w:val="00F02587"/>
    <w:rsid w:val="00F1341B"/>
    <w:rsid w:val="00F64B03"/>
    <w:rsid w:val="00F661B9"/>
    <w:rsid w:val="00F9505C"/>
    <w:rsid w:val="00FB57AE"/>
    <w:rsid w:val="00FD12B3"/>
    <w:rsid w:val="00FE55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2FF"/>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2354D4"/>
    <w:rPr>
      <w:color w:val="605E5C"/>
      <w:shd w:val="clear" w:color="auto" w:fill="E1DFDD"/>
    </w:rPr>
  </w:style>
  <w:style w:type="character" w:customStyle="1" w:styleId="HTMLPreformattedChar">
    <w:name w:val="HTML Preformatted Char"/>
    <w:link w:val="HTMLPreformatted"/>
    <w:rsid w:val="002354D4"/>
    <w:rPr>
      <w:rFonts w:ascii="Courier New" w:eastAsia="Courier New" w:hAnsi="Courier New" w:cs="Courier New"/>
    </w:rPr>
  </w:style>
  <w:style w:type="character" w:customStyle="1" w:styleId="BodyTextIndent3Char">
    <w:name w:val="Body Text Indent 3 Char"/>
    <w:link w:val="BodyTextIndent3"/>
    <w:rsid w:val="002354D4"/>
    <w:rPr>
      <w:sz w:val="24"/>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A0158E"/>
  </w:style>
  <w:style w:type="paragraph" w:styleId="Revision">
    <w:name w:val="Revision"/>
    <w:hidden/>
    <w:uiPriority w:val="99"/>
    <w:semiHidden/>
    <w:rsid w:val="00083FD3"/>
    <w:rPr>
      <w:sz w:val="24"/>
    </w:rPr>
  </w:style>
  <w:style w:type="character" w:customStyle="1" w:styleId="CommentTextChar">
    <w:name w:val="Comment Text Char"/>
    <w:link w:val="CommentText"/>
    <w:uiPriority w:val="99"/>
    <w:rsid w:val="00250C8F"/>
    <w:rPr>
      <w:sz w:val="24"/>
      <w:szCs w:val="24"/>
    </w:rPr>
  </w:style>
  <w:style w:type="character" w:customStyle="1" w:styleId="FooterChar">
    <w:name w:val="Footer Char"/>
    <w:basedOn w:val="DefaultParagraphFont"/>
    <w:link w:val="Footer"/>
    <w:uiPriority w:val="99"/>
    <w:rsid w:val="00E9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mailto:ambrosia.wilson@occ.ohio.gov" TargetMode="External" /><Relationship Id="rId13" Type="http://schemas.openxmlformats.org/officeDocument/2006/relationships/hyperlink" Target="mailto:john.jones@ohioAGO.gov" TargetMode="External" /><Relationship Id="rId14" Type="http://schemas.openxmlformats.org/officeDocument/2006/relationships/hyperlink" Target="mailto:jacqueline.st.john@puco.ohio.gov" TargetMode="External" /><Relationship Id="rId15" Type="http://schemas.openxmlformats.org/officeDocument/2006/relationships/hyperlink" Target="mailto:cwatchorn@firstenergycorp.com" TargetMode="External" /><Relationship Id="rId16" Type="http://schemas.openxmlformats.org/officeDocument/2006/relationships/header" Target="head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ngela.obrien@occ.ohio.gov" TargetMode="External" /><Relationship Id="rId8" Type="http://schemas.openxmlformats.org/officeDocument/2006/relationships/hyperlink" Target="mailto:connor.semple@occ.ohio.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0F0AD-354F-44F2-AC37-3BD80B0A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2023-01-06T20:31:30Z</dcterms:created>
  <dcterms:modified xsi:type="dcterms:W3CDTF">2023-01-06T20:31:30Z</dcterms:modified>
</cp:coreProperties>
</file>