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6D3FB4" w:rsidP="006D3FB4" w14:paraId="30D86F34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BEFORE</w:t>
      </w:r>
    </w:p>
    <w:p w:rsidR="006D3FB4" w:rsidP="006D3FB4" w14:paraId="7A2EF6AD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6D3FB4" w:rsidP="006D3FB4" w14:paraId="76BA546A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tbl>
      <w:tblPr>
        <w:tblW w:w="9468" w:type="dxa"/>
        <w:tblLook w:val="01E0"/>
      </w:tblPr>
      <w:tblGrid>
        <w:gridCol w:w="4590"/>
        <w:gridCol w:w="378"/>
        <w:gridCol w:w="4500"/>
      </w:tblGrid>
      <w:tr w14:paraId="305E9471" w14:textId="77777777" w:rsidTr="00EF1556">
        <w:tblPrEx>
          <w:tblW w:w="9468" w:type="dxa"/>
          <w:tblLook w:val="01E0"/>
        </w:tblPrEx>
        <w:trPr>
          <w:trHeight w:val="807"/>
        </w:trPr>
        <w:tc>
          <w:tcPr>
            <w:tcW w:w="4590" w:type="dxa"/>
            <w:shd w:val="clear" w:color="auto" w:fill="auto"/>
          </w:tcPr>
          <w:p w:rsidR="006D3FB4" w:rsidRPr="00A044B5" w:rsidP="00EF1556" w14:paraId="6545533A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94E09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Duke Energy Ohio, Inc. for Approval of an Alternative Form of Regulation to Establish a Capital Expenditure Program Rider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4E09">
              <w:rPr>
                <w:rFonts w:ascii="Times New Roman" w:hAnsi="Times New Roman" w:cs="Times New Roman"/>
                <w:sz w:val="24"/>
                <w:szCs w:val="24"/>
              </w:rPr>
              <w:t>echanism.</w:t>
            </w:r>
          </w:p>
        </w:tc>
        <w:tc>
          <w:tcPr>
            <w:tcW w:w="378" w:type="dxa"/>
            <w:shd w:val="clear" w:color="auto" w:fill="auto"/>
          </w:tcPr>
          <w:p w:rsidR="006D3FB4" w:rsidRPr="00A044B5" w:rsidP="00EF1556" w14:paraId="2F96C77D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6D3FB4" w:rsidRPr="00A044B5" w:rsidP="00EF1556" w14:paraId="466FE412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6D3FB4" w:rsidP="00EF1556" w14:paraId="4D8D6253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6D3FB4" w:rsidP="00EF1556" w14:paraId="4401F78C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6D3FB4" w:rsidRPr="00A044B5" w:rsidP="00EF1556" w14:paraId="1A829732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6D3FB4" w:rsidRPr="00A044B5" w:rsidP="00EF1556" w14:paraId="1EEF0AC5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</w:rPr>
            </w:pPr>
          </w:p>
          <w:p w:rsidR="006D3FB4" w:rsidP="00EF1556" w14:paraId="537CE47B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</w:rPr>
            </w:pPr>
          </w:p>
          <w:p w:rsidR="006D3FB4" w:rsidRPr="00A044B5" w:rsidP="00EF1556" w14:paraId="7956365F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19-791-GA-ALT</w:t>
            </w:r>
          </w:p>
          <w:p w:rsidR="006D3FB4" w:rsidRPr="00A044B5" w:rsidP="00EF1556" w14:paraId="7B70C5BB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6D3FB4" w:rsidP="006D3FB4" w14:paraId="3771701E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:rsidR="006D3FB4" w:rsidP="006D3FB4" w14:paraId="15E70A2A" w14:textId="77777777">
      <w:pPr>
        <w:pStyle w:val="HTMLPreformatted"/>
        <w:pBdr>
          <w:top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:rsidR="006D3FB4" w:rsidP="006D3FB4" w14:paraId="78EF46BE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B4">
        <w:rPr>
          <w:rFonts w:ascii="Times New Roman" w:hAnsi="Times New Roman" w:cs="Times New Roman"/>
          <w:b/>
          <w:bCs/>
          <w:sz w:val="24"/>
          <w:szCs w:val="24"/>
        </w:rPr>
        <w:t xml:space="preserve">MEMORANDUM CONTRA DUKE ENERGY OHIO’S </w:t>
      </w:r>
    </w:p>
    <w:p w:rsidR="006D3FB4" w:rsidRPr="006D3FB4" w:rsidP="006D3FB4" w14:paraId="5B7DA9E0" w14:textId="746C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B4">
        <w:rPr>
          <w:rFonts w:ascii="Times New Roman" w:hAnsi="Times New Roman" w:cs="Times New Roman"/>
          <w:b/>
          <w:bCs/>
          <w:sz w:val="24"/>
          <w:szCs w:val="24"/>
        </w:rPr>
        <w:t>APPLICATION FOR REHEARING</w:t>
      </w:r>
    </w:p>
    <w:p w:rsidR="006D3FB4" w:rsidRPr="006D3FB4" w:rsidP="006D3FB4" w14:paraId="7EEACE30" w14:textId="6AB1F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B4">
        <w:rPr>
          <w:rFonts w:ascii="Times New Roman" w:hAnsi="Times New Roman" w:cs="Times New Roman"/>
          <w:b/>
          <w:bCs/>
          <w:sz w:val="24"/>
          <w:szCs w:val="24"/>
        </w:rPr>
        <w:t>BY</w:t>
      </w:r>
    </w:p>
    <w:p w:rsidR="006D3FB4" w:rsidRPr="006D3FB4" w:rsidP="006D3FB4" w14:paraId="10F50326" w14:textId="05F71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B4">
        <w:rPr>
          <w:rFonts w:ascii="Times New Roman" w:hAnsi="Times New Roman" w:cs="Times New Roman"/>
          <w:b/>
          <w:bCs/>
          <w:sz w:val="24"/>
          <w:szCs w:val="24"/>
        </w:rPr>
        <w:t>OFFICE OF THE OHIO CONSUMERS’ COUNSEL</w:t>
      </w:r>
    </w:p>
    <w:p w:rsidR="006D3FB4" w:rsidP="006D3FB4" w14:paraId="22867816" w14:textId="77777777">
      <w:pPr>
        <w:pBdr>
          <w:bottom w:val="single" w:sz="12" w:space="1" w:color="auto"/>
        </w:pBdr>
      </w:pPr>
    </w:p>
    <w:p w:rsidR="00B710E0" w:rsidRPr="00696AEB" w:rsidP="006D3FB4" w14:paraId="6DCDCFE9" w14:textId="54D50523">
      <w:pPr>
        <w:pStyle w:val="ListParagraph"/>
        <w:numPr>
          <w:ilvl w:val="0"/>
          <w:numId w:val="4"/>
        </w:numPr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96AE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391732" w:rsidP="00B92711" w14:paraId="77A14F69" w14:textId="777777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Pr="00B92711">
        <w:rPr>
          <w:rFonts w:ascii="Times New Roman" w:hAnsi="Times New Roman" w:cs="Times New Roman"/>
          <w:sz w:val="24"/>
          <w:szCs w:val="24"/>
        </w:rPr>
        <w:t xml:space="preserve"> a document that no consumer advocate would sign, Duke Energy and the Staff of the Public Utilities Commission of Ohio (“PUCO”) proposed a Settlement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711">
        <w:rPr>
          <w:rFonts w:ascii="Times New Roman" w:hAnsi="Times New Roman" w:cs="Times New Roman"/>
          <w:sz w:val="24"/>
          <w:szCs w:val="24"/>
        </w:rPr>
        <w:t xml:space="preserve">for the PUCO to adopt. Their Settlement would allow Duke to charge residential customers nearly $105 million over the next 2.5 years for ever increasing capital investments made by Duke </w:t>
      </w:r>
      <w:r w:rsidR="00A77E59">
        <w:rPr>
          <w:rFonts w:ascii="Times New Roman" w:hAnsi="Times New Roman" w:cs="Times New Roman"/>
          <w:sz w:val="24"/>
          <w:szCs w:val="24"/>
        </w:rPr>
        <w:t xml:space="preserve">Energy </w:t>
      </w:r>
      <w:r w:rsidRPr="00B92711">
        <w:rPr>
          <w:rFonts w:ascii="Times New Roman" w:hAnsi="Times New Roman" w:cs="Times New Roman"/>
          <w:sz w:val="24"/>
          <w:szCs w:val="24"/>
        </w:rPr>
        <w:t>under the Capital Expenditure Program (“CEP”).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6E" w:rsidP="00B92711" w14:paraId="3C879AE4" w14:textId="05B70A1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  <w:sectPr w:rsidSect="007B7CE0">
          <w:footerReference w:type="default" r:id="rId6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Consistent with the recommendations by the Office of the Ohio Consumers’ Counsel (“OCC”), the PUCO wisely modified the Settlement </w:t>
      </w:r>
      <w:r w:rsidR="00B710E0">
        <w:rPr>
          <w:rFonts w:ascii="Times New Roman" w:hAnsi="Times New Roman" w:cs="Times New Roman"/>
          <w:sz w:val="24"/>
          <w:szCs w:val="24"/>
        </w:rPr>
        <w:t xml:space="preserve">in its Opinion and Order </w:t>
      </w:r>
      <w:r>
        <w:rPr>
          <w:rFonts w:ascii="Times New Roman" w:hAnsi="Times New Roman" w:cs="Times New Roman"/>
          <w:sz w:val="24"/>
          <w:szCs w:val="24"/>
        </w:rPr>
        <w:t>to prevent rate-shock and to promote the “long-standing and important regulatory principle of gradualism, which seeks to minimize the impact of rate changes on customers.”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C0F43">
        <w:rPr>
          <w:rFonts w:ascii="Times New Roman" w:hAnsi="Times New Roman" w:cs="Times New Roman"/>
          <w:sz w:val="24"/>
          <w:szCs w:val="24"/>
        </w:rPr>
        <w:t xml:space="preserve">  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8C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E0" w:rsidP="008C0F43" w14:paraId="2A06E7DB" w14:textId="1A3D43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Energy asserts in its application for rehearing that the PUCO’s modification of the Settlement i</w:t>
      </w:r>
      <w:r w:rsidR="00A77E5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consumers’ interest </w:t>
      </w:r>
      <w:r w:rsidR="00CD63F2">
        <w:rPr>
          <w:rFonts w:ascii="Times New Roman" w:hAnsi="Times New Roman" w:cs="Times New Roman"/>
          <w:sz w:val="24"/>
          <w:szCs w:val="24"/>
        </w:rPr>
        <w:t xml:space="preserve">(delaying collection of certain charges) </w:t>
      </w:r>
      <w:r>
        <w:rPr>
          <w:rFonts w:ascii="Times New Roman" w:hAnsi="Times New Roman" w:cs="Times New Roman"/>
          <w:sz w:val="24"/>
          <w:szCs w:val="24"/>
        </w:rPr>
        <w:t xml:space="preserve">does not follow PUCO precedent and is </w:t>
      </w:r>
      <w:r>
        <w:rPr>
          <w:rFonts w:ascii="Times New Roman" w:hAnsi="Times New Roman" w:cs="Times New Roman"/>
          <w:sz w:val="24"/>
          <w:szCs w:val="24"/>
        </w:rPr>
        <w:t>unlawful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unreasonable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B710E0" w:rsidP="00B92711" w14:paraId="396BD15A" w14:textId="3B12243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consumers, Duke Energy’s application for rehearing should be denied.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Preventing rate shock and promoting the long-standing regulatory principle of gradualism protects consumers and is consistent with PUCO precedent.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696AEB">
        <w:rPr>
          <w:rFonts w:ascii="Times New Roman" w:hAnsi="Times New Roman" w:cs="Times New Roman"/>
          <w:sz w:val="24"/>
          <w:szCs w:val="24"/>
        </w:rPr>
        <w:t>The PUCO’s modification of the Settlement was</w:t>
      </w:r>
      <w:r>
        <w:rPr>
          <w:rFonts w:ascii="Times New Roman" w:hAnsi="Times New Roman" w:cs="Times New Roman"/>
          <w:sz w:val="24"/>
          <w:szCs w:val="24"/>
        </w:rPr>
        <w:t xml:space="preserve"> lawful and reasonable.</w:t>
      </w:r>
    </w:p>
    <w:p w:rsidR="007B7CE0" w:rsidP="007B7CE0" w14:paraId="10726486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10E0" w:rsidP="00B710E0" w14:paraId="4ED8B064" w14:textId="4B4937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AEB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696AEB">
        <w:rPr>
          <w:rFonts w:ascii="Times New Roman" w:hAnsi="Times New Roman" w:cs="Times New Roman"/>
          <w:b/>
          <w:bCs/>
          <w:sz w:val="24"/>
          <w:szCs w:val="24"/>
        </w:rPr>
        <w:t>RECOMMENDATIONS</w:t>
      </w:r>
    </w:p>
    <w:p w:rsidR="00B710E0" w:rsidP="007B7CE0" w14:paraId="2B2F7774" w14:textId="2E22C85F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696AEB">
        <w:rPr>
          <w:rFonts w:ascii="Times New Roman" w:hAnsi="Times New Roman" w:cs="Times New Roman"/>
          <w:b/>
          <w:bCs/>
          <w:sz w:val="24"/>
          <w:szCs w:val="24"/>
        </w:rPr>
        <w:t>The PUCO’s modification of the Settlement to protect consumers is consistent with PUCO precedent.</w:t>
      </w:r>
    </w:p>
    <w:p w:rsidR="007B7CE0" w:rsidRPr="00696AEB" w:rsidP="007B7CE0" w14:paraId="076DA0FC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067D4F" w:rsidP="007B7CE0" w14:paraId="376E9F1F" w14:textId="2EBD7B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4A38">
        <w:rPr>
          <w:rFonts w:ascii="Times New Roman" w:hAnsi="Times New Roman" w:cs="Times New Roman"/>
          <w:sz w:val="24"/>
          <w:szCs w:val="24"/>
        </w:rPr>
        <w:t xml:space="preserve">Duke Energy asserts that the PUCO’s modification of the Settlement to delay its ability to recover </w:t>
      </w:r>
      <w:r w:rsidR="00CD659E">
        <w:rPr>
          <w:rFonts w:ascii="Times New Roman" w:hAnsi="Times New Roman" w:cs="Times New Roman"/>
          <w:sz w:val="24"/>
          <w:szCs w:val="24"/>
        </w:rPr>
        <w:t xml:space="preserve">2020 </w:t>
      </w:r>
      <w:r w:rsidRPr="00564A38" w:rsidR="00564A38">
        <w:rPr>
          <w:rFonts w:ascii="Times New Roman" w:hAnsi="Times New Roman" w:cs="Times New Roman"/>
          <w:sz w:val="24"/>
          <w:szCs w:val="24"/>
        </w:rPr>
        <w:t>capital investments</w:t>
      </w:r>
      <w:r w:rsidR="00CD659E">
        <w:rPr>
          <w:rFonts w:ascii="Times New Roman" w:hAnsi="Times New Roman" w:cs="Times New Roman"/>
          <w:sz w:val="24"/>
          <w:szCs w:val="24"/>
        </w:rPr>
        <w:t xml:space="preserve"> until May 2022 (rather than November 2021, as in the Settlement) is “at odds” with PUCO precedent.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CD659E">
        <w:rPr>
          <w:rFonts w:ascii="Times New Roman" w:hAnsi="Times New Roman" w:cs="Times New Roman"/>
          <w:sz w:val="24"/>
          <w:szCs w:val="24"/>
        </w:rPr>
        <w:t>But Duke Energy cites no precedent.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CD659E">
        <w:rPr>
          <w:rFonts w:ascii="Times New Roman" w:hAnsi="Times New Roman" w:cs="Times New Roman"/>
          <w:sz w:val="24"/>
          <w:szCs w:val="24"/>
        </w:rPr>
        <w:t>The best it can do is cite authority standing for the proposition that it is not “uncommon”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564A38">
        <w:rPr>
          <w:rFonts w:ascii="Times New Roman" w:hAnsi="Times New Roman" w:cs="Times New Roman"/>
          <w:sz w:val="24"/>
          <w:szCs w:val="24"/>
        </w:rPr>
        <w:t xml:space="preserve"> </w:t>
      </w:r>
      <w:r w:rsidR="00CD659E">
        <w:rPr>
          <w:rFonts w:ascii="Times New Roman" w:hAnsi="Times New Roman" w:cs="Times New Roman"/>
          <w:sz w:val="24"/>
          <w:szCs w:val="24"/>
        </w:rPr>
        <w:t>for public utilities to have charges that are trued-up and that the PUCO has “regularly”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CD659E">
        <w:rPr>
          <w:rFonts w:ascii="Times New Roman" w:hAnsi="Times New Roman" w:cs="Times New Roman"/>
          <w:sz w:val="24"/>
          <w:szCs w:val="24"/>
        </w:rPr>
        <w:t xml:space="preserve"> allowed for </w:t>
      </w:r>
      <w:r w:rsidR="00194D60">
        <w:rPr>
          <w:rFonts w:ascii="Times New Roman" w:hAnsi="Times New Roman" w:cs="Times New Roman"/>
          <w:sz w:val="24"/>
          <w:szCs w:val="24"/>
        </w:rPr>
        <w:t>the collection</w:t>
      </w:r>
      <w:r w:rsidR="00CD659E">
        <w:rPr>
          <w:rFonts w:ascii="Times New Roman" w:hAnsi="Times New Roman" w:cs="Times New Roman"/>
          <w:sz w:val="24"/>
          <w:szCs w:val="24"/>
        </w:rPr>
        <w:t xml:space="preserve"> of charges</w:t>
      </w:r>
      <w:r w:rsidR="00194D60">
        <w:rPr>
          <w:rFonts w:ascii="Times New Roman" w:hAnsi="Times New Roman" w:cs="Times New Roman"/>
          <w:sz w:val="24"/>
          <w:szCs w:val="24"/>
        </w:rPr>
        <w:t xml:space="preserve"> from consumers</w:t>
      </w:r>
      <w:r w:rsidR="00CD659E">
        <w:rPr>
          <w:rFonts w:ascii="Times New Roman" w:hAnsi="Times New Roman" w:cs="Times New Roman"/>
          <w:sz w:val="24"/>
          <w:szCs w:val="24"/>
        </w:rPr>
        <w:t xml:space="preserve"> beyond a cap if warranted by a true-up.</w:t>
      </w:r>
    </w:p>
    <w:p w:rsidR="00CD659E" w:rsidP="007B7CE0" w14:paraId="701E580B" w14:textId="1306C0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the case is very different.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BA28C2">
        <w:rPr>
          <w:rFonts w:ascii="Times New Roman" w:hAnsi="Times New Roman" w:cs="Times New Roman"/>
          <w:sz w:val="24"/>
          <w:szCs w:val="24"/>
        </w:rPr>
        <w:t>A</w:t>
      </w:r>
      <w:r w:rsidR="008F6C0F">
        <w:rPr>
          <w:rFonts w:ascii="Times New Roman" w:hAnsi="Times New Roman" w:cs="Times New Roman"/>
          <w:sz w:val="24"/>
          <w:szCs w:val="24"/>
        </w:rPr>
        <w:t xml:space="preserve">s the PUCO recognized, </w:t>
      </w:r>
      <w:r>
        <w:rPr>
          <w:rFonts w:ascii="Times New Roman" w:hAnsi="Times New Roman" w:cs="Times New Roman"/>
          <w:sz w:val="24"/>
          <w:szCs w:val="24"/>
        </w:rPr>
        <w:t xml:space="preserve">under the Settlement </w:t>
      </w:r>
      <w:r w:rsidR="008F6C0F">
        <w:rPr>
          <w:rFonts w:ascii="Times New Roman" w:hAnsi="Times New Roman" w:cs="Times New Roman"/>
          <w:sz w:val="24"/>
          <w:szCs w:val="24"/>
        </w:rPr>
        <w:t xml:space="preserve">Duke Energy and Staff proposed charging consumers </w:t>
      </w:r>
      <w:r w:rsidR="005E09AC">
        <w:rPr>
          <w:rFonts w:ascii="Times New Roman" w:hAnsi="Times New Roman" w:cs="Times New Roman"/>
          <w:sz w:val="24"/>
          <w:szCs w:val="24"/>
        </w:rPr>
        <w:t xml:space="preserve">beginning </w:t>
      </w:r>
      <w:r w:rsidR="008F6C0F">
        <w:rPr>
          <w:rFonts w:ascii="Times New Roman" w:hAnsi="Times New Roman" w:cs="Times New Roman"/>
          <w:sz w:val="24"/>
          <w:szCs w:val="24"/>
        </w:rPr>
        <w:t xml:space="preserve">in November 2021 for </w:t>
      </w:r>
      <w:r w:rsidR="008F6C0F">
        <w:rPr>
          <w:rFonts w:ascii="Times New Roman" w:hAnsi="Times New Roman" w:cs="Times New Roman"/>
          <w:i/>
          <w:iCs/>
          <w:sz w:val="24"/>
          <w:szCs w:val="24"/>
        </w:rPr>
        <w:t xml:space="preserve">two years </w:t>
      </w:r>
      <w:r w:rsidR="008F6C0F">
        <w:rPr>
          <w:rFonts w:ascii="Times New Roman" w:hAnsi="Times New Roman" w:cs="Times New Roman"/>
          <w:sz w:val="24"/>
          <w:szCs w:val="24"/>
        </w:rPr>
        <w:t>(2019 and 2020) worth of capital investments.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BA28C2">
        <w:rPr>
          <w:rFonts w:ascii="Times New Roman" w:hAnsi="Times New Roman" w:cs="Times New Roman"/>
          <w:sz w:val="24"/>
          <w:szCs w:val="24"/>
        </w:rPr>
        <w:t xml:space="preserve">The </w:t>
      </w:r>
      <w:r w:rsidR="008F6C0F">
        <w:rPr>
          <w:rFonts w:ascii="Times New Roman" w:hAnsi="Times New Roman" w:cs="Times New Roman"/>
          <w:sz w:val="24"/>
          <w:szCs w:val="24"/>
        </w:rPr>
        <w:t xml:space="preserve">PUCO </w:t>
      </w:r>
      <w:r w:rsidR="004B648E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8F6C0F">
        <w:rPr>
          <w:rFonts w:ascii="Times New Roman" w:hAnsi="Times New Roman" w:cs="Times New Roman"/>
          <w:sz w:val="24"/>
          <w:szCs w:val="24"/>
        </w:rPr>
        <w:t>(and agreed with) testimony from OCC Witness Adkins regarding the rate shock that consumers would experience under the Settlement.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8F6C0F">
        <w:rPr>
          <w:rFonts w:ascii="Times New Roman" w:hAnsi="Times New Roman" w:cs="Times New Roman"/>
          <w:sz w:val="24"/>
          <w:szCs w:val="24"/>
        </w:rPr>
        <w:t xml:space="preserve">In light of </w:t>
      </w:r>
      <w:r w:rsidR="005E09AC">
        <w:rPr>
          <w:rFonts w:ascii="Times New Roman" w:hAnsi="Times New Roman" w:cs="Times New Roman"/>
          <w:sz w:val="24"/>
          <w:szCs w:val="24"/>
        </w:rPr>
        <w:t>that</w:t>
      </w:r>
      <w:r w:rsidR="008F6C0F">
        <w:rPr>
          <w:rFonts w:ascii="Times New Roman" w:hAnsi="Times New Roman" w:cs="Times New Roman"/>
          <w:sz w:val="24"/>
          <w:szCs w:val="24"/>
        </w:rPr>
        <w:t xml:space="preserve"> testimony, and the PUCO’s adherence to the principle of gradualism, it was perfectly appropriate for the PUCO to modify the Settlement to protect consumers </w:t>
      </w:r>
      <w:r w:rsidR="00CD63F2">
        <w:rPr>
          <w:rFonts w:ascii="Times New Roman" w:hAnsi="Times New Roman" w:cs="Times New Roman"/>
          <w:sz w:val="24"/>
          <w:szCs w:val="24"/>
        </w:rPr>
        <w:t>(by delaying the collection of certain charges)</w:t>
      </w:r>
      <w:r w:rsidR="00391732">
        <w:rPr>
          <w:rFonts w:ascii="Times New Roman" w:hAnsi="Times New Roman" w:cs="Times New Roman"/>
          <w:sz w:val="24"/>
          <w:szCs w:val="24"/>
        </w:rPr>
        <w:t>.</w:t>
      </w:r>
      <w:r w:rsidR="00CD6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C7F" w:rsidP="007B7CE0" w14:paraId="5AF8987E" w14:textId="0526A07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PUCO was within its authority to modify the Settlement to protect consumers.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Duke Energy’s application for rehearing should be denied.</w:t>
      </w:r>
    </w:p>
    <w:p w:rsidR="00677C7F" w:rsidP="007B7CE0" w14:paraId="7B70C0CE" w14:textId="0600976B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E09AC">
        <w:rPr>
          <w:rFonts w:ascii="Times New Roman" w:hAnsi="Times New Roman" w:cs="Times New Roman"/>
          <w:b/>
          <w:bCs/>
          <w:sz w:val="24"/>
          <w:szCs w:val="24"/>
        </w:rPr>
        <w:t xml:space="preserve">The PUCO’s modification of the Settlement </w:t>
      </w:r>
      <w:r w:rsidR="005E09AC">
        <w:rPr>
          <w:rFonts w:ascii="Times New Roman" w:hAnsi="Times New Roman" w:cs="Times New Roman"/>
          <w:b/>
          <w:bCs/>
          <w:sz w:val="24"/>
          <w:szCs w:val="24"/>
        </w:rPr>
        <w:t xml:space="preserve">to protect consumers </w:t>
      </w:r>
      <w:r w:rsidRPr="005E09AC">
        <w:rPr>
          <w:rFonts w:ascii="Times New Roman" w:hAnsi="Times New Roman" w:cs="Times New Roman"/>
          <w:b/>
          <w:bCs/>
          <w:sz w:val="24"/>
          <w:szCs w:val="24"/>
        </w:rPr>
        <w:t xml:space="preserve">does not violate Ohio law, which </w:t>
      </w:r>
      <w:r w:rsidR="005E09AC">
        <w:rPr>
          <w:rFonts w:ascii="Times New Roman" w:hAnsi="Times New Roman" w:cs="Times New Roman"/>
          <w:b/>
          <w:bCs/>
          <w:sz w:val="24"/>
          <w:szCs w:val="24"/>
        </w:rPr>
        <w:t>mandates</w:t>
      </w:r>
      <w:r w:rsidRPr="005E09AC">
        <w:rPr>
          <w:rFonts w:ascii="Times New Roman" w:hAnsi="Times New Roman" w:cs="Times New Roman"/>
          <w:b/>
          <w:bCs/>
          <w:sz w:val="24"/>
          <w:szCs w:val="24"/>
        </w:rPr>
        <w:t xml:space="preserve"> that </w:t>
      </w:r>
      <w:r w:rsidR="005E09AC">
        <w:rPr>
          <w:rFonts w:ascii="Times New Roman" w:hAnsi="Times New Roman" w:cs="Times New Roman"/>
          <w:b/>
          <w:bCs/>
          <w:sz w:val="24"/>
          <w:szCs w:val="24"/>
        </w:rPr>
        <w:t>consumers</w:t>
      </w:r>
      <w:r w:rsidRPr="005E09AC">
        <w:rPr>
          <w:rFonts w:ascii="Times New Roman" w:hAnsi="Times New Roman" w:cs="Times New Roman"/>
          <w:b/>
          <w:bCs/>
          <w:sz w:val="24"/>
          <w:szCs w:val="24"/>
        </w:rPr>
        <w:t xml:space="preserve"> pay only just and reasonable rates.</w:t>
      </w:r>
    </w:p>
    <w:p w:rsidR="00B2004B" w:rsidRPr="005E09AC" w:rsidP="007B7CE0" w14:paraId="5FBD8F54" w14:textId="777777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C7F" w:rsidP="00400B47" w14:paraId="4231BA6D" w14:textId="0D47CC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7C7F">
        <w:rPr>
          <w:rFonts w:ascii="Times New Roman" w:hAnsi="Times New Roman" w:cs="Times New Roman"/>
          <w:sz w:val="24"/>
          <w:szCs w:val="24"/>
        </w:rPr>
        <w:t>Duke Energy asserts that it would violate Ohio law if it were not permitted to charge consumers above and beyond any rate cap for “delaying a revenue requirement[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C7F">
        <w:rPr>
          <w:rFonts w:ascii="Times New Roman" w:hAnsi="Times New Roman" w:cs="Times New Roman"/>
          <w:sz w:val="24"/>
          <w:szCs w:val="24"/>
        </w:rPr>
        <w:t>]”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as it </w:t>
      </w:r>
      <w:r w:rsidR="004B648E">
        <w:rPr>
          <w:rFonts w:ascii="Times New Roman" w:hAnsi="Times New Roman" w:cs="Times New Roman"/>
          <w:sz w:val="24"/>
          <w:szCs w:val="24"/>
        </w:rPr>
        <w:t xml:space="preserve">contends </w:t>
      </w:r>
      <w:r>
        <w:rPr>
          <w:rFonts w:ascii="Times New Roman" w:hAnsi="Times New Roman" w:cs="Times New Roman"/>
          <w:sz w:val="24"/>
          <w:szCs w:val="24"/>
        </w:rPr>
        <w:t>the PUCO did in modifying the Settlement.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Duke Energy is wrong.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PUCO’s modification to protect consumers is consistent with Ohio law.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:rsidR="00677C7F" w:rsidRPr="007B7CE0" w:rsidP="00400B47" w14:paraId="622656E6" w14:textId="5EBA02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elements of the test governing proposed settlements is whether the settlement </w:t>
      </w:r>
      <w:r w:rsidRPr="007B7CE0">
        <w:rPr>
          <w:rFonts w:ascii="Times New Roman" w:hAnsi="Times New Roman" w:cs="Times New Roman"/>
          <w:sz w:val="24"/>
          <w:szCs w:val="24"/>
        </w:rPr>
        <w:t>violates any important regulatory principle or practice.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Pr="007B7CE0">
        <w:rPr>
          <w:rFonts w:ascii="Times New Roman" w:hAnsi="Times New Roman" w:cs="Times New Roman"/>
          <w:sz w:val="24"/>
          <w:szCs w:val="24"/>
        </w:rPr>
        <w:t>Here, the PUCO specifically found that the Settlement’s proposed rate increase was “not consistent with the longstanding and</w:t>
      </w:r>
      <w:r w:rsidRPr="007B7CE0" w:rsidR="00905C19">
        <w:rPr>
          <w:rFonts w:ascii="Times New Roman" w:hAnsi="Times New Roman" w:cs="Times New Roman"/>
          <w:sz w:val="24"/>
          <w:szCs w:val="24"/>
        </w:rPr>
        <w:t xml:space="preserve"> </w:t>
      </w:r>
      <w:r w:rsidRPr="007B7CE0">
        <w:rPr>
          <w:rFonts w:ascii="Times New Roman" w:hAnsi="Times New Roman" w:cs="Times New Roman"/>
          <w:sz w:val="24"/>
          <w:szCs w:val="24"/>
        </w:rPr>
        <w:t>important regulatory principle of gradualism, which seeks to minimize the impact of rate changes on customers</w:t>
      </w:r>
      <w:r w:rsidRPr="007B7CE0" w:rsidR="00905C19">
        <w:rPr>
          <w:rFonts w:ascii="Times New Roman" w:hAnsi="Times New Roman" w:cs="Times New Roman"/>
          <w:sz w:val="24"/>
          <w:szCs w:val="24"/>
        </w:rPr>
        <w:t>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Pr="007B7CE0" w:rsidR="00905C19">
        <w:rPr>
          <w:rFonts w:ascii="Times New Roman" w:hAnsi="Times New Roman" w:cs="Times New Roman"/>
          <w:sz w:val="24"/>
          <w:szCs w:val="24"/>
        </w:rPr>
        <w:t>It therefore modified the Settlement to protect consumers.</w:t>
      </w:r>
    </w:p>
    <w:p w:rsidR="00905C19" w:rsidP="00400B47" w14:paraId="79BD4E04" w14:textId="460C128B">
      <w:pPr>
        <w:spacing w:after="0" w:line="480" w:lineRule="auto"/>
        <w:ind w:firstLine="720"/>
      </w:pPr>
      <w:r w:rsidRPr="007B7CE0">
        <w:rPr>
          <w:rFonts w:ascii="Times New Roman" w:hAnsi="Times New Roman" w:cs="Times New Roman"/>
          <w:sz w:val="24"/>
          <w:szCs w:val="24"/>
        </w:rPr>
        <w:t>Further, Ohio law generally,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Pr="007B7CE0">
        <w:rPr>
          <w:rFonts w:ascii="Times New Roman" w:hAnsi="Times New Roman" w:cs="Times New Roman"/>
          <w:sz w:val="24"/>
          <w:szCs w:val="24"/>
        </w:rPr>
        <w:t xml:space="preserve"> and the alternative regulation statute specifically,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Pr="007B7CE0">
        <w:rPr>
          <w:rFonts w:ascii="Times New Roman" w:hAnsi="Times New Roman" w:cs="Times New Roman"/>
          <w:sz w:val="24"/>
          <w:szCs w:val="24"/>
        </w:rPr>
        <w:t xml:space="preserve"> protect consumers by allowing public utilities to charge consumers only just and reasonable rates.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Pr="007B7CE0">
        <w:rPr>
          <w:rFonts w:ascii="Times New Roman" w:hAnsi="Times New Roman" w:cs="Times New Roman"/>
          <w:sz w:val="24"/>
          <w:szCs w:val="24"/>
        </w:rPr>
        <w:t xml:space="preserve">Far from </w:t>
      </w:r>
      <w:r w:rsidRPr="007B7CE0">
        <w:rPr>
          <w:rFonts w:ascii="Times New Roman" w:hAnsi="Times New Roman" w:cs="Times New Roman"/>
          <w:i/>
          <w:iCs/>
          <w:sz w:val="24"/>
          <w:szCs w:val="24"/>
        </w:rPr>
        <w:t>requiring</w:t>
      </w:r>
      <w:r w:rsidRPr="007B7CE0">
        <w:rPr>
          <w:rFonts w:ascii="Times New Roman" w:hAnsi="Times New Roman" w:cs="Times New Roman"/>
          <w:sz w:val="24"/>
          <w:szCs w:val="24"/>
        </w:rPr>
        <w:t xml:space="preserve"> the PUCO to approve an application for charging consumers for capital investments, as Duke Energy asserts,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Pr="007B7CE0">
        <w:rPr>
          <w:rFonts w:ascii="Times New Roman" w:hAnsi="Times New Roman" w:cs="Times New Roman"/>
          <w:sz w:val="24"/>
          <w:szCs w:val="24"/>
        </w:rPr>
        <w:t xml:space="preserve"> Ohio law gives the PUCO authority to protect consumers by prohibiting public utilities from charging them unjust and unreasonable rates.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Pr="007B7CE0">
        <w:rPr>
          <w:rFonts w:ascii="Times New Roman" w:hAnsi="Times New Roman" w:cs="Times New Roman"/>
          <w:sz w:val="24"/>
          <w:szCs w:val="24"/>
        </w:rPr>
        <w:t>The PUCO wisely exercised this authority based on the principle of gradualism and evidence before it of the rate shock consumers would experience were the Settlement’s rate increase adopted.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>
        <w:t xml:space="preserve"> </w:t>
      </w:r>
    </w:p>
    <w:p w:rsidR="00905C19" w:rsidP="00400B47" w14:paraId="49480968" w14:textId="166A54C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PUCO was within its authority to modify the Settlement to protect consumers</w:t>
      </w:r>
      <w:r w:rsidR="004B648E">
        <w:rPr>
          <w:rFonts w:ascii="Times New Roman" w:hAnsi="Times New Roman" w:cs="Times New Roman"/>
          <w:sz w:val="24"/>
          <w:szCs w:val="24"/>
        </w:rPr>
        <w:t xml:space="preserve"> from unjust and unreasonable charges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Duke Energy’s application for rehearing should be denied.</w:t>
      </w:r>
    </w:p>
    <w:p w:rsidR="00905C19" w:rsidP="007B7CE0" w14:paraId="696EFD5D" w14:textId="46798877">
      <w:pPr>
        <w:pStyle w:val="ListParagraph"/>
        <w:numPr>
          <w:ilvl w:val="0"/>
          <w:numId w:val="2"/>
        </w:numPr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E09AC">
        <w:rPr>
          <w:rFonts w:ascii="Times New Roman" w:hAnsi="Times New Roman" w:cs="Times New Roman"/>
          <w:b/>
          <w:bCs/>
          <w:sz w:val="24"/>
          <w:szCs w:val="24"/>
        </w:rPr>
        <w:t>The PUCO protecting consumers through modifying the Settlement was not unjust or unreasonable.</w:t>
      </w:r>
    </w:p>
    <w:p w:rsidR="007B7CE0" w:rsidRPr="005E09AC" w:rsidP="007B7CE0" w14:paraId="3F751C51" w14:textId="777777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B65" w:rsidP="00400B47" w14:paraId="24FA0D6C" w14:textId="532505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Energy asserts that the PUCO’s modification of the Settlement </w:t>
      </w:r>
      <w:r w:rsidR="005E09AC">
        <w:rPr>
          <w:rFonts w:ascii="Times New Roman" w:hAnsi="Times New Roman" w:cs="Times New Roman"/>
          <w:sz w:val="24"/>
          <w:szCs w:val="24"/>
        </w:rPr>
        <w:t>to protect consume</w:t>
      </w:r>
      <w:r w:rsidR="00194D60">
        <w:rPr>
          <w:rFonts w:ascii="Times New Roman" w:hAnsi="Times New Roman" w:cs="Times New Roman"/>
          <w:sz w:val="24"/>
          <w:szCs w:val="24"/>
        </w:rPr>
        <w:t>r</w:t>
      </w:r>
      <w:r w:rsidR="005E09A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was unjust and unreasonable because it would purportedly result in Duke Energy forgoing revenue.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696AEB">
        <w:rPr>
          <w:rFonts w:ascii="Times New Roman" w:hAnsi="Times New Roman" w:cs="Times New Roman"/>
          <w:sz w:val="24"/>
          <w:szCs w:val="24"/>
        </w:rPr>
        <w:t xml:space="preserve">Duke Energy </w:t>
      </w:r>
      <w:r w:rsidR="005B062F">
        <w:rPr>
          <w:rFonts w:ascii="Times New Roman" w:hAnsi="Times New Roman" w:cs="Times New Roman"/>
          <w:sz w:val="24"/>
          <w:szCs w:val="24"/>
        </w:rPr>
        <w:t>focuses its attention on</w:t>
      </w:r>
      <w:r w:rsidR="005B5E67">
        <w:rPr>
          <w:rFonts w:ascii="Times New Roman" w:hAnsi="Times New Roman" w:cs="Times New Roman"/>
          <w:sz w:val="24"/>
          <w:szCs w:val="24"/>
        </w:rPr>
        <w:t xml:space="preserve"> </w:t>
      </w:r>
      <w:r w:rsidR="005B062F">
        <w:rPr>
          <w:rFonts w:ascii="Times New Roman" w:hAnsi="Times New Roman" w:cs="Times New Roman"/>
          <w:sz w:val="24"/>
          <w:szCs w:val="24"/>
        </w:rPr>
        <w:t>the</w:t>
      </w:r>
      <w:r w:rsidR="005B5E67">
        <w:rPr>
          <w:rFonts w:ascii="Times New Roman" w:hAnsi="Times New Roman" w:cs="Times New Roman"/>
          <w:sz w:val="24"/>
          <w:szCs w:val="24"/>
        </w:rPr>
        <w:t xml:space="preserve"> portion of the Opinion and Order where the PUCO concludes that the Settlement benefits consumers and is in the public interest (the </w:t>
      </w:r>
      <w:r w:rsidRPr="0067410E" w:rsidR="005B5E67">
        <w:rPr>
          <w:rFonts w:ascii="Times New Roman" w:hAnsi="Times New Roman" w:cs="Times New Roman"/>
          <w:i/>
          <w:iCs/>
          <w:sz w:val="24"/>
          <w:szCs w:val="24"/>
        </w:rPr>
        <w:t>second</w:t>
      </w:r>
      <w:r w:rsidR="005B5E67">
        <w:rPr>
          <w:rFonts w:ascii="Times New Roman" w:hAnsi="Times New Roman" w:cs="Times New Roman"/>
          <w:sz w:val="24"/>
          <w:szCs w:val="24"/>
        </w:rPr>
        <w:t xml:space="preserve"> prong of the settlement test) and </w:t>
      </w:r>
      <w:r w:rsidR="00696AEB">
        <w:rPr>
          <w:rFonts w:ascii="Times New Roman" w:hAnsi="Times New Roman" w:cs="Times New Roman"/>
          <w:sz w:val="24"/>
          <w:szCs w:val="24"/>
        </w:rPr>
        <w:t xml:space="preserve">suggests that the modification </w:t>
      </w:r>
      <w:r w:rsidR="005B5E67">
        <w:rPr>
          <w:rFonts w:ascii="Times New Roman" w:hAnsi="Times New Roman" w:cs="Times New Roman"/>
          <w:sz w:val="24"/>
          <w:szCs w:val="24"/>
        </w:rPr>
        <w:t xml:space="preserve">under the </w:t>
      </w:r>
      <w:r w:rsidRPr="0067410E" w:rsidR="005B5E67">
        <w:rPr>
          <w:rFonts w:ascii="Times New Roman" w:hAnsi="Times New Roman" w:cs="Times New Roman"/>
          <w:i/>
          <w:iCs/>
          <w:sz w:val="24"/>
          <w:szCs w:val="24"/>
        </w:rPr>
        <w:t>third</w:t>
      </w:r>
      <w:r w:rsidR="005B5E67">
        <w:rPr>
          <w:rFonts w:ascii="Times New Roman" w:hAnsi="Times New Roman" w:cs="Times New Roman"/>
          <w:sz w:val="24"/>
          <w:szCs w:val="24"/>
        </w:rPr>
        <w:t xml:space="preserve"> prong of the settlement test (violation of regulatory principles and practices) </w:t>
      </w:r>
      <w:r w:rsidR="00696AEB">
        <w:rPr>
          <w:rFonts w:ascii="Times New Roman" w:hAnsi="Times New Roman" w:cs="Times New Roman"/>
          <w:sz w:val="24"/>
          <w:szCs w:val="24"/>
        </w:rPr>
        <w:t xml:space="preserve">is inconsistent with </w:t>
      </w:r>
      <w:r w:rsidR="005B062F">
        <w:rPr>
          <w:rFonts w:ascii="Times New Roman" w:hAnsi="Times New Roman" w:cs="Times New Roman"/>
          <w:sz w:val="24"/>
          <w:szCs w:val="24"/>
        </w:rPr>
        <w:t xml:space="preserve"> that</w:t>
      </w:r>
      <w:r w:rsidR="005B5E67">
        <w:rPr>
          <w:rFonts w:ascii="Times New Roman" w:hAnsi="Times New Roman" w:cs="Times New Roman"/>
          <w:sz w:val="24"/>
          <w:szCs w:val="24"/>
        </w:rPr>
        <w:t xml:space="preserve"> </w:t>
      </w:r>
      <w:r w:rsidR="00696AEB">
        <w:rPr>
          <w:rFonts w:ascii="Times New Roman" w:hAnsi="Times New Roman" w:cs="Times New Roman"/>
          <w:sz w:val="24"/>
          <w:szCs w:val="24"/>
        </w:rPr>
        <w:t>portion of the Opinion and Order</w:t>
      </w:r>
      <w:r w:rsidR="005B062F">
        <w:rPr>
          <w:rFonts w:ascii="Times New Roman" w:hAnsi="Times New Roman" w:cs="Times New Roman"/>
          <w:sz w:val="24"/>
          <w:szCs w:val="24"/>
        </w:rPr>
        <w:t xml:space="preserve"> </w:t>
      </w:r>
      <w:r w:rsidR="001B6D72">
        <w:rPr>
          <w:rFonts w:ascii="Times New Roman" w:hAnsi="Times New Roman" w:cs="Times New Roman"/>
          <w:sz w:val="24"/>
          <w:szCs w:val="24"/>
        </w:rPr>
        <w:t>w</w:t>
      </w:r>
      <w:r w:rsidR="005B062F">
        <w:rPr>
          <w:rFonts w:ascii="Times New Roman" w:hAnsi="Times New Roman" w:cs="Times New Roman"/>
          <w:sz w:val="24"/>
          <w:szCs w:val="24"/>
        </w:rPr>
        <w:t>here Duke has focused its attention</w:t>
      </w:r>
      <w:r w:rsidR="00696AE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696AEB">
        <w:rPr>
          <w:rFonts w:ascii="Times New Roman" w:hAnsi="Times New Roman" w:cs="Times New Roman"/>
          <w:sz w:val="24"/>
          <w:szCs w:val="24"/>
        </w:rPr>
        <w:t>Duke Energy is wrong.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F2" w:rsidP="00400B47" w14:paraId="22CE7CA1" w14:textId="33828008">
      <w:pPr>
        <w:spacing w:after="0" w:line="48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Duke </w:t>
      </w:r>
      <w:r w:rsidR="00740B65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not forego </w:t>
      </w:r>
      <w:r w:rsidR="00740B65">
        <w:rPr>
          <w:rFonts w:ascii="Times New Roman" w:hAnsi="Times New Roman" w:cs="Times New Roman"/>
          <w:sz w:val="24"/>
          <w:szCs w:val="24"/>
        </w:rPr>
        <w:t xml:space="preserve">any revenue as a result of the PUCO’s consumer protection </w:t>
      </w:r>
      <w:r w:rsidRPr="007B7CE0" w:rsidR="00740B65">
        <w:rPr>
          <w:rFonts w:ascii="Times New Roman" w:hAnsi="Times New Roman" w:cs="Times New Roman"/>
          <w:sz w:val="24"/>
          <w:szCs w:val="24"/>
        </w:rPr>
        <w:t>modification of the Settlement</w:t>
      </w:r>
      <w:r w:rsidRPr="007B7CE0">
        <w:rPr>
          <w:rFonts w:ascii="Times New Roman" w:hAnsi="Times New Roman" w:cs="Times New Roman"/>
          <w:sz w:val="24"/>
          <w:szCs w:val="24"/>
        </w:rPr>
        <w:t>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Pr="007B7CE0" w:rsidR="00740B65">
        <w:rPr>
          <w:rFonts w:ascii="Times New Roman" w:hAnsi="Times New Roman" w:cs="Times New Roman"/>
          <w:sz w:val="24"/>
          <w:szCs w:val="24"/>
        </w:rPr>
        <w:t xml:space="preserve">As OCC Witness Adkins explained in his testimony, </w:t>
      </w:r>
      <w:r w:rsidRPr="007B7CE0">
        <w:rPr>
          <w:rFonts w:ascii="Times New Roman" w:hAnsi="Times New Roman" w:cs="Times New Roman"/>
          <w:sz w:val="24"/>
          <w:szCs w:val="24"/>
        </w:rPr>
        <w:t>“Duke can file a base rate case any time it wants, at which point any prudent and used and useful [capital] investments on [the] date certain would be included in the rates that customers pay.”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>
        <w:t xml:space="preserve"> </w:t>
      </w:r>
    </w:p>
    <w:p w:rsidR="00CD63F2" w:rsidP="00400B47" w14:paraId="17C66945" w14:textId="00027E3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="00696AEB">
        <w:rPr>
          <w:rFonts w:ascii="Times New Roman" w:hAnsi="Times New Roman" w:cs="Times New Roman"/>
          <w:sz w:val="24"/>
          <w:szCs w:val="24"/>
        </w:rPr>
        <w:t xml:space="preserve">Duke Energy </w:t>
      </w:r>
      <w:r w:rsidR="005B062F">
        <w:rPr>
          <w:rFonts w:ascii="Times New Roman" w:hAnsi="Times New Roman" w:cs="Times New Roman"/>
          <w:sz w:val="24"/>
          <w:szCs w:val="24"/>
        </w:rPr>
        <w:t>sole focus on</w:t>
      </w:r>
      <w:r w:rsidR="00696AEB">
        <w:rPr>
          <w:rFonts w:ascii="Times New Roman" w:hAnsi="Times New Roman" w:cs="Times New Roman"/>
          <w:sz w:val="24"/>
          <w:szCs w:val="24"/>
        </w:rPr>
        <w:t xml:space="preserve"> the </w:t>
      </w:r>
      <w:r w:rsidR="005B062F">
        <w:rPr>
          <w:rFonts w:ascii="Times New Roman" w:hAnsi="Times New Roman" w:cs="Times New Roman"/>
          <w:sz w:val="24"/>
          <w:szCs w:val="24"/>
        </w:rPr>
        <w:t xml:space="preserve">portion of the </w:t>
      </w:r>
      <w:r w:rsidR="00696AEB">
        <w:rPr>
          <w:rFonts w:ascii="Times New Roman" w:hAnsi="Times New Roman" w:cs="Times New Roman"/>
          <w:sz w:val="24"/>
          <w:szCs w:val="24"/>
        </w:rPr>
        <w:t>Opinion and Order deal</w:t>
      </w:r>
      <w:r w:rsidR="005B062F">
        <w:rPr>
          <w:rFonts w:ascii="Times New Roman" w:hAnsi="Times New Roman" w:cs="Times New Roman"/>
          <w:sz w:val="24"/>
          <w:szCs w:val="24"/>
        </w:rPr>
        <w:t>ing</w:t>
      </w:r>
      <w:r w:rsidR="00696AEB">
        <w:rPr>
          <w:rFonts w:ascii="Times New Roman" w:hAnsi="Times New Roman" w:cs="Times New Roman"/>
          <w:sz w:val="24"/>
          <w:szCs w:val="24"/>
        </w:rPr>
        <w:t xml:space="preserve"> with the </w:t>
      </w:r>
      <w:r w:rsidR="00696AEB">
        <w:rPr>
          <w:rFonts w:ascii="Times New Roman" w:hAnsi="Times New Roman" w:cs="Times New Roman"/>
          <w:i/>
          <w:iCs/>
          <w:sz w:val="24"/>
          <w:szCs w:val="24"/>
        </w:rPr>
        <w:t xml:space="preserve">second </w:t>
      </w:r>
      <w:r w:rsidR="00696AEB">
        <w:rPr>
          <w:rFonts w:ascii="Times New Roman" w:hAnsi="Times New Roman" w:cs="Times New Roman"/>
          <w:sz w:val="24"/>
          <w:szCs w:val="24"/>
        </w:rPr>
        <w:t>part of the three-part test that the PUCO uses to evaluate settlements (whether the settlement is in the public interest)</w:t>
      </w:r>
      <w:r w:rsidR="005B062F">
        <w:rPr>
          <w:rFonts w:ascii="Times New Roman" w:hAnsi="Times New Roman" w:cs="Times New Roman"/>
          <w:sz w:val="24"/>
          <w:szCs w:val="24"/>
        </w:rPr>
        <w:t xml:space="preserve"> is misplaced and </w:t>
      </w:r>
      <w:r w:rsidR="00A96941">
        <w:rPr>
          <w:rFonts w:ascii="Times New Roman" w:hAnsi="Times New Roman" w:cs="Times New Roman"/>
          <w:sz w:val="24"/>
          <w:szCs w:val="24"/>
        </w:rPr>
        <w:t>too restrictive</w:t>
      </w:r>
      <w:r w:rsidR="00696AE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A96941">
        <w:rPr>
          <w:rFonts w:ascii="Times New Roman" w:hAnsi="Times New Roman" w:cs="Times New Roman"/>
          <w:sz w:val="24"/>
          <w:szCs w:val="24"/>
        </w:rPr>
        <w:t>That is because</w:t>
      </w:r>
      <w:r w:rsidR="00696AEB">
        <w:rPr>
          <w:rFonts w:ascii="Times New Roman" w:hAnsi="Times New Roman" w:cs="Times New Roman"/>
          <w:sz w:val="24"/>
          <w:szCs w:val="24"/>
        </w:rPr>
        <w:t xml:space="preserve"> the settlement test has </w:t>
      </w:r>
      <w:r w:rsidR="00696AEB">
        <w:rPr>
          <w:rFonts w:ascii="Times New Roman" w:hAnsi="Times New Roman" w:cs="Times New Roman"/>
          <w:i/>
          <w:iCs/>
          <w:sz w:val="24"/>
          <w:szCs w:val="24"/>
        </w:rPr>
        <w:t xml:space="preserve">three </w:t>
      </w:r>
      <w:r w:rsidR="00293842">
        <w:rPr>
          <w:rFonts w:ascii="Times New Roman" w:hAnsi="Times New Roman" w:cs="Times New Roman"/>
          <w:sz w:val="24"/>
          <w:szCs w:val="24"/>
        </w:rPr>
        <w:t xml:space="preserve">separate and distinct </w:t>
      </w:r>
      <w:r w:rsidR="00696AEB">
        <w:rPr>
          <w:rFonts w:ascii="Times New Roman" w:hAnsi="Times New Roman" w:cs="Times New Roman"/>
          <w:sz w:val="24"/>
          <w:szCs w:val="24"/>
        </w:rPr>
        <w:t>parts</w:t>
      </w:r>
      <w:r w:rsidR="00293842">
        <w:rPr>
          <w:rFonts w:ascii="Times New Roman" w:hAnsi="Times New Roman" w:cs="Times New Roman"/>
          <w:sz w:val="24"/>
          <w:szCs w:val="24"/>
        </w:rPr>
        <w:t xml:space="preserve"> under which </w:t>
      </w:r>
      <w:r w:rsidR="005B062F">
        <w:rPr>
          <w:rFonts w:ascii="Times New Roman" w:hAnsi="Times New Roman" w:cs="Times New Roman"/>
          <w:sz w:val="24"/>
          <w:szCs w:val="24"/>
        </w:rPr>
        <w:t xml:space="preserve">the PUCO evaluates </w:t>
      </w:r>
      <w:r w:rsidR="00293842">
        <w:rPr>
          <w:rFonts w:ascii="Times New Roman" w:hAnsi="Times New Roman" w:cs="Times New Roman"/>
          <w:sz w:val="24"/>
          <w:szCs w:val="24"/>
        </w:rPr>
        <w:t>settlements</w:t>
      </w:r>
      <w:r w:rsidR="00696AE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696AEB">
        <w:rPr>
          <w:rFonts w:ascii="Times New Roman" w:hAnsi="Times New Roman" w:cs="Times New Roman"/>
          <w:sz w:val="24"/>
          <w:szCs w:val="24"/>
        </w:rPr>
        <w:t xml:space="preserve">And it is under the </w:t>
      </w:r>
      <w:r w:rsidRPr="005E09AC" w:rsidR="00696AEB">
        <w:rPr>
          <w:rFonts w:ascii="Times New Roman" w:hAnsi="Times New Roman" w:cs="Times New Roman"/>
          <w:i/>
          <w:iCs/>
          <w:sz w:val="24"/>
          <w:szCs w:val="24"/>
        </w:rPr>
        <w:t>third part</w:t>
      </w:r>
      <w:r w:rsidR="00696AEB">
        <w:rPr>
          <w:rFonts w:ascii="Times New Roman" w:hAnsi="Times New Roman" w:cs="Times New Roman"/>
          <w:sz w:val="24"/>
          <w:szCs w:val="24"/>
        </w:rPr>
        <w:t xml:space="preserve"> of the three-part test (whether the Settlement violates any important regulatory practices or principles) that the PUCO modified the Settlement to protect consumers.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 w:rsidR="00696AEB">
        <w:rPr>
          <w:rFonts w:ascii="Times New Roman" w:hAnsi="Times New Roman" w:cs="Times New Roman"/>
          <w:sz w:val="24"/>
          <w:szCs w:val="24"/>
        </w:rPr>
        <w:t>The Opinion and Order is not internally inconsistent at all.</w:t>
      </w:r>
    </w:p>
    <w:p w:rsidR="009C6A30" w:rsidP="00400B47" w14:paraId="1B08C667" w14:textId="1F9B6F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PUCO was perfectly within its authority to modify the Settlement to protect consumers.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modification was neither unjust nor unreasonable.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Duke Energy’s application for rehearing should be denied.</w:t>
      </w:r>
    </w:p>
    <w:p w:rsidR="009C6A30" w14:paraId="29084FE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6AEB" w:rsidRPr="005E09AC" w:rsidP="00400B47" w14:paraId="3731D998" w14:textId="51EE7287">
      <w:pPr>
        <w:pStyle w:val="ListParagraph"/>
        <w:numPr>
          <w:ilvl w:val="0"/>
          <w:numId w:val="5"/>
        </w:numPr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E09AC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517B0A" w:rsidP="0067410E" w14:paraId="7FFF9F13" w14:textId="777777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Ohioans are fighting every day to overcome the hardship of the coronavirus pandemic, one of the last things they need is rate shock </w:t>
      </w:r>
      <w:r w:rsidR="00A77E5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their utility bills.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Consistent with OCC’s recommendations, t</w:t>
      </w:r>
      <w:r>
        <w:rPr>
          <w:rFonts w:ascii="Times New Roman" w:hAnsi="Times New Roman" w:cs="Times New Roman"/>
          <w:sz w:val="24"/>
          <w:szCs w:val="24"/>
        </w:rPr>
        <w:t>he PUCO modified the Settlement to protect consumers from rate shock and uphold the important regulatory principle of gradualism.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OCC recommended additional consumer protections that would have reduced charges on consumers even more.  </w:t>
      </w:r>
    </w:p>
    <w:p w:rsidR="005E09AC" w:rsidRPr="005E09AC" w:rsidP="0067410E" w14:paraId="391FD0C0" w14:textId="4B5B134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modifying the Settlement, the PUCO</w:t>
      </w:r>
      <w:r>
        <w:rPr>
          <w:rFonts w:ascii="Times New Roman" w:hAnsi="Times New Roman" w:cs="Times New Roman"/>
          <w:sz w:val="24"/>
          <w:szCs w:val="24"/>
        </w:rPr>
        <w:t xml:space="preserve"> acted justly, reasonably, and within the law.</w:t>
      </w:r>
      <w:r w:rsidR="0088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Duke Energy’s application for rehearing should be denied.</w:t>
      </w:r>
    </w:p>
    <w:p w:rsidR="00A9282F" w14:paraId="063F6666" w14:textId="499ED7FF">
      <w:pPr>
        <w:rPr>
          <w:rFonts w:ascii="Times New Roman" w:hAnsi="Times New Roman" w:cs="Times New Roman"/>
          <w:sz w:val="24"/>
          <w:szCs w:val="24"/>
        </w:rPr>
      </w:pPr>
    </w:p>
    <w:p w:rsidR="00A9282F" w:rsidP="00A9282F" w14:paraId="0E71E748" w14:textId="77777777">
      <w:pPr>
        <w:pStyle w:val="BodyTextIndent3"/>
        <w:spacing w:line="240" w:lineRule="auto"/>
        <w:ind w:left="3600"/>
        <w:rPr>
          <w:szCs w:val="24"/>
        </w:rPr>
      </w:pPr>
      <w:r>
        <w:rPr>
          <w:szCs w:val="24"/>
        </w:rPr>
        <w:t>Respectfully submitted,</w:t>
      </w:r>
    </w:p>
    <w:p w:rsidR="00A9282F" w:rsidRPr="00F10C1E" w:rsidP="00A9282F" w14:paraId="42C26FFA" w14:textId="77777777">
      <w:pPr>
        <w:pStyle w:val="BodyTextIndent3"/>
        <w:spacing w:line="240" w:lineRule="auto"/>
        <w:ind w:left="3600"/>
      </w:pPr>
    </w:p>
    <w:p w:rsidR="00A9282F" w:rsidRPr="00A9282F" w:rsidP="00A9282F" w14:paraId="384E93DA" w14:textId="1524F2A2">
      <w:pPr>
        <w:pStyle w:val="Footer"/>
        <w:tabs>
          <w:tab w:val="clear" w:pos="468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>Bruce Weston (0016973)</w:t>
      </w:r>
      <w:r w:rsidRPr="00A9282F">
        <w:rPr>
          <w:rFonts w:ascii="Times New Roman" w:hAnsi="Times New Roman" w:cs="Times New Roman"/>
          <w:sz w:val="24"/>
          <w:szCs w:val="24"/>
        </w:rPr>
        <w:tab/>
      </w:r>
    </w:p>
    <w:p w:rsidR="00A9282F" w:rsidRPr="00A9282F" w:rsidP="00A9282F" w14:paraId="398AD75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  <w:t>Ohio Consumers’ Counsel</w:t>
      </w:r>
    </w:p>
    <w:p w:rsidR="00A9282F" w:rsidRPr="00A9282F" w:rsidP="009C6A30" w14:paraId="1E748AA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82F" w:rsidRPr="00A9282F" w:rsidP="00A9282F" w14:paraId="77F75B1D" w14:textId="777777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i/>
          <w:iCs/>
          <w:sz w:val="24"/>
          <w:szCs w:val="24"/>
          <w:u w:val="single"/>
        </w:rPr>
        <w:t>/s/ William J. Michael</w:t>
      </w:r>
      <w:r w:rsidRPr="00A9282F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A9282F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A9282F" w:rsidRPr="00A9282F" w:rsidP="00A9282F" w14:paraId="676F67C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  <w:t>William J. Michael (0070921)</w:t>
      </w:r>
    </w:p>
    <w:p w:rsidR="00A9282F" w:rsidRPr="00A9282F" w:rsidP="00A9282F" w14:paraId="37EE6F34" w14:textId="77777777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>Counsel of Record</w:t>
      </w:r>
    </w:p>
    <w:p w:rsidR="00A9282F" w:rsidRPr="00A9282F" w:rsidP="00A9282F" w14:paraId="512CF32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  <w:t>Ambrosia E. Wilson (0096598)</w:t>
      </w:r>
    </w:p>
    <w:p w:rsidR="00A9282F" w:rsidRPr="00A9282F" w:rsidP="00A9282F" w14:paraId="44793A7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  <w:t>Amy Botschner O’Brien (0074423)</w:t>
      </w:r>
    </w:p>
    <w:p w:rsidR="00A9282F" w:rsidRPr="00A9282F" w:rsidP="00A9282F" w14:paraId="79C5E25D" w14:textId="77777777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>Assistant Consumers’ Counsel</w:t>
      </w:r>
    </w:p>
    <w:p w:rsidR="00A9282F" w:rsidRPr="00A9282F" w:rsidP="00A9282F" w14:paraId="378A0DE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</w:p>
    <w:p w:rsidR="00A9282F" w:rsidRPr="00A9282F" w:rsidP="00A9282F" w14:paraId="464379EF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b/>
          <w:bCs/>
          <w:sz w:val="24"/>
          <w:szCs w:val="24"/>
        </w:rPr>
        <w:t>Office of the Ohio Consumers’ Counsel</w:t>
      </w:r>
    </w:p>
    <w:p w:rsidR="00A9282F" w:rsidRPr="00A9282F" w:rsidP="00A9282F" w14:paraId="25A98FB5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  <w:t>65 East State Street, 7th Floor</w:t>
      </w:r>
    </w:p>
    <w:p w:rsidR="00A9282F" w:rsidRPr="00A9282F" w:rsidP="00A9282F" w14:paraId="74FAC9F9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  <w:t>Columbus, Ohio 43215-4213</w:t>
      </w:r>
    </w:p>
    <w:p w:rsidR="00A9282F" w:rsidRPr="00A9282F" w:rsidP="00A9282F" w14:paraId="542350A3" w14:textId="7777777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>Telephone [Michael]: (614) 466-1291</w:t>
      </w:r>
      <w:r w:rsidRPr="00A9282F">
        <w:rPr>
          <w:rFonts w:ascii="Times New Roman" w:hAnsi="Times New Roman" w:cs="Times New Roman"/>
          <w:sz w:val="24"/>
          <w:szCs w:val="24"/>
        </w:rPr>
        <w:br/>
      </w:r>
      <w:r w:rsidRPr="00A9282F">
        <w:rPr>
          <w:rFonts w:ascii="Times New Roman" w:hAnsi="Times New Roman" w:cs="Times New Roman"/>
          <w:sz w:val="24"/>
          <w:szCs w:val="24"/>
        </w:rPr>
        <w:tab/>
        <w:t>Telephone [Wilson]: (614) 466-1292</w:t>
      </w:r>
    </w:p>
    <w:p w:rsidR="00A9282F" w:rsidRPr="00A9282F" w:rsidP="00A9282F" w14:paraId="69D96EBB" w14:textId="7777777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>Telephone [Botschner O’Brien] (614) 466-9575</w:t>
      </w:r>
    </w:p>
    <w:p w:rsidR="00A9282F" w:rsidRPr="00A9282F" w:rsidP="00A9282F" w14:paraId="5579DCE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A9282F">
          <w:rPr>
            <w:rStyle w:val="Hyperlink"/>
            <w:rFonts w:ascii="Times New Roman" w:hAnsi="Times New Roman" w:cs="Times New Roman"/>
            <w:sz w:val="24"/>
            <w:szCs w:val="24"/>
          </w:rPr>
          <w:t>william.michael@occ.ohio.gov</w:t>
        </w:r>
      </w:hyperlink>
      <w:r w:rsidRPr="00A9282F">
        <w:rPr>
          <w:rFonts w:ascii="Times New Roman" w:hAnsi="Times New Roman" w:cs="Times New Roman"/>
          <w:sz w:val="24"/>
          <w:szCs w:val="24"/>
        </w:rPr>
        <w:br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A9282F">
          <w:rPr>
            <w:rStyle w:val="Hyperlink"/>
            <w:rFonts w:ascii="Times New Roman" w:hAnsi="Times New Roman" w:cs="Times New Roman"/>
            <w:sz w:val="24"/>
            <w:szCs w:val="24"/>
          </w:rPr>
          <w:t>ambrosia.wilson@occ.ohio.gov</w:t>
        </w:r>
      </w:hyperlink>
    </w:p>
    <w:p w:rsidR="00A9282F" w:rsidRPr="00A9282F" w:rsidP="00A9282F" w14:paraId="3F1BF25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A9282F">
          <w:rPr>
            <w:rStyle w:val="Hyperlink"/>
            <w:rFonts w:ascii="Times New Roman" w:hAnsi="Times New Roman" w:cs="Times New Roman"/>
            <w:sz w:val="24"/>
            <w:szCs w:val="24"/>
          </w:rPr>
          <w:t>amy.botschner.obrien@occ.ohio.gov</w:t>
        </w:r>
      </w:hyperlink>
      <w:r w:rsidRPr="00A92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2F" w:rsidRPr="00A9282F" w:rsidP="00A9282F" w14:paraId="2E2BDEF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>(willing to accept service by email)</w:t>
      </w:r>
    </w:p>
    <w:p w:rsidR="00A9282F" w14:paraId="3AA95D6D" w14:textId="70FDF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282F" w:rsidRPr="00340405" w:rsidP="00A9282F" w14:paraId="03D2FD18" w14:textId="77777777">
      <w:pPr>
        <w:pStyle w:val="ANSWER"/>
        <w:suppressLineNumbers/>
        <w:ind w:left="720"/>
        <w:jc w:val="center"/>
        <w:rPr>
          <w:b/>
          <w:szCs w:val="24"/>
          <w:u w:val="single"/>
        </w:rPr>
      </w:pPr>
      <w:r w:rsidRPr="00340405">
        <w:rPr>
          <w:b/>
          <w:szCs w:val="24"/>
          <w:u w:val="single"/>
        </w:rPr>
        <w:t>CERTIFICATE OF SERVICE</w:t>
      </w:r>
    </w:p>
    <w:p w:rsidR="00A9282F" w:rsidRPr="00A9282F" w:rsidP="00A9282F" w14:paraId="50443977" w14:textId="649C4A4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 xml:space="preserve">I hereby certify that a copy of this </w:t>
      </w:r>
      <w:r w:rsidR="0080772B">
        <w:rPr>
          <w:rFonts w:ascii="Times New Roman" w:hAnsi="Times New Roman" w:cs="Times New Roman"/>
          <w:sz w:val="24"/>
          <w:szCs w:val="24"/>
        </w:rPr>
        <w:t>Memorandum Contra</w:t>
      </w:r>
      <w:r w:rsidRPr="00A9282F">
        <w:rPr>
          <w:rFonts w:ascii="Times New Roman" w:hAnsi="Times New Roman" w:cs="Times New Roman"/>
          <w:sz w:val="24"/>
          <w:szCs w:val="24"/>
        </w:rPr>
        <w:t xml:space="preserve"> was served on the persons stated below via electronic transmission, this </w:t>
      </w:r>
      <w:r w:rsidR="0014046E">
        <w:rPr>
          <w:rFonts w:ascii="Times New Roman" w:hAnsi="Times New Roman" w:cs="Times New Roman"/>
          <w:sz w:val="24"/>
          <w:szCs w:val="24"/>
        </w:rPr>
        <w:t>1st</w:t>
      </w:r>
      <w:r w:rsidRPr="00A9282F">
        <w:rPr>
          <w:rFonts w:ascii="Times New Roman" w:hAnsi="Times New Roman" w:cs="Times New Roman"/>
          <w:sz w:val="24"/>
          <w:szCs w:val="24"/>
        </w:rPr>
        <w:t xml:space="preserve"> day of </w:t>
      </w:r>
      <w:r w:rsidR="0014046E">
        <w:rPr>
          <w:rFonts w:ascii="Times New Roman" w:hAnsi="Times New Roman" w:cs="Times New Roman"/>
          <w:sz w:val="24"/>
          <w:szCs w:val="24"/>
        </w:rPr>
        <w:t>June</w:t>
      </w:r>
      <w:r w:rsidRPr="00A9282F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A9282F" w:rsidRPr="00340405" w:rsidP="00A9282F" w14:paraId="645D6976" w14:textId="77777777">
      <w:pPr>
        <w:suppressLineNumbers/>
        <w:ind w:firstLine="720"/>
      </w:pPr>
    </w:p>
    <w:p w:rsidR="00A9282F" w:rsidRPr="00A9282F" w:rsidP="00A9282F" w14:paraId="6EA3CEE6" w14:textId="77777777">
      <w:pPr>
        <w:suppressLineNumbers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0405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9282F">
        <w:rPr>
          <w:rFonts w:ascii="Times New Roman" w:hAnsi="Times New Roman" w:cs="Times New Roman"/>
          <w:i/>
          <w:sz w:val="24"/>
          <w:szCs w:val="24"/>
          <w:u w:val="single"/>
        </w:rPr>
        <w:t>/s/ William J. Michael</w:t>
      </w:r>
      <w:r w:rsidRPr="00A9282F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9282F" w:rsidRPr="00A9282F" w:rsidP="00A9282F" w14:paraId="1D453123" w14:textId="77777777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  <w:t>William J. Michael</w:t>
      </w:r>
    </w:p>
    <w:p w:rsidR="00A9282F" w:rsidRPr="00A9282F" w:rsidP="00A9282F" w14:paraId="027ACEA1" w14:textId="77777777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</w:r>
      <w:r w:rsidRPr="00A9282F">
        <w:rPr>
          <w:rFonts w:ascii="Times New Roman" w:hAnsi="Times New Roman" w:cs="Times New Roman"/>
          <w:sz w:val="24"/>
          <w:szCs w:val="24"/>
        </w:rPr>
        <w:tab/>
        <w:t>Assistant Consumers’ Counsel</w:t>
      </w:r>
    </w:p>
    <w:p w:rsidR="00A9282F" w:rsidRPr="00A9282F" w:rsidP="00A9282F" w14:paraId="3C55B1D5" w14:textId="77777777">
      <w:pPr>
        <w:suppressLineNumbers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282F" w:rsidRPr="00A9282F" w:rsidP="00A9282F" w14:paraId="3E940CD3" w14:textId="77777777">
      <w:pPr>
        <w:rPr>
          <w:rFonts w:ascii="Times New Roman" w:hAnsi="Times New Roman" w:cs="Times New Roman"/>
          <w:sz w:val="24"/>
          <w:szCs w:val="24"/>
        </w:rPr>
      </w:pPr>
      <w:r w:rsidRPr="00A9282F">
        <w:rPr>
          <w:rFonts w:ascii="Times New Roman" w:hAnsi="Times New Roman" w:cs="Times New Roman"/>
          <w:sz w:val="24"/>
          <w:szCs w:val="24"/>
        </w:rPr>
        <w:t>The PUCO’s e-filing system will electronically serve notice of the filing of this document on the following parties:</w:t>
      </w:r>
    </w:p>
    <w:p w:rsidR="00A9282F" w:rsidRPr="00A9282F" w:rsidP="00A9282F" w14:paraId="78F6E302" w14:textId="77777777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82F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A9282F" w:rsidRPr="00A9282F" w:rsidP="0080772B" w14:paraId="326FC488" w14:textId="77777777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410"/>
        <w:gridCol w:w="4220"/>
      </w:tblGrid>
      <w:tr w14:paraId="0F847634" w14:textId="77777777" w:rsidTr="00EF1556">
        <w:tblPrEx>
          <w:tblW w:w="0" w:type="auto"/>
          <w:tblLook w:val="04A0"/>
        </w:tblPrEx>
        <w:tc>
          <w:tcPr>
            <w:tcW w:w="4410" w:type="dxa"/>
          </w:tcPr>
          <w:p w:rsidR="00A9282F" w:rsidRPr="00A9282F" w:rsidP="00EF1556" w14:paraId="04D3522D" w14:textId="4DF5951B">
            <w:pPr>
              <w:pStyle w:val="CommentTex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476C87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Steven.Beeler@ohioA</w:t>
              </w:r>
              <w:r w:rsidRPr="00476C87">
                <w:rPr>
                  <w:rStyle w:val="Hyperlink"/>
                  <w:rFonts w:ascii="Times New Roman" w:hAnsi="Times New Roman" w:cs="Times New Roman"/>
                  <w:bCs/>
                </w:rPr>
                <w:t>GO</w:t>
              </w:r>
              <w:r w:rsidRPr="00476C87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.gov</w:t>
              </w:r>
            </w:hyperlink>
          </w:p>
          <w:p w:rsidR="00A9282F" w:rsidRPr="00A9282F" w:rsidP="00EF1556" w14:paraId="5140EAC3" w14:textId="77777777">
            <w:pPr>
              <w:pStyle w:val="Comment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82F">
              <w:rPr>
                <w:rFonts w:ascii="Times New Roman" w:hAnsi="Times New Roman" w:cs="Times New Roman"/>
                <w:bCs/>
                <w:sz w:val="24"/>
                <w:szCs w:val="24"/>
              </w:rPr>
              <w:t>Attorney Examiners:</w:t>
            </w:r>
          </w:p>
          <w:p w:rsidR="00A9282F" w:rsidRPr="00A9282F" w:rsidP="00A9282F" w14:paraId="064E0EF7" w14:textId="77777777">
            <w:pPr>
              <w:pStyle w:val="CommentText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A9282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matthew.sandor@puco.ohio.gov</w:t>
              </w:r>
            </w:hyperlink>
          </w:p>
          <w:p w:rsidR="00A9282F" w:rsidRPr="00A9282F" w:rsidP="009C6A30" w14:paraId="715AA87B" w14:textId="3A7D407E">
            <w:pPr>
              <w:pStyle w:val="CommentText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A928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A9282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arah.parrot@puco.ohio.gov</w:t>
              </w:r>
            </w:hyperlink>
          </w:p>
        </w:tc>
        <w:tc>
          <w:tcPr>
            <w:tcW w:w="4220" w:type="dxa"/>
          </w:tcPr>
          <w:p w:rsidR="00A9282F" w:rsidRPr="00A9282F" w:rsidP="00A9282F" w14:paraId="3DFE795C" w14:textId="77777777">
            <w:pPr>
              <w:pStyle w:val="CommentText"/>
              <w:widowControl w:val="0"/>
              <w:autoSpaceDE w:val="0"/>
              <w:autoSpaceDN w:val="0"/>
              <w:adjustRightInd w:val="0"/>
              <w:spacing w:after="0"/>
              <w:ind w:left="5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A9282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Rocco.dascenzo@duke-energy.com</w:t>
              </w:r>
            </w:hyperlink>
          </w:p>
          <w:p w:rsidR="00A9282F" w:rsidRPr="00A9282F" w:rsidP="00A9282F" w14:paraId="66828FDE" w14:textId="77777777">
            <w:pPr>
              <w:pStyle w:val="CommentText"/>
              <w:widowControl w:val="0"/>
              <w:autoSpaceDE w:val="0"/>
              <w:autoSpaceDN w:val="0"/>
              <w:adjustRightInd w:val="0"/>
              <w:spacing w:after="0"/>
              <w:ind w:left="5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A9282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Jeanne.kingery@duke-energy.com</w:t>
              </w:r>
            </w:hyperlink>
          </w:p>
          <w:p w:rsidR="00A9282F" w:rsidRPr="00A9282F" w:rsidP="00A9282F" w14:paraId="39D6227F" w14:textId="1AD82C8B">
            <w:pPr>
              <w:pStyle w:val="CommentText"/>
              <w:widowControl w:val="0"/>
              <w:autoSpaceDE w:val="0"/>
              <w:autoSpaceDN w:val="0"/>
              <w:adjustRightInd w:val="0"/>
              <w:spacing w:after="0"/>
              <w:ind w:left="5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D671FB" w:rsidR="00D671FB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Larisa.vaysman</w:t>
              </w:r>
              <w:r w:rsidRPr="00476C87" w:rsidR="00D671FB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@duke-energy.com</w:t>
              </w:r>
            </w:hyperlink>
          </w:p>
          <w:p w:rsidR="00A9282F" w:rsidRPr="00A9282F" w:rsidP="00EF1556" w14:paraId="66F63CB9" w14:textId="77777777">
            <w:pPr>
              <w:pStyle w:val="CommentTex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282F" w:rsidRPr="0080772B" w:rsidP="00A9282F" w14:paraId="67B75911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282F" w:rsidRPr="0080772B" w:rsidP="00A9282F" w14:paraId="7FE0D982" w14:textId="7777777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9282F" w:rsidRPr="0080772B" w:rsidP="00A9282F" w14:paraId="7005457D" w14:textId="7777777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19" w:rsidRPr="00A9282F" w:rsidP="00677C7F" w14:paraId="5A803736" w14:textId="77777777">
      <w:pPr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sectPr w:rsidSect="007B7CE0">
      <w:footerReference w:type="default" r:id="rId16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25058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B7CE0" w:rsidRPr="007B7CE0" w14:paraId="4AC5EB92" w14:textId="16B7853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8967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4046E" w:rsidRPr="0014046E" w14:paraId="1A6A43C5" w14:textId="6AE65CF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04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04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04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404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04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B1E2F" w:rsidP="00B92711" w14:paraId="1FC73C6C" w14:textId="77777777">
      <w:pPr>
        <w:spacing w:after="0" w:line="240" w:lineRule="auto"/>
      </w:pPr>
      <w:r>
        <w:separator/>
      </w:r>
    </w:p>
  </w:footnote>
  <w:footnote w:type="continuationSeparator" w:id="1">
    <w:p w:rsidR="00FB1E2F" w:rsidP="00B92711" w14:paraId="0E7BDBD1" w14:textId="77777777">
      <w:pPr>
        <w:spacing w:after="0" w:line="240" w:lineRule="auto"/>
      </w:pPr>
      <w:r>
        <w:continuationSeparator/>
      </w:r>
    </w:p>
  </w:footnote>
  <w:footnote w:id="2">
    <w:p w:rsidR="00B92711" w:rsidRPr="0067410E" w:rsidP="0067410E" w14:paraId="0ED16FAB" w14:textId="06563D8C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Joint Exs. 1 and 2 (collectively, “Settlement”).</w:t>
      </w:r>
    </w:p>
  </w:footnote>
  <w:footnote w:id="3">
    <w:p w:rsidR="00B92711" w:rsidRPr="0067410E" w:rsidP="0067410E" w14:paraId="26C52A2B" w14:textId="2994A452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The Settlement’s initial $3.69/month rate x 406,082 residential customers x 6 months = $8,990,655. The Settlement’s November 1, 2021 – October 31, 2022 $9.31/month rate x 406,082 residential customers x 12 months = $45,367,481. The Settlement’s November 1, 2022 – October 31, 2023 $10.31/month rate x 406,082 residential customers x 12 months = $50,240,465. Therefore, $8,990,655 + $45,367,481 + $50,240,465 = $104,598,601.</w:t>
      </w:r>
    </w:p>
  </w:footnote>
  <w:footnote w:id="4">
    <w:p w:rsidR="00B92711" w:rsidRPr="0067410E" w:rsidP="0067410E" w14:paraId="5F7D3316" w14:textId="4FE0BFBF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Opinion and Order (April 21, 2021) at 46-47</w:t>
      </w:r>
      <w:r w:rsidRPr="0067410E" w:rsidR="00B710E0">
        <w:rPr>
          <w:rFonts w:ascii="Times New Roman" w:hAnsi="Times New Roman"/>
        </w:rPr>
        <w:t xml:space="preserve"> (citation omitted)</w:t>
      </w:r>
      <w:r w:rsidRPr="0067410E">
        <w:rPr>
          <w:rFonts w:ascii="Times New Roman" w:hAnsi="Times New Roman"/>
        </w:rPr>
        <w:t>.</w:t>
      </w:r>
    </w:p>
  </w:footnote>
  <w:footnote w:id="5">
    <w:p w:rsidR="00B92711" w:rsidRPr="0067410E" w:rsidP="0067410E" w14:paraId="33EF7F5C" w14:textId="38BFC4CE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Duke Energy’s Application for Rehearing (</w:t>
      </w:r>
      <w:r w:rsidRPr="0067410E" w:rsidR="00B710E0">
        <w:rPr>
          <w:rFonts w:ascii="Times New Roman" w:hAnsi="Times New Roman"/>
        </w:rPr>
        <w:t>May 21, 2021).</w:t>
      </w:r>
    </w:p>
  </w:footnote>
  <w:footnote w:id="6">
    <w:p w:rsidR="00CD659E" w:rsidRPr="0067410E" w:rsidP="0067410E" w14:paraId="0BC58A3B" w14:textId="1323109D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 xml:space="preserve">See </w:t>
      </w:r>
      <w:r w:rsidRPr="0067410E">
        <w:rPr>
          <w:rFonts w:ascii="Times New Roman" w:hAnsi="Times New Roman"/>
        </w:rPr>
        <w:t>Application for Rehearing at 6.</w:t>
      </w:r>
    </w:p>
  </w:footnote>
  <w:footnote w:id="7">
    <w:p w:rsidR="00CD659E" w:rsidRPr="0067410E" w:rsidP="0067410E" w14:paraId="10E62869" w14:textId="0EB4BE86">
      <w:pPr>
        <w:pStyle w:val="FootnoteText"/>
        <w:spacing w:after="120"/>
        <w:rPr>
          <w:rFonts w:ascii="Times New Roman" w:hAnsi="Times New Roman"/>
          <w:i/>
          <w:iCs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>Id.</w:t>
      </w:r>
    </w:p>
  </w:footnote>
  <w:footnote w:id="8">
    <w:p w:rsidR="00CD659E" w:rsidRPr="0067410E" w:rsidP="0067410E" w14:paraId="07344FF8" w14:textId="7B9986F2">
      <w:pPr>
        <w:pStyle w:val="FootnoteText"/>
        <w:spacing w:after="120"/>
        <w:rPr>
          <w:rFonts w:ascii="Times New Roman" w:hAnsi="Times New Roman"/>
          <w:i/>
          <w:iCs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>Id.</w:t>
      </w:r>
    </w:p>
  </w:footnote>
  <w:footnote w:id="9">
    <w:p w:rsidR="008F6C0F" w:rsidRPr="0067410E" w:rsidP="0067410E" w14:paraId="2A8A3E88" w14:textId="1DD2A160">
      <w:pPr>
        <w:pStyle w:val="FootnoteText"/>
        <w:spacing w:after="120"/>
        <w:rPr>
          <w:rFonts w:ascii="Times New Roman" w:hAnsi="Times New Roman"/>
          <w:iCs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</w:rPr>
        <w:t xml:space="preserve">See </w:t>
      </w:r>
      <w:r w:rsidRPr="0067410E">
        <w:rPr>
          <w:rFonts w:ascii="Times New Roman" w:hAnsi="Times New Roman"/>
          <w:iCs/>
        </w:rPr>
        <w:t>Opinion and Order at 47.</w:t>
      </w:r>
    </w:p>
  </w:footnote>
  <w:footnote w:id="10">
    <w:p w:rsidR="008F6C0F" w:rsidRPr="0067410E" w:rsidP="0067410E" w14:paraId="07A724D4" w14:textId="4F357BB6">
      <w:pPr>
        <w:pStyle w:val="FootnoteText"/>
        <w:spacing w:after="120"/>
        <w:rPr>
          <w:rFonts w:ascii="Times New Roman" w:hAnsi="Times New Roman"/>
          <w:i/>
          <w:iCs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>See id.</w:t>
      </w:r>
    </w:p>
  </w:footnote>
  <w:footnote w:id="11">
    <w:p w:rsidR="00677C7F" w:rsidRPr="0067410E" w:rsidP="0067410E" w14:paraId="5428AF2A" w14:textId="5A3CAB66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 xml:space="preserve">See, e.g., </w:t>
      </w:r>
      <w:r w:rsidRPr="0067410E">
        <w:rPr>
          <w:rFonts w:ascii="Times New Roman" w:hAnsi="Times New Roman"/>
        </w:rPr>
        <w:t>O.A.C. 4901-1-30.</w:t>
      </w:r>
    </w:p>
  </w:footnote>
  <w:footnote w:id="12">
    <w:p w:rsidR="00677C7F" w:rsidRPr="0067410E" w:rsidP="0067410E" w14:paraId="7BA47843" w14:textId="4788B4D9">
      <w:pPr>
        <w:pStyle w:val="FootnoteText"/>
        <w:spacing w:after="120"/>
        <w:rPr>
          <w:rFonts w:ascii="Times New Roman" w:hAnsi="Times New Roman"/>
          <w:iCs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</w:rPr>
        <w:t xml:space="preserve">See </w:t>
      </w:r>
      <w:r w:rsidRPr="0067410E">
        <w:rPr>
          <w:rFonts w:ascii="Times New Roman" w:hAnsi="Times New Roman"/>
          <w:iCs/>
        </w:rPr>
        <w:t>Application for Rehearing at 7</w:t>
      </w:r>
      <w:r w:rsidRPr="0067410E" w:rsidR="005B5E67">
        <w:rPr>
          <w:rFonts w:ascii="Times New Roman" w:hAnsi="Times New Roman"/>
          <w:iCs/>
        </w:rPr>
        <w:t xml:space="preserve"> (discussing R.C. 4929.111)</w:t>
      </w:r>
      <w:r w:rsidRPr="0067410E">
        <w:rPr>
          <w:rFonts w:ascii="Times New Roman" w:hAnsi="Times New Roman"/>
          <w:iCs/>
        </w:rPr>
        <w:t>.</w:t>
      </w:r>
    </w:p>
  </w:footnote>
  <w:footnote w:id="13">
    <w:p w:rsidR="00B71E5F" w:rsidRPr="0067410E" w:rsidP="0067410E" w14:paraId="4E8E9063" w14:textId="3A0EF496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R.C. 4905.22.</w:t>
      </w:r>
    </w:p>
  </w:footnote>
  <w:footnote w:id="14">
    <w:p w:rsidR="00677C7F" w:rsidRPr="0067410E" w:rsidP="0067410E" w14:paraId="28C25B31" w14:textId="0F56D075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 xml:space="preserve">See, e.g., </w:t>
      </w:r>
      <w:r w:rsidRPr="0067410E">
        <w:rPr>
          <w:rFonts w:ascii="Times New Roman" w:hAnsi="Times New Roman"/>
        </w:rPr>
        <w:t>Opinion and Order at 21.</w:t>
      </w:r>
    </w:p>
  </w:footnote>
  <w:footnote w:id="15">
    <w:p w:rsidR="00905C19" w:rsidRPr="0067410E" w:rsidP="0067410E" w14:paraId="45033AD7" w14:textId="63138A20">
      <w:pPr>
        <w:pStyle w:val="FootnoteText"/>
        <w:spacing w:after="120"/>
        <w:rPr>
          <w:rFonts w:ascii="Times New Roman" w:hAnsi="Times New Roman"/>
          <w:iCs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</w:rPr>
        <w:t xml:space="preserve">Id. </w:t>
      </w:r>
      <w:r w:rsidRPr="0067410E">
        <w:rPr>
          <w:rFonts w:ascii="Times New Roman" w:hAnsi="Times New Roman"/>
          <w:iCs/>
        </w:rPr>
        <w:t>at 46-47 (citation omitted).</w:t>
      </w:r>
    </w:p>
  </w:footnote>
  <w:footnote w:id="16">
    <w:p w:rsidR="00905C19" w:rsidRPr="0067410E" w:rsidP="0067410E" w14:paraId="21708598" w14:textId="6DCB6228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R.C. 4905.22.</w:t>
      </w:r>
    </w:p>
  </w:footnote>
  <w:footnote w:id="17">
    <w:p w:rsidR="00905C19" w:rsidRPr="0067410E" w:rsidP="0067410E" w14:paraId="3CE1609A" w14:textId="41701493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R.C. 4929.05.</w:t>
      </w:r>
    </w:p>
  </w:footnote>
  <w:footnote w:id="18">
    <w:p w:rsidR="00E13200" w:rsidRPr="0067410E" w:rsidP="0067410E" w14:paraId="1B406F63" w14:textId="5D0F790C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 xml:space="preserve">See </w:t>
      </w:r>
      <w:r w:rsidRPr="0067410E">
        <w:rPr>
          <w:rFonts w:ascii="Times New Roman" w:hAnsi="Times New Roman"/>
        </w:rPr>
        <w:t>Application for Rehearing at 7.</w:t>
      </w:r>
    </w:p>
  </w:footnote>
  <w:footnote w:id="19">
    <w:p w:rsidR="00905C19" w:rsidRPr="0067410E" w:rsidP="0067410E" w14:paraId="52B0CE1D" w14:textId="11C91A98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Opinion and Order at 46-47.</w:t>
      </w:r>
    </w:p>
  </w:footnote>
  <w:footnote w:id="20">
    <w:p w:rsidR="005E09AC" w:rsidRPr="0067410E" w:rsidP="0067410E" w14:paraId="2EDDC4F1" w14:textId="074EDEA0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 xml:space="preserve">See, e.g., </w:t>
      </w:r>
      <w:r w:rsidRPr="0067410E">
        <w:rPr>
          <w:rFonts w:ascii="Times New Roman" w:hAnsi="Times New Roman"/>
        </w:rPr>
        <w:t>O.A.C. 4901-1-30.</w:t>
      </w:r>
    </w:p>
  </w:footnote>
  <w:footnote w:id="21">
    <w:p w:rsidR="00905C19" w:rsidRPr="0067410E" w:rsidP="0067410E" w14:paraId="2C31B23F" w14:textId="0FAC5FF4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bookmarkStart w:id="0" w:name="_Hlk72746941"/>
      <w:r w:rsidRPr="0067410E">
        <w:rPr>
          <w:rFonts w:ascii="Times New Roman" w:hAnsi="Times New Roman"/>
          <w:i/>
          <w:iCs/>
        </w:rPr>
        <w:t xml:space="preserve">See </w:t>
      </w:r>
      <w:r w:rsidRPr="0067410E" w:rsidR="00696AEB">
        <w:rPr>
          <w:rFonts w:ascii="Times New Roman" w:hAnsi="Times New Roman"/>
        </w:rPr>
        <w:t>Application for Rehearing at 8.</w:t>
      </w:r>
      <w:bookmarkEnd w:id="0"/>
    </w:p>
  </w:footnote>
  <w:footnote w:id="22">
    <w:p w:rsidR="00696AEB" w:rsidRPr="0067410E" w:rsidP="0067410E" w14:paraId="3C27D057" w14:textId="0EB78ECC">
      <w:pPr>
        <w:pStyle w:val="FootnoteText"/>
        <w:spacing w:after="120"/>
        <w:rPr>
          <w:rFonts w:ascii="Times New Roman" w:hAnsi="Times New Roman"/>
          <w:i/>
          <w:iCs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>See id.</w:t>
      </w:r>
    </w:p>
  </w:footnote>
  <w:footnote w:id="23">
    <w:p w:rsidR="00CD63F2" w:rsidRPr="0067410E" w:rsidP="0067410E" w14:paraId="1576F359" w14:textId="5F5228F8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Direct Testimony of Kerry J. Adkins (OCC Ex. 1) at 28.</w:t>
      </w:r>
    </w:p>
  </w:footnote>
  <w:footnote w:id="24">
    <w:p w:rsidR="00696AEB" w:rsidRPr="0067410E" w:rsidP="0067410E" w14:paraId="05B39F87" w14:textId="711C45DC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>See id.</w:t>
      </w:r>
      <w:r w:rsidRPr="0067410E" w:rsidR="00BA28C2">
        <w:rPr>
          <w:rFonts w:ascii="Times New Roman" w:hAnsi="Times New Roman"/>
          <w:i/>
          <w:iCs/>
        </w:rPr>
        <w:t xml:space="preserve"> </w:t>
      </w:r>
      <w:r w:rsidRPr="0067410E" w:rsidR="00BA28C2">
        <w:rPr>
          <w:rFonts w:ascii="Times New Roman" w:hAnsi="Times New Roman"/>
        </w:rPr>
        <w:t>OCC does not concede that the Settlement is in the public interest.</w:t>
      </w:r>
    </w:p>
  </w:footnote>
  <w:footnote w:id="25">
    <w:p w:rsidR="00696AEB" w:rsidRPr="0067410E" w:rsidP="0067410E" w14:paraId="4C3BF350" w14:textId="5BCD937E">
      <w:pPr>
        <w:pStyle w:val="FootnoteText"/>
        <w:spacing w:after="120"/>
        <w:rPr>
          <w:rFonts w:ascii="Times New Roman" w:hAnsi="Times New Roman"/>
          <w:iCs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 xml:space="preserve">See, e.g., </w:t>
      </w:r>
      <w:r w:rsidRPr="0067410E">
        <w:rPr>
          <w:rFonts w:ascii="Times New Roman" w:hAnsi="Times New Roman"/>
          <w:iCs/>
        </w:rPr>
        <w:t>Opinion and Order at 21.</w:t>
      </w:r>
    </w:p>
  </w:footnote>
  <w:footnote w:id="26">
    <w:p w:rsidR="00696AEB" w:rsidRPr="0067410E" w:rsidP="0067410E" w14:paraId="72EB0E6B" w14:textId="3C6C2A5F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 xml:space="preserve">Id. </w:t>
      </w:r>
      <w:r w:rsidRPr="0067410E">
        <w:rPr>
          <w:rFonts w:ascii="Times New Roman" w:hAnsi="Times New Roman"/>
        </w:rPr>
        <w:t>at 46-47.</w:t>
      </w:r>
    </w:p>
  </w:footnote>
  <w:footnote w:id="27">
    <w:p w:rsidR="00E13200" w:rsidRPr="0067410E" w:rsidP="0067410E" w14:paraId="3AB0201B" w14:textId="77777777">
      <w:pPr>
        <w:pStyle w:val="FootnoteText"/>
        <w:spacing w:after="120"/>
        <w:rPr>
          <w:rFonts w:ascii="Times New Roman" w:hAnsi="Times New Roman"/>
        </w:rPr>
      </w:pPr>
      <w:r w:rsidRPr="0067410E">
        <w:rPr>
          <w:rStyle w:val="FootnoteReference"/>
          <w:rFonts w:ascii="Times New Roman" w:hAnsi="Times New Roman"/>
        </w:rPr>
        <w:footnoteRef/>
      </w:r>
      <w:r w:rsidRPr="0067410E">
        <w:rPr>
          <w:rFonts w:ascii="Times New Roman" w:hAnsi="Times New Roman"/>
        </w:rPr>
        <w:t xml:space="preserve"> </w:t>
      </w:r>
      <w:r w:rsidRPr="0067410E">
        <w:rPr>
          <w:rFonts w:ascii="Times New Roman" w:hAnsi="Times New Roman"/>
          <w:i/>
          <w:iCs/>
        </w:rPr>
        <w:t xml:space="preserve">See, e.g., </w:t>
      </w:r>
      <w:r w:rsidRPr="0067410E">
        <w:rPr>
          <w:rFonts w:ascii="Times New Roman" w:hAnsi="Times New Roman"/>
        </w:rPr>
        <w:t>O.A.C. 4901-1-30.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15BDC"/>
    <w:multiLevelType w:val="hybridMultilevel"/>
    <w:tmpl w:val="0082BF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CCE"/>
    <w:multiLevelType w:val="hybridMultilevel"/>
    <w:tmpl w:val="E15C0F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CD7"/>
    <w:multiLevelType w:val="hybridMultilevel"/>
    <w:tmpl w:val="AE2A08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B4C49"/>
    <w:multiLevelType w:val="hybridMultilevel"/>
    <w:tmpl w:val="5B121B2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3557"/>
    <w:multiLevelType w:val="hybridMultilevel"/>
    <w:tmpl w:val="5848424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11"/>
    <w:rsid w:val="00067D4F"/>
    <w:rsid w:val="000877C3"/>
    <w:rsid w:val="0014046E"/>
    <w:rsid w:val="00194D60"/>
    <w:rsid w:val="00194E09"/>
    <w:rsid w:val="001967AD"/>
    <w:rsid w:val="001B6D72"/>
    <w:rsid w:val="0020596C"/>
    <w:rsid w:val="00293842"/>
    <w:rsid w:val="002A1DDA"/>
    <w:rsid w:val="002E1EF8"/>
    <w:rsid w:val="00340405"/>
    <w:rsid w:val="00387833"/>
    <w:rsid w:val="00391732"/>
    <w:rsid w:val="00400B47"/>
    <w:rsid w:val="0040499B"/>
    <w:rsid w:val="00472CCF"/>
    <w:rsid w:val="00476C87"/>
    <w:rsid w:val="00485722"/>
    <w:rsid w:val="004B648E"/>
    <w:rsid w:val="00517B0A"/>
    <w:rsid w:val="00564A38"/>
    <w:rsid w:val="00581AA7"/>
    <w:rsid w:val="005909C8"/>
    <w:rsid w:val="005B062F"/>
    <w:rsid w:val="005B5E67"/>
    <w:rsid w:val="005E09AC"/>
    <w:rsid w:val="00670193"/>
    <w:rsid w:val="0067410E"/>
    <w:rsid w:val="00677C7F"/>
    <w:rsid w:val="00694C64"/>
    <w:rsid w:val="00696AEB"/>
    <w:rsid w:val="006D3FB4"/>
    <w:rsid w:val="006E6372"/>
    <w:rsid w:val="006F1394"/>
    <w:rsid w:val="006F5AC5"/>
    <w:rsid w:val="00704BD9"/>
    <w:rsid w:val="00740B65"/>
    <w:rsid w:val="007B7CE0"/>
    <w:rsid w:val="007D1938"/>
    <w:rsid w:val="0080772B"/>
    <w:rsid w:val="0088190C"/>
    <w:rsid w:val="00886F65"/>
    <w:rsid w:val="008C0F43"/>
    <w:rsid w:val="008D7711"/>
    <w:rsid w:val="008F6C0F"/>
    <w:rsid w:val="00905C19"/>
    <w:rsid w:val="00927E1D"/>
    <w:rsid w:val="009C6A30"/>
    <w:rsid w:val="009C7800"/>
    <w:rsid w:val="009E0863"/>
    <w:rsid w:val="00A044B5"/>
    <w:rsid w:val="00A7271C"/>
    <w:rsid w:val="00A77E59"/>
    <w:rsid w:val="00A9282F"/>
    <w:rsid w:val="00A96941"/>
    <w:rsid w:val="00B2004B"/>
    <w:rsid w:val="00B710E0"/>
    <w:rsid w:val="00B71E5F"/>
    <w:rsid w:val="00B92711"/>
    <w:rsid w:val="00BA28C2"/>
    <w:rsid w:val="00BF40D1"/>
    <w:rsid w:val="00C6255C"/>
    <w:rsid w:val="00C6409F"/>
    <w:rsid w:val="00C83C5A"/>
    <w:rsid w:val="00CD63F2"/>
    <w:rsid w:val="00CD659E"/>
    <w:rsid w:val="00D671FB"/>
    <w:rsid w:val="00E13200"/>
    <w:rsid w:val="00E80E6A"/>
    <w:rsid w:val="00ED03F1"/>
    <w:rsid w:val="00EF1556"/>
    <w:rsid w:val="00EF442D"/>
    <w:rsid w:val="00F10C1E"/>
    <w:rsid w:val="00F5533D"/>
    <w:rsid w:val="00F745A0"/>
    <w:rsid w:val="00FB1E2F"/>
    <w:rsid w:val="00FC00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27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7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7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1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55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2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2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5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rsid w:val="006D3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D3FB4"/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E0"/>
  </w:style>
  <w:style w:type="paragraph" w:styleId="Footer">
    <w:name w:val="footer"/>
    <w:basedOn w:val="Normal"/>
    <w:link w:val="FooterChar"/>
    <w:uiPriority w:val="99"/>
    <w:unhideWhenUsed/>
    <w:rsid w:val="007B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E0"/>
  </w:style>
  <w:style w:type="character" w:styleId="Hyperlink">
    <w:name w:val="Hyperlink"/>
    <w:uiPriority w:val="99"/>
    <w:rsid w:val="00A9282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A9282F"/>
    <w:pPr>
      <w:spacing w:after="0" w:line="480" w:lineRule="atLeas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282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2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82F"/>
  </w:style>
  <w:style w:type="paragraph" w:customStyle="1" w:styleId="ANSWER">
    <w:name w:val="ANSWER"/>
    <w:basedOn w:val="Normal"/>
    <w:rsid w:val="00A9282F"/>
    <w:pPr>
      <w:spacing w:after="0" w:line="480" w:lineRule="auto"/>
      <w:ind w:left="1008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Steven.Beeler@ohioAGO.gov" TargetMode="External" /><Relationship Id="rId11" Type="http://schemas.openxmlformats.org/officeDocument/2006/relationships/hyperlink" Target="mailto:matthew.sandor@puco.ohio.gov" TargetMode="External" /><Relationship Id="rId12" Type="http://schemas.openxmlformats.org/officeDocument/2006/relationships/hyperlink" Target="mailto:sarah.parrot@puco.ohio.gov" TargetMode="External" /><Relationship Id="rId13" Type="http://schemas.openxmlformats.org/officeDocument/2006/relationships/hyperlink" Target="mailto:Rocco.dascenzo@duke-energy.com" TargetMode="External" /><Relationship Id="rId14" Type="http://schemas.openxmlformats.org/officeDocument/2006/relationships/hyperlink" Target="mailto:Jeanne.kingery@duke-energy.com" TargetMode="External" /><Relationship Id="rId15" Type="http://schemas.openxmlformats.org/officeDocument/2006/relationships/hyperlink" Target="mailto:Larisa.vaysman@duke-energy.com" TargetMode="External" /><Relationship Id="rId16" Type="http://schemas.openxmlformats.org/officeDocument/2006/relationships/footer" Target="footer2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hyperlink" Target="mailto:william.michael@occ.ohio.gov" TargetMode="External" /><Relationship Id="rId8" Type="http://schemas.openxmlformats.org/officeDocument/2006/relationships/hyperlink" Target="mailto:ambrosia.wilson@occ.ohio.gov" TargetMode="External" /><Relationship Id="rId9" Type="http://schemas.openxmlformats.org/officeDocument/2006/relationships/hyperlink" Target="mailto:amy.botschner.obrien@occ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C31D-DCFD-419D-B0BA-49F46E0C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19-791 Duke Memo Contra w/dfs  (00152591.DOCX;1)</vt:lpstr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2021-06-01T18:22:21Z</dcterms:created>
  <dcterms:modified xsi:type="dcterms:W3CDTF">2021-06-01T18:22:21Z</dcterms:modified>
</cp:coreProperties>
</file>