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F882" w14:textId="77777777" w:rsidR="0097712F" w:rsidRPr="0097712F" w:rsidRDefault="0041056A" w:rsidP="0097712F">
      <w:pPr>
        <w:pStyle w:val="Title"/>
        <w:outlineLvl w:val="0"/>
        <w:rPr>
          <w:rFonts w:asciiTheme="minorHAnsi" w:hAnsiTheme="minorHAnsi" w:cstheme="minorHAnsi"/>
          <w:szCs w:val="24"/>
        </w:rPr>
      </w:pPr>
      <w:r w:rsidRPr="0097712F">
        <w:rPr>
          <w:rFonts w:asciiTheme="minorHAnsi" w:hAnsiTheme="minorHAnsi" w:cstheme="minorHAnsi"/>
          <w:szCs w:val="24"/>
        </w:rPr>
        <w:t>BEFORE</w:t>
      </w:r>
    </w:p>
    <w:p w14:paraId="1A7752FE" w14:textId="77777777" w:rsidR="0097712F" w:rsidRPr="0097712F" w:rsidRDefault="0041056A" w:rsidP="0097712F">
      <w:pPr>
        <w:jc w:val="center"/>
        <w:outlineLvl w:val="0"/>
        <w:rPr>
          <w:rFonts w:cstheme="minorHAnsi"/>
          <w:b/>
          <w:sz w:val="24"/>
          <w:szCs w:val="24"/>
        </w:rPr>
      </w:pPr>
      <w:r w:rsidRPr="0097712F">
        <w:rPr>
          <w:rFonts w:cstheme="minorHAnsi"/>
          <w:b/>
          <w:sz w:val="24"/>
          <w:szCs w:val="24"/>
        </w:rPr>
        <w:t>THE PUBLIC UTILITIES COMMISSION OF OHIO</w:t>
      </w:r>
    </w:p>
    <w:p w14:paraId="070182AE" w14:textId="77777777" w:rsidR="0097712F" w:rsidRDefault="0097712F" w:rsidP="0097712F">
      <w:pPr>
        <w:tabs>
          <w:tab w:val="left" w:pos="5040"/>
          <w:tab w:val="left" w:pos="5797"/>
          <w:tab w:val="left" w:pos="6919"/>
        </w:tabs>
        <w:spacing w:after="0" w:line="240" w:lineRule="auto"/>
        <w:rPr>
          <w:rFonts w:ascii="Calibri" w:hAnsi="Calibri"/>
          <w:sz w:val="24"/>
          <w:szCs w:val="24"/>
        </w:rPr>
      </w:pPr>
    </w:p>
    <w:p w14:paraId="5CFD9E71" w14:textId="76426CBF" w:rsidR="0097712F" w:rsidRPr="0097712F" w:rsidRDefault="0041056A" w:rsidP="0097712F">
      <w:pPr>
        <w:tabs>
          <w:tab w:val="left" w:pos="5040"/>
          <w:tab w:val="left" w:pos="5797"/>
          <w:tab w:val="left" w:pos="6919"/>
        </w:tabs>
        <w:spacing w:after="0" w:line="240" w:lineRule="auto"/>
        <w:rPr>
          <w:rFonts w:ascii="Calibri" w:hAnsi="Calibri"/>
          <w:sz w:val="24"/>
          <w:szCs w:val="24"/>
        </w:rPr>
      </w:pPr>
      <w:r w:rsidRPr="0097712F">
        <w:rPr>
          <w:rFonts w:ascii="Calibri" w:hAnsi="Calibri"/>
          <w:sz w:val="24"/>
          <w:szCs w:val="24"/>
        </w:rPr>
        <w:t>In the Matter of the Application of</w:t>
      </w:r>
      <w:r>
        <w:rPr>
          <w:rFonts w:ascii="Calibri" w:hAnsi="Calibri"/>
          <w:sz w:val="24"/>
          <w:szCs w:val="24"/>
        </w:rPr>
        <w:t xml:space="preserve"> The Ohio</w:t>
      </w:r>
      <w:r w:rsidRPr="0097712F">
        <w:rPr>
          <w:rFonts w:ascii="Calibri" w:hAnsi="Calibri"/>
          <w:sz w:val="24"/>
          <w:szCs w:val="24"/>
        </w:rPr>
        <w:tab/>
        <w:t>)</w:t>
      </w:r>
    </w:p>
    <w:p w14:paraId="08B44C0A" w14:textId="6DFEC1DC" w:rsidR="0097712F" w:rsidRPr="0097712F" w:rsidRDefault="0041056A" w:rsidP="0097712F">
      <w:pPr>
        <w:tabs>
          <w:tab w:val="left" w:pos="5040"/>
          <w:tab w:val="left" w:pos="5797"/>
          <w:tab w:val="left" w:pos="6919"/>
        </w:tabs>
        <w:spacing w:after="0" w:line="240" w:lineRule="auto"/>
        <w:rPr>
          <w:rFonts w:ascii="Calibri" w:hAnsi="Calibri"/>
          <w:sz w:val="24"/>
          <w:szCs w:val="24"/>
        </w:rPr>
      </w:pPr>
      <w:r>
        <w:rPr>
          <w:rFonts w:ascii="Calibri" w:hAnsi="Calibri"/>
          <w:sz w:val="24"/>
          <w:szCs w:val="24"/>
        </w:rPr>
        <w:t>Edison Company, The Cleveland Electric</w:t>
      </w:r>
      <w:r w:rsidRPr="0097712F">
        <w:rPr>
          <w:rFonts w:ascii="Calibri" w:hAnsi="Calibri"/>
          <w:sz w:val="24"/>
          <w:szCs w:val="24"/>
        </w:rPr>
        <w:t xml:space="preserve"> </w:t>
      </w:r>
      <w:r w:rsidRPr="0097712F">
        <w:rPr>
          <w:rFonts w:ascii="Calibri" w:hAnsi="Calibri"/>
          <w:sz w:val="24"/>
          <w:szCs w:val="24"/>
        </w:rPr>
        <w:tab/>
        <w:t>)</w:t>
      </w:r>
    </w:p>
    <w:p w14:paraId="07D5E032" w14:textId="58F084F9" w:rsidR="0097712F" w:rsidRPr="0097712F" w:rsidRDefault="0041056A" w:rsidP="0097712F">
      <w:pPr>
        <w:tabs>
          <w:tab w:val="left" w:pos="5040"/>
          <w:tab w:val="left" w:pos="5797"/>
          <w:tab w:val="left" w:pos="6919"/>
        </w:tabs>
        <w:spacing w:after="0" w:line="240" w:lineRule="auto"/>
        <w:rPr>
          <w:rFonts w:ascii="Calibri" w:hAnsi="Calibri"/>
          <w:sz w:val="24"/>
          <w:szCs w:val="24"/>
        </w:rPr>
      </w:pPr>
      <w:r>
        <w:rPr>
          <w:rFonts w:ascii="Calibri" w:hAnsi="Calibri"/>
          <w:sz w:val="24"/>
          <w:szCs w:val="24"/>
        </w:rPr>
        <w:t>Illuminating Company, and The Toledo Edison</w:t>
      </w:r>
      <w:r w:rsidRPr="0097712F">
        <w:rPr>
          <w:rFonts w:ascii="Calibri" w:hAnsi="Calibri"/>
          <w:sz w:val="24"/>
          <w:szCs w:val="24"/>
        </w:rPr>
        <w:tab/>
        <w:t>)</w:t>
      </w:r>
      <w:r w:rsidRPr="0097712F">
        <w:rPr>
          <w:rFonts w:ascii="Calibri" w:hAnsi="Calibri"/>
          <w:sz w:val="24"/>
          <w:szCs w:val="24"/>
        </w:rPr>
        <w:tab/>
        <w:t xml:space="preserve">Case No.  </w:t>
      </w:r>
      <w:r>
        <w:rPr>
          <w:rFonts w:ascii="Calibri" w:hAnsi="Calibri"/>
          <w:sz w:val="24"/>
          <w:szCs w:val="24"/>
        </w:rPr>
        <w:t>16-743</w:t>
      </w:r>
      <w:r w:rsidRPr="0097712F">
        <w:rPr>
          <w:rFonts w:ascii="Calibri" w:hAnsi="Calibri"/>
          <w:sz w:val="24"/>
          <w:szCs w:val="24"/>
        </w:rPr>
        <w:t>-EL-</w:t>
      </w:r>
      <w:r>
        <w:rPr>
          <w:rFonts w:ascii="Calibri" w:hAnsi="Calibri"/>
          <w:sz w:val="24"/>
          <w:szCs w:val="24"/>
        </w:rPr>
        <w:t>POR</w:t>
      </w:r>
    </w:p>
    <w:p w14:paraId="3306995C" w14:textId="6C5EE0DF" w:rsidR="0097712F" w:rsidRPr="0097712F" w:rsidRDefault="0041056A" w:rsidP="0097712F">
      <w:pPr>
        <w:tabs>
          <w:tab w:val="left" w:pos="5040"/>
          <w:tab w:val="left" w:pos="5797"/>
          <w:tab w:val="left" w:pos="6919"/>
        </w:tabs>
        <w:spacing w:after="0" w:line="240" w:lineRule="auto"/>
        <w:rPr>
          <w:rFonts w:ascii="Calibri" w:hAnsi="Calibri"/>
          <w:sz w:val="24"/>
          <w:szCs w:val="24"/>
        </w:rPr>
      </w:pPr>
      <w:r>
        <w:rPr>
          <w:rFonts w:ascii="Calibri" w:hAnsi="Calibri"/>
          <w:sz w:val="24"/>
          <w:szCs w:val="24"/>
        </w:rPr>
        <w:t>Company for Approval of Their Energy Efficiency</w:t>
      </w:r>
      <w:r w:rsidRPr="0097712F">
        <w:rPr>
          <w:rFonts w:ascii="Calibri" w:hAnsi="Calibri"/>
          <w:sz w:val="24"/>
          <w:szCs w:val="24"/>
        </w:rPr>
        <w:tab/>
        <w:t>)</w:t>
      </w:r>
      <w:r w:rsidRPr="0097712F">
        <w:rPr>
          <w:rFonts w:ascii="Calibri" w:hAnsi="Calibri"/>
          <w:sz w:val="24"/>
          <w:szCs w:val="24"/>
        </w:rPr>
        <w:tab/>
      </w:r>
      <w:r w:rsidRPr="0097712F">
        <w:rPr>
          <w:rFonts w:ascii="Calibri" w:hAnsi="Calibri"/>
          <w:sz w:val="24"/>
          <w:szCs w:val="24"/>
        </w:rPr>
        <w:tab/>
      </w:r>
    </w:p>
    <w:p w14:paraId="1F3624EF" w14:textId="27D343FE" w:rsidR="0097712F" w:rsidRPr="0097712F" w:rsidRDefault="0041056A" w:rsidP="0097712F">
      <w:pPr>
        <w:tabs>
          <w:tab w:val="left" w:pos="5040"/>
          <w:tab w:val="left" w:pos="5797"/>
          <w:tab w:val="left" w:pos="6919"/>
        </w:tabs>
        <w:spacing w:after="0" w:line="240" w:lineRule="auto"/>
        <w:rPr>
          <w:rFonts w:ascii="Calibri" w:hAnsi="Calibri"/>
          <w:sz w:val="24"/>
          <w:szCs w:val="24"/>
        </w:rPr>
      </w:pPr>
      <w:r>
        <w:rPr>
          <w:rFonts w:ascii="Calibri" w:hAnsi="Calibri"/>
          <w:sz w:val="24"/>
          <w:szCs w:val="24"/>
        </w:rPr>
        <w:t>and Peak Demand Reduction Program Portfolio</w:t>
      </w:r>
      <w:r w:rsidRPr="0097712F">
        <w:rPr>
          <w:rFonts w:ascii="Calibri" w:hAnsi="Calibri"/>
          <w:sz w:val="24"/>
          <w:szCs w:val="24"/>
        </w:rPr>
        <w:tab/>
        <w:t>)</w:t>
      </w:r>
      <w:r w:rsidRPr="0097712F">
        <w:rPr>
          <w:rFonts w:ascii="Calibri" w:hAnsi="Calibri"/>
          <w:sz w:val="24"/>
          <w:szCs w:val="24"/>
        </w:rPr>
        <w:tab/>
      </w:r>
      <w:r w:rsidRPr="0097712F">
        <w:rPr>
          <w:rFonts w:ascii="Calibri" w:hAnsi="Calibri"/>
          <w:sz w:val="24"/>
          <w:szCs w:val="24"/>
        </w:rPr>
        <w:tab/>
      </w:r>
    </w:p>
    <w:p w14:paraId="04F678B1" w14:textId="6748EAD1" w:rsidR="0097712F" w:rsidRPr="0097712F" w:rsidRDefault="0041056A" w:rsidP="0097712F">
      <w:pPr>
        <w:tabs>
          <w:tab w:val="left" w:pos="5040"/>
          <w:tab w:val="left" w:pos="5797"/>
          <w:tab w:val="left" w:pos="6919"/>
        </w:tabs>
        <w:spacing w:after="0" w:line="240" w:lineRule="auto"/>
        <w:rPr>
          <w:rFonts w:cstheme="minorHAnsi"/>
          <w:sz w:val="24"/>
          <w:szCs w:val="24"/>
        </w:rPr>
      </w:pPr>
      <w:r>
        <w:rPr>
          <w:rFonts w:ascii="Calibri" w:hAnsi="Calibri"/>
          <w:sz w:val="24"/>
          <w:szCs w:val="24"/>
        </w:rPr>
        <w:t>Plans for 2017 through 2019</w:t>
      </w:r>
      <w:r w:rsidRPr="0097712F">
        <w:rPr>
          <w:rFonts w:ascii="Calibri" w:hAnsi="Calibri"/>
          <w:sz w:val="24"/>
          <w:szCs w:val="24"/>
        </w:rPr>
        <w:tab/>
        <w:t>)</w:t>
      </w:r>
    </w:p>
    <w:p w14:paraId="7E80D8AB" w14:textId="77777777" w:rsidR="0097712F" w:rsidRPr="0097712F" w:rsidRDefault="0097712F" w:rsidP="0097712F">
      <w:pPr>
        <w:pBdr>
          <w:bottom w:val="single" w:sz="12" w:space="1" w:color="auto"/>
        </w:pBdr>
        <w:jc w:val="center"/>
        <w:rPr>
          <w:rFonts w:cstheme="minorHAnsi"/>
          <w:sz w:val="24"/>
          <w:szCs w:val="24"/>
        </w:rPr>
      </w:pPr>
    </w:p>
    <w:p w14:paraId="4BA03B36" w14:textId="1359ABE1" w:rsidR="0097712F" w:rsidRPr="0097712F" w:rsidRDefault="0041056A" w:rsidP="00337290">
      <w:pPr>
        <w:spacing w:after="0" w:line="240" w:lineRule="auto"/>
        <w:jc w:val="center"/>
        <w:outlineLvl w:val="0"/>
        <w:rPr>
          <w:rFonts w:cstheme="minorHAnsi"/>
          <w:b/>
          <w:bCs/>
          <w:sz w:val="24"/>
          <w:szCs w:val="24"/>
        </w:rPr>
      </w:pPr>
      <w:r>
        <w:rPr>
          <w:rFonts w:cstheme="minorHAnsi"/>
          <w:b/>
          <w:bCs/>
          <w:sz w:val="24"/>
          <w:szCs w:val="24"/>
        </w:rPr>
        <w:t>REPLY COMMENTS</w:t>
      </w:r>
      <w:r w:rsidRPr="0097712F">
        <w:rPr>
          <w:rFonts w:cstheme="minorHAnsi"/>
          <w:b/>
          <w:bCs/>
          <w:sz w:val="24"/>
          <w:szCs w:val="24"/>
        </w:rPr>
        <w:t xml:space="preserve"> OF NUCOR STEEL MARION, INC.</w:t>
      </w:r>
      <w:r>
        <w:rPr>
          <w:rFonts w:cstheme="minorHAnsi"/>
          <w:b/>
          <w:bCs/>
          <w:sz w:val="24"/>
          <w:szCs w:val="24"/>
        </w:rPr>
        <w:t xml:space="preserve"> ON RIDER ELR</w:t>
      </w:r>
      <w:r w:rsidRPr="0097712F">
        <w:rPr>
          <w:rFonts w:cstheme="minorHAnsi"/>
          <w:b/>
          <w:bCs/>
          <w:sz w:val="24"/>
          <w:szCs w:val="24"/>
        </w:rPr>
        <w:t xml:space="preserve"> </w:t>
      </w:r>
      <w:r w:rsidR="00F6484D">
        <w:rPr>
          <w:rFonts w:cstheme="minorHAnsi"/>
          <w:b/>
          <w:bCs/>
          <w:sz w:val="24"/>
          <w:szCs w:val="24"/>
        </w:rPr>
        <w:t xml:space="preserve"> </w:t>
      </w:r>
    </w:p>
    <w:p w14:paraId="3EA0DCE4" w14:textId="6CB78C8A" w:rsidR="0097712F" w:rsidRPr="0097712F" w:rsidRDefault="0041056A" w:rsidP="0097712F">
      <w:pPr>
        <w:pBdr>
          <w:bottom w:val="single" w:sz="12" w:space="1" w:color="auto"/>
        </w:pBdr>
        <w:tabs>
          <w:tab w:val="left" w:pos="6461"/>
        </w:tabs>
        <w:rPr>
          <w:rFonts w:cstheme="minorHAnsi"/>
          <w:sz w:val="24"/>
          <w:szCs w:val="24"/>
        </w:rPr>
      </w:pPr>
      <w:r w:rsidRPr="0097712F">
        <w:rPr>
          <w:rFonts w:cstheme="minorHAnsi"/>
          <w:sz w:val="24"/>
          <w:szCs w:val="24"/>
        </w:rPr>
        <w:tab/>
      </w:r>
    </w:p>
    <w:p w14:paraId="16C6BE4B" w14:textId="6D39AA23" w:rsidR="004F7655" w:rsidRDefault="0041056A" w:rsidP="004050C6">
      <w:pPr>
        <w:spacing w:before="240" w:after="0" w:line="480" w:lineRule="auto"/>
        <w:rPr>
          <w:sz w:val="24"/>
          <w:szCs w:val="24"/>
        </w:rPr>
      </w:pPr>
      <w:r>
        <w:rPr>
          <w:b/>
          <w:bCs/>
          <w:sz w:val="24"/>
          <w:szCs w:val="24"/>
        </w:rPr>
        <w:tab/>
      </w:r>
      <w:r>
        <w:rPr>
          <w:sz w:val="24"/>
          <w:szCs w:val="24"/>
        </w:rPr>
        <w:t>Pursuant to the Fifth Entry on Rehearing in the above-captioned proceeding, Nucor Steel Marion, Inc. (“Nucor”) hereby submits these reply comments on issues related to Rider ELR.</w:t>
      </w:r>
      <w:r w:rsidR="00E3063B">
        <w:rPr>
          <w:sz w:val="24"/>
          <w:szCs w:val="24"/>
        </w:rPr>
        <w:t xml:space="preserve">   </w:t>
      </w:r>
    </w:p>
    <w:p w14:paraId="52125195" w14:textId="77777777" w:rsidR="004F7655" w:rsidRDefault="0041056A" w:rsidP="004050C6">
      <w:pPr>
        <w:spacing w:after="240" w:line="240" w:lineRule="auto"/>
        <w:rPr>
          <w:b/>
          <w:bCs/>
          <w:sz w:val="24"/>
          <w:szCs w:val="24"/>
        </w:rPr>
      </w:pPr>
      <w:r w:rsidRPr="006561A9">
        <w:rPr>
          <w:b/>
          <w:bCs/>
          <w:sz w:val="24"/>
          <w:szCs w:val="24"/>
        </w:rPr>
        <w:t>I.</w:t>
      </w:r>
      <w:r w:rsidRPr="006561A9">
        <w:rPr>
          <w:b/>
          <w:bCs/>
          <w:sz w:val="24"/>
          <w:szCs w:val="24"/>
        </w:rPr>
        <w:tab/>
        <w:t>REPLY COMMENTS</w:t>
      </w:r>
    </w:p>
    <w:p w14:paraId="03FF3298" w14:textId="587BB899" w:rsidR="004F7655" w:rsidRDefault="0041056A" w:rsidP="004050C6">
      <w:pPr>
        <w:spacing w:after="240" w:line="240" w:lineRule="auto"/>
        <w:rPr>
          <w:b/>
          <w:bCs/>
          <w:sz w:val="24"/>
          <w:szCs w:val="24"/>
        </w:rPr>
      </w:pPr>
      <w:r>
        <w:rPr>
          <w:b/>
          <w:bCs/>
          <w:sz w:val="24"/>
          <w:szCs w:val="24"/>
        </w:rPr>
        <w:tab/>
        <w:t>A.</w:t>
      </w:r>
      <w:r>
        <w:rPr>
          <w:b/>
          <w:bCs/>
          <w:sz w:val="24"/>
          <w:szCs w:val="24"/>
        </w:rPr>
        <w:tab/>
        <w:t>Introduction</w:t>
      </w:r>
    </w:p>
    <w:p w14:paraId="52F166B9" w14:textId="320AA8F1" w:rsidR="007102EA" w:rsidRDefault="0041056A" w:rsidP="006561A9">
      <w:pPr>
        <w:spacing w:after="0" w:line="480" w:lineRule="auto"/>
        <w:ind w:firstLine="720"/>
        <w:rPr>
          <w:sz w:val="24"/>
          <w:szCs w:val="24"/>
        </w:rPr>
      </w:pPr>
      <w:r>
        <w:rPr>
          <w:sz w:val="24"/>
          <w:szCs w:val="24"/>
        </w:rPr>
        <w:t>In the Fifth Entry on Rehearing in this case, the Commission granted the rehearing request of the Office of the Ohio Consumers’ Counsel (“OCC”) and invited parties to provide comments on “whether, in consideration of the history, purpose and nature of Rider ELR, Rider ELR is an energy efficiency program established pursuant to the mandates contained in R.C. 4928.66 which should be terminated pursuant to R.C. 4928.66(G).”</w:t>
      </w:r>
      <w:r>
        <w:rPr>
          <w:rStyle w:val="FootnoteReference"/>
          <w:sz w:val="24"/>
          <w:szCs w:val="24"/>
        </w:rPr>
        <w:footnoteReference w:id="1"/>
      </w:r>
      <w:r>
        <w:rPr>
          <w:sz w:val="24"/>
          <w:szCs w:val="24"/>
        </w:rPr>
        <w:t xml:space="preserve">  </w:t>
      </w:r>
      <w:r w:rsidR="001D4C8D">
        <w:rPr>
          <w:sz w:val="24"/>
          <w:szCs w:val="24"/>
        </w:rPr>
        <w:t xml:space="preserve">In response to </w:t>
      </w:r>
      <w:r>
        <w:rPr>
          <w:sz w:val="24"/>
          <w:szCs w:val="24"/>
        </w:rPr>
        <w:t>the Commission’s invitation</w:t>
      </w:r>
      <w:r w:rsidR="00337290">
        <w:rPr>
          <w:sz w:val="24"/>
          <w:szCs w:val="24"/>
        </w:rPr>
        <w:t xml:space="preserve">, </w:t>
      </w:r>
      <w:r>
        <w:rPr>
          <w:sz w:val="24"/>
          <w:szCs w:val="24"/>
        </w:rPr>
        <w:t>on March 26, 2021</w:t>
      </w:r>
      <w:r w:rsidR="00C82D1F">
        <w:rPr>
          <w:sz w:val="24"/>
          <w:szCs w:val="24"/>
        </w:rPr>
        <w:t>,</w:t>
      </w:r>
      <w:r>
        <w:rPr>
          <w:sz w:val="24"/>
          <w:szCs w:val="24"/>
        </w:rPr>
        <w:t xml:space="preserve"> </w:t>
      </w:r>
      <w:r w:rsidR="004F7655">
        <w:rPr>
          <w:sz w:val="24"/>
          <w:szCs w:val="24"/>
        </w:rPr>
        <w:t>Nucor</w:t>
      </w:r>
      <w:r w:rsidR="00337290">
        <w:rPr>
          <w:sz w:val="24"/>
          <w:szCs w:val="24"/>
        </w:rPr>
        <w:t xml:space="preserve"> </w:t>
      </w:r>
      <w:r w:rsidR="001D4C8D">
        <w:rPr>
          <w:sz w:val="24"/>
          <w:szCs w:val="24"/>
        </w:rPr>
        <w:t>submitted</w:t>
      </w:r>
      <w:r w:rsidR="00337290">
        <w:rPr>
          <w:sz w:val="24"/>
          <w:szCs w:val="24"/>
        </w:rPr>
        <w:t xml:space="preserve"> comments</w:t>
      </w:r>
      <w:r>
        <w:rPr>
          <w:rStyle w:val="FootnoteReference"/>
          <w:sz w:val="24"/>
          <w:szCs w:val="24"/>
        </w:rPr>
        <w:footnoteReference w:id="2"/>
      </w:r>
      <w:r w:rsidR="00337290">
        <w:rPr>
          <w:sz w:val="24"/>
          <w:szCs w:val="24"/>
        </w:rPr>
        <w:t xml:space="preserve"> </w:t>
      </w:r>
      <w:r>
        <w:rPr>
          <w:sz w:val="24"/>
          <w:szCs w:val="24"/>
        </w:rPr>
        <w:t>explaining that</w:t>
      </w:r>
      <w:r w:rsidR="005A6E6B">
        <w:rPr>
          <w:sz w:val="24"/>
          <w:szCs w:val="24"/>
        </w:rPr>
        <w:t xml:space="preserve"> Rider ELR is</w:t>
      </w:r>
      <w:r w:rsidR="004E6D87">
        <w:rPr>
          <w:sz w:val="24"/>
          <w:szCs w:val="24"/>
        </w:rPr>
        <w:t xml:space="preserve"> an interruptible rate approved as part of FirstEnergy’s standard service offer </w:t>
      </w:r>
      <w:r w:rsidR="00765122">
        <w:rPr>
          <w:sz w:val="24"/>
          <w:szCs w:val="24"/>
        </w:rPr>
        <w:t>rate plans</w:t>
      </w:r>
      <w:r w:rsidR="004E6D87">
        <w:rPr>
          <w:sz w:val="24"/>
          <w:szCs w:val="24"/>
        </w:rPr>
        <w:t xml:space="preserve"> and is</w:t>
      </w:r>
      <w:r w:rsidR="005A6E6B">
        <w:rPr>
          <w:sz w:val="24"/>
          <w:szCs w:val="24"/>
        </w:rPr>
        <w:t xml:space="preserve"> not an energy efficiency program established pursuant to the statutory energy efficiency </w:t>
      </w:r>
      <w:r w:rsidR="005A6E6B">
        <w:rPr>
          <w:sz w:val="24"/>
          <w:szCs w:val="24"/>
        </w:rPr>
        <w:lastRenderedPageBreak/>
        <w:t>mandates</w:t>
      </w:r>
      <w:r>
        <w:rPr>
          <w:sz w:val="24"/>
          <w:szCs w:val="24"/>
        </w:rPr>
        <w:t xml:space="preserve">, and therefore </w:t>
      </w:r>
      <w:r w:rsidR="004E6D87">
        <w:rPr>
          <w:sz w:val="24"/>
          <w:szCs w:val="24"/>
        </w:rPr>
        <w:t xml:space="preserve">Rider ELR </w:t>
      </w:r>
      <w:r w:rsidR="005A6E6B">
        <w:rPr>
          <w:sz w:val="24"/>
          <w:szCs w:val="24"/>
        </w:rPr>
        <w:t xml:space="preserve">should not be terminated pursuant to R.C. </w:t>
      </w:r>
      <w:r w:rsidR="00373D46">
        <w:rPr>
          <w:sz w:val="24"/>
          <w:szCs w:val="24"/>
        </w:rPr>
        <w:t>§ </w:t>
      </w:r>
      <w:r w:rsidR="005A6E6B">
        <w:rPr>
          <w:sz w:val="24"/>
          <w:szCs w:val="24"/>
        </w:rPr>
        <w:t>4928.66(G).</w:t>
      </w:r>
      <w:r>
        <w:rPr>
          <w:sz w:val="24"/>
          <w:szCs w:val="24"/>
        </w:rPr>
        <w:t xml:space="preserve">  Several other parties that filed comments agreed that the primary purposes of Rider ELR are to provide economic development and system reliability benefits,</w:t>
      </w:r>
      <w:r w:rsidR="00D55383">
        <w:rPr>
          <w:sz w:val="24"/>
          <w:szCs w:val="24"/>
        </w:rPr>
        <w:t xml:space="preserve"> that</w:t>
      </w:r>
      <w:r>
        <w:rPr>
          <w:sz w:val="24"/>
          <w:szCs w:val="24"/>
        </w:rPr>
        <w:t xml:space="preserve"> </w:t>
      </w:r>
      <w:r w:rsidR="00782826">
        <w:rPr>
          <w:sz w:val="24"/>
          <w:szCs w:val="24"/>
        </w:rPr>
        <w:t>Rider ELR was not created by or funded through FirstEnergy’s portfolio plan</w:t>
      </w:r>
      <w:r w:rsidR="00D55383">
        <w:rPr>
          <w:sz w:val="24"/>
          <w:szCs w:val="24"/>
        </w:rPr>
        <w:t>, and that Rider ELR should not be terminated pursuant to Section 4928.66(G)</w:t>
      </w:r>
      <w:r>
        <w:rPr>
          <w:sz w:val="24"/>
          <w:szCs w:val="24"/>
        </w:rPr>
        <w:t>.</w:t>
      </w:r>
      <w:r>
        <w:rPr>
          <w:rStyle w:val="FootnoteReference"/>
          <w:sz w:val="24"/>
          <w:szCs w:val="24"/>
        </w:rPr>
        <w:footnoteReference w:id="3"/>
      </w:r>
    </w:p>
    <w:p w14:paraId="02C8BF38" w14:textId="3C056CAC" w:rsidR="001D4C8D" w:rsidRDefault="0041056A" w:rsidP="005A6E6B">
      <w:pPr>
        <w:spacing w:after="0" w:line="480" w:lineRule="auto"/>
        <w:rPr>
          <w:sz w:val="24"/>
          <w:szCs w:val="24"/>
        </w:rPr>
      </w:pPr>
      <w:r>
        <w:rPr>
          <w:sz w:val="24"/>
          <w:szCs w:val="24"/>
        </w:rPr>
        <w:tab/>
      </w:r>
      <w:r w:rsidR="00113539">
        <w:rPr>
          <w:sz w:val="24"/>
          <w:szCs w:val="24"/>
        </w:rPr>
        <w:t xml:space="preserve">Unlike the other commenting parties, </w:t>
      </w:r>
      <w:r>
        <w:rPr>
          <w:sz w:val="24"/>
          <w:szCs w:val="24"/>
        </w:rPr>
        <w:t>OCC submit</w:t>
      </w:r>
      <w:r w:rsidR="00113539">
        <w:rPr>
          <w:sz w:val="24"/>
          <w:szCs w:val="24"/>
        </w:rPr>
        <w:t>ted</w:t>
      </w:r>
      <w:r>
        <w:rPr>
          <w:sz w:val="24"/>
          <w:szCs w:val="24"/>
        </w:rPr>
        <w:t xml:space="preserve"> comments calling for </w:t>
      </w:r>
      <w:r w:rsidR="00FE612D">
        <w:rPr>
          <w:sz w:val="24"/>
          <w:szCs w:val="24"/>
        </w:rPr>
        <w:t>the termination of the</w:t>
      </w:r>
      <w:r w:rsidR="007B291E">
        <w:rPr>
          <w:sz w:val="24"/>
          <w:szCs w:val="24"/>
        </w:rPr>
        <w:t xml:space="preserve"> </w:t>
      </w:r>
      <w:r w:rsidR="00D03D41">
        <w:rPr>
          <w:sz w:val="24"/>
          <w:szCs w:val="24"/>
        </w:rPr>
        <w:t xml:space="preserve">DSE1 </w:t>
      </w:r>
      <w:r w:rsidR="007B291E">
        <w:rPr>
          <w:sz w:val="24"/>
          <w:szCs w:val="24"/>
        </w:rPr>
        <w:t>cost recovery mechanism for</w:t>
      </w:r>
      <w:r w:rsidR="00FE612D">
        <w:rPr>
          <w:sz w:val="24"/>
          <w:szCs w:val="24"/>
        </w:rPr>
        <w:t xml:space="preserve"> </w:t>
      </w:r>
      <w:r>
        <w:rPr>
          <w:sz w:val="24"/>
          <w:szCs w:val="24"/>
        </w:rPr>
        <w:t xml:space="preserve">Rider ELR pursuant to R.C. </w:t>
      </w:r>
      <w:r w:rsidR="00373D46">
        <w:rPr>
          <w:sz w:val="24"/>
          <w:szCs w:val="24"/>
        </w:rPr>
        <w:t>§ </w:t>
      </w:r>
      <w:r>
        <w:rPr>
          <w:sz w:val="24"/>
          <w:szCs w:val="24"/>
        </w:rPr>
        <w:t>4928.66(G).</w:t>
      </w:r>
      <w:r>
        <w:rPr>
          <w:rStyle w:val="FootnoteReference"/>
          <w:sz w:val="24"/>
          <w:szCs w:val="24"/>
        </w:rPr>
        <w:footnoteReference w:id="4"/>
      </w:r>
      <w:r w:rsidR="00782826">
        <w:rPr>
          <w:sz w:val="24"/>
          <w:szCs w:val="24"/>
        </w:rPr>
        <w:t xml:space="preserve">  As discussed in detail in Nucor’s initial comments, OCC’s position is not supported by the</w:t>
      </w:r>
      <w:r w:rsidR="00626AD5">
        <w:rPr>
          <w:sz w:val="24"/>
          <w:szCs w:val="24"/>
        </w:rPr>
        <w:t xml:space="preserve"> statute or the</w:t>
      </w:r>
      <w:r w:rsidR="00782826">
        <w:rPr>
          <w:sz w:val="24"/>
          <w:szCs w:val="24"/>
        </w:rPr>
        <w:t xml:space="preserve"> history and purpose of Rider ELR</w:t>
      </w:r>
      <w:r w:rsidR="00FE612D">
        <w:rPr>
          <w:sz w:val="24"/>
          <w:szCs w:val="24"/>
        </w:rPr>
        <w:t>.</w:t>
      </w:r>
      <w:r>
        <w:rPr>
          <w:rStyle w:val="FootnoteReference"/>
          <w:sz w:val="24"/>
          <w:szCs w:val="24"/>
        </w:rPr>
        <w:footnoteReference w:id="5"/>
      </w:r>
      <w:r w:rsidR="00FE612D">
        <w:rPr>
          <w:sz w:val="24"/>
          <w:szCs w:val="24"/>
        </w:rPr>
        <w:t xml:space="preserve">  OCC’s position is also at odds </w:t>
      </w:r>
      <w:r w:rsidR="00626AD5">
        <w:rPr>
          <w:sz w:val="24"/>
          <w:szCs w:val="24"/>
        </w:rPr>
        <w:t>with the Commission’s prior decisions addressing the relationship between Rider ELR and FirstEnergy’s portfolio plan.</w:t>
      </w:r>
      <w:r>
        <w:rPr>
          <w:rStyle w:val="FootnoteReference"/>
          <w:sz w:val="24"/>
          <w:szCs w:val="24"/>
        </w:rPr>
        <w:footnoteReference w:id="6"/>
      </w:r>
      <w:r w:rsidR="00626AD5">
        <w:rPr>
          <w:sz w:val="24"/>
          <w:szCs w:val="24"/>
        </w:rPr>
        <w:t xml:space="preserve">  In these reply comments we briefly address </w:t>
      </w:r>
      <w:r w:rsidR="00FA1021">
        <w:rPr>
          <w:sz w:val="24"/>
          <w:szCs w:val="24"/>
        </w:rPr>
        <w:t>certain</w:t>
      </w:r>
      <w:r w:rsidR="00626AD5">
        <w:rPr>
          <w:sz w:val="24"/>
          <w:szCs w:val="24"/>
        </w:rPr>
        <w:t xml:space="preserve"> arguments OCC raised in its initial comments</w:t>
      </w:r>
      <w:r w:rsidR="003D5581">
        <w:rPr>
          <w:sz w:val="24"/>
          <w:szCs w:val="24"/>
        </w:rPr>
        <w:t>.  W</w:t>
      </w:r>
      <w:r w:rsidR="00626AD5">
        <w:rPr>
          <w:sz w:val="24"/>
          <w:szCs w:val="24"/>
        </w:rPr>
        <w:t xml:space="preserve">e refer the Commission back to Nucor’s </w:t>
      </w:r>
      <w:r w:rsidR="00FE612D">
        <w:rPr>
          <w:sz w:val="24"/>
          <w:szCs w:val="24"/>
        </w:rPr>
        <w:t>i</w:t>
      </w:r>
      <w:r w:rsidR="00626AD5">
        <w:rPr>
          <w:sz w:val="24"/>
          <w:szCs w:val="24"/>
        </w:rPr>
        <w:t xml:space="preserve">nitial </w:t>
      </w:r>
      <w:r w:rsidR="00FE612D">
        <w:rPr>
          <w:sz w:val="24"/>
          <w:szCs w:val="24"/>
        </w:rPr>
        <w:t>c</w:t>
      </w:r>
      <w:r w:rsidR="00626AD5">
        <w:rPr>
          <w:sz w:val="24"/>
          <w:szCs w:val="24"/>
        </w:rPr>
        <w:t>omments for a more detailed discussion of these issues.</w:t>
      </w:r>
    </w:p>
    <w:p w14:paraId="2A4B9D8C" w14:textId="55127C33" w:rsidR="00626AD5" w:rsidRPr="00332D3F" w:rsidRDefault="0041056A" w:rsidP="004050C6">
      <w:pPr>
        <w:keepNext/>
        <w:keepLines/>
        <w:spacing w:after="240" w:line="240" w:lineRule="auto"/>
        <w:ind w:firstLine="720"/>
        <w:rPr>
          <w:b/>
          <w:bCs/>
          <w:sz w:val="24"/>
          <w:szCs w:val="24"/>
        </w:rPr>
      </w:pPr>
      <w:r>
        <w:rPr>
          <w:b/>
          <w:bCs/>
          <w:sz w:val="24"/>
          <w:szCs w:val="24"/>
        </w:rPr>
        <w:lastRenderedPageBreak/>
        <w:t>B</w:t>
      </w:r>
      <w:r w:rsidRPr="00332D3F">
        <w:rPr>
          <w:b/>
          <w:bCs/>
          <w:sz w:val="24"/>
          <w:szCs w:val="24"/>
        </w:rPr>
        <w:t>.</w:t>
      </w:r>
      <w:r w:rsidRPr="00332D3F">
        <w:rPr>
          <w:b/>
          <w:bCs/>
          <w:sz w:val="24"/>
          <w:szCs w:val="24"/>
        </w:rPr>
        <w:tab/>
        <w:t xml:space="preserve">R.C. </w:t>
      </w:r>
      <w:r w:rsidR="00373D46">
        <w:rPr>
          <w:sz w:val="24"/>
          <w:szCs w:val="24"/>
        </w:rPr>
        <w:t>§ </w:t>
      </w:r>
      <w:r w:rsidRPr="00332D3F">
        <w:rPr>
          <w:b/>
          <w:bCs/>
          <w:sz w:val="24"/>
          <w:szCs w:val="24"/>
        </w:rPr>
        <w:t xml:space="preserve">4928.66(G) </w:t>
      </w:r>
      <w:r w:rsidR="00DD0E67">
        <w:rPr>
          <w:b/>
          <w:bCs/>
          <w:sz w:val="24"/>
          <w:szCs w:val="24"/>
        </w:rPr>
        <w:t>is Not Applicable to Rider ELR</w:t>
      </w:r>
    </w:p>
    <w:p w14:paraId="06B4FB06" w14:textId="70D74F40" w:rsidR="00FF1D7E" w:rsidRDefault="0041056A" w:rsidP="004050C6">
      <w:pPr>
        <w:keepNext/>
        <w:keepLines/>
        <w:spacing w:after="0" w:line="480" w:lineRule="auto"/>
        <w:rPr>
          <w:sz w:val="24"/>
          <w:szCs w:val="24"/>
        </w:rPr>
      </w:pPr>
      <w:r>
        <w:rPr>
          <w:sz w:val="24"/>
          <w:szCs w:val="24"/>
        </w:rPr>
        <w:tab/>
        <w:t xml:space="preserve">OCC argues that since Rider ELR was used for compliance with peak demand reduction mandates, R.C. </w:t>
      </w:r>
      <w:r w:rsidR="00373D46">
        <w:rPr>
          <w:sz w:val="24"/>
          <w:szCs w:val="24"/>
        </w:rPr>
        <w:t>§ </w:t>
      </w:r>
      <w:r>
        <w:rPr>
          <w:sz w:val="24"/>
          <w:szCs w:val="24"/>
        </w:rPr>
        <w:t>4928.66(G) applies, prohibiting FirstEnergy from continuing to charge customers for the rider.</w:t>
      </w:r>
      <w:r>
        <w:rPr>
          <w:rStyle w:val="FootnoteReference"/>
          <w:sz w:val="24"/>
          <w:szCs w:val="24"/>
        </w:rPr>
        <w:footnoteReference w:id="7"/>
      </w:r>
      <w:r>
        <w:rPr>
          <w:sz w:val="24"/>
          <w:szCs w:val="24"/>
        </w:rPr>
        <w:t xml:space="preserve">  OCC’s argument misconstrues R.C. </w:t>
      </w:r>
      <w:r w:rsidR="00373D46">
        <w:rPr>
          <w:sz w:val="24"/>
          <w:szCs w:val="24"/>
        </w:rPr>
        <w:t>§ </w:t>
      </w:r>
      <w:r>
        <w:rPr>
          <w:sz w:val="24"/>
          <w:szCs w:val="24"/>
        </w:rPr>
        <w:t>4928.66(G).</w:t>
      </w:r>
    </w:p>
    <w:p w14:paraId="373B740C" w14:textId="0F083746" w:rsidR="00FF1D7E" w:rsidRDefault="0041056A" w:rsidP="005A6E6B">
      <w:pPr>
        <w:spacing w:after="0" w:line="480" w:lineRule="auto"/>
        <w:rPr>
          <w:sz w:val="24"/>
          <w:szCs w:val="24"/>
        </w:rPr>
      </w:pPr>
      <w:r>
        <w:rPr>
          <w:sz w:val="24"/>
          <w:szCs w:val="24"/>
        </w:rPr>
        <w:tab/>
      </w:r>
      <w:r w:rsidR="003E3B1C">
        <w:rPr>
          <w:sz w:val="24"/>
          <w:szCs w:val="24"/>
        </w:rPr>
        <w:t xml:space="preserve">R.C. </w:t>
      </w:r>
      <w:r w:rsidR="00373D46">
        <w:rPr>
          <w:sz w:val="24"/>
          <w:szCs w:val="24"/>
        </w:rPr>
        <w:t>§ </w:t>
      </w:r>
      <w:r>
        <w:rPr>
          <w:sz w:val="24"/>
          <w:szCs w:val="24"/>
        </w:rPr>
        <w:t xml:space="preserve">4928.66(G)(3) provides that upon the date full statutory compliance with the mandates is deemed achieved, “any electric distribution </w:t>
      </w:r>
      <w:r w:rsidR="003E3B1C">
        <w:rPr>
          <w:sz w:val="24"/>
          <w:szCs w:val="24"/>
        </w:rPr>
        <w:t xml:space="preserve">utility </w:t>
      </w:r>
      <w:r>
        <w:rPr>
          <w:sz w:val="24"/>
          <w:szCs w:val="24"/>
        </w:rPr>
        <w:t>cost recovery mechanisms authorized by the commission for compliance with this section shall terminate.”  This section terminates only the cost recovery mechanism, not any programs.  The programs themselves are terminated pursuant to Section 4928.66(F), which requires the termination of a utility’s “portfolio plan.”</w:t>
      </w:r>
      <w:r w:rsidR="006757A5">
        <w:rPr>
          <w:sz w:val="24"/>
          <w:szCs w:val="24"/>
        </w:rPr>
        <w:t xml:space="preserve">  </w:t>
      </w:r>
      <w:r w:rsidR="00C56A0F">
        <w:rPr>
          <w:sz w:val="24"/>
          <w:szCs w:val="24"/>
        </w:rPr>
        <w:t xml:space="preserve">OCC </w:t>
      </w:r>
      <w:r w:rsidR="006757A5">
        <w:rPr>
          <w:sz w:val="24"/>
          <w:szCs w:val="24"/>
        </w:rPr>
        <w:t xml:space="preserve">has not </w:t>
      </w:r>
      <w:r w:rsidR="00C56A0F">
        <w:rPr>
          <w:sz w:val="24"/>
          <w:szCs w:val="24"/>
        </w:rPr>
        <w:t>argued that Rider ELR itself should be terminated pursuant to Section 4928.66(F)</w:t>
      </w:r>
      <w:r w:rsidR="006757A5">
        <w:rPr>
          <w:sz w:val="24"/>
          <w:szCs w:val="24"/>
        </w:rPr>
        <w:t>, nor has any other party</w:t>
      </w:r>
      <w:r w:rsidR="00C56A0F">
        <w:rPr>
          <w:sz w:val="24"/>
          <w:szCs w:val="24"/>
        </w:rPr>
        <w:t>.</w:t>
      </w:r>
      <w:r w:rsidR="007B291E">
        <w:rPr>
          <w:sz w:val="24"/>
          <w:szCs w:val="24"/>
        </w:rPr>
        <w:t xml:space="preserve"> </w:t>
      </w:r>
    </w:p>
    <w:p w14:paraId="06C255A5" w14:textId="411E959C" w:rsidR="00AA065F" w:rsidRDefault="0041056A" w:rsidP="005A6E6B">
      <w:pPr>
        <w:spacing w:after="0" w:line="480" w:lineRule="auto"/>
        <w:rPr>
          <w:sz w:val="24"/>
          <w:szCs w:val="24"/>
        </w:rPr>
      </w:pPr>
      <w:r>
        <w:rPr>
          <w:sz w:val="24"/>
          <w:szCs w:val="24"/>
        </w:rPr>
        <w:tab/>
        <w:t xml:space="preserve">As discussed in detail in Nucor’s initial comments, Rider ELR </w:t>
      </w:r>
      <w:r w:rsidR="000F0683">
        <w:rPr>
          <w:sz w:val="24"/>
          <w:szCs w:val="24"/>
        </w:rPr>
        <w:t>w</w:t>
      </w:r>
      <w:r>
        <w:rPr>
          <w:sz w:val="24"/>
          <w:szCs w:val="24"/>
        </w:rPr>
        <w:t xml:space="preserve">as never approved </w:t>
      </w:r>
      <w:r w:rsidR="00683C4A">
        <w:rPr>
          <w:sz w:val="24"/>
          <w:szCs w:val="24"/>
        </w:rPr>
        <w:t xml:space="preserve">as part of </w:t>
      </w:r>
      <w:r>
        <w:rPr>
          <w:sz w:val="24"/>
          <w:szCs w:val="24"/>
        </w:rPr>
        <w:t>or funded through the portfolio plan.</w:t>
      </w:r>
      <w:r>
        <w:rPr>
          <w:rStyle w:val="FootnoteReference"/>
          <w:sz w:val="24"/>
          <w:szCs w:val="24"/>
        </w:rPr>
        <w:footnoteReference w:id="8"/>
      </w:r>
      <w:r>
        <w:rPr>
          <w:sz w:val="24"/>
          <w:szCs w:val="24"/>
        </w:rPr>
        <w:t xml:space="preserve">  Instead, Rider ELR is an interruptible rate that was approved as part of each FirstEnergy ESP under the </w:t>
      </w:r>
      <w:r w:rsidR="000F0683">
        <w:rPr>
          <w:sz w:val="24"/>
          <w:szCs w:val="24"/>
        </w:rPr>
        <w:t xml:space="preserve">statute and </w:t>
      </w:r>
      <w:r>
        <w:rPr>
          <w:sz w:val="24"/>
          <w:szCs w:val="24"/>
        </w:rPr>
        <w:t>rules applicable to ESPs.</w:t>
      </w:r>
      <w:r>
        <w:rPr>
          <w:rStyle w:val="FootnoteReference"/>
          <w:sz w:val="24"/>
          <w:szCs w:val="24"/>
        </w:rPr>
        <w:footnoteReference w:id="9"/>
      </w:r>
      <w:r>
        <w:rPr>
          <w:sz w:val="24"/>
          <w:szCs w:val="24"/>
        </w:rPr>
        <w:t xml:space="preserve">  Further, Rider ELR is funded through the DSE1 charge and </w:t>
      </w:r>
      <w:r w:rsidR="009E3AEA">
        <w:rPr>
          <w:sz w:val="24"/>
          <w:szCs w:val="24"/>
        </w:rPr>
        <w:t xml:space="preserve">Rider </w:t>
      </w:r>
      <w:r>
        <w:rPr>
          <w:sz w:val="24"/>
          <w:szCs w:val="24"/>
        </w:rPr>
        <w:t>EDR.  This is an entirely separate funding mechanism from the DSE2 charge, the mechanism that recovered the cost of the portfolio programs.</w:t>
      </w:r>
      <w:r w:rsidR="00C56A0F">
        <w:rPr>
          <w:sz w:val="24"/>
          <w:szCs w:val="24"/>
        </w:rPr>
        <w:t xml:space="preserve">  The DSE2 charge, not the Rider ELR funding mechanisms, is the </w:t>
      </w:r>
      <w:r w:rsidR="00C755E8">
        <w:rPr>
          <w:sz w:val="24"/>
          <w:szCs w:val="24"/>
        </w:rPr>
        <w:t xml:space="preserve">only </w:t>
      </w:r>
      <w:r w:rsidR="00C56A0F">
        <w:rPr>
          <w:sz w:val="24"/>
          <w:szCs w:val="24"/>
        </w:rPr>
        <w:t xml:space="preserve">cost recovery mechanism “authorized </w:t>
      </w:r>
      <w:r w:rsidR="00F010B7">
        <w:rPr>
          <w:sz w:val="24"/>
          <w:szCs w:val="24"/>
        </w:rPr>
        <w:t xml:space="preserve">by the commission </w:t>
      </w:r>
      <w:r w:rsidR="00C56A0F">
        <w:rPr>
          <w:sz w:val="24"/>
          <w:szCs w:val="24"/>
        </w:rPr>
        <w:t xml:space="preserve">for compliance with this section” </w:t>
      </w:r>
      <w:r w:rsidR="00F010B7">
        <w:rPr>
          <w:sz w:val="24"/>
          <w:szCs w:val="24"/>
        </w:rPr>
        <w:t xml:space="preserve">that must be terminated pursuant to </w:t>
      </w:r>
      <w:r w:rsidR="00C56A0F">
        <w:rPr>
          <w:sz w:val="24"/>
          <w:szCs w:val="24"/>
        </w:rPr>
        <w:t>Section 4928.66(G)(3).</w:t>
      </w:r>
    </w:p>
    <w:p w14:paraId="37738AD1" w14:textId="4868DBF1" w:rsidR="00A02C7A" w:rsidRDefault="0041056A" w:rsidP="005A6E6B">
      <w:pPr>
        <w:spacing w:after="0" w:line="480" w:lineRule="auto"/>
        <w:rPr>
          <w:sz w:val="24"/>
          <w:szCs w:val="24"/>
        </w:rPr>
      </w:pPr>
      <w:r>
        <w:rPr>
          <w:sz w:val="24"/>
          <w:szCs w:val="24"/>
        </w:rPr>
        <w:lastRenderedPageBreak/>
        <w:tab/>
        <w:t>OCC is correct that savings from Rider ELR were counted toward meeting FirstEnergy’s peak demand reduction benchmarks.</w:t>
      </w:r>
      <w:r>
        <w:rPr>
          <w:rStyle w:val="FootnoteReference"/>
          <w:sz w:val="24"/>
          <w:szCs w:val="24"/>
        </w:rPr>
        <w:footnoteReference w:id="10"/>
      </w:r>
      <w:r w:rsidR="00672F0B">
        <w:rPr>
          <w:sz w:val="24"/>
          <w:szCs w:val="24"/>
        </w:rPr>
        <w:t xml:space="preserve">  But this fact alone does not mean that </w:t>
      </w:r>
      <w:r w:rsidR="003E3B1C">
        <w:rPr>
          <w:sz w:val="24"/>
          <w:szCs w:val="24"/>
        </w:rPr>
        <w:t xml:space="preserve">Sections </w:t>
      </w:r>
      <w:r w:rsidR="00672F0B">
        <w:rPr>
          <w:sz w:val="24"/>
          <w:szCs w:val="24"/>
        </w:rPr>
        <w:t xml:space="preserve">4928.66(F) and </w:t>
      </w:r>
      <w:r w:rsidR="003E3B1C">
        <w:rPr>
          <w:sz w:val="24"/>
          <w:szCs w:val="24"/>
        </w:rPr>
        <w:t>4928.66</w:t>
      </w:r>
      <w:r w:rsidR="00672F0B">
        <w:rPr>
          <w:sz w:val="24"/>
          <w:szCs w:val="24"/>
        </w:rPr>
        <w:t xml:space="preserve">(G) apply to Rider ELR.  As the Commission has recognized, </w:t>
      </w:r>
      <w:r w:rsidR="00C755E8">
        <w:rPr>
          <w:sz w:val="24"/>
          <w:szCs w:val="24"/>
        </w:rPr>
        <w:t>the primary</w:t>
      </w:r>
      <w:r w:rsidR="004428F7">
        <w:rPr>
          <w:sz w:val="24"/>
          <w:szCs w:val="24"/>
        </w:rPr>
        <w:t xml:space="preserve"> purposes</w:t>
      </w:r>
      <w:r w:rsidR="00C755E8">
        <w:rPr>
          <w:sz w:val="24"/>
          <w:szCs w:val="24"/>
        </w:rPr>
        <w:t xml:space="preserve"> of </w:t>
      </w:r>
      <w:r w:rsidR="00672F0B">
        <w:rPr>
          <w:sz w:val="24"/>
          <w:szCs w:val="24"/>
        </w:rPr>
        <w:t xml:space="preserve">Rider ELR </w:t>
      </w:r>
      <w:r w:rsidR="00C755E8">
        <w:rPr>
          <w:sz w:val="24"/>
          <w:szCs w:val="24"/>
        </w:rPr>
        <w:t xml:space="preserve">are to support system reliability and </w:t>
      </w:r>
      <w:r w:rsidR="00672F0B">
        <w:rPr>
          <w:sz w:val="24"/>
          <w:szCs w:val="24"/>
        </w:rPr>
        <w:t>economic development.</w:t>
      </w:r>
      <w:r>
        <w:rPr>
          <w:rStyle w:val="FootnoteReference"/>
          <w:sz w:val="24"/>
          <w:szCs w:val="24"/>
        </w:rPr>
        <w:footnoteReference w:id="11"/>
      </w:r>
      <w:r w:rsidR="00672F0B">
        <w:rPr>
          <w:sz w:val="24"/>
          <w:szCs w:val="24"/>
        </w:rPr>
        <w:t xml:space="preserve">  The peak demand reduction benefit that Rider ELR provided (and continues to provide, regardless of the elimination of the mandates) is a</w:t>
      </w:r>
      <w:r w:rsidR="00345015">
        <w:rPr>
          <w:sz w:val="24"/>
          <w:szCs w:val="24"/>
        </w:rPr>
        <w:t xml:space="preserve">n additional </w:t>
      </w:r>
      <w:r w:rsidR="00672F0B">
        <w:rPr>
          <w:sz w:val="24"/>
          <w:szCs w:val="24"/>
        </w:rPr>
        <w:t>benefit that was appropriately recognized.  In fact,</w:t>
      </w:r>
      <w:r>
        <w:rPr>
          <w:sz w:val="24"/>
          <w:szCs w:val="24"/>
        </w:rPr>
        <w:t xml:space="preserve"> it would have been detrimental to ratepayers if the</w:t>
      </w:r>
      <w:r w:rsidR="009E3AEA">
        <w:rPr>
          <w:sz w:val="24"/>
          <w:szCs w:val="24"/>
        </w:rPr>
        <w:t xml:space="preserve"> peak demand reduction attributable to</w:t>
      </w:r>
      <w:r>
        <w:rPr>
          <w:sz w:val="24"/>
          <w:szCs w:val="24"/>
        </w:rPr>
        <w:t xml:space="preserve"> Rider ELR had not been counted</w:t>
      </w:r>
      <w:r w:rsidR="00E53971">
        <w:rPr>
          <w:sz w:val="24"/>
          <w:szCs w:val="24"/>
        </w:rPr>
        <w:t xml:space="preserve"> to meet the peak demand reduction benchmarks</w:t>
      </w:r>
      <w:r>
        <w:rPr>
          <w:sz w:val="24"/>
          <w:szCs w:val="24"/>
        </w:rPr>
        <w:t xml:space="preserve"> because </w:t>
      </w:r>
      <w:r w:rsidR="00672F0B">
        <w:rPr>
          <w:sz w:val="24"/>
          <w:szCs w:val="24"/>
        </w:rPr>
        <w:t xml:space="preserve">FirstEnergy would have had to </w:t>
      </w:r>
      <w:r w:rsidR="00277652">
        <w:rPr>
          <w:sz w:val="24"/>
          <w:szCs w:val="24"/>
        </w:rPr>
        <w:t>find other ways</w:t>
      </w:r>
      <w:r>
        <w:rPr>
          <w:sz w:val="24"/>
          <w:szCs w:val="24"/>
        </w:rPr>
        <w:t xml:space="preserve"> (likely at additional cost)</w:t>
      </w:r>
      <w:r w:rsidR="00277652">
        <w:rPr>
          <w:sz w:val="24"/>
          <w:szCs w:val="24"/>
        </w:rPr>
        <w:t xml:space="preserve"> to meet the benchmarks. </w:t>
      </w:r>
    </w:p>
    <w:p w14:paraId="4197D66B" w14:textId="42625A1C" w:rsidR="008779FF" w:rsidRDefault="0041056A" w:rsidP="005A6E6B">
      <w:pPr>
        <w:spacing w:after="0" w:line="480" w:lineRule="auto"/>
        <w:rPr>
          <w:sz w:val="24"/>
          <w:szCs w:val="24"/>
        </w:rPr>
      </w:pPr>
      <w:r>
        <w:rPr>
          <w:sz w:val="24"/>
          <w:szCs w:val="24"/>
        </w:rPr>
        <w:tab/>
      </w:r>
      <w:r w:rsidR="00C8553A">
        <w:rPr>
          <w:sz w:val="24"/>
          <w:szCs w:val="24"/>
        </w:rPr>
        <w:t>Counting peak demand reduction from</w:t>
      </w:r>
      <w:r w:rsidR="00277652">
        <w:rPr>
          <w:sz w:val="24"/>
          <w:szCs w:val="24"/>
        </w:rPr>
        <w:t xml:space="preserve"> Rider ELR to</w:t>
      </w:r>
      <w:r w:rsidR="00C8553A">
        <w:rPr>
          <w:sz w:val="24"/>
          <w:szCs w:val="24"/>
        </w:rPr>
        <w:t>ward meeting the benchmarks was the prudent cou</w:t>
      </w:r>
      <w:r w:rsidR="00277652">
        <w:rPr>
          <w:sz w:val="24"/>
          <w:szCs w:val="24"/>
        </w:rPr>
        <w:t>rse, but</w:t>
      </w:r>
      <w:r>
        <w:rPr>
          <w:sz w:val="24"/>
          <w:szCs w:val="24"/>
        </w:rPr>
        <w:t xml:space="preserve"> the fact remains that Rider ELR was never approved under the FirstEnergy portfolio program and was n</w:t>
      </w:r>
      <w:r w:rsidR="00682238">
        <w:rPr>
          <w:sz w:val="24"/>
          <w:szCs w:val="24"/>
        </w:rPr>
        <w:t>ot</w:t>
      </w:r>
      <w:r>
        <w:rPr>
          <w:sz w:val="24"/>
          <w:szCs w:val="24"/>
        </w:rPr>
        <w:t xml:space="preserve"> funded through the portfolio.  Accordingly</w:t>
      </w:r>
      <w:r w:rsidR="00345015">
        <w:rPr>
          <w:sz w:val="24"/>
          <w:szCs w:val="24"/>
        </w:rPr>
        <w:t>,</w:t>
      </w:r>
      <w:r>
        <w:rPr>
          <w:sz w:val="24"/>
          <w:szCs w:val="24"/>
        </w:rPr>
        <w:t xml:space="preserve"> Section 4928.66(G) does not require the termination of the Rider ELR funding mechanism.</w:t>
      </w:r>
      <w:r w:rsidR="00FF1D7E">
        <w:rPr>
          <w:sz w:val="24"/>
          <w:szCs w:val="24"/>
        </w:rPr>
        <w:tab/>
        <w:t xml:space="preserve"> </w:t>
      </w:r>
    </w:p>
    <w:p w14:paraId="10E2E94F" w14:textId="6A25C08D" w:rsidR="008779FF" w:rsidRPr="0080648D" w:rsidRDefault="0041056A" w:rsidP="006561A9">
      <w:pPr>
        <w:spacing w:after="0" w:line="240" w:lineRule="auto"/>
        <w:ind w:left="1440" w:hanging="720"/>
        <w:rPr>
          <w:b/>
          <w:bCs/>
          <w:sz w:val="24"/>
          <w:szCs w:val="24"/>
        </w:rPr>
      </w:pPr>
      <w:r>
        <w:rPr>
          <w:b/>
          <w:bCs/>
          <w:sz w:val="24"/>
          <w:szCs w:val="24"/>
        </w:rPr>
        <w:t>C</w:t>
      </w:r>
      <w:r w:rsidRPr="0080648D">
        <w:rPr>
          <w:b/>
          <w:bCs/>
          <w:sz w:val="24"/>
          <w:szCs w:val="24"/>
        </w:rPr>
        <w:t>.</w:t>
      </w:r>
      <w:r w:rsidRPr="0080648D">
        <w:rPr>
          <w:b/>
          <w:bCs/>
          <w:sz w:val="24"/>
          <w:szCs w:val="24"/>
        </w:rPr>
        <w:tab/>
      </w:r>
      <w:r w:rsidR="00682238">
        <w:rPr>
          <w:b/>
          <w:bCs/>
          <w:sz w:val="24"/>
          <w:szCs w:val="24"/>
        </w:rPr>
        <w:t xml:space="preserve">The Elimination of the Peak Demand Reduction Mandates Does </w:t>
      </w:r>
      <w:r w:rsidR="00345015">
        <w:rPr>
          <w:b/>
          <w:bCs/>
          <w:sz w:val="24"/>
          <w:szCs w:val="24"/>
        </w:rPr>
        <w:t>N</w:t>
      </w:r>
      <w:r w:rsidR="00682238">
        <w:rPr>
          <w:b/>
          <w:bCs/>
          <w:sz w:val="24"/>
          <w:szCs w:val="24"/>
        </w:rPr>
        <w:t xml:space="preserve">ot </w:t>
      </w:r>
      <w:r w:rsidR="00C16BEC">
        <w:rPr>
          <w:b/>
          <w:bCs/>
          <w:sz w:val="24"/>
          <w:szCs w:val="24"/>
        </w:rPr>
        <w:t>A</w:t>
      </w:r>
      <w:r w:rsidR="00C755E8">
        <w:rPr>
          <w:b/>
          <w:bCs/>
          <w:sz w:val="24"/>
          <w:szCs w:val="24"/>
        </w:rPr>
        <w:t xml:space="preserve">ffect Customer Qualification for </w:t>
      </w:r>
      <w:r w:rsidR="00682238">
        <w:rPr>
          <w:b/>
          <w:bCs/>
          <w:sz w:val="24"/>
          <w:szCs w:val="24"/>
        </w:rPr>
        <w:t>Rider ELR</w:t>
      </w:r>
    </w:p>
    <w:p w14:paraId="42CF5A04" w14:textId="77777777" w:rsidR="0080648D" w:rsidRDefault="0080648D" w:rsidP="0080648D">
      <w:pPr>
        <w:spacing w:after="0" w:line="240" w:lineRule="auto"/>
        <w:ind w:left="720" w:hanging="720"/>
        <w:rPr>
          <w:sz w:val="24"/>
          <w:szCs w:val="24"/>
        </w:rPr>
      </w:pPr>
    </w:p>
    <w:p w14:paraId="5656EB3B" w14:textId="696A3DCF" w:rsidR="00AD05F3" w:rsidRDefault="0041056A" w:rsidP="0058170E">
      <w:pPr>
        <w:spacing w:after="0" w:line="480" w:lineRule="auto"/>
        <w:ind w:firstLine="720"/>
        <w:rPr>
          <w:sz w:val="24"/>
          <w:szCs w:val="24"/>
        </w:rPr>
      </w:pPr>
      <w:r>
        <w:rPr>
          <w:sz w:val="24"/>
          <w:szCs w:val="24"/>
        </w:rPr>
        <w:t xml:space="preserve">OCC notes that </w:t>
      </w:r>
      <w:r w:rsidRPr="00D96A21">
        <w:rPr>
          <w:sz w:val="24"/>
          <w:szCs w:val="24"/>
        </w:rPr>
        <w:t>condition</w:t>
      </w:r>
      <w:r w:rsidR="00C01616">
        <w:rPr>
          <w:sz w:val="24"/>
          <w:szCs w:val="24"/>
        </w:rPr>
        <w:t xml:space="preserve"> (vi)</w:t>
      </w:r>
      <w:r>
        <w:rPr>
          <w:sz w:val="24"/>
          <w:szCs w:val="24"/>
        </w:rPr>
        <w:t xml:space="preserve"> to participation on Rider ELR is that “the customer commits its demand response capability to Company for integration into Company’s R.C. </w:t>
      </w:r>
      <w:r w:rsidR="003E3B1C">
        <w:rPr>
          <w:sz w:val="24"/>
          <w:szCs w:val="24"/>
        </w:rPr>
        <w:t>§ </w:t>
      </w:r>
      <w:r>
        <w:rPr>
          <w:sz w:val="24"/>
          <w:szCs w:val="24"/>
        </w:rPr>
        <w:t>4928.66 compliance programs,” and that condition</w:t>
      </w:r>
      <w:r w:rsidR="00C01616">
        <w:rPr>
          <w:sz w:val="24"/>
          <w:szCs w:val="24"/>
        </w:rPr>
        <w:t xml:space="preserve"> (vii)</w:t>
      </w:r>
      <w:r>
        <w:rPr>
          <w:sz w:val="24"/>
          <w:szCs w:val="24"/>
        </w:rPr>
        <w:t xml:space="preserve"> is that “the Commission finds that the demand response capabilities of customers electing to take service under this rider shall count </w:t>
      </w:r>
      <w:r w:rsidR="003E3B1C">
        <w:rPr>
          <w:sz w:val="24"/>
          <w:szCs w:val="24"/>
        </w:rPr>
        <w:lastRenderedPageBreak/>
        <w:t xml:space="preserve">towards </w:t>
      </w:r>
      <w:r>
        <w:rPr>
          <w:sz w:val="24"/>
          <w:szCs w:val="24"/>
        </w:rPr>
        <w:t>the Company’s compliance with the peak demand reduction benchmarks set forth in R.C. § 4928.66.”</w:t>
      </w:r>
      <w:r w:rsidR="0080648D">
        <w:rPr>
          <w:sz w:val="24"/>
          <w:szCs w:val="24"/>
        </w:rPr>
        <w:t xml:space="preserve">  OCC argues that these conditions mean that the charges associated with Rider ELR must terminate under R.C. § 4928.66(G)(3), and that based on the tariff language, i</w:t>
      </w:r>
      <w:r w:rsidR="00AC206F">
        <w:rPr>
          <w:sz w:val="24"/>
          <w:szCs w:val="24"/>
        </w:rPr>
        <w:t>t</w:t>
      </w:r>
      <w:r w:rsidR="0080648D">
        <w:rPr>
          <w:sz w:val="24"/>
          <w:szCs w:val="24"/>
        </w:rPr>
        <w:t xml:space="preserve"> would be impossible for any customers to continue to qualify for the rider because there are no longer any mandates.</w:t>
      </w:r>
      <w:r>
        <w:rPr>
          <w:rStyle w:val="FootnoteReference"/>
          <w:sz w:val="24"/>
          <w:szCs w:val="24"/>
        </w:rPr>
        <w:footnoteReference w:id="12"/>
      </w:r>
      <w:r w:rsidR="0080648D">
        <w:rPr>
          <w:sz w:val="24"/>
          <w:szCs w:val="24"/>
        </w:rPr>
        <w:t xml:space="preserve"> </w:t>
      </w:r>
    </w:p>
    <w:p w14:paraId="2A624480" w14:textId="365F98B7" w:rsidR="00150C2E" w:rsidRDefault="0041056A" w:rsidP="00AD05F3">
      <w:pPr>
        <w:spacing w:after="0" w:line="480" w:lineRule="auto"/>
        <w:rPr>
          <w:sz w:val="24"/>
          <w:szCs w:val="24"/>
        </w:rPr>
      </w:pPr>
      <w:r>
        <w:rPr>
          <w:sz w:val="24"/>
          <w:szCs w:val="24"/>
        </w:rPr>
        <w:tab/>
      </w:r>
      <w:r w:rsidR="00830D8C">
        <w:rPr>
          <w:sz w:val="24"/>
          <w:szCs w:val="24"/>
        </w:rPr>
        <w:t>OCC’s suggestion that customers can</w:t>
      </w:r>
      <w:r w:rsidR="007E01D3">
        <w:rPr>
          <w:sz w:val="24"/>
          <w:szCs w:val="24"/>
        </w:rPr>
        <w:t xml:space="preserve"> no longer</w:t>
      </w:r>
      <w:r w:rsidR="00830D8C">
        <w:rPr>
          <w:sz w:val="24"/>
          <w:szCs w:val="24"/>
        </w:rPr>
        <w:t xml:space="preserve"> qualify for Rider ELR in light of the elimination of the statutory mandates </w:t>
      </w:r>
      <w:r w:rsidR="000D2986">
        <w:rPr>
          <w:sz w:val="24"/>
          <w:szCs w:val="24"/>
        </w:rPr>
        <w:t>has no merit</w:t>
      </w:r>
      <w:r w:rsidR="000B02BD">
        <w:rPr>
          <w:sz w:val="24"/>
          <w:szCs w:val="24"/>
        </w:rPr>
        <w:t>.</w:t>
      </w:r>
      <w:r w:rsidR="00C01616">
        <w:rPr>
          <w:sz w:val="24"/>
          <w:szCs w:val="24"/>
        </w:rPr>
        <w:t xml:space="preserve">  Rider ELR customers have not revoked their commitment under (vi) and peak demand reduction associated with Rider ELR was counted toward meeting the </w:t>
      </w:r>
      <w:r w:rsidR="003E3B1C">
        <w:rPr>
          <w:sz w:val="24"/>
          <w:szCs w:val="24"/>
        </w:rPr>
        <w:t xml:space="preserve">Section </w:t>
      </w:r>
      <w:r w:rsidR="00C01616">
        <w:rPr>
          <w:sz w:val="24"/>
          <w:szCs w:val="24"/>
        </w:rPr>
        <w:t>4928.66 benchmarks</w:t>
      </w:r>
      <w:r>
        <w:rPr>
          <w:sz w:val="24"/>
          <w:szCs w:val="24"/>
        </w:rPr>
        <w:t xml:space="preserve"> as required by condition (vii) when </w:t>
      </w:r>
      <w:r w:rsidR="005F7FF0">
        <w:rPr>
          <w:sz w:val="24"/>
          <w:szCs w:val="24"/>
        </w:rPr>
        <w:t>those benchmarks</w:t>
      </w:r>
      <w:r>
        <w:rPr>
          <w:sz w:val="24"/>
          <w:szCs w:val="24"/>
        </w:rPr>
        <w:t xml:space="preserve"> existed.  All that has changed is that there are no longer any </w:t>
      </w:r>
      <w:r w:rsidR="005F7FF0">
        <w:rPr>
          <w:sz w:val="24"/>
          <w:szCs w:val="24"/>
        </w:rPr>
        <w:t xml:space="preserve">statutory </w:t>
      </w:r>
      <w:r>
        <w:rPr>
          <w:sz w:val="24"/>
          <w:szCs w:val="24"/>
        </w:rPr>
        <w:t>benchmarks to meet.</w:t>
      </w:r>
    </w:p>
    <w:p w14:paraId="00FAC02B" w14:textId="471CD543" w:rsidR="00A41B62" w:rsidRDefault="0041056A" w:rsidP="006561A9">
      <w:pPr>
        <w:spacing w:after="0" w:line="480" w:lineRule="auto"/>
        <w:ind w:firstLine="720"/>
        <w:rPr>
          <w:sz w:val="24"/>
          <w:szCs w:val="24"/>
        </w:rPr>
      </w:pPr>
      <w:r>
        <w:rPr>
          <w:sz w:val="24"/>
          <w:szCs w:val="24"/>
        </w:rPr>
        <w:t xml:space="preserve">Rider ELR continues to operate as it always has regardless of the </w:t>
      </w:r>
      <w:r w:rsidR="000B02BD">
        <w:rPr>
          <w:sz w:val="24"/>
          <w:szCs w:val="24"/>
        </w:rPr>
        <w:t>end of the mandates</w:t>
      </w:r>
      <w:r>
        <w:rPr>
          <w:sz w:val="24"/>
          <w:szCs w:val="24"/>
        </w:rPr>
        <w:t xml:space="preserve">.  </w:t>
      </w:r>
      <w:r w:rsidR="001336A0">
        <w:rPr>
          <w:sz w:val="24"/>
          <w:szCs w:val="24"/>
        </w:rPr>
        <w:t>For example, Rider ELR continues to serve as a tool to preserve system reliability whereby</w:t>
      </w:r>
      <w:r>
        <w:rPr>
          <w:sz w:val="24"/>
          <w:szCs w:val="24"/>
        </w:rPr>
        <w:t xml:space="preserve"> Rider ELR customers </w:t>
      </w:r>
      <w:r w:rsidR="001336A0">
        <w:rPr>
          <w:sz w:val="24"/>
          <w:szCs w:val="24"/>
        </w:rPr>
        <w:t>are</w:t>
      </w:r>
      <w:r>
        <w:rPr>
          <w:sz w:val="24"/>
          <w:szCs w:val="24"/>
        </w:rPr>
        <w:t xml:space="preserve"> subject to curtailments whenever the distribution utility, ATSI, or PJM </w:t>
      </w:r>
      <w:r w:rsidR="001336A0">
        <w:rPr>
          <w:sz w:val="24"/>
          <w:szCs w:val="24"/>
        </w:rPr>
        <w:t>“</w:t>
      </w:r>
      <w:r>
        <w:rPr>
          <w:sz w:val="24"/>
          <w:szCs w:val="24"/>
        </w:rPr>
        <w:t>determines</w:t>
      </w:r>
      <w:r w:rsidR="001336A0">
        <w:rPr>
          <w:sz w:val="24"/>
          <w:szCs w:val="24"/>
        </w:rPr>
        <w:t>, in its respective sole discretion, that an emergency situation exists that may jeopardize the integrity of either the distribution or transmission system in the area.”</w:t>
      </w:r>
      <w:r>
        <w:rPr>
          <w:rStyle w:val="FootnoteReference"/>
          <w:sz w:val="24"/>
          <w:szCs w:val="24"/>
        </w:rPr>
        <w:footnoteReference w:id="13"/>
      </w:r>
      <w:r w:rsidR="004D4138">
        <w:rPr>
          <w:sz w:val="24"/>
          <w:szCs w:val="24"/>
        </w:rPr>
        <w:t xml:space="preserve">  The rider still contains penalties as an enforcement mechanism to ensure that customers provide curtailments when called to do so.  And the rider continues to promote economic development.</w:t>
      </w:r>
      <w:r>
        <w:rPr>
          <w:sz w:val="24"/>
          <w:szCs w:val="24"/>
        </w:rPr>
        <w:t xml:space="preserve">  In short, the elimination of the mandates has no impact whatsoever on the primary purpose and operation of Rider ELR.</w:t>
      </w:r>
    </w:p>
    <w:p w14:paraId="70565ADC" w14:textId="493D36FF" w:rsidR="008779FF" w:rsidRDefault="0041056A" w:rsidP="0058170E">
      <w:pPr>
        <w:spacing w:after="0" w:line="480" w:lineRule="auto"/>
        <w:ind w:firstLine="720"/>
        <w:rPr>
          <w:sz w:val="24"/>
          <w:szCs w:val="24"/>
        </w:rPr>
      </w:pPr>
      <w:r>
        <w:rPr>
          <w:sz w:val="24"/>
          <w:szCs w:val="24"/>
        </w:rPr>
        <w:lastRenderedPageBreak/>
        <w:t xml:space="preserve">At the time Rider ELR was approved, the </w:t>
      </w:r>
      <w:r w:rsidR="005F7FF0">
        <w:rPr>
          <w:sz w:val="24"/>
          <w:szCs w:val="24"/>
        </w:rPr>
        <w:t xml:space="preserve">R.C. </w:t>
      </w:r>
      <w:r w:rsidR="00373D46">
        <w:rPr>
          <w:sz w:val="24"/>
          <w:szCs w:val="24"/>
        </w:rPr>
        <w:t>§ </w:t>
      </w:r>
      <w:r>
        <w:rPr>
          <w:sz w:val="24"/>
          <w:szCs w:val="24"/>
        </w:rPr>
        <w:t xml:space="preserve">4928.66 mandates were in effect and it was </w:t>
      </w:r>
      <w:r w:rsidR="00E22FF0">
        <w:rPr>
          <w:sz w:val="24"/>
          <w:szCs w:val="24"/>
        </w:rPr>
        <w:t xml:space="preserve">expected </w:t>
      </w:r>
      <w:r>
        <w:rPr>
          <w:sz w:val="24"/>
          <w:szCs w:val="24"/>
        </w:rPr>
        <w:t>that the mandates would continue in place through the term of the ESP</w:t>
      </w:r>
      <w:r w:rsidR="001414F6">
        <w:rPr>
          <w:sz w:val="24"/>
          <w:szCs w:val="24"/>
        </w:rPr>
        <w:t xml:space="preserve">, and therefore inclusion of </w:t>
      </w:r>
      <w:r w:rsidR="00150C2E">
        <w:rPr>
          <w:sz w:val="24"/>
          <w:szCs w:val="24"/>
        </w:rPr>
        <w:t>conditions (vi) and (vii)</w:t>
      </w:r>
      <w:r w:rsidR="001414F6">
        <w:rPr>
          <w:sz w:val="24"/>
          <w:szCs w:val="24"/>
        </w:rPr>
        <w:t xml:space="preserve"> was entirely reasonable</w:t>
      </w:r>
      <w:r>
        <w:rPr>
          <w:sz w:val="24"/>
          <w:szCs w:val="24"/>
        </w:rPr>
        <w:t xml:space="preserve">.  The </w:t>
      </w:r>
      <w:r w:rsidR="00564A33">
        <w:rPr>
          <w:sz w:val="24"/>
          <w:szCs w:val="24"/>
        </w:rPr>
        <w:t xml:space="preserve">revocation of the mandates </w:t>
      </w:r>
      <w:r w:rsidR="005F7FF0">
        <w:rPr>
          <w:sz w:val="24"/>
          <w:szCs w:val="24"/>
        </w:rPr>
        <w:t xml:space="preserve">may </w:t>
      </w:r>
      <w:r w:rsidR="00564A33">
        <w:rPr>
          <w:sz w:val="24"/>
          <w:szCs w:val="24"/>
        </w:rPr>
        <w:t>render</w:t>
      </w:r>
      <w:r w:rsidR="00C80CF9">
        <w:rPr>
          <w:sz w:val="24"/>
          <w:szCs w:val="24"/>
        </w:rPr>
        <w:t xml:space="preserve"> those provisions unnecessary</w:t>
      </w:r>
      <w:r w:rsidR="00564A33">
        <w:rPr>
          <w:sz w:val="24"/>
          <w:szCs w:val="24"/>
        </w:rPr>
        <w:t xml:space="preserve"> but does not </w:t>
      </w:r>
      <w:r w:rsidR="00E22FF0">
        <w:rPr>
          <w:sz w:val="24"/>
          <w:szCs w:val="24"/>
        </w:rPr>
        <w:t>affect customer qualification for the rider</w:t>
      </w:r>
      <w:r w:rsidR="00564A33">
        <w:rPr>
          <w:sz w:val="24"/>
          <w:szCs w:val="24"/>
        </w:rPr>
        <w:t>.</w:t>
      </w:r>
      <w:r w:rsidR="00A41B62">
        <w:rPr>
          <w:sz w:val="24"/>
          <w:szCs w:val="24"/>
        </w:rPr>
        <w:t xml:space="preserve">  </w:t>
      </w:r>
      <w:r w:rsidR="00E40A92">
        <w:rPr>
          <w:sz w:val="24"/>
          <w:szCs w:val="24"/>
        </w:rPr>
        <w:t xml:space="preserve">As </w:t>
      </w:r>
      <w:r w:rsidR="005F7FF0">
        <w:rPr>
          <w:sz w:val="24"/>
          <w:szCs w:val="24"/>
        </w:rPr>
        <w:t>explained in these reply comments, Nucor’s initial comments, and the comments of several other parties</w:t>
      </w:r>
      <w:r w:rsidR="00E40A92">
        <w:rPr>
          <w:sz w:val="24"/>
          <w:szCs w:val="24"/>
        </w:rPr>
        <w:t xml:space="preserve">, meeting the </w:t>
      </w:r>
      <w:r w:rsidR="005F7FF0">
        <w:rPr>
          <w:sz w:val="24"/>
          <w:szCs w:val="24"/>
        </w:rPr>
        <w:t xml:space="preserve">peak demand reduction </w:t>
      </w:r>
      <w:r w:rsidR="00E40A92">
        <w:rPr>
          <w:sz w:val="24"/>
          <w:szCs w:val="24"/>
        </w:rPr>
        <w:t xml:space="preserve">benchmarks was only one of several benefits of </w:t>
      </w:r>
      <w:r w:rsidR="00DD76C4">
        <w:rPr>
          <w:sz w:val="24"/>
          <w:szCs w:val="24"/>
        </w:rPr>
        <w:t>Rider ELR</w:t>
      </w:r>
      <w:r w:rsidR="00E40A92">
        <w:rPr>
          <w:sz w:val="24"/>
          <w:szCs w:val="24"/>
        </w:rPr>
        <w:t>, and was a secondary benefit at that – the primary purposes of Rider ELR were, and remain, system reliability</w:t>
      </w:r>
      <w:r w:rsidR="003167DB">
        <w:rPr>
          <w:sz w:val="24"/>
          <w:szCs w:val="24"/>
        </w:rPr>
        <w:t xml:space="preserve"> and economic development</w:t>
      </w:r>
      <w:r w:rsidR="00E40A92">
        <w:rPr>
          <w:sz w:val="24"/>
          <w:szCs w:val="24"/>
        </w:rPr>
        <w:t xml:space="preserve">.  </w:t>
      </w:r>
      <w:r w:rsidR="0058170E">
        <w:rPr>
          <w:sz w:val="24"/>
          <w:szCs w:val="24"/>
        </w:rPr>
        <w:t>Eliminating the Rider ELR interruptible rate</w:t>
      </w:r>
      <w:r w:rsidR="00E22FF0">
        <w:rPr>
          <w:sz w:val="24"/>
          <w:szCs w:val="24"/>
        </w:rPr>
        <w:t xml:space="preserve"> and its important benefits simply</w:t>
      </w:r>
      <w:r w:rsidR="0058170E">
        <w:rPr>
          <w:sz w:val="24"/>
          <w:szCs w:val="24"/>
        </w:rPr>
        <w:t xml:space="preserve"> because the statutory peak demand reduction mandates no longer exist would be a case of the tail wagging the dog.</w:t>
      </w:r>
    </w:p>
    <w:p w14:paraId="6406506F" w14:textId="502D9EC8" w:rsidR="00290620" w:rsidRPr="005272E0" w:rsidRDefault="0041056A" w:rsidP="00682238">
      <w:pPr>
        <w:spacing w:after="0" w:line="480" w:lineRule="auto"/>
        <w:rPr>
          <w:b/>
          <w:bCs/>
          <w:sz w:val="24"/>
          <w:szCs w:val="24"/>
        </w:rPr>
      </w:pPr>
      <w:r>
        <w:rPr>
          <w:b/>
          <w:bCs/>
          <w:sz w:val="24"/>
          <w:szCs w:val="24"/>
        </w:rPr>
        <w:t>II</w:t>
      </w:r>
      <w:r w:rsidRPr="005272E0">
        <w:rPr>
          <w:b/>
          <w:bCs/>
          <w:sz w:val="24"/>
          <w:szCs w:val="24"/>
        </w:rPr>
        <w:t>.</w:t>
      </w:r>
      <w:r w:rsidRPr="005272E0">
        <w:rPr>
          <w:b/>
          <w:bCs/>
          <w:sz w:val="24"/>
          <w:szCs w:val="24"/>
        </w:rPr>
        <w:tab/>
      </w:r>
      <w:r w:rsidR="00682238" w:rsidRPr="005272E0">
        <w:rPr>
          <w:b/>
          <w:bCs/>
          <w:sz w:val="24"/>
          <w:szCs w:val="24"/>
        </w:rPr>
        <w:t>CONCLUSION</w:t>
      </w:r>
    </w:p>
    <w:p w14:paraId="15D1D102" w14:textId="3C1EC760" w:rsidR="005272E0" w:rsidRPr="00E23868" w:rsidRDefault="0041056A" w:rsidP="004050C6">
      <w:pPr>
        <w:spacing w:line="480" w:lineRule="auto"/>
        <w:jc w:val="both"/>
        <w:rPr>
          <w:rFonts w:ascii="Calibri" w:hAnsi="Calibri"/>
          <w:sz w:val="24"/>
          <w:szCs w:val="24"/>
        </w:rPr>
      </w:pPr>
      <w:r>
        <w:rPr>
          <w:sz w:val="24"/>
          <w:szCs w:val="24"/>
        </w:rPr>
        <w:tab/>
      </w:r>
      <w:r w:rsidRPr="00E23868">
        <w:rPr>
          <w:rFonts w:ascii="Calibri" w:hAnsi="Calibri"/>
          <w:sz w:val="24"/>
          <w:szCs w:val="24"/>
        </w:rPr>
        <w:t xml:space="preserve">For the reasons </w:t>
      </w:r>
      <w:r>
        <w:rPr>
          <w:rFonts w:ascii="Calibri" w:hAnsi="Calibri"/>
          <w:sz w:val="24"/>
          <w:szCs w:val="24"/>
        </w:rPr>
        <w:t xml:space="preserve">discussed in these reply comments and Nucor’s </w:t>
      </w:r>
      <w:r w:rsidR="00A7150C">
        <w:rPr>
          <w:rFonts w:ascii="Calibri" w:hAnsi="Calibri"/>
          <w:sz w:val="24"/>
          <w:szCs w:val="24"/>
        </w:rPr>
        <w:t>initial comments</w:t>
      </w:r>
      <w:r w:rsidRPr="00E23868">
        <w:rPr>
          <w:rFonts w:ascii="Calibri" w:hAnsi="Calibri"/>
          <w:sz w:val="24"/>
          <w:szCs w:val="24"/>
        </w:rPr>
        <w:t xml:space="preserve">, </w:t>
      </w:r>
      <w:r w:rsidR="000549F0">
        <w:rPr>
          <w:rFonts w:ascii="Calibri" w:hAnsi="Calibri"/>
          <w:sz w:val="24"/>
          <w:szCs w:val="24"/>
        </w:rPr>
        <w:t xml:space="preserve">neither </w:t>
      </w:r>
      <w:r>
        <w:rPr>
          <w:rFonts w:ascii="Calibri" w:hAnsi="Calibri"/>
          <w:sz w:val="24"/>
          <w:szCs w:val="24"/>
        </w:rPr>
        <w:t xml:space="preserve">Rider ELR </w:t>
      </w:r>
      <w:r w:rsidR="000549F0">
        <w:rPr>
          <w:rFonts w:ascii="Calibri" w:hAnsi="Calibri"/>
          <w:sz w:val="24"/>
          <w:szCs w:val="24"/>
        </w:rPr>
        <w:t>nor the cost recovery mechanism</w:t>
      </w:r>
      <w:r w:rsidR="00EE1E02">
        <w:rPr>
          <w:rFonts w:ascii="Calibri" w:hAnsi="Calibri"/>
          <w:sz w:val="24"/>
          <w:szCs w:val="24"/>
        </w:rPr>
        <w:t>s for the rider</w:t>
      </w:r>
      <w:r w:rsidR="000549F0">
        <w:rPr>
          <w:rFonts w:ascii="Calibri" w:hAnsi="Calibri"/>
          <w:sz w:val="24"/>
          <w:szCs w:val="24"/>
        </w:rPr>
        <w:t xml:space="preserve"> </w:t>
      </w:r>
      <w:r>
        <w:rPr>
          <w:rFonts w:ascii="Calibri" w:hAnsi="Calibri"/>
          <w:sz w:val="24"/>
          <w:szCs w:val="24"/>
        </w:rPr>
        <w:t xml:space="preserve">should be terminated pursuant to </w:t>
      </w:r>
      <w:r w:rsidR="00E56B65">
        <w:rPr>
          <w:sz w:val="24"/>
          <w:szCs w:val="24"/>
        </w:rPr>
        <w:t>R.C. § </w:t>
      </w:r>
      <w:r>
        <w:rPr>
          <w:rFonts w:ascii="Calibri" w:hAnsi="Calibri"/>
          <w:sz w:val="24"/>
          <w:szCs w:val="24"/>
        </w:rPr>
        <w:t>4928.66(G).</w:t>
      </w:r>
    </w:p>
    <w:p w14:paraId="2D4BFB84" w14:textId="77777777" w:rsidR="005272E0" w:rsidRPr="00E23868" w:rsidRDefault="0041056A" w:rsidP="004050C6">
      <w:pPr>
        <w:keepNext/>
        <w:keepLines/>
        <w:widowControl w:val="0"/>
        <w:spacing w:line="480" w:lineRule="auto"/>
        <w:ind w:left="4320"/>
        <w:jc w:val="both"/>
        <w:rPr>
          <w:rFonts w:cstheme="minorHAnsi"/>
          <w:sz w:val="24"/>
          <w:szCs w:val="24"/>
        </w:rPr>
      </w:pPr>
      <w:r w:rsidRPr="00E23868">
        <w:rPr>
          <w:rFonts w:cstheme="minorHAnsi"/>
          <w:sz w:val="24"/>
          <w:szCs w:val="24"/>
        </w:rPr>
        <w:lastRenderedPageBreak/>
        <w:t>Respectfully submitted,</w:t>
      </w:r>
    </w:p>
    <w:p w14:paraId="56FCBCDC" w14:textId="77777777" w:rsidR="005272E0" w:rsidRPr="00E23868" w:rsidRDefault="0041056A" w:rsidP="004050C6">
      <w:pPr>
        <w:keepNext/>
        <w:keepLines/>
        <w:widowControl w:val="0"/>
        <w:tabs>
          <w:tab w:val="left" w:pos="8190"/>
        </w:tabs>
        <w:spacing w:after="0" w:line="240" w:lineRule="auto"/>
        <w:ind w:left="4320"/>
        <w:jc w:val="both"/>
        <w:rPr>
          <w:rFonts w:cstheme="minorHAnsi"/>
          <w:sz w:val="24"/>
          <w:szCs w:val="24"/>
          <w:u w:val="single"/>
        </w:rPr>
      </w:pPr>
      <w:r w:rsidRPr="00E23868">
        <w:rPr>
          <w:i/>
          <w:sz w:val="24"/>
          <w:szCs w:val="24"/>
          <w:u w:val="single"/>
        </w:rPr>
        <w:t>/s/ Michael K. Lavanga</w:t>
      </w:r>
      <w:r w:rsidRPr="00E23868">
        <w:rPr>
          <w:rFonts w:cstheme="minorHAnsi"/>
          <w:sz w:val="24"/>
          <w:szCs w:val="24"/>
          <w:u w:val="single"/>
        </w:rPr>
        <w:tab/>
      </w:r>
    </w:p>
    <w:p w14:paraId="38E62FD2" w14:textId="77777777" w:rsidR="005272E0" w:rsidRPr="00E23868" w:rsidRDefault="0041056A" w:rsidP="004050C6">
      <w:pPr>
        <w:keepNext/>
        <w:keepLines/>
        <w:widowControl w:val="0"/>
        <w:tabs>
          <w:tab w:val="left" w:pos="9270"/>
        </w:tabs>
        <w:spacing w:after="0" w:line="240" w:lineRule="auto"/>
        <w:ind w:left="4320"/>
        <w:jc w:val="both"/>
        <w:rPr>
          <w:rFonts w:cstheme="minorHAnsi"/>
          <w:sz w:val="24"/>
          <w:szCs w:val="24"/>
        </w:rPr>
      </w:pPr>
      <w:r w:rsidRPr="00E23868">
        <w:rPr>
          <w:rFonts w:ascii="Calibri" w:hAnsi="Calibri"/>
          <w:sz w:val="24"/>
          <w:szCs w:val="24"/>
        </w:rPr>
        <w:t>Michael K. Lavanga</w:t>
      </w:r>
    </w:p>
    <w:p w14:paraId="71C55457" w14:textId="77777777" w:rsidR="005272E0" w:rsidRPr="00E23868" w:rsidRDefault="0041056A" w:rsidP="004050C6">
      <w:pPr>
        <w:keepNext/>
        <w:keepLines/>
        <w:widowControl w:val="0"/>
        <w:tabs>
          <w:tab w:val="left" w:pos="9270"/>
        </w:tabs>
        <w:spacing w:after="0" w:line="240" w:lineRule="auto"/>
        <w:ind w:left="4320"/>
        <w:jc w:val="both"/>
        <w:rPr>
          <w:rFonts w:cstheme="minorHAnsi"/>
          <w:sz w:val="24"/>
          <w:szCs w:val="24"/>
        </w:rPr>
      </w:pPr>
      <w:r w:rsidRPr="00E23868">
        <w:rPr>
          <w:rFonts w:cstheme="minorHAnsi"/>
          <w:sz w:val="24"/>
          <w:szCs w:val="24"/>
        </w:rPr>
        <w:t>PHV #1014-2021</w:t>
      </w:r>
    </w:p>
    <w:p w14:paraId="3A4191A1" w14:textId="77777777" w:rsidR="005272E0" w:rsidRPr="00E23868" w:rsidRDefault="0041056A" w:rsidP="004050C6">
      <w:pPr>
        <w:keepNext/>
        <w:keepLines/>
        <w:widowControl w:val="0"/>
        <w:tabs>
          <w:tab w:val="left" w:pos="9270"/>
        </w:tabs>
        <w:spacing w:after="0" w:line="240" w:lineRule="auto"/>
        <w:ind w:left="4590"/>
        <w:jc w:val="both"/>
        <w:rPr>
          <w:rFonts w:cstheme="minorHAnsi"/>
          <w:i/>
          <w:sz w:val="24"/>
          <w:szCs w:val="24"/>
        </w:rPr>
      </w:pPr>
      <w:r w:rsidRPr="00E23868">
        <w:rPr>
          <w:rFonts w:cstheme="minorHAnsi"/>
          <w:i/>
          <w:sz w:val="24"/>
          <w:szCs w:val="24"/>
        </w:rPr>
        <w:t>Counsel of Record</w:t>
      </w:r>
    </w:p>
    <w:p w14:paraId="007CA96E" w14:textId="77777777" w:rsidR="005272E0" w:rsidRPr="00E23868" w:rsidRDefault="0041056A" w:rsidP="004050C6">
      <w:pPr>
        <w:keepNext/>
        <w:keepLines/>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Stone Mattheis Xenopoulos &amp; Brew, PC</w:t>
      </w:r>
    </w:p>
    <w:p w14:paraId="497C8F91" w14:textId="77777777" w:rsidR="005272E0" w:rsidRPr="00E23868" w:rsidRDefault="0041056A" w:rsidP="004050C6">
      <w:pPr>
        <w:keepNext/>
        <w:keepLines/>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1025 Thomas Jefferson Street, NW</w:t>
      </w:r>
    </w:p>
    <w:p w14:paraId="4A9C86C4" w14:textId="77777777" w:rsidR="005272E0" w:rsidRPr="00E23868" w:rsidRDefault="0041056A" w:rsidP="004050C6">
      <w:pPr>
        <w:keepNext/>
        <w:keepLines/>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 xml:space="preserve">Suite 800 West </w:t>
      </w:r>
    </w:p>
    <w:p w14:paraId="71EAF161" w14:textId="77777777" w:rsidR="005272E0" w:rsidRPr="00E23868" w:rsidRDefault="0041056A" w:rsidP="004050C6">
      <w:pPr>
        <w:keepNext/>
        <w:keepLines/>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Washington, DC 20007</w:t>
      </w:r>
    </w:p>
    <w:p w14:paraId="5D3B10D2" w14:textId="77777777" w:rsidR="005272E0" w:rsidRPr="00E23868" w:rsidRDefault="0041056A" w:rsidP="004050C6">
      <w:pPr>
        <w:keepNext/>
        <w:keepLines/>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(202) 342-0800 (</w:t>
      </w:r>
      <w:r w:rsidRPr="00E23868">
        <w:rPr>
          <w:rFonts w:cstheme="minorHAnsi"/>
          <w:sz w:val="24"/>
          <w:szCs w:val="24"/>
        </w:rPr>
        <w:t>Main</w:t>
      </w:r>
      <w:r w:rsidRPr="00E23868">
        <w:rPr>
          <w:rFonts w:ascii="Calibri" w:hAnsi="Calibri"/>
          <w:sz w:val="24"/>
          <w:szCs w:val="24"/>
        </w:rPr>
        <w:t xml:space="preserve"> Number)</w:t>
      </w:r>
    </w:p>
    <w:p w14:paraId="3E01286C" w14:textId="77777777" w:rsidR="005272E0" w:rsidRPr="00E23868" w:rsidRDefault="0041056A" w:rsidP="004050C6">
      <w:pPr>
        <w:keepNext/>
        <w:keepLines/>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(202) 342-0807 (Facsimile)</w:t>
      </w:r>
    </w:p>
    <w:p w14:paraId="4D7892CC" w14:textId="77777777" w:rsidR="005272E0" w:rsidRPr="00E23868" w:rsidRDefault="005272E0" w:rsidP="004050C6">
      <w:pPr>
        <w:keepNext/>
        <w:keepLines/>
        <w:widowControl w:val="0"/>
        <w:rPr>
          <w:rFonts w:ascii="Calibri" w:hAnsi="Calibri"/>
          <w:sz w:val="24"/>
          <w:szCs w:val="24"/>
        </w:rPr>
      </w:pPr>
    </w:p>
    <w:p w14:paraId="57BC551B" w14:textId="77777777" w:rsidR="003E3B1C" w:rsidRDefault="0041056A" w:rsidP="004050C6">
      <w:pPr>
        <w:keepNext/>
        <w:keepLines/>
        <w:rPr>
          <w:rFonts w:ascii="Calibri" w:hAnsi="Calibri"/>
          <w:b/>
          <w:bCs/>
          <w:sz w:val="24"/>
          <w:szCs w:val="24"/>
        </w:rPr>
      </w:pP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sidRPr="00E23868">
        <w:rPr>
          <w:rFonts w:ascii="Calibri" w:hAnsi="Calibri"/>
          <w:b/>
          <w:bCs/>
          <w:sz w:val="24"/>
          <w:szCs w:val="24"/>
        </w:rPr>
        <w:t>Attorney for Nucor Steel Marion, Inc.</w:t>
      </w:r>
      <w:r w:rsidR="003E0A08">
        <w:rPr>
          <w:sz w:val="24"/>
          <w:szCs w:val="24"/>
        </w:rPr>
        <w:tab/>
      </w:r>
      <w:r w:rsidR="003E0A08">
        <w:t xml:space="preserve"> </w:t>
      </w:r>
      <w:r w:rsidR="000662EC">
        <w:t xml:space="preserve">  </w:t>
      </w:r>
      <w:r w:rsidR="00F41BB9">
        <w:t xml:space="preserve"> </w:t>
      </w:r>
      <w:r w:rsidR="00176187">
        <w:t xml:space="preserve">  </w:t>
      </w:r>
      <w:r w:rsidR="00EA7191">
        <w:t xml:space="preserve"> </w:t>
      </w:r>
      <w:r>
        <w:rPr>
          <w:rFonts w:ascii="Calibri" w:hAnsi="Calibri"/>
          <w:b/>
          <w:bCs/>
          <w:sz w:val="24"/>
          <w:szCs w:val="24"/>
        </w:rPr>
        <w:br w:type="page"/>
      </w:r>
    </w:p>
    <w:p w14:paraId="6F19E0B8" w14:textId="77777777" w:rsidR="003E3B1C" w:rsidRPr="00736FC4" w:rsidRDefault="0041056A" w:rsidP="003E3B1C">
      <w:pPr>
        <w:spacing w:after="0" w:line="240" w:lineRule="auto"/>
        <w:jc w:val="center"/>
        <w:rPr>
          <w:b/>
          <w:bCs/>
          <w:sz w:val="24"/>
          <w:szCs w:val="24"/>
        </w:rPr>
      </w:pPr>
      <w:r w:rsidRPr="00736FC4">
        <w:rPr>
          <w:b/>
          <w:bCs/>
          <w:sz w:val="24"/>
          <w:szCs w:val="24"/>
        </w:rPr>
        <w:lastRenderedPageBreak/>
        <w:t>CERTIFICATE OF SERVICE</w:t>
      </w:r>
    </w:p>
    <w:p w14:paraId="4ECEF2F8" w14:textId="77777777" w:rsidR="003E3B1C" w:rsidRPr="00736FC4" w:rsidRDefault="003E3B1C" w:rsidP="003E3B1C">
      <w:pPr>
        <w:spacing w:after="0" w:line="240" w:lineRule="auto"/>
        <w:rPr>
          <w:sz w:val="24"/>
          <w:szCs w:val="24"/>
        </w:rPr>
      </w:pPr>
    </w:p>
    <w:p w14:paraId="744C054F" w14:textId="367371CA" w:rsidR="003E3B1C" w:rsidRPr="00736FC4" w:rsidRDefault="0041056A" w:rsidP="003E3B1C">
      <w:pPr>
        <w:spacing w:after="0" w:line="240" w:lineRule="auto"/>
        <w:rPr>
          <w:sz w:val="24"/>
          <w:szCs w:val="24"/>
        </w:rPr>
      </w:pPr>
      <w:r w:rsidRPr="00736FC4">
        <w:rPr>
          <w:sz w:val="24"/>
          <w:szCs w:val="24"/>
        </w:rPr>
        <w:tab/>
        <w:t>In accordance with Rule 4901-1-05, Ohio Administrative Code, the PUCO’s e-filing system</w:t>
      </w:r>
      <w:r>
        <w:rPr>
          <w:sz w:val="24"/>
          <w:szCs w:val="24"/>
        </w:rPr>
        <w:t xml:space="preserve"> </w:t>
      </w:r>
      <w:r w:rsidRPr="00736FC4">
        <w:rPr>
          <w:sz w:val="24"/>
          <w:szCs w:val="24"/>
        </w:rPr>
        <w:t xml:space="preserve">will electronically serve notice of the filing of this document on the parties referenced on the service list of the docket card who have electronically subscribed to this case. </w:t>
      </w:r>
      <w:r>
        <w:rPr>
          <w:sz w:val="24"/>
          <w:szCs w:val="24"/>
        </w:rPr>
        <w:t xml:space="preserve"> </w:t>
      </w:r>
      <w:r w:rsidRPr="00736FC4">
        <w:rPr>
          <w:sz w:val="24"/>
          <w:szCs w:val="24"/>
        </w:rPr>
        <w:t xml:space="preserve">In addition, the undersigned certifies that a courtesy copy of the foregoing document is also being served (via electronic mail) on the </w:t>
      </w:r>
      <w:r>
        <w:rPr>
          <w:sz w:val="24"/>
          <w:szCs w:val="24"/>
        </w:rPr>
        <w:t>12</w:t>
      </w:r>
      <w:r w:rsidRPr="00736FC4">
        <w:rPr>
          <w:sz w:val="24"/>
          <w:szCs w:val="24"/>
          <w:vertAlign w:val="superscript"/>
        </w:rPr>
        <w:t>th</w:t>
      </w:r>
      <w:r>
        <w:rPr>
          <w:sz w:val="24"/>
          <w:szCs w:val="24"/>
        </w:rPr>
        <w:t xml:space="preserve"> </w:t>
      </w:r>
      <w:r w:rsidRPr="00736FC4">
        <w:rPr>
          <w:sz w:val="24"/>
          <w:szCs w:val="24"/>
        </w:rPr>
        <w:t xml:space="preserve">day of </w:t>
      </w:r>
      <w:r>
        <w:rPr>
          <w:sz w:val="24"/>
          <w:szCs w:val="24"/>
        </w:rPr>
        <w:t>April</w:t>
      </w:r>
      <w:r w:rsidRPr="00736FC4">
        <w:rPr>
          <w:sz w:val="24"/>
          <w:szCs w:val="24"/>
        </w:rPr>
        <w:t>, 2021 to the following:</w:t>
      </w:r>
    </w:p>
    <w:p w14:paraId="23749326" w14:textId="77777777" w:rsidR="003E3B1C" w:rsidRPr="00736FC4" w:rsidRDefault="003E3B1C" w:rsidP="003E3B1C">
      <w:pPr>
        <w:spacing w:after="0" w:line="240" w:lineRule="auto"/>
        <w:rPr>
          <w:sz w:val="24"/>
          <w:szCs w:val="24"/>
        </w:rPr>
      </w:pPr>
    </w:p>
    <w:p w14:paraId="4A3DDE90" w14:textId="77777777" w:rsidR="003E3B1C" w:rsidRDefault="00CD5F12" w:rsidP="003E3B1C">
      <w:pPr>
        <w:spacing w:after="0" w:line="240" w:lineRule="auto"/>
        <w:ind w:left="1440"/>
        <w:rPr>
          <w:sz w:val="24"/>
          <w:szCs w:val="24"/>
        </w:rPr>
      </w:pPr>
      <w:hyperlink r:id="rId8" w:history="1">
        <w:r w:rsidR="0041056A" w:rsidRPr="00245430">
          <w:rPr>
            <w:rStyle w:val="Hyperlink"/>
            <w:sz w:val="24"/>
            <w:szCs w:val="24"/>
          </w:rPr>
          <w:t>edanford@firstenergycorp.com</w:t>
        </w:r>
      </w:hyperlink>
    </w:p>
    <w:p w14:paraId="42901846" w14:textId="77777777" w:rsidR="003E3B1C" w:rsidRDefault="00CD5F12" w:rsidP="003E3B1C">
      <w:pPr>
        <w:spacing w:after="0" w:line="240" w:lineRule="auto"/>
        <w:ind w:left="1440"/>
        <w:rPr>
          <w:sz w:val="24"/>
          <w:szCs w:val="24"/>
        </w:rPr>
      </w:pPr>
      <w:hyperlink r:id="rId9" w:history="1">
        <w:r w:rsidR="0041056A" w:rsidRPr="00245430">
          <w:rPr>
            <w:rStyle w:val="Hyperlink"/>
            <w:sz w:val="24"/>
            <w:szCs w:val="24"/>
          </w:rPr>
          <w:t>bknipe@firstenergycorp.com</w:t>
        </w:r>
      </w:hyperlink>
    </w:p>
    <w:p w14:paraId="2D0006BA" w14:textId="77777777" w:rsidR="003E3B1C" w:rsidRDefault="00CD5F12" w:rsidP="003E3B1C">
      <w:pPr>
        <w:spacing w:after="0" w:line="240" w:lineRule="auto"/>
        <w:ind w:left="1440"/>
        <w:rPr>
          <w:sz w:val="24"/>
          <w:szCs w:val="24"/>
        </w:rPr>
      </w:pPr>
      <w:hyperlink r:id="rId10" w:history="1">
        <w:r w:rsidR="0041056A" w:rsidRPr="00245430">
          <w:rPr>
            <w:rStyle w:val="Hyperlink"/>
            <w:sz w:val="24"/>
            <w:szCs w:val="24"/>
          </w:rPr>
          <w:t>KJKLaw@yahoo.com</w:t>
        </w:r>
      </w:hyperlink>
    </w:p>
    <w:p w14:paraId="750EEA7A" w14:textId="77777777" w:rsidR="003E3B1C" w:rsidRDefault="00CD5F12" w:rsidP="003E3B1C">
      <w:pPr>
        <w:spacing w:after="0" w:line="240" w:lineRule="auto"/>
        <w:ind w:left="1440"/>
        <w:rPr>
          <w:sz w:val="24"/>
          <w:szCs w:val="24"/>
        </w:rPr>
      </w:pPr>
      <w:hyperlink r:id="rId11" w:history="1">
        <w:r w:rsidR="0041056A" w:rsidRPr="00245430">
          <w:rPr>
            <w:rStyle w:val="Hyperlink"/>
            <w:sz w:val="24"/>
            <w:szCs w:val="24"/>
          </w:rPr>
          <w:t>mrgladman@jonesday.com</w:t>
        </w:r>
      </w:hyperlink>
    </w:p>
    <w:p w14:paraId="58465383" w14:textId="77777777" w:rsidR="003E3B1C" w:rsidRDefault="00CD5F12" w:rsidP="003E3B1C">
      <w:pPr>
        <w:spacing w:after="0" w:line="240" w:lineRule="auto"/>
        <w:ind w:left="1440"/>
        <w:rPr>
          <w:sz w:val="24"/>
          <w:szCs w:val="24"/>
        </w:rPr>
      </w:pPr>
      <w:hyperlink r:id="rId12" w:history="1">
        <w:r w:rsidR="0041056A" w:rsidRPr="00245430">
          <w:rPr>
            <w:rStyle w:val="Hyperlink"/>
            <w:sz w:val="24"/>
            <w:szCs w:val="24"/>
          </w:rPr>
          <w:t>stostado@jonesday.com</w:t>
        </w:r>
      </w:hyperlink>
    </w:p>
    <w:p w14:paraId="1CFEB8E9" w14:textId="77777777" w:rsidR="003E3B1C" w:rsidRDefault="00CD5F12" w:rsidP="003E3B1C">
      <w:pPr>
        <w:spacing w:after="0" w:line="240" w:lineRule="auto"/>
        <w:ind w:left="1440"/>
        <w:rPr>
          <w:sz w:val="24"/>
          <w:szCs w:val="24"/>
        </w:rPr>
      </w:pPr>
      <w:hyperlink r:id="rId13" w:history="1">
        <w:r w:rsidR="0041056A" w:rsidRPr="00245430">
          <w:rPr>
            <w:rStyle w:val="Hyperlink"/>
            <w:sz w:val="24"/>
            <w:szCs w:val="24"/>
          </w:rPr>
          <w:t>tdougherty@theoec.org</w:t>
        </w:r>
      </w:hyperlink>
    </w:p>
    <w:p w14:paraId="730880D5" w14:textId="77777777" w:rsidR="003E3B1C" w:rsidRDefault="00CD5F12" w:rsidP="003E3B1C">
      <w:pPr>
        <w:spacing w:after="0" w:line="240" w:lineRule="auto"/>
        <w:ind w:left="1440"/>
        <w:rPr>
          <w:sz w:val="24"/>
          <w:szCs w:val="24"/>
        </w:rPr>
      </w:pPr>
      <w:hyperlink r:id="rId14" w:history="1">
        <w:r w:rsidR="0041056A" w:rsidRPr="00245430">
          <w:rPr>
            <w:rStyle w:val="Hyperlink"/>
            <w:sz w:val="24"/>
            <w:szCs w:val="24"/>
          </w:rPr>
          <w:t>mleppla@theoec.org</w:t>
        </w:r>
      </w:hyperlink>
    </w:p>
    <w:p w14:paraId="28436271" w14:textId="77777777" w:rsidR="003E3B1C" w:rsidRDefault="00CD5F12" w:rsidP="003E3B1C">
      <w:pPr>
        <w:spacing w:after="0" w:line="240" w:lineRule="auto"/>
        <w:ind w:left="1440"/>
        <w:rPr>
          <w:sz w:val="24"/>
          <w:szCs w:val="24"/>
        </w:rPr>
      </w:pPr>
      <w:hyperlink r:id="rId15" w:history="1">
        <w:r w:rsidR="0041056A" w:rsidRPr="00245430">
          <w:rPr>
            <w:rStyle w:val="Hyperlink"/>
            <w:sz w:val="24"/>
            <w:szCs w:val="24"/>
          </w:rPr>
          <w:t>jfinnigan@edf.org</w:t>
        </w:r>
      </w:hyperlink>
    </w:p>
    <w:p w14:paraId="3C2454A7" w14:textId="77777777" w:rsidR="003E3B1C" w:rsidRDefault="00CD5F12" w:rsidP="003E3B1C">
      <w:pPr>
        <w:spacing w:after="0" w:line="240" w:lineRule="auto"/>
        <w:ind w:left="1440"/>
        <w:rPr>
          <w:sz w:val="24"/>
          <w:szCs w:val="24"/>
        </w:rPr>
      </w:pPr>
      <w:hyperlink r:id="rId16" w:history="1">
        <w:r w:rsidR="0041056A" w:rsidRPr="00245430">
          <w:rPr>
            <w:rStyle w:val="Hyperlink"/>
            <w:sz w:val="24"/>
            <w:szCs w:val="24"/>
          </w:rPr>
          <w:t>rkelter@elpc.org</w:t>
        </w:r>
      </w:hyperlink>
    </w:p>
    <w:p w14:paraId="58D06F12" w14:textId="77777777" w:rsidR="003E3B1C" w:rsidRDefault="00CD5F12" w:rsidP="003E3B1C">
      <w:pPr>
        <w:spacing w:after="0" w:line="240" w:lineRule="auto"/>
        <w:ind w:left="1440"/>
        <w:rPr>
          <w:sz w:val="24"/>
          <w:szCs w:val="24"/>
        </w:rPr>
      </w:pPr>
      <w:hyperlink r:id="rId17" w:history="1">
        <w:r w:rsidR="0041056A" w:rsidRPr="00245430">
          <w:rPr>
            <w:rStyle w:val="Hyperlink"/>
            <w:sz w:val="24"/>
            <w:szCs w:val="24"/>
          </w:rPr>
          <w:t>swilliams@nrdc.org</w:t>
        </w:r>
      </w:hyperlink>
    </w:p>
    <w:p w14:paraId="4F41EEAA" w14:textId="77777777" w:rsidR="003E3B1C" w:rsidRDefault="00CD5F12" w:rsidP="003E3B1C">
      <w:pPr>
        <w:spacing w:after="0" w:line="240" w:lineRule="auto"/>
        <w:ind w:left="1440"/>
        <w:rPr>
          <w:sz w:val="24"/>
          <w:szCs w:val="24"/>
        </w:rPr>
      </w:pPr>
      <w:hyperlink r:id="rId18" w:history="1">
        <w:r w:rsidR="0041056A" w:rsidRPr="00245430">
          <w:rPr>
            <w:rStyle w:val="Hyperlink"/>
            <w:sz w:val="24"/>
            <w:szCs w:val="24"/>
          </w:rPr>
          <w:t>christopher.healey@occ.ohio.gov</w:t>
        </w:r>
      </w:hyperlink>
    </w:p>
    <w:p w14:paraId="2F6DC387" w14:textId="77777777" w:rsidR="003E3B1C" w:rsidRDefault="00CD5F12" w:rsidP="003E3B1C">
      <w:pPr>
        <w:spacing w:after="0" w:line="240" w:lineRule="auto"/>
        <w:ind w:left="1440"/>
        <w:rPr>
          <w:sz w:val="24"/>
          <w:szCs w:val="24"/>
        </w:rPr>
      </w:pPr>
      <w:hyperlink r:id="rId19" w:history="1">
        <w:r w:rsidR="0041056A" w:rsidRPr="00245430">
          <w:rPr>
            <w:rStyle w:val="Hyperlink"/>
            <w:sz w:val="24"/>
            <w:szCs w:val="24"/>
          </w:rPr>
          <w:t>John.Jones@ohioattorneygeneral.gov</w:t>
        </w:r>
      </w:hyperlink>
    </w:p>
    <w:p w14:paraId="20F2EEBB" w14:textId="77777777" w:rsidR="003E3B1C" w:rsidRDefault="00CD5F12" w:rsidP="003E3B1C">
      <w:pPr>
        <w:spacing w:after="0" w:line="240" w:lineRule="auto"/>
        <w:ind w:left="1440"/>
        <w:rPr>
          <w:sz w:val="24"/>
          <w:szCs w:val="24"/>
        </w:rPr>
      </w:pPr>
      <w:hyperlink r:id="rId20" w:history="1">
        <w:r w:rsidR="0041056A" w:rsidRPr="00245430">
          <w:rPr>
            <w:rStyle w:val="Hyperlink"/>
            <w:sz w:val="24"/>
            <w:szCs w:val="24"/>
          </w:rPr>
          <w:t>mwarnock@bricker.com</w:t>
        </w:r>
      </w:hyperlink>
    </w:p>
    <w:p w14:paraId="22BD49DC" w14:textId="77777777" w:rsidR="003E3B1C" w:rsidRDefault="00CD5F12" w:rsidP="003E3B1C">
      <w:pPr>
        <w:spacing w:after="0" w:line="240" w:lineRule="auto"/>
        <w:ind w:left="1440"/>
        <w:rPr>
          <w:sz w:val="24"/>
          <w:szCs w:val="24"/>
        </w:rPr>
      </w:pPr>
      <w:hyperlink r:id="rId21" w:history="1">
        <w:r w:rsidR="0041056A" w:rsidRPr="00245430">
          <w:rPr>
            <w:rStyle w:val="Hyperlink"/>
            <w:sz w:val="24"/>
            <w:szCs w:val="24"/>
          </w:rPr>
          <w:t>dborchers@bricker.com</w:t>
        </w:r>
      </w:hyperlink>
    </w:p>
    <w:p w14:paraId="52C7532A" w14:textId="77777777" w:rsidR="003E3B1C" w:rsidRDefault="00CD5F12" w:rsidP="003E3B1C">
      <w:pPr>
        <w:spacing w:after="0" w:line="240" w:lineRule="auto"/>
        <w:ind w:left="1440"/>
        <w:rPr>
          <w:sz w:val="24"/>
          <w:szCs w:val="24"/>
        </w:rPr>
      </w:pPr>
      <w:hyperlink r:id="rId22" w:history="1">
        <w:r w:rsidR="0041056A" w:rsidRPr="00245430">
          <w:rPr>
            <w:rStyle w:val="Hyperlink"/>
            <w:sz w:val="24"/>
            <w:szCs w:val="24"/>
          </w:rPr>
          <w:t>dparram@bricker.com</w:t>
        </w:r>
      </w:hyperlink>
    </w:p>
    <w:p w14:paraId="43CE4EB8" w14:textId="77777777" w:rsidR="003E3B1C" w:rsidRDefault="00CD5F12" w:rsidP="003E3B1C">
      <w:pPr>
        <w:spacing w:after="0" w:line="240" w:lineRule="auto"/>
        <w:ind w:left="1440"/>
        <w:rPr>
          <w:sz w:val="24"/>
          <w:szCs w:val="24"/>
        </w:rPr>
      </w:pPr>
      <w:hyperlink r:id="rId23" w:history="1">
        <w:r w:rsidR="0041056A" w:rsidRPr="00245430">
          <w:rPr>
            <w:rStyle w:val="Hyperlink"/>
            <w:sz w:val="24"/>
            <w:szCs w:val="24"/>
          </w:rPr>
          <w:t>sechler@carpenterlipps.com</w:t>
        </w:r>
      </w:hyperlink>
    </w:p>
    <w:p w14:paraId="5CAEC83A" w14:textId="77777777" w:rsidR="003E3B1C" w:rsidRDefault="00CD5F12" w:rsidP="003E3B1C">
      <w:pPr>
        <w:spacing w:after="0" w:line="240" w:lineRule="auto"/>
        <w:ind w:left="1440"/>
        <w:rPr>
          <w:sz w:val="24"/>
          <w:szCs w:val="24"/>
        </w:rPr>
      </w:pPr>
      <w:hyperlink r:id="rId24" w:history="1">
        <w:r w:rsidR="0041056A" w:rsidRPr="00245430">
          <w:rPr>
            <w:rStyle w:val="Hyperlink"/>
            <w:sz w:val="24"/>
            <w:szCs w:val="24"/>
          </w:rPr>
          <w:t>rdove@keglerbrown.com</w:t>
        </w:r>
      </w:hyperlink>
    </w:p>
    <w:p w14:paraId="38443BAD" w14:textId="77777777" w:rsidR="003E3B1C" w:rsidRDefault="00CD5F12" w:rsidP="003E3B1C">
      <w:pPr>
        <w:spacing w:after="0" w:line="240" w:lineRule="auto"/>
        <w:ind w:left="1440"/>
        <w:rPr>
          <w:sz w:val="24"/>
          <w:szCs w:val="24"/>
        </w:rPr>
      </w:pPr>
      <w:hyperlink r:id="rId25" w:history="1">
        <w:r w:rsidR="0041056A" w:rsidRPr="00245430">
          <w:rPr>
            <w:rStyle w:val="Hyperlink"/>
            <w:sz w:val="24"/>
            <w:szCs w:val="24"/>
          </w:rPr>
          <w:t>joliker@igsenergy.com</w:t>
        </w:r>
      </w:hyperlink>
    </w:p>
    <w:p w14:paraId="2CB23730" w14:textId="77777777" w:rsidR="003E3B1C" w:rsidRDefault="00CD5F12" w:rsidP="003E3B1C">
      <w:pPr>
        <w:spacing w:after="0" w:line="240" w:lineRule="auto"/>
        <w:ind w:left="1440"/>
        <w:rPr>
          <w:sz w:val="24"/>
          <w:szCs w:val="24"/>
        </w:rPr>
      </w:pPr>
      <w:hyperlink r:id="rId26" w:history="1">
        <w:r w:rsidR="0041056A" w:rsidRPr="00245430">
          <w:rPr>
            <w:rStyle w:val="Hyperlink"/>
            <w:sz w:val="24"/>
            <w:szCs w:val="24"/>
          </w:rPr>
          <w:t>callwein@keglerbrown.com</w:t>
        </w:r>
      </w:hyperlink>
    </w:p>
    <w:p w14:paraId="4BFBF006" w14:textId="77777777" w:rsidR="003E3B1C" w:rsidRDefault="00CD5F12" w:rsidP="003E3B1C">
      <w:pPr>
        <w:spacing w:after="0" w:line="240" w:lineRule="auto"/>
        <w:ind w:left="1440"/>
        <w:rPr>
          <w:sz w:val="24"/>
          <w:szCs w:val="24"/>
        </w:rPr>
      </w:pPr>
      <w:hyperlink r:id="rId27" w:history="1">
        <w:r w:rsidR="0041056A" w:rsidRPr="00245430">
          <w:rPr>
            <w:rStyle w:val="Hyperlink"/>
            <w:sz w:val="24"/>
            <w:szCs w:val="24"/>
          </w:rPr>
          <w:t>Bojko@carpenterlipps.com</w:t>
        </w:r>
      </w:hyperlink>
    </w:p>
    <w:p w14:paraId="1B33E9E1" w14:textId="77777777" w:rsidR="003E3B1C" w:rsidRDefault="00CD5F12" w:rsidP="003E3B1C">
      <w:pPr>
        <w:spacing w:after="0" w:line="240" w:lineRule="auto"/>
        <w:ind w:left="1440"/>
        <w:rPr>
          <w:sz w:val="24"/>
          <w:szCs w:val="24"/>
        </w:rPr>
      </w:pPr>
      <w:hyperlink r:id="rId28" w:history="1">
        <w:r w:rsidR="0041056A" w:rsidRPr="00245430">
          <w:rPr>
            <w:rStyle w:val="Hyperlink"/>
            <w:sz w:val="24"/>
            <w:szCs w:val="24"/>
          </w:rPr>
          <w:t>Wygonski@carpenterlipps.com</w:t>
        </w:r>
      </w:hyperlink>
    </w:p>
    <w:p w14:paraId="31A00C18" w14:textId="77777777" w:rsidR="003E3B1C" w:rsidRDefault="00CD5F12" w:rsidP="003E3B1C">
      <w:pPr>
        <w:spacing w:after="0" w:line="240" w:lineRule="auto"/>
        <w:ind w:left="1440"/>
        <w:rPr>
          <w:sz w:val="24"/>
          <w:szCs w:val="24"/>
        </w:rPr>
      </w:pPr>
      <w:hyperlink r:id="rId29" w:history="1">
        <w:r w:rsidR="0041056A" w:rsidRPr="00245430">
          <w:rPr>
            <w:rStyle w:val="Hyperlink"/>
            <w:sz w:val="24"/>
            <w:szCs w:val="24"/>
          </w:rPr>
          <w:t>paul@carpenterlipps.com</w:t>
        </w:r>
      </w:hyperlink>
    </w:p>
    <w:p w14:paraId="63FCC6C3" w14:textId="77777777" w:rsidR="003E3B1C" w:rsidRDefault="00CD5F12" w:rsidP="003E3B1C">
      <w:pPr>
        <w:spacing w:after="0" w:line="240" w:lineRule="auto"/>
        <w:ind w:left="1440"/>
        <w:rPr>
          <w:sz w:val="24"/>
          <w:szCs w:val="24"/>
        </w:rPr>
      </w:pPr>
      <w:hyperlink r:id="rId30" w:history="1">
        <w:r w:rsidR="0041056A" w:rsidRPr="00245430">
          <w:rPr>
            <w:rStyle w:val="Hyperlink"/>
            <w:sz w:val="24"/>
            <w:szCs w:val="24"/>
          </w:rPr>
          <w:t>Lauren.augostini@puco.ohio.gov</w:t>
        </w:r>
      </w:hyperlink>
    </w:p>
    <w:p w14:paraId="73622311" w14:textId="77777777" w:rsidR="003E3B1C" w:rsidRDefault="00CD5F12" w:rsidP="003E3B1C">
      <w:pPr>
        <w:spacing w:after="0" w:line="240" w:lineRule="auto"/>
        <w:ind w:left="1440"/>
        <w:rPr>
          <w:sz w:val="24"/>
          <w:szCs w:val="24"/>
        </w:rPr>
      </w:pPr>
      <w:hyperlink r:id="rId31" w:history="1">
        <w:r w:rsidR="0041056A" w:rsidRPr="00245430">
          <w:rPr>
            <w:rStyle w:val="Hyperlink"/>
            <w:sz w:val="24"/>
            <w:szCs w:val="24"/>
          </w:rPr>
          <w:t>mkurtz@BKLlawfirm.com</w:t>
        </w:r>
      </w:hyperlink>
    </w:p>
    <w:p w14:paraId="16E84986" w14:textId="77777777" w:rsidR="003E3B1C" w:rsidRDefault="00CD5F12" w:rsidP="003E3B1C">
      <w:pPr>
        <w:spacing w:after="0" w:line="240" w:lineRule="auto"/>
        <w:ind w:left="1440"/>
        <w:rPr>
          <w:sz w:val="24"/>
          <w:szCs w:val="24"/>
        </w:rPr>
      </w:pPr>
      <w:hyperlink r:id="rId32" w:history="1">
        <w:r w:rsidR="0041056A" w:rsidRPr="00245430">
          <w:rPr>
            <w:rStyle w:val="Hyperlink"/>
            <w:sz w:val="24"/>
            <w:szCs w:val="24"/>
          </w:rPr>
          <w:t>kboehm@BKLlawfirm.com</w:t>
        </w:r>
      </w:hyperlink>
    </w:p>
    <w:p w14:paraId="68596761" w14:textId="77777777" w:rsidR="003E3B1C" w:rsidRDefault="00CD5F12" w:rsidP="003E3B1C">
      <w:pPr>
        <w:spacing w:after="0" w:line="240" w:lineRule="auto"/>
        <w:ind w:left="1440"/>
        <w:rPr>
          <w:sz w:val="24"/>
          <w:szCs w:val="24"/>
        </w:rPr>
      </w:pPr>
      <w:hyperlink r:id="rId33" w:history="1">
        <w:r w:rsidR="0041056A" w:rsidRPr="00245430">
          <w:rPr>
            <w:rStyle w:val="Hyperlink"/>
            <w:sz w:val="24"/>
            <w:szCs w:val="24"/>
          </w:rPr>
          <w:t>jkylercohn@BKLlawfirm.com</w:t>
        </w:r>
      </w:hyperlink>
    </w:p>
    <w:p w14:paraId="48DFDBF0" w14:textId="77777777" w:rsidR="003E3B1C" w:rsidRDefault="003E3B1C" w:rsidP="003E3B1C">
      <w:pPr>
        <w:spacing w:after="0" w:line="240" w:lineRule="auto"/>
        <w:ind w:left="1440"/>
        <w:rPr>
          <w:sz w:val="24"/>
          <w:szCs w:val="24"/>
        </w:rPr>
      </w:pPr>
    </w:p>
    <w:p w14:paraId="4F056F03" w14:textId="77777777" w:rsidR="003E3B1C" w:rsidRPr="00736FC4" w:rsidRDefault="003E3B1C" w:rsidP="003E3B1C">
      <w:pPr>
        <w:spacing w:after="0" w:line="240" w:lineRule="auto"/>
        <w:ind w:left="5040"/>
        <w:rPr>
          <w:sz w:val="24"/>
          <w:szCs w:val="24"/>
        </w:rPr>
      </w:pPr>
    </w:p>
    <w:p w14:paraId="1E80A45A" w14:textId="77777777" w:rsidR="003E3B1C" w:rsidRPr="00736FC4" w:rsidRDefault="003E3B1C" w:rsidP="003E3B1C">
      <w:pPr>
        <w:spacing w:after="0" w:line="240" w:lineRule="auto"/>
        <w:ind w:left="5040"/>
        <w:rPr>
          <w:sz w:val="24"/>
          <w:szCs w:val="24"/>
        </w:rPr>
      </w:pPr>
    </w:p>
    <w:p w14:paraId="482DD781" w14:textId="77777777" w:rsidR="003E3B1C" w:rsidRPr="00736FC4" w:rsidRDefault="003E3B1C" w:rsidP="003E3B1C">
      <w:pPr>
        <w:spacing w:after="0" w:line="240" w:lineRule="auto"/>
        <w:ind w:left="5040"/>
        <w:rPr>
          <w:sz w:val="24"/>
          <w:szCs w:val="24"/>
        </w:rPr>
      </w:pPr>
    </w:p>
    <w:p w14:paraId="21B13C4B" w14:textId="77777777" w:rsidR="003E3B1C" w:rsidRPr="008929B8" w:rsidRDefault="0041056A" w:rsidP="003E3B1C">
      <w:pPr>
        <w:spacing w:after="0" w:line="240" w:lineRule="auto"/>
        <w:ind w:left="5040"/>
        <w:rPr>
          <w:sz w:val="24"/>
          <w:szCs w:val="24"/>
          <w:u w:val="single"/>
        </w:rPr>
      </w:pPr>
      <w:r w:rsidRPr="008929B8">
        <w:rPr>
          <w:sz w:val="24"/>
          <w:szCs w:val="24"/>
          <w:u w:val="single"/>
        </w:rPr>
        <w:t>/s/ Michael K. Lavanga</w:t>
      </w:r>
      <w:r w:rsidRPr="008929B8">
        <w:rPr>
          <w:sz w:val="24"/>
          <w:szCs w:val="24"/>
          <w:u w:val="single"/>
        </w:rPr>
        <w:tab/>
      </w:r>
    </w:p>
    <w:p w14:paraId="2762C737" w14:textId="77777777" w:rsidR="003E3B1C" w:rsidRPr="00E12B98" w:rsidRDefault="0041056A" w:rsidP="003E3B1C">
      <w:pPr>
        <w:spacing w:after="0" w:line="240" w:lineRule="auto"/>
        <w:ind w:left="5040"/>
        <w:rPr>
          <w:sz w:val="24"/>
          <w:szCs w:val="24"/>
        </w:rPr>
      </w:pPr>
      <w:r w:rsidRPr="00736FC4">
        <w:rPr>
          <w:sz w:val="24"/>
          <w:szCs w:val="24"/>
        </w:rPr>
        <w:t xml:space="preserve"> Michael K. Lavanga, Esq.</w:t>
      </w:r>
    </w:p>
    <w:p w14:paraId="5492259C" w14:textId="138144C7" w:rsidR="00875DF3" w:rsidRPr="00E12B98" w:rsidRDefault="00875DF3" w:rsidP="00E23868">
      <w:pPr>
        <w:spacing w:after="0" w:line="480" w:lineRule="auto"/>
        <w:rPr>
          <w:sz w:val="24"/>
          <w:szCs w:val="24"/>
        </w:rPr>
      </w:pPr>
    </w:p>
    <w:sectPr w:rsidR="00875DF3" w:rsidRPr="00E12B98">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80ACB" w14:textId="77777777" w:rsidR="0041056A" w:rsidRDefault="0041056A">
      <w:pPr>
        <w:spacing w:after="0" w:line="240" w:lineRule="auto"/>
      </w:pPr>
      <w:r>
        <w:separator/>
      </w:r>
    </w:p>
  </w:endnote>
  <w:endnote w:type="continuationSeparator" w:id="0">
    <w:p w14:paraId="436E575A" w14:textId="77777777" w:rsidR="0041056A" w:rsidRDefault="0041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925286"/>
      <w:docPartObj>
        <w:docPartGallery w:val="Page Numbers (Bottom of Page)"/>
        <w:docPartUnique/>
      </w:docPartObj>
    </w:sdtPr>
    <w:sdtEndPr>
      <w:rPr>
        <w:noProof/>
      </w:rPr>
    </w:sdtEndPr>
    <w:sdtContent>
      <w:p w14:paraId="2C04D148" w14:textId="00474CE0" w:rsidR="001014B5" w:rsidRDefault="00410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CEFA6" w14:textId="77777777" w:rsidR="001014B5" w:rsidRDefault="0010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CE370" w14:textId="77777777" w:rsidR="0041056A" w:rsidRDefault="0041056A" w:rsidP="00B20D9A">
      <w:pPr>
        <w:spacing w:after="0" w:line="240" w:lineRule="auto"/>
      </w:pPr>
      <w:r>
        <w:separator/>
      </w:r>
    </w:p>
  </w:footnote>
  <w:footnote w:type="continuationSeparator" w:id="0">
    <w:p w14:paraId="2E19BE48" w14:textId="77777777" w:rsidR="0041056A" w:rsidRDefault="0041056A" w:rsidP="00B20D9A">
      <w:pPr>
        <w:spacing w:after="0" w:line="240" w:lineRule="auto"/>
      </w:pPr>
      <w:r>
        <w:continuationSeparator/>
      </w:r>
    </w:p>
  </w:footnote>
  <w:footnote w:id="1">
    <w:p w14:paraId="50A0B077" w14:textId="0A5D7749" w:rsidR="00B01B1B" w:rsidRDefault="0041056A" w:rsidP="00B01B1B">
      <w:pPr>
        <w:pStyle w:val="FootnoteText"/>
      </w:pPr>
      <w:r>
        <w:rPr>
          <w:rStyle w:val="FootnoteReference"/>
        </w:rPr>
        <w:footnoteRef/>
      </w:r>
      <w:r>
        <w:t xml:space="preserve"> Case No. 16-743-EL-POR, Fifth Entry on Rehearing at P 14</w:t>
      </w:r>
      <w:r w:rsidR="003E3B1C">
        <w:t xml:space="preserve"> (February 24, 2021)</w:t>
      </w:r>
      <w:r>
        <w:t>.</w:t>
      </w:r>
    </w:p>
  </w:footnote>
  <w:footnote w:id="2">
    <w:p w14:paraId="0FB182A6" w14:textId="37C0DFB8" w:rsidR="00FA1021" w:rsidRDefault="0041056A">
      <w:pPr>
        <w:pStyle w:val="FootnoteText"/>
      </w:pPr>
      <w:r>
        <w:rPr>
          <w:rStyle w:val="FootnoteReference"/>
        </w:rPr>
        <w:footnoteRef/>
      </w:r>
      <w:r>
        <w:t xml:space="preserve"> Case No. 16-743-EL-POR, Comments of Nucor Steel Marion, Inc. on Rider ELR (March 26, 2021)</w:t>
      </w:r>
      <w:r w:rsidR="001D6061">
        <w:t xml:space="preserve"> (“Nucor Comments”)</w:t>
      </w:r>
      <w:r>
        <w:t>.</w:t>
      </w:r>
    </w:p>
  </w:footnote>
  <w:footnote w:id="3">
    <w:p w14:paraId="7BD0A224" w14:textId="626C8749" w:rsidR="007102EA" w:rsidRDefault="0041056A">
      <w:pPr>
        <w:pStyle w:val="FootnoteText"/>
      </w:pPr>
      <w:r>
        <w:rPr>
          <w:rStyle w:val="FootnoteReference"/>
        </w:rPr>
        <w:footnoteRef/>
      </w:r>
      <w:r>
        <w:t xml:space="preserve"> </w:t>
      </w:r>
      <w:r w:rsidR="00FA1021">
        <w:t>Case No. 16-743-EL-POR, Comments of the Ohio Energy Group at 2-3 (March 26, 2021)</w:t>
      </w:r>
      <w:r w:rsidR="0092193F">
        <w:t xml:space="preserve"> </w:t>
      </w:r>
      <w:r w:rsidR="00FA1021">
        <w:t>(“OEG Comments</w:t>
      </w:r>
      <w:r w:rsidR="00373D46">
        <w:t>”</w:t>
      </w:r>
      <w:r w:rsidR="00FA1021">
        <w:t>); Comments of Industrial Energy Users-Ohio at 1</w:t>
      </w:r>
      <w:r w:rsidR="001D6061">
        <w:t xml:space="preserve">-5 (March 26, 2021); Comments of Ohio Edison Company, </w:t>
      </w:r>
      <w:r w:rsidR="00373D46">
        <w:t>T</w:t>
      </w:r>
      <w:r w:rsidR="001D6061">
        <w:t xml:space="preserve">he Cleveland Electric Illuminating Company and </w:t>
      </w:r>
      <w:r w:rsidR="00373D46">
        <w:t>T</w:t>
      </w:r>
      <w:r w:rsidR="001D6061">
        <w:t>he Toledo Edison Company Regarding Rider ELR at 1-3 (March 26, 2021).</w:t>
      </w:r>
    </w:p>
  </w:footnote>
  <w:footnote w:id="4">
    <w:p w14:paraId="0310003A" w14:textId="788ED608" w:rsidR="00FA1021" w:rsidRDefault="0041056A">
      <w:pPr>
        <w:pStyle w:val="FootnoteText"/>
      </w:pPr>
      <w:r>
        <w:rPr>
          <w:rStyle w:val="FootnoteReference"/>
        </w:rPr>
        <w:footnoteRef/>
      </w:r>
      <w:r>
        <w:t xml:space="preserve"> </w:t>
      </w:r>
      <w:r w:rsidR="003E3B1C" w:rsidRPr="004050C6">
        <w:rPr>
          <w:i/>
          <w:iCs/>
        </w:rPr>
        <w:t>See</w:t>
      </w:r>
      <w:r w:rsidR="003E3B1C">
        <w:t xml:space="preserve"> </w:t>
      </w:r>
      <w:r>
        <w:t xml:space="preserve">Case No. 16-743-EL-POR, Comments (Including Recommendation to Clarify FirstEnergy’s Tariffs to Ensure Refundability of Charges) by Office of the Ohio </w:t>
      </w:r>
      <w:r w:rsidR="003E3B1C">
        <w:t xml:space="preserve">Consumers’ </w:t>
      </w:r>
      <w:r>
        <w:t>Counsel (March 26, 2021) (“OCC Comments”).</w:t>
      </w:r>
    </w:p>
  </w:footnote>
  <w:footnote w:id="5">
    <w:p w14:paraId="3551F45F" w14:textId="30D957A3" w:rsidR="001D6061" w:rsidRDefault="0041056A">
      <w:pPr>
        <w:pStyle w:val="FootnoteText"/>
      </w:pPr>
      <w:r>
        <w:rPr>
          <w:rStyle w:val="FootnoteReference"/>
        </w:rPr>
        <w:footnoteRef/>
      </w:r>
      <w:r>
        <w:t xml:space="preserve"> Nucor Comments at 6-11, 15-17.</w:t>
      </w:r>
    </w:p>
  </w:footnote>
  <w:footnote w:id="6">
    <w:p w14:paraId="2941E088" w14:textId="0F8499F4" w:rsidR="001D6061" w:rsidRDefault="0041056A">
      <w:pPr>
        <w:pStyle w:val="FootnoteText"/>
      </w:pPr>
      <w:r>
        <w:rPr>
          <w:rStyle w:val="FootnoteReference"/>
        </w:rPr>
        <w:footnoteRef/>
      </w:r>
      <w:r>
        <w:t xml:space="preserve"> </w:t>
      </w:r>
      <w:r w:rsidR="005D2C8D" w:rsidRPr="005D2C8D">
        <w:rPr>
          <w:i/>
          <w:iCs/>
        </w:rPr>
        <w:t>See i</w:t>
      </w:r>
      <w:r w:rsidRPr="001D6061">
        <w:rPr>
          <w:i/>
          <w:iCs/>
        </w:rPr>
        <w:t>d</w:t>
      </w:r>
      <w:r>
        <w:t>. at 11-15 (discussing electric security plan</w:t>
      </w:r>
      <w:r w:rsidR="00D64634">
        <w:t xml:space="preserve"> (“ESP”)</w:t>
      </w:r>
      <w:r>
        <w:t xml:space="preserve"> cases where the Commission considered and rejected arguments that Rider ELR should be treated as a portfolio plan program).</w:t>
      </w:r>
    </w:p>
  </w:footnote>
  <w:footnote w:id="7">
    <w:p w14:paraId="04476876" w14:textId="1D03E341" w:rsidR="00DD0E67" w:rsidRDefault="0041056A">
      <w:pPr>
        <w:pStyle w:val="FootnoteText"/>
      </w:pPr>
      <w:r>
        <w:rPr>
          <w:rStyle w:val="FootnoteReference"/>
        </w:rPr>
        <w:footnoteRef/>
      </w:r>
      <w:r>
        <w:t xml:space="preserve"> OCC Comments at 5.</w:t>
      </w:r>
    </w:p>
  </w:footnote>
  <w:footnote w:id="8">
    <w:p w14:paraId="08975480" w14:textId="393202B0" w:rsidR="00D129A0" w:rsidRDefault="0041056A">
      <w:pPr>
        <w:pStyle w:val="FootnoteText"/>
      </w:pPr>
      <w:r>
        <w:rPr>
          <w:rStyle w:val="FootnoteReference"/>
        </w:rPr>
        <w:footnoteRef/>
      </w:r>
      <w:r>
        <w:t xml:space="preserve"> Nucor Comments at 11-12.</w:t>
      </w:r>
    </w:p>
  </w:footnote>
  <w:footnote w:id="9">
    <w:p w14:paraId="3BE3EF42" w14:textId="4E9DFE1E" w:rsidR="00D129A0" w:rsidRDefault="0041056A">
      <w:pPr>
        <w:pStyle w:val="FootnoteText"/>
      </w:pPr>
      <w:r>
        <w:rPr>
          <w:rStyle w:val="FootnoteReference"/>
        </w:rPr>
        <w:footnoteRef/>
      </w:r>
      <w:r>
        <w:t xml:space="preserve"> </w:t>
      </w:r>
      <w:r w:rsidR="00C755E8" w:rsidRPr="008A6048">
        <w:rPr>
          <w:i/>
          <w:iCs/>
        </w:rPr>
        <w:t>See i</w:t>
      </w:r>
      <w:r w:rsidRPr="00D129A0">
        <w:rPr>
          <w:i/>
          <w:iCs/>
        </w:rPr>
        <w:t>d</w:t>
      </w:r>
      <w:r>
        <w:t>. at 8-11</w:t>
      </w:r>
      <w:r w:rsidR="00117FC8">
        <w:t>; OEG Comments at 2 (“Rider ELR was established to serve reliability and economic development functions through the [ESP] process pursuant to R.C. 4928.143.”).</w:t>
      </w:r>
      <w:r>
        <w:t xml:space="preserve"> </w:t>
      </w:r>
    </w:p>
  </w:footnote>
  <w:footnote w:id="10">
    <w:p w14:paraId="7B7BC3C2" w14:textId="1E2A991F" w:rsidR="00AA065F" w:rsidRDefault="0041056A">
      <w:pPr>
        <w:pStyle w:val="FootnoteText"/>
      </w:pPr>
      <w:r>
        <w:rPr>
          <w:rStyle w:val="FootnoteReference"/>
        </w:rPr>
        <w:footnoteRef/>
      </w:r>
      <w:r>
        <w:t xml:space="preserve"> OCC Comments at 4-5.</w:t>
      </w:r>
    </w:p>
  </w:footnote>
  <w:footnote w:id="11">
    <w:p w14:paraId="72549630" w14:textId="6340F408" w:rsidR="0075610F" w:rsidRDefault="0041056A">
      <w:pPr>
        <w:pStyle w:val="FootnoteText"/>
      </w:pPr>
      <w:r>
        <w:rPr>
          <w:rStyle w:val="FootnoteReference"/>
        </w:rPr>
        <w:footnoteRef/>
      </w:r>
      <w:r>
        <w:t xml:space="preserve"> </w:t>
      </w:r>
      <w:r w:rsidR="00C755E8">
        <w:t>In</w:t>
      </w:r>
      <w:r>
        <w:t xml:space="preserve"> its comments, OCC makes the claim that Rider ELR is a “subsidy” for large nonresidential customers.  This claim ignores that </w:t>
      </w:r>
      <w:r w:rsidR="002004FB">
        <w:t xml:space="preserve">the Rider ELR cost recovery charges </w:t>
      </w:r>
      <w:r w:rsidR="00C755E8">
        <w:t xml:space="preserve">continue to </w:t>
      </w:r>
      <w:r w:rsidR="002004FB">
        <w:t xml:space="preserve">pay for the </w:t>
      </w:r>
      <w:r>
        <w:t>reliability and economic development benefits that</w:t>
      </w:r>
      <w:r w:rsidR="002004FB">
        <w:t xml:space="preserve"> the rider provides</w:t>
      </w:r>
      <w:r w:rsidR="00C755E8">
        <w:t xml:space="preserve"> as intended when the Commission consistently approved the rider in every ESP</w:t>
      </w:r>
      <w:r>
        <w:t>.</w:t>
      </w:r>
    </w:p>
  </w:footnote>
  <w:footnote w:id="12">
    <w:p w14:paraId="4192364D" w14:textId="4DDEB278" w:rsidR="0080648D" w:rsidRDefault="0041056A">
      <w:pPr>
        <w:pStyle w:val="FootnoteText"/>
      </w:pPr>
      <w:r>
        <w:rPr>
          <w:rStyle w:val="FootnoteReference"/>
        </w:rPr>
        <w:footnoteRef/>
      </w:r>
      <w:r>
        <w:t xml:space="preserve"> OCC Comments at 4.</w:t>
      </w:r>
    </w:p>
  </w:footnote>
  <w:footnote w:id="13">
    <w:p w14:paraId="177FD500" w14:textId="736D03CF" w:rsidR="001336A0" w:rsidRDefault="0041056A">
      <w:pPr>
        <w:pStyle w:val="FootnoteText"/>
      </w:pPr>
      <w:r>
        <w:rPr>
          <w:rStyle w:val="FootnoteReference"/>
        </w:rPr>
        <w:footnoteRef/>
      </w:r>
      <w:r>
        <w:t xml:space="preserve"> Rider ELR, Sheet 101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26909"/>
    <w:multiLevelType w:val="hybridMultilevel"/>
    <w:tmpl w:val="76BCAFD8"/>
    <w:lvl w:ilvl="0" w:tplc="F7563FE4">
      <w:start w:val="1"/>
      <w:numFmt w:val="bullet"/>
      <w:lvlText w:val=""/>
      <w:lvlJc w:val="left"/>
      <w:pPr>
        <w:ind w:left="778" w:hanging="360"/>
      </w:pPr>
      <w:rPr>
        <w:rFonts w:ascii="Symbol" w:hAnsi="Symbol" w:hint="default"/>
      </w:rPr>
    </w:lvl>
    <w:lvl w:ilvl="1" w:tplc="8D7416E0" w:tentative="1">
      <w:start w:val="1"/>
      <w:numFmt w:val="bullet"/>
      <w:lvlText w:val="o"/>
      <w:lvlJc w:val="left"/>
      <w:pPr>
        <w:ind w:left="1498" w:hanging="360"/>
      </w:pPr>
      <w:rPr>
        <w:rFonts w:ascii="Courier New" w:hAnsi="Courier New" w:cs="Courier New" w:hint="default"/>
      </w:rPr>
    </w:lvl>
    <w:lvl w:ilvl="2" w:tplc="D5280F84" w:tentative="1">
      <w:start w:val="1"/>
      <w:numFmt w:val="bullet"/>
      <w:lvlText w:val=""/>
      <w:lvlJc w:val="left"/>
      <w:pPr>
        <w:ind w:left="2218" w:hanging="360"/>
      </w:pPr>
      <w:rPr>
        <w:rFonts w:ascii="Wingdings" w:hAnsi="Wingdings" w:hint="default"/>
      </w:rPr>
    </w:lvl>
    <w:lvl w:ilvl="3" w:tplc="C17A08CC" w:tentative="1">
      <w:start w:val="1"/>
      <w:numFmt w:val="bullet"/>
      <w:lvlText w:val=""/>
      <w:lvlJc w:val="left"/>
      <w:pPr>
        <w:ind w:left="2938" w:hanging="360"/>
      </w:pPr>
      <w:rPr>
        <w:rFonts w:ascii="Symbol" w:hAnsi="Symbol" w:hint="default"/>
      </w:rPr>
    </w:lvl>
    <w:lvl w:ilvl="4" w:tplc="EA401BE6" w:tentative="1">
      <w:start w:val="1"/>
      <w:numFmt w:val="bullet"/>
      <w:lvlText w:val="o"/>
      <w:lvlJc w:val="left"/>
      <w:pPr>
        <w:ind w:left="3658" w:hanging="360"/>
      </w:pPr>
      <w:rPr>
        <w:rFonts w:ascii="Courier New" w:hAnsi="Courier New" w:cs="Courier New" w:hint="default"/>
      </w:rPr>
    </w:lvl>
    <w:lvl w:ilvl="5" w:tplc="8DA8001E" w:tentative="1">
      <w:start w:val="1"/>
      <w:numFmt w:val="bullet"/>
      <w:lvlText w:val=""/>
      <w:lvlJc w:val="left"/>
      <w:pPr>
        <w:ind w:left="4378" w:hanging="360"/>
      </w:pPr>
      <w:rPr>
        <w:rFonts w:ascii="Wingdings" w:hAnsi="Wingdings" w:hint="default"/>
      </w:rPr>
    </w:lvl>
    <w:lvl w:ilvl="6" w:tplc="BC8012E0" w:tentative="1">
      <w:start w:val="1"/>
      <w:numFmt w:val="bullet"/>
      <w:lvlText w:val=""/>
      <w:lvlJc w:val="left"/>
      <w:pPr>
        <w:ind w:left="5098" w:hanging="360"/>
      </w:pPr>
      <w:rPr>
        <w:rFonts w:ascii="Symbol" w:hAnsi="Symbol" w:hint="default"/>
      </w:rPr>
    </w:lvl>
    <w:lvl w:ilvl="7" w:tplc="86EA4530" w:tentative="1">
      <w:start w:val="1"/>
      <w:numFmt w:val="bullet"/>
      <w:lvlText w:val="o"/>
      <w:lvlJc w:val="left"/>
      <w:pPr>
        <w:ind w:left="5818" w:hanging="360"/>
      </w:pPr>
      <w:rPr>
        <w:rFonts w:ascii="Courier New" w:hAnsi="Courier New" w:cs="Courier New" w:hint="default"/>
      </w:rPr>
    </w:lvl>
    <w:lvl w:ilvl="8" w:tplc="D8B29DB6"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98"/>
    <w:rsid w:val="00021997"/>
    <w:rsid w:val="00033E2B"/>
    <w:rsid w:val="00045511"/>
    <w:rsid w:val="00045F3B"/>
    <w:rsid w:val="00054077"/>
    <w:rsid w:val="000549F0"/>
    <w:rsid w:val="000631B0"/>
    <w:rsid w:val="00063AC1"/>
    <w:rsid w:val="000662EC"/>
    <w:rsid w:val="000767A9"/>
    <w:rsid w:val="0008410E"/>
    <w:rsid w:val="000A3965"/>
    <w:rsid w:val="000B02BD"/>
    <w:rsid w:val="000B29C3"/>
    <w:rsid w:val="000B7DBF"/>
    <w:rsid w:val="000C79EE"/>
    <w:rsid w:val="000D2986"/>
    <w:rsid w:val="000D414D"/>
    <w:rsid w:val="000E40B7"/>
    <w:rsid w:val="000E6666"/>
    <w:rsid w:val="000F0683"/>
    <w:rsid w:val="000F4307"/>
    <w:rsid w:val="001014B5"/>
    <w:rsid w:val="00112215"/>
    <w:rsid w:val="00113539"/>
    <w:rsid w:val="00114C70"/>
    <w:rsid w:val="0011730E"/>
    <w:rsid w:val="001177FC"/>
    <w:rsid w:val="00117FC8"/>
    <w:rsid w:val="00122644"/>
    <w:rsid w:val="00125226"/>
    <w:rsid w:val="001335A3"/>
    <w:rsid w:val="001336A0"/>
    <w:rsid w:val="00134B1B"/>
    <w:rsid w:val="001414F6"/>
    <w:rsid w:val="00150C2E"/>
    <w:rsid w:val="0015629D"/>
    <w:rsid w:val="001655B6"/>
    <w:rsid w:val="00172B40"/>
    <w:rsid w:val="00173BA4"/>
    <w:rsid w:val="00176187"/>
    <w:rsid w:val="00187DA9"/>
    <w:rsid w:val="00195618"/>
    <w:rsid w:val="001A4A58"/>
    <w:rsid w:val="001C32A3"/>
    <w:rsid w:val="001C48A2"/>
    <w:rsid w:val="001D3BF6"/>
    <w:rsid w:val="001D4C8D"/>
    <w:rsid w:val="001D6061"/>
    <w:rsid w:val="001D798E"/>
    <w:rsid w:val="001E0470"/>
    <w:rsid w:val="001E11B5"/>
    <w:rsid w:val="001E5250"/>
    <w:rsid w:val="001F0F2C"/>
    <w:rsid w:val="001F342A"/>
    <w:rsid w:val="001F520F"/>
    <w:rsid w:val="002004FB"/>
    <w:rsid w:val="00201CFE"/>
    <w:rsid w:val="00204B6D"/>
    <w:rsid w:val="00204FF3"/>
    <w:rsid w:val="00216665"/>
    <w:rsid w:val="00217073"/>
    <w:rsid w:val="002267B4"/>
    <w:rsid w:val="00226C6F"/>
    <w:rsid w:val="00242DF8"/>
    <w:rsid w:val="0024535E"/>
    <w:rsid w:val="00245430"/>
    <w:rsid w:val="002515E7"/>
    <w:rsid w:val="002545FE"/>
    <w:rsid w:val="00260C42"/>
    <w:rsid w:val="00266DDD"/>
    <w:rsid w:val="002708E9"/>
    <w:rsid w:val="00277652"/>
    <w:rsid w:val="00283FEA"/>
    <w:rsid w:val="00290620"/>
    <w:rsid w:val="00296CF2"/>
    <w:rsid w:val="002B1804"/>
    <w:rsid w:val="002B1C89"/>
    <w:rsid w:val="002C1831"/>
    <w:rsid w:val="002D527D"/>
    <w:rsid w:val="002D5A7A"/>
    <w:rsid w:val="002E4482"/>
    <w:rsid w:val="002F049B"/>
    <w:rsid w:val="00304E40"/>
    <w:rsid w:val="00305873"/>
    <w:rsid w:val="00316105"/>
    <w:rsid w:val="003167DB"/>
    <w:rsid w:val="003248B7"/>
    <w:rsid w:val="003261BE"/>
    <w:rsid w:val="00332D3F"/>
    <w:rsid w:val="003368D3"/>
    <w:rsid w:val="00336A15"/>
    <w:rsid w:val="00337290"/>
    <w:rsid w:val="00345015"/>
    <w:rsid w:val="0034614A"/>
    <w:rsid w:val="0035128F"/>
    <w:rsid w:val="0035611F"/>
    <w:rsid w:val="00373D46"/>
    <w:rsid w:val="00375FE8"/>
    <w:rsid w:val="0038448A"/>
    <w:rsid w:val="00394517"/>
    <w:rsid w:val="00396B0A"/>
    <w:rsid w:val="003A2E7F"/>
    <w:rsid w:val="003B09C9"/>
    <w:rsid w:val="003B24C5"/>
    <w:rsid w:val="003B3139"/>
    <w:rsid w:val="003D2678"/>
    <w:rsid w:val="003D4EBF"/>
    <w:rsid w:val="003D5581"/>
    <w:rsid w:val="003E0A08"/>
    <w:rsid w:val="003E1D51"/>
    <w:rsid w:val="003E3B1C"/>
    <w:rsid w:val="00402BA4"/>
    <w:rsid w:val="00404F9D"/>
    <w:rsid w:val="004050C6"/>
    <w:rsid w:val="0041056A"/>
    <w:rsid w:val="0041070A"/>
    <w:rsid w:val="004144E2"/>
    <w:rsid w:val="00434568"/>
    <w:rsid w:val="00437829"/>
    <w:rsid w:val="004428F7"/>
    <w:rsid w:val="0044525D"/>
    <w:rsid w:val="00477055"/>
    <w:rsid w:val="004870A6"/>
    <w:rsid w:val="00494090"/>
    <w:rsid w:val="004B6379"/>
    <w:rsid w:val="004D4138"/>
    <w:rsid w:val="004E67E8"/>
    <w:rsid w:val="004E6D87"/>
    <w:rsid w:val="004F7655"/>
    <w:rsid w:val="004F7E52"/>
    <w:rsid w:val="005002C0"/>
    <w:rsid w:val="00515165"/>
    <w:rsid w:val="005272E0"/>
    <w:rsid w:val="005317E7"/>
    <w:rsid w:val="005364BD"/>
    <w:rsid w:val="005522F4"/>
    <w:rsid w:val="005543F5"/>
    <w:rsid w:val="005553AE"/>
    <w:rsid w:val="005558DF"/>
    <w:rsid w:val="00561382"/>
    <w:rsid w:val="00564A33"/>
    <w:rsid w:val="0056518C"/>
    <w:rsid w:val="005771B8"/>
    <w:rsid w:val="0058170E"/>
    <w:rsid w:val="005A6E6B"/>
    <w:rsid w:val="005C01DE"/>
    <w:rsid w:val="005C3D29"/>
    <w:rsid w:val="005D2C8D"/>
    <w:rsid w:val="005D42B9"/>
    <w:rsid w:val="005F7FF0"/>
    <w:rsid w:val="00602E7A"/>
    <w:rsid w:val="00620FBC"/>
    <w:rsid w:val="00626AD5"/>
    <w:rsid w:val="00631322"/>
    <w:rsid w:val="00633056"/>
    <w:rsid w:val="0064222D"/>
    <w:rsid w:val="00654579"/>
    <w:rsid w:val="006561A9"/>
    <w:rsid w:val="00665976"/>
    <w:rsid w:val="00671511"/>
    <w:rsid w:val="00672F0B"/>
    <w:rsid w:val="006757A5"/>
    <w:rsid w:val="006764D1"/>
    <w:rsid w:val="00676787"/>
    <w:rsid w:val="00677730"/>
    <w:rsid w:val="00682238"/>
    <w:rsid w:val="00683C4A"/>
    <w:rsid w:val="0069074E"/>
    <w:rsid w:val="006908B6"/>
    <w:rsid w:val="006959F9"/>
    <w:rsid w:val="006A4D08"/>
    <w:rsid w:val="006A7E91"/>
    <w:rsid w:val="006D7457"/>
    <w:rsid w:val="006F1059"/>
    <w:rsid w:val="006F53EC"/>
    <w:rsid w:val="007033A5"/>
    <w:rsid w:val="00704988"/>
    <w:rsid w:val="007102EA"/>
    <w:rsid w:val="00721332"/>
    <w:rsid w:val="00723324"/>
    <w:rsid w:val="0073387B"/>
    <w:rsid w:val="00734272"/>
    <w:rsid w:val="00736FC4"/>
    <w:rsid w:val="007467DF"/>
    <w:rsid w:val="00755E98"/>
    <w:rsid w:val="0075610F"/>
    <w:rsid w:val="007644FD"/>
    <w:rsid w:val="00765122"/>
    <w:rsid w:val="007722B6"/>
    <w:rsid w:val="007723E8"/>
    <w:rsid w:val="007726C5"/>
    <w:rsid w:val="00776571"/>
    <w:rsid w:val="007800E9"/>
    <w:rsid w:val="00782826"/>
    <w:rsid w:val="00786A71"/>
    <w:rsid w:val="00792E2C"/>
    <w:rsid w:val="007A0F02"/>
    <w:rsid w:val="007A2722"/>
    <w:rsid w:val="007B291E"/>
    <w:rsid w:val="007B2FE7"/>
    <w:rsid w:val="007C4124"/>
    <w:rsid w:val="007C7F06"/>
    <w:rsid w:val="007E01D3"/>
    <w:rsid w:val="007E130C"/>
    <w:rsid w:val="007E7599"/>
    <w:rsid w:val="007E7846"/>
    <w:rsid w:val="0080648D"/>
    <w:rsid w:val="00830D8C"/>
    <w:rsid w:val="008417FB"/>
    <w:rsid w:val="008462DB"/>
    <w:rsid w:val="0086354E"/>
    <w:rsid w:val="00867FDE"/>
    <w:rsid w:val="00875DF3"/>
    <w:rsid w:val="008779FF"/>
    <w:rsid w:val="0088518E"/>
    <w:rsid w:val="008929B8"/>
    <w:rsid w:val="00893E6D"/>
    <w:rsid w:val="008A6048"/>
    <w:rsid w:val="008D4B0B"/>
    <w:rsid w:val="008D7945"/>
    <w:rsid w:val="008E53E6"/>
    <w:rsid w:val="008F0060"/>
    <w:rsid w:val="009068A7"/>
    <w:rsid w:val="0092193F"/>
    <w:rsid w:val="00927492"/>
    <w:rsid w:val="00936BCE"/>
    <w:rsid w:val="00946A44"/>
    <w:rsid w:val="00947EE3"/>
    <w:rsid w:val="00952DD1"/>
    <w:rsid w:val="00963ECC"/>
    <w:rsid w:val="009674F2"/>
    <w:rsid w:val="00970469"/>
    <w:rsid w:val="009754DB"/>
    <w:rsid w:val="0097712F"/>
    <w:rsid w:val="00995896"/>
    <w:rsid w:val="009A7A9B"/>
    <w:rsid w:val="009E1B73"/>
    <w:rsid w:val="009E3AEA"/>
    <w:rsid w:val="009E4926"/>
    <w:rsid w:val="009E6BFC"/>
    <w:rsid w:val="009F5302"/>
    <w:rsid w:val="00A02C7A"/>
    <w:rsid w:val="00A0698D"/>
    <w:rsid w:val="00A13CD0"/>
    <w:rsid w:val="00A14579"/>
    <w:rsid w:val="00A14604"/>
    <w:rsid w:val="00A25574"/>
    <w:rsid w:val="00A3318E"/>
    <w:rsid w:val="00A41B62"/>
    <w:rsid w:val="00A42D47"/>
    <w:rsid w:val="00A43274"/>
    <w:rsid w:val="00A54E13"/>
    <w:rsid w:val="00A66759"/>
    <w:rsid w:val="00A70C81"/>
    <w:rsid w:val="00A7150C"/>
    <w:rsid w:val="00A974A7"/>
    <w:rsid w:val="00AA065F"/>
    <w:rsid w:val="00AA7C45"/>
    <w:rsid w:val="00AB6012"/>
    <w:rsid w:val="00AB6DBF"/>
    <w:rsid w:val="00AC206F"/>
    <w:rsid w:val="00AC35E1"/>
    <w:rsid w:val="00AC7434"/>
    <w:rsid w:val="00AD05F3"/>
    <w:rsid w:val="00AD49FB"/>
    <w:rsid w:val="00AE2640"/>
    <w:rsid w:val="00AE4BC2"/>
    <w:rsid w:val="00AF0CDE"/>
    <w:rsid w:val="00AF3227"/>
    <w:rsid w:val="00B01B1B"/>
    <w:rsid w:val="00B151BD"/>
    <w:rsid w:val="00B20D9A"/>
    <w:rsid w:val="00B24770"/>
    <w:rsid w:val="00B34D30"/>
    <w:rsid w:val="00B47580"/>
    <w:rsid w:val="00B5299B"/>
    <w:rsid w:val="00B62D63"/>
    <w:rsid w:val="00B76163"/>
    <w:rsid w:val="00BA1024"/>
    <w:rsid w:val="00BA622B"/>
    <w:rsid w:val="00BB5E98"/>
    <w:rsid w:val="00BC162C"/>
    <w:rsid w:val="00BC3E22"/>
    <w:rsid w:val="00BC61C6"/>
    <w:rsid w:val="00BD658B"/>
    <w:rsid w:val="00BF0FFB"/>
    <w:rsid w:val="00C01616"/>
    <w:rsid w:val="00C076CC"/>
    <w:rsid w:val="00C1090E"/>
    <w:rsid w:val="00C11931"/>
    <w:rsid w:val="00C16BEC"/>
    <w:rsid w:val="00C21062"/>
    <w:rsid w:val="00C272A0"/>
    <w:rsid w:val="00C348A1"/>
    <w:rsid w:val="00C43F3A"/>
    <w:rsid w:val="00C44629"/>
    <w:rsid w:val="00C567C2"/>
    <w:rsid w:val="00C56A0F"/>
    <w:rsid w:val="00C755E8"/>
    <w:rsid w:val="00C7594F"/>
    <w:rsid w:val="00C80CF9"/>
    <w:rsid w:val="00C82D1F"/>
    <w:rsid w:val="00C853A4"/>
    <w:rsid w:val="00C8553A"/>
    <w:rsid w:val="00CA03AC"/>
    <w:rsid w:val="00CA63BD"/>
    <w:rsid w:val="00CB2496"/>
    <w:rsid w:val="00CB65F1"/>
    <w:rsid w:val="00CC292A"/>
    <w:rsid w:val="00CC29BF"/>
    <w:rsid w:val="00CD19DB"/>
    <w:rsid w:val="00CD5F12"/>
    <w:rsid w:val="00CF0DB6"/>
    <w:rsid w:val="00D01B66"/>
    <w:rsid w:val="00D039FB"/>
    <w:rsid w:val="00D03D41"/>
    <w:rsid w:val="00D05CE5"/>
    <w:rsid w:val="00D072B2"/>
    <w:rsid w:val="00D129A0"/>
    <w:rsid w:val="00D16680"/>
    <w:rsid w:val="00D17DDC"/>
    <w:rsid w:val="00D210A0"/>
    <w:rsid w:val="00D442C5"/>
    <w:rsid w:val="00D5374E"/>
    <w:rsid w:val="00D55383"/>
    <w:rsid w:val="00D64634"/>
    <w:rsid w:val="00D66774"/>
    <w:rsid w:val="00D73D06"/>
    <w:rsid w:val="00D77116"/>
    <w:rsid w:val="00D77A8D"/>
    <w:rsid w:val="00D84B95"/>
    <w:rsid w:val="00D874E9"/>
    <w:rsid w:val="00D91E2D"/>
    <w:rsid w:val="00D96A21"/>
    <w:rsid w:val="00DA1E22"/>
    <w:rsid w:val="00DA2839"/>
    <w:rsid w:val="00DC63A5"/>
    <w:rsid w:val="00DD0E67"/>
    <w:rsid w:val="00DD199A"/>
    <w:rsid w:val="00DD76C4"/>
    <w:rsid w:val="00E03990"/>
    <w:rsid w:val="00E12B98"/>
    <w:rsid w:val="00E135E8"/>
    <w:rsid w:val="00E22FF0"/>
    <w:rsid w:val="00E23868"/>
    <w:rsid w:val="00E2667F"/>
    <w:rsid w:val="00E3063B"/>
    <w:rsid w:val="00E31C8A"/>
    <w:rsid w:val="00E40A92"/>
    <w:rsid w:val="00E45E87"/>
    <w:rsid w:val="00E51459"/>
    <w:rsid w:val="00E53971"/>
    <w:rsid w:val="00E552B9"/>
    <w:rsid w:val="00E56B65"/>
    <w:rsid w:val="00E65AC6"/>
    <w:rsid w:val="00E7083E"/>
    <w:rsid w:val="00E76607"/>
    <w:rsid w:val="00E9273B"/>
    <w:rsid w:val="00E977A4"/>
    <w:rsid w:val="00EA7191"/>
    <w:rsid w:val="00EB0974"/>
    <w:rsid w:val="00EB3EA0"/>
    <w:rsid w:val="00EB434E"/>
    <w:rsid w:val="00EC365D"/>
    <w:rsid w:val="00EC694E"/>
    <w:rsid w:val="00ED4699"/>
    <w:rsid w:val="00EE0136"/>
    <w:rsid w:val="00EE1E02"/>
    <w:rsid w:val="00EE2B17"/>
    <w:rsid w:val="00EE2DA3"/>
    <w:rsid w:val="00F010B7"/>
    <w:rsid w:val="00F107A7"/>
    <w:rsid w:val="00F156FC"/>
    <w:rsid w:val="00F22FFE"/>
    <w:rsid w:val="00F31234"/>
    <w:rsid w:val="00F34417"/>
    <w:rsid w:val="00F36035"/>
    <w:rsid w:val="00F41BB9"/>
    <w:rsid w:val="00F4751A"/>
    <w:rsid w:val="00F56C0E"/>
    <w:rsid w:val="00F64761"/>
    <w:rsid w:val="00F6484D"/>
    <w:rsid w:val="00F727D8"/>
    <w:rsid w:val="00F91FBA"/>
    <w:rsid w:val="00F92E59"/>
    <w:rsid w:val="00FA1021"/>
    <w:rsid w:val="00FA4C79"/>
    <w:rsid w:val="00FB0045"/>
    <w:rsid w:val="00FC4151"/>
    <w:rsid w:val="00FE159A"/>
    <w:rsid w:val="00FE612D"/>
    <w:rsid w:val="00FE7C6A"/>
    <w:rsid w:val="00FF1D7E"/>
    <w:rsid w:val="00FF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0F0E"/>
  <w15:chartTrackingRefBased/>
  <w15:docId w15:val="{3E67C550-3EB7-4177-BCE2-FF91C83A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96"/>
    <w:pPr>
      <w:ind w:left="720"/>
      <w:contextualSpacing/>
    </w:pPr>
  </w:style>
  <w:style w:type="paragraph" w:styleId="FootnoteText">
    <w:name w:val="footnote text"/>
    <w:basedOn w:val="Normal"/>
    <w:link w:val="FootnoteTextChar"/>
    <w:uiPriority w:val="99"/>
    <w:semiHidden/>
    <w:unhideWhenUsed/>
    <w:rsid w:val="00B20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D9A"/>
    <w:rPr>
      <w:sz w:val="20"/>
      <w:szCs w:val="20"/>
    </w:rPr>
  </w:style>
  <w:style w:type="character" w:styleId="FootnoteReference">
    <w:name w:val="footnote reference"/>
    <w:basedOn w:val="DefaultParagraphFont"/>
    <w:uiPriority w:val="99"/>
    <w:semiHidden/>
    <w:unhideWhenUsed/>
    <w:rsid w:val="00B20D9A"/>
    <w:rPr>
      <w:vertAlign w:val="superscript"/>
    </w:rPr>
  </w:style>
  <w:style w:type="character" w:styleId="CommentReference">
    <w:name w:val="annotation reference"/>
    <w:basedOn w:val="DefaultParagraphFont"/>
    <w:uiPriority w:val="99"/>
    <w:semiHidden/>
    <w:unhideWhenUsed/>
    <w:rsid w:val="00F41BB9"/>
    <w:rPr>
      <w:sz w:val="16"/>
      <w:szCs w:val="16"/>
    </w:rPr>
  </w:style>
  <w:style w:type="paragraph" w:styleId="CommentText">
    <w:name w:val="annotation text"/>
    <w:basedOn w:val="Normal"/>
    <w:link w:val="CommentTextChar"/>
    <w:uiPriority w:val="99"/>
    <w:semiHidden/>
    <w:unhideWhenUsed/>
    <w:rsid w:val="00F41BB9"/>
    <w:pPr>
      <w:spacing w:line="240" w:lineRule="auto"/>
    </w:pPr>
    <w:rPr>
      <w:sz w:val="20"/>
      <w:szCs w:val="20"/>
    </w:rPr>
  </w:style>
  <w:style w:type="character" w:customStyle="1" w:styleId="CommentTextChar">
    <w:name w:val="Comment Text Char"/>
    <w:basedOn w:val="DefaultParagraphFont"/>
    <w:link w:val="CommentText"/>
    <w:uiPriority w:val="99"/>
    <w:semiHidden/>
    <w:rsid w:val="00F41BB9"/>
    <w:rPr>
      <w:sz w:val="20"/>
      <w:szCs w:val="20"/>
    </w:rPr>
  </w:style>
  <w:style w:type="paragraph" w:styleId="CommentSubject">
    <w:name w:val="annotation subject"/>
    <w:basedOn w:val="CommentText"/>
    <w:next w:val="CommentText"/>
    <w:link w:val="CommentSubjectChar"/>
    <w:uiPriority w:val="99"/>
    <w:semiHidden/>
    <w:unhideWhenUsed/>
    <w:rsid w:val="00F41BB9"/>
    <w:rPr>
      <w:b/>
      <w:bCs/>
    </w:rPr>
  </w:style>
  <w:style w:type="character" w:customStyle="1" w:styleId="CommentSubjectChar">
    <w:name w:val="Comment Subject Char"/>
    <w:basedOn w:val="CommentTextChar"/>
    <w:link w:val="CommentSubject"/>
    <w:uiPriority w:val="99"/>
    <w:semiHidden/>
    <w:rsid w:val="00F41BB9"/>
    <w:rPr>
      <w:b/>
      <w:bCs/>
      <w:sz w:val="20"/>
      <w:szCs w:val="20"/>
    </w:rPr>
  </w:style>
  <w:style w:type="paragraph" w:styleId="Header">
    <w:name w:val="header"/>
    <w:basedOn w:val="Normal"/>
    <w:link w:val="HeaderChar"/>
    <w:uiPriority w:val="99"/>
    <w:unhideWhenUsed/>
    <w:rsid w:val="0010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B5"/>
  </w:style>
  <w:style w:type="paragraph" w:styleId="Footer">
    <w:name w:val="footer"/>
    <w:basedOn w:val="Normal"/>
    <w:link w:val="FooterChar"/>
    <w:uiPriority w:val="99"/>
    <w:unhideWhenUsed/>
    <w:rsid w:val="0010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4B5"/>
  </w:style>
  <w:style w:type="paragraph" w:styleId="Title">
    <w:name w:val="Title"/>
    <w:basedOn w:val="Normal"/>
    <w:link w:val="TitleChar"/>
    <w:uiPriority w:val="99"/>
    <w:qFormat/>
    <w:rsid w:val="0097712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97712F"/>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602E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dougherty@theoec.org" TargetMode="External"/><Relationship Id="rId18" Type="http://schemas.openxmlformats.org/officeDocument/2006/relationships/hyperlink" Target="mailto:christopher.healey@occ.ohio.gov" TargetMode="External"/><Relationship Id="rId26" Type="http://schemas.openxmlformats.org/officeDocument/2006/relationships/hyperlink" Target="mailto:callwein@keglerbrown.com" TargetMode="External"/><Relationship Id="rId3" Type="http://schemas.openxmlformats.org/officeDocument/2006/relationships/styles" Target="styles.xml"/><Relationship Id="rId21" Type="http://schemas.openxmlformats.org/officeDocument/2006/relationships/hyperlink" Target="mailto:dborchers@bricker.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ostado@jonesday.com" TargetMode="External"/><Relationship Id="rId17" Type="http://schemas.openxmlformats.org/officeDocument/2006/relationships/hyperlink" Target="mailto:swilliams@nrdc.org" TargetMode="External"/><Relationship Id="rId25" Type="http://schemas.openxmlformats.org/officeDocument/2006/relationships/hyperlink" Target="mailto:joliker@igsenergy.com" TargetMode="External"/><Relationship Id="rId33" Type="http://schemas.openxmlformats.org/officeDocument/2006/relationships/hyperlink" Target="mailto:jkylercohn@BKLlawfirm.com" TargetMode="External"/><Relationship Id="rId2" Type="http://schemas.openxmlformats.org/officeDocument/2006/relationships/numbering" Target="numbering.xml"/><Relationship Id="rId16" Type="http://schemas.openxmlformats.org/officeDocument/2006/relationships/hyperlink" Target="mailto:rkelter@elpc.org" TargetMode="External"/><Relationship Id="rId20" Type="http://schemas.openxmlformats.org/officeDocument/2006/relationships/hyperlink" Target="mailto:mwarnock@bricker.com" TargetMode="External"/><Relationship Id="rId29" Type="http://schemas.openxmlformats.org/officeDocument/2006/relationships/hyperlink" Target="mailto:paul@carpenterlip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gladman@jonesday.com" TargetMode="External"/><Relationship Id="rId24" Type="http://schemas.openxmlformats.org/officeDocument/2006/relationships/hyperlink" Target="mailto:rdove@keglerbrown.com" TargetMode="External"/><Relationship Id="rId32" Type="http://schemas.openxmlformats.org/officeDocument/2006/relationships/hyperlink" Target="mailto:kboehm@BKLlawfirm.com" TargetMode="External"/><Relationship Id="rId5" Type="http://schemas.openxmlformats.org/officeDocument/2006/relationships/webSettings" Target="webSettings.xml"/><Relationship Id="rId15" Type="http://schemas.openxmlformats.org/officeDocument/2006/relationships/hyperlink" Target="mailto:jfinnigan@edf.org" TargetMode="External"/><Relationship Id="rId23" Type="http://schemas.openxmlformats.org/officeDocument/2006/relationships/hyperlink" Target="mailto:sechler@carpenterlipps.com" TargetMode="External"/><Relationship Id="rId28" Type="http://schemas.openxmlformats.org/officeDocument/2006/relationships/hyperlink" Target="mailto:Wygonski@carpenterlipps.com" TargetMode="External"/><Relationship Id="rId36" Type="http://schemas.openxmlformats.org/officeDocument/2006/relationships/theme" Target="theme/theme1.xml"/><Relationship Id="rId10" Type="http://schemas.openxmlformats.org/officeDocument/2006/relationships/hyperlink" Target="mailto:KJKLaw@yahoo.com" TargetMode="External"/><Relationship Id="rId19" Type="http://schemas.openxmlformats.org/officeDocument/2006/relationships/hyperlink" Target="mailto:John.Jones@ohioattorneygeneral.gov" TargetMode="External"/><Relationship Id="rId31" Type="http://schemas.openxmlformats.org/officeDocument/2006/relationships/hyperlink" Target="mailto:mkurtz@BKLlawfirm.com" TargetMode="External"/><Relationship Id="rId4" Type="http://schemas.openxmlformats.org/officeDocument/2006/relationships/settings" Target="settings.xml"/><Relationship Id="rId9" Type="http://schemas.openxmlformats.org/officeDocument/2006/relationships/hyperlink" Target="mailto:bknipe@firstenergycorp.com" TargetMode="External"/><Relationship Id="rId14" Type="http://schemas.openxmlformats.org/officeDocument/2006/relationships/hyperlink" Target="mailto:mleppla@theoec.org" TargetMode="External"/><Relationship Id="rId22" Type="http://schemas.openxmlformats.org/officeDocument/2006/relationships/hyperlink" Target="mailto:dparram@bricker.com" TargetMode="External"/><Relationship Id="rId27" Type="http://schemas.openxmlformats.org/officeDocument/2006/relationships/hyperlink" Target="mailto:Bojko@carpenterlipps.com" TargetMode="External"/><Relationship Id="rId30" Type="http://schemas.openxmlformats.org/officeDocument/2006/relationships/hyperlink" Target="mailto:Lauren.augostini@puco.ohio.gov" TargetMode="External"/><Relationship Id="rId35" Type="http://schemas.openxmlformats.org/officeDocument/2006/relationships/fontTable" Target="fontTable.xml"/><Relationship Id="rId8" Type="http://schemas.openxmlformats.org/officeDocument/2006/relationships/hyperlink" Target="mailto:edanford@firstenergy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69DF-AEE2-45C6-A9E2-C515A26D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Andersen</dc:creator>
  <cp:lastModifiedBy>Chris Andersen</cp:lastModifiedBy>
  <cp:revision>2</cp:revision>
  <dcterms:created xsi:type="dcterms:W3CDTF">2021-04-12T16:14:00Z</dcterms:created>
  <dcterms:modified xsi:type="dcterms:W3CDTF">2021-04-12T16:14:00Z</dcterms:modified>
</cp:coreProperties>
</file>