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0C" w:rsidRDefault="004D3D66">
      <w:pPr>
        <w:pStyle w:val="BodyText"/>
        <w:jc w:val="center"/>
        <w:rPr>
          <w:rFonts w:cs="Arial"/>
          <w:b/>
          <w:smallCaps/>
          <w:sz w:val="32"/>
          <w:szCs w:val="32"/>
        </w:rPr>
      </w:pPr>
      <w:r>
        <w:rPr>
          <w:rFonts w:cs="Arial"/>
          <w:b/>
          <w:smallCaps/>
          <w:sz w:val="32"/>
          <w:szCs w:val="32"/>
        </w:rPr>
        <w:t>Before</w:t>
      </w:r>
    </w:p>
    <w:p w:rsidR="0057670C" w:rsidRDefault="004D3D66">
      <w:pPr>
        <w:jc w:val="center"/>
        <w:rPr>
          <w:rFonts w:ascii="Arial" w:hAnsi="Arial" w:cs="Arial"/>
          <w:b/>
          <w:smallCaps/>
          <w:sz w:val="32"/>
          <w:szCs w:val="32"/>
        </w:rPr>
      </w:pPr>
      <w:r>
        <w:rPr>
          <w:rFonts w:ascii="Arial" w:hAnsi="Arial" w:cs="Arial"/>
          <w:b/>
          <w:smallCaps/>
          <w:sz w:val="32"/>
          <w:szCs w:val="32"/>
        </w:rPr>
        <w:t>The Public Utilities Commission of Ohio</w:t>
      </w:r>
    </w:p>
    <w:p w:rsidR="0057670C" w:rsidRDefault="0057670C">
      <w:pPr>
        <w:jc w:val="center"/>
        <w:rPr>
          <w:rFonts w:ascii="Arial" w:hAnsi="Arial" w:cs="Arial"/>
          <w:b/>
        </w:rPr>
      </w:pPr>
    </w:p>
    <w:p w:rsidR="0057670C" w:rsidRDefault="0057670C">
      <w:pPr>
        <w:jc w:val="center"/>
        <w:rPr>
          <w:rFonts w:ascii="Arial" w:hAnsi="Arial" w:cs="Arial"/>
          <w:b/>
        </w:rPr>
      </w:pP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In the Matter of Linde Energy Services Inc.</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Annual Alternative Energy Portfolio Status </w:t>
      </w:r>
      <w:r>
        <w:rPr>
          <w:rFonts w:ascii="Arial" w:eastAsiaTheme="minorHAnsi" w:hAnsi="Arial" w:cs="Arial"/>
          <w:bCs/>
        </w:rPr>
        <w:tab/>
        <w:t>)</w:t>
      </w:r>
      <w:r>
        <w:rPr>
          <w:rFonts w:ascii="Arial" w:eastAsiaTheme="minorHAnsi" w:hAnsi="Arial" w:cs="Arial"/>
          <w:bCs/>
        </w:rPr>
        <w:tab/>
        <w:t>Case No. 14-473-EL-ACP</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Report and Plan for Compliance with </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Future Annual Advanced and Renewable</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hAnsi="Arial" w:cs="Arial"/>
        </w:rPr>
      </w:pPr>
      <w:r>
        <w:rPr>
          <w:rFonts w:ascii="Arial" w:eastAsiaTheme="minorHAnsi" w:hAnsi="Arial" w:cs="Arial"/>
          <w:bCs/>
        </w:rPr>
        <w:t xml:space="preserve">Energy </w:t>
      </w:r>
      <w:r>
        <w:rPr>
          <w:rFonts w:ascii="Arial" w:eastAsiaTheme="minorHAnsi" w:hAnsi="Arial" w:cs="Arial"/>
          <w:bCs/>
        </w:rPr>
        <w:t>Benchmarks</w:t>
      </w:r>
      <w:r>
        <w:rPr>
          <w:rFonts w:ascii="Arial" w:eastAsiaTheme="minorHAnsi" w:hAnsi="Arial" w:cs="Arial"/>
          <w:bCs/>
        </w:rPr>
        <w:tab/>
        <w:t>)</w:t>
      </w:r>
    </w:p>
    <w:p w:rsidR="0057670C" w:rsidRDefault="0057670C">
      <w:pPr>
        <w:jc w:val="both"/>
        <w:rPr>
          <w:rFonts w:ascii="Arial" w:hAnsi="Arial" w:cs="Arial"/>
        </w:rPr>
      </w:pPr>
    </w:p>
    <w:p w:rsidR="0057670C" w:rsidRDefault="0057670C">
      <w:pPr>
        <w:pStyle w:val="Title"/>
        <w:jc w:val="left"/>
        <w:rPr>
          <w:rFonts w:cs="Arial"/>
          <w:b w:val="0"/>
        </w:rPr>
      </w:pPr>
    </w:p>
    <w:p w:rsidR="0057670C" w:rsidRDefault="0057670C">
      <w:pPr>
        <w:pBdr>
          <w:top w:val="single" w:sz="12" w:space="1" w:color="auto"/>
        </w:pBdr>
        <w:tabs>
          <w:tab w:val="left" w:pos="7320"/>
        </w:tabs>
        <w:jc w:val="both"/>
        <w:rPr>
          <w:rFonts w:ascii="Arial" w:hAnsi="Arial" w:cs="Arial"/>
        </w:rPr>
      </w:pPr>
    </w:p>
    <w:p w:rsidR="0057670C" w:rsidRDefault="004D3D66">
      <w:pPr>
        <w:pStyle w:val="Heading1"/>
        <w:ind w:right="-90"/>
        <w:rPr>
          <w:rFonts w:ascii="Arial Bold" w:hAnsi="Arial Bold" w:cs="Arial"/>
          <w:smallCaps/>
          <w:sz w:val="32"/>
        </w:rPr>
      </w:pPr>
      <w:r>
        <w:rPr>
          <w:rFonts w:ascii="Arial Bold" w:hAnsi="Arial Bold" w:cs="Arial"/>
          <w:smallCaps/>
          <w:sz w:val="32"/>
        </w:rPr>
        <w:t>Motion of Linde Energy Services Inc. for</w:t>
      </w:r>
    </w:p>
    <w:p w:rsidR="0057670C" w:rsidRDefault="004D3D66">
      <w:pPr>
        <w:pStyle w:val="Heading1"/>
        <w:ind w:right="-90"/>
        <w:rPr>
          <w:rFonts w:ascii="Arial Bold" w:hAnsi="Arial Bold" w:cs="Arial"/>
          <w:smallCaps/>
          <w:sz w:val="32"/>
        </w:rPr>
      </w:pPr>
      <w:r>
        <w:rPr>
          <w:rFonts w:ascii="Arial Bold" w:hAnsi="Arial Bold" w:cs="Arial"/>
          <w:smallCaps/>
          <w:sz w:val="32"/>
        </w:rPr>
        <w:t>Protective Order and Memorandum In Support</w:t>
      </w:r>
    </w:p>
    <w:p w:rsidR="0057670C" w:rsidRDefault="0057670C">
      <w:pPr>
        <w:pBdr>
          <w:bottom w:val="single" w:sz="12" w:space="1" w:color="auto"/>
        </w:pBdr>
        <w:tabs>
          <w:tab w:val="left" w:pos="7320"/>
        </w:tabs>
        <w:jc w:val="center"/>
        <w:rPr>
          <w:rFonts w:ascii="Arial" w:hAnsi="Arial" w:cs="Arial"/>
        </w:rPr>
      </w:pPr>
    </w:p>
    <w:p w:rsidR="0057670C" w:rsidRDefault="0057670C">
      <w:pPr>
        <w:pStyle w:val="Title"/>
        <w:rPr>
          <w:rFonts w:cs="Arial"/>
        </w:rPr>
      </w:pPr>
    </w:p>
    <w:p w:rsidR="0057670C" w:rsidRDefault="0057670C">
      <w:pPr>
        <w:pStyle w:val="Title"/>
        <w:jc w:val="left"/>
        <w:rPr>
          <w:rFonts w:cs="Arial"/>
          <w:b w:val="0"/>
        </w:rPr>
      </w:pPr>
      <w:bookmarkStart w:id="0" w:name="_GoBack"/>
      <w:bookmarkEnd w:id="0"/>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Style w:val="Title"/>
        <w:jc w:val="left"/>
        <w:rPr>
          <w:rFonts w:cs="Arial"/>
          <w:b w:val="0"/>
        </w:rPr>
      </w:pPr>
    </w:p>
    <w:p w:rsidR="0057670C" w:rsidRDefault="004D3D6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57670C" w:rsidRDefault="004D3D6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57670C" w:rsidRDefault="004D3D6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57670C" w:rsidRDefault="004D3D66">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57670C" w:rsidRDefault="004D3D66">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57670C" w:rsidRDefault="004D3D66">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57670C" w:rsidRDefault="004D3D66">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57670C" w:rsidRDefault="004D3D66">
      <w:pPr>
        <w:pStyle w:val="BodyText"/>
        <w:tabs>
          <w:tab w:val="left" w:pos="4320"/>
        </w:tabs>
        <w:ind w:left="4320"/>
      </w:pPr>
      <w:r>
        <w:t>Telecopier:  (614) 469-4653</w:t>
      </w:r>
    </w:p>
    <w:p w:rsidR="0057670C" w:rsidRDefault="004D3D66">
      <w:pPr>
        <w:pStyle w:val="BodyText"/>
        <w:ind w:left="4320"/>
      </w:pPr>
      <w:r>
        <w:t>sam@mwncmh.com</w:t>
      </w:r>
    </w:p>
    <w:p w:rsidR="0057670C" w:rsidRDefault="004D3D66">
      <w:pPr>
        <w:pStyle w:val="BodyText"/>
        <w:ind w:left="4320"/>
      </w:pPr>
      <w:r>
        <w:t>fdarr@mwncmh.com</w:t>
      </w:r>
    </w:p>
    <w:p w:rsidR="0057670C" w:rsidRDefault="004D3D66">
      <w:pPr>
        <w:pStyle w:val="BodyText"/>
        <w:ind w:left="4320"/>
      </w:pPr>
      <w:r>
        <w:t>mpritchard@mwncmh.com</w:t>
      </w:r>
    </w:p>
    <w:p w:rsidR="0057670C" w:rsidRDefault="0057670C">
      <w:pPr>
        <w:pStyle w:val="BodyText"/>
        <w:tabs>
          <w:tab w:val="left" w:pos="4301"/>
        </w:tabs>
        <w:jc w:val="left"/>
        <w:rPr>
          <w:b/>
          <w:bCs/>
        </w:rPr>
      </w:pPr>
    </w:p>
    <w:p w:rsidR="0057670C" w:rsidRDefault="004D3D66">
      <w:pPr>
        <w:pStyle w:val="Title"/>
        <w:ind w:left="4320" w:hanging="4320"/>
        <w:jc w:val="left"/>
        <w:rPr>
          <w:rFonts w:cs="Arial"/>
          <w:b w:val="0"/>
          <w:smallCaps/>
        </w:rPr>
      </w:pPr>
      <w:r>
        <w:rPr>
          <w:bCs/>
        </w:rPr>
        <w:t>March 27, 2014</w:t>
      </w:r>
      <w:r>
        <w:rPr>
          <w:bCs/>
        </w:rPr>
        <w:tab/>
        <w:t>Attorneys for Linde Energy Services</w:t>
      </w:r>
      <w:r>
        <w:rPr>
          <w:rFonts w:cs="Arial"/>
          <w:bCs/>
        </w:rPr>
        <w:t xml:space="preserve"> Inc.</w:t>
      </w:r>
    </w:p>
    <w:p w:rsidR="0057670C" w:rsidRDefault="0057670C">
      <w:pPr>
        <w:pStyle w:val="Title"/>
        <w:rPr>
          <w:rFonts w:cs="Arial"/>
          <w:smallCaps/>
          <w:sz w:val="28"/>
        </w:rPr>
        <w:sectPr w:rsidR="005767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78"/>
        </w:sectPr>
      </w:pPr>
    </w:p>
    <w:p w:rsidR="0057670C" w:rsidRDefault="004D3D66">
      <w:pPr>
        <w:pStyle w:val="BodyText"/>
        <w:jc w:val="center"/>
        <w:rPr>
          <w:rFonts w:cs="Arial"/>
          <w:b/>
          <w:smallCaps/>
          <w:sz w:val="32"/>
          <w:szCs w:val="32"/>
        </w:rPr>
      </w:pPr>
      <w:r>
        <w:rPr>
          <w:rFonts w:cs="Arial"/>
          <w:b/>
          <w:smallCaps/>
          <w:sz w:val="32"/>
          <w:szCs w:val="32"/>
        </w:rPr>
        <w:lastRenderedPageBreak/>
        <w:t>Before</w:t>
      </w:r>
    </w:p>
    <w:p w:rsidR="0057670C" w:rsidRDefault="004D3D66">
      <w:pPr>
        <w:jc w:val="center"/>
        <w:rPr>
          <w:rFonts w:ascii="Arial" w:hAnsi="Arial" w:cs="Arial"/>
          <w:b/>
          <w:smallCaps/>
          <w:sz w:val="32"/>
          <w:szCs w:val="32"/>
        </w:rPr>
      </w:pPr>
      <w:r>
        <w:rPr>
          <w:rFonts w:ascii="Arial" w:hAnsi="Arial" w:cs="Arial"/>
          <w:b/>
          <w:smallCaps/>
          <w:sz w:val="32"/>
          <w:szCs w:val="32"/>
        </w:rPr>
        <w:t>The Public Utilities Commission of Ohio</w:t>
      </w:r>
    </w:p>
    <w:p w:rsidR="0057670C" w:rsidRDefault="0057670C">
      <w:pPr>
        <w:jc w:val="center"/>
        <w:rPr>
          <w:rFonts w:ascii="Arial" w:hAnsi="Arial" w:cs="Arial"/>
          <w:b/>
        </w:rPr>
      </w:pPr>
    </w:p>
    <w:p w:rsidR="0057670C" w:rsidRDefault="0057670C">
      <w:pPr>
        <w:jc w:val="center"/>
        <w:rPr>
          <w:rFonts w:ascii="Arial" w:hAnsi="Arial" w:cs="Arial"/>
          <w:b/>
        </w:rPr>
      </w:pP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In the Matter of Linde Energy Services Inc.</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Annual Alternative Energy Portfolio Status </w:t>
      </w:r>
      <w:r>
        <w:rPr>
          <w:rFonts w:ascii="Arial" w:eastAsiaTheme="minorHAnsi" w:hAnsi="Arial" w:cs="Arial"/>
          <w:bCs/>
        </w:rPr>
        <w:tab/>
        <w:t>)</w:t>
      </w:r>
      <w:r>
        <w:rPr>
          <w:rFonts w:ascii="Arial" w:eastAsiaTheme="minorHAnsi" w:hAnsi="Arial" w:cs="Arial"/>
          <w:bCs/>
        </w:rPr>
        <w:tab/>
        <w:t>Case No. 14-473-EL-ACP</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Report and Plan for Compliance with </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Future Annual Advanced and Renewable</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hAnsi="Arial" w:cs="Arial"/>
        </w:rPr>
      </w:pPr>
      <w:r>
        <w:rPr>
          <w:rFonts w:ascii="Arial" w:eastAsiaTheme="minorHAnsi" w:hAnsi="Arial" w:cs="Arial"/>
          <w:bCs/>
        </w:rPr>
        <w:t>Energy Benchmarks</w:t>
      </w:r>
      <w:r>
        <w:rPr>
          <w:rFonts w:ascii="Arial" w:eastAsiaTheme="minorHAnsi" w:hAnsi="Arial" w:cs="Arial"/>
          <w:bCs/>
        </w:rPr>
        <w:tab/>
        <w:t>)</w:t>
      </w: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Bdr>
          <w:top w:val="single" w:sz="12" w:space="1" w:color="auto"/>
        </w:pBdr>
        <w:tabs>
          <w:tab w:val="left" w:pos="7320"/>
        </w:tabs>
        <w:jc w:val="center"/>
        <w:rPr>
          <w:rFonts w:ascii="Arial" w:hAnsi="Arial" w:cs="Arial"/>
          <w:b/>
          <w:sz w:val="16"/>
          <w:szCs w:val="16"/>
        </w:rPr>
      </w:pPr>
    </w:p>
    <w:p w:rsidR="0057670C" w:rsidRDefault="004D3D66">
      <w:pPr>
        <w:pStyle w:val="Heading1"/>
        <w:ind w:right="-90"/>
        <w:rPr>
          <w:rFonts w:ascii="Arial Bold" w:hAnsi="Arial Bold" w:cs="Arial"/>
          <w:smallCaps/>
          <w:sz w:val="32"/>
        </w:rPr>
      </w:pPr>
      <w:r>
        <w:rPr>
          <w:rFonts w:ascii="Arial Bold" w:hAnsi="Arial Bold" w:cs="Arial"/>
          <w:smallCaps/>
          <w:sz w:val="32"/>
        </w:rPr>
        <w:t>Motion of Linde Energy Services Inc.</w:t>
      </w:r>
    </w:p>
    <w:p w:rsidR="0057670C" w:rsidRDefault="004D3D66">
      <w:pPr>
        <w:pStyle w:val="Heading1"/>
        <w:ind w:right="-90"/>
        <w:rPr>
          <w:rFonts w:ascii="Arial Bold" w:hAnsi="Arial Bold" w:cs="Arial"/>
          <w:smallCaps/>
          <w:sz w:val="32"/>
        </w:rPr>
      </w:pPr>
      <w:r>
        <w:rPr>
          <w:rFonts w:ascii="Arial Bold" w:hAnsi="Arial Bold" w:cs="Arial"/>
          <w:smallCaps/>
          <w:sz w:val="32"/>
        </w:rPr>
        <w:t>for Protective Order</w:t>
      </w:r>
    </w:p>
    <w:p w:rsidR="0057670C" w:rsidRDefault="0057670C">
      <w:pPr>
        <w:pBdr>
          <w:bottom w:val="single" w:sz="12" w:space="1" w:color="auto"/>
        </w:pBdr>
        <w:tabs>
          <w:tab w:val="left" w:pos="7320"/>
        </w:tabs>
        <w:jc w:val="center"/>
        <w:rPr>
          <w:rFonts w:ascii="Arial" w:hAnsi="Arial" w:cs="Arial"/>
          <w:sz w:val="16"/>
          <w:szCs w:val="16"/>
        </w:rPr>
      </w:pPr>
    </w:p>
    <w:p w:rsidR="0057670C" w:rsidRDefault="0057670C">
      <w:pPr>
        <w:pStyle w:val="Title"/>
        <w:rPr>
          <w:rFonts w:cs="Arial"/>
        </w:rPr>
      </w:pPr>
    </w:p>
    <w:p w:rsidR="0057670C" w:rsidRDefault="004D3D66">
      <w:pPr>
        <w:pStyle w:val="BodyText"/>
        <w:spacing w:before="120" w:line="480" w:lineRule="auto"/>
        <w:rPr>
          <w:rFonts w:cs="Arial"/>
          <w:bCs/>
          <w:spacing w:val="-2"/>
        </w:rPr>
      </w:pPr>
      <w:r>
        <w:rPr>
          <w:rFonts w:cs="Arial"/>
          <w:sz w:val="28"/>
        </w:rPr>
        <w:tab/>
      </w:r>
      <w:r>
        <w:rPr>
          <w:rFonts w:cs="Arial"/>
          <w:bCs/>
          <w:spacing w:val="-2"/>
        </w:rPr>
        <w:t>Pursuant to Rule 4901-1-24, Ohio Administrative Code (“O.A.C.”), Linde Energy Services Inc. (“</w:t>
      </w:r>
      <w:r>
        <w:rPr>
          <w:rFonts w:cs="Arial"/>
          <w:bCs/>
          <w:spacing w:val="-2"/>
        </w:rPr>
        <w:t xml:space="preserve">LESI”) </w:t>
      </w:r>
      <w:r>
        <w:rPr>
          <w:rFonts w:cs="Arial"/>
          <w:spacing w:val="-2"/>
        </w:rPr>
        <w:t xml:space="preserve">respectfully moves the Public Utilities Commission of Ohio (“Commission”) </w:t>
      </w:r>
      <w:r>
        <w:rPr>
          <w:rFonts w:cs="Arial"/>
          <w:bCs/>
          <w:spacing w:val="-2"/>
        </w:rPr>
        <w:t xml:space="preserve">to issue a Protective Order to protect the confidentiality and prohibit the disclosure </w:t>
      </w:r>
      <w:r>
        <w:rPr>
          <w:rFonts w:cs="Arial"/>
          <w:spacing w:val="-2"/>
        </w:rPr>
        <w:t xml:space="preserve">of the confidential information contained in LESI’s </w:t>
      </w:r>
      <w:r>
        <w:rPr>
          <w:rFonts w:eastAsiaTheme="minorHAnsi" w:cs="Arial"/>
          <w:bCs/>
        </w:rPr>
        <w:t xml:space="preserve">Annual Alternative Energy Portfolio </w:t>
      </w:r>
      <w:r>
        <w:rPr>
          <w:rFonts w:eastAsiaTheme="minorHAnsi" w:cs="Arial"/>
          <w:bCs/>
        </w:rPr>
        <w:t>Status Report and Plan for Compliance with Future Annual Advanced and</w:t>
      </w:r>
      <w:r>
        <w:rPr>
          <w:rFonts w:cs="Arial"/>
          <w:spacing w:val="-2"/>
        </w:rPr>
        <w:t xml:space="preserve"> </w:t>
      </w:r>
      <w:r>
        <w:rPr>
          <w:rFonts w:eastAsiaTheme="minorHAnsi" w:cs="Arial"/>
          <w:bCs/>
        </w:rPr>
        <w:t>Renewable Energy Benchmarks</w:t>
      </w:r>
      <w:r>
        <w:rPr>
          <w:rFonts w:cs="Arial"/>
          <w:spacing w:val="-2"/>
        </w:rPr>
        <w:t xml:space="preserve"> filed contemporaneously herein in this proceeding.  The confidential information is not subject to disclosure and includes </w:t>
      </w:r>
      <w:r>
        <w:rPr>
          <w:rFonts w:cs="Arial"/>
          <w:bCs/>
          <w:spacing w:val="-2"/>
        </w:rPr>
        <w:t xml:space="preserve">competitively sensitive and highly </w:t>
      </w:r>
      <w:r>
        <w:rPr>
          <w:rFonts w:cs="Arial"/>
          <w:bCs/>
          <w:spacing w:val="-2"/>
        </w:rPr>
        <w:t>proprietary business information comprising trade secrets</w:t>
      </w:r>
      <w:r>
        <w:rPr>
          <w:rFonts w:cs="Arial"/>
          <w:spacing w:val="-2"/>
        </w:rPr>
        <w:t xml:space="preserve">.  </w:t>
      </w:r>
      <w:r>
        <w:rPr>
          <w:rFonts w:cs="Arial"/>
          <w:bCs/>
          <w:spacing w:val="-2"/>
        </w:rPr>
        <w:t>The grounds for this Motion are set forth in the attached Memorandum in Support.</w:t>
      </w:r>
    </w:p>
    <w:p w:rsidR="0057670C" w:rsidRDefault="004D3D66">
      <w:pPr>
        <w:pStyle w:val="BodyTextIndent"/>
        <w:ind w:left="3600" w:firstLine="720"/>
      </w:pPr>
      <w:r>
        <w:t>Respectfully submitted,</w:t>
      </w:r>
    </w:p>
    <w:p w:rsidR="0057670C" w:rsidRDefault="0057670C">
      <w:pPr>
        <w:pStyle w:val="BodyTextIndent"/>
        <w:ind w:left="0"/>
      </w:pPr>
    </w:p>
    <w:p w:rsidR="0057670C" w:rsidRDefault="004D3D66">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u w:val="single"/>
        </w:rPr>
        <w:t>/s/ Matthew R. Pritchard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7670C" w:rsidRDefault="004D3D6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57670C" w:rsidRDefault="004D3D6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57670C" w:rsidRDefault="004D3D6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 xml:space="preserve">Matthew </w:t>
      </w:r>
      <w:r>
        <w:rPr>
          <w:rFonts w:ascii="Arial" w:hAnsi="Arial" w:cs="Arial"/>
          <w:lang w:val="de-DE"/>
        </w:rPr>
        <w:t>R. Pritchard</w:t>
      </w:r>
    </w:p>
    <w:p w:rsidR="0057670C" w:rsidRDefault="004D3D66">
      <w:pPr>
        <w:tabs>
          <w:tab w:val="left" w:pos="-1440"/>
          <w:tab w:val="left" w:pos="-720"/>
          <w:tab w:val="left" w:pos="3600"/>
          <w:tab w:val="left" w:pos="4320"/>
          <w:tab w:val="left" w:pos="4680"/>
          <w:tab w:val="left" w:pos="5040"/>
        </w:tabs>
        <w:ind w:left="4320"/>
        <w:jc w:val="both"/>
        <w:rPr>
          <w:rFonts w:ascii="Arial" w:hAnsi="Arial" w:cs="Arial"/>
          <w:smallCaps/>
        </w:rPr>
      </w:pPr>
      <w:r>
        <w:rPr>
          <w:rFonts w:ascii="Arial" w:hAnsi="Arial" w:cs="Arial"/>
          <w:smallCaps/>
        </w:rPr>
        <w:t>McNees Wallace &amp; Nurick LLC</w:t>
      </w:r>
    </w:p>
    <w:p w:rsidR="0057670C" w:rsidRDefault="004D3D66">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57670C" w:rsidRDefault="004D3D66">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57670C" w:rsidRDefault="004D3D66">
      <w:pPr>
        <w:pStyle w:val="BodyText"/>
        <w:ind w:left="4320"/>
        <w:rPr>
          <w:rFonts w:cs="Arial"/>
        </w:rPr>
      </w:pPr>
      <w:r>
        <w:rPr>
          <w:rFonts w:cs="Arial"/>
        </w:rPr>
        <w:t>sam@mwncmh.com</w:t>
      </w:r>
    </w:p>
    <w:p w:rsidR="0057670C" w:rsidRDefault="004D3D66">
      <w:pPr>
        <w:pStyle w:val="BodyText"/>
        <w:ind w:left="4320"/>
        <w:rPr>
          <w:rFonts w:cs="Arial"/>
        </w:rPr>
      </w:pPr>
      <w:r>
        <w:rPr>
          <w:rFonts w:cs="Arial"/>
        </w:rPr>
        <w:t>fdarr@mwncmh.com</w:t>
      </w:r>
    </w:p>
    <w:p w:rsidR="0057670C" w:rsidRDefault="004D3D66">
      <w:pPr>
        <w:pStyle w:val="BodyText"/>
        <w:ind w:left="4320"/>
        <w:rPr>
          <w:rFonts w:cs="Arial"/>
        </w:rPr>
      </w:pPr>
      <w:r>
        <w:rPr>
          <w:rFonts w:cs="Arial"/>
        </w:rPr>
        <w:lastRenderedPageBreak/>
        <w:t>mpritchard@mwncmh.com</w:t>
      </w:r>
    </w:p>
    <w:p w:rsidR="0057670C" w:rsidRDefault="0057670C">
      <w:pPr>
        <w:pStyle w:val="BodyText"/>
        <w:ind w:left="4320"/>
        <w:rPr>
          <w:rFonts w:cs="Arial"/>
        </w:rPr>
      </w:pPr>
    </w:p>
    <w:p w:rsidR="0057670C" w:rsidRDefault="004D3D66">
      <w:pPr>
        <w:pStyle w:val="BodyText"/>
        <w:ind w:left="4320"/>
        <w:rPr>
          <w:rFonts w:cs="Arial"/>
          <w:b/>
          <w:bCs/>
        </w:rPr>
      </w:pPr>
      <w:r>
        <w:rPr>
          <w:rFonts w:cs="Arial"/>
          <w:b/>
        </w:rPr>
        <w:t>Attorneys for Linde Energy Services Inc.</w:t>
      </w:r>
    </w:p>
    <w:p w:rsidR="0057670C" w:rsidRDefault="0057670C">
      <w:pPr>
        <w:pStyle w:val="BodyText"/>
        <w:ind w:left="4320"/>
        <w:rPr>
          <w:rFonts w:cs="Arial"/>
          <w:b/>
          <w:bCs/>
        </w:rPr>
      </w:pPr>
    </w:p>
    <w:p w:rsidR="0057670C" w:rsidRDefault="004D3D66">
      <w:pPr>
        <w:pStyle w:val="BodyText"/>
        <w:ind w:left="4320"/>
        <w:rPr>
          <w:rFonts w:cs="Arial"/>
          <w:b/>
          <w:bCs/>
        </w:rPr>
      </w:pPr>
      <w:r>
        <w:rPr>
          <w:rFonts w:cs="Arial"/>
          <w:b/>
          <w:bCs/>
        </w:rPr>
        <w:br w:type="page"/>
      </w:r>
    </w:p>
    <w:p w:rsidR="0057670C" w:rsidRDefault="004D3D66">
      <w:pPr>
        <w:pStyle w:val="BodyText"/>
        <w:jc w:val="center"/>
        <w:rPr>
          <w:rFonts w:cs="Arial"/>
          <w:b/>
          <w:smallCaps/>
          <w:sz w:val="32"/>
          <w:szCs w:val="32"/>
        </w:rPr>
      </w:pPr>
      <w:r>
        <w:rPr>
          <w:rFonts w:cs="Arial"/>
          <w:b/>
          <w:smallCaps/>
          <w:sz w:val="32"/>
          <w:szCs w:val="32"/>
        </w:rPr>
        <w:lastRenderedPageBreak/>
        <w:t>Before</w:t>
      </w:r>
    </w:p>
    <w:p w:rsidR="0057670C" w:rsidRDefault="004D3D66">
      <w:pPr>
        <w:jc w:val="center"/>
        <w:rPr>
          <w:rFonts w:ascii="Arial" w:hAnsi="Arial" w:cs="Arial"/>
          <w:b/>
          <w:smallCaps/>
          <w:sz w:val="32"/>
          <w:szCs w:val="32"/>
        </w:rPr>
      </w:pPr>
      <w:r>
        <w:rPr>
          <w:rFonts w:ascii="Arial" w:hAnsi="Arial" w:cs="Arial"/>
          <w:b/>
          <w:smallCaps/>
          <w:sz w:val="32"/>
          <w:szCs w:val="32"/>
        </w:rPr>
        <w:t>The Public Utilities Commission of Ohio</w:t>
      </w:r>
    </w:p>
    <w:p w:rsidR="0057670C" w:rsidRDefault="0057670C">
      <w:pPr>
        <w:jc w:val="center"/>
        <w:rPr>
          <w:rFonts w:ascii="Arial" w:hAnsi="Arial" w:cs="Arial"/>
          <w:b/>
        </w:rPr>
      </w:pPr>
    </w:p>
    <w:p w:rsidR="0057670C" w:rsidRDefault="0057670C">
      <w:pPr>
        <w:jc w:val="center"/>
        <w:rPr>
          <w:rFonts w:ascii="Arial" w:hAnsi="Arial" w:cs="Arial"/>
          <w:b/>
        </w:rPr>
      </w:pP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In the </w:t>
      </w:r>
      <w:r>
        <w:rPr>
          <w:rFonts w:ascii="Arial" w:eastAsiaTheme="minorHAnsi" w:hAnsi="Arial" w:cs="Arial"/>
          <w:bCs/>
        </w:rPr>
        <w:t>Matter of Linde Energy Services Inc.</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Annual Alternative Energy Portfolio Status </w:t>
      </w:r>
      <w:r>
        <w:rPr>
          <w:rFonts w:ascii="Arial" w:eastAsiaTheme="minorHAnsi" w:hAnsi="Arial" w:cs="Arial"/>
          <w:bCs/>
        </w:rPr>
        <w:tab/>
        <w:t>)</w:t>
      </w:r>
      <w:r>
        <w:rPr>
          <w:rFonts w:ascii="Arial" w:eastAsiaTheme="minorHAnsi" w:hAnsi="Arial" w:cs="Arial"/>
          <w:bCs/>
        </w:rPr>
        <w:tab/>
        <w:t>Case No. 14-473-EL-ACP</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Report and Plan for Compliance with </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Future Annual Advanced and Renewable</w:t>
      </w:r>
      <w:r>
        <w:rPr>
          <w:rFonts w:ascii="Arial" w:eastAsiaTheme="minorHAnsi" w:hAnsi="Arial" w:cs="Arial"/>
          <w:bCs/>
        </w:rPr>
        <w:tab/>
        <w:t>)</w:t>
      </w:r>
    </w:p>
    <w:p w:rsidR="0057670C" w:rsidRDefault="004D3D66">
      <w:pPr>
        <w:tabs>
          <w:tab w:val="left" w:pos="4680"/>
          <w:tab w:val="left" w:pos="5220"/>
        </w:tabs>
        <w:autoSpaceDE w:val="0"/>
        <w:autoSpaceDN w:val="0"/>
        <w:adjustRightInd w:val="0"/>
        <w:rPr>
          <w:rFonts w:ascii="Arial" w:hAnsi="Arial" w:cs="Arial"/>
        </w:rPr>
      </w:pPr>
      <w:r>
        <w:rPr>
          <w:rFonts w:ascii="Arial" w:eastAsiaTheme="minorHAnsi" w:hAnsi="Arial" w:cs="Arial"/>
          <w:bCs/>
        </w:rPr>
        <w:t>Energy Benchmarks</w:t>
      </w:r>
      <w:r>
        <w:rPr>
          <w:rFonts w:ascii="Arial" w:eastAsiaTheme="minorHAnsi" w:hAnsi="Arial" w:cs="Arial"/>
          <w:bCs/>
        </w:rPr>
        <w:tab/>
        <w:t>)</w:t>
      </w:r>
    </w:p>
    <w:p w:rsidR="0057670C" w:rsidRDefault="0057670C">
      <w:pPr>
        <w:pStyle w:val="Title"/>
        <w:jc w:val="left"/>
        <w:rPr>
          <w:rFonts w:cs="Arial"/>
          <w:b w:val="0"/>
        </w:rPr>
      </w:pPr>
    </w:p>
    <w:p w:rsidR="0057670C" w:rsidRDefault="0057670C">
      <w:pPr>
        <w:pStyle w:val="Title"/>
        <w:jc w:val="left"/>
        <w:rPr>
          <w:rFonts w:cs="Arial"/>
          <w:b w:val="0"/>
        </w:rPr>
      </w:pPr>
    </w:p>
    <w:p w:rsidR="0057670C" w:rsidRDefault="0057670C">
      <w:pPr>
        <w:pBdr>
          <w:top w:val="single" w:sz="12" w:space="1" w:color="auto"/>
        </w:pBdr>
        <w:tabs>
          <w:tab w:val="left" w:pos="7320"/>
        </w:tabs>
        <w:jc w:val="center"/>
        <w:rPr>
          <w:rFonts w:ascii="Arial" w:hAnsi="Arial" w:cs="Arial"/>
          <w:b/>
          <w:sz w:val="16"/>
          <w:szCs w:val="16"/>
        </w:rPr>
      </w:pPr>
    </w:p>
    <w:p w:rsidR="0057670C" w:rsidRDefault="004D3D66">
      <w:pPr>
        <w:pStyle w:val="Heading1"/>
        <w:ind w:right="-90"/>
        <w:rPr>
          <w:rFonts w:ascii="Arial Bold" w:hAnsi="Arial Bold" w:cs="Arial"/>
          <w:smallCaps/>
          <w:sz w:val="32"/>
        </w:rPr>
      </w:pPr>
      <w:r>
        <w:rPr>
          <w:rFonts w:ascii="Arial Bold" w:hAnsi="Arial Bold" w:cs="Arial"/>
          <w:smallCaps/>
          <w:sz w:val="32"/>
        </w:rPr>
        <w:t>Memorandum in Support</w:t>
      </w:r>
    </w:p>
    <w:p w:rsidR="0057670C" w:rsidRDefault="0057670C">
      <w:pPr>
        <w:pBdr>
          <w:bottom w:val="single" w:sz="12" w:space="1" w:color="auto"/>
        </w:pBdr>
        <w:tabs>
          <w:tab w:val="left" w:pos="7320"/>
        </w:tabs>
        <w:jc w:val="center"/>
        <w:rPr>
          <w:rFonts w:ascii="Arial" w:hAnsi="Arial" w:cs="Arial"/>
          <w:sz w:val="16"/>
          <w:szCs w:val="16"/>
        </w:rPr>
      </w:pPr>
    </w:p>
    <w:p w:rsidR="0057670C" w:rsidRDefault="0057670C">
      <w:pPr>
        <w:pStyle w:val="Title"/>
        <w:rPr>
          <w:rFonts w:cs="Arial"/>
        </w:rPr>
      </w:pPr>
    </w:p>
    <w:p w:rsidR="0057670C" w:rsidRDefault="004D3D66">
      <w:pPr>
        <w:pStyle w:val="ListParagraph"/>
        <w:numPr>
          <w:ilvl w:val="0"/>
          <w:numId w:val="1"/>
        </w:numPr>
        <w:spacing w:before="120" w:line="480" w:lineRule="auto"/>
        <w:ind w:left="720"/>
        <w:jc w:val="both"/>
        <w:rPr>
          <w:rFonts w:ascii="Arial" w:hAnsi="Arial" w:cs="Arial"/>
          <w:b/>
          <w:caps/>
        </w:rPr>
      </w:pPr>
      <w:r>
        <w:rPr>
          <w:rFonts w:ascii="Arial" w:hAnsi="Arial" w:cs="Arial"/>
          <w:b/>
          <w:caps/>
        </w:rPr>
        <w:t xml:space="preserve">Introduction and </w:t>
      </w:r>
      <w:r>
        <w:rPr>
          <w:rFonts w:ascii="Arial" w:hAnsi="Arial" w:cs="Arial"/>
          <w:b/>
          <w:caps/>
        </w:rPr>
        <w:t>background</w:t>
      </w:r>
    </w:p>
    <w:p w:rsidR="0057670C" w:rsidRDefault="004D3D66">
      <w:pPr>
        <w:autoSpaceDE w:val="0"/>
        <w:autoSpaceDN w:val="0"/>
        <w:adjustRightInd w:val="0"/>
        <w:spacing w:line="480" w:lineRule="auto"/>
        <w:ind w:firstLine="720"/>
        <w:jc w:val="both"/>
        <w:rPr>
          <w:rFonts w:ascii="Arial" w:hAnsi="Arial" w:cs="Arial"/>
        </w:rPr>
      </w:pPr>
      <w:r>
        <w:rPr>
          <w:rFonts w:ascii="Arial" w:hAnsi="Arial" w:cs="Arial"/>
        </w:rPr>
        <w:t xml:space="preserve">LESI’s motion requests that certain confidential information contained in the </w:t>
      </w:r>
      <w:r>
        <w:rPr>
          <w:rFonts w:ascii="Arial" w:eastAsiaTheme="minorHAnsi" w:hAnsi="Arial" w:cs="Arial"/>
          <w:bCs/>
        </w:rPr>
        <w:t>Annual Alternative Energy Portfolio Status Report and Plan for Compliance with Future Annual Advanced and</w:t>
      </w:r>
      <w:r>
        <w:rPr>
          <w:rFonts w:cs="Arial"/>
          <w:spacing w:val="-2"/>
        </w:rPr>
        <w:t xml:space="preserve"> </w:t>
      </w:r>
      <w:r>
        <w:rPr>
          <w:rFonts w:ascii="Arial" w:eastAsiaTheme="minorHAnsi" w:hAnsi="Arial" w:cs="Arial"/>
          <w:bCs/>
        </w:rPr>
        <w:t>Renewable Energy Benchmarks</w:t>
      </w:r>
      <w:r>
        <w:rPr>
          <w:rFonts w:ascii="Arial" w:hAnsi="Arial" w:cs="Arial"/>
        </w:rPr>
        <w:t xml:space="preserve"> filed in this docket on March 27,</w:t>
      </w:r>
      <w:r>
        <w:rPr>
          <w:rFonts w:ascii="Arial" w:hAnsi="Arial" w:cs="Arial"/>
        </w:rPr>
        <w:t xml:space="preserve"> 2014 be exempted from public disclosure as confidential, proprietary and competitively sensitive (“Confidential Information”).  Specifically, LESI requests that the information contained within Table 1, Table 2 and Table 3 be exempted from disclosure as C</w:t>
      </w:r>
      <w:r>
        <w:rPr>
          <w:rFonts w:ascii="Arial" w:hAnsi="Arial" w:cs="Arial"/>
        </w:rPr>
        <w:t>onfidential Information.  The information in Table 1, Table 2 and Table 3 provides information on LESI’s actual and forecast load that, if readily available and in the public record, would be available to competitors and impair competition.  Accordingly, L</w:t>
      </w:r>
      <w:r>
        <w:rPr>
          <w:rFonts w:ascii="Arial" w:hAnsi="Arial" w:cs="Arial"/>
        </w:rPr>
        <w:t>ESI requests a protective order to preserve the confidentiality of this Confidential Information.</w:t>
      </w:r>
    </w:p>
    <w:p w:rsidR="0057670C" w:rsidRDefault="004D3D66">
      <w:pPr>
        <w:pStyle w:val="ListParagraph"/>
        <w:numPr>
          <w:ilvl w:val="0"/>
          <w:numId w:val="1"/>
        </w:numPr>
        <w:spacing w:before="180" w:line="480" w:lineRule="auto"/>
        <w:ind w:left="720"/>
        <w:jc w:val="both"/>
        <w:rPr>
          <w:rFonts w:ascii="Arial" w:hAnsi="Arial" w:cs="Arial"/>
          <w:b/>
        </w:rPr>
      </w:pPr>
      <w:r>
        <w:rPr>
          <w:rFonts w:ascii="Arial" w:hAnsi="Arial" w:cs="Arial"/>
          <w:b/>
        </w:rPr>
        <w:t>ARGUMENT</w:t>
      </w:r>
    </w:p>
    <w:p w:rsidR="0057670C" w:rsidRDefault="004D3D66">
      <w:pPr>
        <w:pStyle w:val="BodyText3"/>
        <w:widowControl w:val="0"/>
        <w:spacing w:line="480" w:lineRule="auto"/>
        <w:ind w:firstLine="720"/>
        <w:jc w:val="both"/>
        <w:rPr>
          <w:rFonts w:ascii="Arial" w:hAnsi="Arial" w:cs="Arial"/>
          <w:b w:val="0"/>
        </w:rPr>
      </w:pPr>
      <w:r>
        <w:rPr>
          <w:rFonts w:ascii="Arial" w:hAnsi="Arial" w:cs="Arial"/>
          <w:b w:val="0"/>
        </w:rPr>
        <w:t xml:space="preserve">The actual and projected load information of LESI contains competitively sensitive and highly proprietary business information that constitutes trade secrets under Ohio law and the Commission’s rules.  State law recognizes the need to protect </w:t>
      </w:r>
      <w:r>
        <w:rPr>
          <w:rFonts w:ascii="Arial" w:hAnsi="Arial" w:cs="Arial"/>
          <w:b w:val="0"/>
        </w:rPr>
        <w:lastRenderedPageBreak/>
        <w:t>information t</w:t>
      </w:r>
      <w:r>
        <w:rPr>
          <w:rFonts w:ascii="Arial" w:hAnsi="Arial" w:cs="Arial"/>
          <w:b w:val="0"/>
        </w:rPr>
        <w:t xml:space="preserve">hat is confidential in nature.  </w:t>
      </w:r>
      <w:r>
        <w:rPr>
          <w:rFonts w:ascii="Arial" w:hAnsi="Arial" w:cs="Arial"/>
          <w:b w:val="0"/>
          <w:szCs w:val="24"/>
        </w:rPr>
        <w:t>Accordingly, the General Assembly granted the Commission statutory authority to exempt certain documents from disclosure.</w:t>
      </w:r>
      <w:r>
        <w:rPr>
          <w:rStyle w:val="FootnoteReference"/>
          <w:rFonts w:ascii="Arial" w:hAnsi="Arial" w:cs="Arial"/>
          <w:b w:val="0"/>
          <w:szCs w:val="24"/>
        </w:rPr>
        <w:footnoteReference w:id="1"/>
      </w:r>
      <w:r>
        <w:rPr>
          <w:rFonts w:ascii="Arial" w:hAnsi="Arial" w:cs="Arial"/>
          <w:b w:val="0"/>
          <w:szCs w:val="24"/>
        </w:rPr>
        <w:t xml:space="preserve">  Pursuant to this statutory grant of authority, the Commission promulgated Rule 4901-1-24, O.A.C.  </w:t>
      </w:r>
      <w:r>
        <w:rPr>
          <w:rFonts w:ascii="Arial" w:hAnsi="Arial" w:cs="Arial"/>
          <w:b w:val="0"/>
        </w:rPr>
        <w:t>Ru</w:t>
      </w:r>
      <w:r>
        <w:rPr>
          <w:rFonts w:ascii="Arial" w:hAnsi="Arial" w:cs="Arial"/>
          <w:b w:val="0"/>
        </w:rPr>
        <w:t xml:space="preserve">le 4901-1-24(D), O.A.C., provides for the issuance of an order that is necessary to protect the confidentiality of information contained in documents filed at the Commission to the extent that state and federal law prohibit the release of such information </w:t>
      </w:r>
      <w:r>
        <w:rPr>
          <w:rFonts w:ascii="Arial" w:hAnsi="Arial" w:cs="Arial"/>
          <w:b w:val="0"/>
        </w:rPr>
        <w:t xml:space="preserve">and where non-disclosure of the information is not inconsistent with the purposes of Title 49 of the Revised Code.  </w:t>
      </w:r>
    </w:p>
    <w:p w:rsidR="0057670C" w:rsidRDefault="004D3D66">
      <w:pPr>
        <w:pStyle w:val="BodyText3"/>
        <w:widowControl w:val="0"/>
        <w:spacing w:line="480" w:lineRule="auto"/>
        <w:ind w:firstLine="720"/>
        <w:jc w:val="both"/>
        <w:rPr>
          <w:rFonts w:ascii="Arial" w:hAnsi="Arial" w:cs="Arial"/>
          <w:b w:val="0"/>
        </w:rPr>
      </w:pPr>
      <w:r>
        <w:rPr>
          <w:rFonts w:ascii="Arial" w:hAnsi="Arial" w:cs="Arial"/>
          <w:b w:val="0"/>
        </w:rPr>
        <w:t>Trade secrets protected by state law are not considered public records and are therefore exempt from public disclosure.</w:t>
      </w:r>
      <w:r>
        <w:rPr>
          <w:rStyle w:val="FootnoteReference"/>
          <w:rFonts w:ascii="Arial" w:hAnsi="Arial" w:cs="Arial"/>
          <w:b w:val="0"/>
        </w:rPr>
        <w:footnoteReference w:id="2"/>
      </w:r>
      <w:r>
        <w:rPr>
          <w:rFonts w:ascii="Arial" w:hAnsi="Arial" w:cs="Arial"/>
          <w:b w:val="0"/>
        </w:rPr>
        <w:t xml:space="preserve">  A trade secret is</w:t>
      </w:r>
      <w:r>
        <w:rPr>
          <w:rFonts w:ascii="Arial" w:hAnsi="Arial" w:cs="Arial"/>
          <w:b w:val="0"/>
        </w:rPr>
        <w:t xml:space="preserve"> defined by Section 1333.61(D), Revised Code, as follows:</w:t>
      </w:r>
    </w:p>
    <w:p w:rsidR="0057670C" w:rsidRDefault="004D3D66">
      <w:pPr>
        <w:pStyle w:val="BodyText3"/>
        <w:widowControl w:val="0"/>
        <w:ind w:left="720" w:right="720"/>
        <w:jc w:val="both"/>
        <w:rPr>
          <w:rFonts w:ascii="Arial" w:hAnsi="Arial" w:cs="Arial"/>
          <w:b w:val="0"/>
        </w:rPr>
      </w:pPr>
      <w:r>
        <w:rPr>
          <w:rFonts w:ascii="Arial" w:hAnsi="Arial" w:cs="Arial"/>
          <w:b w:val="0"/>
        </w:rPr>
        <w:t xml:space="preserve">"Trade secret" means information, including the whole or any portion or phase of any scientific or technical information, design, process, procedure, formula, pattern, compilation, program, device, </w:t>
      </w:r>
      <w:r>
        <w:rPr>
          <w:rFonts w:ascii="Arial" w:hAnsi="Arial" w:cs="Arial"/>
          <w:b w:val="0"/>
        </w:rPr>
        <w:t xml:space="preserve">method, technique, or improvement, or any </w:t>
      </w:r>
      <w:r>
        <w:rPr>
          <w:rFonts w:ascii="Arial" w:hAnsi="Arial" w:cs="Arial"/>
          <w:i/>
          <w:u w:val="single"/>
        </w:rPr>
        <w:t>business information or plans</w:t>
      </w:r>
      <w:r>
        <w:rPr>
          <w:rFonts w:ascii="Arial" w:hAnsi="Arial" w:cs="Arial"/>
          <w:b w:val="0"/>
          <w:i/>
          <w:u w:val="single"/>
        </w:rPr>
        <w:t xml:space="preserve">, </w:t>
      </w:r>
      <w:r>
        <w:rPr>
          <w:rFonts w:ascii="Arial" w:hAnsi="Arial" w:cs="Arial"/>
          <w:bCs/>
          <w:i/>
          <w:u w:val="single"/>
        </w:rPr>
        <w:t>financial</w:t>
      </w:r>
      <w:r>
        <w:rPr>
          <w:rFonts w:ascii="Arial" w:hAnsi="Arial" w:cs="Arial"/>
          <w:b w:val="0"/>
          <w:i/>
          <w:u w:val="single"/>
        </w:rPr>
        <w:t xml:space="preserve"> </w:t>
      </w:r>
      <w:r>
        <w:rPr>
          <w:rFonts w:ascii="Arial" w:hAnsi="Arial" w:cs="Arial"/>
          <w:bCs/>
          <w:i/>
          <w:u w:val="single"/>
        </w:rPr>
        <w:t>information</w:t>
      </w:r>
      <w:r>
        <w:rPr>
          <w:rFonts w:ascii="Arial" w:hAnsi="Arial" w:cs="Arial"/>
          <w:b w:val="0"/>
        </w:rPr>
        <w:t>, or listing of names, addresses, or telephone numbers, that satisfies both of the following:</w:t>
      </w:r>
    </w:p>
    <w:p w:rsidR="0057670C" w:rsidRDefault="0057670C">
      <w:pPr>
        <w:pStyle w:val="BodyText3"/>
        <w:widowControl w:val="0"/>
        <w:ind w:left="720" w:right="720"/>
        <w:jc w:val="both"/>
        <w:rPr>
          <w:rFonts w:ascii="Arial" w:hAnsi="Arial" w:cs="Arial"/>
          <w:b w:val="0"/>
        </w:rPr>
      </w:pPr>
    </w:p>
    <w:p w:rsidR="0057670C" w:rsidRDefault="004D3D66">
      <w:pPr>
        <w:pStyle w:val="BodyText3"/>
        <w:widowControl w:val="0"/>
        <w:ind w:left="720" w:right="720"/>
        <w:jc w:val="both"/>
        <w:rPr>
          <w:rFonts w:ascii="Arial" w:hAnsi="Arial" w:cs="Arial"/>
          <w:b w:val="0"/>
        </w:rPr>
      </w:pPr>
      <w:r>
        <w:rPr>
          <w:rFonts w:ascii="Arial" w:hAnsi="Arial" w:cs="Arial"/>
          <w:b w:val="0"/>
        </w:rPr>
        <w:t>(1) It derives independent economic value, actual or potential, fro</w:t>
      </w:r>
      <w:r>
        <w:rPr>
          <w:rFonts w:ascii="Arial" w:hAnsi="Arial" w:cs="Arial"/>
          <w:b w:val="0"/>
        </w:rPr>
        <w:t>m not being generally known to, and not being readily ascertainable by proper means by, other persons who can obtain economic value from its disclosure or use.</w:t>
      </w:r>
    </w:p>
    <w:p w:rsidR="0057670C" w:rsidRDefault="0057670C">
      <w:pPr>
        <w:pStyle w:val="BodyText3"/>
        <w:widowControl w:val="0"/>
        <w:ind w:left="720" w:right="720"/>
        <w:jc w:val="both"/>
        <w:rPr>
          <w:rFonts w:ascii="Arial" w:hAnsi="Arial" w:cs="Arial"/>
          <w:b w:val="0"/>
        </w:rPr>
      </w:pPr>
    </w:p>
    <w:p w:rsidR="0057670C" w:rsidRDefault="004D3D66">
      <w:pPr>
        <w:pStyle w:val="BodyText3"/>
        <w:ind w:left="720" w:right="720"/>
        <w:jc w:val="both"/>
        <w:rPr>
          <w:rFonts w:ascii="Arial" w:hAnsi="Arial" w:cs="Arial"/>
          <w:b w:val="0"/>
        </w:rPr>
      </w:pPr>
      <w:r>
        <w:rPr>
          <w:rFonts w:ascii="Arial" w:hAnsi="Arial" w:cs="Arial"/>
          <w:b w:val="0"/>
        </w:rPr>
        <w:t xml:space="preserve">(2) It is the subject of efforts that are reasonable under the circumstances to maintain its </w:t>
      </w:r>
      <w:r>
        <w:rPr>
          <w:rFonts w:ascii="Arial" w:hAnsi="Arial" w:cs="Arial"/>
          <w:b w:val="0"/>
        </w:rPr>
        <w:t>secrecy.</w:t>
      </w:r>
    </w:p>
    <w:p w:rsidR="0057670C" w:rsidRDefault="0057670C">
      <w:pPr>
        <w:pStyle w:val="BodyText3"/>
        <w:widowControl w:val="0"/>
        <w:ind w:right="720"/>
        <w:jc w:val="both"/>
        <w:rPr>
          <w:rFonts w:ascii="Arial" w:hAnsi="Arial" w:cs="Arial"/>
          <w:b w:val="0"/>
        </w:rPr>
      </w:pPr>
    </w:p>
    <w:p w:rsidR="0057670C" w:rsidRDefault="004D3D66">
      <w:pPr>
        <w:pStyle w:val="BodyText3"/>
        <w:widowControl w:val="0"/>
        <w:spacing w:line="480" w:lineRule="auto"/>
        <w:ind w:right="720"/>
        <w:jc w:val="both"/>
        <w:rPr>
          <w:rFonts w:ascii="Arial" w:hAnsi="Arial" w:cs="Arial"/>
          <w:b w:val="0"/>
        </w:rPr>
      </w:pPr>
      <w:r>
        <w:rPr>
          <w:rFonts w:ascii="Arial" w:hAnsi="Arial" w:cs="Arial"/>
          <w:b w:val="0"/>
        </w:rPr>
        <w:t>Section 1333.61(D), Revised Code (emphasis added).</w:t>
      </w:r>
    </w:p>
    <w:p w:rsidR="0057670C" w:rsidRDefault="004D3D66">
      <w:pPr>
        <w:pStyle w:val="BodyText3"/>
        <w:widowControl w:val="0"/>
        <w:spacing w:line="480" w:lineRule="auto"/>
        <w:ind w:firstLine="720"/>
        <w:jc w:val="both"/>
        <w:rPr>
          <w:rFonts w:ascii="Arial" w:hAnsi="Arial" w:cs="Arial"/>
          <w:b w:val="0"/>
        </w:rPr>
      </w:pPr>
      <w:r>
        <w:rPr>
          <w:rFonts w:ascii="Arial" w:hAnsi="Arial" w:cs="Arial"/>
          <w:b w:val="0"/>
        </w:rPr>
        <w:t xml:space="preserve">The LESI-related information contained within Table 1, Table 2 and Table 3 is competitively sensitive and highly proprietary business and financial information falling </w:t>
      </w:r>
      <w:r>
        <w:rPr>
          <w:rFonts w:ascii="Arial" w:hAnsi="Arial" w:cs="Arial"/>
          <w:b w:val="0"/>
        </w:rPr>
        <w:lastRenderedPageBreak/>
        <w:t>within the statutory charac</w:t>
      </w:r>
      <w:r>
        <w:rPr>
          <w:rFonts w:ascii="Arial" w:hAnsi="Arial" w:cs="Arial"/>
          <w:b w:val="0"/>
        </w:rPr>
        <w:t>terization of a trade secret.</w:t>
      </w:r>
      <w:r>
        <w:rPr>
          <w:rStyle w:val="FootnoteReference"/>
          <w:rFonts w:ascii="Arial" w:hAnsi="Arial" w:cs="Arial"/>
          <w:b w:val="0"/>
        </w:rPr>
        <w:footnoteReference w:id="3"/>
      </w:r>
      <w:r>
        <w:rPr>
          <w:rFonts w:ascii="Arial" w:hAnsi="Arial" w:cs="Arial"/>
          <w:b w:val="0"/>
        </w:rPr>
        <w:t xml:space="preserve">  Public disclosure of LESI’s actual and forecast load would jeopardize LESI’s business position and its ability to compete.  The actual and forecast load information LESI seeks to protect derives independent economic value fr</w:t>
      </w:r>
      <w:r>
        <w:rPr>
          <w:rFonts w:ascii="Arial" w:hAnsi="Arial" w:cs="Arial"/>
          <w:b w:val="0"/>
        </w:rPr>
        <w:t>om not being generally known and not being readily ascertainable by proper means by LESI’s competitors.  Further, the efforts to protect the confidential pricing information are reasonable under the circumstances.  Finally, actual customer load and usage a</w:t>
      </w:r>
      <w:r>
        <w:rPr>
          <w:rFonts w:ascii="Arial" w:hAnsi="Arial" w:cs="Arial"/>
          <w:b w:val="0"/>
        </w:rPr>
        <w:t>re routinely accorded protected status by the Commission.</w:t>
      </w:r>
    </w:p>
    <w:p w:rsidR="0057670C" w:rsidRDefault="004D3D66">
      <w:pPr>
        <w:pStyle w:val="BodyText3"/>
        <w:widowControl w:val="0"/>
        <w:spacing w:line="480" w:lineRule="auto"/>
        <w:ind w:firstLine="720"/>
        <w:jc w:val="both"/>
        <w:rPr>
          <w:rFonts w:ascii="Arial" w:hAnsi="Arial" w:cs="Arial"/>
          <w:b w:val="0"/>
        </w:rPr>
      </w:pPr>
      <w:r>
        <w:rPr>
          <w:rFonts w:ascii="Arial" w:hAnsi="Arial" w:cs="Arial"/>
          <w:b w:val="0"/>
        </w:rPr>
        <w:t>The non-disclosure of the actual usage and pricing information will not impair the purposes of Title 49 of the Revised Code, as the Commission and its Staff will have full access to the confidential</w:t>
      </w:r>
      <w:r>
        <w:rPr>
          <w:rFonts w:ascii="Arial" w:hAnsi="Arial" w:cs="Arial"/>
          <w:b w:val="0"/>
        </w:rPr>
        <w:t xml:space="preserve"> information in order to complete its review process.  Because LESI’s information constitutes a trade secret, it should be accorded protected status.</w:t>
      </w:r>
    </w:p>
    <w:p w:rsidR="0057670C" w:rsidRDefault="004D3D66">
      <w:pPr>
        <w:pStyle w:val="BodyTextIndent"/>
        <w:numPr>
          <w:ilvl w:val="0"/>
          <w:numId w:val="1"/>
        </w:numPr>
        <w:spacing w:before="180" w:after="0" w:line="480" w:lineRule="auto"/>
        <w:ind w:left="720"/>
        <w:rPr>
          <w:b/>
        </w:rPr>
      </w:pPr>
      <w:r>
        <w:rPr>
          <w:b/>
        </w:rPr>
        <w:t>CONCLUSION</w:t>
      </w:r>
    </w:p>
    <w:p w:rsidR="0057670C" w:rsidRDefault="004D3D66">
      <w:pPr>
        <w:pStyle w:val="BodyText3"/>
        <w:widowControl w:val="0"/>
        <w:spacing w:line="480" w:lineRule="auto"/>
        <w:ind w:firstLine="720"/>
        <w:jc w:val="both"/>
        <w:rPr>
          <w:rFonts w:ascii="Arial" w:hAnsi="Arial" w:cs="Arial"/>
          <w:b w:val="0"/>
        </w:rPr>
      </w:pPr>
      <w:r>
        <w:rPr>
          <w:rFonts w:ascii="Arial" w:hAnsi="Arial" w:cs="Arial"/>
          <w:b w:val="0"/>
        </w:rPr>
        <w:t>LESI respectfully requests that this Motion for Protective Order be granted for the reasons set</w:t>
      </w:r>
      <w:r>
        <w:rPr>
          <w:rFonts w:ascii="Arial" w:hAnsi="Arial" w:cs="Arial"/>
          <w:b w:val="0"/>
        </w:rPr>
        <w:t xml:space="preserve"> forth herein.</w:t>
      </w:r>
    </w:p>
    <w:p w:rsidR="0057670C" w:rsidRDefault="004D3D66">
      <w:pPr>
        <w:pStyle w:val="BodyTextIndent"/>
        <w:spacing w:after="0"/>
        <w:ind w:left="4320"/>
      </w:pPr>
      <w:r>
        <w:t>Respectfully submitted,</w:t>
      </w:r>
    </w:p>
    <w:p w:rsidR="0057670C" w:rsidRDefault="0057670C">
      <w:pPr>
        <w:pStyle w:val="BodyTextIndent"/>
        <w:spacing w:before="120" w:after="0"/>
        <w:ind w:left="4320"/>
      </w:pPr>
    </w:p>
    <w:p w:rsidR="0057670C" w:rsidRDefault="004D3D66">
      <w:pPr>
        <w:tabs>
          <w:tab w:val="left" w:pos="-1440"/>
          <w:tab w:val="left" w:pos="-720"/>
          <w:tab w:val="left" w:pos="3600"/>
          <w:tab w:val="left" w:pos="4320"/>
          <w:tab w:val="left" w:pos="4680"/>
          <w:tab w:val="left" w:pos="5040"/>
        </w:tabs>
        <w:ind w:left="4320"/>
        <w:jc w:val="both"/>
        <w:rPr>
          <w:rFonts w:ascii="Arial" w:hAnsi="Arial" w:cs="Arial"/>
          <w:u w:val="single"/>
        </w:rPr>
      </w:pPr>
      <w:r>
        <w:rPr>
          <w:rFonts w:ascii="Arial" w:hAnsi="Arial" w:cs="Arial"/>
          <w:u w:val="single"/>
        </w:rPr>
        <w:t>/s/ Matthew R. Pritchard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57670C" w:rsidRDefault="004D3D6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57670C" w:rsidRDefault="004D3D6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57670C" w:rsidRDefault="004D3D6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57670C" w:rsidRDefault="004D3D66">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57670C" w:rsidRDefault="004D3D66">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57670C" w:rsidRDefault="004D3D66">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57670C" w:rsidRDefault="004D3D66">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57670C" w:rsidRDefault="004D3D66">
      <w:pPr>
        <w:pStyle w:val="BodyText"/>
        <w:tabs>
          <w:tab w:val="left" w:pos="4320"/>
        </w:tabs>
        <w:ind w:left="4320" w:hanging="4320"/>
        <w:rPr>
          <w:rFonts w:cs="Arial"/>
        </w:rPr>
      </w:pPr>
      <w:r>
        <w:rPr>
          <w:rFonts w:cs="Arial"/>
        </w:rPr>
        <w:tab/>
        <w:t>Telecopier:  (614) 469-4653</w:t>
      </w:r>
    </w:p>
    <w:p w:rsidR="0057670C" w:rsidRDefault="004D3D66">
      <w:pPr>
        <w:pStyle w:val="BodyText"/>
        <w:ind w:left="4320"/>
        <w:rPr>
          <w:rFonts w:cs="Arial"/>
        </w:rPr>
      </w:pPr>
      <w:r>
        <w:rPr>
          <w:rFonts w:cs="Arial"/>
        </w:rPr>
        <w:t>sam@mwncmh.com</w:t>
      </w:r>
    </w:p>
    <w:p w:rsidR="0057670C" w:rsidRDefault="004D3D66">
      <w:pPr>
        <w:pStyle w:val="BodyText"/>
        <w:ind w:left="4320"/>
        <w:rPr>
          <w:rFonts w:cs="Arial"/>
        </w:rPr>
      </w:pPr>
      <w:r>
        <w:rPr>
          <w:rFonts w:cs="Arial"/>
        </w:rPr>
        <w:t>fdarr@mwncmh.com</w:t>
      </w:r>
    </w:p>
    <w:p w:rsidR="0057670C" w:rsidRDefault="004D3D66">
      <w:pPr>
        <w:pStyle w:val="BodyText"/>
        <w:ind w:left="4320"/>
        <w:rPr>
          <w:rStyle w:val="Hyperlink"/>
          <w:rFonts w:cs="Arial"/>
        </w:rPr>
      </w:pPr>
      <w:r>
        <w:rPr>
          <w:rFonts w:cs="Arial"/>
        </w:rPr>
        <w:t>mpritchard@mwncmh.com</w:t>
      </w:r>
    </w:p>
    <w:p w:rsidR="0057670C" w:rsidRDefault="0057670C">
      <w:pPr>
        <w:pStyle w:val="BodyText"/>
        <w:ind w:left="4320"/>
        <w:rPr>
          <w:rFonts w:cs="Arial"/>
        </w:rPr>
      </w:pPr>
    </w:p>
    <w:p w:rsidR="0057670C" w:rsidRDefault="004D3D66">
      <w:pPr>
        <w:pStyle w:val="BodyText"/>
        <w:ind w:left="4320"/>
        <w:rPr>
          <w:rFonts w:cs="Arial"/>
          <w:b/>
        </w:rPr>
      </w:pPr>
      <w:r>
        <w:rPr>
          <w:rFonts w:cs="Arial"/>
          <w:b/>
        </w:rPr>
        <w:t>Attorneys for Linde Energy Services Inc.</w:t>
      </w:r>
    </w:p>
    <w:sectPr w:rsidR="0057670C">
      <w:pgSz w:w="12240" w:h="15840"/>
      <w:pgMar w:top="1440" w:right="1440" w:bottom="1152" w:left="1440" w:header="720" w:footer="720" w:gutter="0"/>
      <w:pgNumType w:start="1"/>
      <w:cols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0C" w:rsidRDefault="004D3D66">
      <w:r>
        <w:separator/>
      </w:r>
    </w:p>
  </w:endnote>
  <w:endnote w:type="continuationSeparator" w:id="0">
    <w:p w:rsidR="0057670C" w:rsidRDefault="004D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0C" w:rsidRDefault="004D3D66">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7670C" w:rsidRDefault="005767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0C" w:rsidRDefault="004D3D66">
    <w:pPr>
      <w:pStyle w:val="Footer"/>
      <w:tabs>
        <w:tab w:val="clear" w:pos="4320"/>
        <w:tab w:val="center" w:pos="4680"/>
      </w:tabs>
      <w:ind w:right="360"/>
      <w:jc w:val="both"/>
    </w:pPr>
    <w:r w:rsidRPr="004D3D66">
      <w:rPr>
        <w:noProof/>
        <w:sz w:val="16"/>
      </w:rPr>
      <w:t>{C43228: }</w:t>
    </w:r>
    <w:r>
      <w:rPr>
        <w:noProof/>
        <w:sz w:val="16"/>
      </w:rPr>
      <w:tab/>
    </w:r>
    <w:r>
      <w:rPr>
        <w:noProof/>
        <w:sz w:val="22"/>
        <w:szCs w:val="22"/>
      </w:rPr>
      <w:fldChar w:fldCharType="begin"/>
    </w:r>
    <w:r>
      <w:rPr>
        <w:noProof/>
        <w:sz w:val="22"/>
        <w:szCs w:val="22"/>
      </w:rPr>
      <w:instrText xml:space="preserve"> PAGE   \* MERGEFORMAT </w:instrText>
    </w:r>
    <w:r>
      <w:rPr>
        <w:noProof/>
        <w:sz w:val="22"/>
        <w:szCs w:val="22"/>
      </w:rPr>
      <w:fldChar w:fldCharType="separate"/>
    </w:r>
    <w:r>
      <w:rPr>
        <w:noProof/>
        <w:sz w:val="22"/>
        <w:szCs w:val="22"/>
      </w:rPr>
      <w:t>5</w:t>
    </w:r>
    <w:r>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0C" w:rsidRDefault="004D3D66">
    <w:pPr>
      <w:pStyle w:val="Footer"/>
    </w:pPr>
    <w:r w:rsidRPr="004D3D66">
      <w:rPr>
        <w:noProof/>
        <w:sz w:val="16"/>
      </w:rPr>
      <w:t>{C43228: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0C" w:rsidRDefault="004D3D66">
      <w:pPr>
        <w:rPr>
          <w:noProof/>
        </w:rPr>
      </w:pPr>
      <w:r>
        <w:rPr>
          <w:noProof/>
        </w:rPr>
        <w:separator/>
      </w:r>
    </w:p>
  </w:footnote>
  <w:footnote w:type="continuationSeparator" w:id="0">
    <w:p w:rsidR="0057670C" w:rsidRDefault="004D3D66">
      <w:r>
        <w:continuationSeparator/>
      </w:r>
    </w:p>
  </w:footnote>
  <w:footnote w:id="1">
    <w:p w:rsidR="0057670C" w:rsidRDefault="004D3D66">
      <w:pPr>
        <w:pStyle w:val="FootnoteText"/>
        <w:spacing w:after="120"/>
        <w:jc w:val="both"/>
      </w:pPr>
      <w:r>
        <w:rPr>
          <w:rStyle w:val="FootnoteReference"/>
        </w:rPr>
        <w:footnoteRef/>
      </w:r>
      <w:r>
        <w:t xml:space="preserve"> </w:t>
      </w:r>
      <w:r>
        <w:rPr>
          <w:i/>
        </w:rPr>
        <w:t>See</w:t>
      </w:r>
      <w:r>
        <w:t xml:space="preserve"> Sections 4901.12 and 4905.07, Revised Code.   </w:t>
      </w:r>
    </w:p>
  </w:footnote>
  <w:footnote w:id="2">
    <w:p w:rsidR="0057670C" w:rsidRDefault="004D3D66">
      <w:pPr>
        <w:pStyle w:val="FootnoteText"/>
        <w:spacing w:after="120"/>
        <w:jc w:val="both"/>
      </w:pPr>
      <w:r>
        <w:rPr>
          <w:rStyle w:val="FootnoteReference"/>
        </w:rPr>
        <w:footnoteRef/>
      </w:r>
      <w:r>
        <w:t xml:space="preserve"> Section 149.43(A)(1)(v), Revised Code; </w:t>
      </w:r>
      <w:r>
        <w:rPr>
          <w:i/>
        </w:rPr>
        <w:t>State ex rel. The Plain Dealer v.</w:t>
      </w:r>
      <w:r>
        <w:rPr>
          <w:i/>
        </w:rPr>
        <w:t xml:space="preserve"> Ohio Dept. of Insurance</w:t>
      </w:r>
      <w:r>
        <w:t>, 80 Ohio St. 3d 513, 530 (1997).</w:t>
      </w:r>
    </w:p>
  </w:footnote>
  <w:footnote w:id="3">
    <w:p w:rsidR="0057670C" w:rsidRDefault="004D3D66">
      <w:pPr>
        <w:pStyle w:val="FootnoteText"/>
        <w:spacing w:after="120"/>
        <w:jc w:val="both"/>
      </w:pPr>
      <w:r>
        <w:rPr>
          <w:rStyle w:val="FootnoteReference"/>
        </w:rPr>
        <w:footnoteRef/>
      </w:r>
      <w:r>
        <w:t xml:space="preserve"> Section 1333.61(D), Revised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0C" w:rsidRDefault="00576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0C" w:rsidRDefault="005767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0C" w:rsidRDefault="00576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35A"/>
    <w:multiLevelType w:val="hybridMultilevel"/>
    <w:tmpl w:val="D0E2FDF4"/>
    <w:lvl w:ilvl="0" w:tplc="ED8EE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C3163"/>
    <w:multiLevelType w:val="hybridMultilevel"/>
    <w:tmpl w:val="688C33C2"/>
    <w:lvl w:ilvl="0" w:tplc="EAF0A7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0C"/>
    <w:rsid w:val="004D3D66"/>
    <w:rsid w:val="0057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customStyle="1" w:styleId="caps">
    <w:name w:val="caps"/>
    <w:basedOn w:val="DefaultParagraphFont"/>
  </w:style>
  <w:style w:type="character" w:styleId="CommentReference">
    <w:name w:val="annotation reference"/>
    <w:basedOn w:val="DefaultParagraphFont"/>
    <w:uiPriority w:val="99"/>
    <w:semiHidden/>
    <w:unhideWhenUsed/>
    <w:rsid w:val="003E0804"/>
    <w:rPr>
      <w:sz w:val="16"/>
      <w:szCs w:val="16"/>
    </w:rPr>
  </w:style>
  <w:style w:type="paragraph" w:styleId="CommentText">
    <w:name w:val="annotation text"/>
    <w:basedOn w:val="Normal"/>
    <w:link w:val="CommentTextChar"/>
    <w:uiPriority w:val="99"/>
    <w:semiHidden/>
    <w:unhideWhenUsed/>
    <w:rsid w:val="003E0804"/>
    <w:rPr>
      <w:sz w:val="20"/>
      <w:szCs w:val="20"/>
    </w:rPr>
  </w:style>
  <w:style w:type="character" w:customStyle="1" w:styleId="CommentTextChar">
    <w:name w:val="Comment Text Char"/>
    <w:basedOn w:val="DefaultParagraphFont"/>
    <w:link w:val="CommentText"/>
    <w:uiPriority w:val="99"/>
    <w:semiHidden/>
    <w:rsid w:val="003E0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0804"/>
    <w:rPr>
      <w:b/>
      <w:bCs/>
    </w:rPr>
  </w:style>
  <w:style w:type="character" w:customStyle="1" w:styleId="CommentSubjectChar">
    <w:name w:val="Comment Subject Char"/>
    <w:basedOn w:val="CommentTextChar"/>
    <w:link w:val="CommentSubject"/>
    <w:uiPriority w:val="99"/>
    <w:semiHidden/>
    <w:rsid w:val="003E0804"/>
    <w:rPr>
      <w:rFonts w:ascii="Times New Roman" w:eastAsia="Times New Roman" w:hAnsi="Times New Roman" w:cs="Times New Roman"/>
      <w:b/>
      <w:bCs/>
      <w:sz w:val="20"/>
      <w:szCs w:val="20"/>
    </w:rPr>
  </w:style>
  <w:style w:type="paragraph" w:styleId="Revision">
    <w:name w:val="Revision"/>
    <w:hidden/>
    <w:uiPriority w:val="99"/>
    <w:semiHidden/>
    <w:rsid w:val="003E080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963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customStyle="1" w:styleId="caps">
    <w:name w:val="caps"/>
    <w:basedOn w:val="DefaultParagraphFont"/>
  </w:style>
  <w:style w:type="character" w:styleId="CommentReference">
    <w:name w:val="annotation reference"/>
    <w:basedOn w:val="DefaultParagraphFont"/>
    <w:uiPriority w:val="99"/>
    <w:semiHidden/>
    <w:unhideWhenUsed/>
    <w:rsid w:val="003E0804"/>
    <w:rPr>
      <w:sz w:val="16"/>
      <w:szCs w:val="16"/>
    </w:rPr>
  </w:style>
  <w:style w:type="paragraph" w:styleId="CommentText">
    <w:name w:val="annotation text"/>
    <w:basedOn w:val="Normal"/>
    <w:link w:val="CommentTextChar"/>
    <w:uiPriority w:val="99"/>
    <w:semiHidden/>
    <w:unhideWhenUsed/>
    <w:rsid w:val="003E0804"/>
    <w:rPr>
      <w:sz w:val="20"/>
      <w:szCs w:val="20"/>
    </w:rPr>
  </w:style>
  <w:style w:type="character" w:customStyle="1" w:styleId="CommentTextChar">
    <w:name w:val="Comment Text Char"/>
    <w:basedOn w:val="DefaultParagraphFont"/>
    <w:link w:val="CommentText"/>
    <w:uiPriority w:val="99"/>
    <w:semiHidden/>
    <w:rsid w:val="003E0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0804"/>
    <w:rPr>
      <w:b/>
      <w:bCs/>
    </w:rPr>
  </w:style>
  <w:style w:type="character" w:customStyle="1" w:styleId="CommentSubjectChar">
    <w:name w:val="Comment Subject Char"/>
    <w:basedOn w:val="CommentTextChar"/>
    <w:link w:val="CommentSubject"/>
    <w:uiPriority w:val="99"/>
    <w:semiHidden/>
    <w:rsid w:val="003E0804"/>
    <w:rPr>
      <w:rFonts w:ascii="Times New Roman" w:eastAsia="Times New Roman" w:hAnsi="Times New Roman" w:cs="Times New Roman"/>
      <w:b/>
      <w:bCs/>
      <w:sz w:val="20"/>
      <w:szCs w:val="20"/>
    </w:rPr>
  </w:style>
  <w:style w:type="paragraph" w:styleId="Revision">
    <w:name w:val="Revision"/>
    <w:hidden/>
    <w:uiPriority w:val="99"/>
    <w:semiHidden/>
    <w:rsid w:val="003E080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963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1137">
      <w:bodyDiv w:val="1"/>
      <w:marLeft w:val="0"/>
      <w:marRight w:val="0"/>
      <w:marTop w:val="0"/>
      <w:marBottom w:val="0"/>
      <w:divBdr>
        <w:top w:val="none" w:sz="0" w:space="0" w:color="auto"/>
        <w:left w:val="none" w:sz="0" w:space="0" w:color="auto"/>
        <w:bottom w:val="none" w:sz="0" w:space="0" w:color="auto"/>
        <w:right w:val="none" w:sz="0" w:space="0" w:color="auto"/>
      </w:divBdr>
    </w:div>
    <w:div w:id="2981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5745</Characters>
  <Application>Microsoft Office Word</Application>
  <DocSecurity>0</DocSecurity>
  <PresentationFormat/>
  <Lines>179</Lines>
  <Paragraphs>91</Paragraphs>
  <ScaleCrop>false</ScaleCrop>
  <HeadingPairs>
    <vt:vector size="2" baseType="variant">
      <vt:variant>
        <vt:lpstr>Title</vt:lpstr>
      </vt:variant>
      <vt:variant>
        <vt:i4>1</vt:i4>
      </vt:variant>
    </vt:vector>
  </HeadingPairs>
  <TitlesOfParts>
    <vt:vector size="1" baseType="lpstr">
      <vt:lpstr>Linde Motion for Protective Order (C43228).DOCX</vt:lpstr>
    </vt:vector>
  </TitlesOfParts>
  <Manager/>
  <Company/>
  <LinksUpToDate>false</LinksUpToDate>
  <CharactersWithSpaces>6621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Linde Motion for Protective Order (C43228).DOCX</dc:title>
  <dc:subject>C43228: /font=8</dc:subject>
  <dc:creator/>
  <cp:keywords> </cp:keywords>
  <dc:description> </dc:description>
  <cp:lastModifiedBy/>
  <cp:revision>1</cp:revision>
  <cp:lastPrinted>2012-02-24T18:34:00Z</cp:lastPrinted>
  <dcterms:created xsi:type="dcterms:W3CDTF">2014-03-24T20:09:00Z</dcterms:created>
  <dcterms:modified xsi:type="dcterms:W3CDTF">2014-03-27T16:09:00Z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3/27/2014 12:09:35 PM</vt:lpwstr>
  </property>
</Properties>
</file>