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56023" w:rsidRPr="007E3E2F" w:rsidP="00756023" w14:paraId="6755C6D4" w14:textId="77777777">
      <w:pPr>
        <w:pStyle w:val="HTMLPreformatted"/>
        <w:jc w:val="center"/>
        <w:rPr>
          <w:rFonts w:ascii="Times New Roman" w:hAnsi="Times New Roman" w:cs="Times New Roman"/>
          <w:b/>
          <w:bCs/>
          <w:sz w:val="24"/>
          <w:szCs w:val="24"/>
        </w:rPr>
      </w:pPr>
      <w:r w:rsidRPr="007E3E2F">
        <w:rPr>
          <w:rFonts w:ascii="Times New Roman" w:hAnsi="Times New Roman" w:cs="Times New Roman"/>
          <w:b/>
          <w:bCs/>
          <w:sz w:val="24"/>
          <w:szCs w:val="24"/>
        </w:rPr>
        <w:t>BEFORE</w:t>
      </w:r>
    </w:p>
    <w:p w:rsidR="00756023" w:rsidRPr="007E3E2F" w:rsidP="00756023" w14:paraId="60B99E63" w14:textId="405AC522">
      <w:pPr>
        <w:pStyle w:val="HTMLPreformatted"/>
        <w:jc w:val="center"/>
        <w:rPr>
          <w:rFonts w:ascii="Times New Roman" w:hAnsi="Times New Roman" w:cs="Times New Roman"/>
          <w:b/>
          <w:bCs/>
          <w:sz w:val="24"/>
          <w:szCs w:val="24"/>
        </w:rPr>
      </w:pPr>
      <w:r w:rsidRPr="007E3E2F">
        <w:rPr>
          <w:rFonts w:ascii="Times New Roman" w:hAnsi="Times New Roman" w:cs="Times New Roman"/>
          <w:b/>
          <w:bCs/>
          <w:sz w:val="24"/>
          <w:szCs w:val="24"/>
        </w:rPr>
        <w:t>THE PUBLIC UTILITIES COMMISSION OF OHIO</w:t>
      </w:r>
    </w:p>
    <w:p w:rsidR="00602104" w:rsidRPr="007E3E2F" w:rsidP="00756023" w14:paraId="7549733A" w14:textId="77777777">
      <w:pPr>
        <w:pStyle w:val="HTMLPreformatted"/>
        <w:jc w:val="center"/>
        <w:rPr>
          <w:rFonts w:ascii="Times New Roman" w:hAnsi="Times New Roman" w:cs="Times New Roman"/>
          <w:sz w:val="24"/>
          <w:szCs w:val="24"/>
        </w:rPr>
      </w:pPr>
    </w:p>
    <w:tbl>
      <w:tblPr>
        <w:tblW w:w="8550" w:type="dxa"/>
        <w:tblLook w:val="01E0"/>
      </w:tblPr>
      <w:tblGrid>
        <w:gridCol w:w="4331"/>
        <w:gridCol w:w="529"/>
        <w:gridCol w:w="3690"/>
      </w:tblGrid>
      <w:tr w14:paraId="675F3794" w14:textId="77777777" w:rsidTr="00602104">
        <w:tblPrEx>
          <w:tblW w:w="8550" w:type="dxa"/>
          <w:tblLook w:val="01E0"/>
        </w:tblPrEx>
        <w:trPr>
          <w:trHeight w:val="807"/>
        </w:trPr>
        <w:tc>
          <w:tcPr>
            <w:tcW w:w="4331" w:type="dxa"/>
            <w:shd w:val="clear" w:color="auto" w:fill="auto"/>
          </w:tcPr>
          <w:p w:rsidR="00602104" w:rsidRPr="007E3E2F" w:rsidP="004F55BB" w14:paraId="34F79F50" w14:textId="1DD67C05">
            <w:pPr>
              <w:autoSpaceDE w:val="0"/>
              <w:autoSpaceDN w:val="0"/>
              <w:adjustRightInd w:val="0"/>
              <w:rPr>
                <w:rFonts w:ascii="Times New Roman" w:hAnsi="Times New Roman" w:cs="Times New Roman"/>
              </w:rPr>
            </w:pPr>
            <w:r w:rsidRPr="007E3E2F">
              <w:rPr>
                <w:rFonts w:ascii="Times New Roman" w:hAnsi="Times New Roman" w:cs="Times New Roman"/>
              </w:rPr>
              <w:t>In the Matter of the Application of Ohio Power Company to Revise Reliability Performance Standards Pursuant to O.A.C. 4901:1-10-10(B)(7).</w:t>
            </w:r>
          </w:p>
        </w:tc>
        <w:tc>
          <w:tcPr>
            <w:tcW w:w="529" w:type="dxa"/>
            <w:shd w:val="clear" w:color="auto" w:fill="auto"/>
          </w:tcPr>
          <w:p w:rsidR="00602104" w:rsidRPr="007E3E2F" w:rsidP="004F55BB" w14:paraId="1AA7872C" w14:textId="77777777">
            <w:pPr>
              <w:pStyle w:val="HTMLPreformatted"/>
              <w:rPr>
                <w:rFonts w:ascii="Times New Roman" w:hAnsi="Times New Roman" w:cs="Times New Roman"/>
                <w:sz w:val="24"/>
                <w:szCs w:val="24"/>
              </w:rPr>
            </w:pPr>
            <w:r w:rsidRPr="007E3E2F">
              <w:rPr>
                <w:rFonts w:ascii="Times New Roman" w:hAnsi="Times New Roman" w:cs="Times New Roman"/>
                <w:sz w:val="24"/>
                <w:szCs w:val="24"/>
              </w:rPr>
              <w:t>)</w:t>
            </w:r>
          </w:p>
          <w:p w:rsidR="00602104" w:rsidRPr="007E3E2F" w:rsidP="004F55BB" w14:paraId="27F964EC" w14:textId="77777777">
            <w:pPr>
              <w:pStyle w:val="HTMLPreformatted"/>
              <w:rPr>
                <w:rFonts w:ascii="Times New Roman" w:hAnsi="Times New Roman" w:cs="Times New Roman"/>
                <w:sz w:val="24"/>
                <w:szCs w:val="24"/>
              </w:rPr>
            </w:pPr>
            <w:r w:rsidRPr="007E3E2F">
              <w:rPr>
                <w:rFonts w:ascii="Times New Roman" w:hAnsi="Times New Roman" w:cs="Times New Roman"/>
                <w:sz w:val="24"/>
                <w:szCs w:val="24"/>
              </w:rPr>
              <w:t>)</w:t>
            </w:r>
          </w:p>
          <w:p w:rsidR="00602104" w:rsidRPr="007E3E2F" w:rsidP="004F55BB" w14:paraId="25A18595" w14:textId="77777777">
            <w:pPr>
              <w:pStyle w:val="HTMLPreformatted"/>
              <w:rPr>
                <w:rFonts w:ascii="Times New Roman" w:hAnsi="Times New Roman" w:cs="Times New Roman"/>
                <w:sz w:val="24"/>
                <w:szCs w:val="24"/>
              </w:rPr>
            </w:pPr>
            <w:r w:rsidRPr="007E3E2F">
              <w:rPr>
                <w:rFonts w:ascii="Times New Roman" w:hAnsi="Times New Roman" w:cs="Times New Roman"/>
                <w:sz w:val="24"/>
                <w:szCs w:val="24"/>
              </w:rPr>
              <w:t>)</w:t>
            </w:r>
          </w:p>
          <w:p w:rsidR="00602104" w:rsidRPr="007E3E2F" w:rsidP="004F55BB" w14:paraId="408E626C" w14:textId="77777777">
            <w:pPr>
              <w:pStyle w:val="HTMLPreformatted"/>
              <w:rPr>
                <w:rFonts w:ascii="Times New Roman" w:hAnsi="Times New Roman" w:cs="Times New Roman"/>
                <w:sz w:val="24"/>
                <w:szCs w:val="24"/>
              </w:rPr>
            </w:pPr>
            <w:r w:rsidRPr="007E3E2F">
              <w:rPr>
                <w:rFonts w:ascii="Times New Roman" w:hAnsi="Times New Roman" w:cs="Times New Roman"/>
                <w:sz w:val="24"/>
                <w:szCs w:val="24"/>
              </w:rPr>
              <w:t>)</w:t>
            </w:r>
          </w:p>
        </w:tc>
        <w:tc>
          <w:tcPr>
            <w:tcW w:w="3690" w:type="dxa"/>
            <w:shd w:val="clear" w:color="auto" w:fill="auto"/>
          </w:tcPr>
          <w:p w:rsidR="00602104" w:rsidRPr="007E3E2F" w:rsidP="004F55BB" w14:paraId="3162930A" w14:textId="77777777">
            <w:pPr>
              <w:pStyle w:val="HTMLPreformatted"/>
              <w:rPr>
                <w:rFonts w:ascii="Times New Roman" w:hAnsi="Times New Roman" w:cs="Times New Roman"/>
                <w:sz w:val="24"/>
                <w:szCs w:val="24"/>
              </w:rPr>
            </w:pPr>
          </w:p>
          <w:p w:rsidR="00602104" w:rsidRPr="007E3E2F" w:rsidP="004F55BB" w14:paraId="2DAFBD40" w14:textId="77777777">
            <w:pPr>
              <w:pStyle w:val="HTMLPreformatted"/>
              <w:rPr>
                <w:rFonts w:ascii="Times New Roman" w:hAnsi="Times New Roman" w:cs="Times New Roman"/>
                <w:sz w:val="24"/>
                <w:szCs w:val="24"/>
              </w:rPr>
            </w:pPr>
            <w:r w:rsidRPr="007E3E2F">
              <w:rPr>
                <w:rFonts w:ascii="Times New Roman" w:hAnsi="Times New Roman" w:cs="Times New Roman"/>
                <w:sz w:val="24"/>
                <w:szCs w:val="24"/>
              </w:rPr>
              <w:t>Case No. 20-1111-EL-ESS</w:t>
            </w:r>
          </w:p>
          <w:p w:rsidR="00602104" w:rsidRPr="007E3E2F" w:rsidP="004F55BB" w14:paraId="49FC1931" w14:textId="77777777">
            <w:pPr>
              <w:pStyle w:val="HTMLPreformatted"/>
              <w:rPr>
                <w:rFonts w:ascii="Times New Roman" w:hAnsi="Times New Roman" w:cs="Times New Roman"/>
                <w:sz w:val="24"/>
                <w:szCs w:val="24"/>
              </w:rPr>
            </w:pPr>
          </w:p>
        </w:tc>
      </w:tr>
    </w:tbl>
    <w:p w:rsidR="00756023" w:rsidRPr="007E3E2F" w:rsidP="00756023" w14:paraId="4BFE20F8" w14:textId="77777777">
      <w:pPr>
        <w:pStyle w:val="HTMLPreformatted"/>
        <w:rPr>
          <w:rFonts w:ascii="Times New Roman" w:hAnsi="Times New Roman" w:cs="Times New Roman"/>
          <w:sz w:val="24"/>
          <w:szCs w:val="24"/>
        </w:rPr>
      </w:pPr>
    </w:p>
    <w:p w:rsidR="00756023" w:rsidRPr="007E3E2F" w:rsidP="00756023" w14:paraId="4B4BC6BB" w14:textId="77777777">
      <w:pPr>
        <w:pStyle w:val="HTMLPreformatted"/>
        <w:pBdr>
          <w:top w:val="single" w:sz="12" w:space="1" w:color="auto"/>
        </w:pBdr>
        <w:rPr>
          <w:rFonts w:ascii="Times New Roman" w:hAnsi="Times New Roman" w:cs="Times New Roman"/>
          <w:sz w:val="24"/>
          <w:szCs w:val="24"/>
        </w:rPr>
      </w:pPr>
    </w:p>
    <w:p w:rsidR="00756023" w:rsidRPr="007E3E2F" w:rsidP="00756023" w14:paraId="483015F7" w14:textId="61D4770E">
      <w:pPr>
        <w:jc w:val="center"/>
        <w:rPr>
          <w:rFonts w:ascii="Times New Roman" w:hAnsi="Times New Roman" w:cs="Times New Roman"/>
          <w:b/>
          <w:bCs/>
        </w:rPr>
      </w:pPr>
      <w:bookmarkStart w:id="0" w:name="_Hlk117516102"/>
      <w:r w:rsidRPr="007E3E2F">
        <w:rPr>
          <w:rFonts w:ascii="Times New Roman" w:hAnsi="Times New Roman" w:cs="Times New Roman"/>
          <w:b/>
          <w:bCs/>
        </w:rPr>
        <w:t>REPLY TO AEP’S MEMO CONTRA OCC’S MOTION TO COMPEL</w:t>
      </w:r>
      <w:r w:rsidRPr="007E3E2F" w:rsidR="00516C4A">
        <w:rPr>
          <w:rFonts w:ascii="Times New Roman" w:hAnsi="Times New Roman" w:cs="Times New Roman"/>
          <w:b/>
          <w:bCs/>
        </w:rPr>
        <w:t xml:space="preserve"> </w:t>
      </w:r>
      <w:r w:rsidRPr="007E3E2F">
        <w:rPr>
          <w:rFonts w:ascii="Times New Roman" w:hAnsi="Times New Roman" w:cs="Times New Roman"/>
          <w:b/>
          <w:bCs/>
        </w:rPr>
        <w:t xml:space="preserve">DISCOVERY </w:t>
      </w:r>
    </w:p>
    <w:p w:rsidR="00756023" w:rsidRPr="007E3E2F" w:rsidP="00756023" w14:paraId="00EA23BC" w14:textId="0AFC3119">
      <w:pPr>
        <w:jc w:val="center"/>
        <w:rPr>
          <w:rFonts w:ascii="Times New Roman" w:hAnsi="Times New Roman" w:cs="Times New Roman"/>
          <w:b/>
          <w:bCs/>
        </w:rPr>
      </w:pPr>
      <w:r w:rsidRPr="007E3E2F">
        <w:rPr>
          <w:rFonts w:ascii="Times New Roman" w:hAnsi="Times New Roman" w:cs="Times New Roman"/>
          <w:b/>
          <w:bCs/>
        </w:rPr>
        <w:t>BY</w:t>
      </w:r>
    </w:p>
    <w:p w:rsidR="00756023" w:rsidRPr="007E3E2F" w:rsidP="00756023" w14:paraId="07F443D5" w14:textId="5FCCC5F7">
      <w:pPr>
        <w:jc w:val="center"/>
        <w:rPr>
          <w:rFonts w:ascii="Times New Roman" w:hAnsi="Times New Roman" w:cs="Times New Roman"/>
          <w:b/>
          <w:bCs/>
        </w:rPr>
      </w:pPr>
      <w:r w:rsidRPr="007E3E2F">
        <w:rPr>
          <w:rFonts w:ascii="Times New Roman" w:hAnsi="Times New Roman" w:cs="Times New Roman"/>
          <w:b/>
          <w:bCs/>
        </w:rPr>
        <w:t>OFFICE OF THE OHIO CONSUMERS’ COUNSEL</w:t>
      </w:r>
    </w:p>
    <w:bookmarkEnd w:id="0"/>
    <w:p w:rsidR="00756023" w:rsidRPr="007E3E2F" w:rsidP="00756023" w14:paraId="77C77593" w14:textId="77777777">
      <w:pPr>
        <w:pBdr>
          <w:bottom w:val="single" w:sz="12" w:space="1" w:color="auto"/>
        </w:pBdr>
        <w:tabs>
          <w:tab w:val="left" w:pos="4320"/>
        </w:tabs>
        <w:rPr>
          <w:rFonts w:ascii="Times New Roman" w:hAnsi="Times New Roman" w:cs="Times New Roman"/>
        </w:rPr>
      </w:pPr>
    </w:p>
    <w:p w:rsidR="00756023" w:rsidRPr="007E3E2F" w:rsidP="00756023" w14:paraId="39F6883B" w14:textId="77777777">
      <w:pPr>
        <w:pStyle w:val="BodyTextIndent3"/>
        <w:widowControl w:val="0"/>
        <w:spacing w:line="240" w:lineRule="auto"/>
        <w:ind w:firstLine="0"/>
        <w:rPr>
          <w:szCs w:val="24"/>
        </w:rPr>
      </w:pPr>
    </w:p>
    <w:p w:rsidR="00756023" w:rsidRPr="007E3E2F" w:rsidP="00E3277B" w14:paraId="33E7AE70" w14:textId="7956EFE4">
      <w:pPr>
        <w:pStyle w:val="Heading1"/>
        <w:numPr>
          <w:ilvl w:val="0"/>
          <w:numId w:val="2"/>
        </w:numPr>
        <w:ind w:left="720"/>
        <w:rPr>
          <w:color w:val="000000" w:themeColor="text1"/>
        </w:rPr>
      </w:pPr>
      <w:bookmarkStart w:id="1" w:name="_Toc30075653"/>
      <w:bookmarkStart w:id="2" w:name="_Toc111732050"/>
      <w:r w:rsidRPr="007E3E2F">
        <w:rPr>
          <w:color w:val="000000" w:themeColor="text1"/>
        </w:rPr>
        <w:t>INTRODUCTIO</w:t>
      </w:r>
      <w:bookmarkEnd w:id="1"/>
      <w:bookmarkEnd w:id="2"/>
      <w:r w:rsidRPr="007E3E2F">
        <w:rPr>
          <w:color w:val="000000" w:themeColor="text1"/>
        </w:rPr>
        <w:t>N</w:t>
      </w:r>
    </w:p>
    <w:p w:rsidR="00756023" w:rsidRPr="007E3E2F" w:rsidP="00756023" w14:paraId="5B3B3BCC" w14:textId="22C5A4B7">
      <w:pPr>
        <w:spacing w:line="480" w:lineRule="auto"/>
        <w:ind w:firstLine="720"/>
        <w:rPr>
          <w:rFonts w:ascii="Times New Roman" w:hAnsi="Times New Roman" w:cs="Times New Roman"/>
          <w:color w:val="000000" w:themeColor="text1"/>
        </w:rPr>
      </w:pPr>
      <w:r w:rsidRPr="007E3E2F">
        <w:rPr>
          <w:rFonts w:ascii="Times New Roman" w:hAnsi="Times New Roman" w:cs="Times New Roman"/>
          <w:color w:val="000000" w:themeColor="text1"/>
        </w:rPr>
        <w:t xml:space="preserve">Tens of thousands of AEP residential consumers and their families and businesses lost power during the week of June 12, 2022, in dangerously high heat and humidity. The outages </w:t>
      </w:r>
      <w:r w:rsidRPr="007E3E2F">
        <w:rPr>
          <w:rFonts w:ascii="Times New Roman" w:hAnsi="Times New Roman" w:cs="Times New Roman"/>
          <w:i/>
          <w:iCs/>
          <w:color w:val="000000" w:themeColor="text1"/>
        </w:rPr>
        <w:t>reportedly</w:t>
      </w:r>
      <w:r w:rsidRPr="007E3E2F">
        <w:rPr>
          <w:rFonts w:ascii="Times New Roman" w:hAnsi="Times New Roman" w:cs="Times New Roman"/>
          <w:color w:val="000000" w:themeColor="text1"/>
        </w:rPr>
        <w:t xml:space="preserve"> occurred through a combination of grid/transmission failures, storms, and AEP’s own use of shut offs to avoid a greater system failure.</w:t>
      </w:r>
      <w:r>
        <w:rPr>
          <w:rStyle w:val="FootnoteReference"/>
          <w:rFonts w:ascii="Times New Roman" w:hAnsi="Times New Roman" w:cs="Times New Roman"/>
          <w:color w:val="000000" w:themeColor="text1"/>
        </w:rPr>
        <w:footnoteReference w:id="2"/>
      </w:r>
      <w:r w:rsidRPr="007E3E2F">
        <w:rPr>
          <w:rFonts w:ascii="Times New Roman" w:hAnsi="Times New Roman" w:cs="Times New Roman"/>
          <w:color w:val="000000" w:themeColor="text1"/>
        </w:rPr>
        <w:t xml:space="preserve"> But nearly </w:t>
      </w:r>
      <w:r w:rsidRPr="007E3E2F" w:rsidR="00757FA5">
        <w:rPr>
          <w:rFonts w:ascii="Times New Roman" w:hAnsi="Times New Roman" w:cs="Times New Roman"/>
          <w:color w:val="000000" w:themeColor="text1"/>
        </w:rPr>
        <w:t>four</w:t>
      </w:r>
      <w:r w:rsidRPr="007E3E2F">
        <w:rPr>
          <w:rFonts w:ascii="Times New Roman" w:hAnsi="Times New Roman" w:cs="Times New Roman"/>
          <w:color w:val="000000" w:themeColor="text1"/>
        </w:rPr>
        <w:t xml:space="preserve"> months later, </w:t>
      </w:r>
      <w:r w:rsidRPr="007E3E2F">
        <w:rPr>
          <w:rFonts w:ascii="Times New Roman" w:hAnsi="Times New Roman" w:cs="Times New Roman"/>
          <w:i/>
          <w:iCs/>
          <w:color w:val="000000" w:themeColor="text1"/>
        </w:rPr>
        <w:t xml:space="preserve">Ohioans still do not have a public investigation of the reasons for the outages, if anything could have been done to prevent them, or how they can be prevented in the future. </w:t>
      </w:r>
      <w:r w:rsidRPr="007E3E2F">
        <w:rPr>
          <w:rFonts w:ascii="Times New Roman" w:hAnsi="Times New Roman" w:cs="Times New Roman"/>
          <w:color w:val="000000" w:themeColor="text1"/>
        </w:rPr>
        <w:t xml:space="preserve">What we </w:t>
      </w:r>
      <w:r w:rsidRPr="007E3E2F">
        <w:rPr>
          <w:rFonts w:ascii="Times New Roman" w:hAnsi="Times New Roman" w:cs="Times New Roman"/>
          <w:i/>
          <w:iCs/>
          <w:color w:val="000000" w:themeColor="text1"/>
        </w:rPr>
        <w:t xml:space="preserve">do </w:t>
      </w:r>
      <w:r w:rsidRPr="007E3E2F">
        <w:rPr>
          <w:rFonts w:ascii="Times New Roman" w:hAnsi="Times New Roman" w:cs="Times New Roman"/>
          <w:color w:val="000000" w:themeColor="text1"/>
        </w:rPr>
        <w:t>know is that the lives of AEP consumers and their families in central Ohio were especially disrupted and placed at risk. People understandably are upset and deserve answers to important questions surrounding these events.</w:t>
      </w:r>
    </w:p>
    <w:p w:rsidR="00756023" w:rsidRPr="007E3E2F" w:rsidP="00756023" w14:paraId="0A5B3E50" w14:textId="67602813">
      <w:pPr>
        <w:spacing w:line="480" w:lineRule="auto"/>
        <w:ind w:firstLine="720"/>
        <w:rPr>
          <w:rFonts w:ascii="Times New Roman" w:hAnsi="Times New Roman" w:cs="Times New Roman"/>
          <w:color w:val="000000" w:themeColor="text1"/>
        </w:rPr>
      </w:pPr>
      <w:r w:rsidRPr="007E3E2F">
        <w:rPr>
          <w:rFonts w:ascii="Times New Roman" w:hAnsi="Times New Roman" w:cs="Times New Roman"/>
          <w:color w:val="000000" w:themeColor="text1"/>
        </w:rPr>
        <w:t>On August 10, 2022, OCC served its fifth set of discovery requests to AEP.</w:t>
      </w:r>
      <w:r>
        <w:rPr>
          <w:rStyle w:val="FootnoteReference"/>
          <w:rFonts w:ascii="Times New Roman" w:hAnsi="Times New Roman" w:cs="Times New Roman"/>
          <w:color w:val="000000" w:themeColor="text1"/>
        </w:rPr>
        <w:footnoteReference w:id="3"/>
      </w:r>
      <w:r w:rsidRPr="007E3E2F">
        <w:rPr>
          <w:rFonts w:ascii="Times New Roman" w:hAnsi="Times New Roman" w:cs="Times New Roman"/>
          <w:color w:val="000000" w:themeColor="text1"/>
        </w:rPr>
        <w:t xml:space="preserve"> AEP’s responses were due on August 30, 2022.</w:t>
      </w:r>
      <w:r>
        <w:rPr>
          <w:rStyle w:val="FootnoteReference"/>
          <w:rFonts w:ascii="Times New Roman" w:hAnsi="Times New Roman" w:cs="Times New Roman"/>
          <w:color w:val="000000" w:themeColor="text1"/>
        </w:rPr>
        <w:footnoteReference w:id="4"/>
      </w:r>
      <w:r w:rsidRPr="007E3E2F">
        <w:rPr>
          <w:rFonts w:ascii="Times New Roman" w:hAnsi="Times New Roman" w:cs="Times New Roman"/>
          <w:color w:val="000000" w:themeColor="text1"/>
        </w:rPr>
        <w:t xml:space="preserve"> AEP unlawfully refuses to answer </w:t>
      </w:r>
      <w:r w:rsidRPr="007E3E2F">
        <w:rPr>
          <w:rFonts w:ascii="Times New Roman" w:hAnsi="Times New Roman" w:cs="Times New Roman"/>
          <w:color w:val="000000" w:themeColor="text1"/>
        </w:rPr>
        <w:t xml:space="preserve">OCC’s discovery requests. The PUCO should promptly order AEP to comply with discovery law and respond. </w:t>
      </w:r>
    </w:p>
    <w:p w:rsidR="00291B61" w:rsidRPr="007E3E2F" w:rsidP="00291B61" w14:paraId="6EEE60A7" w14:textId="77777777">
      <w:pPr>
        <w:ind w:firstLine="720"/>
        <w:rPr>
          <w:rFonts w:ascii="Times New Roman" w:hAnsi="Times New Roman" w:cs="Times New Roman"/>
          <w:color w:val="000000" w:themeColor="text1"/>
        </w:rPr>
      </w:pPr>
    </w:p>
    <w:p w:rsidR="00756023" w:rsidRPr="007E3E2F" w:rsidP="00291B61" w14:paraId="561EEEA0" w14:textId="26C17988">
      <w:pPr>
        <w:pStyle w:val="Heading1"/>
      </w:pPr>
      <w:r w:rsidRPr="007E3E2F">
        <w:t>II.</w:t>
      </w:r>
      <w:r w:rsidRPr="007E3E2F" w:rsidR="00291B61">
        <w:tab/>
        <w:t>ARGUMENT</w:t>
      </w:r>
    </w:p>
    <w:p w:rsidR="00756023" w:rsidRPr="007E3E2F" w:rsidP="00FF749D" w14:paraId="04CCA383" w14:textId="5220F785">
      <w:pPr>
        <w:pStyle w:val="Heading2"/>
        <w:numPr>
          <w:ilvl w:val="0"/>
          <w:numId w:val="0"/>
        </w:numPr>
        <w:ind w:left="1440" w:hanging="720"/>
      </w:pPr>
      <w:r w:rsidRPr="007E3E2F">
        <w:t>A.</w:t>
      </w:r>
      <w:r w:rsidRPr="007E3E2F">
        <w:tab/>
      </w:r>
      <w:r w:rsidRPr="007E3E2F">
        <w:t xml:space="preserve">OCC’s motion to compel is timely made and does not represent a collateral attack, despite AEP’s claims to the contrary. </w:t>
      </w:r>
    </w:p>
    <w:p w:rsidR="00757FA5" w:rsidRPr="007E3E2F" w:rsidP="00756023" w14:paraId="0167C030" w14:textId="1F49AA1C">
      <w:pPr>
        <w:pStyle w:val="NormalWeb"/>
        <w:spacing w:before="0" w:beforeAutospacing="0" w:after="0" w:afterAutospacing="0" w:line="480" w:lineRule="auto"/>
        <w:ind w:firstLine="720"/>
        <w:textAlignment w:val="baseline"/>
        <w:rPr>
          <w:color w:val="000000" w:themeColor="text1"/>
        </w:rPr>
      </w:pPr>
      <w:r w:rsidRPr="007E3E2F">
        <w:rPr>
          <w:color w:val="000000" w:themeColor="text1"/>
        </w:rPr>
        <w:t>AEP argues that OCC’s only opportunity to assert its discovery rights was in its memo contra AEP’s motion for protective order. Per AEP, OCC’s additional motion to compel should be disregarded as a “collateral attack.”</w:t>
      </w:r>
      <w:r>
        <w:rPr>
          <w:rStyle w:val="FootnoteReference"/>
          <w:color w:val="000000" w:themeColor="text1"/>
        </w:rPr>
        <w:footnoteReference w:id="5"/>
      </w:r>
      <w:r w:rsidRPr="007E3E2F">
        <w:rPr>
          <w:color w:val="000000" w:themeColor="text1"/>
        </w:rPr>
        <w:t xml:space="preserve"> AEP misunderstands this concept.</w:t>
      </w:r>
      <w:r w:rsidRPr="007E3E2F">
        <w:rPr>
          <w:color w:val="000000" w:themeColor="text1"/>
        </w:rPr>
        <w:t xml:space="preserve"> Its argument should be rejected.</w:t>
      </w:r>
      <w:r w:rsidRPr="007E3E2F">
        <w:rPr>
          <w:color w:val="000000" w:themeColor="text1"/>
        </w:rPr>
        <w:t xml:space="preserve"> </w:t>
      </w:r>
    </w:p>
    <w:p w:rsidR="00756023" w:rsidRPr="007E3E2F" w:rsidP="00756023" w14:paraId="238C80AC" w14:textId="680FB283">
      <w:pPr>
        <w:pStyle w:val="NormalWeb"/>
        <w:spacing w:before="0" w:beforeAutospacing="0" w:after="0" w:afterAutospacing="0" w:line="480" w:lineRule="auto"/>
        <w:ind w:firstLine="720"/>
        <w:textAlignment w:val="baseline"/>
        <w:rPr>
          <w:color w:val="000000"/>
        </w:rPr>
      </w:pPr>
      <w:r w:rsidRPr="007E3E2F">
        <w:rPr>
          <w:color w:val="000000" w:themeColor="text1"/>
        </w:rPr>
        <w:t>A collateral attack is “</w:t>
      </w:r>
      <w:r w:rsidRPr="007E3E2F">
        <w:rPr>
          <w:color w:val="000000"/>
        </w:rPr>
        <w:t>[a]n attack on a judgment in a proceeding other than a direct appeal; esp., an attempt to undermine a judgment through a judicial proceeding in which the ground of the proceeding (or a defense in the proceeding) is that the judgment is ineffective.”</w:t>
      </w:r>
      <w:r>
        <w:rPr>
          <w:rStyle w:val="FootnoteReference"/>
          <w:color w:val="000000"/>
        </w:rPr>
        <w:footnoteReference w:id="6"/>
      </w:r>
      <w:r w:rsidRPr="007E3E2F">
        <w:rPr>
          <w:color w:val="000000"/>
        </w:rPr>
        <w:t xml:space="preserve"> OCC’s motion to compel cannot be a collateral attack because it does not seek to undermine a prior judgment. The PUCO has not even ruled on AEP’s previous motion for protective order. AEP is not entitled to the last word on this discovery dispute. OCC’s motion to compel is not a collateral attack and was, in fact, timely filed. </w:t>
      </w:r>
    </w:p>
    <w:p w:rsidR="00757FA5" w:rsidRPr="007E3E2F" w:rsidP="00756023" w14:paraId="3D402A3A" w14:textId="0E44B4CD">
      <w:pPr>
        <w:pStyle w:val="NormalWeb"/>
        <w:spacing w:before="0" w:beforeAutospacing="0" w:after="0" w:afterAutospacing="0" w:line="480" w:lineRule="auto"/>
        <w:ind w:firstLine="720"/>
        <w:textAlignment w:val="baseline"/>
        <w:rPr>
          <w:color w:val="000000"/>
        </w:rPr>
      </w:pPr>
      <w:r w:rsidRPr="007E3E2F">
        <w:rPr>
          <w:color w:val="000000"/>
        </w:rPr>
        <w:t>OCC’s motion to compel should be granted.</w:t>
      </w:r>
    </w:p>
    <w:p w:rsidR="008D3CC1" w:rsidRPr="007E3E2F" w14:paraId="19986AA7" w14:textId="77777777">
      <w:pPr>
        <w:rPr>
          <w:rFonts w:ascii="Times New Roman" w:hAnsi="Times New Roman" w:cs="Times New Roman"/>
          <w:b/>
          <w:bCs/>
          <w:color w:val="000000" w:themeColor="text1"/>
        </w:rPr>
      </w:pPr>
      <w:r w:rsidRPr="007E3E2F">
        <w:rPr>
          <w:rFonts w:ascii="Times New Roman" w:hAnsi="Times New Roman" w:cs="Times New Roman"/>
        </w:rPr>
        <w:br w:type="page"/>
      </w:r>
    </w:p>
    <w:p w:rsidR="00756023" w:rsidRPr="007E3E2F" w:rsidP="008D3CC1" w14:paraId="32ACAC07" w14:textId="5034EDED">
      <w:pPr>
        <w:pStyle w:val="Heading2"/>
        <w:numPr>
          <w:ilvl w:val="0"/>
          <w:numId w:val="0"/>
        </w:numPr>
        <w:ind w:left="1440" w:hanging="720"/>
      </w:pPr>
      <w:r w:rsidRPr="007E3E2F">
        <w:t>B.</w:t>
      </w:r>
      <w:r w:rsidRPr="007E3E2F">
        <w:tab/>
      </w:r>
      <w:r w:rsidRPr="007E3E2F">
        <w:t>OCC’s discovery requests are relevant and reasonably calculated to lead to discovery of admissible evidence.</w:t>
      </w:r>
    </w:p>
    <w:p w:rsidR="00757FA5" w:rsidRPr="007E3E2F" w:rsidP="00756023" w14:paraId="1C283FA5" w14:textId="77777777">
      <w:pPr>
        <w:pStyle w:val="NormalWeb"/>
        <w:spacing w:before="0" w:beforeAutospacing="0" w:after="0" w:afterAutospacing="0" w:line="480" w:lineRule="auto"/>
        <w:ind w:firstLine="720"/>
        <w:rPr>
          <w:color w:val="000000" w:themeColor="text1"/>
        </w:rPr>
      </w:pPr>
      <w:r w:rsidRPr="007E3E2F">
        <w:rPr>
          <w:color w:val="000000" w:themeColor="text1"/>
        </w:rPr>
        <w:t xml:space="preserve">AEP </w:t>
      </w:r>
      <w:r w:rsidRPr="007E3E2F">
        <w:rPr>
          <w:color w:val="000000" w:themeColor="text1"/>
        </w:rPr>
        <w:t>asserts that</w:t>
      </w:r>
      <w:r w:rsidRPr="007E3E2F">
        <w:rPr>
          <w:color w:val="000000" w:themeColor="text1"/>
        </w:rPr>
        <w:t xml:space="preserve"> OCC’s </w:t>
      </w:r>
      <w:r w:rsidRPr="007E3E2F">
        <w:rPr>
          <w:color w:val="000000" w:themeColor="text1"/>
        </w:rPr>
        <w:t xml:space="preserve">discovery is </w:t>
      </w:r>
      <w:r w:rsidRPr="007E3E2F">
        <w:rPr>
          <w:color w:val="000000" w:themeColor="text1"/>
        </w:rPr>
        <w:t>irrelevant and not reasonably calculated to discover admissible evidence.</w:t>
      </w:r>
      <w:r>
        <w:rPr>
          <w:rStyle w:val="FootnoteReference"/>
          <w:color w:val="000000" w:themeColor="text1"/>
        </w:rPr>
        <w:footnoteReference w:id="7"/>
      </w:r>
      <w:r w:rsidRPr="007E3E2F">
        <w:rPr>
          <w:color w:val="000000" w:themeColor="text1"/>
        </w:rPr>
        <w:t xml:space="preserve"> This is false. The June outages are directly relevant to this proceeding. </w:t>
      </w:r>
      <w:r w:rsidRPr="007E3E2F">
        <w:rPr>
          <w:color w:val="000000" w:themeColor="text1"/>
        </w:rPr>
        <w:t>AEP’s assertions to the contrary should be rejected.</w:t>
      </w:r>
    </w:p>
    <w:p w:rsidR="00757FA5" w:rsidRPr="007E3E2F" w:rsidP="00756023" w14:paraId="16D6AA70" w14:textId="77777777">
      <w:pPr>
        <w:pStyle w:val="NormalWeb"/>
        <w:spacing w:before="0" w:beforeAutospacing="0" w:after="0" w:afterAutospacing="0" w:line="480" w:lineRule="auto"/>
        <w:ind w:firstLine="720"/>
        <w:rPr>
          <w:color w:val="000000" w:themeColor="text1"/>
        </w:rPr>
      </w:pPr>
      <w:r w:rsidRPr="007E3E2F">
        <w:rPr>
          <w:color w:val="000000" w:themeColor="text1"/>
        </w:rPr>
        <w:t xml:space="preserve">This case is about determining AEP’s reliability standards for 2022 and beyond. The outages occurred in 2022, the year the proposed standards will be implemented. To determine whether the standards are reasonable, the PUCO must assess the impact of the outages. OCC’s discovery requests are also </w:t>
      </w:r>
      <w:r w:rsidRPr="007E3E2F">
        <w:rPr>
          <w:color w:val="000000" w:themeColor="text1"/>
        </w:rPr>
        <w:t xml:space="preserve">relevant and </w:t>
      </w:r>
      <w:r w:rsidRPr="007E3E2F">
        <w:rPr>
          <w:color w:val="000000" w:themeColor="text1"/>
        </w:rPr>
        <w:t>reasonably calculated to lead to the discovery of admissible evidence. All requests relate to the June outages and the July presentation AEP gave the PUCO about them.</w:t>
      </w:r>
      <w:r>
        <w:rPr>
          <w:rStyle w:val="FootnoteReference"/>
          <w:color w:val="000000" w:themeColor="text1"/>
        </w:rPr>
        <w:footnoteReference w:id="8"/>
      </w:r>
      <w:r w:rsidRPr="007E3E2F">
        <w:rPr>
          <w:color w:val="000000" w:themeColor="text1"/>
        </w:rPr>
        <w:t xml:space="preserve"> </w:t>
      </w:r>
    </w:p>
    <w:p w:rsidR="00756023" w:rsidRPr="007E3E2F" w:rsidP="00756023" w14:paraId="5740212C" w14:textId="42C14BCE">
      <w:pPr>
        <w:pStyle w:val="NormalWeb"/>
        <w:spacing w:before="0" w:beforeAutospacing="0" w:after="0" w:afterAutospacing="0" w:line="480" w:lineRule="auto"/>
        <w:ind w:firstLine="720"/>
        <w:rPr>
          <w:color w:val="000000" w:themeColor="text1"/>
        </w:rPr>
      </w:pPr>
      <w:r w:rsidRPr="007E3E2F">
        <w:rPr>
          <w:color w:val="000000" w:themeColor="text1"/>
        </w:rPr>
        <w:t>OCC’s requests are relevant and reasonably calculated to discover admissible evidence. The PUCO should reject AEP’s arguments</w:t>
      </w:r>
      <w:r w:rsidRPr="007E3E2F" w:rsidR="00757FA5">
        <w:rPr>
          <w:color w:val="000000" w:themeColor="text1"/>
        </w:rPr>
        <w:t xml:space="preserve"> to the contrary</w:t>
      </w:r>
      <w:r w:rsidRPr="007E3E2F">
        <w:rPr>
          <w:color w:val="000000" w:themeColor="text1"/>
        </w:rPr>
        <w:t>.</w:t>
      </w:r>
      <w:r w:rsidRPr="007E3E2F" w:rsidR="00757FA5">
        <w:rPr>
          <w:color w:val="000000" w:themeColor="text1"/>
        </w:rPr>
        <w:t xml:space="preserve"> It should grant OCC’s motion to compel.</w:t>
      </w:r>
      <w:r w:rsidRPr="007E3E2F">
        <w:rPr>
          <w:color w:val="000000" w:themeColor="text1"/>
        </w:rPr>
        <w:t xml:space="preserve"> </w:t>
      </w:r>
    </w:p>
    <w:p w:rsidR="00756023" w:rsidRPr="007E3E2F" w:rsidP="003A6844" w14:paraId="1FC9AB29" w14:textId="19E32656">
      <w:pPr>
        <w:pStyle w:val="Heading2"/>
        <w:numPr>
          <w:ilvl w:val="0"/>
          <w:numId w:val="0"/>
        </w:numPr>
        <w:ind w:left="1440" w:hanging="720"/>
      </w:pPr>
      <w:r w:rsidRPr="007E3E2F">
        <w:t>C.</w:t>
      </w:r>
      <w:r w:rsidRPr="007E3E2F">
        <w:tab/>
      </w:r>
      <w:r w:rsidRPr="007E3E2F">
        <w:t>OCC’s discovery requests are not overly broad or unduly burdensome.</w:t>
      </w:r>
    </w:p>
    <w:p w:rsidR="00757FA5" w:rsidRPr="007E3E2F" w:rsidP="00756023" w14:paraId="6CA6286D" w14:textId="77777777">
      <w:pPr>
        <w:spacing w:line="480" w:lineRule="auto"/>
        <w:ind w:firstLine="720"/>
        <w:rPr>
          <w:rFonts w:ascii="Times New Roman" w:hAnsi="Times New Roman" w:cs="Times New Roman"/>
          <w:color w:val="000000" w:themeColor="text1"/>
        </w:rPr>
      </w:pPr>
      <w:r w:rsidRPr="007E3E2F">
        <w:rPr>
          <w:rFonts w:ascii="Times New Roman" w:hAnsi="Times New Roman" w:cs="Times New Roman"/>
          <w:color w:val="000000" w:themeColor="text1"/>
        </w:rPr>
        <w:t xml:space="preserve">AEP </w:t>
      </w:r>
      <w:r w:rsidRPr="007E3E2F">
        <w:rPr>
          <w:rFonts w:ascii="Times New Roman" w:hAnsi="Times New Roman" w:cs="Times New Roman"/>
          <w:color w:val="000000" w:themeColor="text1"/>
        </w:rPr>
        <w:t>argues</w:t>
      </w:r>
      <w:r w:rsidRPr="007E3E2F">
        <w:rPr>
          <w:rFonts w:ascii="Times New Roman" w:hAnsi="Times New Roman" w:cs="Times New Roman"/>
          <w:color w:val="000000" w:themeColor="text1"/>
        </w:rPr>
        <w:t xml:space="preserve"> </w:t>
      </w:r>
      <w:r w:rsidRPr="007E3E2F">
        <w:rPr>
          <w:rFonts w:ascii="Times New Roman" w:hAnsi="Times New Roman" w:cs="Times New Roman"/>
          <w:color w:val="000000" w:themeColor="text1"/>
        </w:rPr>
        <w:t xml:space="preserve">that </w:t>
      </w:r>
      <w:r w:rsidRPr="007E3E2F">
        <w:rPr>
          <w:rFonts w:ascii="Times New Roman" w:hAnsi="Times New Roman" w:cs="Times New Roman"/>
          <w:color w:val="000000" w:themeColor="text1"/>
        </w:rPr>
        <w:t>producing the information OCC seeks requires inordinate time and expense.</w:t>
      </w:r>
      <w:r>
        <w:rPr>
          <w:rStyle w:val="FootnoteReference"/>
          <w:rFonts w:ascii="Times New Roman" w:hAnsi="Times New Roman" w:cs="Times New Roman"/>
          <w:color w:val="000000" w:themeColor="text1"/>
        </w:rPr>
        <w:footnoteReference w:id="9"/>
      </w:r>
      <w:r w:rsidRPr="007E3E2F">
        <w:rPr>
          <w:rFonts w:ascii="Times New Roman" w:hAnsi="Times New Roman" w:cs="Times New Roman"/>
          <w:color w:val="000000" w:themeColor="text1"/>
        </w:rPr>
        <w:t xml:space="preserve"> </w:t>
      </w:r>
      <w:r w:rsidRPr="007E3E2F">
        <w:rPr>
          <w:rFonts w:ascii="Times New Roman" w:hAnsi="Times New Roman" w:cs="Times New Roman"/>
          <w:color w:val="000000" w:themeColor="text1"/>
        </w:rPr>
        <w:t>In consumers’ interest, AEP’s argument should be rejected.</w:t>
      </w:r>
    </w:p>
    <w:p w:rsidR="00756023" w:rsidRPr="007E3E2F" w:rsidP="00756023" w14:paraId="055AAED3" w14:textId="016C7565">
      <w:pPr>
        <w:spacing w:line="480" w:lineRule="auto"/>
        <w:ind w:firstLine="720"/>
        <w:rPr>
          <w:rFonts w:ascii="Times New Roman" w:hAnsi="Times New Roman" w:cs="Times New Roman"/>
          <w:color w:val="000000" w:themeColor="text1"/>
        </w:rPr>
      </w:pPr>
      <w:r w:rsidRPr="007E3E2F">
        <w:rPr>
          <w:rFonts w:ascii="Times New Roman" w:hAnsi="Times New Roman" w:cs="Times New Roman"/>
          <w:color w:val="000000" w:themeColor="text1"/>
        </w:rPr>
        <w:t>The</w:t>
      </w:r>
      <w:r w:rsidRPr="007E3E2F">
        <w:rPr>
          <w:rFonts w:ascii="Times New Roman" w:hAnsi="Times New Roman" w:cs="Times New Roman"/>
          <w:color w:val="000000" w:themeColor="text1"/>
        </w:rPr>
        <w:t xml:space="preserve"> outages impacted tens of thousands of consumers. Further, AEP has charged and is in the process of charging over $3 billion dollars to consumers, with PUCO approval, for programs it claimed would increase reliability.</w:t>
      </w:r>
      <w:r>
        <w:rPr>
          <w:rStyle w:val="FootnoteReference"/>
          <w:rFonts w:ascii="Times New Roman" w:hAnsi="Times New Roman" w:cs="Times New Roman"/>
          <w:color w:val="000000" w:themeColor="text1"/>
        </w:rPr>
        <w:footnoteReference w:id="10"/>
      </w:r>
      <w:r w:rsidRPr="007E3E2F">
        <w:rPr>
          <w:rFonts w:ascii="Times New Roman" w:hAnsi="Times New Roman" w:cs="Times New Roman"/>
          <w:color w:val="000000" w:themeColor="text1"/>
        </w:rPr>
        <w:t xml:space="preserve"> Any additional work OCC’s discovery requests require of AEP</w:t>
      </w:r>
      <w:r w:rsidRPr="007E3E2F">
        <w:rPr>
          <w:rFonts w:ascii="Times New Roman" w:hAnsi="Times New Roman" w:cs="Times New Roman"/>
          <w:color w:val="000000" w:themeColor="text1"/>
        </w:rPr>
        <w:t>’s</w:t>
      </w:r>
      <w:r w:rsidRPr="007E3E2F">
        <w:rPr>
          <w:rFonts w:ascii="Times New Roman" w:hAnsi="Times New Roman" w:cs="Times New Roman"/>
          <w:color w:val="000000" w:themeColor="text1"/>
        </w:rPr>
        <w:t xml:space="preserve"> counsel </w:t>
      </w:r>
      <w:r w:rsidRPr="007E3E2F">
        <w:rPr>
          <w:rFonts w:ascii="Times New Roman" w:hAnsi="Times New Roman" w:cs="Times New Roman"/>
          <w:color w:val="000000" w:themeColor="text1"/>
        </w:rPr>
        <w:t>pales in comparison to the impact that the outages had on consumers. Also</w:t>
      </w:r>
      <w:r w:rsidRPr="007E3E2F">
        <w:rPr>
          <w:rFonts w:ascii="Times New Roman" w:hAnsi="Times New Roman" w:cs="Times New Roman"/>
          <w:color w:val="000000" w:themeColor="text1"/>
        </w:rPr>
        <w:t>, AEP already compiled outage information to present to the PUCO in July. All of the discovery OCC seeks relates to the June outages and AEP’s own presentation on them.</w:t>
      </w:r>
      <w:r>
        <w:rPr>
          <w:rStyle w:val="FootnoteReference"/>
          <w:rFonts w:ascii="Times New Roman" w:hAnsi="Times New Roman" w:cs="Times New Roman"/>
          <w:color w:val="000000" w:themeColor="text1"/>
        </w:rPr>
        <w:footnoteReference w:id="11"/>
      </w:r>
      <w:r w:rsidRPr="007E3E2F">
        <w:rPr>
          <w:rFonts w:ascii="Times New Roman" w:hAnsi="Times New Roman" w:cs="Times New Roman"/>
          <w:color w:val="000000" w:themeColor="text1"/>
        </w:rPr>
        <w:t xml:space="preserve"> AEP will not suffer undue burden and expense in reproducing to OCC information it </w:t>
      </w:r>
      <w:r w:rsidRPr="007E3E2F" w:rsidR="00032844">
        <w:rPr>
          <w:rFonts w:ascii="Times New Roman" w:hAnsi="Times New Roman" w:cs="Times New Roman"/>
          <w:color w:val="000000" w:themeColor="text1"/>
        </w:rPr>
        <w:t xml:space="preserve">most likely </w:t>
      </w:r>
      <w:r w:rsidRPr="007E3E2F">
        <w:rPr>
          <w:rFonts w:ascii="Times New Roman" w:hAnsi="Times New Roman" w:cs="Times New Roman"/>
          <w:color w:val="000000" w:themeColor="text1"/>
        </w:rPr>
        <w:t>already gave the PUCO.</w:t>
      </w:r>
    </w:p>
    <w:p w:rsidR="00757FA5" w:rsidRPr="007E3E2F" w:rsidP="00756023" w14:paraId="391287EF" w14:textId="4F96A8EC">
      <w:pPr>
        <w:spacing w:line="480" w:lineRule="auto"/>
        <w:ind w:firstLine="720"/>
        <w:rPr>
          <w:rFonts w:ascii="Times New Roman" w:hAnsi="Times New Roman" w:cs="Times New Roman"/>
          <w:color w:val="000000" w:themeColor="text1"/>
        </w:rPr>
      </w:pPr>
      <w:r w:rsidRPr="007E3E2F">
        <w:rPr>
          <w:rFonts w:ascii="Times New Roman" w:hAnsi="Times New Roman" w:cs="Times New Roman"/>
          <w:color w:val="000000" w:themeColor="text1"/>
        </w:rPr>
        <w:t>OCC’s motion to compel should be granted.</w:t>
      </w:r>
    </w:p>
    <w:p w:rsidR="00756023" w:rsidRPr="007E3E2F" w:rsidP="00F6037E" w14:paraId="71506B41" w14:textId="352F89A3">
      <w:pPr>
        <w:rPr>
          <w:rFonts w:ascii="Times New Roman" w:hAnsi="Times New Roman" w:cs="Times New Roman"/>
          <w:color w:val="000000" w:themeColor="text1"/>
        </w:rPr>
      </w:pPr>
    </w:p>
    <w:p w:rsidR="00756023" w:rsidRPr="007E3E2F" w:rsidP="00F6037E" w14:paraId="0D84F5D6" w14:textId="7D37AA1D">
      <w:pPr>
        <w:pStyle w:val="Heading1"/>
      </w:pPr>
      <w:r w:rsidRPr="007E3E2F">
        <w:t>III.</w:t>
      </w:r>
      <w:r w:rsidRPr="007E3E2F" w:rsidR="00F6037E">
        <w:tab/>
      </w:r>
      <w:r w:rsidRPr="007E3E2F">
        <w:t>CONCLUSION</w:t>
      </w:r>
      <w:r w:rsidRPr="007E3E2F">
        <w:tab/>
      </w:r>
    </w:p>
    <w:p w:rsidR="00757FA5" w:rsidRPr="007E3E2F" w:rsidP="00756023" w14:paraId="7E9832F1" w14:textId="77777777">
      <w:pPr>
        <w:spacing w:line="480" w:lineRule="auto"/>
        <w:ind w:firstLine="720"/>
        <w:rPr>
          <w:rFonts w:ascii="Times New Roman" w:hAnsi="Times New Roman" w:cs="Times New Roman"/>
          <w:color w:val="000000" w:themeColor="text1"/>
        </w:rPr>
      </w:pPr>
      <w:r w:rsidRPr="007E3E2F">
        <w:rPr>
          <w:rFonts w:ascii="Times New Roman" w:hAnsi="Times New Roman" w:cs="Times New Roman"/>
          <w:color w:val="000000" w:themeColor="text1"/>
        </w:rPr>
        <w:t xml:space="preserve">OCC has a right to fully participate in the discovery process. Its discovery requests were relevant, reasonably calculated to lead to discovery of admissible evidence, and not unduly broad or overly burdensome. Still, AEP refuses to answer. This delays OCC’s preparation to represent consumers. </w:t>
      </w:r>
    </w:p>
    <w:p w:rsidR="00756023" w:rsidRPr="007E3E2F" w:rsidP="00756023" w14:paraId="40D7C9D1" w14:textId="757C548A">
      <w:pPr>
        <w:spacing w:line="480" w:lineRule="auto"/>
        <w:ind w:firstLine="720"/>
        <w:rPr>
          <w:rFonts w:ascii="Times New Roman" w:hAnsi="Times New Roman" w:cs="Times New Roman"/>
          <w:color w:val="000000" w:themeColor="text1"/>
        </w:rPr>
      </w:pPr>
      <w:r w:rsidRPr="007E3E2F">
        <w:rPr>
          <w:rFonts w:ascii="Times New Roman" w:hAnsi="Times New Roman" w:cs="Times New Roman"/>
          <w:color w:val="000000" w:themeColor="text1"/>
        </w:rPr>
        <w:t xml:space="preserve">The PUCO should grant this motion to compel and order AEP to respond. </w:t>
      </w:r>
    </w:p>
    <w:p w:rsidR="00F6037E" w:rsidRPr="007E3E2F" w14:paraId="3FC089BD" w14:textId="77777777">
      <w:pPr>
        <w:rPr>
          <w:rFonts w:ascii="Times New Roman" w:eastAsia="Times New Roman" w:hAnsi="Times New Roman" w:cs="Times New Roman"/>
        </w:rPr>
      </w:pPr>
      <w:r w:rsidRPr="007E3E2F">
        <w:rPr>
          <w:rFonts w:ascii="Times New Roman" w:eastAsia="Times New Roman" w:hAnsi="Times New Roman" w:cs="Times New Roman"/>
        </w:rPr>
        <w:br w:type="page"/>
      </w:r>
    </w:p>
    <w:p w:rsidR="00F6037E" w:rsidRPr="007E3E2F" w:rsidP="00F6037E" w14:paraId="2BC033EC" w14:textId="12D2E5A4">
      <w:pPr>
        <w:ind w:firstLine="3690"/>
        <w:rPr>
          <w:rFonts w:ascii="Times New Roman" w:eastAsia="Times New Roman" w:hAnsi="Times New Roman" w:cs="Times New Roman"/>
        </w:rPr>
      </w:pPr>
      <w:r w:rsidRPr="007E3E2F">
        <w:rPr>
          <w:rFonts w:ascii="Times New Roman" w:eastAsia="Times New Roman" w:hAnsi="Times New Roman" w:cs="Times New Roman"/>
        </w:rPr>
        <w:t>Respectfully submitted,</w:t>
      </w:r>
    </w:p>
    <w:p w:rsidR="00F6037E" w:rsidRPr="007E3E2F" w:rsidP="00F6037E" w14:paraId="0794B91B" w14:textId="77777777">
      <w:pPr>
        <w:ind w:firstLine="3690"/>
        <w:rPr>
          <w:rFonts w:ascii="Times New Roman" w:eastAsia="Times New Roman" w:hAnsi="Times New Roman" w:cs="Times New Roman"/>
        </w:rPr>
      </w:pPr>
    </w:p>
    <w:p w:rsidR="00F6037E" w:rsidRPr="007E3E2F" w:rsidP="00F6037E" w14:paraId="6F8E0883" w14:textId="77777777">
      <w:pPr>
        <w:ind w:left="3690"/>
        <w:jc w:val="both"/>
        <w:rPr>
          <w:rFonts w:ascii="Times New Roman" w:eastAsia="Times New Roman" w:hAnsi="Times New Roman" w:cs="Times New Roman"/>
        </w:rPr>
      </w:pPr>
      <w:r w:rsidRPr="007E3E2F">
        <w:rPr>
          <w:rFonts w:ascii="Times New Roman" w:eastAsia="Times New Roman" w:hAnsi="Times New Roman" w:cs="Times New Roman"/>
        </w:rPr>
        <w:t>Bruce Weston (0016973)</w:t>
      </w:r>
    </w:p>
    <w:p w:rsidR="00F6037E" w:rsidRPr="007E3E2F" w:rsidP="00F6037E" w14:paraId="36E98346" w14:textId="77777777">
      <w:pPr>
        <w:ind w:left="3690"/>
        <w:jc w:val="both"/>
        <w:rPr>
          <w:rFonts w:ascii="Times New Roman" w:eastAsia="Times New Roman" w:hAnsi="Times New Roman" w:cs="Times New Roman"/>
        </w:rPr>
      </w:pPr>
      <w:r w:rsidRPr="007E3E2F">
        <w:rPr>
          <w:rFonts w:ascii="Times New Roman" w:eastAsia="Times New Roman" w:hAnsi="Times New Roman" w:cs="Times New Roman"/>
        </w:rPr>
        <w:t>Ohio Consumers’ Counsel</w:t>
      </w:r>
    </w:p>
    <w:p w:rsidR="00F6037E" w:rsidRPr="007E3E2F" w:rsidP="00F6037E" w14:paraId="375DEDAC" w14:textId="77777777">
      <w:pPr>
        <w:ind w:left="3690"/>
        <w:jc w:val="both"/>
        <w:rPr>
          <w:rFonts w:ascii="Times New Roman" w:eastAsia="Times New Roman" w:hAnsi="Times New Roman" w:cs="Times New Roman"/>
        </w:rPr>
      </w:pPr>
    </w:p>
    <w:p w:rsidR="00F6037E" w:rsidRPr="007E3E2F" w:rsidP="00F6037E" w14:paraId="29739FC6" w14:textId="77777777">
      <w:pPr>
        <w:ind w:left="3690"/>
        <w:jc w:val="both"/>
        <w:rPr>
          <w:rFonts w:ascii="Times New Roman" w:eastAsia="Times New Roman" w:hAnsi="Times New Roman" w:cs="Times New Roman"/>
          <w:i/>
          <w:iCs/>
          <w:u w:val="single"/>
        </w:rPr>
      </w:pPr>
      <w:r w:rsidRPr="007E3E2F">
        <w:rPr>
          <w:rFonts w:ascii="Times New Roman" w:eastAsia="Times New Roman" w:hAnsi="Times New Roman" w:cs="Times New Roman"/>
          <w:i/>
          <w:iCs/>
          <w:u w:val="single"/>
        </w:rPr>
        <w:t>/s/ William J. Michael</w:t>
      </w:r>
    </w:p>
    <w:p w:rsidR="00F6037E" w:rsidRPr="007E3E2F" w:rsidP="00F6037E" w14:paraId="53C542EC" w14:textId="77777777">
      <w:pPr>
        <w:ind w:left="3690"/>
        <w:rPr>
          <w:rFonts w:ascii="Times New Roman" w:eastAsia="Times New Roman" w:hAnsi="Times New Roman" w:cs="Times New Roman"/>
        </w:rPr>
      </w:pPr>
      <w:r w:rsidRPr="007E3E2F">
        <w:rPr>
          <w:rFonts w:ascii="Times New Roman" w:eastAsia="Times New Roman" w:hAnsi="Times New Roman" w:cs="Times New Roman"/>
        </w:rPr>
        <w:t>William J. Michael (0070921)</w:t>
      </w:r>
    </w:p>
    <w:p w:rsidR="00F6037E" w:rsidRPr="007E3E2F" w:rsidP="00F6037E" w14:paraId="51A54953" w14:textId="77777777">
      <w:pPr>
        <w:ind w:left="3690"/>
        <w:rPr>
          <w:rFonts w:ascii="Times New Roman" w:eastAsia="Times New Roman" w:hAnsi="Times New Roman" w:cs="Times New Roman"/>
        </w:rPr>
      </w:pPr>
      <w:r w:rsidRPr="007E3E2F">
        <w:rPr>
          <w:rFonts w:ascii="Times New Roman" w:eastAsia="Times New Roman" w:hAnsi="Times New Roman" w:cs="Times New Roman"/>
        </w:rPr>
        <w:t>Counsel of Record</w:t>
      </w:r>
    </w:p>
    <w:p w:rsidR="00F6037E" w:rsidRPr="007E3E2F" w:rsidP="00F6037E" w14:paraId="4CFADD14" w14:textId="77777777">
      <w:pPr>
        <w:ind w:left="3690"/>
        <w:rPr>
          <w:rFonts w:ascii="Times New Roman" w:eastAsia="Times New Roman" w:hAnsi="Times New Roman" w:cs="Times New Roman"/>
        </w:rPr>
      </w:pPr>
      <w:r w:rsidRPr="007E3E2F">
        <w:rPr>
          <w:rFonts w:ascii="Times New Roman" w:eastAsia="Times New Roman" w:hAnsi="Times New Roman" w:cs="Times New Roman"/>
        </w:rPr>
        <w:t>Amy Botschner O’Brien (0074423)</w:t>
      </w:r>
    </w:p>
    <w:p w:rsidR="00F6037E" w:rsidRPr="007E3E2F" w:rsidP="00F6037E" w14:paraId="4F001FA2" w14:textId="77777777">
      <w:pPr>
        <w:ind w:left="3690"/>
        <w:rPr>
          <w:rFonts w:ascii="Times New Roman" w:eastAsia="Times New Roman" w:hAnsi="Times New Roman" w:cs="Times New Roman"/>
        </w:rPr>
      </w:pPr>
      <w:r w:rsidRPr="007E3E2F">
        <w:rPr>
          <w:rFonts w:ascii="Times New Roman" w:eastAsia="Times New Roman" w:hAnsi="Times New Roman" w:cs="Times New Roman"/>
        </w:rPr>
        <w:t>Assistant Consumers’ Counsel</w:t>
      </w:r>
    </w:p>
    <w:p w:rsidR="00F6037E" w:rsidRPr="007E3E2F" w:rsidP="00F6037E" w14:paraId="52CA5BBF" w14:textId="77777777">
      <w:pPr>
        <w:tabs>
          <w:tab w:val="left" w:pos="4320"/>
        </w:tabs>
        <w:ind w:left="4320"/>
        <w:rPr>
          <w:rFonts w:ascii="Times New Roman" w:eastAsia="Times New Roman" w:hAnsi="Times New Roman" w:cs="Times New Roman"/>
        </w:rPr>
      </w:pPr>
    </w:p>
    <w:p w:rsidR="00F6037E" w:rsidRPr="007E3E2F" w:rsidP="00F6037E" w14:paraId="382E9CAF" w14:textId="77777777">
      <w:pPr>
        <w:ind w:left="3690"/>
        <w:rPr>
          <w:rFonts w:ascii="Times New Roman" w:eastAsia="Times New Roman" w:hAnsi="Times New Roman" w:cs="Times New Roman"/>
          <w:b/>
          <w:bCs/>
        </w:rPr>
      </w:pPr>
      <w:r w:rsidRPr="007E3E2F">
        <w:rPr>
          <w:rFonts w:ascii="Times New Roman" w:eastAsia="Times New Roman" w:hAnsi="Times New Roman" w:cs="Times New Roman"/>
          <w:b/>
          <w:bCs/>
        </w:rPr>
        <w:t>Office of the Ohio Consumers’ Counsel</w:t>
      </w:r>
    </w:p>
    <w:p w:rsidR="00F6037E" w:rsidRPr="007E3E2F" w:rsidP="00F6037E" w14:paraId="6F3DA76F" w14:textId="77777777">
      <w:pPr>
        <w:ind w:left="3690"/>
        <w:rPr>
          <w:rFonts w:ascii="Times New Roman" w:eastAsia="Times New Roman" w:hAnsi="Times New Roman" w:cs="Times New Roman"/>
          <w:b/>
        </w:rPr>
      </w:pPr>
      <w:r w:rsidRPr="007E3E2F">
        <w:rPr>
          <w:rFonts w:ascii="Times New Roman" w:eastAsia="Times New Roman" w:hAnsi="Times New Roman" w:cs="Times New Roman"/>
        </w:rPr>
        <w:t>65 East State Street, Suite 700</w:t>
      </w:r>
    </w:p>
    <w:p w:rsidR="00F6037E" w:rsidRPr="007E3E2F" w:rsidP="00F6037E" w14:paraId="2B4D4091" w14:textId="77777777">
      <w:pPr>
        <w:ind w:left="3690"/>
        <w:rPr>
          <w:rFonts w:ascii="Times New Roman" w:eastAsia="Times New Roman" w:hAnsi="Times New Roman" w:cs="Times New Roman"/>
          <w:b/>
        </w:rPr>
      </w:pPr>
      <w:r w:rsidRPr="007E3E2F">
        <w:rPr>
          <w:rFonts w:ascii="Times New Roman" w:eastAsia="Times New Roman" w:hAnsi="Times New Roman" w:cs="Times New Roman"/>
        </w:rPr>
        <w:t>Columbus, Ohio 43215</w:t>
      </w:r>
    </w:p>
    <w:p w:rsidR="00F6037E" w:rsidRPr="007E3E2F" w:rsidP="00F6037E" w14:paraId="4DB2BC3D" w14:textId="77777777">
      <w:pPr>
        <w:ind w:left="3690"/>
        <w:rPr>
          <w:rFonts w:ascii="Times New Roman" w:eastAsia="Times New Roman" w:hAnsi="Times New Roman" w:cs="Times New Roman"/>
        </w:rPr>
      </w:pPr>
      <w:r w:rsidRPr="007E3E2F">
        <w:rPr>
          <w:rFonts w:ascii="Times New Roman" w:eastAsia="Times New Roman" w:hAnsi="Times New Roman" w:cs="Times New Roman"/>
        </w:rPr>
        <w:t>Telephone [Michael]: (614) 466-1291</w:t>
      </w:r>
    </w:p>
    <w:p w:rsidR="00F6037E" w:rsidRPr="007E3E2F" w:rsidP="00F6037E" w14:paraId="5CEC4786" w14:textId="77777777">
      <w:pPr>
        <w:tabs>
          <w:tab w:val="left" w:pos="3690"/>
        </w:tabs>
        <w:autoSpaceDE w:val="0"/>
        <w:autoSpaceDN w:val="0"/>
        <w:adjustRightInd w:val="0"/>
        <w:ind w:left="3690"/>
        <w:rPr>
          <w:rFonts w:ascii="Times New Roman" w:eastAsia="Times New Roman" w:hAnsi="Times New Roman" w:cs="Times New Roman"/>
        </w:rPr>
      </w:pPr>
      <w:r w:rsidRPr="007E3E2F">
        <w:rPr>
          <w:rFonts w:ascii="Times New Roman" w:eastAsia="Times New Roman" w:hAnsi="Times New Roman" w:cs="Times New Roman"/>
        </w:rPr>
        <w:t>Telephone [Botschner O’Brien]: (614) 466-9575</w:t>
      </w:r>
    </w:p>
    <w:p w:rsidR="00F6037E" w:rsidRPr="007E3E2F" w:rsidP="00F6037E" w14:paraId="6F80D7F0" w14:textId="77777777">
      <w:pPr>
        <w:ind w:left="3690"/>
        <w:rPr>
          <w:rFonts w:ascii="Times New Roman" w:eastAsia="Times New Roman" w:hAnsi="Times New Roman" w:cs="Times New Roman"/>
          <w:color w:val="0000FF"/>
          <w:u w:val="single"/>
        </w:rPr>
      </w:pPr>
      <w:hyperlink r:id="rId6" w:history="1">
        <w:r w:rsidRPr="007E3E2F">
          <w:rPr>
            <w:rFonts w:ascii="Times New Roman" w:eastAsia="Times New Roman" w:hAnsi="Times New Roman" w:cs="Times New Roman"/>
            <w:color w:val="0000FF"/>
            <w:u w:val="single"/>
          </w:rPr>
          <w:t>william.michael@occ.ohio.gov</w:t>
        </w:r>
      </w:hyperlink>
    </w:p>
    <w:p w:rsidR="00F6037E" w:rsidRPr="007E3E2F" w:rsidP="00F6037E" w14:paraId="3CE9007C" w14:textId="77777777">
      <w:pPr>
        <w:ind w:left="3690"/>
        <w:rPr>
          <w:rFonts w:ascii="Times New Roman" w:eastAsia="Times New Roman" w:hAnsi="Times New Roman" w:cs="Times New Roman"/>
          <w:color w:val="0000FF"/>
          <w:u w:val="single"/>
        </w:rPr>
      </w:pPr>
      <w:hyperlink r:id="rId7" w:history="1">
        <w:r w:rsidRPr="007E3E2F">
          <w:rPr>
            <w:rFonts w:ascii="Times New Roman" w:eastAsia="Times New Roman" w:hAnsi="Times New Roman" w:cs="Times New Roman"/>
            <w:color w:val="0000FF"/>
            <w:u w:val="single"/>
          </w:rPr>
          <w:t>amy.botschner.obrien@occ.ohio.gov</w:t>
        </w:r>
      </w:hyperlink>
    </w:p>
    <w:p w:rsidR="00F6037E" w:rsidRPr="007E3E2F" w:rsidP="00F6037E" w14:paraId="51C456E8" w14:textId="77777777">
      <w:pPr>
        <w:ind w:left="3690"/>
        <w:rPr>
          <w:rFonts w:ascii="Times New Roman" w:eastAsia="Times New Roman" w:hAnsi="Times New Roman" w:cs="Times New Roman"/>
          <w:b/>
          <w:bCs/>
        </w:rPr>
      </w:pPr>
      <w:r w:rsidRPr="007E3E2F">
        <w:rPr>
          <w:rFonts w:ascii="Times New Roman" w:eastAsia="Times New Roman" w:hAnsi="Times New Roman" w:cs="Times New Roman"/>
        </w:rPr>
        <w:t>(willing to accept service by e-mail)</w:t>
      </w:r>
    </w:p>
    <w:p w:rsidR="00F6037E" w:rsidRPr="007E3E2F" w:rsidP="00756023" w14:paraId="3DC438B4" w14:textId="77777777">
      <w:pPr>
        <w:spacing w:line="480" w:lineRule="auto"/>
        <w:ind w:firstLine="720"/>
        <w:rPr>
          <w:rFonts w:ascii="Times New Roman" w:hAnsi="Times New Roman" w:cs="Times New Roman"/>
          <w:color w:val="000000" w:themeColor="text1"/>
        </w:rPr>
      </w:pPr>
    </w:p>
    <w:p w:rsidR="00756023" w:rsidRPr="007E3E2F" w:rsidP="00756023" w14:paraId="31661DCF" w14:textId="5E34E66E">
      <w:pPr>
        <w:spacing w:line="480" w:lineRule="auto"/>
        <w:rPr>
          <w:rFonts w:ascii="Times New Roman" w:hAnsi="Times New Roman" w:cs="Times New Roman"/>
          <w:color w:val="000000" w:themeColor="text1"/>
        </w:rPr>
      </w:pPr>
      <w:r w:rsidRPr="007E3E2F">
        <w:rPr>
          <w:rFonts w:ascii="Times New Roman" w:hAnsi="Times New Roman" w:cs="Times New Roman"/>
        </w:rPr>
        <w:tab/>
      </w:r>
      <w:r w:rsidRPr="007E3E2F">
        <w:rPr>
          <w:rFonts w:ascii="Times New Roman" w:hAnsi="Times New Roman" w:cs="Times New Roman"/>
        </w:rPr>
        <w:tab/>
      </w:r>
      <w:r w:rsidRPr="007E3E2F">
        <w:rPr>
          <w:rFonts w:ascii="Times New Roman" w:hAnsi="Times New Roman" w:cs="Times New Roman"/>
        </w:rPr>
        <w:tab/>
      </w:r>
      <w:r w:rsidRPr="007E3E2F">
        <w:rPr>
          <w:rFonts w:ascii="Times New Roman" w:hAnsi="Times New Roman" w:cs="Times New Roman"/>
        </w:rPr>
        <w:tab/>
      </w:r>
      <w:r w:rsidRPr="007E3E2F">
        <w:rPr>
          <w:rFonts w:ascii="Times New Roman" w:hAnsi="Times New Roman" w:cs="Times New Roman"/>
        </w:rPr>
        <w:tab/>
      </w:r>
      <w:r w:rsidRPr="007E3E2F">
        <w:rPr>
          <w:rFonts w:ascii="Times New Roman" w:hAnsi="Times New Roman" w:cs="Times New Roman"/>
          <w:color w:val="000000" w:themeColor="text1"/>
        </w:rPr>
        <w:tab/>
      </w:r>
    </w:p>
    <w:p w:rsidR="00756023" w:rsidRPr="007E3E2F" w:rsidP="00756023" w14:paraId="2E78F39C" w14:textId="712685DB">
      <w:pPr>
        <w:spacing w:line="480" w:lineRule="auto"/>
        <w:rPr>
          <w:rFonts w:ascii="Times New Roman" w:hAnsi="Times New Roman" w:cs="Times New Roman"/>
          <w:color w:val="000000" w:themeColor="text1"/>
        </w:rPr>
      </w:pPr>
    </w:p>
    <w:p w:rsidR="00756023" w:rsidRPr="007E3E2F" w:rsidP="00756023" w14:paraId="6DEA08C2" w14:textId="465EF163">
      <w:pPr>
        <w:spacing w:line="480" w:lineRule="auto"/>
        <w:rPr>
          <w:rFonts w:ascii="Times New Roman" w:hAnsi="Times New Roman" w:cs="Times New Roman"/>
          <w:color w:val="000000" w:themeColor="text1"/>
        </w:rPr>
      </w:pPr>
    </w:p>
    <w:p w:rsidR="00756023" w:rsidRPr="007E3E2F" w:rsidP="00756023" w14:paraId="435F46FF" w14:textId="77777777">
      <w:pPr>
        <w:spacing w:line="480" w:lineRule="auto"/>
        <w:rPr>
          <w:rFonts w:ascii="Times New Roman" w:hAnsi="Times New Roman" w:cs="Times New Roman"/>
          <w:color w:val="000000" w:themeColor="text1"/>
        </w:rPr>
      </w:pPr>
    </w:p>
    <w:p w:rsidR="00F6037E" w:rsidRPr="007E3E2F" w:rsidP="00756023" w14:paraId="5D918E6C" w14:textId="77777777">
      <w:pPr>
        <w:jc w:val="center"/>
        <w:rPr>
          <w:rFonts w:ascii="Times New Roman" w:hAnsi="Times New Roman" w:cs="Times New Roman"/>
          <w:i/>
          <w:iCs/>
          <w:color w:val="000000" w:themeColor="text1"/>
        </w:rPr>
      </w:pPr>
      <w:r w:rsidRPr="007E3E2F">
        <w:rPr>
          <w:rFonts w:ascii="Times New Roman" w:hAnsi="Times New Roman" w:cs="Times New Roman"/>
          <w:i/>
          <w:iCs/>
          <w:color w:val="000000" w:themeColor="text1"/>
        </w:rPr>
        <w:tab/>
      </w:r>
    </w:p>
    <w:p w:rsidR="00F6037E" w:rsidRPr="007E3E2F" w14:paraId="239A675E" w14:textId="77777777">
      <w:pPr>
        <w:rPr>
          <w:rFonts w:ascii="Times New Roman" w:hAnsi="Times New Roman" w:cs="Times New Roman"/>
          <w:i/>
          <w:iCs/>
          <w:color w:val="000000" w:themeColor="text1"/>
        </w:rPr>
      </w:pPr>
      <w:r w:rsidRPr="007E3E2F">
        <w:rPr>
          <w:rFonts w:ascii="Times New Roman" w:hAnsi="Times New Roman" w:cs="Times New Roman"/>
          <w:i/>
          <w:iCs/>
          <w:color w:val="000000" w:themeColor="text1"/>
        </w:rPr>
        <w:br w:type="page"/>
      </w:r>
    </w:p>
    <w:p w:rsidR="009E11CA" w:rsidRPr="007E3E2F" w:rsidP="009E11CA" w14:paraId="64E95CBD" w14:textId="77777777">
      <w:pPr>
        <w:jc w:val="center"/>
        <w:rPr>
          <w:rFonts w:ascii="Times New Roman" w:eastAsia="Times New Roman" w:hAnsi="Times New Roman" w:cs="Times New Roman"/>
          <w:b/>
          <w:bCs/>
          <w:u w:val="single"/>
        </w:rPr>
      </w:pPr>
      <w:r w:rsidRPr="007E3E2F">
        <w:rPr>
          <w:rFonts w:ascii="Times New Roman" w:eastAsia="Times New Roman" w:hAnsi="Times New Roman" w:cs="Times New Roman"/>
          <w:b/>
          <w:bCs/>
          <w:u w:val="single"/>
        </w:rPr>
        <w:t>CERTIFICATE OF SERVICE</w:t>
      </w:r>
    </w:p>
    <w:p w:rsidR="009E11CA" w:rsidRPr="007E3E2F" w:rsidP="009E11CA" w14:paraId="6797992C" w14:textId="77777777">
      <w:pPr>
        <w:jc w:val="center"/>
        <w:rPr>
          <w:rFonts w:ascii="Times New Roman" w:eastAsia="Times New Roman" w:hAnsi="Times New Roman" w:cs="Times New Roman"/>
        </w:rPr>
      </w:pPr>
    </w:p>
    <w:p w:rsidR="009E11CA" w:rsidRPr="007E3E2F" w:rsidP="009E11CA" w14:paraId="3DDC1702" w14:textId="5E206877">
      <w:pPr>
        <w:spacing w:line="480" w:lineRule="auto"/>
        <w:ind w:firstLine="720"/>
        <w:rPr>
          <w:rFonts w:ascii="Times New Roman" w:eastAsia="Times New Roman" w:hAnsi="Times New Roman" w:cs="Times New Roman"/>
          <w:i/>
          <w:iCs/>
        </w:rPr>
      </w:pPr>
      <w:r w:rsidRPr="007E3E2F">
        <w:rPr>
          <w:rFonts w:ascii="Times New Roman" w:eastAsia="Times New Roman" w:hAnsi="Times New Roman" w:cs="Times New Roman"/>
        </w:rPr>
        <w:t>I hereby certify that a copy of this Reply to AEP’s Memo Contra OCC’s Motion to Compel Discovery was served on the persons stated below via electronic transmission, this 24</w:t>
      </w:r>
      <w:r w:rsidRPr="007E3E2F">
        <w:rPr>
          <w:rFonts w:ascii="Times New Roman" w:eastAsia="Times New Roman" w:hAnsi="Times New Roman" w:cs="Times New Roman"/>
          <w:vertAlign w:val="superscript"/>
        </w:rPr>
        <w:t>th</w:t>
      </w:r>
      <w:r w:rsidRPr="007E3E2F">
        <w:rPr>
          <w:rFonts w:ascii="Times New Roman" w:eastAsia="Times New Roman" w:hAnsi="Times New Roman" w:cs="Times New Roman"/>
        </w:rPr>
        <w:t xml:space="preserve"> day of October 2022.</w:t>
      </w:r>
    </w:p>
    <w:p w:rsidR="009E11CA" w:rsidRPr="007E3E2F" w:rsidP="009E11CA" w14:paraId="3F6B8264" w14:textId="77777777">
      <w:pPr>
        <w:tabs>
          <w:tab w:val="left" w:pos="4320"/>
        </w:tabs>
        <w:rPr>
          <w:rFonts w:ascii="Times New Roman" w:eastAsia="Times New Roman" w:hAnsi="Times New Roman" w:cs="Times New Roman"/>
          <w:i/>
          <w:u w:val="single"/>
        </w:rPr>
      </w:pPr>
      <w:r w:rsidRPr="007E3E2F">
        <w:rPr>
          <w:rFonts w:ascii="Times New Roman" w:eastAsia="Times New Roman" w:hAnsi="Times New Roman" w:cs="Times New Roman"/>
        </w:rPr>
        <w:tab/>
      </w:r>
      <w:r w:rsidRPr="007E3E2F">
        <w:rPr>
          <w:rFonts w:ascii="Times New Roman" w:eastAsia="Times New Roman" w:hAnsi="Times New Roman" w:cs="Times New Roman"/>
          <w:i/>
          <w:iCs/>
          <w:u w:val="single"/>
        </w:rPr>
        <w:t>/s/</w:t>
      </w:r>
      <w:r w:rsidRPr="007E3E2F">
        <w:rPr>
          <w:rFonts w:ascii="Times New Roman" w:eastAsia="Times New Roman" w:hAnsi="Times New Roman" w:cs="Times New Roman"/>
          <w:u w:val="single"/>
        </w:rPr>
        <w:t xml:space="preserve"> </w:t>
      </w:r>
      <w:r w:rsidRPr="007E3E2F">
        <w:rPr>
          <w:rFonts w:ascii="Times New Roman" w:eastAsia="Times New Roman" w:hAnsi="Times New Roman" w:cs="Times New Roman"/>
          <w:i/>
          <w:u w:val="single"/>
        </w:rPr>
        <w:t>William J. Michael</w:t>
      </w:r>
      <w:r w:rsidRPr="007E3E2F">
        <w:rPr>
          <w:rFonts w:ascii="Times New Roman" w:eastAsia="Times New Roman" w:hAnsi="Times New Roman" w:cs="Times New Roman"/>
          <w:i/>
          <w:u w:val="single"/>
        </w:rPr>
        <w:tab/>
      </w:r>
    </w:p>
    <w:p w:rsidR="009E11CA" w:rsidRPr="007E3E2F" w:rsidP="009E11CA" w14:paraId="1A7607ED" w14:textId="77777777">
      <w:pPr>
        <w:tabs>
          <w:tab w:val="left" w:pos="4320"/>
        </w:tabs>
        <w:rPr>
          <w:rFonts w:ascii="Times New Roman" w:eastAsia="Times New Roman" w:hAnsi="Times New Roman" w:cs="Times New Roman"/>
        </w:rPr>
      </w:pPr>
      <w:r w:rsidRPr="007E3E2F">
        <w:rPr>
          <w:rFonts w:ascii="Times New Roman" w:eastAsia="Times New Roman" w:hAnsi="Times New Roman" w:cs="Times New Roman"/>
        </w:rPr>
        <w:tab/>
        <w:t>William J. Michael</w:t>
      </w:r>
    </w:p>
    <w:p w:rsidR="009E11CA" w:rsidRPr="007E3E2F" w:rsidP="009E11CA" w14:paraId="3D1AE185" w14:textId="77777777">
      <w:pPr>
        <w:tabs>
          <w:tab w:val="left" w:pos="4320"/>
        </w:tabs>
        <w:rPr>
          <w:rFonts w:ascii="Times New Roman" w:eastAsia="Times New Roman" w:hAnsi="Times New Roman" w:cs="Times New Roman"/>
        </w:rPr>
      </w:pPr>
      <w:r w:rsidRPr="007E3E2F">
        <w:rPr>
          <w:rFonts w:ascii="Times New Roman" w:eastAsia="Times New Roman" w:hAnsi="Times New Roman" w:cs="Times New Roman"/>
        </w:rPr>
        <w:tab/>
        <w:t>Assistant Consumers’ Counsel</w:t>
      </w:r>
    </w:p>
    <w:p w:rsidR="009E11CA" w:rsidRPr="007E3E2F" w:rsidP="009E11CA" w14:paraId="4B4A7DAA" w14:textId="77777777">
      <w:pPr>
        <w:rPr>
          <w:rFonts w:ascii="Times New Roman" w:eastAsia="Times New Roman" w:hAnsi="Times New Roman" w:cs="Times New Roman"/>
          <w:b/>
          <w:bCs/>
        </w:rPr>
      </w:pPr>
    </w:p>
    <w:p w:rsidR="009E11CA" w:rsidRPr="007E3E2F" w:rsidP="009E11CA" w14:paraId="03C3AE24" w14:textId="77777777">
      <w:pPr>
        <w:rPr>
          <w:rFonts w:ascii="Times New Roman" w:eastAsia="Times New Roman" w:hAnsi="Times New Roman" w:cs="Times New Roman"/>
        </w:rPr>
      </w:pPr>
      <w:r w:rsidRPr="007E3E2F">
        <w:rPr>
          <w:rFonts w:ascii="Times New Roman" w:eastAsia="Times New Roman" w:hAnsi="Times New Roman" w:cs="Times New Roman"/>
        </w:rPr>
        <w:t>The PUCO’s e-filing system will electronically serve notice of the filing of this document on the following parties:</w:t>
      </w:r>
    </w:p>
    <w:p w:rsidR="009E11CA" w:rsidRPr="007E3E2F" w:rsidP="009E11CA" w14:paraId="04FC4438" w14:textId="77777777">
      <w:pPr>
        <w:rPr>
          <w:rFonts w:ascii="Times New Roman" w:eastAsia="Times New Roman" w:hAnsi="Times New Roman" w:cs="Times New Roman"/>
        </w:rPr>
      </w:pPr>
    </w:p>
    <w:p w:rsidR="009E11CA" w:rsidRPr="007E3E2F" w:rsidP="009E11CA" w14:paraId="5CD1C11A" w14:textId="77777777">
      <w:pPr>
        <w:jc w:val="center"/>
        <w:rPr>
          <w:rFonts w:ascii="Times New Roman" w:eastAsia="Times New Roman" w:hAnsi="Times New Roman" w:cs="Times New Roman"/>
          <w:b/>
          <w:u w:val="single"/>
        </w:rPr>
      </w:pPr>
      <w:r w:rsidRPr="007E3E2F">
        <w:rPr>
          <w:rFonts w:ascii="Times New Roman" w:eastAsia="Times New Roman" w:hAnsi="Times New Roman" w:cs="Times New Roman"/>
          <w:b/>
          <w:u w:val="single"/>
        </w:rPr>
        <w:t>SERVICE LIST</w:t>
      </w:r>
    </w:p>
    <w:p w:rsidR="009E11CA" w:rsidRPr="007E3E2F" w:rsidP="009E11CA" w14:paraId="75E9FB74" w14:textId="77777777">
      <w:pPr>
        <w:rPr>
          <w:rFonts w:ascii="Times New Roman" w:eastAsia="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01BB705" w14:textId="77777777" w:rsidTr="004F55B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9E11CA" w:rsidRPr="007E3E2F" w:rsidP="004F55BB" w14:paraId="2C607865" w14:textId="77777777">
            <w:pPr>
              <w:rPr>
                <w:rFonts w:ascii="Times New Roman" w:eastAsia="Times New Roman" w:hAnsi="Times New Roman" w:cs="Times New Roman"/>
                <w:bCs/>
                <w:color w:val="0000FF"/>
                <w:sz w:val="24"/>
                <w:szCs w:val="24"/>
                <w:u w:val="single"/>
              </w:rPr>
            </w:pPr>
            <w:hyperlink r:id="rId8" w:history="1">
              <w:r w:rsidRPr="007E3E2F">
                <w:rPr>
                  <w:rFonts w:ascii="Times New Roman" w:eastAsia="Times New Roman" w:hAnsi="Times New Roman" w:cs="Times New Roman"/>
                  <w:bCs/>
                  <w:color w:val="0000FF"/>
                  <w:sz w:val="24"/>
                  <w:szCs w:val="24"/>
                  <w:u w:val="single"/>
                </w:rPr>
                <w:t>thomas.lindgren@ohioago.gov</w:t>
              </w:r>
            </w:hyperlink>
          </w:p>
          <w:p w:rsidR="009E11CA" w:rsidRPr="007E3E2F" w:rsidP="004F55BB" w14:paraId="0BF779DC" w14:textId="77777777">
            <w:pPr>
              <w:rPr>
                <w:rFonts w:ascii="Times New Roman" w:eastAsia="Times New Roman" w:hAnsi="Times New Roman" w:cs="Times New Roman"/>
                <w:bCs/>
                <w:color w:val="0000FF"/>
                <w:sz w:val="24"/>
                <w:szCs w:val="24"/>
                <w:u w:val="single"/>
              </w:rPr>
            </w:pPr>
            <w:r w:rsidRPr="007E3E2F">
              <w:rPr>
                <w:rFonts w:ascii="Times New Roman" w:eastAsia="Times New Roman" w:hAnsi="Times New Roman" w:cs="Times New Roman"/>
                <w:bCs/>
                <w:color w:val="0000FF"/>
                <w:sz w:val="24"/>
                <w:szCs w:val="24"/>
                <w:u w:val="single"/>
              </w:rPr>
              <w:t>rhiannon.plant@ohioago.gov</w:t>
            </w:r>
          </w:p>
          <w:p w:rsidR="009E11CA" w:rsidRPr="007E3E2F" w:rsidP="004F55BB" w14:paraId="300AA51F" w14:textId="77777777">
            <w:pPr>
              <w:rPr>
                <w:rFonts w:ascii="Times New Roman" w:eastAsia="Times New Roman" w:hAnsi="Times New Roman" w:cs="Times New Roman"/>
                <w:bCs/>
                <w:color w:val="0000FF"/>
                <w:sz w:val="24"/>
                <w:szCs w:val="24"/>
                <w:u w:val="single"/>
              </w:rPr>
            </w:pPr>
            <w:hyperlink r:id="rId9" w:history="1">
              <w:r w:rsidRPr="007E3E2F">
                <w:rPr>
                  <w:rFonts w:ascii="Times New Roman" w:eastAsia="Times New Roman" w:hAnsi="Times New Roman" w:cs="Times New Roman"/>
                  <w:bCs/>
                  <w:color w:val="0000FF"/>
                  <w:sz w:val="24"/>
                  <w:szCs w:val="24"/>
                  <w:u w:val="single"/>
                </w:rPr>
                <w:t>sjagers@ohiopovertylaw.org</w:t>
              </w:r>
            </w:hyperlink>
          </w:p>
          <w:p w:rsidR="009E11CA" w:rsidRPr="007E3E2F" w:rsidP="004F55BB" w14:paraId="236D5295" w14:textId="77777777">
            <w:pPr>
              <w:rPr>
                <w:rFonts w:ascii="Times New Roman" w:eastAsia="Times New Roman" w:hAnsi="Times New Roman" w:cs="Times New Roman"/>
                <w:bCs/>
                <w:color w:val="0000FF"/>
                <w:sz w:val="24"/>
                <w:szCs w:val="24"/>
                <w:u w:val="single"/>
              </w:rPr>
            </w:pPr>
            <w:r w:rsidRPr="007E3E2F">
              <w:rPr>
                <w:rFonts w:ascii="Times New Roman" w:eastAsia="Times New Roman" w:hAnsi="Times New Roman" w:cs="Times New Roman"/>
                <w:bCs/>
                <w:color w:val="0000FF"/>
                <w:sz w:val="24"/>
                <w:szCs w:val="24"/>
                <w:u w:val="single"/>
              </w:rPr>
              <w:t>mwalters@proseniors.org</w:t>
            </w:r>
          </w:p>
          <w:p w:rsidR="009E11CA" w:rsidRPr="007E3E2F" w:rsidP="004F55BB" w14:paraId="3405DA13" w14:textId="77777777">
            <w:pPr>
              <w:rPr>
                <w:rFonts w:ascii="Times New Roman" w:eastAsia="Times New Roman" w:hAnsi="Times New Roman" w:cs="Times New Roman"/>
                <w:bCs/>
                <w:color w:val="0000FF"/>
                <w:sz w:val="24"/>
                <w:szCs w:val="24"/>
                <w:u w:val="single"/>
              </w:rPr>
            </w:pPr>
          </w:p>
          <w:p w:rsidR="009E11CA" w:rsidRPr="007E3E2F" w:rsidP="004F55BB" w14:paraId="5F8BCA5D" w14:textId="77777777">
            <w:pPr>
              <w:rPr>
                <w:rFonts w:ascii="Times New Roman" w:eastAsia="Times New Roman" w:hAnsi="Times New Roman" w:cs="Times New Roman"/>
                <w:bCs/>
                <w:sz w:val="24"/>
                <w:szCs w:val="24"/>
              </w:rPr>
            </w:pPr>
            <w:r w:rsidRPr="007E3E2F">
              <w:rPr>
                <w:rFonts w:ascii="Times New Roman" w:eastAsia="Times New Roman" w:hAnsi="Times New Roman" w:cs="Times New Roman"/>
                <w:bCs/>
                <w:sz w:val="24"/>
                <w:szCs w:val="24"/>
              </w:rPr>
              <w:t>Attorney Examiners:</w:t>
            </w:r>
          </w:p>
          <w:p w:rsidR="009E11CA" w:rsidRPr="007E3E2F" w:rsidP="004F55BB" w14:paraId="10DF4C39" w14:textId="77777777">
            <w:pPr>
              <w:rPr>
                <w:rFonts w:ascii="Times New Roman" w:eastAsia="Times New Roman" w:hAnsi="Times New Roman" w:cs="Times New Roman"/>
                <w:bCs/>
                <w:color w:val="0000FF"/>
                <w:sz w:val="24"/>
                <w:szCs w:val="24"/>
                <w:u w:val="single"/>
              </w:rPr>
            </w:pPr>
            <w:hyperlink r:id="rId10" w:history="1">
              <w:r w:rsidRPr="007E3E2F">
                <w:rPr>
                  <w:rFonts w:ascii="Times New Roman" w:eastAsia="Times New Roman" w:hAnsi="Times New Roman" w:cs="Times New Roman"/>
                  <w:color w:val="0000FF"/>
                  <w:sz w:val="24"/>
                  <w:szCs w:val="24"/>
                  <w:u w:val="single"/>
                </w:rPr>
                <w:t>s</w:t>
              </w:r>
              <w:r w:rsidRPr="007E3E2F">
                <w:rPr>
                  <w:rFonts w:ascii="Times New Roman" w:eastAsia="Times New Roman" w:hAnsi="Times New Roman" w:cs="Times New Roman"/>
                  <w:bCs/>
                  <w:color w:val="0000FF"/>
                  <w:sz w:val="24"/>
                  <w:szCs w:val="24"/>
                  <w:u w:val="single"/>
                </w:rPr>
                <w:t>arah.parrot@puco.ohio.gov</w:t>
              </w:r>
            </w:hyperlink>
          </w:p>
          <w:p w:rsidR="009E11CA" w:rsidRPr="007E3E2F" w:rsidP="004F55BB" w14:paraId="617BD28A" w14:textId="77777777">
            <w:pPr>
              <w:rPr>
                <w:rFonts w:ascii="Times New Roman" w:eastAsia="Times New Roman" w:hAnsi="Times New Roman" w:cs="Times New Roman"/>
                <w:color w:val="0000FF"/>
                <w:sz w:val="24"/>
                <w:szCs w:val="24"/>
                <w:u w:val="single"/>
              </w:rPr>
            </w:pPr>
            <w:hyperlink r:id="rId11" w:history="1">
              <w:r w:rsidRPr="007E3E2F">
                <w:rPr>
                  <w:rFonts w:ascii="Times New Roman" w:eastAsia="Times New Roman" w:hAnsi="Times New Roman" w:cs="Times New Roman"/>
                  <w:color w:val="0000FF"/>
                  <w:sz w:val="24"/>
                  <w:szCs w:val="24"/>
                  <w:u w:val="single"/>
                </w:rPr>
                <w:t>greta.see@puco.ohio.gov</w:t>
              </w:r>
            </w:hyperlink>
          </w:p>
          <w:p w:rsidR="009E11CA" w:rsidRPr="007E3E2F" w:rsidP="004F55BB" w14:paraId="6648DBEF" w14:textId="77777777">
            <w:pPr>
              <w:rPr>
                <w:rFonts w:ascii="Times New Roman" w:eastAsia="Times New Roman" w:hAnsi="Times New Roman" w:cs="Times New Roman"/>
                <w:bCs/>
                <w:sz w:val="24"/>
                <w:szCs w:val="24"/>
              </w:rPr>
            </w:pPr>
          </w:p>
          <w:p w:rsidR="009E11CA" w:rsidRPr="007E3E2F" w:rsidP="004F55BB" w14:paraId="142A5DEE" w14:textId="77777777">
            <w:pPr>
              <w:rPr>
                <w:rFonts w:ascii="Times New Roman" w:eastAsia="Times New Roman" w:hAnsi="Times New Roman" w:cs="Times New Roman"/>
                <w:bCs/>
                <w:sz w:val="24"/>
                <w:szCs w:val="24"/>
              </w:rPr>
            </w:pPr>
          </w:p>
        </w:tc>
        <w:tc>
          <w:tcPr>
            <w:tcW w:w="4315" w:type="dxa"/>
          </w:tcPr>
          <w:p w:rsidR="009E11CA" w:rsidRPr="007E3E2F" w:rsidP="004F55BB" w14:paraId="386241D6" w14:textId="77777777">
            <w:pPr>
              <w:rPr>
                <w:rFonts w:ascii="Times New Roman" w:eastAsia="Times New Roman" w:hAnsi="Times New Roman" w:cs="Times New Roman"/>
                <w:bCs/>
                <w:sz w:val="24"/>
                <w:szCs w:val="24"/>
              </w:rPr>
            </w:pPr>
            <w:hyperlink r:id="rId12" w:history="1">
              <w:r w:rsidRPr="007E3E2F">
                <w:rPr>
                  <w:rFonts w:ascii="Times New Roman" w:eastAsia="Times New Roman" w:hAnsi="Times New Roman" w:cs="Times New Roman"/>
                  <w:bCs/>
                  <w:color w:val="0000FF"/>
                  <w:sz w:val="24"/>
                  <w:szCs w:val="24"/>
                  <w:u w:val="single"/>
                </w:rPr>
                <w:t>stnourse@aep.com</w:t>
              </w:r>
            </w:hyperlink>
          </w:p>
          <w:p w:rsidR="009E11CA" w:rsidRPr="007E3E2F" w:rsidP="004F55BB" w14:paraId="2C84886F" w14:textId="77777777">
            <w:pPr>
              <w:rPr>
                <w:rFonts w:ascii="Times New Roman" w:eastAsia="Times New Roman" w:hAnsi="Times New Roman" w:cs="Times New Roman"/>
                <w:bCs/>
                <w:color w:val="0000FF"/>
                <w:sz w:val="24"/>
                <w:szCs w:val="24"/>
                <w:u w:val="single"/>
              </w:rPr>
            </w:pPr>
            <w:hyperlink r:id="rId13" w:history="1">
              <w:r w:rsidRPr="007E3E2F">
                <w:rPr>
                  <w:rFonts w:ascii="Times New Roman" w:eastAsia="Times New Roman" w:hAnsi="Times New Roman" w:cs="Times New Roman"/>
                  <w:bCs/>
                  <w:color w:val="0000FF"/>
                  <w:sz w:val="24"/>
                  <w:szCs w:val="24"/>
                  <w:u w:val="single"/>
                </w:rPr>
                <w:t>mjschuler@aep.com</w:t>
              </w:r>
            </w:hyperlink>
          </w:p>
          <w:p w:rsidR="009E11CA" w:rsidRPr="007E3E2F" w:rsidP="004F55BB" w14:paraId="7372CE0E" w14:textId="77777777">
            <w:pPr>
              <w:rPr>
                <w:rFonts w:ascii="Times New Roman" w:eastAsia="Times New Roman" w:hAnsi="Times New Roman" w:cs="Times New Roman"/>
                <w:bCs/>
                <w:color w:val="0000FF"/>
                <w:sz w:val="24"/>
                <w:szCs w:val="24"/>
                <w:u w:val="single"/>
              </w:rPr>
            </w:pPr>
            <w:r w:rsidRPr="007E3E2F">
              <w:rPr>
                <w:rFonts w:ascii="Times New Roman" w:eastAsia="Times New Roman" w:hAnsi="Times New Roman" w:cs="Times New Roman"/>
                <w:bCs/>
                <w:color w:val="0000FF"/>
                <w:sz w:val="24"/>
                <w:szCs w:val="24"/>
                <w:u w:val="single"/>
              </w:rPr>
              <w:t>bojko@carpenterlipps.com</w:t>
            </w:r>
          </w:p>
          <w:p w:rsidR="009E11CA" w:rsidRPr="007E3E2F" w:rsidP="004F55BB" w14:paraId="1657F715" w14:textId="77777777">
            <w:pPr>
              <w:rPr>
                <w:rFonts w:ascii="Times New Roman" w:eastAsia="Times New Roman" w:hAnsi="Times New Roman" w:cs="Times New Roman"/>
                <w:bCs/>
                <w:color w:val="0000FF"/>
                <w:sz w:val="24"/>
                <w:szCs w:val="24"/>
                <w:u w:val="single"/>
              </w:rPr>
            </w:pPr>
            <w:r w:rsidRPr="007E3E2F">
              <w:rPr>
                <w:rFonts w:ascii="Times New Roman" w:eastAsia="Times New Roman" w:hAnsi="Times New Roman" w:cs="Times New Roman"/>
                <w:bCs/>
                <w:color w:val="0000FF"/>
                <w:sz w:val="24"/>
                <w:szCs w:val="24"/>
                <w:u w:val="single"/>
              </w:rPr>
              <w:t>wygonski@carpenterlipps.com</w:t>
            </w:r>
          </w:p>
          <w:p w:rsidR="009E11CA" w:rsidRPr="007E3E2F" w:rsidP="004F55BB" w14:paraId="47AEAE2E" w14:textId="77777777">
            <w:pPr>
              <w:rPr>
                <w:rFonts w:ascii="Times New Roman" w:eastAsia="Times New Roman" w:hAnsi="Times New Roman" w:cs="Times New Roman"/>
                <w:bCs/>
                <w:sz w:val="24"/>
                <w:szCs w:val="24"/>
              </w:rPr>
            </w:pPr>
          </w:p>
          <w:p w:rsidR="009E11CA" w:rsidRPr="007E3E2F" w:rsidP="004F55BB" w14:paraId="135CF47A" w14:textId="77777777">
            <w:pPr>
              <w:rPr>
                <w:rFonts w:ascii="Times New Roman" w:eastAsia="Times New Roman" w:hAnsi="Times New Roman" w:cs="Times New Roman"/>
                <w:bCs/>
                <w:sz w:val="24"/>
                <w:szCs w:val="24"/>
              </w:rPr>
            </w:pPr>
          </w:p>
        </w:tc>
      </w:tr>
    </w:tbl>
    <w:p w:rsidR="00756023" w:rsidRPr="007E3E2F" w:rsidP="00756023" w14:paraId="6D1A2FF5" w14:textId="094CF82E">
      <w:pPr>
        <w:spacing w:after="160" w:line="259" w:lineRule="auto"/>
        <w:rPr>
          <w:rFonts w:ascii="Times New Roman" w:hAnsi="Times New Roman" w:cs="Times New Roman"/>
          <w:b/>
          <w:bCs/>
        </w:rPr>
      </w:pPr>
    </w:p>
    <w:p w:rsidR="00756023" w:rsidRPr="007E3E2F" w:rsidP="00756023" w14:paraId="7BBFF0C7" w14:textId="45914611">
      <w:pPr>
        <w:rPr>
          <w:rFonts w:ascii="Times New Roman" w:hAnsi="Times New Roman" w:cs="Times New Roman"/>
          <w:color w:val="000000" w:themeColor="text1"/>
        </w:rPr>
      </w:pPr>
    </w:p>
    <w:p w:rsidR="009E11CA" w:rsidRPr="007E3E2F" w:rsidP="00756023" w14:paraId="7139C267" w14:textId="4FE3ED84">
      <w:pPr>
        <w:rPr>
          <w:rFonts w:ascii="Times New Roman" w:hAnsi="Times New Roman" w:cs="Times New Roman"/>
          <w:color w:val="000000" w:themeColor="text1"/>
        </w:rPr>
      </w:pPr>
    </w:p>
    <w:p w:rsidR="009E11CA" w:rsidRPr="007E3E2F" w:rsidP="009E11CA" w14:paraId="761BC3C8" w14:textId="2232BFE7">
      <w:pPr>
        <w:rPr>
          <w:rFonts w:ascii="Times New Roman" w:hAnsi="Times New Roman" w:cs="Times New Roman"/>
        </w:rPr>
      </w:pPr>
    </w:p>
    <w:p w:rsidR="009E11CA" w:rsidRPr="007E3E2F" w:rsidP="009E11CA" w14:paraId="0FF8B84B" w14:textId="53C2D1A3">
      <w:pPr>
        <w:rPr>
          <w:rFonts w:ascii="Times New Roman" w:hAnsi="Times New Roman" w:cs="Times New Roman"/>
        </w:rPr>
      </w:pPr>
    </w:p>
    <w:p w:rsidR="009E11CA" w:rsidRPr="007E3E2F" w:rsidP="009E11CA" w14:paraId="73F1437C" w14:textId="09B6F41F">
      <w:pPr>
        <w:rPr>
          <w:rFonts w:ascii="Times New Roman" w:hAnsi="Times New Roman" w:cs="Times New Roman"/>
        </w:rPr>
      </w:pPr>
    </w:p>
    <w:p w:rsidR="009E11CA" w:rsidRPr="007E3E2F" w:rsidP="009E11CA" w14:paraId="4ABFF758" w14:textId="4180B9A5">
      <w:pPr>
        <w:rPr>
          <w:rFonts w:ascii="Times New Roman" w:hAnsi="Times New Roman" w:cs="Times New Roman"/>
        </w:rPr>
      </w:pPr>
    </w:p>
    <w:p w:rsidR="009E11CA" w:rsidRPr="007E3E2F" w:rsidP="009E11CA" w14:paraId="025EBE25" w14:textId="07B144B2">
      <w:pPr>
        <w:rPr>
          <w:rFonts w:ascii="Times New Roman" w:hAnsi="Times New Roman" w:cs="Times New Roman"/>
        </w:rPr>
      </w:pPr>
    </w:p>
    <w:p w:rsidR="009E11CA" w:rsidRPr="007E3E2F" w:rsidP="009E11CA" w14:paraId="36A51D6F" w14:textId="776701B4">
      <w:pPr>
        <w:rPr>
          <w:rFonts w:ascii="Times New Roman" w:hAnsi="Times New Roman" w:cs="Times New Roman"/>
        </w:rPr>
      </w:pPr>
    </w:p>
    <w:p w:rsidR="009E11CA" w:rsidRPr="007E3E2F" w:rsidP="009E11CA" w14:paraId="45B957DE" w14:textId="726CB4B0">
      <w:pPr>
        <w:rPr>
          <w:rFonts w:ascii="Times New Roman" w:hAnsi="Times New Roman" w:cs="Times New Roman"/>
        </w:rPr>
      </w:pPr>
    </w:p>
    <w:p w:rsidR="009E11CA" w:rsidRPr="007E3E2F" w:rsidP="009E11CA" w14:paraId="4F5CCA5C" w14:textId="35CC002B">
      <w:pPr>
        <w:rPr>
          <w:rFonts w:ascii="Times New Roman" w:hAnsi="Times New Roman" w:cs="Times New Roman"/>
        </w:rPr>
      </w:pPr>
    </w:p>
    <w:p w:rsidR="009E11CA" w:rsidRPr="007E3E2F" w:rsidP="009E11CA" w14:paraId="6E2F35CE" w14:textId="243004EB">
      <w:pPr>
        <w:rPr>
          <w:rFonts w:ascii="Times New Roman" w:hAnsi="Times New Roman" w:cs="Times New Roman"/>
        </w:rPr>
      </w:pPr>
    </w:p>
    <w:p w:rsidR="009E11CA" w:rsidRPr="007E3E2F" w:rsidP="009E11CA" w14:paraId="61396032" w14:textId="712C3A2C">
      <w:pPr>
        <w:rPr>
          <w:rFonts w:ascii="Times New Roman" w:hAnsi="Times New Roman" w:cs="Times New Roman"/>
        </w:rPr>
      </w:pPr>
    </w:p>
    <w:p w:rsidR="009E11CA" w:rsidRPr="007E3E2F" w:rsidP="009E11CA" w14:paraId="48C0AC49" w14:textId="229E4191">
      <w:pPr>
        <w:rPr>
          <w:rFonts w:ascii="Times New Roman" w:hAnsi="Times New Roman" w:cs="Times New Roman"/>
        </w:rPr>
      </w:pPr>
    </w:p>
    <w:p w:rsidR="009E11CA" w:rsidRPr="007E3E2F" w:rsidP="009E11CA" w14:paraId="2C46115F" w14:textId="17153E1C">
      <w:pPr>
        <w:rPr>
          <w:rFonts w:ascii="Times New Roman" w:hAnsi="Times New Roman" w:cs="Times New Roman"/>
          <w:color w:val="000000" w:themeColor="text1"/>
        </w:rPr>
      </w:pPr>
    </w:p>
    <w:p w:rsidR="009E11CA" w:rsidRPr="007E3E2F" w:rsidP="009E11CA" w14:paraId="24FC6E6C" w14:textId="0324EC32">
      <w:pPr>
        <w:ind w:firstLine="720"/>
        <w:rPr>
          <w:rFonts w:ascii="Times New Roman" w:hAnsi="Times New Roman" w:cs="Times New Roman"/>
        </w:rPr>
      </w:pPr>
    </w:p>
    <w:p w:rsidR="009E11CA" w:rsidRPr="007E3E2F" w:rsidP="009E11CA" w14:paraId="3A85EE2A" w14:textId="3F0E9D59">
      <w:pPr>
        <w:ind w:firstLine="720"/>
        <w:rPr>
          <w:rFonts w:ascii="Times New Roman" w:hAnsi="Times New Roman" w:cs="Times New Roman"/>
        </w:rPr>
      </w:pPr>
    </w:p>
    <w:sectPr w:rsidSect="007E3E2F">
      <w:footerReference w:type="even" r:id="rId14"/>
      <w:footerReference w:type="default" r:id="rId1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324546829"/>
      <w:docPartObj>
        <w:docPartGallery w:val="Page Numbers (Bottom of Page)"/>
        <w:docPartUnique/>
      </w:docPartObj>
    </w:sdtPr>
    <w:sdtEndPr>
      <w:rPr>
        <w:rStyle w:val="PageNumber"/>
      </w:rPr>
    </w:sdtEndPr>
    <w:sdtContent>
      <w:p w:rsidR="00756023" w:rsidP="00000185" w14:paraId="4EAEA46C" w14:textId="266914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56023" w14:paraId="678E06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666323427"/>
      <w:docPartObj>
        <w:docPartGallery w:val="Page Numbers (Bottom of Page)"/>
        <w:docPartUnique/>
      </w:docPartObj>
    </w:sdtPr>
    <w:sdtEndPr>
      <w:rPr>
        <w:rStyle w:val="PageNumber"/>
      </w:rPr>
    </w:sdtEndPr>
    <w:sdtContent>
      <w:p w:rsidR="00756023" w:rsidP="00000185" w14:paraId="41DC1AF3" w14:textId="08DDBF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756023" w:rsidRPr="006202CB" w:rsidP="00410F78" w14:paraId="20AEC7A9" w14:textId="77777777">
    <w:pPr>
      <w:pStyle w:val="Footer"/>
      <w:tabs>
        <w:tab w:val="center" w:pos="4320"/>
        <w:tab w:val="left" w:pos="4782"/>
      </w:tabs>
      <w:rPr>
        <w:szCs w:val="24"/>
      </w:rPr>
    </w:pPr>
    <w:r>
      <w:tab/>
    </w:r>
    <w:r>
      <w:rPr>
        <w:noProof/>
        <w:szCs w:val="24"/>
      </w:rPr>
      <w:tab/>
    </w:r>
    <w:r>
      <w:rPr>
        <w:noProof/>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5538" w:rsidP="00756023" w14:paraId="0BCB533D" w14:textId="77777777">
      <w:r>
        <w:separator/>
      </w:r>
    </w:p>
  </w:footnote>
  <w:footnote w:type="continuationSeparator" w:id="1">
    <w:p w:rsidR="00F45538" w:rsidP="00756023" w14:paraId="7BE0E545" w14:textId="77777777">
      <w:r>
        <w:continuationSeparator/>
      </w:r>
    </w:p>
  </w:footnote>
  <w:footnote w:id="2">
    <w:p w:rsidR="00756023" w:rsidRPr="00232CB7" w:rsidP="00EE62B3" w14:paraId="4DEC224F" w14:textId="77777777">
      <w:pPr>
        <w:pStyle w:val="FootnoteText"/>
        <w:spacing w:after="120"/>
      </w:pPr>
      <w:r w:rsidRPr="00232CB7">
        <w:rPr>
          <w:rStyle w:val="FootnoteReference"/>
        </w:rPr>
        <w:footnoteRef/>
      </w:r>
      <w:r w:rsidRPr="00232CB7">
        <w:t xml:space="preserve"> </w:t>
      </w:r>
      <w:r w:rsidRPr="00C300D7">
        <w:rPr>
          <w:i/>
          <w:iCs/>
        </w:rPr>
        <w:t>See, e.g</w:t>
      </w:r>
      <w:r w:rsidRPr="00232CB7">
        <w:t xml:space="preserve">., AEP Ohio The Wire, “Columbus Area Power Outages + FAQs;” </w:t>
      </w:r>
      <w:hyperlink r:id="rId1" w:history="1">
        <w:r w:rsidRPr="00451919">
          <w:rPr>
            <w:rStyle w:val="Hyperlink"/>
          </w:rPr>
          <w:t>https://www.aepohiowire.com/columbus-area-power-outages-faqs/</w:t>
        </w:r>
      </w:hyperlink>
      <w:r>
        <w:t>.</w:t>
      </w:r>
      <w:r w:rsidRPr="00232CB7">
        <w:t xml:space="preserve"> </w:t>
      </w:r>
    </w:p>
  </w:footnote>
  <w:footnote w:id="3">
    <w:p w:rsidR="00756023" w:rsidRPr="00CB6723" w:rsidP="00EE62B3" w14:paraId="3CBBB371" w14:textId="3465F220">
      <w:pPr>
        <w:pStyle w:val="FootnoteText"/>
        <w:spacing w:after="120"/>
      </w:pPr>
      <w:r>
        <w:rPr>
          <w:rStyle w:val="FootnoteReference"/>
        </w:rPr>
        <w:footnoteRef/>
      </w:r>
      <w:r>
        <w:t xml:space="preserve"> </w:t>
      </w:r>
      <w:r>
        <w:rPr>
          <w:i/>
          <w:iCs/>
        </w:rPr>
        <w:t xml:space="preserve">See </w:t>
      </w:r>
      <w:r w:rsidR="00757FA5">
        <w:t>Attachment to Motion to Compel.</w:t>
      </w:r>
      <w:r>
        <w:t xml:space="preserve"> </w:t>
      </w:r>
    </w:p>
  </w:footnote>
  <w:footnote w:id="4">
    <w:p w:rsidR="00756023" w:rsidP="00EE62B3" w14:paraId="07DFC794" w14:textId="77777777">
      <w:pPr>
        <w:pStyle w:val="FootnoteText"/>
        <w:spacing w:after="120"/>
      </w:pPr>
      <w:r>
        <w:rPr>
          <w:rStyle w:val="FootnoteReference"/>
        </w:rPr>
        <w:footnoteRef/>
      </w:r>
      <w:r>
        <w:t xml:space="preserve"> O.A.C. 4901-1-19(A); 4091-01-20(C). </w:t>
      </w:r>
    </w:p>
  </w:footnote>
  <w:footnote w:id="5">
    <w:p w:rsidR="00756023" w:rsidRPr="00756023" w:rsidP="00EE62B3" w14:paraId="055D80B4" w14:textId="363F003D">
      <w:pPr>
        <w:pStyle w:val="FootnoteText"/>
        <w:spacing w:after="120"/>
        <w:rPr>
          <w:color w:val="000000" w:themeColor="text1"/>
        </w:rPr>
      </w:pPr>
      <w:r w:rsidRPr="00756023">
        <w:rPr>
          <w:rStyle w:val="FootnoteReference"/>
          <w:color w:val="000000" w:themeColor="text1"/>
        </w:rPr>
        <w:footnoteRef/>
      </w:r>
      <w:r w:rsidRPr="00756023">
        <w:rPr>
          <w:color w:val="000000" w:themeColor="text1"/>
        </w:rPr>
        <w:t xml:space="preserve"> </w:t>
      </w:r>
      <w:r>
        <w:rPr>
          <w:color w:val="000000" w:themeColor="text1"/>
        </w:rPr>
        <w:t xml:space="preserve">AEP’s Memo Contra OCC’s Motion to Compel (“AEP Memo Contra”) (October 17, 2022) at 3. </w:t>
      </w:r>
    </w:p>
  </w:footnote>
  <w:footnote w:id="6">
    <w:p w:rsidR="00756023" w:rsidP="00EE62B3" w14:paraId="732F95B7" w14:textId="5AF24A36">
      <w:pPr>
        <w:pStyle w:val="FootnoteText"/>
        <w:spacing w:after="120"/>
      </w:pPr>
      <w:r w:rsidRPr="00756023">
        <w:rPr>
          <w:rStyle w:val="FootnoteReference"/>
          <w:color w:val="000000" w:themeColor="text1"/>
        </w:rPr>
        <w:footnoteRef/>
      </w:r>
      <w:r w:rsidRPr="00756023">
        <w:rPr>
          <w:color w:val="000000" w:themeColor="text1"/>
        </w:rPr>
        <w:t xml:space="preserve"> </w:t>
      </w:r>
      <w:r w:rsidRPr="00756023">
        <w:rPr>
          <w:i/>
          <w:iCs/>
          <w:color w:val="000000" w:themeColor="text1"/>
          <w:bdr w:val="none" w:sz="0" w:space="0" w:color="auto" w:frame="1"/>
        </w:rPr>
        <w:t>Ohio Pyro, Inc. v. Ohio Dept. of Commerce</w:t>
      </w:r>
      <w:r w:rsidRPr="00756023">
        <w:rPr>
          <w:color w:val="000000" w:themeColor="text1"/>
          <w:bdr w:val="none" w:sz="0" w:space="0" w:color="auto" w:frame="1"/>
        </w:rPr>
        <w:t>, 115 Ohio St.3d 375, 2007-Ohio-5024, 875 N.E.2d 550, ¶ 17.</w:t>
      </w:r>
    </w:p>
  </w:footnote>
  <w:footnote w:id="7">
    <w:p w:rsidR="00756023" w:rsidP="00EE62B3" w14:paraId="404DB898" w14:textId="0C121FAA">
      <w:pPr>
        <w:pStyle w:val="FootnoteText"/>
        <w:spacing w:after="120"/>
      </w:pPr>
      <w:r>
        <w:rPr>
          <w:rStyle w:val="FootnoteReference"/>
        </w:rPr>
        <w:footnoteRef/>
      </w:r>
      <w:r>
        <w:t xml:space="preserve"> AEP Memo Contra at 3. </w:t>
      </w:r>
    </w:p>
  </w:footnote>
  <w:footnote w:id="8">
    <w:p w:rsidR="00757FA5" w:rsidRPr="00757FA5" w:rsidP="00EE62B3" w14:paraId="07B89C95" w14:textId="1307D8E6">
      <w:pPr>
        <w:pStyle w:val="FootnoteText"/>
        <w:spacing w:after="120"/>
      </w:pPr>
      <w:r>
        <w:rPr>
          <w:rStyle w:val="FootnoteReference"/>
        </w:rPr>
        <w:footnoteRef/>
      </w:r>
      <w:r>
        <w:t xml:space="preserve"> </w:t>
      </w:r>
      <w:r>
        <w:rPr>
          <w:i/>
          <w:iCs/>
        </w:rPr>
        <w:t xml:space="preserve">See </w:t>
      </w:r>
      <w:r>
        <w:t xml:space="preserve">Attachment to </w:t>
      </w:r>
      <w:r w:rsidR="00EE62B3">
        <w:t>M</w:t>
      </w:r>
      <w:r>
        <w:t xml:space="preserve">otion to </w:t>
      </w:r>
      <w:r w:rsidR="00EE62B3">
        <w:t>C</w:t>
      </w:r>
      <w:r>
        <w:t>ompel.</w:t>
      </w:r>
    </w:p>
  </w:footnote>
  <w:footnote w:id="9">
    <w:p w:rsidR="00756023" w:rsidP="00EE62B3" w14:paraId="1F1B0CC3" w14:textId="137EAAC0">
      <w:pPr>
        <w:pStyle w:val="FootnoteText"/>
        <w:spacing w:after="120"/>
      </w:pPr>
      <w:r>
        <w:rPr>
          <w:rStyle w:val="FootnoteReference"/>
        </w:rPr>
        <w:footnoteRef/>
      </w:r>
      <w:r>
        <w:t xml:space="preserve"> AEP Memo Contra at 4. </w:t>
      </w:r>
    </w:p>
  </w:footnote>
  <w:footnote w:id="10">
    <w:p w:rsidR="00756023" w:rsidP="00EE62B3" w14:paraId="2C20F3D4" w14:textId="3A0CE3EB">
      <w:pPr>
        <w:pStyle w:val="FootnoteText"/>
        <w:spacing w:after="120"/>
      </w:pPr>
      <w:r>
        <w:rPr>
          <w:rStyle w:val="FootnoteReference"/>
        </w:rPr>
        <w:footnoteRef/>
      </w:r>
      <w:r>
        <w:t xml:space="preserve"> OCC’s Motion for the PUCO to Order an Investigation of the AEP-Ohio Service Outages (July 11, 2022) at 4. </w:t>
      </w:r>
    </w:p>
  </w:footnote>
  <w:footnote w:id="11">
    <w:p w:rsidR="00757FA5" w:rsidRPr="00757FA5" w:rsidP="00EE62B3" w14:paraId="7D188C98" w14:textId="5F943FE2">
      <w:pPr>
        <w:pStyle w:val="FootnoteText"/>
        <w:spacing w:after="120"/>
      </w:pPr>
      <w:r>
        <w:rPr>
          <w:rStyle w:val="FootnoteReference"/>
        </w:rPr>
        <w:footnoteRef/>
      </w:r>
      <w:r>
        <w:t xml:space="preserve"> </w:t>
      </w:r>
      <w:r>
        <w:rPr>
          <w:i/>
          <w:iCs/>
        </w:rPr>
        <w:t xml:space="preserve">See </w:t>
      </w:r>
      <w:r>
        <w:t xml:space="preserve">Attachment to </w:t>
      </w:r>
      <w:r w:rsidR="00B66AB2">
        <w:t>M</w:t>
      </w:r>
      <w:r>
        <w:t xml:space="preserve">otion to </w:t>
      </w:r>
      <w:r w:rsidR="00B66AB2">
        <w:t>C</w:t>
      </w:r>
      <w:r>
        <w:t>ompel.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24D5F"/>
    <w:multiLevelType w:val="hybridMultilevel"/>
    <w:tmpl w:val="C3F65C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6E535B"/>
    <w:multiLevelType w:val="hybridMultilevel"/>
    <w:tmpl w:val="CACEC6D2"/>
    <w:lvl w:ilvl="0">
      <w:start w:val="3"/>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A3595C"/>
    <w:multiLevelType w:val="hybridMultilevel"/>
    <w:tmpl w:val="5CDCBF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B5D2658"/>
    <w:multiLevelType w:val="hybridMultilevel"/>
    <w:tmpl w:val="9822D220"/>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23"/>
    <w:rsid w:val="00000185"/>
    <w:rsid w:val="00032844"/>
    <w:rsid w:val="000F52A6"/>
    <w:rsid w:val="001E217C"/>
    <w:rsid w:val="00232CB7"/>
    <w:rsid w:val="0024682C"/>
    <w:rsid w:val="002660C6"/>
    <w:rsid w:val="00291B61"/>
    <w:rsid w:val="003225B7"/>
    <w:rsid w:val="003A6844"/>
    <w:rsid w:val="003E4109"/>
    <w:rsid w:val="00410F78"/>
    <w:rsid w:val="00451919"/>
    <w:rsid w:val="004F55BB"/>
    <w:rsid w:val="00516C4A"/>
    <w:rsid w:val="00602104"/>
    <w:rsid w:val="006202CB"/>
    <w:rsid w:val="0069301D"/>
    <w:rsid w:val="006F727D"/>
    <w:rsid w:val="00756023"/>
    <w:rsid w:val="00757FA5"/>
    <w:rsid w:val="007905A6"/>
    <w:rsid w:val="007E3E2F"/>
    <w:rsid w:val="007F7E9D"/>
    <w:rsid w:val="00800E85"/>
    <w:rsid w:val="008D3CC1"/>
    <w:rsid w:val="009E11CA"/>
    <w:rsid w:val="00A06C40"/>
    <w:rsid w:val="00AA50C2"/>
    <w:rsid w:val="00B66AB2"/>
    <w:rsid w:val="00B8341D"/>
    <w:rsid w:val="00C300D7"/>
    <w:rsid w:val="00C829B3"/>
    <w:rsid w:val="00CB6723"/>
    <w:rsid w:val="00E3277B"/>
    <w:rsid w:val="00E95D57"/>
    <w:rsid w:val="00EE62B3"/>
    <w:rsid w:val="00F45538"/>
    <w:rsid w:val="00F6037E"/>
    <w:rsid w:val="00FD3AD6"/>
    <w:rsid w:val="00FF74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6023"/>
    <w:pPr>
      <w:keepNext/>
      <w:spacing w:after="240"/>
      <w:ind w:left="720" w:hanging="720"/>
      <w:outlineLvl w:val="0"/>
    </w:pPr>
    <w:rPr>
      <w:rFonts w:ascii="Times New Roman" w:eastAsia="Times New Roman" w:hAnsi="Times New Roman" w:cs="Times New Roman"/>
      <w:b/>
    </w:rPr>
  </w:style>
  <w:style w:type="paragraph" w:styleId="Heading2">
    <w:name w:val="heading 2"/>
    <w:basedOn w:val="ListParagraph"/>
    <w:next w:val="Normal"/>
    <w:link w:val="Heading2Char"/>
    <w:uiPriority w:val="9"/>
    <w:unhideWhenUsed/>
    <w:qFormat/>
    <w:rsid w:val="000F52A6"/>
    <w:pPr>
      <w:numPr>
        <w:numId w:val="1"/>
      </w:numPr>
      <w:spacing w:after="240"/>
      <w:ind w:left="1440" w:hanging="720"/>
      <w:outlineLvl w:val="1"/>
    </w:pPr>
    <w:rPr>
      <w:rFonts w:ascii="Times New Roman" w:hAnsi="Times New Roman" w:cs="Times New Roman"/>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23"/>
    <w:pPr>
      <w:ind w:left="720"/>
      <w:contextualSpacing/>
    </w:pPr>
  </w:style>
  <w:style w:type="paragraph" w:styleId="NormalWeb">
    <w:name w:val="Normal (Web)"/>
    <w:basedOn w:val="Normal"/>
    <w:uiPriority w:val="99"/>
    <w:unhideWhenUsed/>
    <w:rsid w:val="00756023"/>
    <w:pPr>
      <w:spacing w:before="100" w:beforeAutospacing="1" w:after="100" w:afterAutospacing="1"/>
    </w:pPr>
    <w:rPr>
      <w:rFonts w:ascii="Times New Roman" w:eastAsia="Times New Roman" w:hAnsi="Times New Roman" w:cs="Times New Roman"/>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56023"/>
    <w:rPr>
      <w:rFonts w:ascii="Times New Roman" w:eastAsia="Times New Roman" w:hAnsi="Times New Roman" w:cs="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56023"/>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756023"/>
    <w:rPr>
      <w:vertAlign w:val="superscript"/>
    </w:rPr>
  </w:style>
  <w:style w:type="character" w:styleId="Hyperlink">
    <w:name w:val="Hyperlink"/>
    <w:uiPriority w:val="99"/>
    <w:unhideWhenUsed/>
    <w:rsid w:val="00756023"/>
    <w:rPr>
      <w:color w:val="0000FF"/>
      <w:u w:val="single"/>
    </w:rPr>
  </w:style>
  <w:style w:type="paragraph" w:styleId="HTMLPreformatted">
    <w:name w:val="HTML Preformatted"/>
    <w:basedOn w:val="Normal"/>
    <w:link w:val="HTMLPreformattedChar"/>
    <w:rsid w:val="00756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56023"/>
    <w:rPr>
      <w:rFonts w:ascii="Courier New" w:eastAsia="Courier New" w:hAnsi="Courier New" w:cs="Courier New"/>
      <w:sz w:val="20"/>
      <w:szCs w:val="20"/>
    </w:rPr>
  </w:style>
  <w:style w:type="character" w:customStyle="1" w:styleId="Heading1Char">
    <w:name w:val="Heading 1 Char"/>
    <w:basedOn w:val="DefaultParagraphFont"/>
    <w:link w:val="Heading1"/>
    <w:rsid w:val="00756023"/>
    <w:rPr>
      <w:rFonts w:ascii="Times New Roman" w:eastAsia="Times New Roman" w:hAnsi="Times New Roman" w:cs="Times New Roman"/>
      <w:b/>
    </w:rPr>
  </w:style>
  <w:style w:type="paragraph" w:styleId="BodyTextIndent3">
    <w:name w:val="Body Text Indent 3"/>
    <w:basedOn w:val="Normal"/>
    <w:link w:val="BodyTextIndent3Char"/>
    <w:rsid w:val="00756023"/>
    <w:pPr>
      <w:spacing w:line="480" w:lineRule="atLeast"/>
      <w:ind w:firstLine="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756023"/>
    <w:rPr>
      <w:rFonts w:ascii="Times New Roman" w:eastAsia="Times New Roman" w:hAnsi="Times New Roman" w:cs="Times New Roman"/>
      <w:szCs w:val="20"/>
    </w:rPr>
  </w:style>
  <w:style w:type="paragraph" w:styleId="Footer">
    <w:name w:val="footer"/>
    <w:basedOn w:val="Normal"/>
    <w:link w:val="FooterChar"/>
    <w:uiPriority w:val="99"/>
    <w:unhideWhenUsed/>
    <w:rsid w:val="00756023"/>
    <w:pPr>
      <w:tabs>
        <w:tab w:val="center" w:pos="4680"/>
        <w:tab w:val="right" w:pos="936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56023"/>
    <w:rPr>
      <w:rFonts w:ascii="Times New Roman" w:eastAsia="Times New Roman" w:hAnsi="Times New Roman" w:cs="Times New Roman"/>
      <w:szCs w:val="20"/>
    </w:rPr>
  </w:style>
  <w:style w:type="paragraph" w:styleId="CommentText">
    <w:name w:val="annotation text"/>
    <w:basedOn w:val="Normal"/>
    <w:link w:val="CommentTextChar"/>
    <w:unhideWhenUsed/>
    <w:rsid w:val="0075602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560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56023"/>
    <w:rPr>
      <w:b/>
      <w:bCs/>
    </w:rPr>
  </w:style>
  <w:style w:type="character" w:customStyle="1" w:styleId="CommentSubjectChar">
    <w:name w:val="Comment Subject Char"/>
    <w:basedOn w:val="CommentTextChar"/>
    <w:link w:val="CommentSubject"/>
    <w:semiHidden/>
    <w:rsid w:val="00756023"/>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756023"/>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75602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56023"/>
  </w:style>
  <w:style w:type="paragraph" w:styleId="Header">
    <w:name w:val="header"/>
    <w:basedOn w:val="Normal"/>
    <w:link w:val="HeaderChar"/>
    <w:uiPriority w:val="99"/>
    <w:unhideWhenUsed/>
    <w:rsid w:val="00756023"/>
    <w:pPr>
      <w:tabs>
        <w:tab w:val="center" w:pos="4680"/>
        <w:tab w:val="right" w:pos="9360"/>
      </w:tabs>
    </w:pPr>
  </w:style>
  <w:style w:type="character" w:customStyle="1" w:styleId="HeaderChar">
    <w:name w:val="Header Char"/>
    <w:basedOn w:val="DefaultParagraphFont"/>
    <w:link w:val="Header"/>
    <w:uiPriority w:val="99"/>
    <w:rsid w:val="00756023"/>
  </w:style>
  <w:style w:type="character" w:customStyle="1" w:styleId="apple-converted-space">
    <w:name w:val="apple-converted-space"/>
    <w:basedOn w:val="DefaultParagraphFont"/>
    <w:rsid w:val="00756023"/>
  </w:style>
  <w:style w:type="character" w:customStyle="1" w:styleId="sssh">
    <w:name w:val="ss_sh"/>
    <w:basedOn w:val="DefaultParagraphFont"/>
    <w:rsid w:val="00756023"/>
  </w:style>
  <w:style w:type="character" w:customStyle="1" w:styleId="Heading2Char">
    <w:name w:val="Heading 2 Char"/>
    <w:basedOn w:val="DefaultParagraphFont"/>
    <w:link w:val="Heading2"/>
    <w:uiPriority w:val="9"/>
    <w:rsid w:val="000F52A6"/>
    <w:rPr>
      <w:rFonts w:ascii="Times New Roman" w:hAnsi="Times New Roman" w:cs="Times New Roman"/>
      <w:b/>
      <w:bCs/>
      <w:color w:val="000000" w:themeColor="text1"/>
    </w:rPr>
  </w:style>
  <w:style w:type="table" w:styleId="TableGrid">
    <w:name w:val="Table Grid"/>
    <w:basedOn w:val="TableNormal"/>
    <w:rsid w:val="009E11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arah.parrot@puco.ohio.gov" TargetMode="External" /><Relationship Id="rId11" Type="http://schemas.openxmlformats.org/officeDocument/2006/relationships/hyperlink" Target="mailto:greta.see@puco.ohio.gov" TargetMode="External" /><Relationship Id="rId12" Type="http://schemas.openxmlformats.org/officeDocument/2006/relationships/hyperlink" Target="mailto:stnourse@aep.com" TargetMode="External" /><Relationship Id="rId13" Type="http://schemas.openxmlformats.org/officeDocument/2006/relationships/hyperlink" Target="mailto:mjschuler@aep.com"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hyperlink" Target="mailto:thomas.lindgren@ohioago.gov" TargetMode="External" /><Relationship Id="rId9" Type="http://schemas.openxmlformats.org/officeDocument/2006/relationships/hyperlink" Target="mailto:sjagers@ohiopovertylaw.org"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aepohiowire.com/columbus-area-power-outages-faq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1B2A-2779-D247-A379-ADCA9E4A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2022-10-24T19:07:11Z</dcterms:created>
  <dcterms:modified xsi:type="dcterms:W3CDTF">2022-10-24T19:07:11Z</dcterms:modified>
</cp:coreProperties>
</file>