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1D53C7" w:rsidRPr="00C86CE3" w:rsidP="001D53C7" w14:paraId="4F22F2DB" w14:textId="77777777">
      <w:pPr>
        <w:widowControl/>
        <w:tabs>
          <w:tab w:val="left" w:pos="0"/>
          <w:tab w:val="left" w:pos="720"/>
        </w:tabs>
        <w:overflowPunct/>
        <w:adjustRightInd/>
        <w:jc w:val="center"/>
        <w:rPr>
          <w:b/>
          <w:kern w:val="0"/>
        </w:rPr>
      </w:pPr>
      <w:r w:rsidRPr="00C86CE3">
        <w:rPr>
          <w:b/>
          <w:kern w:val="0"/>
        </w:rPr>
        <w:t>BEFORE</w:t>
      </w:r>
    </w:p>
    <w:p w:rsidR="001D53C7" w:rsidRPr="00C86CE3" w:rsidP="00894DD1" w14:paraId="4F0286B5" w14:textId="3B4A2EF2">
      <w:pPr>
        <w:widowControl/>
        <w:tabs>
          <w:tab w:val="left" w:pos="0"/>
          <w:tab w:val="left" w:pos="720"/>
        </w:tabs>
        <w:overflowPunct/>
        <w:adjustRightInd/>
        <w:jc w:val="center"/>
        <w:rPr>
          <w:b/>
          <w:kern w:val="0"/>
        </w:rPr>
      </w:pPr>
      <w:r w:rsidRPr="00C86CE3">
        <w:rPr>
          <w:b/>
          <w:kern w:val="0"/>
        </w:rPr>
        <w:t>THE PUBLIC UTILITIES COMMISSION OF OHIO</w:t>
      </w:r>
    </w:p>
    <w:p w:rsidR="00894DD1" w:rsidRPr="00C86CE3" w:rsidP="00894DD1" w14:paraId="44B50FDF" w14:textId="77777777">
      <w:pPr>
        <w:widowControl/>
        <w:tabs>
          <w:tab w:val="left" w:pos="0"/>
          <w:tab w:val="left" w:pos="720"/>
        </w:tabs>
        <w:overflowPunct/>
        <w:adjustRightInd/>
        <w:jc w:val="center"/>
        <w:rPr>
          <w:b/>
          <w:kern w:val="0"/>
        </w:rPr>
      </w:pPr>
    </w:p>
    <w:tbl>
      <w:tblPr>
        <w:tblW w:w="9092" w:type="dxa"/>
        <w:tblInd w:w="0" w:type="dxa"/>
        <w:tblCellMar>
          <w:top w:w="0" w:type="dxa"/>
          <w:left w:w="108" w:type="dxa"/>
          <w:bottom w:w="0" w:type="dxa"/>
          <w:right w:w="108" w:type="dxa"/>
        </w:tblCellMar>
        <w:tblLook w:val="01E0"/>
      </w:tblPr>
      <w:tblGrid>
        <w:gridCol w:w="4332"/>
        <w:gridCol w:w="528"/>
        <w:gridCol w:w="4232"/>
      </w:tblGrid>
      <w:tr w14:paraId="7DC35AEF" w14:textId="77777777" w:rsidTr="00BE05DA">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894DD1" w:rsidRPr="00C86CE3" w:rsidP="00BE05DA" w14:paraId="748C1489" w14:textId="2FBB8F69">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rPr>
                <w:rFonts w:ascii="Times New Roman" w:eastAsia="Courier New" w:hAnsi="Times New Roman" w:cs="Times New Roman"/>
                <w:kern w:val="0"/>
                <w:sz w:val="24"/>
                <w:szCs w:val="24"/>
                <w:lang w:val="en-US" w:eastAsia="en-US" w:bidi="ar-SA"/>
              </w:rPr>
            </w:pPr>
            <w:r w:rsidRPr="00C86CE3">
              <w:rPr>
                <w:rFonts w:ascii="Times New Roman" w:eastAsia="Courier New" w:hAnsi="Times New Roman" w:cs="Times New Roman"/>
                <w:kern w:val="0"/>
                <w:sz w:val="24"/>
                <w:szCs w:val="24"/>
                <w:lang w:val="en-US" w:eastAsia="en-US" w:bidi="ar-SA"/>
              </w:rPr>
              <w:t xml:space="preserve">In the Matter of the Review of the Non-Market-Based Services Rider Contained in the Tariffs of Ohio Edison Company, </w:t>
            </w:r>
            <w:r w:rsidR="007338D1">
              <w:rPr>
                <w:rFonts w:ascii="Times New Roman" w:eastAsia="Courier New" w:hAnsi="Times New Roman" w:cs="Times New Roman"/>
                <w:kern w:val="0"/>
                <w:sz w:val="24"/>
                <w:szCs w:val="24"/>
                <w:lang w:val="en-US" w:eastAsia="en-US" w:bidi="ar-SA"/>
              </w:rPr>
              <w:t>T</w:t>
            </w:r>
            <w:r w:rsidRPr="00C86CE3">
              <w:rPr>
                <w:rFonts w:ascii="Times New Roman" w:eastAsia="Courier New" w:hAnsi="Times New Roman" w:cs="Times New Roman"/>
                <w:kern w:val="0"/>
                <w:sz w:val="24"/>
                <w:szCs w:val="24"/>
                <w:lang w:val="en-US" w:eastAsia="en-US" w:bidi="ar-SA"/>
              </w:rPr>
              <w:t xml:space="preserve">he Cleveland Electric Illuminating Company and </w:t>
            </w:r>
            <w:r w:rsidR="007338D1">
              <w:rPr>
                <w:rFonts w:ascii="Times New Roman" w:eastAsia="Courier New" w:hAnsi="Times New Roman" w:cs="Times New Roman"/>
                <w:kern w:val="0"/>
                <w:sz w:val="24"/>
                <w:szCs w:val="24"/>
                <w:lang w:val="en-US" w:eastAsia="en-US" w:bidi="ar-SA"/>
              </w:rPr>
              <w:t>T</w:t>
            </w:r>
            <w:r w:rsidRPr="00C86CE3">
              <w:rPr>
                <w:rFonts w:ascii="Times New Roman" w:eastAsia="Courier New" w:hAnsi="Times New Roman" w:cs="Times New Roman"/>
                <w:kern w:val="0"/>
                <w:sz w:val="24"/>
                <w:szCs w:val="24"/>
                <w:lang w:val="en-US" w:eastAsia="en-US" w:bidi="ar-SA"/>
              </w:rPr>
              <w:t>he Toledo Edison Company.</w:t>
            </w:r>
          </w:p>
        </w:tc>
        <w:tc>
          <w:tcPr>
            <w:tcW w:w="528" w:type="dxa"/>
            <w:shd w:val="clear" w:color="auto" w:fill="auto"/>
          </w:tcPr>
          <w:p w:rsidR="00894DD1" w:rsidRPr="00C86CE3" w:rsidP="00BE05DA" w14:paraId="3CFCB4F8"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rPr>
                <w:rFonts w:ascii="Times New Roman" w:eastAsia="Courier New" w:hAnsi="Times New Roman" w:cs="Times New Roman"/>
                <w:kern w:val="0"/>
                <w:sz w:val="24"/>
                <w:szCs w:val="24"/>
                <w:lang w:val="en-US" w:eastAsia="en-US" w:bidi="ar-SA"/>
              </w:rPr>
            </w:pPr>
            <w:r w:rsidRPr="00C86CE3">
              <w:rPr>
                <w:rFonts w:ascii="Times New Roman" w:eastAsia="Courier New" w:hAnsi="Times New Roman" w:cs="Times New Roman"/>
                <w:kern w:val="0"/>
                <w:sz w:val="24"/>
                <w:szCs w:val="24"/>
                <w:lang w:val="en-US" w:eastAsia="en-US" w:bidi="ar-SA"/>
              </w:rPr>
              <w:t>)</w:t>
            </w:r>
          </w:p>
          <w:p w:rsidR="00894DD1" w:rsidRPr="00C86CE3" w:rsidP="00BE05DA" w14:paraId="45B768D5"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rPr>
                <w:rFonts w:ascii="Times New Roman" w:eastAsia="Courier New" w:hAnsi="Times New Roman" w:cs="Times New Roman"/>
                <w:kern w:val="0"/>
                <w:sz w:val="24"/>
                <w:szCs w:val="24"/>
                <w:lang w:val="en-US" w:eastAsia="en-US" w:bidi="ar-SA"/>
              </w:rPr>
            </w:pPr>
            <w:r w:rsidRPr="00C86CE3">
              <w:rPr>
                <w:rFonts w:ascii="Times New Roman" w:eastAsia="Courier New" w:hAnsi="Times New Roman" w:cs="Times New Roman"/>
                <w:kern w:val="0"/>
                <w:sz w:val="24"/>
                <w:szCs w:val="24"/>
                <w:lang w:val="en-US" w:eastAsia="en-US" w:bidi="ar-SA"/>
              </w:rPr>
              <w:t>)</w:t>
            </w:r>
          </w:p>
          <w:p w:rsidR="00894DD1" w:rsidRPr="00C86CE3" w:rsidP="00BE05DA" w14:paraId="283D8BF2"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rPr>
                <w:rFonts w:ascii="Times New Roman" w:eastAsia="Courier New" w:hAnsi="Times New Roman" w:cs="Times New Roman"/>
                <w:kern w:val="0"/>
                <w:sz w:val="24"/>
                <w:szCs w:val="24"/>
                <w:lang w:val="en-US" w:eastAsia="en-US" w:bidi="ar-SA"/>
              </w:rPr>
            </w:pPr>
            <w:r w:rsidRPr="00C86CE3">
              <w:rPr>
                <w:rFonts w:ascii="Times New Roman" w:eastAsia="Courier New" w:hAnsi="Times New Roman" w:cs="Times New Roman"/>
                <w:kern w:val="0"/>
                <w:sz w:val="24"/>
                <w:szCs w:val="24"/>
                <w:lang w:val="en-US" w:eastAsia="en-US" w:bidi="ar-SA"/>
              </w:rPr>
              <w:t>)</w:t>
            </w:r>
          </w:p>
          <w:p w:rsidR="00894DD1" w:rsidRPr="00C86CE3" w:rsidP="00BE05DA" w14:paraId="5C2E9136"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rPr>
                <w:rFonts w:ascii="Times New Roman" w:eastAsia="Courier New" w:hAnsi="Times New Roman" w:cs="Times New Roman"/>
                <w:kern w:val="0"/>
                <w:sz w:val="24"/>
                <w:szCs w:val="24"/>
                <w:lang w:val="en-US" w:eastAsia="en-US" w:bidi="ar-SA"/>
              </w:rPr>
            </w:pPr>
            <w:r w:rsidRPr="00C86CE3">
              <w:rPr>
                <w:rFonts w:ascii="Times New Roman" w:eastAsia="Courier New" w:hAnsi="Times New Roman" w:cs="Times New Roman"/>
                <w:kern w:val="0"/>
                <w:sz w:val="24"/>
                <w:szCs w:val="24"/>
                <w:lang w:val="en-US" w:eastAsia="en-US" w:bidi="ar-SA"/>
              </w:rPr>
              <w:t>)</w:t>
            </w:r>
          </w:p>
          <w:p w:rsidR="00894DD1" w:rsidRPr="00C86CE3" w:rsidP="00BE05DA" w14:paraId="0185BDB5"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rPr>
                <w:rFonts w:ascii="Times New Roman" w:eastAsia="Courier New" w:hAnsi="Times New Roman" w:cs="Times New Roman"/>
                <w:kern w:val="0"/>
                <w:sz w:val="24"/>
                <w:szCs w:val="24"/>
                <w:lang w:val="en-US" w:eastAsia="en-US" w:bidi="ar-SA"/>
              </w:rPr>
            </w:pPr>
            <w:r w:rsidRPr="00C86CE3">
              <w:rPr>
                <w:rFonts w:ascii="Times New Roman" w:eastAsia="Courier New" w:hAnsi="Times New Roman" w:cs="Times New Roman"/>
                <w:kern w:val="0"/>
                <w:sz w:val="24"/>
                <w:szCs w:val="24"/>
                <w:lang w:val="en-US" w:eastAsia="en-US" w:bidi="ar-SA"/>
              </w:rPr>
              <w:t>)</w:t>
            </w:r>
          </w:p>
          <w:p w:rsidR="00894DD1" w:rsidRPr="00C86CE3" w:rsidP="00BE05DA" w14:paraId="02CB6A40"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rPr>
                <w:rFonts w:ascii="Times New Roman" w:eastAsia="Courier New" w:hAnsi="Times New Roman" w:cs="Times New Roman"/>
                <w:kern w:val="0"/>
                <w:sz w:val="24"/>
                <w:szCs w:val="24"/>
                <w:lang w:val="en-US" w:eastAsia="en-US" w:bidi="ar-SA"/>
              </w:rPr>
            </w:pPr>
            <w:r w:rsidRPr="00C86CE3">
              <w:rPr>
                <w:rFonts w:ascii="Times New Roman" w:eastAsia="Courier New" w:hAnsi="Times New Roman" w:cs="Times New Roman"/>
                <w:kern w:val="0"/>
                <w:sz w:val="24"/>
                <w:szCs w:val="24"/>
                <w:lang w:val="en-US" w:eastAsia="en-US" w:bidi="ar-SA"/>
              </w:rPr>
              <w:t>)</w:t>
            </w:r>
          </w:p>
          <w:p w:rsidR="00894DD1" w:rsidRPr="00C86CE3" w:rsidP="00BE05DA" w14:paraId="50B7D425"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rPr>
                <w:rFonts w:ascii="Times New Roman" w:eastAsia="Courier New" w:hAnsi="Times New Roman" w:cs="Times New Roman"/>
                <w:kern w:val="0"/>
                <w:sz w:val="24"/>
                <w:szCs w:val="24"/>
                <w:lang w:val="en-US" w:eastAsia="en-US" w:bidi="ar-SA"/>
              </w:rPr>
            </w:pPr>
          </w:p>
        </w:tc>
        <w:tc>
          <w:tcPr>
            <w:tcW w:w="4232" w:type="dxa"/>
            <w:shd w:val="clear" w:color="auto" w:fill="auto"/>
          </w:tcPr>
          <w:p w:rsidR="00894DD1" w:rsidRPr="00C86CE3" w:rsidP="00BE05DA" w14:paraId="37526BF0"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rPr>
                <w:rFonts w:ascii="Times New Roman" w:eastAsia="Courier New" w:hAnsi="Times New Roman" w:cs="Times New Roman"/>
                <w:kern w:val="0"/>
                <w:sz w:val="24"/>
                <w:szCs w:val="24"/>
                <w:lang w:val="en-US" w:eastAsia="en-US" w:bidi="ar-SA"/>
              </w:rPr>
            </w:pPr>
          </w:p>
          <w:p w:rsidR="00894DD1" w:rsidRPr="00C86CE3" w:rsidP="00BE05DA" w14:paraId="7003B545"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rPr>
                <w:rFonts w:ascii="Times New Roman" w:eastAsia="Courier New" w:hAnsi="Times New Roman" w:cs="Times New Roman"/>
                <w:kern w:val="0"/>
                <w:sz w:val="24"/>
                <w:szCs w:val="24"/>
                <w:lang w:val="en-US" w:eastAsia="en-US" w:bidi="ar-SA"/>
              </w:rPr>
            </w:pPr>
          </w:p>
          <w:p w:rsidR="00894DD1" w:rsidRPr="00C86CE3" w:rsidP="00BE05DA" w14:paraId="594E0529"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rPr>
                <w:rFonts w:ascii="Times New Roman" w:eastAsia="Courier New" w:hAnsi="Times New Roman" w:cs="Times New Roman"/>
                <w:kern w:val="0"/>
                <w:sz w:val="24"/>
                <w:szCs w:val="24"/>
                <w:lang w:val="en-US" w:eastAsia="en-US" w:bidi="ar-SA"/>
              </w:rPr>
            </w:pPr>
            <w:r w:rsidRPr="00C86CE3">
              <w:rPr>
                <w:rFonts w:ascii="Times New Roman" w:eastAsia="Courier New" w:hAnsi="Times New Roman" w:cs="Times New Roman"/>
                <w:kern w:val="0"/>
                <w:sz w:val="24"/>
                <w:szCs w:val="24"/>
                <w:lang w:val="en-US" w:eastAsia="en-US" w:bidi="ar-SA"/>
              </w:rPr>
              <w:t>Case No. 24-22-EL-RDR</w:t>
            </w:r>
          </w:p>
          <w:p w:rsidR="00894DD1" w:rsidRPr="00C86CE3" w:rsidP="00BE05DA" w14:paraId="2128E1B8"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rPr>
                <w:rFonts w:ascii="Times New Roman" w:eastAsia="Courier New" w:hAnsi="Times New Roman" w:cs="Times New Roman"/>
                <w:kern w:val="0"/>
                <w:sz w:val="24"/>
                <w:szCs w:val="24"/>
                <w:lang w:val="en-US" w:eastAsia="en-US" w:bidi="ar-SA"/>
              </w:rPr>
            </w:pPr>
          </w:p>
          <w:p w:rsidR="00894DD1" w:rsidRPr="00C86CE3" w:rsidP="00BE05DA" w14:paraId="386811EE"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rPr>
                <w:rFonts w:ascii="Times New Roman" w:eastAsia="Courier New" w:hAnsi="Times New Roman" w:cs="Times New Roman"/>
                <w:kern w:val="0"/>
                <w:sz w:val="24"/>
                <w:szCs w:val="24"/>
                <w:lang w:val="en-US" w:eastAsia="en-US" w:bidi="ar-SA"/>
              </w:rPr>
            </w:pPr>
          </w:p>
          <w:p w:rsidR="00894DD1" w:rsidRPr="00C86CE3" w:rsidP="00BE05DA" w14:paraId="0B84B93F"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rPr>
                <w:rFonts w:ascii="Times New Roman" w:eastAsia="Courier New" w:hAnsi="Times New Roman" w:cs="Times New Roman"/>
                <w:kern w:val="0"/>
                <w:sz w:val="24"/>
                <w:szCs w:val="24"/>
                <w:lang w:val="en-US" w:eastAsia="en-US" w:bidi="ar-SA"/>
              </w:rPr>
            </w:pPr>
          </w:p>
        </w:tc>
      </w:tr>
    </w:tbl>
    <w:p w:rsidR="00894DD1" w:rsidRPr="00C86CE3" w:rsidP="00894DD1" w14:paraId="4B84F63E" w14:textId="77777777">
      <w:pPr>
        <w:pStyle w:val="HTMLPreformatted"/>
        <w:pBdr>
          <w:top w:val="single" w:sz="12" w:space="1" w:color="auto"/>
        </w:pBdr>
        <w:rPr>
          <w:rFonts w:ascii="Times New Roman" w:hAnsi="Times New Roman" w:cs="Times New Roman"/>
          <w:sz w:val="24"/>
          <w:szCs w:val="24"/>
        </w:rPr>
      </w:pPr>
    </w:p>
    <w:p w:rsidR="00894DD1" w:rsidRPr="00C86CE3" w:rsidP="00894DD1" w14:paraId="09AE4F86" w14:textId="77777777">
      <w:pPr>
        <w:jc w:val="center"/>
        <w:rPr>
          <w:b/>
          <w:bCs/>
          <w:kern w:val="0"/>
        </w:rPr>
      </w:pPr>
      <w:r w:rsidRPr="00C86CE3">
        <w:rPr>
          <w:b/>
          <w:bCs/>
          <w:kern w:val="0"/>
        </w:rPr>
        <w:t xml:space="preserve">MOTION FOR FIRSTENERGY TO COLLECT </w:t>
      </w:r>
      <w:r w:rsidRPr="00C86CE3">
        <w:rPr>
          <w:b/>
          <w:bCs/>
          <w:caps/>
          <w:kern w:val="0"/>
        </w:rPr>
        <w:t>Rider nmb</w:t>
      </w:r>
      <w:r w:rsidRPr="00C86CE3">
        <w:rPr>
          <w:b/>
          <w:bCs/>
          <w:kern w:val="0"/>
        </w:rPr>
        <w:t xml:space="preserve"> SUBJECT TO REFUND </w:t>
      </w:r>
    </w:p>
    <w:p w:rsidR="00894DD1" w:rsidRPr="00C86CE3" w:rsidP="00894DD1" w14:paraId="39252B1B" w14:textId="77777777">
      <w:pPr>
        <w:jc w:val="center"/>
        <w:rPr>
          <w:b/>
          <w:bCs/>
          <w:kern w:val="0"/>
        </w:rPr>
      </w:pPr>
      <w:r w:rsidRPr="00C86CE3">
        <w:rPr>
          <w:b/>
          <w:bCs/>
          <w:kern w:val="0"/>
        </w:rPr>
        <w:t>BY</w:t>
      </w:r>
    </w:p>
    <w:p w:rsidR="00894DD1" w:rsidRPr="00C86CE3" w:rsidP="00894DD1" w14:paraId="61F3841F" w14:textId="12A3EF5E">
      <w:pPr>
        <w:jc w:val="center"/>
        <w:rPr>
          <w:b/>
          <w:bCs/>
          <w:kern w:val="0"/>
        </w:rPr>
      </w:pPr>
      <w:r w:rsidRPr="00C86CE3">
        <w:rPr>
          <w:b/>
          <w:bCs/>
          <w:kern w:val="0"/>
        </w:rPr>
        <w:t>OFFICE OF THE OHIO CONSUMERS</w:t>
      </w:r>
      <w:r w:rsidR="00C86CE3">
        <w:rPr>
          <w:b/>
          <w:bCs/>
          <w:kern w:val="0"/>
        </w:rPr>
        <w:t>’</w:t>
      </w:r>
      <w:r w:rsidRPr="00C86CE3">
        <w:rPr>
          <w:b/>
          <w:bCs/>
          <w:kern w:val="0"/>
        </w:rPr>
        <w:t xml:space="preserve"> COUNSEL</w:t>
      </w:r>
    </w:p>
    <w:p w:rsidR="00894DD1" w:rsidRPr="00C86CE3" w:rsidP="00894DD1" w14:paraId="562086E1" w14:textId="77777777">
      <w:pPr>
        <w:pBdr>
          <w:bottom w:val="single" w:sz="12" w:space="1" w:color="auto"/>
        </w:pBdr>
        <w:tabs>
          <w:tab w:val="left" w:pos="4320"/>
        </w:tabs>
        <w:rPr>
          <w:kern w:val="0"/>
        </w:rPr>
      </w:pPr>
    </w:p>
    <w:p w:rsidR="00894DD1" w:rsidRPr="00C86CE3" w:rsidP="00894DD1" w14:paraId="126F6D1E" w14:textId="77777777">
      <w:pPr>
        <w:tabs>
          <w:tab w:val="left" w:pos="720"/>
          <w:tab w:val="right" w:pos="8640"/>
        </w:tabs>
        <w:rPr>
          <w:kern w:val="0"/>
        </w:rPr>
      </w:pPr>
    </w:p>
    <w:p w:rsidR="00282E5F" w:rsidP="00D2320F" w14:paraId="6EF1583A" w14:textId="578715CB">
      <w:pPr>
        <w:tabs>
          <w:tab w:val="left" w:pos="720"/>
          <w:tab w:val="right" w:pos="8640"/>
        </w:tabs>
        <w:spacing w:line="480" w:lineRule="auto"/>
        <w:rPr>
          <w:kern w:val="0"/>
        </w:rPr>
      </w:pPr>
      <w:r w:rsidRPr="00C86CE3">
        <w:rPr>
          <w:kern w:val="0"/>
        </w:rPr>
        <w:tab/>
      </w:r>
      <w:r w:rsidRPr="00C86CE3" w:rsidR="00D2320F">
        <w:rPr>
          <w:kern w:val="0"/>
        </w:rPr>
        <w:t>FirstEnergy</w:t>
      </w:r>
      <w:r>
        <w:rPr>
          <w:rStyle w:val="FootnoteReference"/>
          <w:kern w:val="0"/>
        </w:rPr>
        <w:footnoteReference w:id="2"/>
      </w:r>
      <w:r w:rsidRPr="00C86CE3" w:rsidR="00D2320F">
        <w:rPr>
          <w:kern w:val="0"/>
        </w:rPr>
        <w:t xml:space="preserve"> has filed tariffs to charge customers </w:t>
      </w:r>
      <w:r w:rsidRPr="00C86CE3" w:rsidR="00147670">
        <w:rPr>
          <w:kern w:val="0"/>
        </w:rPr>
        <w:t xml:space="preserve">for transmission related charges </w:t>
      </w:r>
      <w:r w:rsidRPr="00C86CE3" w:rsidR="009F5353">
        <w:rPr>
          <w:kern w:val="0"/>
        </w:rPr>
        <w:t xml:space="preserve">(including millions of dollars for investment in supplemental transmission projects) </w:t>
      </w:r>
      <w:r w:rsidRPr="00C86CE3" w:rsidR="00D2320F">
        <w:rPr>
          <w:kern w:val="0"/>
        </w:rPr>
        <w:t>under its Rider NMB.</w:t>
      </w:r>
      <w:r w:rsidRPr="00C86CE3" w:rsidR="00E95B80">
        <w:rPr>
          <w:kern w:val="0"/>
        </w:rPr>
        <w:t xml:space="preserve"> </w:t>
      </w:r>
      <w:r w:rsidRPr="00C86CE3">
        <w:rPr>
          <w:kern w:val="0"/>
        </w:rPr>
        <w:t>OCC, on behalf of FirstEnergy</w:t>
      </w:r>
      <w:r w:rsidR="00C86CE3">
        <w:rPr>
          <w:kern w:val="0"/>
        </w:rPr>
        <w:t>’</w:t>
      </w:r>
      <w:r w:rsidRPr="00C86CE3">
        <w:rPr>
          <w:kern w:val="0"/>
        </w:rPr>
        <w:t>s 1.9 million residential consumers, file</w:t>
      </w:r>
      <w:r w:rsidRPr="00C86CE3" w:rsidR="00851B15">
        <w:rPr>
          <w:kern w:val="0"/>
        </w:rPr>
        <w:t>s</w:t>
      </w:r>
      <w:r w:rsidRPr="00C86CE3">
        <w:rPr>
          <w:kern w:val="0"/>
        </w:rPr>
        <w:t xml:space="preserve"> this </w:t>
      </w:r>
      <w:r w:rsidRPr="00C86CE3" w:rsidR="00777C10">
        <w:rPr>
          <w:kern w:val="0"/>
        </w:rPr>
        <w:t>motion</w:t>
      </w:r>
      <w:r w:rsidRPr="00C86CE3">
        <w:rPr>
          <w:kern w:val="0"/>
        </w:rPr>
        <w:t xml:space="preserve"> to protect FirstEnergy</w:t>
      </w:r>
      <w:r w:rsidR="00C86CE3">
        <w:rPr>
          <w:kern w:val="0"/>
        </w:rPr>
        <w:t>’</w:t>
      </w:r>
      <w:r w:rsidRPr="00C86CE3">
        <w:rPr>
          <w:kern w:val="0"/>
        </w:rPr>
        <w:t xml:space="preserve">s </w:t>
      </w:r>
      <w:r w:rsidRPr="00C86CE3" w:rsidR="00D2320F">
        <w:rPr>
          <w:kern w:val="0"/>
        </w:rPr>
        <w:t>consumers</w:t>
      </w:r>
      <w:r w:rsidRPr="00C86CE3">
        <w:rPr>
          <w:kern w:val="0"/>
        </w:rPr>
        <w:t xml:space="preserve"> from paying </w:t>
      </w:r>
      <w:r w:rsidRPr="00C86CE3" w:rsidR="00D2320F">
        <w:rPr>
          <w:kern w:val="0"/>
        </w:rPr>
        <w:t>Rider NMB</w:t>
      </w:r>
      <w:r w:rsidRPr="00C86CE3">
        <w:rPr>
          <w:kern w:val="0"/>
        </w:rPr>
        <w:t xml:space="preserve"> </w:t>
      </w:r>
      <w:r w:rsidRPr="00C86CE3" w:rsidR="00D2320F">
        <w:rPr>
          <w:kern w:val="0"/>
        </w:rPr>
        <w:t>without additional consumer protection</w:t>
      </w:r>
      <w:r w:rsidRPr="00C86CE3" w:rsidR="00347E4C">
        <w:rPr>
          <w:kern w:val="0"/>
        </w:rPr>
        <w:t>s written</w:t>
      </w:r>
      <w:r w:rsidR="00C86CE3">
        <w:rPr>
          <w:kern w:val="0"/>
        </w:rPr>
        <w:t xml:space="preserve"> </w:t>
      </w:r>
      <w:r w:rsidRPr="00C86CE3" w:rsidR="00D2320F">
        <w:rPr>
          <w:kern w:val="0"/>
        </w:rPr>
        <w:t>in</w:t>
      </w:r>
      <w:r w:rsidRPr="00C86CE3" w:rsidR="00347E4C">
        <w:rPr>
          <w:kern w:val="0"/>
        </w:rPr>
        <w:t>to FirstEnergy</w:t>
      </w:r>
      <w:r w:rsidR="00C86CE3">
        <w:rPr>
          <w:kern w:val="0"/>
        </w:rPr>
        <w:t>’</w:t>
      </w:r>
      <w:r w:rsidRPr="00C86CE3" w:rsidR="00347E4C">
        <w:rPr>
          <w:kern w:val="0"/>
        </w:rPr>
        <w:t>s</w:t>
      </w:r>
      <w:r w:rsidRPr="00C86CE3" w:rsidR="00D2320F">
        <w:rPr>
          <w:kern w:val="0"/>
        </w:rPr>
        <w:t xml:space="preserve"> tariff</w:t>
      </w:r>
      <w:r w:rsidRPr="00C86CE3">
        <w:rPr>
          <w:kern w:val="0"/>
        </w:rPr>
        <w:t>.</w:t>
      </w:r>
      <w:r w:rsidRPr="00C86CE3" w:rsidR="00E95B80">
        <w:rPr>
          <w:kern w:val="0"/>
        </w:rPr>
        <w:t xml:space="preserve"> </w:t>
      </w:r>
      <w:r w:rsidRPr="00C86CE3" w:rsidR="00D2320F">
        <w:rPr>
          <w:kern w:val="0"/>
        </w:rPr>
        <w:t xml:space="preserve">Specifically, the PUCO should order that Rider NMB charges </w:t>
      </w:r>
      <w:r w:rsidRPr="00C86CE3">
        <w:rPr>
          <w:kern w:val="0"/>
        </w:rPr>
        <w:t xml:space="preserve">be collected subject to refund, pending the outcome of </w:t>
      </w:r>
      <w:r w:rsidRPr="00C86CE3" w:rsidR="00D2320F">
        <w:rPr>
          <w:kern w:val="0"/>
        </w:rPr>
        <w:t>OCC</w:t>
      </w:r>
      <w:r w:rsidR="00C86CE3">
        <w:rPr>
          <w:kern w:val="0"/>
        </w:rPr>
        <w:t>’</w:t>
      </w:r>
      <w:r w:rsidRPr="00C86CE3" w:rsidR="00D2320F">
        <w:rPr>
          <w:kern w:val="0"/>
        </w:rPr>
        <w:t>s complaint before the Federal Energy Regulatory Commission (</w:t>
      </w:r>
      <w:r w:rsidR="00C86CE3">
        <w:rPr>
          <w:kern w:val="0"/>
        </w:rPr>
        <w:t>“</w:t>
      </w:r>
      <w:r w:rsidRPr="00C86CE3" w:rsidR="00D2320F">
        <w:rPr>
          <w:kern w:val="0"/>
        </w:rPr>
        <w:t>FERC</w:t>
      </w:r>
      <w:r w:rsidR="00C86CE3">
        <w:rPr>
          <w:kern w:val="0"/>
        </w:rPr>
        <w:t>”</w:t>
      </w:r>
      <w:r w:rsidRPr="00C86CE3" w:rsidR="00D2320F">
        <w:rPr>
          <w:kern w:val="0"/>
        </w:rPr>
        <w:t>) involving supplemental transmission projects</w:t>
      </w:r>
      <w:r w:rsidRPr="00C86CE3">
        <w:rPr>
          <w:kern w:val="0"/>
        </w:rPr>
        <w:t>.</w:t>
      </w:r>
      <w:r>
        <w:rPr>
          <w:rStyle w:val="FootnoteReference"/>
          <w:kern w:val="0"/>
        </w:rPr>
        <w:footnoteReference w:id="3"/>
      </w:r>
      <w:r w:rsidRPr="00C86CE3" w:rsidR="00E95B80">
        <w:rPr>
          <w:kern w:val="0"/>
        </w:rPr>
        <w:t xml:space="preserve"> </w:t>
      </w:r>
      <w:r w:rsidRPr="00C86CE3" w:rsidR="00D2320F">
        <w:rPr>
          <w:kern w:val="0"/>
        </w:rPr>
        <w:t>This</w:t>
      </w:r>
      <w:r w:rsidRPr="00C86CE3">
        <w:rPr>
          <w:kern w:val="0"/>
        </w:rPr>
        <w:t xml:space="preserve"> will prevent injury to the interests of the public and will prevent irreparable harm to </w:t>
      </w:r>
      <w:r w:rsidRPr="00C86CE3" w:rsidR="00D2320F">
        <w:rPr>
          <w:kern w:val="0"/>
        </w:rPr>
        <w:t>consumers</w:t>
      </w:r>
      <w:r w:rsidRPr="00C86CE3">
        <w:rPr>
          <w:kern w:val="0"/>
        </w:rPr>
        <w:t xml:space="preserve">. </w:t>
      </w:r>
    </w:p>
    <w:p w:rsidR="00282E5F" w14:paraId="745BDF04" w14:textId="77777777">
      <w:pPr>
        <w:widowControl/>
        <w:overflowPunct/>
        <w:adjustRightInd/>
        <w:rPr>
          <w:kern w:val="0"/>
        </w:rPr>
      </w:pPr>
      <w:r>
        <w:rPr>
          <w:kern w:val="0"/>
        </w:rPr>
        <w:br w:type="page"/>
      </w:r>
    </w:p>
    <w:p w:rsidR="00282E5F" w:rsidP="00282E5F" w14:paraId="24C56060" w14:textId="77777777">
      <w:pPr>
        <w:tabs>
          <w:tab w:val="left" w:pos="720"/>
          <w:tab w:val="right" w:pos="8640"/>
        </w:tabs>
        <w:spacing w:line="480" w:lineRule="auto"/>
        <w:ind w:firstLine="720"/>
        <w:rPr>
          <w:kern w:val="0"/>
        </w:rPr>
      </w:pPr>
      <w:r w:rsidRPr="00C86CE3">
        <w:rPr>
          <w:kern w:val="0"/>
        </w:rPr>
        <w:t>The reasons for granting these motions are further set forth in the attached Memorandum in Support.</w:t>
      </w:r>
    </w:p>
    <w:p w:rsidR="00881880" w:rsidRPr="00C86CE3" w:rsidP="00282E5F" w14:paraId="2A61C908" w14:textId="326784E8">
      <w:pPr>
        <w:tabs>
          <w:tab w:val="left" w:pos="720"/>
          <w:tab w:val="right" w:pos="8640"/>
        </w:tabs>
        <w:spacing w:line="480" w:lineRule="auto"/>
        <w:ind w:firstLine="4320"/>
        <w:rPr>
          <w:kern w:val="0"/>
        </w:rPr>
      </w:pPr>
      <w:r w:rsidRPr="00C86CE3">
        <w:rPr>
          <w:kern w:val="0"/>
        </w:rPr>
        <w:t>Respectfully submitted,</w:t>
      </w:r>
    </w:p>
    <w:p w:rsidR="00881880" w:rsidRPr="00C86CE3" w:rsidP="00881880" w14:paraId="046A0A68" w14:textId="77777777">
      <w:pPr>
        <w:tabs>
          <w:tab w:val="left" w:pos="8730"/>
        </w:tabs>
        <w:ind w:left="4320"/>
        <w:rPr>
          <w:kern w:val="0"/>
        </w:rPr>
      </w:pPr>
      <w:r w:rsidRPr="00C86CE3">
        <w:rPr>
          <w:kern w:val="0"/>
        </w:rPr>
        <w:t xml:space="preserve">Maureen R. Willis (0020847) </w:t>
      </w:r>
    </w:p>
    <w:p w:rsidR="00881880" w:rsidRPr="00C86CE3" w:rsidP="00881880" w14:paraId="731DEABB" w14:textId="35D494A1">
      <w:pPr>
        <w:tabs>
          <w:tab w:val="left" w:pos="8730"/>
        </w:tabs>
        <w:ind w:left="4320"/>
        <w:rPr>
          <w:kern w:val="0"/>
        </w:rPr>
      </w:pPr>
      <w:r w:rsidRPr="00C86CE3">
        <w:rPr>
          <w:kern w:val="0"/>
        </w:rPr>
        <w:t>Ohio Consumers</w:t>
      </w:r>
      <w:r w:rsidR="00C86CE3">
        <w:rPr>
          <w:kern w:val="0"/>
        </w:rPr>
        <w:t>’</w:t>
      </w:r>
      <w:r w:rsidRPr="00C86CE3">
        <w:rPr>
          <w:kern w:val="0"/>
        </w:rPr>
        <w:t xml:space="preserve"> Counsel</w:t>
      </w:r>
    </w:p>
    <w:p w:rsidR="00881880" w:rsidRPr="00C86CE3" w:rsidP="00881880" w14:paraId="5DC2F58D" w14:textId="77777777">
      <w:pPr>
        <w:tabs>
          <w:tab w:val="left" w:pos="8730"/>
        </w:tabs>
        <w:ind w:left="4320"/>
        <w:rPr>
          <w:kern w:val="0"/>
        </w:rPr>
      </w:pPr>
    </w:p>
    <w:p w:rsidR="00881880" w:rsidRPr="00C86CE3" w:rsidP="00881880" w14:paraId="1B531889" w14:textId="77777777">
      <w:pPr>
        <w:tabs>
          <w:tab w:val="left" w:pos="8730"/>
        </w:tabs>
        <w:ind w:left="4320"/>
        <w:rPr>
          <w:kern w:val="0"/>
        </w:rPr>
      </w:pPr>
      <w:r w:rsidRPr="00C86CE3">
        <w:rPr>
          <w:i/>
          <w:kern w:val="0"/>
          <w:u w:val="single"/>
        </w:rPr>
        <w:t>/s/ William J. Michael</w:t>
      </w:r>
      <w:r w:rsidRPr="00C86CE3">
        <w:rPr>
          <w:i/>
          <w:kern w:val="0"/>
        </w:rPr>
        <w:br/>
      </w:r>
      <w:r w:rsidRPr="00C86CE3">
        <w:rPr>
          <w:kern w:val="0"/>
        </w:rPr>
        <w:t xml:space="preserve">William J. Michael (0070921) </w:t>
      </w:r>
      <w:r w:rsidRPr="00C86CE3">
        <w:rPr>
          <w:kern w:val="0"/>
        </w:rPr>
        <w:br/>
        <w:t>Counsel of Record</w:t>
      </w:r>
      <w:r w:rsidRPr="00C86CE3">
        <w:rPr>
          <w:kern w:val="0"/>
        </w:rPr>
        <w:br/>
        <w:t>Donald J. Kral (0042091)</w:t>
      </w:r>
    </w:p>
    <w:p w:rsidR="00881880" w:rsidRPr="00C86CE3" w:rsidP="00881880" w14:paraId="5DE11257" w14:textId="13D964D3">
      <w:pPr>
        <w:tabs>
          <w:tab w:val="left" w:pos="8730"/>
        </w:tabs>
        <w:ind w:left="4320"/>
        <w:rPr>
          <w:kern w:val="0"/>
        </w:rPr>
      </w:pPr>
      <w:r w:rsidRPr="00C86CE3">
        <w:rPr>
          <w:kern w:val="0"/>
        </w:rPr>
        <w:t>Assistant Consumers</w:t>
      </w:r>
      <w:r w:rsidR="00C86CE3">
        <w:rPr>
          <w:kern w:val="0"/>
        </w:rPr>
        <w:t>’</w:t>
      </w:r>
      <w:r w:rsidRPr="00C86CE3">
        <w:rPr>
          <w:kern w:val="0"/>
        </w:rPr>
        <w:t xml:space="preserve"> Counsel</w:t>
      </w:r>
    </w:p>
    <w:p w:rsidR="00881880" w:rsidRPr="00C86CE3" w:rsidP="00881880" w14:paraId="1E8973E4" w14:textId="77777777">
      <w:pPr>
        <w:tabs>
          <w:tab w:val="left" w:pos="8730"/>
        </w:tabs>
        <w:ind w:left="4320"/>
        <w:rPr>
          <w:kern w:val="0"/>
        </w:rPr>
      </w:pPr>
    </w:p>
    <w:p w:rsidR="00881880" w:rsidRPr="00C86CE3" w:rsidP="00881880" w14:paraId="1A2FB4F7" w14:textId="3DA1BFC2">
      <w:pPr>
        <w:tabs>
          <w:tab w:val="left" w:pos="8730"/>
        </w:tabs>
        <w:ind w:left="4320"/>
        <w:rPr>
          <w:b/>
          <w:bCs/>
          <w:kern w:val="0"/>
        </w:rPr>
      </w:pPr>
      <w:r w:rsidRPr="00C86CE3">
        <w:rPr>
          <w:b/>
          <w:bCs/>
          <w:kern w:val="0"/>
        </w:rPr>
        <w:t>Office of the Ohio Consumers</w:t>
      </w:r>
      <w:r w:rsidR="00C86CE3">
        <w:rPr>
          <w:b/>
          <w:bCs/>
          <w:kern w:val="0"/>
        </w:rPr>
        <w:t>’</w:t>
      </w:r>
      <w:r w:rsidRPr="00C86CE3">
        <w:rPr>
          <w:b/>
          <w:bCs/>
          <w:kern w:val="0"/>
        </w:rPr>
        <w:t xml:space="preserve"> Counsel</w:t>
      </w:r>
    </w:p>
    <w:p w:rsidR="00881880" w:rsidRPr="00C86CE3" w:rsidP="00881880" w14:paraId="333E37FB" w14:textId="77777777">
      <w:pPr>
        <w:tabs>
          <w:tab w:val="left" w:pos="8730"/>
        </w:tabs>
        <w:ind w:left="4320"/>
        <w:rPr>
          <w:kern w:val="0"/>
        </w:rPr>
      </w:pPr>
      <w:r w:rsidRPr="00C86CE3">
        <w:rPr>
          <w:kern w:val="0"/>
        </w:rPr>
        <w:t>65 East State Street, Suite 700</w:t>
      </w:r>
    </w:p>
    <w:p w:rsidR="00881880" w:rsidRPr="00C86CE3" w:rsidP="00881880" w14:paraId="74F66043" w14:textId="77777777">
      <w:pPr>
        <w:tabs>
          <w:tab w:val="left" w:pos="8730"/>
        </w:tabs>
        <w:ind w:left="4320"/>
        <w:rPr>
          <w:kern w:val="0"/>
        </w:rPr>
      </w:pPr>
      <w:r w:rsidRPr="00C86CE3">
        <w:rPr>
          <w:kern w:val="0"/>
        </w:rPr>
        <w:t>Columbus, Ohio 43215</w:t>
      </w:r>
    </w:p>
    <w:p w:rsidR="00881880" w:rsidRPr="00C86CE3" w:rsidP="00881880" w14:paraId="2AD7E081" w14:textId="77777777">
      <w:pPr>
        <w:tabs>
          <w:tab w:val="left" w:pos="8730"/>
        </w:tabs>
        <w:ind w:left="4320"/>
        <w:rPr>
          <w:kern w:val="0"/>
        </w:rPr>
      </w:pPr>
      <w:r w:rsidRPr="00C86CE3">
        <w:rPr>
          <w:kern w:val="0"/>
        </w:rPr>
        <w:t>Telephone [Michael]: (614) 466-1291</w:t>
      </w:r>
    </w:p>
    <w:p w:rsidR="00881880" w:rsidRPr="00C86CE3" w:rsidP="00881880" w14:paraId="36CC7993" w14:textId="77777777">
      <w:pPr>
        <w:tabs>
          <w:tab w:val="left" w:pos="8730"/>
        </w:tabs>
        <w:ind w:left="4320"/>
        <w:rPr>
          <w:kern w:val="0"/>
        </w:rPr>
      </w:pPr>
      <w:r w:rsidRPr="00C86CE3">
        <w:rPr>
          <w:kern w:val="0"/>
        </w:rPr>
        <w:t>Telephone [Kral]: (614) 466-9571</w:t>
      </w:r>
    </w:p>
    <w:p w:rsidR="00881880" w:rsidRPr="00C86CE3" w:rsidP="00881880" w14:paraId="5D60C588" w14:textId="77777777">
      <w:pPr>
        <w:tabs>
          <w:tab w:val="left" w:pos="8730"/>
        </w:tabs>
        <w:ind w:left="4320"/>
        <w:rPr>
          <w:color w:val="0000FF"/>
          <w:kern w:val="0"/>
        </w:rPr>
      </w:pPr>
      <w:hyperlink r:id="rId6" w:history="1">
        <w:r w:rsidRPr="00C86CE3">
          <w:rPr>
            <w:rStyle w:val="Hyperlink"/>
            <w:kern w:val="0"/>
          </w:rPr>
          <w:t>william.michael@occ.ohio.gov</w:t>
        </w:r>
      </w:hyperlink>
      <w:r w:rsidRPr="00C86CE3">
        <w:rPr>
          <w:color w:val="0000FF"/>
          <w:kern w:val="0"/>
        </w:rPr>
        <w:t xml:space="preserve"> </w:t>
      </w:r>
    </w:p>
    <w:p w:rsidR="00881880" w:rsidRPr="00C86CE3" w:rsidP="00881880" w14:paraId="6486D708" w14:textId="77777777">
      <w:pPr>
        <w:tabs>
          <w:tab w:val="left" w:pos="8730"/>
        </w:tabs>
        <w:ind w:left="4320"/>
        <w:rPr>
          <w:rStyle w:val="Hyperlink"/>
          <w:kern w:val="0"/>
        </w:rPr>
      </w:pPr>
      <w:r w:rsidRPr="00C86CE3">
        <w:rPr>
          <w:rStyle w:val="Hyperlink"/>
          <w:kern w:val="0"/>
        </w:rPr>
        <w:t>donald.kral@occ.ohio.gov</w:t>
      </w:r>
    </w:p>
    <w:p w:rsidR="00881880" w:rsidRPr="00C86CE3" w:rsidP="00881880" w14:paraId="23F44BF0" w14:textId="77777777">
      <w:pPr>
        <w:tabs>
          <w:tab w:val="left" w:pos="8730"/>
        </w:tabs>
        <w:ind w:left="4320"/>
        <w:rPr>
          <w:kern w:val="0"/>
        </w:rPr>
      </w:pPr>
      <w:r w:rsidRPr="00C86CE3">
        <w:rPr>
          <w:kern w:val="0"/>
        </w:rPr>
        <w:t xml:space="preserve">(willing to accept service by e-mail) </w:t>
      </w:r>
    </w:p>
    <w:p w:rsidR="001D53C7" w:rsidRPr="00C86CE3" w:rsidP="00881880" w14:paraId="06165E81" w14:textId="6E11FD97">
      <w:pPr>
        <w:widowControl/>
        <w:overflowPunct/>
        <w:autoSpaceDE w:val="0"/>
        <w:autoSpaceDN w:val="0"/>
        <w:rPr>
          <w:i/>
          <w:iCs/>
          <w:color w:val="000000"/>
          <w:kern w:val="0"/>
        </w:rPr>
        <w:sectPr w:rsidSect="0077323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1"/>
          <w:cols w:space="720"/>
          <w:titlePg/>
          <w:docGrid w:linePitch="360"/>
        </w:sectPr>
      </w:pPr>
    </w:p>
    <w:p w:rsidR="001D53C7" w:rsidRPr="00C86CE3" w:rsidP="001D53C7" w14:paraId="73B43840" w14:textId="77777777">
      <w:pPr>
        <w:widowControl/>
        <w:overflowPunct/>
        <w:adjustRightInd/>
        <w:jc w:val="center"/>
        <w:rPr>
          <w:b/>
          <w:kern w:val="0"/>
        </w:rPr>
      </w:pPr>
      <w:r w:rsidRPr="00C86CE3">
        <w:rPr>
          <w:b/>
          <w:kern w:val="0"/>
        </w:rPr>
        <w:t>BEFORE</w:t>
      </w:r>
    </w:p>
    <w:p w:rsidR="001D53C7" w:rsidRPr="00C86CE3" w:rsidP="00272263" w14:paraId="3166BECB" w14:textId="41D67DE0">
      <w:pPr>
        <w:widowControl/>
        <w:tabs>
          <w:tab w:val="left" w:pos="0"/>
          <w:tab w:val="left" w:pos="720"/>
        </w:tabs>
        <w:overflowPunct/>
        <w:adjustRightInd/>
        <w:jc w:val="center"/>
        <w:rPr>
          <w:b/>
          <w:kern w:val="0"/>
        </w:rPr>
      </w:pPr>
      <w:r w:rsidRPr="00C86CE3">
        <w:rPr>
          <w:b/>
          <w:kern w:val="0"/>
        </w:rPr>
        <w:t>THE PUBLIC UTILITIES COMMISSION OF OHIO</w:t>
      </w:r>
    </w:p>
    <w:p w:rsidR="00272263" w:rsidRPr="00C86CE3" w:rsidP="00272263" w14:paraId="5F38BF78" w14:textId="77777777">
      <w:pPr>
        <w:widowControl/>
        <w:tabs>
          <w:tab w:val="left" w:pos="0"/>
          <w:tab w:val="left" w:pos="720"/>
        </w:tabs>
        <w:overflowPunct/>
        <w:adjustRightInd/>
        <w:jc w:val="center"/>
        <w:rPr>
          <w:b/>
          <w:kern w:val="0"/>
        </w:rPr>
      </w:pPr>
    </w:p>
    <w:tbl>
      <w:tblPr>
        <w:tblW w:w="9092" w:type="dxa"/>
        <w:tblInd w:w="0" w:type="dxa"/>
        <w:tblCellMar>
          <w:top w:w="0" w:type="dxa"/>
          <w:left w:w="108" w:type="dxa"/>
          <w:bottom w:w="0" w:type="dxa"/>
          <w:right w:w="108" w:type="dxa"/>
        </w:tblCellMar>
        <w:tblLook w:val="01E0"/>
      </w:tblPr>
      <w:tblGrid>
        <w:gridCol w:w="4332"/>
        <w:gridCol w:w="528"/>
        <w:gridCol w:w="4232"/>
      </w:tblGrid>
      <w:tr w14:paraId="4B8B0BB2" w14:textId="77777777" w:rsidTr="00BE05DA">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272263" w:rsidRPr="00C86CE3" w:rsidP="00BE05DA" w14:paraId="7B72B6D3" w14:textId="7E6AECA9">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rPr>
                <w:rFonts w:ascii="Times New Roman" w:eastAsia="Courier New" w:hAnsi="Times New Roman" w:cs="Times New Roman"/>
                <w:kern w:val="0"/>
                <w:sz w:val="24"/>
                <w:szCs w:val="24"/>
                <w:lang w:val="en-US" w:eastAsia="en-US" w:bidi="ar-SA"/>
              </w:rPr>
            </w:pPr>
            <w:r w:rsidRPr="00C86CE3">
              <w:rPr>
                <w:rFonts w:ascii="Times New Roman" w:eastAsia="Courier New" w:hAnsi="Times New Roman" w:cs="Times New Roman"/>
                <w:kern w:val="0"/>
                <w:sz w:val="24"/>
                <w:szCs w:val="24"/>
                <w:lang w:val="en-US" w:eastAsia="en-US" w:bidi="ar-SA"/>
              </w:rPr>
              <w:t xml:space="preserve">In the Matter of the Review of the Non-Market-Based Services Rider Contained in the Tariffs of Ohio Edison Company, </w:t>
            </w:r>
            <w:r w:rsidR="00A07FF1">
              <w:rPr>
                <w:rFonts w:ascii="Times New Roman" w:eastAsia="Courier New" w:hAnsi="Times New Roman" w:cs="Times New Roman"/>
                <w:kern w:val="0"/>
                <w:sz w:val="24"/>
                <w:szCs w:val="24"/>
                <w:lang w:val="en-US" w:eastAsia="en-US" w:bidi="ar-SA"/>
              </w:rPr>
              <w:t>T</w:t>
            </w:r>
            <w:r w:rsidRPr="00C86CE3">
              <w:rPr>
                <w:rFonts w:ascii="Times New Roman" w:eastAsia="Courier New" w:hAnsi="Times New Roman" w:cs="Times New Roman"/>
                <w:kern w:val="0"/>
                <w:sz w:val="24"/>
                <w:szCs w:val="24"/>
                <w:lang w:val="en-US" w:eastAsia="en-US" w:bidi="ar-SA"/>
              </w:rPr>
              <w:t xml:space="preserve">he Cleveland Electric Illuminating Company and </w:t>
            </w:r>
            <w:r w:rsidR="00A07FF1">
              <w:rPr>
                <w:rFonts w:ascii="Times New Roman" w:eastAsia="Courier New" w:hAnsi="Times New Roman" w:cs="Times New Roman"/>
                <w:kern w:val="0"/>
                <w:sz w:val="24"/>
                <w:szCs w:val="24"/>
                <w:lang w:val="en-US" w:eastAsia="en-US" w:bidi="ar-SA"/>
              </w:rPr>
              <w:t>T</w:t>
            </w:r>
            <w:r w:rsidRPr="00C86CE3">
              <w:rPr>
                <w:rFonts w:ascii="Times New Roman" w:eastAsia="Courier New" w:hAnsi="Times New Roman" w:cs="Times New Roman"/>
                <w:kern w:val="0"/>
                <w:sz w:val="24"/>
                <w:szCs w:val="24"/>
                <w:lang w:val="en-US" w:eastAsia="en-US" w:bidi="ar-SA"/>
              </w:rPr>
              <w:t>he Toledo Edison Company.</w:t>
            </w:r>
          </w:p>
        </w:tc>
        <w:tc>
          <w:tcPr>
            <w:tcW w:w="528" w:type="dxa"/>
            <w:shd w:val="clear" w:color="auto" w:fill="auto"/>
          </w:tcPr>
          <w:p w:rsidR="00272263" w:rsidRPr="00C86CE3" w:rsidP="00BE05DA" w14:paraId="7ADCC52B"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rPr>
                <w:rFonts w:ascii="Times New Roman" w:eastAsia="Courier New" w:hAnsi="Times New Roman" w:cs="Times New Roman"/>
                <w:kern w:val="0"/>
                <w:sz w:val="24"/>
                <w:szCs w:val="24"/>
                <w:lang w:val="en-US" w:eastAsia="en-US" w:bidi="ar-SA"/>
              </w:rPr>
            </w:pPr>
            <w:r w:rsidRPr="00C86CE3">
              <w:rPr>
                <w:rFonts w:ascii="Times New Roman" w:eastAsia="Courier New" w:hAnsi="Times New Roman" w:cs="Times New Roman"/>
                <w:kern w:val="0"/>
                <w:sz w:val="24"/>
                <w:szCs w:val="24"/>
                <w:lang w:val="en-US" w:eastAsia="en-US" w:bidi="ar-SA"/>
              </w:rPr>
              <w:t>)</w:t>
            </w:r>
          </w:p>
          <w:p w:rsidR="00272263" w:rsidRPr="00C86CE3" w:rsidP="00BE05DA" w14:paraId="02850107"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rPr>
                <w:rFonts w:ascii="Times New Roman" w:eastAsia="Courier New" w:hAnsi="Times New Roman" w:cs="Times New Roman"/>
                <w:kern w:val="0"/>
                <w:sz w:val="24"/>
                <w:szCs w:val="24"/>
                <w:lang w:val="en-US" w:eastAsia="en-US" w:bidi="ar-SA"/>
              </w:rPr>
            </w:pPr>
            <w:r w:rsidRPr="00C86CE3">
              <w:rPr>
                <w:rFonts w:ascii="Times New Roman" w:eastAsia="Courier New" w:hAnsi="Times New Roman" w:cs="Times New Roman"/>
                <w:kern w:val="0"/>
                <w:sz w:val="24"/>
                <w:szCs w:val="24"/>
                <w:lang w:val="en-US" w:eastAsia="en-US" w:bidi="ar-SA"/>
              </w:rPr>
              <w:t>)</w:t>
            </w:r>
          </w:p>
          <w:p w:rsidR="00272263" w:rsidRPr="00C86CE3" w:rsidP="00BE05DA" w14:paraId="43852D81"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rPr>
                <w:rFonts w:ascii="Times New Roman" w:eastAsia="Courier New" w:hAnsi="Times New Roman" w:cs="Times New Roman"/>
                <w:kern w:val="0"/>
                <w:sz w:val="24"/>
                <w:szCs w:val="24"/>
                <w:lang w:val="en-US" w:eastAsia="en-US" w:bidi="ar-SA"/>
              </w:rPr>
            </w:pPr>
            <w:r w:rsidRPr="00C86CE3">
              <w:rPr>
                <w:rFonts w:ascii="Times New Roman" w:eastAsia="Courier New" w:hAnsi="Times New Roman" w:cs="Times New Roman"/>
                <w:kern w:val="0"/>
                <w:sz w:val="24"/>
                <w:szCs w:val="24"/>
                <w:lang w:val="en-US" w:eastAsia="en-US" w:bidi="ar-SA"/>
              </w:rPr>
              <w:t>)</w:t>
            </w:r>
          </w:p>
          <w:p w:rsidR="00272263" w:rsidRPr="00C86CE3" w:rsidP="00BE05DA" w14:paraId="672F7E09"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rPr>
                <w:rFonts w:ascii="Times New Roman" w:eastAsia="Courier New" w:hAnsi="Times New Roman" w:cs="Times New Roman"/>
                <w:kern w:val="0"/>
                <w:sz w:val="24"/>
                <w:szCs w:val="24"/>
                <w:lang w:val="en-US" w:eastAsia="en-US" w:bidi="ar-SA"/>
              </w:rPr>
            </w:pPr>
            <w:r w:rsidRPr="00C86CE3">
              <w:rPr>
                <w:rFonts w:ascii="Times New Roman" w:eastAsia="Courier New" w:hAnsi="Times New Roman" w:cs="Times New Roman"/>
                <w:kern w:val="0"/>
                <w:sz w:val="24"/>
                <w:szCs w:val="24"/>
                <w:lang w:val="en-US" w:eastAsia="en-US" w:bidi="ar-SA"/>
              </w:rPr>
              <w:t>)</w:t>
            </w:r>
          </w:p>
          <w:p w:rsidR="00272263" w:rsidRPr="00C86CE3" w:rsidP="00BE05DA" w14:paraId="24031DC0"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rPr>
                <w:rFonts w:ascii="Times New Roman" w:eastAsia="Courier New" w:hAnsi="Times New Roman" w:cs="Times New Roman"/>
                <w:kern w:val="0"/>
                <w:sz w:val="24"/>
                <w:szCs w:val="24"/>
                <w:lang w:val="en-US" w:eastAsia="en-US" w:bidi="ar-SA"/>
              </w:rPr>
            </w:pPr>
            <w:r w:rsidRPr="00C86CE3">
              <w:rPr>
                <w:rFonts w:ascii="Times New Roman" w:eastAsia="Courier New" w:hAnsi="Times New Roman" w:cs="Times New Roman"/>
                <w:kern w:val="0"/>
                <w:sz w:val="24"/>
                <w:szCs w:val="24"/>
                <w:lang w:val="en-US" w:eastAsia="en-US" w:bidi="ar-SA"/>
              </w:rPr>
              <w:t>)</w:t>
            </w:r>
          </w:p>
          <w:p w:rsidR="00272263" w:rsidRPr="00C86CE3" w:rsidP="00BE05DA" w14:paraId="2699199B"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rPr>
                <w:rFonts w:ascii="Times New Roman" w:eastAsia="Courier New" w:hAnsi="Times New Roman" w:cs="Times New Roman"/>
                <w:kern w:val="0"/>
                <w:sz w:val="24"/>
                <w:szCs w:val="24"/>
                <w:lang w:val="en-US" w:eastAsia="en-US" w:bidi="ar-SA"/>
              </w:rPr>
            </w:pPr>
            <w:r w:rsidRPr="00C86CE3">
              <w:rPr>
                <w:rFonts w:ascii="Times New Roman" w:eastAsia="Courier New" w:hAnsi="Times New Roman" w:cs="Times New Roman"/>
                <w:kern w:val="0"/>
                <w:sz w:val="24"/>
                <w:szCs w:val="24"/>
                <w:lang w:val="en-US" w:eastAsia="en-US" w:bidi="ar-SA"/>
              </w:rPr>
              <w:t>)</w:t>
            </w:r>
          </w:p>
          <w:p w:rsidR="00272263" w:rsidRPr="00C86CE3" w:rsidP="00BE05DA" w14:paraId="5A781464"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rPr>
                <w:rFonts w:ascii="Times New Roman" w:eastAsia="Courier New" w:hAnsi="Times New Roman" w:cs="Times New Roman"/>
                <w:kern w:val="0"/>
                <w:sz w:val="24"/>
                <w:szCs w:val="24"/>
                <w:lang w:val="en-US" w:eastAsia="en-US" w:bidi="ar-SA"/>
              </w:rPr>
            </w:pPr>
          </w:p>
        </w:tc>
        <w:tc>
          <w:tcPr>
            <w:tcW w:w="4232" w:type="dxa"/>
            <w:shd w:val="clear" w:color="auto" w:fill="auto"/>
          </w:tcPr>
          <w:p w:rsidR="00272263" w:rsidRPr="00C86CE3" w:rsidP="00BE05DA" w14:paraId="4BB32C4D"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rPr>
                <w:rFonts w:ascii="Times New Roman" w:eastAsia="Courier New" w:hAnsi="Times New Roman" w:cs="Times New Roman"/>
                <w:kern w:val="0"/>
                <w:sz w:val="24"/>
                <w:szCs w:val="24"/>
                <w:lang w:val="en-US" w:eastAsia="en-US" w:bidi="ar-SA"/>
              </w:rPr>
            </w:pPr>
          </w:p>
          <w:p w:rsidR="00272263" w:rsidRPr="00C86CE3" w:rsidP="00BE05DA" w14:paraId="33B755FF"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rPr>
                <w:rFonts w:ascii="Times New Roman" w:eastAsia="Courier New" w:hAnsi="Times New Roman" w:cs="Times New Roman"/>
                <w:kern w:val="0"/>
                <w:sz w:val="24"/>
                <w:szCs w:val="24"/>
                <w:lang w:val="en-US" w:eastAsia="en-US" w:bidi="ar-SA"/>
              </w:rPr>
            </w:pPr>
          </w:p>
          <w:p w:rsidR="00272263" w:rsidRPr="00C86CE3" w:rsidP="00BE05DA" w14:paraId="1B6AF12E"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rPr>
                <w:rFonts w:ascii="Times New Roman" w:eastAsia="Courier New" w:hAnsi="Times New Roman" w:cs="Times New Roman"/>
                <w:kern w:val="0"/>
                <w:sz w:val="24"/>
                <w:szCs w:val="24"/>
                <w:lang w:val="en-US" w:eastAsia="en-US" w:bidi="ar-SA"/>
              </w:rPr>
            </w:pPr>
            <w:r w:rsidRPr="00C86CE3">
              <w:rPr>
                <w:rFonts w:ascii="Times New Roman" w:eastAsia="Courier New" w:hAnsi="Times New Roman" w:cs="Times New Roman"/>
                <w:kern w:val="0"/>
                <w:sz w:val="24"/>
                <w:szCs w:val="24"/>
                <w:lang w:val="en-US" w:eastAsia="en-US" w:bidi="ar-SA"/>
              </w:rPr>
              <w:t>Case No. 24-22-EL-RDR</w:t>
            </w:r>
          </w:p>
          <w:p w:rsidR="00272263" w:rsidRPr="00C86CE3" w:rsidP="00BE05DA" w14:paraId="70B32782"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rPr>
                <w:rFonts w:ascii="Times New Roman" w:eastAsia="Courier New" w:hAnsi="Times New Roman" w:cs="Times New Roman"/>
                <w:kern w:val="0"/>
                <w:sz w:val="24"/>
                <w:szCs w:val="24"/>
                <w:lang w:val="en-US" w:eastAsia="en-US" w:bidi="ar-SA"/>
              </w:rPr>
            </w:pPr>
          </w:p>
          <w:p w:rsidR="00272263" w:rsidRPr="00C86CE3" w:rsidP="00BE05DA" w14:paraId="23FF901A"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rPr>
                <w:rFonts w:ascii="Times New Roman" w:eastAsia="Courier New" w:hAnsi="Times New Roman" w:cs="Times New Roman"/>
                <w:kern w:val="0"/>
                <w:sz w:val="24"/>
                <w:szCs w:val="24"/>
                <w:lang w:val="en-US" w:eastAsia="en-US" w:bidi="ar-SA"/>
              </w:rPr>
            </w:pPr>
          </w:p>
          <w:p w:rsidR="00272263" w:rsidRPr="00C86CE3" w:rsidP="00BE05DA" w14:paraId="1E480240"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rPr>
                <w:rFonts w:ascii="Times New Roman" w:eastAsia="Courier New" w:hAnsi="Times New Roman" w:cs="Times New Roman"/>
                <w:kern w:val="0"/>
                <w:sz w:val="24"/>
                <w:szCs w:val="24"/>
                <w:lang w:val="en-US" w:eastAsia="en-US" w:bidi="ar-SA"/>
              </w:rPr>
            </w:pPr>
          </w:p>
        </w:tc>
      </w:tr>
    </w:tbl>
    <w:p w:rsidR="00272263" w:rsidRPr="00C86CE3" w:rsidP="00272263" w14:paraId="47DB99E3" w14:textId="77777777">
      <w:pPr>
        <w:pStyle w:val="HTMLPreformatted"/>
        <w:pBdr>
          <w:top w:val="single" w:sz="12" w:space="1" w:color="auto"/>
        </w:pBdr>
        <w:rPr>
          <w:rFonts w:ascii="Times New Roman" w:hAnsi="Times New Roman" w:cs="Times New Roman"/>
          <w:sz w:val="24"/>
          <w:szCs w:val="24"/>
        </w:rPr>
      </w:pPr>
    </w:p>
    <w:p w:rsidR="00272263" w:rsidRPr="00C86CE3" w:rsidP="00272263" w14:paraId="7FDAF301" w14:textId="77777777">
      <w:pPr>
        <w:jc w:val="center"/>
        <w:rPr>
          <w:b/>
          <w:bCs/>
          <w:kern w:val="0"/>
        </w:rPr>
      </w:pPr>
      <w:r w:rsidRPr="00C86CE3">
        <w:rPr>
          <w:b/>
          <w:bCs/>
          <w:kern w:val="0"/>
        </w:rPr>
        <w:t>MEMORANDUM IN SUPPORT</w:t>
      </w:r>
    </w:p>
    <w:p w:rsidR="00272263" w:rsidRPr="00C86CE3" w:rsidP="00272263" w14:paraId="425AD08C" w14:textId="77777777">
      <w:pPr>
        <w:pBdr>
          <w:bottom w:val="single" w:sz="12" w:space="1" w:color="auto"/>
        </w:pBdr>
        <w:tabs>
          <w:tab w:val="left" w:pos="4320"/>
        </w:tabs>
        <w:rPr>
          <w:kern w:val="0"/>
        </w:rPr>
      </w:pPr>
    </w:p>
    <w:p w:rsidR="00272263" w:rsidRPr="00C86CE3" w:rsidP="00272263" w14:paraId="2AAAF481" w14:textId="77777777">
      <w:pPr>
        <w:widowControl/>
        <w:tabs>
          <w:tab w:val="left" w:pos="0"/>
          <w:tab w:val="left" w:pos="720"/>
        </w:tabs>
        <w:overflowPunct/>
        <w:adjustRightInd/>
        <w:jc w:val="center"/>
        <w:rPr>
          <w:b/>
          <w:kern w:val="0"/>
        </w:rPr>
      </w:pPr>
    </w:p>
    <w:p w:rsidR="001D53C7" w:rsidRPr="00C86CE3" w:rsidP="001D53C7" w14:paraId="2174D1B8" w14:textId="77777777">
      <w:pPr>
        <w:pStyle w:val="Heading1"/>
        <w:rPr>
          <w:rFonts w:ascii="Times New Roman" w:hAnsi="Times New Roman"/>
          <w:kern w:val="0"/>
        </w:rPr>
      </w:pPr>
      <w:bookmarkStart w:id="0" w:name="_Toc318800487"/>
      <w:bookmarkStart w:id="1" w:name="_Toc468980520"/>
      <w:r w:rsidRPr="00C86CE3">
        <w:rPr>
          <w:rFonts w:ascii="Times New Roman" w:hAnsi="Times New Roman"/>
          <w:kern w:val="0"/>
        </w:rPr>
        <w:t>I.</w:t>
      </w:r>
      <w:r w:rsidRPr="00C86CE3">
        <w:rPr>
          <w:rFonts w:ascii="Times New Roman" w:hAnsi="Times New Roman"/>
          <w:kern w:val="0"/>
        </w:rPr>
        <w:tab/>
        <w:t>I</w:t>
      </w:r>
      <w:bookmarkEnd w:id="0"/>
      <w:r w:rsidRPr="00C86CE3">
        <w:rPr>
          <w:rFonts w:ascii="Times New Roman" w:hAnsi="Times New Roman"/>
          <w:kern w:val="0"/>
        </w:rPr>
        <w:t>ntroduction</w:t>
      </w:r>
      <w:bookmarkEnd w:id="1"/>
    </w:p>
    <w:p w:rsidR="009F5353" w:rsidRPr="00C86CE3" w:rsidP="00B82741" w14:paraId="12E6B4CE" w14:textId="70B82E3F">
      <w:pPr>
        <w:spacing w:line="480" w:lineRule="auto"/>
        <w:ind w:firstLine="720"/>
        <w:rPr>
          <w:kern w:val="0"/>
        </w:rPr>
      </w:pPr>
      <w:r w:rsidRPr="00C86CE3">
        <w:rPr>
          <w:rFonts w:eastAsia="Calibri"/>
          <w:bCs/>
          <w:kern w:val="0"/>
        </w:rPr>
        <w:t>Ohio utility consumers</w:t>
      </w:r>
      <w:r w:rsidRPr="00C86CE3" w:rsidR="001D53C7">
        <w:rPr>
          <w:rFonts w:eastAsia="Calibri"/>
          <w:bCs/>
          <w:kern w:val="0"/>
        </w:rPr>
        <w:t xml:space="preserve"> face an immediate risk of substantial harm.</w:t>
      </w:r>
      <w:r w:rsidRPr="00C86CE3" w:rsidR="00E95B80">
        <w:rPr>
          <w:rFonts w:eastAsia="Calibri"/>
          <w:bCs/>
          <w:kern w:val="0"/>
        </w:rPr>
        <w:t xml:space="preserve"> </w:t>
      </w:r>
      <w:r w:rsidRPr="00C86CE3" w:rsidR="00B82741">
        <w:rPr>
          <w:kern w:val="0"/>
        </w:rPr>
        <w:t>OCC has long warned of the harm to consumers from supplemental transmission projects.</w:t>
      </w:r>
      <w:r>
        <w:rPr>
          <w:rStyle w:val="FootnoteReference"/>
          <w:kern w:val="0"/>
        </w:rPr>
        <w:footnoteReference w:id="4"/>
      </w:r>
      <w:r w:rsidRPr="00C86CE3" w:rsidR="00B82741">
        <w:rPr>
          <w:kern w:val="0"/>
        </w:rPr>
        <w:t xml:space="preserve"> There is little to no regulatory oversight of the necessity or prudence of supplemental transmission project</w:t>
      </w:r>
      <w:r w:rsidRPr="00C86CE3">
        <w:rPr>
          <w:kern w:val="0"/>
        </w:rPr>
        <w:t>s</w:t>
      </w:r>
      <w:r w:rsidRPr="00C86CE3" w:rsidR="00B82741">
        <w:rPr>
          <w:kern w:val="0"/>
        </w:rPr>
        <w:t xml:space="preserve"> at the state or federal level. The PUCO recently acknowledged this </w:t>
      </w:r>
      <w:r w:rsidR="00C86CE3">
        <w:rPr>
          <w:kern w:val="0"/>
        </w:rPr>
        <w:t>“</w:t>
      </w:r>
      <w:r w:rsidRPr="00C86CE3" w:rsidR="00B82741">
        <w:rPr>
          <w:kern w:val="0"/>
        </w:rPr>
        <w:t>regulatory gap</w:t>
      </w:r>
      <w:r w:rsidR="00C86CE3">
        <w:rPr>
          <w:kern w:val="0"/>
        </w:rPr>
        <w:t>”</w:t>
      </w:r>
      <w:r w:rsidR="000C693F">
        <w:rPr>
          <w:kern w:val="0"/>
        </w:rPr>
        <w:t xml:space="preserve"> </w:t>
      </w:r>
      <w:r w:rsidRPr="00C86CE3" w:rsidR="00B82741">
        <w:rPr>
          <w:kern w:val="0"/>
        </w:rPr>
        <w:t>in FirstEnergy</w:t>
      </w:r>
      <w:r w:rsidR="00C86CE3">
        <w:rPr>
          <w:kern w:val="0"/>
        </w:rPr>
        <w:t>’</w:t>
      </w:r>
      <w:r w:rsidRPr="00C86CE3" w:rsidR="00B82741">
        <w:rPr>
          <w:kern w:val="0"/>
        </w:rPr>
        <w:t>s annual Rider NMB update case.</w:t>
      </w:r>
      <w:r>
        <w:rPr>
          <w:rStyle w:val="FootnoteReference"/>
          <w:kern w:val="0"/>
        </w:rPr>
        <w:footnoteReference w:id="5"/>
      </w:r>
      <w:r w:rsidRPr="00C86CE3" w:rsidR="00B82741">
        <w:rPr>
          <w:kern w:val="0"/>
        </w:rPr>
        <w:t xml:space="preserve"> </w:t>
      </w:r>
    </w:p>
    <w:p w:rsidR="001D53C7" w:rsidRPr="007302CD" w:rsidP="007302CD" w14:paraId="67E102E7" w14:textId="57C5BD92">
      <w:pPr>
        <w:spacing w:line="480" w:lineRule="auto"/>
        <w:ind w:firstLine="720"/>
        <w:rPr>
          <w:kern w:val="0"/>
        </w:rPr>
      </w:pPr>
      <w:r w:rsidRPr="00C86CE3">
        <w:rPr>
          <w:kern w:val="0"/>
        </w:rPr>
        <w:t xml:space="preserve">To protect consumers, OCC </w:t>
      </w:r>
      <w:r w:rsidRPr="00C86CE3" w:rsidR="00756F75">
        <w:rPr>
          <w:kern w:val="0"/>
        </w:rPr>
        <w:t xml:space="preserve">in </w:t>
      </w:r>
      <w:r w:rsidRPr="00C86CE3" w:rsidR="00F267A5">
        <w:rPr>
          <w:kern w:val="0"/>
        </w:rPr>
        <w:t>September</w:t>
      </w:r>
      <w:r w:rsidRPr="00C86CE3" w:rsidR="00756F75">
        <w:rPr>
          <w:kern w:val="0"/>
        </w:rPr>
        <w:t xml:space="preserve"> 2023 </w:t>
      </w:r>
      <w:r w:rsidRPr="00C86CE3">
        <w:rPr>
          <w:kern w:val="0"/>
        </w:rPr>
        <w:t xml:space="preserve">filed a complaint regarding supplemental transmission projects at </w:t>
      </w:r>
      <w:r w:rsidRPr="00C86CE3" w:rsidR="004320C5">
        <w:rPr>
          <w:kern w:val="0"/>
        </w:rPr>
        <w:t>FERC</w:t>
      </w:r>
      <w:r w:rsidRPr="00C86CE3">
        <w:rPr>
          <w:kern w:val="0"/>
        </w:rPr>
        <w:t>.</w:t>
      </w:r>
      <w:r>
        <w:rPr>
          <w:rStyle w:val="FootnoteReference"/>
          <w:kern w:val="0"/>
        </w:rPr>
        <w:footnoteReference w:id="6"/>
      </w:r>
      <w:r w:rsidRPr="00C86CE3">
        <w:rPr>
          <w:kern w:val="0"/>
        </w:rPr>
        <w:t xml:space="preserve"> </w:t>
      </w:r>
      <w:r w:rsidRPr="00C86CE3" w:rsidR="000766DB">
        <w:rPr>
          <w:kern w:val="0"/>
        </w:rPr>
        <w:t>In response to the complaint, the PUCO</w:t>
      </w:r>
      <w:r w:rsidR="00C86CE3">
        <w:rPr>
          <w:kern w:val="0"/>
        </w:rPr>
        <w:t>’</w:t>
      </w:r>
      <w:r w:rsidRPr="00C86CE3" w:rsidR="000766DB">
        <w:rPr>
          <w:kern w:val="0"/>
        </w:rPr>
        <w:t xml:space="preserve">s Office of the Federal Energy Advocate agreed that there is a </w:t>
      </w:r>
      <w:r w:rsidR="00C86CE3">
        <w:rPr>
          <w:kern w:val="0"/>
        </w:rPr>
        <w:t>“</w:t>
      </w:r>
      <w:r w:rsidRPr="00C86CE3" w:rsidR="000766DB">
        <w:rPr>
          <w:kern w:val="0"/>
        </w:rPr>
        <w:t>regulatory gap</w:t>
      </w:r>
      <w:r w:rsidR="00C86CE3">
        <w:rPr>
          <w:kern w:val="0"/>
        </w:rPr>
        <w:t>”</w:t>
      </w:r>
      <w:r w:rsidRPr="00C86CE3" w:rsidR="000766DB">
        <w:rPr>
          <w:kern w:val="0"/>
        </w:rPr>
        <w:t xml:space="preserve"> regarding supplemental transmission projects.</w:t>
      </w:r>
      <w:r>
        <w:rPr>
          <w:rStyle w:val="FootnoteReference"/>
          <w:kern w:val="0"/>
        </w:rPr>
        <w:footnoteReference w:id="7"/>
      </w:r>
      <w:r w:rsidRPr="00C86CE3" w:rsidR="000766DB">
        <w:rPr>
          <w:kern w:val="0"/>
        </w:rPr>
        <w:t xml:space="preserve"> </w:t>
      </w:r>
      <w:r w:rsidRPr="00C86CE3">
        <w:rPr>
          <w:kern w:val="0"/>
        </w:rPr>
        <w:t xml:space="preserve">The PUCO should protect consumers in this case by ordering that Rider NMB be collected subject to refund if FERC determines </w:t>
      </w:r>
      <w:r w:rsidRPr="00C86CE3" w:rsidR="00347E4C">
        <w:rPr>
          <w:kern w:val="0"/>
        </w:rPr>
        <w:t>because of</w:t>
      </w:r>
      <w:r w:rsidRPr="00C86CE3">
        <w:rPr>
          <w:kern w:val="0"/>
        </w:rPr>
        <w:t xml:space="preserve"> OCC</w:t>
      </w:r>
      <w:r w:rsidR="00C86CE3">
        <w:rPr>
          <w:kern w:val="0"/>
        </w:rPr>
        <w:t>’</w:t>
      </w:r>
      <w:r w:rsidRPr="00C86CE3">
        <w:rPr>
          <w:kern w:val="0"/>
        </w:rPr>
        <w:t>s complaint that consumers are improperly paying for supplemental transmission projects.</w:t>
      </w:r>
    </w:p>
    <w:p w:rsidR="001D53C7" w:rsidRPr="00C86CE3" w:rsidP="007302CD" w14:paraId="3E394F94" w14:textId="77777777">
      <w:pPr>
        <w:widowControl/>
        <w:overflowPunct/>
        <w:autoSpaceDE w:val="0"/>
        <w:autoSpaceDN w:val="0"/>
        <w:ind w:firstLine="720"/>
        <w:rPr>
          <w:kern w:val="0"/>
        </w:rPr>
      </w:pPr>
      <w:r w:rsidRPr="00C86CE3">
        <w:rPr>
          <w:rFonts w:eastAsia="Calibri"/>
          <w:bCs/>
          <w:kern w:val="0"/>
        </w:rPr>
        <w:t xml:space="preserve"> </w:t>
      </w:r>
    </w:p>
    <w:p w:rsidR="001D53C7" w:rsidRPr="00C86CE3" w:rsidP="001D53C7" w14:paraId="37AEBDAD" w14:textId="0DB9541C">
      <w:pPr>
        <w:pStyle w:val="Heading1"/>
        <w:rPr>
          <w:rFonts w:ascii="Times New Roman" w:hAnsi="Times New Roman"/>
          <w:kern w:val="0"/>
        </w:rPr>
      </w:pPr>
      <w:bookmarkStart w:id="2" w:name="_Toc468980524"/>
      <w:r w:rsidRPr="00C86CE3">
        <w:rPr>
          <w:rFonts w:ascii="Times New Roman" w:hAnsi="Times New Roman"/>
          <w:kern w:val="0"/>
        </w:rPr>
        <w:t xml:space="preserve">II. </w:t>
      </w:r>
      <w:r w:rsidRPr="00C86CE3">
        <w:rPr>
          <w:rFonts w:ascii="Times New Roman" w:hAnsi="Times New Roman"/>
          <w:kern w:val="0"/>
        </w:rPr>
        <w:tab/>
      </w:r>
      <w:bookmarkEnd w:id="2"/>
      <w:r w:rsidRPr="00C86CE3" w:rsidR="00B82741">
        <w:rPr>
          <w:rFonts w:ascii="Times New Roman" w:hAnsi="Times New Roman"/>
          <w:kern w:val="0"/>
        </w:rPr>
        <w:t>To protect consumers, the PUCO should order that Rider NMB be collected subject to refund</w:t>
      </w:r>
    </w:p>
    <w:p w:rsidR="001D53C7" w:rsidRPr="00C86CE3" w:rsidP="00D93367" w14:paraId="45AF78AE" w14:textId="5FB316BE">
      <w:pPr>
        <w:suppressAutoHyphens/>
        <w:spacing w:line="480" w:lineRule="auto"/>
        <w:rPr>
          <w:kern w:val="0"/>
        </w:rPr>
      </w:pPr>
      <w:r w:rsidRPr="00C86CE3">
        <w:rPr>
          <w:kern w:val="0"/>
        </w:rPr>
        <w:tab/>
      </w:r>
      <w:r w:rsidRPr="00C86CE3" w:rsidR="00347E4C">
        <w:rPr>
          <w:kern w:val="0"/>
        </w:rPr>
        <w:t>To</w:t>
      </w:r>
      <w:r w:rsidRPr="00C86CE3">
        <w:rPr>
          <w:kern w:val="0"/>
        </w:rPr>
        <w:t xml:space="preserve"> prevent injury to the public and avoid irreparable harm to </w:t>
      </w:r>
      <w:r w:rsidRPr="00C86CE3" w:rsidR="00B82741">
        <w:rPr>
          <w:kern w:val="0"/>
        </w:rPr>
        <w:t>consumers</w:t>
      </w:r>
      <w:r w:rsidRPr="00C86CE3">
        <w:rPr>
          <w:kern w:val="0"/>
        </w:rPr>
        <w:t xml:space="preserve">, </w:t>
      </w:r>
      <w:r w:rsidRPr="00C86CE3" w:rsidR="00B82741">
        <w:rPr>
          <w:kern w:val="0"/>
        </w:rPr>
        <w:t>OCC</w:t>
      </w:r>
      <w:r w:rsidRPr="00C86CE3">
        <w:rPr>
          <w:kern w:val="0"/>
        </w:rPr>
        <w:t xml:space="preserve"> request</w:t>
      </w:r>
      <w:r w:rsidRPr="00C86CE3" w:rsidR="00B82741">
        <w:rPr>
          <w:kern w:val="0"/>
        </w:rPr>
        <w:t>s</w:t>
      </w:r>
      <w:r w:rsidRPr="00C86CE3">
        <w:rPr>
          <w:kern w:val="0"/>
        </w:rPr>
        <w:t xml:space="preserve"> the PUCO to exercise its discretionary power under </w:t>
      </w:r>
      <w:r w:rsidRPr="00C86CE3" w:rsidR="00347E4C">
        <w:rPr>
          <w:kern w:val="0"/>
        </w:rPr>
        <w:t>Ohio law</w:t>
      </w:r>
      <w:r w:rsidR="00C86CE3">
        <w:rPr>
          <w:kern w:val="0"/>
        </w:rPr>
        <w:t xml:space="preserve"> </w:t>
      </w:r>
      <w:r w:rsidRPr="00C86CE3">
        <w:rPr>
          <w:kern w:val="0"/>
        </w:rPr>
        <w:t xml:space="preserve">to protect the </w:t>
      </w:r>
      <w:r w:rsidRPr="00C86CE3" w:rsidR="00B82741">
        <w:rPr>
          <w:kern w:val="0"/>
        </w:rPr>
        <w:t>consumers</w:t>
      </w:r>
      <w:r w:rsidRPr="00C86CE3">
        <w:rPr>
          <w:kern w:val="0"/>
        </w:rPr>
        <w:t xml:space="preserve"> of FirstEnergy.</w:t>
      </w:r>
      <w:r w:rsidRPr="00C86CE3" w:rsidR="00E95B80">
        <w:rPr>
          <w:kern w:val="0"/>
        </w:rPr>
        <w:t xml:space="preserve"> </w:t>
      </w:r>
      <w:r w:rsidRPr="00C86CE3">
        <w:rPr>
          <w:kern w:val="0"/>
        </w:rPr>
        <w:t>The PUCO</w:t>
      </w:r>
      <w:r w:rsidR="00C86CE3">
        <w:rPr>
          <w:kern w:val="0"/>
        </w:rPr>
        <w:t>’</w:t>
      </w:r>
      <w:r w:rsidRPr="00C86CE3">
        <w:rPr>
          <w:kern w:val="0"/>
        </w:rPr>
        <w:t>s authority</w:t>
      </w:r>
      <w:r w:rsidR="00C86CE3">
        <w:rPr>
          <w:kern w:val="0"/>
        </w:rPr>
        <w:t xml:space="preserve"> </w:t>
      </w:r>
      <w:r w:rsidRPr="00C86CE3">
        <w:rPr>
          <w:kern w:val="0"/>
        </w:rPr>
        <w:t xml:space="preserve">can be found under various statutes </w:t>
      </w:r>
      <w:r w:rsidRPr="00C86CE3" w:rsidR="009F5353">
        <w:rPr>
          <w:kern w:val="0"/>
        </w:rPr>
        <w:t>(including R.C.</w:t>
      </w:r>
      <w:r w:rsidRPr="00C86CE3" w:rsidR="00932060">
        <w:rPr>
          <w:kern w:val="0"/>
        </w:rPr>
        <w:t xml:space="preserve"> 4905.04 and </w:t>
      </w:r>
      <w:r w:rsidR="00EF7675">
        <w:rPr>
          <w:kern w:val="0"/>
        </w:rPr>
        <w:t>R.C. 4905</w:t>
      </w:r>
      <w:r w:rsidRPr="00C86CE3" w:rsidR="00932060">
        <w:rPr>
          <w:kern w:val="0"/>
        </w:rPr>
        <w:t>.06</w:t>
      </w:r>
      <w:r w:rsidRPr="00C86CE3" w:rsidR="009F5353">
        <w:rPr>
          <w:kern w:val="0"/>
        </w:rPr>
        <w:t xml:space="preserve">) </w:t>
      </w:r>
      <w:r w:rsidRPr="00C86CE3">
        <w:rPr>
          <w:kern w:val="0"/>
        </w:rPr>
        <w:t>and case precedent.</w:t>
      </w:r>
      <w:r>
        <w:rPr>
          <w:kern w:val="0"/>
          <w:vertAlign w:val="superscript"/>
        </w:rPr>
        <w:footnoteReference w:id="8"/>
      </w:r>
      <w:r w:rsidRPr="00C86CE3" w:rsidR="00E95B80">
        <w:rPr>
          <w:kern w:val="0"/>
        </w:rPr>
        <w:t xml:space="preserve"> </w:t>
      </w:r>
      <w:r w:rsidRPr="00C86CE3">
        <w:rPr>
          <w:kern w:val="0"/>
        </w:rPr>
        <w:t xml:space="preserve">If the PUCO approves the </w:t>
      </w:r>
      <w:r w:rsidRPr="00C86CE3" w:rsidR="00B82741">
        <w:rPr>
          <w:kern w:val="0"/>
        </w:rPr>
        <w:t>Rider NMB</w:t>
      </w:r>
      <w:r w:rsidRPr="00C86CE3">
        <w:rPr>
          <w:kern w:val="0"/>
        </w:rPr>
        <w:t xml:space="preserve"> tariffs, FirstEnergy</w:t>
      </w:r>
      <w:r w:rsidR="00C86CE3">
        <w:rPr>
          <w:kern w:val="0"/>
        </w:rPr>
        <w:t>’</w:t>
      </w:r>
      <w:r w:rsidRPr="00C86CE3">
        <w:rPr>
          <w:kern w:val="0"/>
        </w:rPr>
        <w:t xml:space="preserve">s </w:t>
      </w:r>
      <w:r w:rsidRPr="00C86CE3" w:rsidR="00B82741">
        <w:rPr>
          <w:kern w:val="0"/>
        </w:rPr>
        <w:t>consumers</w:t>
      </w:r>
      <w:r w:rsidRPr="00C86CE3">
        <w:rPr>
          <w:kern w:val="0"/>
        </w:rPr>
        <w:t xml:space="preserve"> </w:t>
      </w:r>
      <w:r w:rsidRPr="00C86CE3" w:rsidR="00FE0BED">
        <w:rPr>
          <w:kern w:val="0"/>
        </w:rPr>
        <w:t>may</w:t>
      </w:r>
      <w:r w:rsidRPr="00C86CE3">
        <w:rPr>
          <w:kern w:val="0"/>
        </w:rPr>
        <w:t xml:space="preserve"> be required to pay</w:t>
      </w:r>
      <w:r w:rsidR="00C86CE3">
        <w:rPr>
          <w:kern w:val="0"/>
        </w:rPr>
        <w:t xml:space="preserve"> </w:t>
      </w:r>
      <w:r w:rsidRPr="00C86CE3" w:rsidR="009F5353">
        <w:rPr>
          <w:kern w:val="0"/>
        </w:rPr>
        <w:t>for supplemental projects that are neither necessary nor prudent</w:t>
      </w:r>
      <w:r w:rsidRPr="00C86CE3" w:rsidR="00347E4C">
        <w:rPr>
          <w:kern w:val="0"/>
        </w:rPr>
        <w:t>.</w:t>
      </w:r>
      <w:r w:rsidRPr="00C86CE3">
        <w:rPr>
          <w:kern w:val="0"/>
        </w:rPr>
        <w:t xml:space="preserve"> </w:t>
      </w:r>
      <w:r w:rsidRPr="00C86CE3" w:rsidR="000766DB">
        <w:rPr>
          <w:kern w:val="0"/>
        </w:rPr>
        <w:t>As the PUCO</w:t>
      </w:r>
      <w:r w:rsidR="00C86CE3">
        <w:rPr>
          <w:kern w:val="0"/>
        </w:rPr>
        <w:t>’</w:t>
      </w:r>
      <w:r w:rsidRPr="00C86CE3" w:rsidR="000766DB">
        <w:rPr>
          <w:kern w:val="0"/>
        </w:rPr>
        <w:t xml:space="preserve">s Office of the Federal Energy Advocate has said, </w:t>
      </w:r>
      <w:r w:rsidR="00C86CE3">
        <w:rPr>
          <w:kern w:val="0"/>
        </w:rPr>
        <w:t>“</w:t>
      </w:r>
      <w:r w:rsidRPr="00C86CE3" w:rsidR="000766DB">
        <w:rPr>
          <w:kern w:val="0"/>
        </w:rPr>
        <w:t>a serious and escalating number of transmission projects are not receiving sufficient regulatory scrutiny to ensure regulators and the public that – at least with regard to supplemental projects – regional transmission systems are being built in a cost-effective manner.</w:t>
      </w:r>
      <w:r w:rsidR="00C86CE3">
        <w:rPr>
          <w:kern w:val="0"/>
        </w:rPr>
        <w:t>”</w:t>
      </w:r>
      <w:r>
        <w:rPr>
          <w:rStyle w:val="FootnoteReference"/>
          <w:kern w:val="0"/>
        </w:rPr>
        <w:footnoteReference w:id="9"/>
      </w:r>
      <w:r w:rsidRPr="00C86CE3" w:rsidR="000766DB">
        <w:rPr>
          <w:kern w:val="0"/>
        </w:rPr>
        <w:t xml:space="preserve"> </w:t>
      </w:r>
      <w:r w:rsidRPr="00C86CE3" w:rsidR="00347E4C">
        <w:rPr>
          <w:kern w:val="0"/>
        </w:rPr>
        <w:t>A</w:t>
      </w:r>
      <w:r w:rsidRPr="00C86CE3">
        <w:rPr>
          <w:kern w:val="0"/>
        </w:rPr>
        <w:t>nd</w:t>
      </w:r>
      <w:r w:rsidRPr="00C86CE3" w:rsidR="00347E4C">
        <w:rPr>
          <w:kern w:val="0"/>
        </w:rPr>
        <w:t xml:space="preserve"> it</w:t>
      </w:r>
      <w:r w:rsidRPr="00C86CE3">
        <w:rPr>
          <w:kern w:val="0"/>
        </w:rPr>
        <w:t xml:space="preserve"> will be </w:t>
      </w:r>
      <w:r w:rsidRPr="00C86CE3" w:rsidR="00347E4C">
        <w:rPr>
          <w:kern w:val="0"/>
        </w:rPr>
        <w:t>difficult if not impossible</w:t>
      </w:r>
      <w:r w:rsidR="00C86CE3">
        <w:rPr>
          <w:kern w:val="0"/>
        </w:rPr>
        <w:t xml:space="preserve"> </w:t>
      </w:r>
      <w:r w:rsidRPr="00C86CE3">
        <w:rPr>
          <w:kern w:val="0"/>
        </w:rPr>
        <w:t>to get a refund</w:t>
      </w:r>
      <w:r w:rsidR="00C86CE3">
        <w:rPr>
          <w:kern w:val="0"/>
        </w:rPr>
        <w:t xml:space="preserve"> </w:t>
      </w:r>
      <w:r w:rsidRPr="00C86CE3" w:rsidR="00347E4C">
        <w:rPr>
          <w:kern w:val="0"/>
        </w:rPr>
        <w:t xml:space="preserve">if </w:t>
      </w:r>
      <w:r w:rsidRPr="00C86CE3" w:rsidR="00FE0BED">
        <w:rPr>
          <w:kern w:val="0"/>
        </w:rPr>
        <w:t>the charges</w:t>
      </w:r>
      <w:r w:rsidRPr="00C86CE3" w:rsidR="00347E4C">
        <w:rPr>
          <w:kern w:val="0"/>
        </w:rPr>
        <w:t xml:space="preserve"> or the process for review</w:t>
      </w:r>
      <w:r w:rsidR="00C86CE3">
        <w:rPr>
          <w:kern w:val="0"/>
        </w:rPr>
        <w:t xml:space="preserve"> </w:t>
      </w:r>
      <w:r w:rsidRPr="00C86CE3" w:rsidR="00FE0BED">
        <w:rPr>
          <w:kern w:val="0"/>
        </w:rPr>
        <w:t>are</w:t>
      </w:r>
      <w:r w:rsidR="00C86CE3">
        <w:rPr>
          <w:kern w:val="0"/>
        </w:rPr>
        <w:t xml:space="preserve"> </w:t>
      </w:r>
      <w:r w:rsidRPr="00C86CE3">
        <w:rPr>
          <w:kern w:val="0"/>
        </w:rPr>
        <w:t>found</w:t>
      </w:r>
      <w:r w:rsidRPr="00C86CE3" w:rsidR="00FE0BED">
        <w:rPr>
          <w:kern w:val="0"/>
        </w:rPr>
        <w:t xml:space="preserve"> to be</w:t>
      </w:r>
      <w:r w:rsidRPr="00C86CE3">
        <w:rPr>
          <w:kern w:val="0"/>
        </w:rPr>
        <w:t xml:space="preserve"> unlawful</w:t>
      </w:r>
      <w:r w:rsidRPr="00C86CE3" w:rsidR="00B82741">
        <w:rPr>
          <w:kern w:val="0"/>
        </w:rPr>
        <w:t xml:space="preserve"> </w:t>
      </w:r>
      <w:r w:rsidRPr="00C86CE3" w:rsidR="00347E4C">
        <w:rPr>
          <w:kern w:val="0"/>
        </w:rPr>
        <w:t xml:space="preserve">by FERC. </w:t>
      </w:r>
    </w:p>
    <w:p w:rsidR="001D53C7" w:rsidRPr="00C86CE3" w:rsidP="001D53C7" w14:paraId="77B57516" w14:textId="3793BA41">
      <w:pPr>
        <w:tabs>
          <w:tab w:val="left" w:pos="-720"/>
        </w:tabs>
        <w:suppressAutoHyphens/>
        <w:spacing w:line="480" w:lineRule="auto"/>
        <w:ind w:firstLine="720"/>
        <w:rPr>
          <w:kern w:val="0"/>
        </w:rPr>
      </w:pPr>
      <w:r w:rsidRPr="00C86CE3">
        <w:rPr>
          <w:kern w:val="0"/>
        </w:rPr>
        <w:t xml:space="preserve">Indeed, the </w:t>
      </w:r>
      <w:r w:rsidRPr="00C86CE3" w:rsidR="00B82741">
        <w:rPr>
          <w:kern w:val="0"/>
        </w:rPr>
        <w:t xml:space="preserve">Ohio Supreme </w:t>
      </w:r>
      <w:r w:rsidRPr="00C86CE3">
        <w:rPr>
          <w:kern w:val="0"/>
        </w:rPr>
        <w:t xml:space="preserve">Court recognized there is an apparent unfairness when a decision is determined to be </w:t>
      </w:r>
      <w:r w:rsidRPr="00C86CE3" w:rsidR="00C72747">
        <w:rPr>
          <w:kern w:val="0"/>
        </w:rPr>
        <w:t>unlawful,</w:t>
      </w:r>
      <w:r w:rsidRPr="00C86CE3">
        <w:rPr>
          <w:kern w:val="0"/>
        </w:rPr>
        <w:t xml:space="preserve"> yet </w:t>
      </w:r>
      <w:r w:rsidRPr="00C86CE3" w:rsidR="00B82741">
        <w:rPr>
          <w:kern w:val="0"/>
        </w:rPr>
        <w:t>consumers</w:t>
      </w:r>
      <w:r w:rsidRPr="00C86CE3">
        <w:rPr>
          <w:kern w:val="0"/>
        </w:rPr>
        <w:t xml:space="preserve"> get no refund of charges</w:t>
      </w:r>
      <w:r w:rsidR="00C86CE3">
        <w:rPr>
          <w:kern w:val="0"/>
        </w:rPr>
        <w:t xml:space="preserve"> </w:t>
      </w:r>
      <w:r w:rsidRPr="00C86CE3" w:rsidR="002F6A3B">
        <w:rPr>
          <w:kern w:val="0"/>
        </w:rPr>
        <w:t>that were unlawful from the get-go.</w:t>
      </w:r>
      <w:r>
        <w:rPr>
          <w:rStyle w:val="FootnoteReference"/>
          <w:kern w:val="0"/>
        </w:rPr>
        <w:footnoteReference w:id="10"/>
      </w:r>
      <w:r w:rsidRPr="00C86CE3" w:rsidR="00E95B80">
        <w:rPr>
          <w:kern w:val="0"/>
        </w:rPr>
        <w:t xml:space="preserve"> </w:t>
      </w:r>
      <w:r w:rsidRPr="00C86CE3">
        <w:rPr>
          <w:kern w:val="0"/>
        </w:rPr>
        <w:t xml:space="preserve">However, if the PUCO directs that the </w:t>
      </w:r>
      <w:r w:rsidRPr="00C86CE3" w:rsidR="00B82741">
        <w:rPr>
          <w:kern w:val="0"/>
        </w:rPr>
        <w:t>Rider NMB</w:t>
      </w:r>
      <w:r w:rsidRPr="00C86CE3">
        <w:rPr>
          <w:kern w:val="0"/>
        </w:rPr>
        <w:t xml:space="preserve"> be collected subject to refund, the PUCO can avoid these unfair and unjust results.</w:t>
      </w:r>
      <w:r w:rsidRPr="00C86CE3" w:rsidR="00E95B80">
        <w:rPr>
          <w:kern w:val="0"/>
        </w:rPr>
        <w:t xml:space="preserve"> </w:t>
      </w:r>
    </w:p>
    <w:p w:rsidR="00B82741" w:rsidRPr="00C86CE3" w:rsidP="00B82741" w14:paraId="0759D0F2" w14:textId="4546FD9B">
      <w:pPr>
        <w:spacing w:line="480" w:lineRule="auto"/>
        <w:ind w:firstLine="720"/>
        <w:rPr>
          <w:kern w:val="0"/>
        </w:rPr>
      </w:pPr>
      <w:r w:rsidRPr="00C86CE3">
        <w:rPr>
          <w:kern w:val="0"/>
        </w:rPr>
        <w:t>The PUCO has acted to prevent harm from occurring by ordering utilit</w:t>
      </w:r>
      <w:r w:rsidRPr="00C86CE3" w:rsidR="002F6A3B">
        <w:rPr>
          <w:kern w:val="0"/>
        </w:rPr>
        <w:t xml:space="preserve">ies </w:t>
      </w:r>
      <w:r w:rsidRPr="00C86CE3">
        <w:rPr>
          <w:kern w:val="0"/>
        </w:rPr>
        <w:t xml:space="preserve">to collect an existing rate increase subject to refund and subject to appropriate interest charges. The PUCO has used this approach to permit it to explore the reasonableness of rates in light of events that occurred after the issuance of its orders. For instance, the </w:t>
      </w:r>
      <w:r w:rsidRPr="00C86CE3" w:rsidR="00FE0BED">
        <w:rPr>
          <w:kern w:val="0"/>
        </w:rPr>
        <w:t>PUCO</w:t>
      </w:r>
      <w:r w:rsidRPr="00C86CE3">
        <w:rPr>
          <w:kern w:val="0"/>
        </w:rPr>
        <w:t xml:space="preserve"> granted rehearing and ordered rates to be collected subject to refund in a rate case filed by the Columbus &amp; Southern Ohio Electric Company.</w:t>
      </w:r>
      <w:r>
        <w:rPr>
          <w:rStyle w:val="FootnoteReference"/>
          <w:kern w:val="0"/>
        </w:rPr>
        <w:footnoteReference w:id="11"/>
      </w:r>
      <w:r w:rsidRPr="00C86CE3">
        <w:rPr>
          <w:kern w:val="0"/>
        </w:rPr>
        <w:t xml:space="preserve"> In that rate case, one week after the issuance of the PUCO</w:t>
      </w:r>
      <w:r w:rsidR="00C86CE3">
        <w:rPr>
          <w:kern w:val="0"/>
        </w:rPr>
        <w:t>’</w:t>
      </w:r>
      <w:r w:rsidRPr="00C86CE3">
        <w:rPr>
          <w:kern w:val="0"/>
        </w:rPr>
        <w:t>s rate order, the Nuclear Regulatory Commission issued an Order that suspended construction at the Zimmer Nuclear Power Plant (</w:t>
      </w:r>
      <w:r w:rsidR="00C86CE3">
        <w:rPr>
          <w:kern w:val="0"/>
        </w:rPr>
        <w:t>“</w:t>
      </w:r>
      <w:r w:rsidRPr="00C86CE3">
        <w:rPr>
          <w:kern w:val="0"/>
        </w:rPr>
        <w:t>Zimmer</w:t>
      </w:r>
      <w:r w:rsidR="00C86CE3">
        <w:rPr>
          <w:kern w:val="0"/>
        </w:rPr>
        <w:t>”</w:t>
      </w:r>
      <w:r w:rsidRPr="00C86CE3">
        <w:rPr>
          <w:kern w:val="0"/>
        </w:rPr>
        <w:t>). The original Opinion and Order included a rate base allowance for construction work in progress (</w:t>
      </w:r>
      <w:r w:rsidR="00C86CE3">
        <w:rPr>
          <w:kern w:val="0"/>
        </w:rPr>
        <w:t>“</w:t>
      </w:r>
      <w:r w:rsidRPr="00C86CE3">
        <w:rPr>
          <w:kern w:val="0"/>
        </w:rPr>
        <w:t>CWIP</w:t>
      </w:r>
      <w:r w:rsidR="00C86CE3">
        <w:rPr>
          <w:kern w:val="0"/>
        </w:rPr>
        <w:t>”</w:t>
      </w:r>
      <w:r w:rsidRPr="00C86CE3">
        <w:rPr>
          <w:kern w:val="0"/>
        </w:rPr>
        <w:t>) for Zimmer.</w:t>
      </w:r>
      <w:r>
        <w:rPr>
          <w:rStyle w:val="FootnoteReference"/>
          <w:kern w:val="0"/>
        </w:rPr>
        <w:footnoteReference w:id="12"/>
      </w:r>
      <w:r w:rsidRPr="00C86CE3">
        <w:rPr>
          <w:kern w:val="0"/>
        </w:rPr>
        <w:t xml:space="preserve"> </w:t>
      </w:r>
    </w:p>
    <w:p w:rsidR="00FE0BED" w:rsidRPr="00C86CE3" w:rsidP="005C6EB5" w14:paraId="64F4E31F" w14:textId="6024A993">
      <w:pPr>
        <w:spacing w:line="480" w:lineRule="auto"/>
        <w:ind w:firstLine="720"/>
        <w:rPr>
          <w:kern w:val="0"/>
        </w:rPr>
      </w:pPr>
      <w:r w:rsidRPr="00C86CE3">
        <w:rPr>
          <w:kern w:val="0"/>
        </w:rPr>
        <w:t>In its order setting the rehearing, the PUCO approved the utility</w:t>
      </w:r>
      <w:r w:rsidR="00C86CE3">
        <w:rPr>
          <w:kern w:val="0"/>
        </w:rPr>
        <w:t>’</w:t>
      </w:r>
      <w:r w:rsidRPr="00C86CE3">
        <w:rPr>
          <w:kern w:val="0"/>
        </w:rPr>
        <w:t xml:space="preserve">s filed tariffs but expressly found the portion of the increase granted attributable to Zimmer CWIP </w:t>
      </w:r>
      <w:r w:rsidR="00C86CE3">
        <w:rPr>
          <w:kern w:val="0"/>
        </w:rPr>
        <w:t>“</w:t>
      </w:r>
      <w:r w:rsidRPr="00C86CE3">
        <w:rPr>
          <w:kern w:val="0"/>
        </w:rPr>
        <w:t>should be made subject to refund, pending a rehearing on the CWIP issue.</w:t>
      </w:r>
      <w:r w:rsidR="00C86CE3">
        <w:rPr>
          <w:kern w:val="0"/>
        </w:rPr>
        <w:t>”</w:t>
      </w:r>
      <w:r>
        <w:rPr>
          <w:rStyle w:val="FootnoteReference"/>
          <w:kern w:val="0"/>
        </w:rPr>
        <w:footnoteReference w:id="13"/>
      </w:r>
      <w:r w:rsidRPr="00C86CE3">
        <w:rPr>
          <w:kern w:val="0"/>
        </w:rPr>
        <w:t xml:space="preserve"> A rehearing was </w:t>
      </w:r>
      <w:r w:rsidRPr="00C86CE3" w:rsidR="00AE3B30">
        <w:rPr>
          <w:kern w:val="0"/>
        </w:rPr>
        <w:t>held,</w:t>
      </w:r>
      <w:r w:rsidRPr="00C86CE3">
        <w:rPr>
          <w:kern w:val="0"/>
        </w:rPr>
        <w:t xml:space="preserve"> and the PUCO ordered that all of the Zimmer costs should be excluded from CWIP. The PUCO ordered the utility to file tariffs reducing the total revenue requirements by approximately $13 million.</w:t>
      </w:r>
      <w:r>
        <w:rPr>
          <w:rStyle w:val="FootnoteReference"/>
          <w:kern w:val="0"/>
        </w:rPr>
        <w:footnoteReference w:id="14"/>
      </w:r>
      <w:r w:rsidRPr="00C86CE3">
        <w:rPr>
          <w:kern w:val="0"/>
        </w:rPr>
        <w:t xml:space="preserve"> </w:t>
      </w:r>
    </w:p>
    <w:p w:rsidR="00B82741" w:rsidRPr="00C86CE3" w:rsidP="005C6EB5" w14:paraId="1BB18272" w14:textId="55C00007">
      <w:pPr>
        <w:spacing w:line="480" w:lineRule="auto"/>
        <w:ind w:firstLine="720"/>
        <w:rPr>
          <w:kern w:val="0"/>
        </w:rPr>
      </w:pPr>
      <w:r w:rsidRPr="00C86CE3">
        <w:rPr>
          <w:kern w:val="0"/>
        </w:rPr>
        <w:t>The utility appealed and sought a stay of the PUCO</w:t>
      </w:r>
      <w:r w:rsidR="00C86CE3">
        <w:rPr>
          <w:kern w:val="0"/>
        </w:rPr>
        <w:t>’</w:t>
      </w:r>
      <w:r w:rsidRPr="00C86CE3">
        <w:rPr>
          <w:kern w:val="0"/>
        </w:rPr>
        <w:t>s Order on Rehearing from the Supreme Court of Ohio. The Court granted the stay but subsequently affirmed the PUCO</w:t>
      </w:r>
      <w:r w:rsidR="00C86CE3">
        <w:rPr>
          <w:kern w:val="0"/>
        </w:rPr>
        <w:t>’</w:t>
      </w:r>
      <w:r w:rsidRPr="00C86CE3">
        <w:rPr>
          <w:kern w:val="0"/>
        </w:rPr>
        <w:t>s denial of a CWIP allowance.</w:t>
      </w:r>
      <w:r>
        <w:rPr>
          <w:rStyle w:val="FootnoteReference"/>
          <w:kern w:val="0"/>
        </w:rPr>
        <w:footnoteReference w:id="15"/>
      </w:r>
      <w:r w:rsidRPr="00C86CE3">
        <w:rPr>
          <w:kern w:val="0"/>
        </w:rPr>
        <w:t xml:space="preserve"> After the PUCO</w:t>
      </w:r>
      <w:r w:rsidR="00C86CE3">
        <w:rPr>
          <w:kern w:val="0"/>
        </w:rPr>
        <w:t>’</w:t>
      </w:r>
      <w:r w:rsidRPr="00C86CE3">
        <w:rPr>
          <w:kern w:val="0"/>
        </w:rPr>
        <w:t>s action was upheld on appeal,</w:t>
      </w:r>
      <w:r>
        <w:rPr>
          <w:rStyle w:val="FootnoteReference"/>
          <w:kern w:val="0"/>
        </w:rPr>
        <w:footnoteReference w:id="16"/>
      </w:r>
      <w:r w:rsidRPr="00C86CE3">
        <w:rPr>
          <w:kern w:val="0"/>
        </w:rPr>
        <w:t xml:space="preserve"> the PUCO ordered the utility to refund approximately $4.5 million to its customers.</w:t>
      </w:r>
      <w:r>
        <w:rPr>
          <w:rStyle w:val="FootnoteReference"/>
          <w:kern w:val="0"/>
        </w:rPr>
        <w:footnoteReference w:id="17"/>
      </w:r>
      <w:r w:rsidRPr="00C86CE3">
        <w:rPr>
          <w:kern w:val="0"/>
        </w:rPr>
        <w:t xml:space="preserve"> The PUCO ordered the collection, subject to refund to protect customers in the event of a later decision that the utility was collecting more from customers than warranted by law, rule, or reason. </w:t>
      </w:r>
    </w:p>
    <w:p w:rsidR="006877A6" w:rsidP="00B82741" w14:paraId="03E6218A" w14:textId="713A4032">
      <w:pPr>
        <w:spacing w:line="480" w:lineRule="auto"/>
        <w:ind w:firstLine="720"/>
        <w:rPr>
          <w:kern w:val="0"/>
        </w:rPr>
      </w:pPr>
      <w:r w:rsidRPr="00C86CE3">
        <w:rPr>
          <w:kern w:val="0"/>
        </w:rPr>
        <w:t>Another example where the PUCO has collected rates subject to refund involved the Ohio Utilities Company.</w:t>
      </w:r>
      <w:r>
        <w:rPr>
          <w:rStyle w:val="FootnoteReference"/>
          <w:kern w:val="0"/>
        </w:rPr>
        <w:footnoteReference w:id="18"/>
      </w:r>
      <w:r w:rsidRPr="00C86CE3">
        <w:rPr>
          <w:kern w:val="0"/>
        </w:rPr>
        <w:t xml:space="preserve"> After a rate order was issued,</w:t>
      </w:r>
      <w:r>
        <w:rPr>
          <w:rStyle w:val="FootnoteReference"/>
          <w:kern w:val="0"/>
        </w:rPr>
        <w:footnoteReference w:id="19"/>
      </w:r>
      <w:r w:rsidRPr="00C86CE3">
        <w:rPr>
          <w:kern w:val="0"/>
        </w:rPr>
        <w:t xml:space="preserve"> legislation was enacted that changed Ohio</w:t>
      </w:r>
      <w:r w:rsidR="00C86CE3">
        <w:rPr>
          <w:kern w:val="0"/>
        </w:rPr>
        <w:t>’</w:t>
      </w:r>
      <w:r w:rsidRPr="00C86CE3">
        <w:rPr>
          <w:kern w:val="0"/>
        </w:rPr>
        <w:t>s ratemaking formula. The PUCO opened an investigation to determine if the previously-established rates were still reasonable in light of the new law.</w:t>
      </w:r>
      <w:r>
        <w:rPr>
          <w:rStyle w:val="FootnoteReference"/>
          <w:kern w:val="0"/>
        </w:rPr>
        <w:footnoteReference w:id="20"/>
      </w:r>
      <w:r w:rsidRPr="00C86CE3">
        <w:rPr>
          <w:kern w:val="0"/>
        </w:rPr>
        <w:t xml:space="preserve"> The PUCO determined that the rates were excessive, taking into account the new law, and ordered the utility to withdraw its tariffs and file new lower rates consistent with the PUCO</w:t>
      </w:r>
      <w:r w:rsidR="00C86CE3">
        <w:rPr>
          <w:kern w:val="0"/>
        </w:rPr>
        <w:t>’</w:t>
      </w:r>
      <w:r w:rsidRPr="00C86CE3">
        <w:rPr>
          <w:kern w:val="0"/>
        </w:rPr>
        <w:t>s findings.</w:t>
      </w:r>
      <w:r>
        <w:rPr>
          <w:rStyle w:val="FootnoteReference"/>
          <w:kern w:val="0"/>
        </w:rPr>
        <w:footnoteReference w:id="21"/>
      </w:r>
      <w:r w:rsidRPr="00C86CE3">
        <w:rPr>
          <w:kern w:val="0"/>
        </w:rPr>
        <w:t xml:space="preserve"> The utility sought a stay of the PUCO</w:t>
      </w:r>
      <w:r w:rsidR="00C86CE3">
        <w:rPr>
          <w:kern w:val="0"/>
        </w:rPr>
        <w:t>’</w:t>
      </w:r>
      <w:r w:rsidRPr="00C86CE3">
        <w:rPr>
          <w:kern w:val="0"/>
        </w:rPr>
        <w:t>s order, pending further review, which was granted with the condition that the utility was required to collect rates subject to refund.</w:t>
      </w:r>
      <w:r>
        <w:rPr>
          <w:rStyle w:val="FootnoteReference"/>
          <w:kern w:val="0"/>
        </w:rPr>
        <w:footnoteReference w:id="22"/>
      </w:r>
      <w:r w:rsidRPr="00C86CE3">
        <w:rPr>
          <w:kern w:val="0"/>
        </w:rPr>
        <w:t xml:space="preserve"> </w:t>
      </w:r>
    </w:p>
    <w:p w:rsidR="006877A6" w14:paraId="62BDA8DD" w14:textId="77777777">
      <w:pPr>
        <w:widowControl/>
        <w:overflowPunct/>
        <w:adjustRightInd/>
        <w:rPr>
          <w:kern w:val="0"/>
        </w:rPr>
      </w:pPr>
      <w:r>
        <w:rPr>
          <w:kern w:val="0"/>
        </w:rPr>
        <w:br w:type="page"/>
      </w:r>
    </w:p>
    <w:p w:rsidR="00B82741" w:rsidRPr="00C86CE3" w:rsidP="00B82741" w14:paraId="2EA1619B" w14:textId="755BCE57">
      <w:pPr>
        <w:spacing w:line="480" w:lineRule="auto"/>
        <w:ind w:firstLine="720"/>
        <w:rPr>
          <w:kern w:val="0"/>
        </w:rPr>
      </w:pPr>
      <w:r w:rsidRPr="00C86CE3">
        <w:rPr>
          <w:kern w:val="0"/>
        </w:rPr>
        <w:t xml:space="preserve">In cases involving AEP and </w:t>
      </w:r>
      <w:r w:rsidRPr="00C86CE3" w:rsidR="00993ABE">
        <w:rPr>
          <w:kern w:val="0"/>
        </w:rPr>
        <w:t>Dayton Power &amp; Light</w:t>
      </w:r>
      <w:r w:rsidRPr="00C86CE3">
        <w:rPr>
          <w:kern w:val="0"/>
        </w:rPr>
        <w:t>, the PUCO also protected consumers by making charges subject to refund. In the</w:t>
      </w:r>
      <w:r w:rsidRPr="00C86CE3">
        <w:rPr>
          <w:kern w:val="0"/>
        </w:rPr>
        <w:t xml:space="preserve"> case involving AEP</w:t>
      </w:r>
      <w:r w:rsidR="00C86CE3">
        <w:rPr>
          <w:kern w:val="0"/>
        </w:rPr>
        <w:t>’</w:t>
      </w:r>
      <w:r w:rsidRPr="00C86CE3">
        <w:rPr>
          <w:kern w:val="0"/>
        </w:rPr>
        <w:t>s Rate Stability Rider</w:t>
      </w:r>
      <w:r w:rsidRPr="00C86CE3" w:rsidR="000719DF">
        <w:rPr>
          <w:kern w:val="0"/>
        </w:rPr>
        <w:t xml:space="preserve"> (</w:t>
      </w:r>
      <w:r w:rsidR="00C86CE3">
        <w:rPr>
          <w:kern w:val="0"/>
        </w:rPr>
        <w:t>“</w:t>
      </w:r>
      <w:r w:rsidRPr="00C86CE3" w:rsidR="000719DF">
        <w:rPr>
          <w:kern w:val="0"/>
        </w:rPr>
        <w:t>RSR</w:t>
      </w:r>
      <w:r w:rsidR="00C86CE3">
        <w:rPr>
          <w:kern w:val="0"/>
        </w:rPr>
        <w:t>”</w:t>
      </w:r>
      <w:r w:rsidRPr="00C86CE3" w:rsidR="000719DF">
        <w:rPr>
          <w:kern w:val="0"/>
        </w:rPr>
        <w:t>)</w:t>
      </w:r>
      <w:r w:rsidRPr="00C86CE3">
        <w:rPr>
          <w:kern w:val="0"/>
        </w:rPr>
        <w:t>, the PUCO ordered that the RSR be collected subject to refund after the case was remanded by the Court.</w:t>
      </w:r>
      <w:r>
        <w:rPr>
          <w:rStyle w:val="FootnoteReference"/>
          <w:kern w:val="0"/>
        </w:rPr>
        <w:footnoteReference w:id="23"/>
      </w:r>
      <w:r w:rsidRPr="00C86CE3">
        <w:rPr>
          <w:kern w:val="0"/>
        </w:rPr>
        <w:t xml:space="preserve"> The PUCO </w:t>
      </w:r>
      <w:r w:rsidR="00C86CE3">
        <w:rPr>
          <w:kern w:val="0"/>
        </w:rPr>
        <w:t>“</w:t>
      </w:r>
      <w:r w:rsidRPr="00C86CE3">
        <w:rPr>
          <w:kern w:val="0"/>
        </w:rPr>
        <w:t>direct[ed] AEP Ohio to file revised tariffs that provide that the RSR is being collected subject to refund</w:t>
      </w:r>
      <w:r w:rsidR="00C86CE3">
        <w:rPr>
          <w:kern w:val="0"/>
        </w:rPr>
        <w:t>”</w:t>
      </w:r>
      <w:r w:rsidRPr="00C86CE3">
        <w:rPr>
          <w:kern w:val="0"/>
        </w:rPr>
        <w:t xml:space="preserve"> in order to protect consumers from irreparable harm – continuing to pay the RSR without the potential of getting a refund.</w:t>
      </w:r>
      <w:r>
        <w:rPr>
          <w:rStyle w:val="FootnoteReference"/>
          <w:kern w:val="0"/>
        </w:rPr>
        <w:footnoteReference w:id="24"/>
      </w:r>
      <w:r w:rsidRPr="00C86CE3">
        <w:rPr>
          <w:kern w:val="0"/>
        </w:rPr>
        <w:t xml:space="preserve"> In the case involving </w:t>
      </w:r>
      <w:r w:rsidRPr="00C86CE3" w:rsidR="00993ABE">
        <w:rPr>
          <w:kern w:val="0"/>
        </w:rPr>
        <w:t>Dayton Power &amp; Light</w:t>
      </w:r>
      <w:r w:rsidR="00C86CE3">
        <w:rPr>
          <w:kern w:val="0"/>
        </w:rPr>
        <w:t>’</w:t>
      </w:r>
      <w:r w:rsidRPr="00C86CE3" w:rsidR="00993ABE">
        <w:rPr>
          <w:kern w:val="0"/>
        </w:rPr>
        <w:t>s</w:t>
      </w:r>
      <w:r w:rsidRPr="00C86CE3">
        <w:rPr>
          <w:kern w:val="0"/>
        </w:rPr>
        <w:t xml:space="preserve"> Rate Stability Charge (</w:t>
      </w:r>
      <w:r w:rsidR="00C86CE3">
        <w:rPr>
          <w:kern w:val="0"/>
        </w:rPr>
        <w:t>“</w:t>
      </w:r>
      <w:r w:rsidRPr="00C86CE3">
        <w:rPr>
          <w:kern w:val="0"/>
        </w:rPr>
        <w:t>RSC</w:t>
      </w:r>
      <w:r w:rsidR="00C86CE3">
        <w:rPr>
          <w:kern w:val="0"/>
        </w:rPr>
        <w:t>”</w:t>
      </w:r>
      <w:r w:rsidRPr="00C86CE3">
        <w:rPr>
          <w:kern w:val="0"/>
        </w:rPr>
        <w:t xml:space="preserve">), the PUCO said that </w:t>
      </w:r>
      <w:r w:rsidRPr="00C86CE3" w:rsidR="00993ABE">
        <w:rPr>
          <w:kern w:val="0"/>
        </w:rPr>
        <w:t xml:space="preserve">it did </w:t>
      </w:r>
      <w:r w:rsidR="00C86CE3">
        <w:rPr>
          <w:kern w:val="0"/>
        </w:rPr>
        <w:t>“</w:t>
      </w:r>
      <w:r w:rsidRPr="00C86CE3" w:rsidR="00993ABE">
        <w:rPr>
          <w:kern w:val="0"/>
        </w:rPr>
        <w:t>not seek to evade Supreme Court review of [its] decisions</w:t>
      </w:r>
      <w:r w:rsidR="00C86CE3">
        <w:rPr>
          <w:kern w:val="0"/>
        </w:rPr>
        <w:t>”</w:t>
      </w:r>
      <w:r w:rsidRPr="00C86CE3" w:rsidR="00993ABE">
        <w:rPr>
          <w:kern w:val="0"/>
        </w:rPr>
        <w:t xml:space="preserve"> and made collection from consumers of charges under the RSC subject to refund.</w:t>
      </w:r>
      <w:r>
        <w:rPr>
          <w:rStyle w:val="FootnoteReference"/>
          <w:kern w:val="0"/>
        </w:rPr>
        <w:footnoteReference w:id="25"/>
      </w:r>
      <w:r w:rsidRPr="00C86CE3">
        <w:rPr>
          <w:kern w:val="0"/>
        </w:rPr>
        <w:t xml:space="preserve"> </w:t>
      </w:r>
    </w:p>
    <w:p w:rsidR="00C72747" w:rsidRPr="00C86CE3" w:rsidP="00122F93" w14:paraId="65942383" w14:textId="2CA41FC3">
      <w:pPr>
        <w:spacing w:line="480" w:lineRule="auto"/>
        <w:ind w:firstLine="720"/>
        <w:rPr>
          <w:kern w:val="0"/>
        </w:rPr>
      </w:pPr>
      <w:r w:rsidRPr="00C86CE3">
        <w:rPr>
          <w:kern w:val="0"/>
        </w:rPr>
        <w:t xml:space="preserve">The PUCO can act now to prevent harm to consumers from supplemental transmission projects. It should do so. The PUCO should order that Rider NMB charges </w:t>
      </w:r>
    </w:p>
    <w:p w:rsidR="00B82741" w:rsidRPr="00C86CE3" w:rsidP="00C72747" w14:paraId="002A532D" w14:textId="0AD80BAE">
      <w:pPr>
        <w:spacing w:line="480" w:lineRule="auto"/>
        <w:rPr>
          <w:kern w:val="0"/>
        </w:rPr>
      </w:pPr>
      <w:r w:rsidRPr="00C86CE3">
        <w:rPr>
          <w:kern w:val="0"/>
        </w:rPr>
        <w:t xml:space="preserve">be collected subject to refund if FERC determines that consumers are improperly paying for </w:t>
      </w:r>
      <w:r w:rsidRPr="00C86CE3" w:rsidR="002F6A3B">
        <w:rPr>
          <w:kern w:val="0"/>
        </w:rPr>
        <w:t xml:space="preserve">unreviewed </w:t>
      </w:r>
      <w:r w:rsidRPr="00C86CE3">
        <w:rPr>
          <w:kern w:val="0"/>
        </w:rPr>
        <w:t>supplemental transmission projects.</w:t>
      </w:r>
    </w:p>
    <w:p w:rsidR="001D53C7" w:rsidRPr="00C86CE3" w:rsidP="001D53C7" w14:paraId="72C58CFB" w14:textId="77777777">
      <w:pPr>
        <w:tabs>
          <w:tab w:val="left" w:pos="-720"/>
        </w:tabs>
        <w:suppressAutoHyphens/>
        <w:ind w:firstLine="720"/>
        <w:rPr>
          <w:kern w:val="0"/>
        </w:rPr>
      </w:pPr>
    </w:p>
    <w:p w:rsidR="001D53C7" w:rsidRPr="00C86CE3" w14:paraId="1FBE7CC3" w14:textId="77777777">
      <w:pPr>
        <w:pStyle w:val="Heading1"/>
        <w:rPr>
          <w:rFonts w:ascii="Times New Roman" w:hAnsi="Times New Roman"/>
          <w:kern w:val="0"/>
        </w:rPr>
      </w:pPr>
      <w:bookmarkStart w:id="3" w:name="_Toc318800503"/>
      <w:bookmarkStart w:id="4" w:name="_Toc468980530"/>
      <w:r w:rsidRPr="00C86CE3">
        <w:rPr>
          <w:rFonts w:ascii="Times New Roman" w:hAnsi="Times New Roman"/>
          <w:kern w:val="0"/>
        </w:rPr>
        <w:t>I</w:t>
      </w:r>
      <w:r w:rsidRPr="00C86CE3" w:rsidR="00851B15">
        <w:rPr>
          <w:rFonts w:ascii="Times New Roman" w:hAnsi="Times New Roman"/>
          <w:kern w:val="0"/>
        </w:rPr>
        <w:t>ii</w:t>
      </w:r>
      <w:r w:rsidRPr="00C86CE3">
        <w:rPr>
          <w:rFonts w:ascii="Times New Roman" w:hAnsi="Times New Roman"/>
          <w:kern w:val="0"/>
        </w:rPr>
        <w:t>.</w:t>
      </w:r>
      <w:r w:rsidRPr="00C86CE3">
        <w:rPr>
          <w:rFonts w:ascii="Times New Roman" w:hAnsi="Times New Roman"/>
          <w:kern w:val="0"/>
        </w:rPr>
        <w:tab/>
        <w:t>CONCLUSION</w:t>
      </w:r>
      <w:bookmarkEnd w:id="3"/>
      <w:bookmarkEnd w:id="4"/>
    </w:p>
    <w:p w:rsidR="00DE098E" w:rsidP="004571EE" w14:paraId="4F530522" w14:textId="51CF4C35">
      <w:pPr>
        <w:spacing w:line="480" w:lineRule="auto"/>
        <w:ind w:firstLine="720"/>
        <w:rPr>
          <w:kern w:val="0"/>
        </w:rPr>
      </w:pPr>
      <w:r w:rsidRPr="00C86CE3">
        <w:rPr>
          <w:kern w:val="0"/>
        </w:rPr>
        <w:t xml:space="preserve">To protect customers from unnecessary and unlawful charges, the PUCO should order that Rider NMB charges be collected subject to refund </w:t>
      </w:r>
      <w:r w:rsidRPr="00C86CE3" w:rsidR="002F6A3B">
        <w:rPr>
          <w:kern w:val="0"/>
        </w:rPr>
        <w:t>if</w:t>
      </w:r>
      <w:r w:rsidR="00C86CE3">
        <w:rPr>
          <w:kern w:val="0"/>
        </w:rPr>
        <w:t xml:space="preserve"> </w:t>
      </w:r>
      <w:r w:rsidRPr="00C86CE3">
        <w:rPr>
          <w:kern w:val="0"/>
        </w:rPr>
        <w:t>FERC determines that consumers are improperly paying for supplemental transmission projects.</w:t>
      </w:r>
    </w:p>
    <w:p w:rsidR="00DE098E" w14:paraId="18AB6FDD" w14:textId="77777777">
      <w:pPr>
        <w:widowControl/>
        <w:overflowPunct/>
        <w:adjustRightInd/>
        <w:rPr>
          <w:kern w:val="0"/>
        </w:rPr>
      </w:pPr>
      <w:r>
        <w:rPr>
          <w:kern w:val="0"/>
        </w:rPr>
        <w:br w:type="page"/>
      </w:r>
    </w:p>
    <w:p w:rsidR="004571EE" w:rsidRPr="00C86CE3" w:rsidP="004571EE" w14:paraId="3EF8BE52" w14:textId="77777777">
      <w:pPr>
        <w:pStyle w:val="BodyTextIndent3"/>
        <w:widowControl w:val="0"/>
        <w:spacing w:line="240" w:lineRule="auto"/>
        <w:ind w:firstLine="4320"/>
        <w:rPr>
          <w:rFonts w:cs="Times New Roman"/>
          <w:spacing w:val="0"/>
          <w:kern w:val="0"/>
        </w:rPr>
      </w:pPr>
      <w:r w:rsidRPr="00C86CE3">
        <w:rPr>
          <w:rFonts w:cs="Times New Roman"/>
          <w:spacing w:val="0"/>
          <w:kern w:val="0"/>
        </w:rPr>
        <w:t>Respectfully submitted,</w:t>
      </w:r>
    </w:p>
    <w:p w:rsidR="004571EE" w:rsidRPr="00C86CE3" w:rsidP="004571EE" w14:paraId="67AA28E0" w14:textId="77777777">
      <w:pPr>
        <w:pStyle w:val="BodyTextIndent3"/>
        <w:widowControl w:val="0"/>
        <w:spacing w:line="240" w:lineRule="auto"/>
        <w:ind w:firstLine="4320"/>
        <w:rPr>
          <w:rFonts w:cs="Times New Roman"/>
          <w:spacing w:val="0"/>
          <w:kern w:val="0"/>
        </w:rPr>
      </w:pPr>
    </w:p>
    <w:p w:rsidR="004571EE" w:rsidRPr="00C86CE3" w:rsidP="004571EE" w14:paraId="05EF1875" w14:textId="77777777">
      <w:pPr>
        <w:tabs>
          <w:tab w:val="left" w:pos="8730"/>
        </w:tabs>
        <w:ind w:left="4320"/>
        <w:rPr>
          <w:kern w:val="0"/>
        </w:rPr>
      </w:pPr>
      <w:r w:rsidRPr="00C86CE3">
        <w:rPr>
          <w:kern w:val="0"/>
        </w:rPr>
        <w:t xml:space="preserve">Maureen R. Willis (0020847) </w:t>
      </w:r>
    </w:p>
    <w:p w:rsidR="004571EE" w:rsidRPr="00C86CE3" w:rsidP="004571EE" w14:paraId="4089F661" w14:textId="6DA66B04">
      <w:pPr>
        <w:tabs>
          <w:tab w:val="left" w:pos="8730"/>
        </w:tabs>
        <w:ind w:left="4320"/>
        <w:rPr>
          <w:kern w:val="0"/>
        </w:rPr>
      </w:pPr>
      <w:r w:rsidRPr="00C86CE3">
        <w:rPr>
          <w:kern w:val="0"/>
        </w:rPr>
        <w:t>Ohio Consumers</w:t>
      </w:r>
      <w:r w:rsidR="00C86CE3">
        <w:rPr>
          <w:kern w:val="0"/>
        </w:rPr>
        <w:t>’</w:t>
      </w:r>
      <w:r w:rsidRPr="00C86CE3">
        <w:rPr>
          <w:kern w:val="0"/>
        </w:rPr>
        <w:t xml:space="preserve"> Counsel</w:t>
      </w:r>
    </w:p>
    <w:p w:rsidR="004571EE" w:rsidRPr="00C86CE3" w:rsidP="004571EE" w14:paraId="07BDB1B9" w14:textId="77777777">
      <w:pPr>
        <w:tabs>
          <w:tab w:val="left" w:pos="8730"/>
        </w:tabs>
        <w:ind w:left="4320"/>
        <w:rPr>
          <w:kern w:val="0"/>
        </w:rPr>
      </w:pPr>
    </w:p>
    <w:p w:rsidR="004571EE" w:rsidRPr="00C86CE3" w:rsidP="004571EE" w14:paraId="1357A874" w14:textId="77777777">
      <w:pPr>
        <w:tabs>
          <w:tab w:val="left" w:pos="8730"/>
        </w:tabs>
        <w:ind w:left="4320"/>
        <w:rPr>
          <w:kern w:val="0"/>
        </w:rPr>
      </w:pPr>
      <w:r w:rsidRPr="00C86CE3">
        <w:rPr>
          <w:i/>
          <w:kern w:val="0"/>
          <w:u w:val="single"/>
        </w:rPr>
        <w:t>/s/ William J. Michael</w:t>
      </w:r>
      <w:r w:rsidRPr="00C86CE3">
        <w:rPr>
          <w:i/>
          <w:kern w:val="0"/>
        </w:rPr>
        <w:br/>
      </w:r>
      <w:r w:rsidRPr="00C86CE3">
        <w:rPr>
          <w:kern w:val="0"/>
        </w:rPr>
        <w:t xml:space="preserve">William J. Michael (0070921) </w:t>
      </w:r>
      <w:r w:rsidRPr="00C86CE3">
        <w:rPr>
          <w:kern w:val="0"/>
        </w:rPr>
        <w:br/>
        <w:t>Counsel of Record</w:t>
      </w:r>
      <w:r w:rsidRPr="00C86CE3">
        <w:rPr>
          <w:kern w:val="0"/>
        </w:rPr>
        <w:br/>
        <w:t>Donald J. Kral (0042091)</w:t>
      </w:r>
    </w:p>
    <w:p w:rsidR="004571EE" w:rsidRPr="00C86CE3" w:rsidP="004571EE" w14:paraId="24E61DFE" w14:textId="39B861EB">
      <w:pPr>
        <w:tabs>
          <w:tab w:val="left" w:pos="8730"/>
        </w:tabs>
        <w:ind w:left="4320"/>
        <w:rPr>
          <w:kern w:val="0"/>
        </w:rPr>
      </w:pPr>
      <w:r w:rsidRPr="00C86CE3">
        <w:rPr>
          <w:kern w:val="0"/>
        </w:rPr>
        <w:t>Assistant Consumers</w:t>
      </w:r>
      <w:r w:rsidR="00C86CE3">
        <w:rPr>
          <w:kern w:val="0"/>
        </w:rPr>
        <w:t>’</w:t>
      </w:r>
      <w:r w:rsidRPr="00C86CE3">
        <w:rPr>
          <w:kern w:val="0"/>
        </w:rPr>
        <w:t xml:space="preserve"> Counsel</w:t>
      </w:r>
    </w:p>
    <w:p w:rsidR="004571EE" w:rsidRPr="00C86CE3" w:rsidP="004571EE" w14:paraId="2B19676D" w14:textId="77777777">
      <w:pPr>
        <w:tabs>
          <w:tab w:val="left" w:pos="8730"/>
        </w:tabs>
        <w:ind w:left="4320"/>
        <w:rPr>
          <w:kern w:val="0"/>
        </w:rPr>
      </w:pPr>
    </w:p>
    <w:p w:rsidR="004571EE" w:rsidRPr="00C86CE3" w:rsidP="004571EE" w14:paraId="08A18563" w14:textId="6F275724">
      <w:pPr>
        <w:tabs>
          <w:tab w:val="left" w:pos="8730"/>
        </w:tabs>
        <w:ind w:left="4320"/>
        <w:rPr>
          <w:b/>
          <w:bCs/>
          <w:kern w:val="0"/>
        </w:rPr>
      </w:pPr>
      <w:r w:rsidRPr="00C86CE3">
        <w:rPr>
          <w:b/>
          <w:bCs/>
          <w:kern w:val="0"/>
        </w:rPr>
        <w:t>Office of the Ohio Consumers</w:t>
      </w:r>
      <w:r w:rsidR="00C86CE3">
        <w:rPr>
          <w:b/>
          <w:bCs/>
          <w:kern w:val="0"/>
        </w:rPr>
        <w:t>’</w:t>
      </w:r>
      <w:r w:rsidRPr="00C86CE3">
        <w:rPr>
          <w:b/>
          <w:bCs/>
          <w:kern w:val="0"/>
        </w:rPr>
        <w:t xml:space="preserve"> Counsel</w:t>
      </w:r>
    </w:p>
    <w:p w:rsidR="004571EE" w:rsidRPr="00C86CE3" w:rsidP="004571EE" w14:paraId="3786D0B3" w14:textId="77777777">
      <w:pPr>
        <w:tabs>
          <w:tab w:val="left" w:pos="8730"/>
        </w:tabs>
        <w:ind w:left="4320"/>
        <w:rPr>
          <w:kern w:val="0"/>
        </w:rPr>
      </w:pPr>
      <w:r w:rsidRPr="00C86CE3">
        <w:rPr>
          <w:kern w:val="0"/>
        </w:rPr>
        <w:t>65 East State Street, Suite 700</w:t>
      </w:r>
    </w:p>
    <w:p w:rsidR="004571EE" w:rsidRPr="00C86CE3" w:rsidP="004571EE" w14:paraId="4A014389" w14:textId="77777777">
      <w:pPr>
        <w:tabs>
          <w:tab w:val="left" w:pos="8730"/>
        </w:tabs>
        <w:ind w:left="4320"/>
        <w:rPr>
          <w:kern w:val="0"/>
        </w:rPr>
      </w:pPr>
      <w:r w:rsidRPr="00C86CE3">
        <w:rPr>
          <w:kern w:val="0"/>
        </w:rPr>
        <w:t>Columbus, Ohio 43215</w:t>
      </w:r>
    </w:p>
    <w:p w:rsidR="004571EE" w:rsidRPr="00C86CE3" w:rsidP="004571EE" w14:paraId="2D88B6D0" w14:textId="77777777">
      <w:pPr>
        <w:tabs>
          <w:tab w:val="left" w:pos="8730"/>
        </w:tabs>
        <w:ind w:left="4320"/>
        <w:rPr>
          <w:kern w:val="0"/>
        </w:rPr>
      </w:pPr>
      <w:r w:rsidRPr="00C86CE3">
        <w:rPr>
          <w:kern w:val="0"/>
        </w:rPr>
        <w:t>Telephone [Michael]: (614) 466-1291</w:t>
      </w:r>
    </w:p>
    <w:p w:rsidR="004571EE" w:rsidRPr="00C86CE3" w:rsidP="004571EE" w14:paraId="70DA0D72" w14:textId="77777777">
      <w:pPr>
        <w:tabs>
          <w:tab w:val="left" w:pos="8730"/>
        </w:tabs>
        <w:ind w:left="4320"/>
        <w:rPr>
          <w:kern w:val="0"/>
        </w:rPr>
      </w:pPr>
      <w:r w:rsidRPr="00C86CE3">
        <w:rPr>
          <w:kern w:val="0"/>
        </w:rPr>
        <w:t>Telephone [Kral]: (614) 466-9571</w:t>
      </w:r>
    </w:p>
    <w:p w:rsidR="004571EE" w:rsidRPr="00C86CE3" w:rsidP="004571EE" w14:paraId="7842BDFB" w14:textId="77777777">
      <w:pPr>
        <w:tabs>
          <w:tab w:val="left" w:pos="8730"/>
        </w:tabs>
        <w:ind w:left="4320"/>
        <w:rPr>
          <w:color w:val="0000FF"/>
          <w:kern w:val="0"/>
        </w:rPr>
      </w:pPr>
      <w:hyperlink r:id="rId6" w:history="1">
        <w:r w:rsidRPr="00C86CE3">
          <w:rPr>
            <w:rStyle w:val="Hyperlink"/>
            <w:kern w:val="0"/>
          </w:rPr>
          <w:t>william.michael@occ.ohio.gov</w:t>
        </w:r>
      </w:hyperlink>
      <w:r w:rsidRPr="00C86CE3">
        <w:rPr>
          <w:color w:val="0000FF"/>
          <w:kern w:val="0"/>
        </w:rPr>
        <w:t xml:space="preserve"> </w:t>
      </w:r>
    </w:p>
    <w:p w:rsidR="004571EE" w:rsidRPr="00C86CE3" w:rsidP="004571EE" w14:paraId="337F31DB" w14:textId="77777777">
      <w:pPr>
        <w:tabs>
          <w:tab w:val="left" w:pos="8730"/>
        </w:tabs>
        <w:ind w:left="4320"/>
        <w:rPr>
          <w:rStyle w:val="Hyperlink"/>
          <w:kern w:val="0"/>
        </w:rPr>
      </w:pPr>
      <w:r w:rsidRPr="00C86CE3">
        <w:rPr>
          <w:rStyle w:val="Hyperlink"/>
          <w:kern w:val="0"/>
        </w:rPr>
        <w:t>donald.kral@occ.ohio.gov</w:t>
      </w:r>
    </w:p>
    <w:p w:rsidR="004571EE" w:rsidRPr="00C86CE3" w:rsidP="004571EE" w14:paraId="31A87926" w14:textId="77777777">
      <w:pPr>
        <w:tabs>
          <w:tab w:val="left" w:pos="8730"/>
        </w:tabs>
        <w:ind w:left="4320"/>
        <w:rPr>
          <w:kern w:val="0"/>
        </w:rPr>
      </w:pPr>
      <w:r w:rsidRPr="00C86CE3">
        <w:rPr>
          <w:kern w:val="0"/>
        </w:rPr>
        <w:t xml:space="preserve">(willing to accept service by e-mail) </w:t>
      </w:r>
    </w:p>
    <w:p w:rsidR="004571EE" w:rsidRPr="00C86CE3" w:rsidP="004571EE" w14:paraId="2566C352" w14:textId="782D79D3">
      <w:pPr>
        <w:tabs>
          <w:tab w:val="left" w:pos="-720"/>
        </w:tabs>
        <w:suppressAutoHyphens/>
        <w:spacing w:line="480" w:lineRule="auto"/>
        <w:rPr>
          <w:kern w:val="0"/>
        </w:rPr>
        <w:sectPr w:rsidSect="00773233">
          <w:headerReference w:type="default" r:id="rId13"/>
          <w:footerReference w:type="default" r:id="rId14"/>
          <w:pgSz w:w="12240" w:h="15840"/>
          <w:pgMar w:top="1440" w:right="1800" w:bottom="1440" w:left="1800" w:header="720" w:footer="720" w:gutter="0"/>
          <w:pgNumType w:start="1"/>
          <w:cols w:space="720"/>
          <w:docGrid w:linePitch="360"/>
        </w:sectPr>
      </w:pPr>
    </w:p>
    <w:p w:rsidR="00E542AC" w:rsidRPr="00C86CE3" w:rsidP="00295BD8" w14:paraId="089A22F0" w14:textId="77777777">
      <w:pPr>
        <w:widowControl/>
        <w:overflowPunct/>
        <w:adjustRightInd/>
        <w:spacing w:line="480" w:lineRule="auto"/>
        <w:jc w:val="center"/>
        <w:rPr>
          <w:b/>
          <w:bCs/>
          <w:kern w:val="0"/>
          <w:u w:val="single"/>
        </w:rPr>
      </w:pPr>
      <w:r w:rsidRPr="00C86CE3">
        <w:rPr>
          <w:b/>
          <w:bCs/>
          <w:kern w:val="0"/>
          <w:u w:val="single"/>
        </w:rPr>
        <w:t>CERTIFICATE OF SERVICE</w:t>
      </w:r>
    </w:p>
    <w:p w:rsidR="00E542AC" w:rsidRPr="00C86CE3" w:rsidP="00BF480F" w14:paraId="1E31CAD0" w14:textId="0A7ADFED">
      <w:pPr>
        <w:widowControl/>
        <w:overflowPunct/>
        <w:adjustRightInd/>
        <w:spacing w:line="480" w:lineRule="auto"/>
        <w:rPr>
          <w:kern w:val="0"/>
        </w:rPr>
      </w:pPr>
      <w:r w:rsidRPr="00C86CE3">
        <w:rPr>
          <w:kern w:val="0"/>
        </w:rPr>
        <w:tab/>
        <w:t xml:space="preserve">I hereby certify that a copy of the foregoing </w:t>
      </w:r>
      <w:r w:rsidRPr="00C86CE3" w:rsidR="008D6DD8">
        <w:rPr>
          <w:kern w:val="0"/>
        </w:rPr>
        <w:t xml:space="preserve">Motion for FirstEnergy to Collect Rider NMB Subject to Refund </w:t>
      </w:r>
      <w:r w:rsidRPr="00C86CE3">
        <w:rPr>
          <w:kern w:val="0"/>
        </w:rPr>
        <w:t xml:space="preserve">was served on the persons stated below via electronic transmission, this </w:t>
      </w:r>
      <w:r w:rsidR="006D5706">
        <w:rPr>
          <w:kern w:val="0"/>
        </w:rPr>
        <w:t>5</w:t>
      </w:r>
      <w:r w:rsidRPr="006D5706" w:rsidR="006D5706">
        <w:rPr>
          <w:kern w:val="0"/>
          <w:vertAlign w:val="superscript"/>
        </w:rPr>
        <w:t>th</w:t>
      </w:r>
      <w:r w:rsidR="006D5706">
        <w:rPr>
          <w:kern w:val="0"/>
        </w:rPr>
        <w:t xml:space="preserve"> </w:t>
      </w:r>
      <w:r w:rsidRPr="00C86CE3">
        <w:rPr>
          <w:kern w:val="0"/>
        </w:rPr>
        <w:t xml:space="preserve">day of </w:t>
      </w:r>
      <w:r w:rsidR="006D5706">
        <w:rPr>
          <w:kern w:val="0"/>
        </w:rPr>
        <w:t>April</w:t>
      </w:r>
      <w:r w:rsidRPr="00C86CE3">
        <w:rPr>
          <w:kern w:val="0"/>
        </w:rPr>
        <w:t xml:space="preserve"> 2024.</w:t>
      </w:r>
    </w:p>
    <w:p w:rsidR="00E542AC" w:rsidRPr="00C86CE3" w:rsidP="00E542AC" w14:paraId="773E51F8" w14:textId="77777777">
      <w:pPr>
        <w:widowControl/>
        <w:overflowPunct/>
        <w:adjustRightInd/>
        <w:ind w:left="4320"/>
        <w:rPr>
          <w:kern w:val="0"/>
        </w:rPr>
      </w:pPr>
      <w:r w:rsidRPr="00C86CE3">
        <w:rPr>
          <w:i/>
          <w:kern w:val="0"/>
          <w:u w:val="single"/>
        </w:rPr>
        <w:t>/s/ William J. Michael</w:t>
      </w:r>
    </w:p>
    <w:p w:rsidR="00E542AC" w:rsidRPr="00C86CE3" w:rsidP="00E542AC" w14:paraId="2CDB9114" w14:textId="77777777">
      <w:pPr>
        <w:widowControl/>
        <w:tabs>
          <w:tab w:val="left" w:pos="4320"/>
        </w:tabs>
        <w:overflowPunct/>
        <w:adjustRightInd/>
        <w:rPr>
          <w:kern w:val="0"/>
        </w:rPr>
      </w:pPr>
      <w:r w:rsidRPr="00C86CE3">
        <w:rPr>
          <w:kern w:val="0"/>
        </w:rPr>
        <w:tab/>
        <w:t>William J. Michael</w:t>
      </w:r>
    </w:p>
    <w:p w:rsidR="00E542AC" w:rsidRPr="00C86CE3" w:rsidP="00E542AC" w14:paraId="7E597B03" w14:textId="616A8F5F">
      <w:pPr>
        <w:widowControl/>
        <w:tabs>
          <w:tab w:val="left" w:pos="4320"/>
        </w:tabs>
        <w:overflowPunct/>
        <w:adjustRightInd/>
        <w:rPr>
          <w:kern w:val="0"/>
        </w:rPr>
      </w:pPr>
      <w:r w:rsidRPr="00C86CE3">
        <w:rPr>
          <w:kern w:val="0"/>
        </w:rPr>
        <w:tab/>
        <w:t>Assistant Consumers</w:t>
      </w:r>
      <w:r w:rsidR="00C86CE3">
        <w:rPr>
          <w:kern w:val="0"/>
        </w:rPr>
        <w:t>’</w:t>
      </w:r>
      <w:r w:rsidRPr="00C86CE3">
        <w:rPr>
          <w:kern w:val="0"/>
        </w:rPr>
        <w:t xml:space="preserve"> Counsel</w:t>
      </w:r>
    </w:p>
    <w:p w:rsidR="00E542AC" w:rsidRPr="00C86CE3" w:rsidP="00E542AC" w14:paraId="49D11E9F" w14:textId="77777777">
      <w:pPr>
        <w:widowControl/>
        <w:tabs>
          <w:tab w:val="left" w:pos="4320"/>
        </w:tabs>
        <w:overflowPunct/>
        <w:adjustRightInd/>
        <w:rPr>
          <w:kern w:val="0"/>
        </w:rPr>
      </w:pPr>
    </w:p>
    <w:p w:rsidR="00E542AC" w:rsidRPr="00C86CE3" w:rsidP="00E542AC" w14:paraId="76908F67" w14:textId="57C23632">
      <w:pPr>
        <w:widowControl/>
        <w:overflowPunct/>
        <w:adjustRightInd/>
        <w:rPr>
          <w:kern w:val="0"/>
        </w:rPr>
      </w:pPr>
      <w:r w:rsidRPr="00C86CE3">
        <w:rPr>
          <w:kern w:val="0"/>
        </w:rPr>
        <w:t>The PUCO</w:t>
      </w:r>
      <w:r w:rsidR="00C86CE3">
        <w:rPr>
          <w:kern w:val="0"/>
        </w:rPr>
        <w:t>’</w:t>
      </w:r>
      <w:r w:rsidRPr="00C86CE3">
        <w:rPr>
          <w:kern w:val="0"/>
        </w:rPr>
        <w:t>s e-filing system will electronically serve notice of the filing of this document on the following parties:</w:t>
      </w:r>
    </w:p>
    <w:p w:rsidR="00E542AC" w:rsidRPr="00C86CE3" w:rsidP="00E542AC" w14:paraId="22DA53DD" w14:textId="77777777">
      <w:pPr>
        <w:widowControl/>
        <w:overflowPunct/>
        <w:adjustRightInd/>
        <w:rPr>
          <w:kern w:val="0"/>
        </w:rPr>
      </w:pPr>
    </w:p>
    <w:p w:rsidR="00E542AC" w:rsidRPr="00C86CE3" w:rsidP="00E542AC" w14:paraId="2CCFF910" w14:textId="77777777">
      <w:pPr>
        <w:widowControl/>
        <w:overflowPunct/>
        <w:adjustRightInd/>
        <w:jc w:val="center"/>
        <w:rPr>
          <w:b/>
          <w:kern w:val="0"/>
          <w:u w:val="single"/>
        </w:rPr>
      </w:pPr>
      <w:r w:rsidRPr="00C86CE3">
        <w:rPr>
          <w:b/>
          <w:kern w:val="0"/>
          <w:u w:val="single"/>
        </w:rPr>
        <w:t>SERVICE LIST</w:t>
      </w:r>
    </w:p>
    <w:p w:rsidR="00E542AC" w:rsidRPr="00C86CE3" w:rsidP="00E542AC" w14:paraId="4192A1FF" w14:textId="77777777">
      <w:pPr>
        <w:widowControl/>
        <w:overflowPunct/>
        <w:adjustRightInd/>
        <w:jc w:val="center"/>
        <w:rPr>
          <w:b/>
          <w:kern w:val="0"/>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315"/>
        <w:gridCol w:w="4315"/>
      </w:tblGrid>
      <w:tr w14:paraId="75B22C6D" w14:textId="77777777" w:rsidTr="00BE05DA">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15" w:type="dxa"/>
          </w:tcPr>
          <w:p w:rsidR="00E542AC" w:rsidRPr="00C86CE3" w:rsidP="00E542AC" w14:paraId="315D7C8B" w14:textId="77777777">
            <w:pPr>
              <w:widowControl/>
              <w:overflowPunct/>
              <w:adjustRightInd/>
              <w:rPr>
                <w:kern w:val="0"/>
                <w:sz w:val="24"/>
                <w:szCs w:val="24"/>
                <w:lang w:val="en-US" w:eastAsia="en-US" w:bidi="ar-SA"/>
              </w:rPr>
            </w:pPr>
            <w:hyperlink r:id="rId15" w:history="1">
              <w:r w:rsidRPr="00C86CE3">
                <w:rPr>
                  <w:color w:val="0000FF"/>
                  <w:kern w:val="0"/>
                  <w:sz w:val="24"/>
                  <w:szCs w:val="24"/>
                  <w:u w:val="single"/>
                  <w:lang w:val="en-US" w:eastAsia="en-US" w:bidi="ar-SA"/>
                </w:rPr>
                <w:t>amy.botschnerobrien@ohioago.gov</w:t>
              </w:r>
            </w:hyperlink>
          </w:p>
          <w:p w:rsidR="00E542AC" w:rsidRPr="00C86CE3" w:rsidP="00E542AC" w14:paraId="6A7FB038" w14:textId="77777777">
            <w:pPr>
              <w:widowControl/>
              <w:overflowPunct/>
              <w:adjustRightInd/>
              <w:rPr>
                <w:kern w:val="0"/>
                <w:sz w:val="24"/>
                <w:szCs w:val="24"/>
                <w:lang w:val="en-US" w:eastAsia="en-US" w:bidi="ar-SA"/>
              </w:rPr>
            </w:pPr>
          </w:p>
          <w:p w:rsidR="00E542AC" w:rsidRPr="00C86CE3" w:rsidP="00E542AC" w14:paraId="3F983860" w14:textId="77777777">
            <w:pPr>
              <w:widowControl/>
              <w:overflowPunct/>
              <w:adjustRightInd/>
              <w:rPr>
                <w:kern w:val="0"/>
                <w:sz w:val="24"/>
                <w:szCs w:val="24"/>
                <w:lang w:val="en-US" w:eastAsia="en-US" w:bidi="ar-SA"/>
              </w:rPr>
            </w:pPr>
            <w:r w:rsidRPr="00C86CE3">
              <w:rPr>
                <w:kern w:val="0"/>
                <w:sz w:val="24"/>
                <w:szCs w:val="24"/>
                <w:lang w:val="en-US" w:eastAsia="en-US" w:bidi="ar-SA"/>
              </w:rPr>
              <w:t>Attorney Examiners:</w:t>
            </w:r>
          </w:p>
          <w:p w:rsidR="00E542AC" w:rsidRPr="00C86CE3" w:rsidP="00E542AC" w14:paraId="4DB78128" w14:textId="77777777">
            <w:pPr>
              <w:widowControl/>
              <w:overflowPunct/>
              <w:adjustRightInd/>
              <w:rPr>
                <w:kern w:val="0"/>
                <w:sz w:val="24"/>
                <w:szCs w:val="24"/>
                <w:lang w:val="en-US" w:eastAsia="en-US" w:bidi="ar-SA"/>
              </w:rPr>
            </w:pPr>
            <w:hyperlink r:id="rId16" w:history="1">
              <w:r w:rsidRPr="00C86CE3">
                <w:rPr>
                  <w:color w:val="0000FF"/>
                  <w:kern w:val="0"/>
                  <w:sz w:val="24"/>
                  <w:szCs w:val="24"/>
                  <w:u w:val="single"/>
                  <w:lang w:val="en-US" w:eastAsia="en-US" w:bidi="ar-SA"/>
                </w:rPr>
                <w:t>megan.addison@puco.ohio.gov</w:t>
              </w:r>
            </w:hyperlink>
          </w:p>
          <w:p w:rsidR="00E542AC" w:rsidRPr="00C86CE3" w:rsidP="00E542AC" w14:paraId="13E2C3E9" w14:textId="77777777">
            <w:pPr>
              <w:widowControl/>
              <w:overflowPunct/>
              <w:adjustRightInd/>
              <w:rPr>
                <w:kern w:val="0"/>
                <w:sz w:val="24"/>
                <w:szCs w:val="24"/>
                <w:lang w:val="en-US" w:eastAsia="en-US" w:bidi="ar-SA"/>
              </w:rPr>
            </w:pPr>
            <w:hyperlink r:id="rId17" w:history="1">
              <w:r w:rsidRPr="00C86CE3">
                <w:rPr>
                  <w:color w:val="0000FF"/>
                  <w:kern w:val="0"/>
                  <w:sz w:val="24"/>
                  <w:szCs w:val="24"/>
                  <w:u w:val="single"/>
                  <w:lang w:val="en-US" w:eastAsia="en-US" w:bidi="ar-SA"/>
                </w:rPr>
                <w:t>greg.price@puco.ohio.gov</w:t>
              </w:r>
            </w:hyperlink>
          </w:p>
          <w:p w:rsidR="00E542AC" w:rsidRPr="00C86CE3" w:rsidP="00E542AC" w14:paraId="5CA9AFB6" w14:textId="01B2CB9E">
            <w:pPr>
              <w:widowControl/>
              <w:overflowPunct/>
              <w:adjustRightInd/>
              <w:rPr>
                <w:kern w:val="0"/>
                <w:sz w:val="24"/>
                <w:szCs w:val="24"/>
                <w:lang w:val="en-US" w:eastAsia="en-US" w:bidi="ar-SA"/>
              </w:rPr>
            </w:pPr>
            <w:hyperlink r:id="rId18" w:history="1">
              <w:r w:rsidRPr="00C86CE3">
                <w:rPr>
                  <w:color w:val="0000FF"/>
                  <w:kern w:val="0"/>
                  <w:sz w:val="24"/>
                  <w:szCs w:val="24"/>
                  <w:u w:val="single"/>
                  <w:lang w:val="en-US" w:eastAsia="en-US" w:bidi="ar-SA"/>
                </w:rPr>
                <w:t>jacqueline.st.john@puco.ohio.gov</w:t>
              </w:r>
            </w:hyperlink>
          </w:p>
        </w:tc>
        <w:tc>
          <w:tcPr>
            <w:tcW w:w="4315" w:type="dxa"/>
          </w:tcPr>
          <w:p w:rsidR="00E542AC" w:rsidRPr="00C86CE3" w:rsidP="00E542AC" w14:paraId="74C6BFB1" w14:textId="77777777">
            <w:pPr>
              <w:widowControl/>
              <w:overflowPunct/>
              <w:adjustRightInd/>
              <w:rPr>
                <w:kern w:val="0"/>
                <w:sz w:val="24"/>
                <w:szCs w:val="24"/>
                <w:lang w:val="en-US" w:eastAsia="en-US" w:bidi="ar-SA"/>
              </w:rPr>
            </w:pPr>
            <w:hyperlink r:id="rId19" w:history="1">
              <w:r w:rsidRPr="00C86CE3">
                <w:rPr>
                  <w:color w:val="0000FF"/>
                  <w:kern w:val="0"/>
                  <w:sz w:val="24"/>
                  <w:szCs w:val="24"/>
                  <w:u w:val="single"/>
                  <w:lang w:val="en-US" w:eastAsia="en-US" w:bidi="ar-SA"/>
                </w:rPr>
                <w:t>zwoltz@firstenergycorp.com</w:t>
              </w:r>
            </w:hyperlink>
          </w:p>
          <w:p w:rsidR="00E542AC" w:rsidRPr="00C86CE3" w:rsidP="00E542AC" w14:paraId="07B4DCB2" w14:textId="77777777">
            <w:pPr>
              <w:widowControl/>
              <w:overflowPunct/>
              <w:adjustRightInd/>
              <w:rPr>
                <w:kern w:val="0"/>
                <w:sz w:val="24"/>
                <w:szCs w:val="24"/>
                <w:lang w:val="en-US" w:eastAsia="en-US" w:bidi="ar-SA"/>
              </w:rPr>
            </w:pPr>
            <w:hyperlink r:id="rId20" w:history="1">
              <w:r w:rsidRPr="00C86CE3">
                <w:rPr>
                  <w:color w:val="0000FF"/>
                  <w:kern w:val="0"/>
                  <w:sz w:val="24"/>
                  <w:szCs w:val="24"/>
                  <w:u w:val="single"/>
                  <w:lang w:val="en-US" w:eastAsia="en-US" w:bidi="ar-SA"/>
                </w:rPr>
                <w:t>mkurtz@BKLlawfirm.com</w:t>
              </w:r>
            </w:hyperlink>
          </w:p>
          <w:p w:rsidR="00E542AC" w:rsidRPr="00C86CE3" w:rsidP="00E542AC" w14:paraId="408341A6" w14:textId="77777777">
            <w:pPr>
              <w:widowControl/>
              <w:overflowPunct/>
              <w:adjustRightInd/>
              <w:rPr>
                <w:kern w:val="0"/>
                <w:sz w:val="24"/>
                <w:szCs w:val="24"/>
                <w:lang w:val="en-US" w:eastAsia="en-US" w:bidi="ar-SA"/>
              </w:rPr>
            </w:pPr>
            <w:hyperlink r:id="rId21" w:history="1">
              <w:r w:rsidRPr="00C86CE3">
                <w:rPr>
                  <w:color w:val="0000FF"/>
                  <w:kern w:val="0"/>
                  <w:sz w:val="24"/>
                  <w:szCs w:val="24"/>
                  <w:u w:val="single"/>
                  <w:lang w:val="en-US" w:eastAsia="en-US" w:bidi="ar-SA"/>
                </w:rPr>
                <w:t>kylercohn@BKLlawfirm.com</w:t>
              </w:r>
            </w:hyperlink>
          </w:p>
          <w:p w:rsidR="00E542AC" w:rsidRPr="00C86CE3" w:rsidP="00E542AC" w14:paraId="067A64DC" w14:textId="77777777">
            <w:pPr>
              <w:widowControl/>
              <w:overflowPunct/>
              <w:adjustRightInd/>
              <w:rPr>
                <w:kern w:val="0"/>
                <w:sz w:val="24"/>
                <w:szCs w:val="24"/>
                <w:lang w:val="en-US" w:eastAsia="en-US" w:bidi="ar-SA"/>
              </w:rPr>
            </w:pPr>
            <w:hyperlink r:id="rId22" w:history="1">
              <w:r w:rsidRPr="00C86CE3">
                <w:rPr>
                  <w:color w:val="0000FF"/>
                  <w:kern w:val="0"/>
                  <w:sz w:val="24"/>
                  <w:szCs w:val="24"/>
                  <w:u w:val="single"/>
                  <w:lang w:val="en-US" w:eastAsia="en-US" w:bidi="ar-SA"/>
                </w:rPr>
                <w:t>dproano@bakerlaw.com</w:t>
              </w:r>
            </w:hyperlink>
          </w:p>
          <w:p w:rsidR="00E542AC" w:rsidRPr="00C86CE3" w:rsidP="00E542AC" w14:paraId="207C0073" w14:textId="77777777">
            <w:pPr>
              <w:widowControl/>
              <w:overflowPunct/>
              <w:adjustRightInd/>
              <w:rPr>
                <w:kern w:val="0"/>
                <w:sz w:val="24"/>
                <w:szCs w:val="24"/>
                <w:lang w:val="en-US" w:eastAsia="en-US" w:bidi="ar-SA"/>
              </w:rPr>
            </w:pPr>
            <w:hyperlink r:id="rId23" w:history="1">
              <w:r w:rsidRPr="00C86CE3">
                <w:rPr>
                  <w:color w:val="0000FF"/>
                  <w:kern w:val="0"/>
                  <w:sz w:val="24"/>
                  <w:szCs w:val="24"/>
                  <w:u w:val="single"/>
                  <w:lang w:val="en-US" w:eastAsia="en-US" w:bidi="ar-SA"/>
                </w:rPr>
                <w:t>pwillison@bakerlaw.com</w:t>
              </w:r>
            </w:hyperlink>
          </w:p>
          <w:p w:rsidR="00E542AC" w:rsidRPr="00C86CE3" w:rsidP="00E542AC" w14:paraId="5029FBEA" w14:textId="77777777">
            <w:pPr>
              <w:widowControl/>
              <w:overflowPunct/>
              <w:adjustRightInd/>
              <w:rPr>
                <w:b/>
                <w:kern w:val="0"/>
                <w:sz w:val="24"/>
                <w:szCs w:val="24"/>
                <w:u w:val="single"/>
                <w:lang w:val="en-US" w:eastAsia="en-US" w:bidi="ar-SA"/>
              </w:rPr>
            </w:pPr>
          </w:p>
        </w:tc>
      </w:tr>
    </w:tbl>
    <w:p w:rsidR="001D53C7" w:rsidRPr="00C86CE3" w:rsidP="00E542AC" w14:paraId="39385EB1" w14:textId="66262B52">
      <w:pPr>
        <w:tabs>
          <w:tab w:val="left" w:pos="4320"/>
        </w:tabs>
        <w:rPr>
          <w:b/>
          <w:bCs/>
          <w:kern w:val="0"/>
        </w:rPr>
      </w:pPr>
    </w:p>
    <w:sectPr w:rsidSect="00773233">
      <w:headerReference w:type="even" r:id="rId24"/>
      <w:headerReference w:type="default" r:id="rId25"/>
      <w:headerReference w:type="first" r:id="rId2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17B8" w14:paraId="7AC6F94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53C7" w14:paraId="01E973A6" w14:textId="77777777">
    <w:pPr>
      <w:pStyle w:val="Footer"/>
      <w:jc w:val="center"/>
    </w:pPr>
    <w:r>
      <w:fldChar w:fldCharType="begin"/>
    </w:r>
    <w:r>
      <w:instrText xml:space="preserve"> PAGE   \* MERGEFORMAT </w:instrText>
    </w:r>
    <w:r>
      <w:fldChar w:fldCharType="separate"/>
    </w:r>
    <w:r>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17B8" w14:paraId="5A7A144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53C7" w:rsidP="002D66DE" w14:paraId="5617613F" w14:textId="77777777">
    <w:pPr>
      <w:pStyle w:val="Footer"/>
      <w:jc w:val="center"/>
    </w:pPr>
    <w:r>
      <w:fldChar w:fldCharType="begin"/>
    </w:r>
    <w:r>
      <w:instrText xml:space="preserve"> PAGE   \* MERGEFORMAT </w:instrText>
    </w:r>
    <w:r>
      <w:fldChar w:fldCharType="separate"/>
    </w:r>
    <w:r>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73233" w14:paraId="1A5F4A77" w14:textId="77777777">
      <w:r>
        <w:separator/>
      </w:r>
    </w:p>
  </w:footnote>
  <w:footnote w:type="continuationSeparator" w:id="1">
    <w:p w:rsidR="00773233" w14:paraId="4349C343" w14:textId="77777777">
      <w:r>
        <w:continuationSeparator/>
      </w:r>
    </w:p>
  </w:footnote>
  <w:footnote w:id="2">
    <w:p w:rsidR="00D2320F" w:rsidRPr="00C86CE3" w:rsidP="00C86CE3" w14:paraId="6BC7D1B1" w14:textId="77777777">
      <w:pPr>
        <w:pStyle w:val="FootnoteText"/>
        <w:spacing w:after="120"/>
        <w:rPr>
          <w:kern w:val="0"/>
        </w:rPr>
      </w:pPr>
      <w:r w:rsidRPr="00C86CE3">
        <w:rPr>
          <w:rStyle w:val="FootnoteReference"/>
          <w:kern w:val="0"/>
        </w:rPr>
        <w:footnoteRef/>
      </w:r>
      <w:r w:rsidRPr="00C86CE3">
        <w:rPr>
          <w:kern w:val="0"/>
        </w:rPr>
        <w:t xml:space="preserve"> FirstEnergy refers to Ohio Edison Company, The Cleveland Electric Illuminating Company and The Toledo Edison Company.</w:t>
      </w:r>
    </w:p>
  </w:footnote>
  <w:footnote w:id="3">
    <w:p w:rsidR="00C0733D" w:rsidRPr="00C86CE3" w:rsidP="00C86CE3" w14:paraId="5F6E9E09" w14:textId="327BD726">
      <w:pPr>
        <w:pStyle w:val="FootnoteText"/>
        <w:spacing w:after="120"/>
        <w:rPr>
          <w:kern w:val="0"/>
        </w:rPr>
      </w:pPr>
      <w:r w:rsidRPr="00C86CE3">
        <w:rPr>
          <w:rStyle w:val="FootnoteReference"/>
          <w:kern w:val="0"/>
        </w:rPr>
        <w:footnoteRef/>
      </w:r>
      <w:r w:rsidRPr="00C86CE3">
        <w:rPr>
          <w:kern w:val="0"/>
        </w:rPr>
        <w:t xml:space="preserve"> The PUCO</w:t>
      </w:r>
      <w:r w:rsidRPr="00C86CE3" w:rsidR="00C86CE3">
        <w:rPr>
          <w:kern w:val="0"/>
        </w:rPr>
        <w:t>’</w:t>
      </w:r>
      <w:r w:rsidRPr="00C86CE3">
        <w:rPr>
          <w:kern w:val="0"/>
        </w:rPr>
        <w:t xml:space="preserve">s Office of the Federal Energy Advocate asserted in comments in response to the complaint that FERC </w:t>
      </w:r>
      <w:r w:rsidRPr="00C86CE3" w:rsidR="00C86CE3">
        <w:rPr>
          <w:kern w:val="0"/>
        </w:rPr>
        <w:t>“</w:t>
      </w:r>
      <w:r w:rsidRPr="00C86CE3">
        <w:rPr>
          <w:kern w:val="0"/>
        </w:rPr>
        <w:t>must exercise that authority to ensure efficient, reasonably priced regional transmission systems, including the local supplemental project dimension of those regional systems.</w:t>
      </w:r>
      <w:r w:rsidRPr="00C86CE3" w:rsidR="00C86CE3">
        <w:rPr>
          <w:kern w:val="0"/>
        </w:rPr>
        <w:t>”</w:t>
      </w:r>
      <w:r w:rsidRPr="00C86CE3">
        <w:rPr>
          <w:kern w:val="0"/>
        </w:rPr>
        <w:t xml:space="preserve"> Docket No. EL23-105-000, Comments of the Public Utilities Commission of Ohio</w:t>
      </w:r>
      <w:r w:rsidRPr="00C86CE3" w:rsidR="00C86CE3">
        <w:rPr>
          <w:kern w:val="0"/>
        </w:rPr>
        <w:t>’</w:t>
      </w:r>
      <w:r w:rsidRPr="00C86CE3">
        <w:rPr>
          <w:kern w:val="0"/>
        </w:rPr>
        <w:t>s Office of the Federal Energy Advocate (November 17, 2023) at 6.</w:t>
      </w:r>
    </w:p>
  </w:footnote>
  <w:footnote w:id="4">
    <w:p w:rsidR="00B82741" w:rsidRPr="00C86CE3" w:rsidP="00C86CE3" w14:paraId="6BC47333" w14:textId="19B4184A">
      <w:pPr>
        <w:pStyle w:val="FootnoteText"/>
        <w:spacing w:after="120"/>
        <w:rPr>
          <w:kern w:val="0"/>
        </w:rPr>
      </w:pPr>
      <w:r w:rsidRPr="00C86CE3">
        <w:rPr>
          <w:rStyle w:val="FootnoteReference"/>
          <w:kern w:val="0"/>
        </w:rPr>
        <w:footnoteRef/>
      </w:r>
      <w:r w:rsidRPr="00C86CE3">
        <w:rPr>
          <w:kern w:val="0"/>
        </w:rPr>
        <w:t xml:space="preserve"> </w:t>
      </w:r>
      <w:r w:rsidRPr="00C86CE3">
        <w:rPr>
          <w:i/>
          <w:iCs/>
          <w:kern w:val="0"/>
        </w:rPr>
        <w:t xml:space="preserve">See, e.g., In the Matter of the Review of the </w:t>
      </w:r>
      <w:r w:rsidRPr="00C86CE3" w:rsidR="000B23F8">
        <w:rPr>
          <w:i/>
          <w:iCs/>
          <w:kern w:val="0"/>
        </w:rPr>
        <w:t>Non-</w:t>
      </w:r>
      <w:r w:rsidRPr="00C86CE3">
        <w:rPr>
          <w:i/>
          <w:iCs/>
          <w:kern w:val="0"/>
        </w:rPr>
        <w:t>Market-</w:t>
      </w:r>
      <w:r w:rsidRPr="00C86CE3" w:rsidR="00D22C04">
        <w:rPr>
          <w:i/>
          <w:iCs/>
          <w:kern w:val="0"/>
        </w:rPr>
        <w:t>B</w:t>
      </w:r>
      <w:r w:rsidRPr="00C86CE3">
        <w:rPr>
          <w:i/>
          <w:iCs/>
          <w:kern w:val="0"/>
        </w:rPr>
        <w:t xml:space="preserve">ased Services Rider Pilot Program Established by Ohio Edison Company, </w:t>
      </w:r>
      <w:r w:rsidRPr="00C86CE3" w:rsidR="00DF4396">
        <w:rPr>
          <w:i/>
          <w:iCs/>
          <w:kern w:val="0"/>
        </w:rPr>
        <w:t>T</w:t>
      </w:r>
      <w:r w:rsidRPr="00C86CE3">
        <w:rPr>
          <w:i/>
          <w:iCs/>
          <w:kern w:val="0"/>
        </w:rPr>
        <w:t xml:space="preserve">he Cleveland Electric Illuminating Company, and </w:t>
      </w:r>
      <w:r w:rsidRPr="00C86CE3" w:rsidR="00DF4396">
        <w:rPr>
          <w:i/>
          <w:iCs/>
          <w:kern w:val="0"/>
        </w:rPr>
        <w:t>T</w:t>
      </w:r>
      <w:r w:rsidRPr="00C86CE3">
        <w:rPr>
          <w:i/>
          <w:iCs/>
          <w:kern w:val="0"/>
        </w:rPr>
        <w:t>he Toledo Edison Company</w:t>
      </w:r>
      <w:r w:rsidRPr="00C86CE3">
        <w:rPr>
          <w:kern w:val="0"/>
        </w:rPr>
        <w:t>, Case No. 22-391-EL-RDR, OCC</w:t>
      </w:r>
      <w:r w:rsidRPr="00C86CE3" w:rsidR="00C86CE3">
        <w:rPr>
          <w:kern w:val="0"/>
        </w:rPr>
        <w:t>’</w:t>
      </w:r>
      <w:r w:rsidRPr="00C86CE3">
        <w:rPr>
          <w:kern w:val="0"/>
        </w:rPr>
        <w:t>s Comments (August 17, 2023).</w:t>
      </w:r>
    </w:p>
  </w:footnote>
  <w:footnote w:id="5">
    <w:p w:rsidR="00B82741" w:rsidRPr="00C86CE3" w:rsidP="00C86CE3" w14:paraId="6A846E20" w14:textId="4FBEABE7">
      <w:pPr>
        <w:pStyle w:val="FootnoteText"/>
        <w:spacing w:after="120"/>
        <w:rPr>
          <w:kern w:val="0"/>
        </w:rPr>
      </w:pPr>
      <w:r w:rsidRPr="00C86CE3">
        <w:rPr>
          <w:rStyle w:val="FootnoteReference"/>
          <w:kern w:val="0"/>
        </w:rPr>
        <w:footnoteRef/>
      </w:r>
      <w:r w:rsidRPr="00C86CE3">
        <w:rPr>
          <w:kern w:val="0"/>
        </w:rPr>
        <w:t xml:space="preserve"> </w:t>
      </w:r>
      <w:r w:rsidRPr="00C86CE3">
        <w:rPr>
          <w:i/>
          <w:iCs/>
          <w:kern w:val="0"/>
        </w:rPr>
        <w:t>See In the Matter of the Review of the Non-Market</w:t>
      </w:r>
      <w:r w:rsidRPr="00C86CE3" w:rsidR="000B23F8">
        <w:rPr>
          <w:i/>
          <w:iCs/>
          <w:kern w:val="0"/>
        </w:rPr>
        <w:t>-</w:t>
      </w:r>
      <w:r w:rsidRPr="00C86CE3">
        <w:rPr>
          <w:i/>
          <w:iCs/>
          <w:kern w:val="0"/>
        </w:rPr>
        <w:t xml:space="preserve">Based Services Rider Contained in the Tariffs of Ohio Edison Co., </w:t>
      </w:r>
      <w:r w:rsidRPr="00C86CE3" w:rsidR="009C251C">
        <w:rPr>
          <w:i/>
          <w:iCs/>
          <w:kern w:val="0"/>
        </w:rPr>
        <w:t>T</w:t>
      </w:r>
      <w:r w:rsidRPr="00C86CE3">
        <w:rPr>
          <w:i/>
          <w:iCs/>
          <w:kern w:val="0"/>
        </w:rPr>
        <w:t xml:space="preserve">he Cleveland Elec. Illum. Co., and </w:t>
      </w:r>
      <w:r w:rsidRPr="00C86CE3" w:rsidR="009C251C">
        <w:rPr>
          <w:i/>
          <w:iCs/>
          <w:kern w:val="0"/>
        </w:rPr>
        <w:t>T</w:t>
      </w:r>
      <w:r w:rsidRPr="00C86CE3">
        <w:rPr>
          <w:i/>
          <w:iCs/>
          <w:kern w:val="0"/>
        </w:rPr>
        <w:t>he Toledo Edison Co</w:t>
      </w:r>
      <w:r w:rsidRPr="00C86CE3">
        <w:rPr>
          <w:kern w:val="0"/>
        </w:rPr>
        <w:t xml:space="preserve">., Case No. 23-51-EL-RDR, Finding and Order </w:t>
      </w:r>
      <w:r w:rsidRPr="00C86CE3" w:rsidR="00F1049F">
        <w:rPr>
          <w:kern w:val="0"/>
        </w:rPr>
        <w:t xml:space="preserve">at ¶ 14 </w:t>
      </w:r>
      <w:r w:rsidRPr="00C86CE3">
        <w:rPr>
          <w:kern w:val="0"/>
        </w:rPr>
        <w:t>(March 22, 2023).</w:t>
      </w:r>
    </w:p>
  </w:footnote>
  <w:footnote w:id="6">
    <w:p w:rsidR="00B82741" w:rsidRPr="00C86CE3" w:rsidP="00C86CE3" w14:paraId="7581B28A" w14:textId="77777777">
      <w:pPr>
        <w:pStyle w:val="FootnoteText"/>
        <w:spacing w:after="120"/>
        <w:rPr>
          <w:kern w:val="0"/>
        </w:rPr>
      </w:pPr>
      <w:r w:rsidRPr="00C86CE3">
        <w:rPr>
          <w:rStyle w:val="FootnoteReference"/>
          <w:kern w:val="0"/>
        </w:rPr>
        <w:footnoteRef/>
      </w:r>
      <w:r w:rsidRPr="00C86CE3">
        <w:rPr>
          <w:kern w:val="0"/>
        </w:rPr>
        <w:t xml:space="preserve"> Docket No. EL23-105-000.</w:t>
      </w:r>
    </w:p>
  </w:footnote>
  <w:footnote w:id="7">
    <w:p w:rsidR="000766DB" w:rsidRPr="00C86CE3" w:rsidP="00C86CE3" w14:paraId="7E3BB4FE" w14:textId="09DC3270">
      <w:pPr>
        <w:pStyle w:val="FootnoteText"/>
        <w:spacing w:after="120"/>
        <w:rPr>
          <w:kern w:val="0"/>
        </w:rPr>
      </w:pPr>
      <w:r w:rsidRPr="00C86CE3">
        <w:rPr>
          <w:rStyle w:val="FootnoteReference"/>
          <w:kern w:val="0"/>
        </w:rPr>
        <w:footnoteRef/>
      </w:r>
      <w:r w:rsidRPr="00C86CE3">
        <w:rPr>
          <w:kern w:val="0"/>
        </w:rPr>
        <w:t xml:space="preserve"> </w:t>
      </w:r>
      <w:r w:rsidRPr="00C86CE3">
        <w:rPr>
          <w:i/>
          <w:iCs/>
          <w:kern w:val="0"/>
        </w:rPr>
        <w:t>Id.</w:t>
      </w:r>
      <w:r w:rsidRPr="00C86CE3">
        <w:rPr>
          <w:kern w:val="0"/>
        </w:rPr>
        <w:t>, Comments of the Public Utilities Commission of Ohio</w:t>
      </w:r>
      <w:r w:rsidRPr="00C86CE3" w:rsidR="00C86CE3">
        <w:rPr>
          <w:kern w:val="0"/>
        </w:rPr>
        <w:t>’</w:t>
      </w:r>
      <w:r w:rsidRPr="00C86CE3">
        <w:rPr>
          <w:kern w:val="0"/>
        </w:rPr>
        <w:t>s Office of the Federal Energy Advocate (November 17, 2023) at 3-5.</w:t>
      </w:r>
    </w:p>
  </w:footnote>
  <w:footnote w:id="8">
    <w:p w:rsidR="001D53C7" w:rsidRPr="00C86CE3" w:rsidP="00C86CE3" w14:paraId="0BAB4E13" w14:textId="7F533E52">
      <w:pPr>
        <w:tabs>
          <w:tab w:val="left" w:pos="-720"/>
        </w:tabs>
        <w:suppressAutoHyphens/>
        <w:spacing w:after="120"/>
        <w:rPr>
          <w:kern w:val="0"/>
          <w:sz w:val="20"/>
          <w:szCs w:val="20"/>
        </w:rPr>
      </w:pPr>
      <w:r w:rsidRPr="00C86CE3">
        <w:rPr>
          <w:kern w:val="0"/>
          <w:sz w:val="20"/>
          <w:szCs w:val="20"/>
          <w:vertAlign w:val="superscript"/>
        </w:rPr>
        <w:footnoteRef/>
      </w:r>
      <w:r w:rsidRPr="00C86CE3" w:rsidR="00E95B80">
        <w:rPr>
          <w:kern w:val="0"/>
          <w:sz w:val="20"/>
          <w:szCs w:val="20"/>
        </w:rPr>
        <w:t xml:space="preserve"> </w:t>
      </w:r>
      <w:r w:rsidRPr="00C86CE3" w:rsidR="00711DB2">
        <w:rPr>
          <w:i/>
          <w:iCs/>
          <w:kern w:val="0"/>
          <w:sz w:val="20"/>
          <w:szCs w:val="20"/>
        </w:rPr>
        <w:t>See, e.g.</w:t>
      </w:r>
      <w:r w:rsidRPr="00C86CE3">
        <w:rPr>
          <w:kern w:val="0"/>
          <w:sz w:val="20"/>
          <w:szCs w:val="20"/>
        </w:rPr>
        <w:t xml:space="preserve">, </w:t>
      </w:r>
      <w:r w:rsidRPr="00C86CE3">
        <w:rPr>
          <w:i/>
          <w:iCs/>
          <w:kern w:val="0"/>
          <w:sz w:val="20"/>
          <w:szCs w:val="20"/>
        </w:rPr>
        <w:t>In re Columbus &amp; Southern Ohio Electric Co.</w:t>
      </w:r>
      <w:r w:rsidRPr="00C86CE3">
        <w:rPr>
          <w:kern w:val="0"/>
          <w:sz w:val="20"/>
          <w:szCs w:val="20"/>
        </w:rPr>
        <w:t xml:space="preserve">, Case No. 83-1058-EL-AIR, Entry (November 17, 1982); </w:t>
      </w:r>
      <w:r w:rsidRPr="00C86CE3">
        <w:rPr>
          <w:i/>
          <w:iCs/>
          <w:kern w:val="0"/>
          <w:sz w:val="20"/>
          <w:szCs w:val="20"/>
        </w:rPr>
        <w:t>Cinnamon Lake Utilities Co. v. Pub. Util. Comm</w:t>
      </w:r>
      <w:r w:rsidRPr="00C86CE3">
        <w:rPr>
          <w:kern w:val="0"/>
          <w:sz w:val="20"/>
          <w:szCs w:val="20"/>
        </w:rPr>
        <w:t>., 42 Ohio St.2d 259 (1975), where the Ohio Supreme Court noted that R.C. 4909.16 exists to protect the public interest as well as the interests of the public utility.</w:t>
      </w:r>
      <w:r w:rsidRPr="00C86CE3" w:rsidR="00E95B80">
        <w:rPr>
          <w:kern w:val="0"/>
          <w:sz w:val="20"/>
          <w:szCs w:val="20"/>
        </w:rPr>
        <w:t xml:space="preserve"> </w:t>
      </w:r>
    </w:p>
  </w:footnote>
  <w:footnote w:id="9">
    <w:p w:rsidR="000766DB" w:rsidRPr="00C86CE3" w:rsidP="00C86CE3" w14:paraId="30F7C95F" w14:textId="19EB72B8">
      <w:pPr>
        <w:pStyle w:val="FootnoteText"/>
        <w:spacing w:after="120"/>
        <w:rPr>
          <w:kern w:val="0"/>
        </w:rPr>
      </w:pPr>
      <w:r w:rsidRPr="00C86CE3">
        <w:rPr>
          <w:rStyle w:val="FootnoteReference"/>
          <w:kern w:val="0"/>
        </w:rPr>
        <w:footnoteRef/>
      </w:r>
      <w:r w:rsidRPr="00C86CE3">
        <w:rPr>
          <w:kern w:val="0"/>
        </w:rPr>
        <w:t xml:space="preserve"> Comments of the Public Utilities Commission of Ohio</w:t>
      </w:r>
      <w:r w:rsidRPr="00C86CE3" w:rsidR="00C86CE3">
        <w:rPr>
          <w:kern w:val="0"/>
        </w:rPr>
        <w:t>’</w:t>
      </w:r>
      <w:r w:rsidRPr="00C86CE3">
        <w:rPr>
          <w:kern w:val="0"/>
        </w:rPr>
        <w:t>s Office of the Federal Energy Advocate (November 17, 2023) at 3</w:t>
      </w:r>
      <w:r w:rsidR="004269DE">
        <w:rPr>
          <w:kern w:val="0"/>
        </w:rPr>
        <w:t>.</w:t>
      </w:r>
    </w:p>
  </w:footnote>
  <w:footnote w:id="10">
    <w:p w:rsidR="001D53C7" w:rsidRPr="00C86CE3" w:rsidP="00C86CE3" w14:paraId="45DEDEC8" w14:textId="720C01F8">
      <w:pPr>
        <w:pStyle w:val="FootnoteText"/>
        <w:spacing w:after="120"/>
        <w:rPr>
          <w:kern w:val="0"/>
        </w:rPr>
      </w:pPr>
      <w:r w:rsidRPr="00C86CE3">
        <w:rPr>
          <w:rStyle w:val="FootnoteReference"/>
          <w:kern w:val="0"/>
        </w:rPr>
        <w:footnoteRef/>
      </w:r>
      <w:r w:rsidRPr="00C86CE3">
        <w:rPr>
          <w:kern w:val="0"/>
        </w:rPr>
        <w:t xml:space="preserve"> </w:t>
      </w:r>
      <w:r w:rsidRPr="00C86CE3">
        <w:rPr>
          <w:i/>
          <w:iCs/>
          <w:kern w:val="0"/>
        </w:rPr>
        <w:t>See</w:t>
      </w:r>
      <w:r w:rsidRPr="00C86CE3">
        <w:rPr>
          <w:kern w:val="0"/>
        </w:rPr>
        <w:t xml:space="preserve"> </w:t>
      </w:r>
      <w:r w:rsidRPr="00C86CE3">
        <w:rPr>
          <w:i/>
          <w:kern w:val="0"/>
        </w:rPr>
        <w:t>In re: Columbus S. Power Co.</w:t>
      </w:r>
      <w:r w:rsidRPr="00C86CE3">
        <w:rPr>
          <w:kern w:val="0"/>
        </w:rPr>
        <w:t>, 128 Ohio St.3d 512, 2011-Ohio-1788 ¶</w:t>
      </w:r>
      <w:r w:rsidRPr="00C86CE3" w:rsidR="008E30CF">
        <w:rPr>
          <w:kern w:val="0"/>
        </w:rPr>
        <w:t>¶</w:t>
      </w:r>
      <w:r w:rsidRPr="00C86CE3" w:rsidR="006B1C1F">
        <w:rPr>
          <w:kern w:val="0"/>
        </w:rPr>
        <w:t xml:space="preserve"> </w:t>
      </w:r>
      <w:r w:rsidRPr="00C86CE3">
        <w:rPr>
          <w:kern w:val="0"/>
        </w:rPr>
        <w:t>15-21.</w:t>
      </w:r>
    </w:p>
  </w:footnote>
  <w:footnote w:id="11">
    <w:p w:rsidR="00B82741" w:rsidRPr="00C86CE3" w:rsidP="00C86CE3" w14:paraId="12157B1F" w14:textId="77777777">
      <w:pPr>
        <w:pStyle w:val="FootnoteText"/>
        <w:spacing w:after="120"/>
        <w:rPr>
          <w:kern w:val="0"/>
        </w:rPr>
      </w:pPr>
      <w:r w:rsidRPr="00C86CE3">
        <w:rPr>
          <w:rStyle w:val="FootnoteReference"/>
          <w:kern w:val="0"/>
        </w:rPr>
        <w:footnoteRef/>
      </w:r>
      <w:r w:rsidRPr="00C86CE3">
        <w:rPr>
          <w:kern w:val="0"/>
        </w:rPr>
        <w:t xml:space="preserve"> </w:t>
      </w:r>
      <w:r w:rsidRPr="00C86CE3">
        <w:rPr>
          <w:i/>
          <w:iCs/>
          <w:kern w:val="0"/>
        </w:rPr>
        <w:t>In re Columbus &amp; Southern Ohio Electric Co</w:t>
      </w:r>
      <w:r w:rsidRPr="00C86CE3">
        <w:rPr>
          <w:kern w:val="0"/>
        </w:rPr>
        <w:t>., Case No. 83-1058-EL-AIR, Entry (November 17, 1982).</w:t>
      </w:r>
    </w:p>
  </w:footnote>
  <w:footnote w:id="12">
    <w:p w:rsidR="00B82741" w:rsidRPr="00C86CE3" w:rsidP="00C86CE3" w14:paraId="5D210D48" w14:textId="77777777">
      <w:pPr>
        <w:pStyle w:val="FootnoteText"/>
        <w:spacing w:after="120"/>
        <w:rPr>
          <w:kern w:val="0"/>
        </w:rPr>
      </w:pPr>
      <w:r w:rsidRPr="00C86CE3">
        <w:rPr>
          <w:rStyle w:val="FootnoteReference"/>
          <w:kern w:val="0"/>
        </w:rPr>
        <w:footnoteRef/>
      </w:r>
      <w:r w:rsidRPr="00C86CE3">
        <w:rPr>
          <w:kern w:val="0"/>
        </w:rPr>
        <w:t xml:space="preserve"> </w:t>
      </w:r>
      <w:r w:rsidRPr="00C86CE3">
        <w:rPr>
          <w:i/>
          <w:iCs/>
          <w:kern w:val="0"/>
        </w:rPr>
        <w:t>Id</w:t>
      </w:r>
      <w:r w:rsidRPr="00C86CE3">
        <w:rPr>
          <w:kern w:val="0"/>
        </w:rPr>
        <w:t>., Opinion and Order at 8-14 (November 5, 1982).</w:t>
      </w:r>
    </w:p>
  </w:footnote>
  <w:footnote w:id="13">
    <w:p w:rsidR="00B82741" w:rsidRPr="00C86CE3" w:rsidP="00C86CE3" w14:paraId="580765C3" w14:textId="77777777">
      <w:pPr>
        <w:pStyle w:val="FootnoteText"/>
        <w:spacing w:after="120"/>
        <w:rPr>
          <w:kern w:val="0"/>
        </w:rPr>
      </w:pPr>
      <w:r w:rsidRPr="00C86CE3">
        <w:rPr>
          <w:rStyle w:val="FootnoteReference"/>
          <w:kern w:val="0"/>
        </w:rPr>
        <w:footnoteRef/>
      </w:r>
      <w:r w:rsidRPr="00C86CE3">
        <w:rPr>
          <w:kern w:val="0"/>
        </w:rPr>
        <w:t xml:space="preserve"> </w:t>
      </w:r>
      <w:r w:rsidRPr="00C86CE3">
        <w:rPr>
          <w:i/>
          <w:iCs/>
          <w:kern w:val="0"/>
        </w:rPr>
        <w:t>Id</w:t>
      </w:r>
      <w:r w:rsidRPr="00C86CE3">
        <w:rPr>
          <w:kern w:val="0"/>
        </w:rPr>
        <w:t>., Entry at 1 (November 17, 1982).</w:t>
      </w:r>
    </w:p>
  </w:footnote>
  <w:footnote w:id="14">
    <w:p w:rsidR="00B82741" w:rsidRPr="00C86CE3" w:rsidP="00C86CE3" w14:paraId="2ED7C52E" w14:textId="77777777">
      <w:pPr>
        <w:pStyle w:val="FootnoteText"/>
        <w:spacing w:after="120"/>
        <w:rPr>
          <w:kern w:val="0"/>
        </w:rPr>
      </w:pPr>
      <w:r w:rsidRPr="00C86CE3">
        <w:rPr>
          <w:rStyle w:val="FootnoteReference"/>
          <w:kern w:val="0"/>
        </w:rPr>
        <w:footnoteRef/>
      </w:r>
      <w:r w:rsidRPr="00C86CE3">
        <w:rPr>
          <w:kern w:val="0"/>
        </w:rPr>
        <w:t xml:space="preserve"> </w:t>
      </w:r>
      <w:r w:rsidRPr="00C86CE3">
        <w:rPr>
          <w:i/>
          <w:iCs/>
          <w:kern w:val="0"/>
        </w:rPr>
        <w:t>Id</w:t>
      </w:r>
      <w:r w:rsidRPr="00C86CE3">
        <w:rPr>
          <w:kern w:val="0"/>
        </w:rPr>
        <w:t>., Order on Rehearing (March 16, 1983).</w:t>
      </w:r>
    </w:p>
  </w:footnote>
  <w:footnote w:id="15">
    <w:p w:rsidR="00B82741" w:rsidRPr="00C86CE3" w:rsidP="00C86CE3" w14:paraId="26B4394C" w14:textId="6AD41C3C">
      <w:pPr>
        <w:pStyle w:val="FootnoteText"/>
        <w:spacing w:after="120"/>
        <w:rPr>
          <w:kern w:val="0"/>
        </w:rPr>
      </w:pPr>
      <w:r w:rsidRPr="00C86CE3">
        <w:rPr>
          <w:rStyle w:val="FootnoteReference"/>
          <w:kern w:val="0"/>
        </w:rPr>
        <w:footnoteRef/>
      </w:r>
      <w:r w:rsidRPr="00C86CE3">
        <w:rPr>
          <w:kern w:val="0"/>
        </w:rPr>
        <w:t xml:space="preserve"> </w:t>
      </w:r>
      <w:r w:rsidRPr="00C86CE3">
        <w:rPr>
          <w:i/>
          <w:iCs/>
          <w:kern w:val="0"/>
        </w:rPr>
        <w:t>Columbus &amp; Southern Ohio Electric Co. v. Pub. Util. Comm</w:t>
      </w:r>
      <w:r w:rsidRPr="00C86CE3">
        <w:rPr>
          <w:kern w:val="0"/>
        </w:rPr>
        <w:t>.</w:t>
      </w:r>
      <w:r w:rsidR="00D57192">
        <w:rPr>
          <w:kern w:val="0"/>
        </w:rPr>
        <w:t xml:space="preserve"> </w:t>
      </w:r>
      <w:r w:rsidRPr="00C86CE3">
        <w:rPr>
          <w:kern w:val="0"/>
        </w:rPr>
        <w:t>(1984)</w:t>
      </w:r>
      <w:r w:rsidR="00D57192">
        <w:rPr>
          <w:kern w:val="0"/>
        </w:rPr>
        <w:t>,</w:t>
      </w:r>
      <w:r w:rsidRPr="00C86CE3">
        <w:rPr>
          <w:kern w:val="0"/>
        </w:rPr>
        <w:t xml:space="preserve"> 10 Ohio St.3d 12.</w:t>
      </w:r>
    </w:p>
  </w:footnote>
  <w:footnote w:id="16">
    <w:p w:rsidR="00B82741" w:rsidRPr="00C86CE3" w:rsidP="00C86CE3" w14:paraId="6B06EC4D" w14:textId="77777777">
      <w:pPr>
        <w:pStyle w:val="FootnoteText"/>
        <w:spacing w:after="120"/>
        <w:rPr>
          <w:i/>
          <w:iCs/>
          <w:kern w:val="0"/>
        </w:rPr>
      </w:pPr>
      <w:r w:rsidRPr="00C86CE3">
        <w:rPr>
          <w:rStyle w:val="FootnoteReference"/>
          <w:kern w:val="0"/>
        </w:rPr>
        <w:footnoteRef/>
      </w:r>
      <w:r w:rsidRPr="00C86CE3">
        <w:rPr>
          <w:kern w:val="0"/>
        </w:rPr>
        <w:t xml:space="preserve"> </w:t>
      </w:r>
      <w:r w:rsidRPr="00C86CE3">
        <w:rPr>
          <w:i/>
          <w:iCs/>
          <w:kern w:val="0"/>
        </w:rPr>
        <w:t>Id.</w:t>
      </w:r>
    </w:p>
  </w:footnote>
  <w:footnote w:id="17">
    <w:p w:rsidR="00B82741" w:rsidRPr="00C86CE3" w:rsidP="00C86CE3" w14:paraId="03A4420F" w14:textId="77777777">
      <w:pPr>
        <w:pStyle w:val="FootnoteText"/>
        <w:spacing w:after="120"/>
        <w:rPr>
          <w:kern w:val="0"/>
        </w:rPr>
      </w:pPr>
      <w:r w:rsidRPr="00C86CE3">
        <w:rPr>
          <w:rStyle w:val="FootnoteReference"/>
          <w:kern w:val="0"/>
        </w:rPr>
        <w:footnoteRef/>
      </w:r>
      <w:r w:rsidRPr="00C86CE3">
        <w:rPr>
          <w:kern w:val="0"/>
        </w:rPr>
        <w:t xml:space="preserve"> </w:t>
      </w:r>
      <w:r w:rsidRPr="00C86CE3">
        <w:rPr>
          <w:i/>
          <w:iCs/>
          <w:kern w:val="0"/>
        </w:rPr>
        <w:t>In re Columbus &amp; Southern Ohio Electric Co.</w:t>
      </w:r>
      <w:r w:rsidRPr="00C86CE3">
        <w:rPr>
          <w:kern w:val="0"/>
        </w:rPr>
        <w:t>, Case No. 81-1058-EL-AIR, Order on Rehearing (May 1, 1984).</w:t>
      </w:r>
    </w:p>
  </w:footnote>
  <w:footnote w:id="18">
    <w:p w:rsidR="00B82741" w:rsidRPr="00C86CE3" w:rsidP="00C86CE3" w14:paraId="4F86E522" w14:textId="6AAA3F2D">
      <w:pPr>
        <w:pStyle w:val="FootnoteText"/>
        <w:spacing w:after="120"/>
        <w:rPr>
          <w:kern w:val="0"/>
        </w:rPr>
      </w:pPr>
      <w:r w:rsidRPr="00C86CE3">
        <w:rPr>
          <w:rStyle w:val="FootnoteReference"/>
          <w:kern w:val="0"/>
        </w:rPr>
        <w:footnoteRef/>
      </w:r>
      <w:r w:rsidRPr="00C86CE3">
        <w:rPr>
          <w:kern w:val="0"/>
        </w:rPr>
        <w:t xml:space="preserve"> </w:t>
      </w:r>
      <w:r w:rsidRPr="00C86CE3">
        <w:rPr>
          <w:i/>
          <w:iCs/>
          <w:kern w:val="0"/>
        </w:rPr>
        <w:t>In the Matter of the Commission</w:t>
      </w:r>
      <w:r w:rsidRPr="00C86CE3" w:rsidR="00C86CE3">
        <w:rPr>
          <w:i/>
          <w:iCs/>
          <w:kern w:val="0"/>
        </w:rPr>
        <w:t>’</w:t>
      </w:r>
      <w:r w:rsidRPr="00C86CE3">
        <w:rPr>
          <w:i/>
          <w:iCs/>
          <w:kern w:val="0"/>
        </w:rPr>
        <w:t>s Investigation of the Current Rates, Revenues, Rate Base, and Rate of Return of the Ohio Utilities Company</w:t>
      </w:r>
      <w:r w:rsidRPr="00C86CE3">
        <w:rPr>
          <w:kern w:val="0"/>
        </w:rPr>
        <w:t>, Case No. 77-1073-WS-COI, Entry at 2 (June 7, 1978).</w:t>
      </w:r>
    </w:p>
  </w:footnote>
  <w:footnote w:id="19">
    <w:p w:rsidR="00B82741" w:rsidRPr="00C86CE3" w:rsidP="00C86CE3" w14:paraId="05111F39" w14:textId="77777777">
      <w:pPr>
        <w:pStyle w:val="FootnoteText"/>
        <w:spacing w:after="120"/>
        <w:rPr>
          <w:kern w:val="0"/>
        </w:rPr>
      </w:pPr>
      <w:r w:rsidRPr="00C86CE3">
        <w:rPr>
          <w:rStyle w:val="FootnoteReference"/>
          <w:kern w:val="0"/>
        </w:rPr>
        <w:footnoteRef/>
      </w:r>
      <w:r w:rsidRPr="00C86CE3">
        <w:rPr>
          <w:kern w:val="0"/>
        </w:rPr>
        <w:t xml:space="preserve"> </w:t>
      </w:r>
      <w:r w:rsidRPr="00C86CE3">
        <w:rPr>
          <w:i/>
          <w:iCs/>
          <w:kern w:val="0"/>
        </w:rPr>
        <w:t>In the Matter of the Ohio Utilities Co. Application for an Increase in Rates</w:t>
      </w:r>
      <w:r w:rsidRPr="00C86CE3">
        <w:rPr>
          <w:kern w:val="0"/>
        </w:rPr>
        <w:t>, Case No. 79-529-WS-AIR, Opinion and Order (January 18, 1977).</w:t>
      </w:r>
    </w:p>
  </w:footnote>
  <w:footnote w:id="20">
    <w:p w:rsidR="00B82741" w:rsidRPr="00C86CE3" w:rsidP="00C86CE3" w14:paraId="7CE78753" w14:textId="4D88B43C">
      <w:pPr>
        <w:pStyle w:val="FootnoteText"/>
        <w:spacing w:after="120"/>
        <w:rPr>
          <w:kern w:val="0"/>
        </w:rPr>
      </w:pPr>
      <w:r w:rsidRPr="00C86CE3">
        <w:rPr>
          <w:rStyle w:val="FootnoteReference"/>
          <w:kern w:val="0"/>
        </w:rPr>
        <w:footnoteRef/>
      </w:r>
      <w:r w:rsidRPr="00C86CE3">
        <w:rPr>
          <w:kern w:val="0"/>
        </w:rPr>
        <w:t xml:space="preserve"> </w:t>
      </w:r>
      <w:r w:rsidRPr="00C86CE3">
        <w:rPr>
          <w:i/>
          <w:iCs/>
          <w:kern w:val="0"/>
        </w:rPr>
        <w:t>In the Matter of the Commission</w:t>
      </w:r>
      <w:r w:rsidRPr="00C86CE3" w:rsidR="00C86CE3">
        <w:rPr>
          <w:i/>
          <w:iCs/>
          <w:kern w:val="0"/>
        </w:rPr>
        <w:t>’</w:t>
      </w:r>
      <w:r w:rsidRPr="00C86CE3">
        <w:rPr>
          <w:i/>
          <w:iCs/>
          <w:kern w:val="0"/>
        </w:rPr>
        <w:t>s Investigation of the Current Rates, Revenues, Rate Base, and Rate of Return of the Ohio Utilities Company</w:t>
      </w:r>
      <w:r w:rsidRPr="00C86CE3">
        <w:rPr>
          <w:kern w:val="0"/>
        </w:rPr>
        <w:t>, Case No. 77-1073-WS-COI, Entry (September 7, 1977).</w:t>
      </w:r>
    </w:p>
  </w:footnote>
  <w:footnote w:id="21">
    <w:p w:rsidR="00B82741" w:rsidRPr="00C86CE3" w:rsidP="00C86CE3" w14:paraId="593F6F24" w14:textId="4A378260">
      <w:pPr>
        <w:pStyle w:val="FootnoteText"/>
        <w:spacing w:after="120"/>
        <w:rPr>
          <w:kern w:val="0"/>
        </w:rPr>
      </w:pPr>
      <w:r w:rsidRPr="00C86CE3">
        <w:rPr>
          <w:rStyle w:val="FootnoteReference"/>
          <w:kern w:val="0"/>
        </w:rPr>
        <w:footnoteRef/>
      </w:r>
      <w:r w:rsidRPr="00C86CE3">
        <w:rPr>
          <w:kern w:val="0"/>
        </w:rPr>
        <w:t xml:space="preserve"> </w:t>
      </w:r>
      <w:r w:rsidRPr="00C86CE3">
        <w:rPr>
          <w:i/>
          <w:iCs/>
          <w:kern w:val="0"/>
        </w:rPr>
        <w:t>In the Matter of the Commission</w:t>
      </w:r>
      <w:r w:rsidRPr="00C86CE3" w:rsidR="00C86CE3">
        <w:rPr>
          <w:i/>
          <w:iCs/>
          <w:kern w:val="0"/>
        </w:rPr>
        <w:t>’</w:t>
      </w:r>
      <w:r w:rsidRPr="00C86CE3">
        <w:rPr>
          <w:i/>
          <w:iCs/>
          <w:kern w:val="0"/>
        </w:rPr>
        <w:t>s Investigation of the Current Rates, Revenues, Rate Base, and Rate of Return of the Ohio Utilities Company</w:t>
      </w:r>
      <w:r w:rsidRPr="00C86CE3">
        <w:rPr>
          <w:kern w:val="0"/>
        </w:rPr>
        <w:t>, Case No. 77-1073-WS-COI, Opinion and Order (May 18, 1978).</w:t>
      </w:r>
    </w:p>
  </w:footnote>
  <w:footnote w:id="22">
    <w:p w:rsidR="00B82741" w:rsidRPr="00C86CE3" w:rsidP="00C86CE3" w14:paraId="719798CF" w14:textId="3FF99FD5">
      <w:pPr>
        <w:pStyle w:val="FootnoteText"/>
        <w:spacing w:after="120"/>
        <w:rPr>
          <w:kern w:val="0"/>
        </w:rPr>
      </w:pPr>
      <w:r w:rsidRPr="00C86CE3">
        <w:rPr>
          <w:rStyle w:val="FootnoteReference"/>
          <w:kern w:val="0"/>
        </w:rPr>
        <w:footnoteRef/>
      </w:r>
      <w:r w:rsidRPr="00C86CE3">
        <w:rPr>
          <w:kern w:val="0"/>
        </w:rPr>
        <w:t xml:space="preserve"> </w:t>
      </w:r>
      <w:r w:rsidRPr="00C86CE3">
        <w:rPr>
          <w:i/>
          <w:iCs/>
          <w:kern w:val="0"/>
        </w:rPr>
        <w:t>In the Matter of the Commission</w:t>
      </w:r>
      <w:r w:rsidRPr="00C86CE3" w:rsidR="00C86CE3">
        <w:rPr>
          <w:i/>
          <w:iCs/>
          <w:kern w:val="0"/>
        </w:rPr>
        <w:t>’</w:t>
      </w:r>
      <w:r w:rsidRPr="00C86CE3">
        <w:rPr>
          <w:i/>
          <w:iCs/>
          <w:kern w:val="0"/>
        </w:rPr>
        <w:t>s Investigation of the Current Rates, Revenues, Rate Base, and Rate of Return of the Ohio Utilities Company</w:t>
      </w:r>
      <w:r w:rsidRPr="00C86CE3">
        <w:rPr>
          <w:kern w:val="0"/>
        </w:rPr>
        <w:t xml:space="preserve">, Case No. 77-1073-WS-COI, Entry (June 7, 1978). The utility was also required to file an </w:t>
      </w:r>
      <w:r w:rsidRPr="00C86CE3" w:rsidR="00C86CE3">
        <w:rPr>
          <w:kern w:val="0"/>
        </w:rPr>
        <w:t>“</w:t>
      </w:r>
      <w:r w:rsidRPr="00C86CE3">
        <w:rPr>
          <w:kern w:val="0"/>
        </w:rPr>
        <w:t>undertaking</w:t>
      </w:r>
      <w:r w:rsidRPr="00C86CE3" w:rsidR="00C86CE3">
        <w:rPr>
          <w:kern w:val="0"/>
        </w:rPr>
        <w:t>”</w:t>
      </w:r>
      <w:r w:rsidRPr="00C86CE3">
        <w:rPr>
          <w:kern w:val="0"/>
        </w:rPr>
        <w:t xml:space="preserve"> consisting of a promise to refund any amount collected for service rendered after the date of the Entry by a method later determined by the Commission (either cash refund or as a credit to future bills). The undertaking was required to be under oath by an officer of the company and was to include a promise to include interest. The amount ordered for refund was the amount collected for service in excess of those rates ultimately determined to be lawful. </w:t>
      </w:r>
      <w:r w:rsidRPr="00C86CE3">
        <w:rPr>
          <w:i/>
          <w:iCs/>
          <w:kern w:val="0"/>
        </w:rPr>
        <w:t>Id</w:t>
      </w:r>
      <w:r w:rsidRPr="00C86CE3">
        <w:rPr>
          <w:kern w:val="0"/>
        </w:rPr>
        <w:t>.</w:t>
      </w:r>
    </w:p>
  </w:footnote>
  <w:footnote w:id="23">
    <w:p w:rsidR="00B82741" w:rsidRPr="00C86CE3" w:rsidP="00C86CE3" w14:paraId="5FCE2A25" w14:textId="3B6BDE2D">
      <w:pPr>
        <w:pStyle w:val="FootnoteText"/>
        <w:spacing w:after="120"/>
        <w:rPr>
          <w:kern w:val="0"/>
        </w:rPr>
      </w:pPr>
      <w:r w:rsidRPr="00C86CE3">
        <w:rPr>
          <w:rStyle w:val="FootnoteReference"/>
          <w:kern w:val="0"/>
        </w:rPr>
        <w:footnoteRef/>
      </w:r>
      <w:r w:rsidRPr="00C86CE3">
        <w:rPr>
          <w:kern w:val="0"/>
        </w:rPr>
        <w:t xml:space="preserve"> </w:t>
      </w:r>
      <w:r w:rsidRPr="00C86CE3">
        <w:rPr>
          <w:i/>
          <w:iCs/>
          <w:kern w:val="0"/>
        </w:rPr>
        <w:t>In the Matter of the Commission Review of the Capacity Charges of Ohio Power Company and Columbus Southern Power Company</w:t>
      </w:r>
      <w:r w:rsidRPr="00C86CE3">
        <w:rPr>
          <w:kern w:val="0"/>
        </w:rPr>
        <w:t>, Case No. 10-2929-EL-UNC</w:t>
      </w:r>
      <w:r w:rsidRPr="00C86CE3" w:rsidR="00067CCA">
        <w:rPr>
          <w:kern w:val="0"/>
        </w:rPr>
        <w:t>,</w:t>
      </w:r>
      <w:r w:rsidRPr="00C86CE3">
        <w:rPr>
          <w:kern w:val="0"/>
        </w:rPr>
        <w:t xml:space="preserve"> et al. (May 18, 2016).</w:t>
      </w:r>
    </w:p>
  </w:footnote>
  <w:footnote w:id="24">
    <w:p w:rsidR="00B82741" w:rsidRPr="00C86CE3" w:rsidP="00C86CE3" w14:paraId="0333AB7B" w14:textId="5A688D13">
      <w:pPr>
        <w:pStyle w:val="FootnoteText"/>
        <w:spacing w:after="120"/>
        <w:rPr>
          <w:kern w:val="0"/>
        </w:rPr>
      </w:pPr>
      <w:r w:rsidRPr="00C86CE3">
        <w:rPr>
          <w:rStyle w:val="FootnoteReference"/>
          <w:kern w:val="0"/>
        </w:rPr>
        <w:footnoteRef/>
      </w:r>
      <w:r w:rsidRPr="00C86CE3">
        <w:rPr>
          <w:kern w:val="0"/>
        </w:rPr>
        <w:t xml:space="preserve"> </w:t>
      </w:r>
      <w:r w:rsidRPr="00C86CE3" w:rsidR="00866AB8">
        <w:rPr>
          <w:i/>
          <w:iCs/>
          <w:kern w:val="0"/>
        </w:rPr>
        <w:t>Id.</w:t>
      </w:r>
      <w:r w:rsidRPr="00C86CE3">
        <w:rPr>
          <w:kern w:val="0"/>
        </w:rPr>
        <w:t xml:space="preserve"> at 4</w:t>
      </w:r>
      <w:r w:rsidRPr="00C86CE3" w:rsidR="00866AB8">
        <w:rPr>
          <w:kern w:val="0"/>
        </w:rPr>
        <w:t>.</w:t>
      </w:r>
    </w:p>
  </w:footnote>
  <w:footnote w:id="25">
    <w:p w:rsidR="00993ABE" w:rsidRPr="00C86CE3" w:rsidP="00C86CE3" w14:paraId="680EBCCA" w14:textId="4973FA08">
      <w:pPr>
        <w:pStyle w:val="FootnoteText"/>
        <w:spacing w:after="120"/>
        <w:rPr>
          <w:kern w:val="0"/>
        </w:rPr>
      </w:pPr>
      <w:r w:rsidRPr="00C86CE3">
        <w:rPr>
          <w:rStyle w:val="FootnoteReference"/>
          <w:kern w:val="0"/>
        </w:rPr>
        <w:footnoteRef/>
      </w:r>
      <w:r w:rsidRPr="00C86CE3">
        <w:rPr>
          <w:kern w:val="0"/>
        </w:rPr>
        <w:t xml:space="preserve"> </w:t>
      </w:r>
      <w:r w:rsidRPr="00C86CE3">
        <w:rPr>
          <w:i/>
          <w:iCs/>
          <w:kern w:val="0"/>
        </w:rPr>
        <w:t>I</w:t>
      </w:r>
      <w:r w:rsidR="007879C4">
        <w:rPr>
          <w:i/>
          <w:iCs/>
          <w:kern w:val="0"/>
        </w:rPr>
        <w:t>n</w:t>
      </w:r>
      <w:r w:rsidRPr="00C86CE3">
        <w:rPr>
          <w:i/>
          <w:iCs/>
          <w:kern w:val="0"/>
        </w:rPr>
        <w:t xml:space="preserve"> the Matter of the Application of </w:t>
      </w:r>
      <w:r w:rsidR="00BA0093">
        <w:rPr>
          <w:i/>
          <w:iCs/>
          <w:kern w:val="0"/>
        </w:rPr>
        <w:t>T</w:t>
      </w:r>
      <w:r w:rsidRPr="00C86CE3">
        <w:rPr>
          <w:i/>
          <w:iCs/>
          <w:kern w:val="0"/>
        </w:rPr>
        <w:t xml:space="preserve">he Dayton Power and Light Company to Establish a Standard Service Off in the Form of an Electric Security Plan, </w:t>
      </w:r>
      <w:r w:rsidRPr="00C86CE3">
        <w:rPr>
          <w:kern w:val="0"/>
        </w:rPr>
        <w:t xml:space="preserve">Case No. 08-1094-EL-SSO, Fifth Entry on Rehearing (June 16, 2021) at </w:t>
      </w:r>
      <w:r w:rsidRPr="00C86CE3" w:rsidR="008B3C20">
        <w:rPr>
          <w:kern w:val="0"/>
        </w:rPr>
        <w:t>¶</w:t>
      </w:r>
      <w:r w:rsidRPr="00C86CE3">
        <w:rPr>
          <w:kern w:val="0"/>
        </w:rPr>
        <w:t xml:space="preserve"> 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17B8" w14:paraId="7AC43BF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17B8" w14:paraId="1542F12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17B8" w14:paraId="301CD2B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53C7" w14:paraId="732E5E61"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53C7" w14:paraId="39A5D2C8"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53C7" w14:paraId="2EAC2D20"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53C7" w14:paraId="6262C47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multilevel"/>
    <w:tmpl w:val="1C600E92"/>
    <w:lvl w:ilvl="0">
      <w:start w:val="1"/>
      <w:numFmt w:val="upperRoman"/>
      <w:lvlText w:val="%1."/>
      <w:lvlJc w:val="left"/>
      <w:pPr>
        <w:tabs>
          <w:tab w:val="num" w:pos="1440"/>
        </w:tabs>
        <w:ind w:left="1440" w:hanging="720"/>
      </w:pPr>
      <w:rPr>
        <w:rFonts w:cs="Times New Roman"/>
      </w:rPr>
    </w:lvl>
    <w:lvl w:ilvl="1">
      <w:start w:val="1"/>
      <w:numFmt w:val="upperLetter"/>
      <w:lvlText w:val="%2."/>
      <w:lvlJc w:val="left"/>
      <w:pPr>
        <w:tabs>
          <w:tab w:val="num" w:pos="1440"/>
        </w:tabs>
        <w:ind w:left="1440" w:hanging="360"/>
      </w:pPr>
      <w:rPr>
        <w:rFonts w:cs="Times New Roman"/>
        <w:b/>
        <w:bCs w:val="0"/>
        <w:sz w:val="24"/>
        <w:szCs w:val="24"/>
      </w:rPr>
    </w:lvl>
    <w:lvl w:ilvl="2">
      <w:start w:val="1"/>
      <w:numFmt w:val="upp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4B6D89"/>
    <w:multiLevelType w:val="hybridMultilevel"/>
    <w:tmpl w:val="72B60FCC"/>
    <w:lvl w:ilvl="0">
      <w:start w:val="1"/>
      <w:numFmt w:val="decimal"/>
      <w:pStyle w:val="Heading3"/>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1F2E7000"/>
    <w:multiLevelType w:val="hybridMultilevel"/>
    <w:tmpl w:val="13D8ADC0"/>
    <w:lvl w:ilvl="0">
      <w:start w:val="1"/>
      <w:numFmt w:val="bullet"/>
      <w:lvlText w:val=""/>
      <w:lvlJc w:val="left"/>
      <w:pPr>
        <w:tabs>
          <w:tab w:val="num" w:pos="1080"/>
        </w:tabs>
        <w:ind w:left="1080" w:hanging="360"/>
      </w:pPr>
      <w:rPr>
        <w:rFonts w:ascii="Symbol" w:hAnsi="Symbol"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00E3574"/>
    <w:multiLevelType w:val="multilevel"/>
    <w:tmpl w:val="9656F5B8"/>
    <w:lvl w:ilvl="0">
      <w:start w:val="1"/>
      <w:numFmt w:val="upperRoman"/>
      <w:lvlText w:val="%1."/>
      <w:lvlJc w:val="left"/>
      <w:pPr>
        <w:tabs>
          <w:tab w:val="num" w:pos="-720"/>
        </w:tabs>
        <w:ind w:left="0" w:firstLine="0"/>
      </w:pPr>
      <w:rPr>
        <w:rFonts w:ascii="Times New Roman" w:hAnsi="Times New Roman" w:cs="Times New Roman" w:hint="default"/>
        <w:sz w:val="24"/>
        <w:szCs w:val="24"/>
      </w:rPr>
    </w:lvl>
    <w:lvl w:ilvl="1">
      <w:start w:val="1"/>
      <w:numFmt w:val="upperLetter"/>
      <w:lvlText w:val="%2."/>
      <w:lvlJc w:val="left"/>
      <w:pPr>
        <w:tabs>
          <w:tab w:val="num" w:pos="0"/>
        </w:tabs>
        <w:ind w:left="4500" w:hanging="720"/>
      </w:pPr>
      <w:rPr>
        <w:rFonts w:hint="default"/>
        <w:u w:val="none"/>
      </w:rPr>
    </w:lvl>
    <w:lvl w:ilvl="2">
      <w:start w:val="1"/>
      <w:numFmt w:val="upperLetter"/>
      <w:lvlText w:val="%31"/>
      <w:lvlJc w:val="left"/>
      <w:pPr>
        <w:tabs>
          <w:tab w:val="num" w:pos="0"/>
        </w:tabs>
        <w:ind w:left="2160" w:hanging="720"/>
      </w:pPr>
      <w:rPr>
        <w:rFonts w:ascii="Times New Roman" w:hAnsi="Times New Roman" w:cs="Times New Roman" w:hint="default"/>
        <w:sz w:val="24"/>
        <w:szCs w:val="24"/>
      </w:rPr>
    </w:lvl>
    <w:lvl w:ilvl="3">
      <w:start w:val="1"/>
      <w:numFmt w:val="lowerLetter"/>
      <w:lvlText w:val="%4)"/>
      <w:lvlJc w:val="left"/>
      <w:pPr>
        <w:tabs>
          <w:tab w:val="num" w:pos="0"/>
        </w:tabs>
        <w:ind w:left="2160" w:hanging="720"/>
      </w:pPr>
      <w:rPr>
        <w:rFonts w:hint="default"/>
      </w:rPr>
    </w:lvl>
    <w:lvl w:ilvl="4">
      <w:start w:val="1"/>
      <w:numFmt w:val="lowerRoman"/>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4">
    <w:nsid w:val="33797073"/>
    <w:multiLevelType w:val="hybridMultilevel"/>
    <w:tmpl w:val="EEBA12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58A2285"/>
    <w:multiLevelType w:val="hybridMultilevel"/>
    <w:tmpl w:val="8D906AF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A8373EF"/>
    <w:multiLevelType w:val="hybridMultilevel"/>
    <w:tmpl w:val="D1A076C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B6C6468"/>
    <w:multiLevelType w:val="multilevel"/>
    <w:tmpl w:val="11CAB3F2"/>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500"/>
        </w:tabs>
        <w:ind w:left="1500" w:hanging="720"/>
      </w:pPr>
      <w:rPr>
        <w:rFonts w:hint="default"/>
        <w:b/>
        <w:i w:val="0"/>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1440"/>
        </w:tabs>
        <w:ind w:left="5760" w:hanging="720"/>
      </w:pPr>
      <w:rPr>
        <w:rFonts w:hint="default"/>
      </w:rPr>
    </w:lvl>
    <w:lvl w:ilvl="6">
      <w:start w:val="1"/>
      <w:numFmt w:val="lowerRoman"/>
      <w:lvlText w:val="(%7)"/>
      <w:lvlJc w:val="left"/>
      <w:pPr>
        <w:tabs>
          <w:tab w:val="num" w:pos="1440"/>
        </w:tabs>
        <w:ind w:left="6480" w:hanging="720"/>
      </w:pPr>
      <w:rPr>
        <w:rFonts w:hint="default"/>
      </w:rPr>
    </w:lvl>
    <w:lvl w:ilvl="7">
      <w:start w:val="1"/>
      <w:numFmt w:val="lowerLetter"/>
      <w:lvlText w:val="(%8)"/>
      <w:lvlJc w:val="left"/>
      <w:pPr>
        <w:tabs>
          <w:tab w:val="num" w:pos="1440"/>
        </w:tabs>
        <w:ind w:left="7200" w:hanging="720"/>
      </w:pPr>
      <w:rPr>
        <w:rFonts w:hint="default"/>
      </w:rPr>
    </w:lvl>
    <w:lvl w:ilvl="8">
      <w:start w:val="1"/>
      <w:numFmt w:val="lowerRoman"/>
      <w:lvlText w:val="(%9)"/>
      <w:lvlJc w:val="left"/>
      <w:pPr>
        <w:tabs>
          <w:tab w:val="num" w:pos="1440"/>
        </w:tabs>
        <w:ind w:left="7920" w:hanging="720"/>
      </w:pPr>
      <w:rPr>
        <w:rFonts w:hint="default"/>
      </w:rPr>
    </w:lvl>
  </w:abstractNum>
  <w:abstractNum w:abstractNumId="8">
    <w:nsid w:val="3E32429A"/>
    <w:multiLevelType w:val="hybridMultilevel"/>
    <w:tmpl w:val="AA5C15E2"/>
    <w:lvl w:ilvl="0">
      <w:start w:val="1"/>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42502BBF"/>
    <w:multiLevelType w:val="hybridMultilevel"/>
    <w:tmpl w:val="E398E75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56C7D19"/>
    <w:multiLevelType w:val="hybridMultilevel"/>
    <w:tmpl w:val="8B6E5C1C"/>
    <w:lvl w:ilvl="0">
      <w:start w:val="1"/>
      <w:numFmt w:val="upp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1">
    <w:nsid w:val="461D7FE2"/>
    <w:multiLevelType w:val="hybridMultilevel"/>
    <w:tmpl w:val="CDE2D9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6E71C3E"/>
    <w:multiLevelType w:val="hybridMultilevel"/>
    <w:tmpl w:val="663CA5D6"/>
    <w:lvl w:ilvl="0">
      <w:start w:val="1"/>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5B92D5E"/>
    <w:multiLevelType w:val="hybridMultilevel"/>
    <w:tmpl w:val="59B283DE"/>
    <w:lvl w:ilvl="0">
      <w:start w:val="1"/>
      <w:numFmt w:val="upp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4">
    <w:nsid w:val="6865266D"/>
    <w:multiLevelType w:val="hybridMultilevel"/>
    <w:tmpl w:val="C48CA758"/>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75785B0D"/>
    <w:multiLevelType w:val="hybridMultilevel"/>
    <w:tmpl w:val="32322FAA"/>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7C4C4F0B"/>
    <w:multiLevelType w:val="hybridMultilevel"/>
    <w:tmpl w:val="890405EA"/>
    <w:lvl w:ilvl="0">
      <w:start w:val="1"/>
      <w:numFmt w:val="upperRoman"/>
      <w:lvlText w:val="%1."/>
      <w:lvlJc w:val="left"/>
      <w:pPr>
        <w:tabs>
          <w:tab w:val="num" w:pos="1440"/>
        </w:tabs>
        <w:ind w:left="1440" w:hanging="720"/>
      </w:pPr>
      <w:rPr>
        <w:rFonts w:hint="default"/>
      </w:rPr>
    </w:lvl>
    <w:lvl w:ilvl="1">
      <w:start w:val="1"/>
      <w:numFmt w:val="upp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7"/>
  </w:num>
  <w:num w:numId="2">
    <w:abstractNumId w:val="7"/>
  </w:num>
  <w:num w:numId="3">
    <w:abstractNumId w:val="7"/>
    <w:lvlOverride w:ilvl="0">
      <w:startOverride w:val="1"/>
    </w:lvlOverride>
    <w:lvlOverride w:ilvl="1">
      <w:startOverride w:val="1"/>
    </w:lvlOverride>
    <w:lvlOverride w:ilvl="2">
      <w:startOverride w:val="2"/>
    </w:lvlOverride>
  </w:num>
  <w:num w:numId="4">
    <w:abstractNumId w:val="8"/>
  </w:num>
  <w:num w:numId="5">
    <w:abstractNumId w:val="7"/>
  </w:num>
  <w:num w:numId="6">
    <w:abstractNumId w:val="10"/>
  </w:num>
  <w:num w:numId="7">
    <w:abstractNumId w:val="10"/>
  </w:num>
  <w:num w:numId="8">
    <w:abstractNumId w:val="12"/>
  </w:num>
  <w:num w:numId="9">
    <w:abstractNumId w:val="10"/>
  </w:num>
  <w:num w:numId="10">
    <w:abstractNumId w:val="12"/>
  </w:num>
  <w:num w:numId="11">
    <w:abstractNumId w:val="10"/>
  </w:num>
  <w:num w:numId="12">
    <w:abstractNumId w:val="16"/>
  </w:num>
  <w:num w:numId="13">
    <w:abstractNumId w:val="10"/>
  </w:num>
  <w:num w:numId="14">
    <w:abstractNumId w:val="16"/>
  </w:num>
  <w:num w:numId="15">
    <w:abstractNumId w:val="10"/>
  </w:num>
  <w:num w:numId="16">
    <w:abstractNumId w:val="12"/>
  </w:num>
  <w:num w:numId="17">
    <w:abstractNumId w:val="10"/>
  </w:num>
  <w:num w:numId="18">
    <w:abstractNumId w:val="0"/>
  </w:num>
  <w:num w:numId="19">
    <w:abstractNumId w:val="0"/>
  </w:num>
  <w:num w:numId="20">
    <w:abstractNumId w:val="0"/>
  </w:num>
  <w:num w:numId="21">
    <w:abstractNumId w:val="0"/>
  </w:num>
  <w:num w:numId="22">
    <w:abstractNumId w:val="15"/>
  </w:num>
  <w:num w:numId="23">
    <w:abstractNumId w:val="15"/>
  </w:num>
  <w:num w:numId="24">
    <w:abstractNumId w:val="6"/>
  </w:num>
  <w:num w:numId="25">
    <w:abstractNumId w:val="11"/>
  </w:num>
  <w:num w:numId="26">
    <w:abstractNumId w:val="3"/>
  </w:num>
  <w:num w:numId="27">
    <w:abstractNumId w:val="3"/>
  </w:num>
  <w:num w:numId="28">
    <w:abstractNumId w:val="13"/>
  </w:num>
  <w:num w:numId="29">
    <w:abstractNumId w:val="2"/>
  </w:num>
  <w:num w:numId="30">
    <w:abstractNumId w:val="7"/>
  </w:num>
  <w:num w:numId="31">
    <w:abstractNumId w:val="7"/>
  </w:num>
  <w:num w:numId="32">
    <w:abstractNumId w:val="7"/>
    <w:lvlOverride w:ilvl="0">
      <w:startOverride w:val="1"/>
    </w:lvlOverride>
    <w:lvlOverride w:ilvl="1">
      <w:startOverride w:val="1"/>
    </w:lvlOverride>
    <w:lvlOverride w:ilvl="2">
      <w:startOverride w:val="2"/>
    </w:lvlOverride>
  </w:num>
  <w:num w:numId="33">
    <w:abstractNumId w:val="7"/>
  </w:num>
  <w:num w:numId="34">
    <w:abstractNumId w:val="5"/>
  </w:num>
  <w:num w:numId="35">
    <w:abstractNumId w:val="14"/>
  </w:num>
  <w:num w:numId="36">
    <w:abstractNumId w:val="9"/>
  </w:num>
  <w:num w:numId="37">
    <w:abstractNumId w:val="4"/>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88"/>
    <w:rsid w:val="00067CCA"/>
    <w:rsid w:val="000719DF"/>
    <w:rsid w:val="000766DB"/>
    <w:rsid w:val="00090A4C"/>
    <w:rsid w:val="000B23F8"/>
    <w:rsid w:val="000C693F"/>
    <w:rsid w:val="00122F93"/>
    <w:rsid w:val="00147670"/>
    <w:rsid w:val="00155FBF"/>
    <w:rsid w:val="001917B8"/>
    <w:rsid w:val="001D53C7"/>
    <w:rsid w:val="001F20C6"/>
    <w:rsid w:val="00272263"/>
    <w:rsid w:val="00272FAC"/>
    <w:rsid w:val="00282E5F"/>
    <w:rsid w:val="00295BD8"/>
    <w:rsid w:val="00297F88"/>
    <w:rsid w:val="002C740E"/>
    <w:rsid w:val="002D66DE"/>
    <w:rsid w:val="002F6A3B"/>
    <w:rsid w:val="00347E4C"/>
    <w:rsid w:val="003D2B08"/>
    <w:rsid w:val="003F54CB"/>
    <w:rsid w:val="004269DE"/>
    <w:rsid w:val="004320C5"/>
    <w:rsid w:val="00445F17"/>
    <w:rsid w:val="004571EE"/>
    <w:rsid w:val="00474DF8"/>
    <w:rsid w:val="00476643"/>
    <w:rsid w:val="004C459C"/>
    <w:rsid w:val="004E74C1"/>
    <w:rsid w:val="00505872"/>
    <w:rsid w:val="00547E52"/>
    <w:rsid w:val="005B66CD"/>
    <w:rsid w:val="005C6EB5"/>
    <w:rsid w:val="0060660B"/>
    <w:rsid w:val="00670C8F"/>
    <w:rsid w:val="006773F6"/>
    <w:rsid w:val="006877A6"/>
    <w:rsid w:val="00694EE2"/>
    <w:rsid w:val="006B1C1F"/>
    <w:rsid w:val="006B27B5"/>
    <w:rsid w:val="006D5706"/>
    <w:rsid w:val="00711DB2"/>
    <w:rsid w:val="007302CD"/>
    <w:rsid w:val="007338D1"/>
    <w:rsid w:val="00756BA5"/>
    <w:rsid w:val="00756F75"/>
    <w:rsid w:val="00773233"/>
    <w:rsid w:val="00777C10"/>
    <w:rsid w:val="007879C4"/>
    <w:rsid w:val="007B3B55"/>
    <w:rsid w:val="00805BE9"/>
    <w:rsid w:val="008135DA"/>
    <w:rsid w:val="00823C49"/>
    <w:rsid w:val="00847308"/>
    <w:rsid w:val="00851B15"/>
    <w:rsid w:val="00852D45"/>
    <w:rsid w:val="00866AB8"/>
    <w:rsid w:val="00881880"/>
    <w:rsid w:val="00894DD1"/>
    <w:rsid w:val="008B3C20"/>
    <w:rsid w:val="008D6DD8"/>
    <w:rsid w:val="008E30CF"/>
    <w:rsid w:val="00932060"/>
    <w:rsid w:val="009835F2"/>
    <w:rsid w:val="00993ABE"/>
    <w:rsid w:val="009C251C"/>
    <w:rsid w:val="009F5353"/>
    <w:rsid w:val="00A07FF1"/>
    <w:rsid w:val="00A20ED4"/>
    <w:rsid w:val="00A90C9F"/>
    <w:rsid w:val="00AB5365"/>
    <w:rsid w:val="00AC4267"/>
    <w:rsid w:val="00AE3B30"/>
    <w:rsid w:val="00B3481A"/>
    <w:rsid w:val="00B35A4A"/>
    <w:rsid w:val="00B82741"/>
    <w:rsid w:val="00BA0093"/>
    <w:rsid w:val="00BE05DA"/>
    <w:rsid w:val="00BF02FE"/>
    <w:rsid w:val="00BF480F"/>
    <w:rsid w:val="00C0733D"/>
    <w:rsid w:val="00C25978"/>
    <w:rsid w:val="00C72747"/>
    <w:rsid w:val="00C86CE3"/>
    <w:rsid w:val="00CD7D26"/>
    <w:rsid w:val="00CE2D79"/>
    <w:rsid w:val="00D22C04"/>
    <w:rsid w:val="00D2320F"/>
    <w:rsid w:val="00D46403"/>
    <w:rsid w:val="00D57192"/>
    <w:rsid w:val="00D93367"/>
    <w:rsid w:val="00DA36B6"/>
    <w:rsid w:val="00DE098E"/>
    <w:rsid w:val="00DF4396"/>
    <w:rsid w:val="00E330BC"/>
    <w:rsid w:val="00E542AC"/>
    <w:rsid w:val="00E570D8"/>
    <w:rsid w:val="00E95B80"/>
    <w:rsid w:val="00EC09C7"/>
    <w:rsid w:val="00EF7675"/>
    <w:rsid w:val="00F1049F"/>
    <w:rsid w:val="00F14807"/>
    <w:rsid w:val="00F267A5"/>
    <w:rsid w:val="00F80833"/>
    <w:rsid w:val="00F81B85"/>
    <w:rsid w:val="00FE0B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96F6D71"/>
  <w15:chartTrackingRefBased/>
  <w15:docId w15:val="{627BA330-9FE6-4922-A536-3174E456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263"/>
    <w:pPr>
      <w:widowControl w:val="0"/>
      <w:overflowPunct w:val="0"/>
      <w:adjustRightInd w:val="0"/>
    </w:pPr>
    <w:rPr>
      <w:kern w:val="28"/>
      <w:sz w:val="24"/>
      <w:szCs w:val="24"/>
    </w:rPr>
  </w:style>
  <w:style w:type="paragraph" w:styleId="Heading1">
    <w:name w:val="heading 1"/>
    <w:basedOn w:val="Normal"/>
    <w:next w:val="Normal"/>
    <w:link w:val="Heading1Char"/>
    <w:autoRedefine/>
    <w:qFormat/>
    <w:rsid w:val="00414AB7"/>
    <w:pPr>
      <w:keepNext/>
      <w:spacing w:after="240"/>
      <w:ind w:left="720" w:hanging="720"/>
      <w:outlineLvl w:val="0"/>
    </w:pPr>
    <w:rPr>
      <w:rFonts w:ascii="Times New Roman Bold" w:hAnsi="Times New Roman Bold"/>
      <w:b/>
      <w:bCs/>
      <w:caps/>
      <w:kern w:val="32"/>
      <w:lang w:val="x-none" w:eastAsia="x-none"/>
    </w:rPr>
  </w:style>
  <w:style w:type="paragraph" w:styleId="Heading2">
    <w:name w:val="heading 2"/>
    <w:basedOn w:val="Normal"/>
    <w:next w:val="Normal"/>
    <w:link w:val="Heading2Char"/>
    <w:autoRedefine/>
    <w:qFormat/>
    <w:rsid w:val="00414AB7"/>
    <w:pPr>
      <w:keepNext/>
      <w:widowControl/>
      <w:overflowPunct/>
      <w:autoSpaceDE w:val="0"/>
      <w:autoSpaceDN w:val="0"/>
      <w:spacing w:after="240"/>
      <w:ind w:left="1440" w:right="720" w:hanging="720"/>
      <w:outlineLvl w:val="1"/>
    </w:pPr>
    <w:rPr>
      <w:rFonts w:ascii="Times New Roman Bold" w:hAnsi="Times New Roman Bold"/>
      <w:b/>
      <w:bCs/>
      <w:iCs/>
      <w:lang w:val="x-none" w:eastAsia="x-none"/>
    </w:rPr>
  </w:style>
  <w:style w:type="paragraph" w:styleId="Heading3">
    <w:name w:val="heading 3"/>
    <w:basedOn w:val="Normal"/>
    <w:next w:val="Normal"/>
    <w:link w:val="Heading3Char"/>
    <w:autoRedefine/>
    <w:qFormat/>
    <w:rsid w:val="00414AB7"/>
    <w:pPr>
      <w:keepNext/>
      <w:numPr>
        <w:numId w:val="38"/>
      </w:numPr>
      <w:spacing w:after="240"/>
      <w:ind w:left="2160" w:right="720" w:hanging="720"/>
      <w:outlineLvl w:val="2"/>
    </w:pPr>
    <w:rPr>
      <w:rFonts w:ascii="Times New Roman Bold" w:hAnsi="Times New Roman Bold"/>
      <w:b/>
      <w:bCs/>
      <w:lang w:val="x-none" w:eastAsia="x-none"/>
    </w:rPr>
  </w:style>
  <w:style w:type="paragraph" w:styleId="Heading4">
    <w:name w:val="heading 4"/>
    <w:basedOn w:val="Normal"/>
    <w:next w:val="Normal"/>
    <w:autoRedefine/>
    <w:qFormat/>
    <w:pPr>
      <w:keepNext/>
      <w:widowControl/>
      <w:adjustRightInd/>
      <w:spacing w:after="240"/>
      <w:ind w:left="2880" w:hanging="720"/>
      <w:outlineLvl w:val="3"/>
    </w:pPr>
    <w:rPr>
      <w:rFonts w:ascii="Times New Roman Bold" w:hAnsi="Times New Roman Bold"/>
      <w:b/>
      <w:bCs/>
    </w:rPr>
  </w:style>
  <w:style w:type="paragraph" w:styleId="Heading5">
    <w:name w:val="heading 5"/>
    <w:basedOn w:val="Normal"/>
    <w:next w:val="Normal"/>
    <w:autoRedefine/>
    <w:qFormat/>
    <w:pPr>
      <w:widowControl/>
      <w:adjustRightInd/>
      <w:spacing w:after="240"/>
      <w:ind w:left="3600" w:hanging="720"/>
      <w:outlineLvl w:val="4"/>
    </w:pPr>
    <w:rPr>
      <w:rFonts w:ascii="Times New Roman Bold" w:hAnsi="Times New Roman Bold"/>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pPr>
      <w:tabs>
        <w:tab w:val="left" w:pos="720"/>
        <w:tab w:val="decimal" w:leader="dot" w:pos="8640"/>
      </w:tabs>
      <w:spacing w:after="240"/>
      <w:ind w:left="720" w:hanging="720"/>
    </w:pPr>
    <w:rPr>
      <w:caps/>
    </w:rPr>
  </w:style>
  <w:style w:type="paragraph" w:styleId="TOC2">
    <w:name w:val="toc 2"/>
    <w:basedOn w:val="Normal"/>
    <w:next w:val="Normal"/>
    <w:autoRedefine/>
    <w:uiPriority w:val="39"/>
    <w:pPr>
      <w:tabs>
        <w:tab w:val="left" w:pos="720"/>
        <w:tab w:val="decimal" w:leader="dot" w:pos="8640"/>
      </w:tabs>
      <w:spacing w:after="240"/>
      <w:ind w:left="1440" w:hanging="720"/>
    </w:pPr>
  </w:style>
  <w:style w:type="paragraph" w:styleId="TOC3">
    <w:name w:val="toc 3"/>
    <w:basedOn w:val="Normal"/>
    <w:next w:val="Normal"/>
    <w:autoRedefine/>
    <w:uiPriority w:val="39"/>
    <w:pPr>
      <w:tabs>
        <w:tab w:val="left" w:pos="720"/>
        <w:tab w:val="left" w:pos="1440"/>
        <w:tab w:val="decimal" w:leader="dot" w:pos="8640"/>
      </w:tabs>
      <w:spacing w:after="240"/>
      <w:ind w:left="2160" w:hanging="720"/>
    </w:pPr>
  </w:style>
  <w:style w:type="paragraph" w:styleId="TOAHeading">
    <w:name w:val="toa heading"/>
    <w:basedOn w:val="Normal"/>
    <w:next w:val="Normal"/>
    <w:autoRedefine/>
    <w:semiHidden/>
    <w:pPr>
      <w:spacing w:after="240"/>
    </w:pPr>
    <w:rPr>
      <w:rFonts w:cs="Arial"/>
      <w:b/>
      <w:bCs/>
    </w:rPr>
  </w:style>
  <w:style w:type="paragraph" w:styleId="TableofAuthorities">
    <w:name w:val="table of authorities"/>
    <w:basedOn w:val="Normal"/>
    <w:next w:val="Normal"/>
    <w:autoRedefine/>
    <w:semiHidden/>
    <w:pPr>
      <w:spacing w:after="240"/>
      <w:ind w:left="245" w:hanging="245"/>
    </w:pPr>
  </w:style>
  <w:style w:type="paragraph" w:styleId="TOC4">
    <w:name w:val="toc 4"/>
    <w:basedOn w:val="Normal"/>
    <w:next w:val="Normal"/>
    <w:autoRedefine/>
    <w:semiHidden/>
    <w:pPr>
      <w:widowControl/>
      <w:tabs>
        <w:tab w:val="left" w:pos="720"/>
        <w:tab w:val="left" w:pos="1440"/>
        <w:tab w:val="left" w:pos="2160"/>
        <w:tab w:val="decimal" w:leader="dot" w:pos="8640"/>
      </w:tabs>
      <w:adjustRightInd/>
      <w:spacing w:after="240"/>
      <w:ind w:left="2880" w:hanging="720"/>
    </w:pPr>
  </w:style>
  <w:style w:type="paragraph" w:styleId="TOC5">
    <w:name w:val="toc 5"/>
    <w:basedOn w:val="Normal"/>
    <w:next w:val="Normal"/>
    <w:autoRedefine/>
    <w:semiHidden/>
    <w:pPr>
      <w:widowControl/>
      <w:tabs>
        <w:tab w:val="left" w:pos="720"/>
        <w:tab w:val="left" w:pos="1440"/>
        <w:tab w:val="decimal" w:leader="dot" w:pos="8640"/>
      </w:tabs>
      <w:adjustRightInd/>
      <w:spacing w:after="240"/>
      <w:ind w:left="3600" w:hanging="720"/>
    </w:pPr>
  </w:style>
  <w:style w:type="paragraph" w:styleId="BodyTextIndent3">
    <w:name w:val="Body Text Indent 3"/>
    <w:basedOn w:val="Normal"/>
    <w:autoRedefine/>
    <w:pPr>
      <w:widowControl/>
      <w:tabs>
        <w:tab w:val="left" w:pos="-720"/>
      </w:tabs>
      <w:suppressAutoHyphens/>
      <w:adjustRightInd/>
      <w:spacing w:line="480" w:lineRule="auto"/>
      <w:ind w:firstLine="720"/>
    </w:pPr>
    <w:rPr>
      <w:rFonts w:cs="Arial"/>
      <w:spacing w:val="-3"/>
    </w:rPr>
  </w:style>
  <w:style w:type="character" w:customStyle="1" w:styleId="StyleFootnoteReferenceoBold">
    <w:name w:val="Style Footnote Referenceo + Bold"/>
    <w:rPr>
      <w:rFonts w:ascii="Times New Roman" w:hAnsi="Times New Roman"/>
      <w:bCs/>
      <w:dstrike w:val="0"/>
      <w:sz w:val="20"/>
      <w:szCs w:val="20"/>
      <w:vertAlign w:val="superscript"/>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nr,fr,fr1,fr2,fr3,o,o1,o2,o3"/>
    <w:uiPriority w:val="99"/>
    <w:qFormat/>
    <w:rPr>
      <w:vertAlign w:val="superscript"/>
    </w:rPr>
  </w:style>
  <w:style w:type="character" w:customStyle="1" w:styleId="Style">
    <w:name w:val="Style"/>
    <w:rPr>
      <w:rFonts w:ascii="Times New Roman" w:hAnsi="Times New Roman"/>
      <w:color w:val="auto"/>
      <w:position w:val="7"/>
      <w:sz w:val="20"/>
      <w:vertAlign w:val="superscript"/>
    </w:rPr>
  </w:style>
  <w:style w:type="paragraph" w:customStyle="1" w:styleId="Heading">
    <w:name w:val="Heading"/>
    <w:basedOn w:val="Normal"/>
    <w:next w:val="BodyText"/>
    <w:autoRedefine/>
    <w:pPr>
      <w:keepNext/>
      <w:suppressAutoHyphens/>
      <w:adjustRightInd/>
      <w:spacing w:before="240" w:after="120"/>
    </w:pPr>
    <w:rPr>
      <w:rFonts w:cs="Arial"/>
      <w:szCs w:val="28"/>
      <w:lang w:eastAsia="ar-SA"/>
    </w:rPr>
  </w:style>
  <w:style w:type="paragraph" w:styleId="BodyText">
    <w:name w:val="Body Text"/>
    <w:basedOn w:val="Normal"/>
    <w:pPr>
      <w:spacing w:after="120"/>
    </w:pPr>
  </w:style>
  <w:style w:type="character" w:customStyle="1" w:styleId="Heading1Char">
    <w:name w:val="Heading 1 Char"/>
    <w:link w:val="Heading1"/>
    <w:rsid w:val="00414AB7"/>
    <w:rPr>
      <w:rFonts w:ascii="Times New Roman Bold" w:hAnsi="Times New Roman Bold" w:cs="Arial"/>
      <w:b/>
      <w:bCs/>
      <w:caps/>
      <w:kern w:val="32"/>
      <w:sz w:val="24"/>
      <w:szCs w:val="24"/>
    </w:rPr>
  </w:style>
  <w:style w:type="character" w:customStyle="1" w:styleId="Heading2Char">
    <w:name w:val="Heading 2 Char"/>
    <w:link w:val="Heading2"/>
    <w:rsid w:val="00414AB7"/>
    <w:rPr>
      <w:rFonts w:ascii="Times New Roman Bold" w:hAnsi="Times New Roman Bold" w:cs="Arial"/>
      <w:b/>
      <w:bCs/>
      <w:iCs/>
      <w:kern w:val="28"/>
      <w:sz w:val="24"/>
      <w:szCs w:val="24"/>
    </w:rPr>
  </w:style>
  <w:style w:type="character" w:customStyle="1" w:styleId="Heading3Char">
    <w:name w:val="Heading 3 Char"/>
    <w:link w:val="Heading3"/>
    <w:rsid w:val="00414AB7"/>
    <w:rPr>
      <w:rFonts w:ascii="Times New Roman Bold" w:hAnsi="Times New Roman Bold" w:cs="Arial"/>
      <w:b/>
      <w:bCs/>
      <w:kern w:val="28"/>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kern w:val="28"/>
      <w:sz w:val="24"/>
      <w:szCs w:val="24"/>
      <w:lang w:val="en-US" w:eastAsia="en-US" w:bidi="ar-SA"/>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ALTS FOOTNOTE,Car,Footnote Text Char,Footnote Text Char Char,Footnote Text Char Char Char Char,Footnote Text Char1,Footnote Text Char1 Char Char1,Footnote Text Char1 Char Char1 Char Char Char,Footnote Text Char2 Char Char Char Char1,fn"/>
    <w:basedOn w:val="Normal"/>
    <w:link w:val="FootnoteTextChar2"/>
    <w:uiPriority w:val="99"/>
    <w:qFormat/>
    <w:rPr>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FootnoteTextChar2">
    <w:name w:val="Footnote Text Char2"/>
    <w:aliases w:val="ALTS FOOTNOTE Char,Car Char,Footnote Text Char Char Char,Footnote Text Char Char Char Char Char,Footnote Text Char Char1,Footnote Text Char1 Char,Footnote Text Char1 Char Char1 Char,Footnote Text Char1 Char Char1 Char Char Char Char"/>
    <w:link w:val="FootnoteText"/>
    <w:uiPriority w:val="99"/>
    <w:locked/>
    <w:rsid w:val="00B82741"/>
    <w:rPr>
      <w:kern w:val="28"/>
    </w:rPr>
  </w:style>
  <w:style w:type="paragraph" w:styleId="HTMLPreformatted">
    <w:name w:val="HTML Preformatted"/>
    <w:basedOn w:val="Normal"/>
    <w:link w:val="HTMLPreformattedChar"/>
    <w:rsid w:val="00894D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pPr>
    <w:rPr>
      <w:rFonts w:ascii="Courier New" w:eastAsia="Courier New" w:hAnsi="Courier New" w:cs="Courier New"/>
      <w:kern w:val="0"/>
      <w:sz w:val="20"/>
      <w:szCs w:val="20"/>
    </w:rPr>
  </w:style>
  <w:style w:type="character" w:customStyle="1" w:styleId="HTMLPreformattedChar">
    <w:name w:val="HTML Preformatted Char"/>
    <w:basedOn w:val="DefaultParagraphFont"/>
    <w:link w:val="HTMLPreformatted"/>
    <w:rsid w:val="00894DD1"/>
    <w:rPr>
      <w:rFonts w:ascii="Courier New" w:eastAsia="Courier New" w:hAnsi="Courier New" w:cs="Courier New"/>
    </w:rPr>
  </w:style>
  <w:style w:type="table" w:styleId="TableGrid">
    <w:name w:val="Table Grid"/>
    <w:basedOn w:val="TableNormal"/>
    <w:rsid w:val="00E54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3B30"/>
    <w:rPr>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footer" Target="footer4.xml" /><Relationship Id="rId15" Type="http://schemas.openxmlformats.org/officeDocument/2006/relationships/hyperlink" Target="mailto:amy.botschnerobrien@ohioago.gov" TargetMode="External" /><Relationship Id="rId16" Type="http://schemas.openxmlformats.org/officeDocument/2006/relationships/hyperlink" Target="mailto:megan.addison@puco.ohio.gov" TargetMode="External" /><Relationship Id="rId17" Type="http://schemas.openxmlformats.org/officeDocument/2006/relationships/hyperlink" Target="mailto:greg.price@puco.ohio.gov" TargetMode="External" /><Relationship Id="rId18" Type="http://schemas.openxmlformats.org/officeDocument/2006/relationships/hyperlink" Target="mailto:jacqueline.st.john@puco.ohio.gov" TargetMode="External" /><Relationship Id="rId19" Type="http://schemas.openxmlformats.org/officeDocument/2006/relationships/hyperlink" Target="mailto:zwoltz@firstenergycorp.com" TargetMode="External" /><Relationship Id="rId2" Type="http://schemas.openxmlformats.org/officeDocument/2006/relationships/settings" Target="settings.xml" /><Relationship Id="rId20" Type="http://schemas.openxmlformats.org/officeDocument/2006/relationships/hyperlink" Target="mailto:mkurtz@BKLlawfirm.com" TargetMode="External" /><Relationship Id="rId21" Type="http://schemas.openxmlformats.org/officeDocument/2006/relationships/hyperlink" Target="mailto:kylercohn@BKLlawfirm.com" TargetMode="External" /><Relationship Id="rId22" Type="http://schemas.openxmlformats.org/officeDocument/2006/relationships/hyperlink" Target="mailto:dproano@bakerlaw.com" TargetMode="External" /><Relationship Id="rId23" Type="http://schemas.openxmlformats.org/officeDocument/2006/relationships/hyperlink" Target="mailto:pwillison@bakerlaw.com" TargetMode="External" /><Relationship Id="rId24" Type="http://schemas.openxmlformats.org/officeDocument/2006/relationships/header" Target="header5.xml" /><Relationship Id="rId25" Type="http://schemas.openxmlformats.org/officeDocument/2006/relationships/header" Target="header6.xml" /><Relationship Id="rId26" Type="http://schemas.openxmlformats.org/officeDocument/2006/relationships/header" Target="header7.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william.michael@occ.ohio.go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79862-59DF-4BB1-9858-C3C60E8AF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2024-04-05T17:12:16Z</dcterms:created>
  <dcterms:modified xsi:type="dcterms:W3CDTF">2024-04-05T17:12:16Z</dcterms:modified>
</cp:coreProperties>
</file>