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B52F65" w14:paraId="2174E089" w14:textId="68C976B0">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B52F65" w14:paraId="1BD69D0C" w14:textId="77777777">
      <w:pPr>
        <w:pStyle w:val="HTMLPreformatted"/>
        <w:jc w:val="center"/>
        <w:rPr>
          <w:rFonts w:ascii="Times New Roman" w:hAnsi="Times New Roman"/>
          <w:sz w:val="24"/>
        </w:rPr>
      </w:pPr>
      <w:r>
        <w:rPr>
          <w:rFonts w:ascii="Times New Roman" w:hAnsi="Times New Roman"/>
          <w:b/>
          <w:bCs/>
          <w:sz w:val="24"/>
        </w:rPr>
        <w:t>THE PUBLIC UTILITIES COMMISSION OF OHIO</w:t>
      </w:r>
    </w:p>
    <w:p w:rsidR="00B52F65" w14:paraId="13538E75" w14:textId="77777777">
      <w:pPr>
        <w:pStyle w:val="HTMLPreformatted"/>
        <w:rPr>
          <w:rFonts w:ascii="Times New Roman" w:hAnsi="Times New Roman"/>
          <w:sz w:val="24"/>
        </w:rPr>
      </w:pPr>
    </w:p>
    <w:tbl>
      <w:tblPr>
        <w:tblW w:w="8730" w:type="dxa"/>
        <w:tblLook w:val="01E0"/>
      </w:tblPr>
      <w:tblGrid>
        <w:gridCol w:w="4230"/>
        <w:gridCol w:w="468"/>
        <w:gridCol w:w="4032"/>
      </w:tblGrid>
      <w:tr w14:paraId="49E4A012" w14:textId="77777777" w:rsidTr="00A46FA3">
        <w:tblPrEx>
          <w:tblW w:w="8730" w:type="dxa"/>
          <w:tblLook w:val="01E0"/>
        </w:tblPrEx>
        <w:trPr>
          <w:trHeight w:val="807"/>
        </w:trPr>
        <w:tc>
          <w:tcPr>
            <w:tcW w:w="4230" w:type="dxa"/>
            <w:shd w:val="clear" w:color="auto" w:fill="auto"/>
          </w:tcPr>
          <w:p w:rsidR="00B52F65" w:rsidP="0060598B" w14:paraId="4EB8097F" w14:textId="41D8E136">
            <w:pPr>
              <w:pStyle w:val="HTMLPreformatted"/>
              <w:rPr>
                <w:rFonts w:ascii="Times New Roman" w:hAnsi="Times New Roman" w:cs="Times New Roman"/>
                <w:sz w:val="24"/>
                <w:szCs w:val="24"/>
              </w:rPr>
            </w:pPr>
            <w:r w:rsidRPr="00A044B5">
              <w:rPr>
                <w:rFonts w:ascii="Times New Roman" w:hAnsi="Times New Roman" w:cs="Times New Roman"/>
                <w:sz w:val="24"/>
                <w:szCs w:val="24"/>
              </w:rPr>
              <w:t>In the Matter of</w:t>
            </w:r>
            <w:r>
              <w:rPr>
                <w:rFonts w:ascii="Times New Roman" w:hAnsi="Times New Roman" w:cs="Times New Roman"/>
                <w:sz w:val="24"/>
                <w:szCs w:val="24"/>
              </w:rPr>
              <w:t xml:space="preserve"> the</w:t>
            </w:r>
            <w:r w:rsidR="00C83423">
              <w:rPr>
                <w:rFonts w:ascii="Times New Roman" w:hAnsi="Times New Roman" w:cs="Times New Roman"/>
                <w:sz w:val="24"/>
                <w:szCs w:val="24"/>
              </w:rPr>
              <w:t xml:space="preserve"> Commission’s Investigation into PALMco Power OH, LLC, d</w:t>
            </w:r>
            <w:r w:rsidR="009B54A0">
              <w:rPr>
                <w:rFonts w:ascii="Times New Roman" w:hAnsi="Times New Roman" w:cs="Times New Roman"/>
                <w:sz w:val="24"/>
                <w:szCs w:val="24"/>
              </w:rPr>
              <w:t>/</w:t>
            </w:r>
            <w:r w:rsidR="00C83423">
              <w:rPr>
                <w:rFonts w:ascii="Times New Roman" w:hAnsi="Times New Roman" w:cs="Times New Roman"/>
                <w:sz w:val="24"/>
                <w:szCs w:val="24"/>
              </w:rPr>
              <w:t>b</w:t>
            </w:r>
            <w:r w:rsidR="009B54A0">
              <w:rPr>
                <w:rFonts w:ascii="Times New Roman" w:hAnsi="Times New Roman" w:cs="Times New Roman"/>
                <w:sz w:val="24"/>
                <w:szCs w:val="24"/>
              </w:rPr>
              <w:t>/</w:t>
            </w:r>
            <w:r w:rsidR="00C83423">
              <w:rPr>
                <w:rFonts w:ascii="Times New Roman" w:hAnsi="Times New Roman" w:cs="Times New Roman"/>
                <w:sz w:val="24"/>
                <w:szCs w:val="24"/>
              </w:rPr>
              <w:t>a Indra Energy and PALMco Energy OH, LLC d</w:t>
            </w:r>
            <w:r w:rsidR="009B54A0">
              <w:rPr>
                <w:rFonts w:ascii="Times New Roman" w:hAnsi="Times New Roman" w:cs="Times New Roman"/>
                <w:sz w:val="24"/>
                <w:szCs w:val="24"/>
              </w:rPr>
              <w:t>/</w:t>
            </w:r>
            <w:r w:rsidR="00C83423">
              <w:rPr>
                <w:rFonts w:ascii="Times New Roman" w:hAnsi="Times New Roman" w:cs="Times New Roman"/>
                <w:sz w:val="24"/>
                <w:szCs w:val="24"/>
              </w:rPr>
              <w:t>b</w:t>
            </w:r>
            <w:r w:rsidR="009B54A0">
              <w:rPr>
                <w:rFonts w:ascii="Times New Roman" w:hAnsi="Times New Roman" w:cs="Times New Roman"/>
                <w:sz w:val="24"/>
                <w:szCs w:val="24"/>
              </w:rPr>
              <w:t>/</w:t>
            </w:r>
            <w:r w:rsidR="00C83423">
              <w:rPr>
                <w:rFonts w:ascii="Times New Roman" w:hAnsi="Times New Roman" w:cs="Times New Roman"/>
                <w:sz w:val="24"/>
                <w:szCs w:val="24"/>
              </w:rPr>
              <w:t>a Indra Energy’s Compliance with the Ohio Administrative Code and Potential Remedial Action</w:t>
            </w:r>
            <w:r w:rsidR="00EC666F">
              <w:rPr>
                <w:rFonts w:ascii="Times New Roman" w:hAnsi="Times New Roman" w:cs="Times New Roman"/>
                <w:sz w:val="24"/>
                <w:szCs w:val="24"/>
              </w:rPr>
              <w:t>.</w:t>
            </w:r>
          </w:p>
          <w:p w:rsidR="0060598B" w:rsidRPr="00A044B5" w:rsidP="0060598B" w14:paraId="42BC00B2" w14:textId="3740DF01">
            <w:pPr>
              <w:pStyle w:val="HTMLPreformatted"/>
              <w:rPr>
                <w:rFonts w:ascii="Times New Roman" w:hAnsi="Times New Roman"/>
                <w:sz w:val="24"/>
                <w:szCs w:val="24"/>
              </w:rPr>
            </w:pPr>
          </w:p>
        </w:tc>
        <w:tc>
          <w:tcPr>
            <w:tcW w:w="468" w:type="dxa"/>
            <w:shd w:val="clear" w:color="auto" w:fill="auto"/>
          </w:tcPr>
          <w:p w:rsidR="00B52F65" w:rsidRPr="00A044B5" w14:paraId="417396FD" w14:textId="77777777">
            <w:pPr>
              <w:pStyle w:val="HTMLPreformatted"/>
              <w:rPr>
                <w:rFonts w:ascii="Times New Roman" w:hAnsi="Times New Roman"/>
                <w:sz w:val="24"/>
              </w:rPr>
            </w:pPr>
            <w:r w:rsidRPr="00A044B5">
              <w:rPr>
                <w:rFonts w:ascii="Times New Roman" w:hAnsi="Times New Roman"/>
                <w:sz w:val="24"/>
              </w:rPr>
              <w:t>)</w:t>
            </w:r>
          </w:p>
          <w:p w:rsidR="00B52F65" w:rsidRPr="00A044B5" w14:paraId="0A743816" w14:textId="77777777">
            <w:pPr>
              <w:pStyle w:val="HTMLPreformatted"/>
              <w:rPr>
                <w:rFonts w:ascii="Times New Roman" w:hAnsi="Times New Roman"/>
                <w:sz w:val="24"/>
              </w:rPr>
            </w:pPr>
            <w:r w:rsidRPr="00A044B5">
              <w:rPr>
                <w:rFonts w:ascii="Times New Roman" w:hAnsi="Times New Roman"/>
                <w:sz w:val="24"/>
              </w:rPr>
              <w:t>)</w:t>
            </w:r>
          </w:p>
          <w:p w:rsidR="00B52F65" w:rsidRPr="00A044B5" w14:paraId="2798651B" w14:textId="77777777">
            <w:pPr>
              <w:pStyle w:val="HTMLPreformatted"/>
              <w:rPr>
                <w:rFonts w:ascii="Times New Roman" w:hAnsi="Times New Roman"/>
                <w:sz w:val="24"/>
              </w:rPr>
            </w:pPr>
            <w:r w:rsidRPr="00A044B5">
              <w:rPr>
                <w:rFonts w:ascii="Times New Roman" w:hAnsi="Times New Roman"/>
                <w:sz w:val="24"/>
              </w:rPr>
              <w:t>)</w:t>
            </w:r>
          </w:p>
          <w:p w:rsidR="00B52F65" w14:paraId="21E3B54A" w14:textId="77777777">
            <w:pPr>
              <w:pStyle w:val="HTMLPreformatted"/>
              <w:rPr>
                <w:rFonts w:ascii="Times New Roman" w:hAnsi="Times New Roman"/>
                <w:sz w:val="24"/>
              </w:rPr>
            </w:pPr>
            <w:r w:rsidRPr="00A044B5">
              <w:rPr>
                <w:rFonts w:ascii="Times New Roman" w:hAnsi="Times New Roman"/>
                <w:sz w:val="24"/>
              </w:rPr>
              <w:t>)</w:t>
            </w:r>
          </w:p>
          <w:p w:rsidR="00C83423" w14:paraId="47B6094D" w14:textId="77777777">
            <w:pPr>
              <w:pStyle w:val="HTMLPreformatted"/>
              <w:rPr>
                <w:rFonts w:ascii="Times New Roman" w:hAnsi="Times New Roman"/>
                <w:sz w:val="24"/>
              </w:rPr>
            </w:pPr>
            <w:r>
              <w:rPr>
                <w:rFonts w:ascii="Times New Roman" w:hAnsi="Times New Roman"/>
                <w:sz w:val="24"/>
              </w:rPr>
              <w:t>)</w:t>
            </w:r>
          </w:p>
          <w:p w:rsidR="00C83423" w14:paraId="51877D15" w14:textId="77777777">
            <w:pPr>
              <w:pStyle w:val="HTMLPreformatted"/>
              <w:rPr>
                <w:rFonts w:ascii="Times New Roman" w:hAnsi="Times New Roman"/>
                <w:sz w:val="24"/>
              </w:rPr>
            </w:pPr>
            <w:r>
              <w:rPr>
                <w:rFonts w:ascii="Times New Roman" w:hAnsi="Times New Roman"/>
                <w:sz w:val="24"/>
              </w:rPr>
              <w:t>)</w:t>
            </w:r>
          </w:p>
          <w:p w:rsidR="00C83423" w:rsidRPr="00A044B5" w14:paraId="1C6B90BB" w14:textId="55D67EF2">
            <w:pPr>
              <w:pStyle w:val="HTMLPreformatted"/>
              <w:rPr>
                <w:rFonts w:ascii="Times New Roman" w:hAnsi="Times New Roman"/>
                <w:sz w:val="24"/>
              </w:rPr>
            </w:pPr>
            <w:r>
              <w:rPr>
                <w:rFonts w:ascii="Times New Roman" w:hAnsi="Times New Roman"/>
                <w:sz w:val="24"/>
              </w:rPr>
              <w:t>)</w:t>
            </w:r>
          </w:p>
        </w:tc>
        <w:tc>
          <w:tcPr>
            <w:tcW w:w="4032" w:type="dxa"/>
            <w:shd w:val="clear" w:color="auto" w:fill="auto"/>
          </w:tcPr>
          <w:p w:rsidR="00B52F65" w:rsidRPr="00A044B5" w14:paraId="659C1A31" w14:textId="77777777">
            <w:pPr>
              <w:pStyle w:val="HTMLPreformatted"/>
              <w:rPr>
                <w:rFonts w:ascii="Times New Roman" w:hAnsi="Times New Roman"/>
                <w:sz w:val="24"/>
              </w:rPr>
            </w:pPr>
          </w:p>
          <w:p w:rsidR="00B52F65" w:rsidP="00C83423" w14:paraId="1AF93408" w14:textId="77777777">
            <w:pPr>
              <w:pStyle w:val="HTMLPreformatted"/>
              <w:rPr>
                <w:rFonts w:ascii="Times New Roman" w:hAnsi="Times New Roman"/>
                <w:sz w:val="24"/>
              </w:rPr>
            </w:pPr>
          </w:p>
          <w:p w:rsidR="00C83423" w:rsidP="00C83423" w14:paraId="79226C2D" w14:textId="77777777">
            <w:pPr>
              <w:pStyle w:val="HTMLPreformatted"/>
              <w:rPr>
                <w:rFonts w:ascii="Times New Roman" w:hAnsi="Times New Roman"/>
                <w:sz w:val="24"/>
              </w:rPr>
            </w:pPr>
          </w:p>
          <w:p w:rsidR="00C83423" w:rsidRPr="00A044B5" w:rsidP="00C83423" w14:paraId="389D033E" w14:textId="6B6038E6">
            <w:pPr>
              <w:pStyle w:val="HTMLPreformatted"/>
              <w:rPr>
                <w:rFonts w:ascii="Times New Roman" w:hAnsi="Times New Roman"/>
                <w:sz w:val="24"/>
              </w:rPr>
            </w:pPr>
            <w:r w:rsidRPr="00A044B5">
              <w:rPr>
                <w:rFonts w:ascii="Times New Roman" w:hAnsi="Times New Roman"/>
                <w:sz w:val="24"/>
              </w:rPr>
              <w:t xml:space="preserve">Case No. </w:t>
            </w:r>
            <w:r>
              <w:rPr>
                <w:rFonts w:ascii="Times New Roman" w:hAnsi="Times New Roman" w:cs="Times New Roman"/>
                <w:sz w:val="24"/>
                <w:szCs w:val="24"/>
              </w:rPr>
              <w:t>19-2153-GE-COI</w:t>
            </w:r>
            <w:r w:rsidRPr="00A044B5">
              <w:rPr>
                <w:rFonts w:ascii="Times New Roman" w:hAnsi="Times New Roman"/>
                <w:sz w:val="24"/>
              </w:rPr>
              <w:t xml:space="preserve"> </w:t>
            </w:r>
          </w:p>
          <w:p w:rsidR="00C83423" w:rsidRPr="00A044B5" w:rsidP="00C83423" w14:paraId="603E1CD2" w14:textId="654DEA4D">
            <w:pPr>
              <w:pStyle w:val="HTMLPreformatted"/>
              <w:rPr>
                <w:rFonts w:ascii="Times New Roman" w:hAnsi="Times New Roman"/>
                <w:sz w:val="24"/>
              </w:rPr>
            </w:pPr>
          </w:p>
        </w:tc>
      </w:tr>
    </w:tbl>
    <w:p w:rsidR="00B52F65" w14:paraId="62DDAF13" w14:textId="77777777">
      <w:pPr>
        <w:pStyle w:val="HTMLPreformatted"/>
        <w:pBdr>
          <w:top w:val="single" w:sz="12" w:space="1" w:color="auto"/>
        </w:pBdr>
        <w:rPr>
          <w:rFonts w:ascii="Times New Roman" w:hAnsi="Times New Roman"/>
          <w:sz w:val="24"/>
        </w:rPr>
      </w:pPr>
    </w:p>
    <w:p w:rsidR="0034156F" w:rsidP="0034156F" w14:paraId="503D5674" w14:textId="27C6F518">
      <w:pPr>
        <w:jc w:val="center"/>
        <w:rPr>
          <w:b/>
          <w:bCs/>
        </w:rPr>
      </w:pPr>
      <w:r>
        <w:rPr>
          <w:b/>
          <w:bCs/>
        </w:rPr>
        <w:t>REPLY</w:t>
      </w:r>
      <w:r w:rsidR="00D33FB3">
        <w:rPr>
          <w:b/>
          <w:bCs/>
        </w:rPr>
        <w:t xml:space="preserve"> </w:t>
      </w:r>
      <w:r w:rsidR="00786590">
        <w:rPr>
          <w:b/>
          <w:bCs/>
        </w:rPr>
        <w:t xml:space="preserve">TO </w:t>
      </w:r>
      <w:r w:rsidR="00C83423">
        <w:rPr>
          <w:b/>
          <w:bCs/>
        </w:rPr>
        <w:t>PALMCO’S</w:t>
      </w:r>
      <w:r w:rsidR="00786590">
        <w:rPr>
          <w:b/>
          <w:bCs/>
        </w:rPr>
        <w:t xml:space="preserve"> MEMO</w:t>
      </w:r>
      <w:r w:rsidR="00962A84">
        <w:rPr>
          <w:b/>
          <w:bCs/>
        </w:rPr>
        <w:t>RANDUM</w:t>
      </w:r>
      <w:r w:rsidR="00786590">
        <w:rPr>
          <w:b/>
          <w:bCs/>
        </w:rPr>
        <w:t xml:space="preserve"> CONTRA OCC’S MOTION TO INTERVENE</w:t>
      </w:r>
      <w:r w:rsidR="00F50D0C">
        <w:rPr>
          <w:b/>
          <w:bCs/>
        </w:rPr>
        <w:t xml:space="preserve"> AND MOTION TO SUSPEND OR RESCIND PALMCO’S CERTIFCATES TO MARKET ENERGY</w:t>
      </w:r>
      <w:r w:rsidR="0029380D">
        <w:rPr>
          <w:b/>
          <w:bCs/>
        </w:rPr>
        <w:t xml:space="preserve"> TO OHIOANS</w:t>
      </w:r>
    </w:p>
    <w:p w:rsidR="0034156F" w:rsidP="0034156F" w14:paraId="5C2A8478" w14:textId="77777777">
      <w:pPr>
        <w:jc w:val="center"/>
        <w:rPr>
          <w:b/>
          <w:bCs/>
        </w:rPr>
      </w:pPr>
      <w:r>
        <w:rPr>
          <w:b/>
          <w:bCs/>
        </w:rPr>
        <w:t>BY</w:t>
      </w:r>
    </w:p>
    <w:p w:rsidR="0034156F" w:rsidP="0034156F" w14:paraId="6628D1BF" w14:textId="77777777">
      <w:pPr>
        <w:jc w:val="center"/>
        <w:rPr>
          <w:b/>
          <w:bCs/>
        </w:rPr>
      </w:pPr>
      <w:r>
        <w:rPr>
          <w:b/>
          <w:bCs/>
        </w:rPr>
        <w:t>THE OFFICE OF THE OHIO CONSUMERS’ COUNSEL</w:t>
      </w:r>
    </w:p>
    <w:p w:rsidR="00B52F65" w14:paraId="4AEA3A0B" w14:textId="77777777">
      <w:pPr>
        <w:pBdr>
          <w:bottom w:val="single" w:sz="12" w:space="1" w:color="auto"/>
        </w:pBdr>
        <w:tabs>
          <w:tab w:val="left" w:pos="4320"/>
        </w:tabs>
      </w:pPr>
    </w:p>
    <w:p w:rsidR="0060598B" w:rsidP="00D971A3" w14:paraId="15933385" w14:textId="77777777">
      <w:pPr>
        <w:pStyle w:val="BodyTextIndent3"/>
        <w:widowControl w:val="0"/>
        <w:spacing w:line="240" w:lineRule="auto"/>
        <w:ind w:right="-312" w:firstLine="0"/>
      </w:pPr>
    </w:p>
    <w:p w:rsidR="00FD35F6" w:rsidRPr="00B01B51" w:rsidP="00DD02C2" w14:paraId="39CFA1C6" w14:textId="1EFB2413">
      <w:pPr>
        <w:pStyle w:val="Heading1"/>
        <w:numPr>
          <w:ilvl w:val="0"/>
          <w:numId w:val="15"/>
        </w:numPr>
        <w:ind w:left="720"/>
      </w:pPr>
      <w:bookmarkStart w:id="1" w:name="_Toc30075653"/>
      <w:r w:rsidRPr="00B01B51">
        <w:t>INTRODUCTION</w:t>
      </w:r>
      <w:bookmarkEnd w:id="1"/>
    </w:p>
    <w:p w:rsidR="00642405" w:rsidP="005961A7" w14:paraId="6D4160DC" w14:textId="77777777">
      <w:pPr>
        <w:pStyle w:val="BodyTextIndent3"/>
        <w:widowControl w:val="0"/>
        <w:spacing w:line="480" w:lineRule="auto"/>
        <w:sectPr w:rsidSect="00DD02C2">
          <w:footerReference w:type="first" r:id="rId6"/>
          <w:pgSz w:w="12240" w:h="15840"/>
          <w:pgMar w:top="1440" w:right="1800" w:bottom="1440" w:left="1800" w:header="720" w:footer="720" w:gutter="0"/>
          <w:pgNumType w:start="1"/>
          <w:cols w:space="720"/>
          <w:titlePg/>
          <w:docGrid w:linePitch="65"/>
        </w:sectPr>
      </w:pPr>
      <w:r>
        <w:t>PALMco wants the PUCO to silence the state’s voice of the residential consumers that it ripped off, by denying OCC’s motion to intervene.</w:t>
      </w:r>
      <w:r w:rsidRPr="00F83AF2" w:rsidR="00F83AF2">
        <w:t xml:space="preserve"> </w:t>
      </w:r>
      <w:r w:rsidR="00276DF1">
        <w:t>Our consumer</w:t>
      </w:r>
      <w:r w:rsidR="00F83AF2">
        <w:t xml:space="preserve"> intervention is in the PUCO Staff’s request for open</w:t>
      </w:r>
      <w:r w:rsidR="00276DF1">
        <w:t>ing</w:t>
      </w:r>
      <w:r w:rsidR="00F83AF2">
        <w:t xml:space="preserve"> </w:t>
      </w:r>
      <w:r w:rsidR="00276DF1">
        <w:t>the</w:t>
      </w:r>
      <w:r w:rsidR="00F83AF2">
        <w:t xml:space="preserve"> </w:t>
      </w:r>
      <w:r w:rsidRPr="00134990" w:rsidR="00F83AF2">
        <w:rPr>
          <w:i/>
          <w:iCs/>
        </w:rPr>
        <w:t xml:space="preserve">second </w:t>
      </w:r>
      <w:r w:rsidRPr="007528C2" w:rsidR="00F83AF2">
        <w:t>investigation</w:t>
      </w:r>
      <w:r w:rsidR="00276DF1">
        <w:t xml:space="preserve"> </w:t>
      </w:r>
      <w:r w:rsidR="00091197">
        <w:t>within</w:t>
      </w:r>
      <w:r w:rsidR="00276DF1">
        <w:t xml:space="preserve"> a year</w:t>
      </w:r>
      <w:r w:rsidR="00F83AF2">
        <w:t xml:space="preserve"> </w:t>
      </w:r>
      <w:r w:rsidR="00091197">
        <w:t>into</w:t>
      </w:r>
      <w:r w:rsidR="00F83AF2">
        <w:t xml:space="preserve"> “the egregious nature of PALMco’s actions</w:t>
      </w:r>
      <w:r w:rsidR="0081674B">
        <w:t>”</w:t>
      </w:r>
      <w:r w:rsidR="00F83AF2">
        <w:t xml:space="preserve"> and </w:t>
      </w:r>
      <w:r w:rsidR="00091197">
        <w:t xml:space="preserve">its </w:t>
      </w:r>
      <w:r w:rsidR="0081674B">
        <w:t>“</w:t>
      </w:r>
      <w:r w:rsidR="00F83AF2">
        <w:t>continuing to charge unconscionable rates</w:t>
      </w:r>
      <w:r w:rsidR="00091197">
        <w:t xml:space="preserve"> </w:t>
      </w:r>
      <w:r w:rsidR="00F83AF2">
        <w:t xml:space="preserve">while </w:t>
      </w:r>
      <w:r w:rsidR="0081674B">
        <w:t>[</w:t>
      </w:r>
      <w:r w:rsidR="00091197">
        <w:t>PALMco</w:t>
      </w:r>
      <w:r w:rsidR="00F83AF2">
        <w:t xml:space="preserve"> </w:t>
      </w:r>
      <w:r w:rsidR="00091197">
        <w:t>is</w:t>
      </w:r>
      <w:r w:rsidR="0081674B">
        <w:t>]</w:t>
      </w:r>
      <w:r w:rsidR="00F83AF2">
        <w:t xml:space="preserve"> currently under investigation by the Commission for the same or similar conduct . . .”</w:t>
      </w:r>
      <w:r>
        <w:rPr>
          <w:rStyle w:val="FootnoteReference"/>
        </w:rPr>
        <w:footnoteReference w:id="2"/>
      </w:r>
      <w:r>
        <w:t xml:space="preserve"> </w:t>
      </w:r>
      <w:r w:rsidR="0091218E">
        <w:t>The PALMco that wants to avoid OCC’</w:t>
      </w:r>
      <w:r w:rsidR="004172B8">
        <w:t>s</w:t>
      </w:r>
      <w:r w:rsidR="0091218E">
        <w:t xml:space="preserve"> consumer advocacy is the same </w:t>
      </w:r>
      <w:r w:rsidR="00C83423">
        <w:t>PALMco</w:t>
      </w:r>
      <w:r w:rsidR="009B54A0">
        <w:t xml:space="preserve"> </w:t>
      </w:r>
      <w:r w:rsidR="0091218E">
        <w:t xml:space="preserve">that the PUCO Staff said </w:t>
      </w:r>
      <w:r w:rsidR="009B54A0">
        <w:t xml:space="preserve">“caused </w:t>
      </w:r>
      <w:r w:rsidRPr="002A715F" w:rsidR="009B54A0">
        <w:rPr>
          <w:i/>
          <w:iCs/>
        </w:rPr>
        <w:t>extreme harm</w:t>
      </w:r>
      <w:r w:rsidR="009B54A0">
        <w:t xml:space="preserve"> to consumers in Ohio” and is “managerially unfit to provide competitive services in Ohio.”</w:t>
      </w:r>
      <w:r>
        <w:rPr>
          <w:rStyle w:val="FootnoteReference"/>
        </w:rPr>
        <w:footnoteReference w:id="3"/>
      </w:r>
    </w:p>
    <w:p w:rsidR="005F1B61" w:rsidP="005961A7" w14:paraId="20A11C6E" w14:textId="70EBC649">
      <w:pPr>
        <w:pStyle w:val="BodyTextIndent3"/>
        <w:widowControl w:val="0"/>
        <w:spacing w:line="480" w:lineRule="auto"/>
      </w:pPr>
      <w:r>
        <w:t>PALMco</w:t>
      </w:r>
      <w:r w:rsidR="00134990">
        <w:t xml:space="preserve">’s arguments </w:t>
      </w:r>
      <w:r w:rsidR="0091218E">
        <w:t xml:space="preserve">against the intervention of </w:t>
      </w:r>
      <w:r w:rsidR="004172B8">
        <w:t xml:space="preserve">the Office of the Ohio Consumers’ Counsel </w:t>
      </w:r>
      <w:r w:rsidR="00134990">
        <w:t>grossly</w:t>
      </w:r>
      <w:r>
        <w:t xml:space="preserve"> </w:t>
      </w:r>
      <w:r w:rsidR="00D6368F">
        <w:t xml:space="preserve">misrepresent Ohio law and </w:t>
      </w:r>
      <w:r w:rsidR="00C01F43">
        <w:t xml:space="preserve">ignore controlling Supreme Court of Ohio </w:t>
      </w:r>
      <w:r w:rsidR="00C01F43">
        <w:rPr>
          <w:szCs w:val="24"/>
        </w:rPr>
        <w:t>precedent</w:t>
      </w:r>
      <w:r>
        <w:rPr>
          <w:rStyle w:val="FootnoteReference"/>
          <w:szCs w:val="24"/>
        </w:rPr>
        <w:footnoteReference w:id="4"/>
      </w:r>
      <w:r w:rsidR="00C01F43">
        <w:rPr>
          <w:szCs w:val="24"/>
        </w:rPr>
        <w:t xml:space="preserve"> </w:t>
      </w:r>
      <w:r w:rsidR="00D6368F">
        <w:rPr>
          <w:szCs w:val="24"/>
        </w:rPr>
        <w:t>regarding intervention</w:t>
      </w:r>
      <w:r w:rsidR="009355FB">
        <w:rPr>
          <w:szCs w:val="24"/>
        </w:rPr>
        <w:t>s generally and OCC</w:t>
      </w:r>
      <w:r w:rsidR="0091218E">
        <w:rPr>
          <w:szCs w:val="24"/>
        </w:rPr>
        <w:t>’s</w:t>
      </w:r>
      <w:r w:rsidR="009355FB">
        <w:rPr>
          <w:szCs w:val="24"/>
        </w:rPr>
        <w:t xml:space="preserve"> intervention specifically</w:t>
      </w:r>
      <w:r w:rsidR="00D6368F">
        <w:rPr>
          <w:szCs w:val="24"/>
        </w:rPr>
        <w:t>.</w:t>
      </w:r>
      <w:r w:rsidR="00C01F43">
        <w:t xml:space="preserve"> </w:t>
      </w:r>
      <w:r w:rsidR="00CC1C0B">
        <w:t xml:space="preserve">As can be said in general about PALMco, PALMco is wrong. </w:t>
      </w:r>
      <w:r w:rsidR="001017FF">
        <w:t>T</w:t>
      </w:r>
      <w:r w:rsidR="00134990">
        <w:t>he</w:t>
      </w:r>
      <w:r>
        <w:t xml:space="preserve"> PUCO should grant OCC’s intervention in this case.</w:t>
      </w:r>
      <w:r w:rsidR="002B08BF">
        <w:t xml:space="preserve"> </w:t>
      </w:r>
      <w:r w:rsidR="0030206E">
        <w:t xml:space="preserve">The PUCO should also suspend or rescind PALMco’s authority </w:t>
      </w:r>
      <w:r w:rsidR="008E047C">
        <w:t>to market natural gas and electric service</w:t>
      </w:r>
      <w:r w:rsidR="004172B8">
        <w:t xml:space="preserve"> </w:t>
      </w:r>
      <w:r w:rsidR="008E047C">
        <w:t>to pr</w:t>
      </w:r>
      <w:r w:rsidR="00134990">
        <w:t>event further harm to</w:t>
      </w:r>
      <w:r w:rsidR="008E047C">
        <w:t xml:space="preserve"> </w:t>
      </w:r>
      <w:r w:rsidR="004F73E5">
        <w:t>PALMco’s</w:t>
      </w:r>
      <w:r w:rsidR="008E047C">
        <w:t xml:space="preserve"> customers </w:t>
      </w:r>
      <w:r w:rsidR="00134990">
        <w:t>in Ohio</w:t>
      </w:r>
      <w:r w:rsidR="008E047C">
        <w:t>.</w:t>
      </w:r>
      <w:r w:rsidR="0030206E">
        <w:t xml:space="preserve"> </w:t>
      </w:r>
      <w:r w:rsidR="00FA05CA">
        <w:t xml:space="preserve">  </w:t>
      </w:r>
    </w:p>
    <w:p w:rsidR="0060598B" w:rsidP="0060598B" w14:paraId="7B1F8325" w14:textId="77777777">
      <w:pPr>
        <w:pStyle w:val="BodyTextIndent3"/>
        <w:widowControl w:val="0"/>
        <w:spacing w:line="240" w:lineRule="auto"/>
        <w:ind w:right="-312"/>
      </w:pPr>
    </w:p>
    <w:p w:rsidR="00CD75C5" w:rsidP="00DD02C2" w14:paraId="24E2638F" w14:textId="603184C3">
      <w:pPr>
        <w:pStyle w:val="Heading1"/>
      </w:pPr>
      <w:bookmarkStart w:id="2" w:name="_Toc24990819"/>
      <w:bookmarkStart w:id="3" w:name="_Toc25220735"/>
      <w:bookmarkStart w:id="4" w:name="_Toc30075654"/>
      <w:r>
        <w:t>I</w:t>
      </w:r>
      <w:r w:rsidR="00413A2B">
        <w:t>I</w:t>
      </w:r>
      <w:r>
        <w:t xml:space="preserve">. </w:t>
      </w:r>
      <w:r>
        <w:tab/>
      </w:r>
      <w:r w:rsidR="004A6984">
        <w:t>THE PUCO SHOULD GRANT</w:t>
      </w:r>
      <w:r>
        <w:t xml:space="preserve"> OCC</w:t>
      </w:r>
      <w:r w:rsidR="004A6984">
        <w:t>’S MOTION TO INTERVENE</w:t>
      </w:r>
      <w:r w:rsidR="00E2159F">
        <w:t xml:space="preserve"> TO GIVE A VOICE TO THE CONSUMERS THAT </w:t>
      </w:r>
      <w:r w:rsidR="00B9438A">
        <w:t>PALMCO</w:t>
      </w:r>
      <w:r w:rsidR="00E2159F">
        <w:t xml:space="preserve"> </w:t>
      </w:r>
      <w:r w:rsidR="006917C6">
        <w:t>HAS</w:t>
      </w:r>
      <w:r w:rsidR="00E2159F">
        <w:t xml:space="preserve"> </w:t>
      </w:r>
      <w:r w:rsidR="00B9438A">
        <w:t>HARMED</w:t>
      </w:r>
      <w:r>
        <w:t>.</w:t>
      </w:r>
      <w:bookmarkEnd w:id="2"/>
      <w:bookmarkEnd w:id="3"/>
      <w:bookmarkEnd w:id="4"/>
    </w:p>
    <w:p w:rsidR="007212A9" w:rsidP="005961A7" w14:paraId="510FDAB2" w14:textId="77777777">
      <w:pPr>
        <w:pStyle w:val="BodyTextIndent3"/>
        <w:widowControl w:val="0"/>
        <w:spacing w:line="480" w:lineRule="auto"/>
        <w:rPr>
          <w:szCs w:val="24"/>
        </w:rPr>
      </w:pPr>
      <w:r>
        <w:rPr>
          <w:szCs w:val="24"/>
        </w:rPr>
        <w:t>Intervention in PUCO proceedings is governed by R.C. 4903.221</w:t>
      </w:r>
      <w:r w:rsidR="00C417D8">
        <w:rPr>
          <w:szCs w:val="24"/>
        </w:rPr>
        <w:t xml:space="preserve">. That statute </w:t>
      </w:r>
      <w:r>
        <w:rPr>
          <w:szCs w:val="24"/>
        </w:rPr>
        <w:t xml:space="preserve">expressly states that “[a]ny other person who may be adversely affected by a public utilities commission </w:t>
      </w:r>
      <w:r w:rsidRPr="00397CD8">
        <w:rPr>
          <w:szCs w:val="24"/>
        </w:rPr>
        <w:t>proceeding</w:t>
      </w:r>
      <w:r w:rsidR="00C417D8">
        <w:rPr>
          <w:szCs w:val="24"/>
        </w:rPr>
        <w:t xml:space="preserve"> may intervene in such proceeding, provided []” that the motion to intervene is timely filed in accordance with R.C. 4903.221(A) and that the PUCO consider</w:t>
      </w:r>
      <w:r w:rsidR="00397CD8">
        <w:rPr>
          <w:szCs w:val="24"/>
        </w:rPr>
        <w:t>s</w:t>
      </w:r>
      <w:r w:rsidR="00C417D8">
        <w:rPr>
          <w:szCs w:val="24"/>
        </w:rPr>
        <w:t xml:space="preserve"> the criteria set forth in R.C. 4903.221(B). </w:t>
      </w:r>
      <w:r w:rsidR="00397CD8">
        <w:rPr>
          <w:szCs w:val="24"/>
        </w:rPr>
        <w:t xml:space="preserve">The Supreme Court of Ohio </w:t>
      </w:r>
      <w:r w:rsidR="00397CD8">
        <w:t>has held</w:t>
      </w:r>
      <w:r w:rsidR="00397CD8">
        <w:rPr>
          <w:szCs w:val="24"/>
        </w:rPr>
        <w:t xml:space="preserve"> that </w:t>
      </w:r>
      <w:r w:rsidRPr="003A42F4" w:rsidR="00397CD8">
        <w:rPr>
          <w:szCs w:val="24"/>
        </w:rPr>
        <w:t xml:space="preserve">“intervention ought to be </w:t>
      </w:r>
      <w:r w:rsidRPr="00C35C7E" w:rsidR="00397CD8">
        <w:rPr>
          <w:bCs/>
          <w:i/>
          <w:iCs/>
          <w:szCs w:val="24"/>
        </w:rPr>
        <w:t>liberally allowed</w:t>
      </w:r>
      <w:r w:rsidRPr="003A42F4" w:rsidR="00397CD8">
        <w:rPr>
          <w:szCs w:val="24"/>
        </w:rPr>
        <w:t xml:space="preserve"> so that the positions of all persons with a real and substantial interest in the proceedings can be considered by the PUCO.”</w:t>
      </w:r>
      <w:r>
        <w:rPr>
          <w:rStyle w:val="FootnoteReference"/>
          <w:szCs w:val="24"/>
        </w:rPr>
        <w:footnoteReference w:id="5"/>
      </w:r>
      <w:r w:rsidRPr="003A42F4" w:rsidR="00397CD8">
        <w:rPr>
          <w:szCs w:val="24"/>
        </w:rPr>
        <w:t xml:space="preserve"> In the “absence of some evidence in the record calling those claims into doubt or showing that intervention would unduly prolong or delay the proceedings, intervention should </w:t>
      </w:r>
      <w:r w:rsidR="00397CD8">
        <w:rPr>
          <w:szCs w:val="24"/>
        </w:rPr>
        <w:t>[be]</w:t>
      </w:r>
      <w:r w:rsidRPr="003A42F4" w:rsidR="00397CD8">
        <w:rPr>
          <w:szCs w:val="24"/>
        </w:rPr>
        <w:t xml:space="preserve"> granted.”</w:t>
      </w:r>
      <w:r>
        <w:rPr>
          <w:rStyle w:val="FootnoteReference"/>
          <w:szCs w:val="24"/>
        </w:rPr>
        <w:footnoteReference w:id="6"/>
      </w:r>
      <w:r w:rsidR="00397CD8">
        <w:rPr>
          <w:szCs w:val="24"/>
        </w:rPr>
        <w:t xml:space="preserve"> </w:t>
      </w:r>
    </w:p>
    <w:p w:rsidR="005961A7" w:rsidP="005961A7" w14:paraId="24619655" w14:textId="77777777">
      <w:pPr>
        <w:pStyle w:val="BodyTextIndent3"/>
        <w:widowControl w:val="0"/>
        <w:spacing w:line="480" w:lineRule="auto"/>
        <w:rPr>
          <w:szCs w:val="24"/>
        </w:rPr>
        <w:sectPr w:rsidSect="0060598B">
          <w:headerReference w:type="default" r:id="rId7"/>
          <w:footerReference w:type="default" r:id="rId8"/>
          <w:footerReference w:type="first" r:id="rId9"/>
          <w:pgSz w:w="12240" w:h="15840"/>
          <w:pgMar w:top="1440" w:right="1800" w:bottom="1440" w:left="1800" w:header="720" w:footer="720" w:gutter="0"/>
          <w:pgNumType w:start="2"/>
          <w:cols w:space="720"/>
          <w:titlePg/>
          <w:docGrid w:linePitch="65"/>
        </w:sectPr>
      </w:pPr>
    </w:p>
    <w:p w:rsidR="00B9438A" w:rsidRPr="00C417D8" w:rsidP="005961A7" w14:paraId="56588983" w14:textId="61B2D350">
      <w:pPr>
        <w:pStyle w:val="BodyTextIndent3"/>
        <w:widowControl w:val="0"/>
        <w:spacing w:line="480" w:lineRule="auto"/>
        <w:rPr>
          <w:szCs w:val="24"/>
        </w:rPr>
      </w:pPr>
      <w:r>
        <w:rPr>
          <w:szCs w:val="24"/>
        </w:rPr>
        <w:t>OCC meets the criteria set forth in R.C. 4903.221, Ohio Adm. Code 4901-1-11, and the precedent established by the Supreme Court of Ohio for intervention</w:t>
      </w:r>
      <w:r w:rsidR="000671F2">
        <w:rPr>
          <w:szCs w:val="24"/>
        </w:rPr>
        <w:t>.</w:t>
      </w:r>
      <w:r w:rsidR="007212A9">
        <w:rPr>
          <w:szCs w:val="24"/>
        </w:rPr>
        <w:t xml:space="preserve"> </w:t>
      </w:r>
      <w:r w:rsidR="00685CF7">
        <w:rPr>
          <w:szCs w:val="24"/>
        </w:rPr>
        <w:t>T</w:t>
      </w:r>
      <w:r w:rsidR="007212A9">
        <w:rPr>
          <w:szCs w:val="24"/>
        </w:rPr>
        <w:t xml:space="preserve">he PUCO Staff </w:t>
      </w:r>
      <w:r w:rsidR="00685CF7">
        <w:rPr>
          <w:szCs w:val="24"/>
        </w:rPr>
        <w:t>found</w:t>
      </w:r>
      <w:r w:rsidR="007212A9">
        <w:rPr>
          <w:szCs w:val="24"/>
        </w:rPr>
        <w:t xml:space="preserve"> that PALMco has “caused extreme harm to consumers in Ohio” and that a second investigation into PALMco’s conduct is warranted given PALMco’s continued </w:t>
      </w:r>
      <w:r w:rsidR="009355FB">
        <w:rPr>
          <w:szCs w:val="24"/>
        </w:rPr>
        <w:t>rip-off</w:t>
      </w:r>
      <w:r w:rsidR="00CC1C0B">
        <w:rPr>
          <w:szCs w:val="24"/>
        </w:rPr>
        <w:t>s of</w:t>
      </w:r>
      <w:r w:rsidR="007212A9">
        <w:rPr>
          <w:szCs w:val="24"/>
        </w:rPr>
        <w:t xml:space="preserve"> Ohio consumers. </w:t>
      </w:r>
      <w:r w:rsidR="001C5EA5">
        <w:rPr>
          <w:szCs w:val="24"/>
        </w:rPr>
        <w:t>There is no doubt</w:t>
      </w:r>
      <w:r w:rsidR="007212A9">
        <w:rPr>
          <w:szCs w:val="24"/>
        </w:rPr>
        <w:t xml:space="preserve"> that </w:t>
      </w:r>
      <w:r w:rsidR="001C5EA5">
        <w:rPr>
          <w:szCs w:val="24"/>
        </w:rPr>
        <w:t>Ohio’s residential consumers “may be adversely affected by a [PUCO] proceeding” in this case</w:t>
      </w:r>
      <w:r w:rsidR="001017FF">
        <w:rPr>
          <w:szCs w:val="24"/>
        </w:rPr>
        <w:t xml:space="preserve">.  </w:t>
      </w:r>
      <w:r w:rsidRPr="007528C2" w:rsidR="001C5EA5">
        <w:rPr>
          <w:i/>
          <w:iCs/>
          <w:szCs w:val="24"/>
        </w:rPr>
        <w:t>PALMco and “adversely affected” consumers go hand in hand</w:t>
      </w:r>
      <w:r w:rsidR="001C5EA5">
        <w:rPr>
          <w:szCs w:val="24"/>
        </w:rPr>
        <w:t xml:space="preserve">. The PUCO should therefore </w:t>
      </w:r>
      <w:r w:rsidR="00CC1C0B">
        <w:rPr>
          <w:szCs w:val="24"/>
        </w:rPr>
        <w:t xml:space="preserve">grant </w:t>
      </w:r>
      <w:r w:rsidR="001C5EA5">
        <w:rPr>
          <w:szCs w:val="24"/>
        </w:rPr>
        <w:t>OCC</w:t>
      </w:r>
      <w:r w:rsidR="00CC1C0B">
        <w:rPr>
          <w:szCs w:val="24"/>
        </w:rPr>
        <w:t>’s</w:t>
      </w:r>
      <w:r w:rsidR="001C5EA5">
        <w:rPr>
          <w:szCs w:val="24"/>
        </w:rPr>
        <w:t xml:space="preserve"> </w:t>
      </w:r>
      <w:r w:rsidR="00CC1C0B">
        <w:rPr>
          <w:szCs w:val="24"/>
        </w:rPr>
        <w:t xml:space="preserve">motion </w:t>
      </w:r>
      <w:r w:rsidR="001C5EA5">
        <w:rPr>
          <w:szCs w:val="24"/>
        </w:rPr>
        <w:t xml:space="preserve">to intervene in the </w:t>
      </w:r>
      <w:r w:rsidR="00CC1C0B">
        <w:rPr>
          <w:szCs w:val="24"/>
        </w:rPr>
        <w:t>PUCO’</w:t>
      </w:r>
      <w:r w:rsidR="005547C6">
        <w:rPr>
          <w:szCs w:val="24"/>
        </w:rPr>
        <w:t>s</w:t>
      </w:r>
      <w:r w:rsidR="00CC1C0B">
        <w:rPr>
          <w:szCs w:val="24"/>
        </w:rPr>
        <w:t xml:space="preserve"> second </w:t>
      </w:r>
      <w:r w:rsidR="001C5EA5">
        <w:rPr>
          <w:szCs w:val="24"/>
        </w:rPr>
        <w:t xml:space="preserve">investigation against PALMco just as OCC was </w:t>
      </w:r>
      <w:r w:rsidR="00CC1C0B">
        <w:rPr>
          <w:szCs w:val="24"/>
        </w:rPr>
        <w:t xml:space="preserve">granted </w:t>
      </w:r>
      <w:r w:rsidR="001C5EA5">
        <w:rPr>
          <w:szCs w:val="24"/>
        </w:rPr>
        <w:t>interven</w:t>
      </w:r>
      <w:r w:rsidR="00CC1C0B">
        <w:rPr>
          <w:szCs w:val="24"/>
        </w:rPr>
        <w:t>tion</w:t>
      </w:r>
      <w:r w:rsidR="001C5EA5">
        <w:rPr>
          <w:szCs w:val="24"/>
        </w:rPr>
        <w:t xml:space="preserve"> in the first investigation. </w:t>
      </w:r>
    </w:p>
    <w:p w:rsidR="007212A9" w:rsidP="00DD02C2" w14:paraId="0AE15AEE" w14:textId="00E645BF">
      <w:pPr>
        <w:pStyle w:val="Heading2"/>
      </w:pPr>
      <w:bookmarkStart w:id="5" w:name="_Toc30075655"/>
      <w:r>
        <w:t>A.</w:t>
      </w:r>
      <w:r>
        <w:tab/>
      </w:r>
      <w:r w:rsidR="00F43C31">
        <w:t xml:space="preserve">PALMco </w:t>
      </w:r>
      <w:r w:rsidR="00685CF7">
        <w:t xml:space="preserve">grossly </w:t>
      </w:r>
      <w:r w:rsidR="00F43C31">
        <w:t>mis</w:t>
      </w:r>
      <w:r w:rsidR="00685CF7">
        <w:t>represents</w:t>
      </w:r>
      <w:r w:rsidR="00F43C31">
        <w:t xml:space="preserve"> Ohio law governing intervention in PUCO proceedings</w:t>
      </w:r>
      <w:r w:rsidR="00685CF7">
        <w:t>, and PALMco’s arguments should be rejected</w:t>
      </w:r>
      <w:r w:rsidR="001017FF">
        <w:t xml:space="preserve"> </w:t>
      </w:r>
      <w:r w:rsidR="000A469D">
        <w:t>so OCC can participate in this proceeding to protect consumers</w:t>
      </w:r>
      <w:r w:rsidR="00685CF7">
        <w:t>.</w:t>
      </w:r>
      <w:bookmarkEnd w:id="5"/>
    </w:p>
    <w:p w:rsidR="006A3710" w:rsidP="005961A7" w14:paraId="38B1CEB1" w14:textId="5E716832">
      <w:pPr>
        <w:pStyle w:val="BodyTextIndent3"/>
        <w:widowControl w:val="0"/>
        <w:spacing w:line="480" w:lineRule="auto"/>
        <w:rPr>
          <w:szCs w:val="24"/>
        </w:rPr>
      </w:pPr>
      <w:r>
        <w:rPr>
          <w:szCs w:val="24"/>
        </w:rPr>
        <w:t>PALMco</w:t>
      </w:r>
      <w:r w:rsidR="00C417D8">
        <w:rPr>
          <w:szCs w:val="24"/>
        </w:rPr>
        <w:t xml:space="preserve"> mis</w:t>
      </w:r>
      <w:r w:rsidR="00B87DBE">
        <w:rPr>
          <w:szCs w:val="24"/>
        </w:rPr>
        <w:t>states</w:t>
      </w:r>
      <w:r w:rsidR="00C417D8">
        <w:rPr>
          <w:szCs w:val="24"/>
        </w:rPr>
        <w:t xml:space="preserve"> t</w:t>
      </w:r>
      <w:r>
        <w:rPr>
          <w:szCs w:val="24"/>
        </w:rPr>
        <w:t>he</w:t>
      </w:r>
      <w:r w:rsidR="00685CF7">
        <w:rPr>
          <w:szCs w:val="24"/>
        </w:rPr>
        <w:t xml:space="preserve"> law and the</w:t>
      </w:r>
      <w:r>
        <w:rPr>
          <w:szCs w:val="24"/>
        </w:rPr>
        <w:t xml:space="preserve"> intervention standard set forth in</w:t>
      </w:r>
      <w:r w:rsidR="00C417D8">
        <w:rPr>
          <w:szCs w:val="24"/>
        </w:rPr>
        <w:t xml:space="preserve"> R.C. 4903.221 to support its </w:t>
      </w:r>
      <w:r>
        <w:rPr>
          <w:szCs w:val="24"/>
        </w:rPr>
        <w:t>claim</w:t>
      </w:r>
      <w:r w:rsidR="00C417D8">
        <w:rPr>
          <w:szCs w:val="24"/>
        </w:rPr>
        <w:t xml:space="preserve"> that OCC has no right to intervene. PALMco</w:t>
      </w:r>
      <w:r w:rsidR="00685CF7">
        <w:rPr>
          <w:szCs w:val="24"/>
        </w:rPr>
        <w:t xml:space="preserve"> cherry picks</w:t>
      </w:r>
      <w:r w:rsidR="00397CD8">
        <w:rPr>
          <w:szCs w:val="24"/>
        </w:rPr>
        <w:t xml:space="preserve"> </w:t>
      </w:r>
      <w:r w:rsidR="007212A9">
        <w:rPr>
          <w:szCs w:val="24"/>
        </w:rPr>
        <w:t>language</w:t>
      </w:r>
      <w:r>
        <w:rPr>
          <w:szCs w:val="24"/>
        </w:rPr>
        <w:t xml:space="preserve"> from</w:t>
      </w:r>
      <w:r w:rsidR="00685CF7">
        <w:rPr>
          <w:szCs w:val="24"/>
        </w:rPr>
        <w:t xml:space="preserve"> different sections of</w:t>
      </w:r>
      <w:r>
        <w:rPr>
          <w:szCs w:val="24"/>
        </w:rPr>
        <w:t xml:space="preserve"> R.C. 4903.221</w:t>
      </w:r>
      <w:r w:rsidR="007212A9">
        <w:rPr>
          <w:szCs w:val="24"/>
        </w:rPr>
        <w:t xml:space="preserve"> </w:t>
      </w:r>
      <w:r w:rsidR="00685CF7">
        <w:rPr>
          <w:szCs w:val="24"/>
        </w:rPr>
        <w:t xml:space="preserve">to create </w:t>
      </w:r>
      <w:r w:rsidR="006357DA">
        <w:rPr>
          <w:szCs w:val="24"/>
        </w:rPr>
        <w:t>a</w:t>
      </w:r>
      <w:r w:rsidR="00685CF7">
        <w:rPr>
          <w:szCs w:val="24"/>
        </w:rPr>
        <w:t xml:space="preserve"> nonexistent legal standard</w:t>
      </w:r>
      <w:r w:rsidR="006357DA">
        <w:rPr>
          <w:szCs w:val="24"/>
        </w:rPr>
        <w:t xml:space="preserve"> that PALMco claims governs OCC’s</w:t>
      </w:r>
      <w:r w:rsidR="00685CF7">
        <w:rPr>
          <w:szCs w:val="24"/>
        </w:rPr>
        <w:t xml:space="preserve"> intervention</w:t>
      </w:r>
      <w:r w:rsidR="0095154B">
        <w:rPr>
          <w:szCs w:val="24"/>
        </w:rPr>
        <w:t xml:space="preserve"> in this case</w:t>
      </w:r>
      <w:r w:rsidR="00685CF7">
        <w:rPr>
          <w:szCs w:val="24"/>
        </w:rPr>
        <w:t xml:space="preserve">. </w:t>
      </w:r>
      <w:r w:rsidR="006357DA">
        <w:rPr>
          <w:szCs w:val="24"/>
        </w:rPr>
        <w:t>Specifically,</w:t>
      </w:r>
      <w:r w:rsidR="0095154B">
        <w:rPr>
          <w:szCs w:val="24"/>
        </w:rPr>
        <w:t xml:space="preserve"> </w:t>
      </w:r>
      <w:r w:rsidR="00685CF7">
        <w:rPr>
          <w:szCs w:val="24"/>
        </w:rPr>
        <w:t xml:space="preserve">PALMco </w:t>
      </w:r>
      <w:r w:rsidR="006357DA">
        <w:rPr>
          <w:szCs w:val="24"/>
        </w:rPr>
        <w:t>states</w:t>
      </w:r>
      <w:r w:rsidR="00685CF7">
        <w:rPr>
          <w:szCs w:val="24"/>
        </w:rPr>
        <w:t xml:space="preserve"> that </w:t>
      </w:r>
      <w:r>
        <w:rPr>
          <w:szCs w:val="24"/>
        </w:rPr>
        <w:t>“</w:t>
      </w:r>
      <w:r w:rsidR="00397CD8">
        <w:rPr>
          <w:szCs w:val="24"/>
        </w:rPr>
        <w:t>[t]</w:t>
      </w:r>
      <w:r>
        <w:rPr>
          <w:szCs w:val="24"/>
        </w:rPr>
        <w:t>he Commission ‘may, in its discretion, grant motions to intervene’ to a person who ‘may be adversely affected by</w:t>
      </w:r>
      <w:r w:rsidR="0095154B">
        <w:rPr>
          <w:szCs w:val="24"/>
        </w:rPr>
        <w:t>’</w:t>
      </w:r>
      <w:r>
        <w:rPr>
          <w:szCs w:val="24"/>
        </w:rPr>
        <w:t xml:space="preserve"> an order in the proceeding. R.C. 4903.221.”</w:t>
      </w:r>
      <w:r>
        <w:rPr>
          <w:rStyle w:val="FootnoteReference"/>
          <w:szCs w:val="24"/>
        </w:rPr>
        <w:footnoteReference w:id="7"/>
      </w:r>
      <w:r>
        <w:rPr>
          <w:szCs w:val="24"/>
        </w:rPr>
        <w:t xml:space="preserve">  R.C. 4903.221</w:t>
      </w:r>
      <w:r w:rsidR="00F10AC4">
        <w:rPr>
          <w:szCs w:val="24"/>
        </w:rPr>
        <w:t xml:space="preserve"> does not stand for that proposition</w:t>
      </w:r>
      <w:r>
        <w:rPr>
          <w:szCs w:val="24"/>
        </w:rPr>
        <w:t>. R</w:t>
      </w:r>
      <w:r w:rsidR="00F10AC4">
        <w:rPr>
          <w:szCs w:val="24"/>
        </w:rPr>
        <w:t>.</w:t>
      </w:r>
      <w:r>
        <w:rPr>
          <w:szCs w:val="24"/>
        </w:rPr>
        <w:t>C. 490</w:t>
      </w:r>
      <w:r w:rsidR="008904E7">
        <w:rPr>
          <w:szCs w:val="24"/>
        </w:rPr>
        <w:t>3</w:t>
      </w:r>
      <w:r>
        <w:rPr>
          <w:szCs w:val="24"/>
        </w:rPr>
        <w:t>.221 states as follows</w:t>
      </w:r>
      <w:r w:rsidR="00F10AC4">
        <w:rPr>
          <w:szCs w:val="24"/>
        </w:rPr>
        <w:t xml:space="preserve"> (</w:t>
      </w:r>
      <w:r w:rsidR="0095154B">
        <w:rPr>
          <w:szCs w:val="24"/>
        </w:rPr>
        <w:t>with</w:t>
      </w:r>
      <w:r w:rsidR="00F10AC4">
        <w:rPr>
          <w:szCs w:val="24"/>
        </w:rPr>
        <w:t xml:space="preserve"> PALMco’s quoted language underlined)</w:t>
      </w:r>
      <w:r>
        <w:rPr>
          <w:szCs w:val="24"/>
        </w:rPr>
        <w:t>:</w:t>
      </w:r>
    </w:p>
    <w:p w:rsidR="006A3710" w:rsidP="00E27AA1" w14:paraId="4928ED95" w14:textId="0F3A8C63">
      <w:pPr>
        <w:pStyle w:val="BodyTextIndent3"/>
        <w:widowControl w:val="0"/>
        <w:spacing w:line="240" w:lineRule="auto"/>
        <w:ind w:left="720" w:right="720" w:firstLine="0"/>
        <w:rPr>
          <w:szCs w:val="24"/>
        </w:rPr>
      </w:pPr>
      <w:r>
        <w:rPr>
          <w:szCs w:val="24"/>
        </w:rPr>
        <w:t xml:space="preserve">Any other person who </w:t>
      </w:r>
      <w:r w:rsidRPr="00F10AC4">
        <w:rPr>
          <w:szCs w:val="24"/>
          <w:u w:val="single"/>
        </w:rPr>
        <w:t>may be adversely affected by</w:t>
      </w:r>
      <w:r>
        <w:rPr>
          <w:szCs w:val="24"/>
        </w:rPr>
        <w:t xml:space="preserve"> a public utilities </w:t>
      </w:r>
      <w:r w:rsidR="00E27AA1">
        <w:rPr>
          <w:szCs w:val="24"/>
        </w:rPr>
        <w:t>commission proceeding may intervene in such proceeding, provided:</w:t>
      </w:r>
    </w:p>
    <w:p w:rsidR="00397CD8" w:rsidP="00E27AA1" w14:paraId="54286F8E" w14:textId="2E4C8044">
      <w:pPr>
        <w:pStyle w:val="BodyTextIndent3"/>
        <w:widowControl w:val="0"/>
        <w:spacing w:line="240" w:lineRule="auto"/>
        <w:ind w:left="720" w:right="720" w:firstLine="0"/>
        <w:rPr>
          <w:szCs w:val="24"/>
        </w:rPr>
      </w:pPr>
    </w:p>
    <w:p w:rsidR="00397CD8" w:rsidP="00397CD8" w14:paraId="47E176D6" w14:textId="168EAC08">
      <w:pPr>
        <w:pStyle w:val="BodyTextIndent3"/>
        <w:widowControl w:val="0"/>
        <w:numPr>
          <w:ilvl w:val="0"/>
          <w:numId w:val="11"/>
        </w:numPr>
        <w:spacing w:line="240" w:lineRule="auto"/>
        <w:ind w:right="720"/>
        <w:rPr>
          <w:szCs w:val="24"/>
        </w:rPr>
      </w:pPr>
      <w:r>
        <w:rPr>
          <w:szCs w:val="24"/>
        </w:rPr>
        <w:t>That such other person files a motion to intervene</w:t>
      </w:r>
      <w:r w:rsidR="00F10AC4">
        <w:rPr>
          <w:szCs w:val="24"/>
        </w:rPr>
        <w:t xml:space="preserve"> with the commission no later than:</w:t>
      </w:r>
    </w:p>
    <w:p w:rsidR="00CA57EB" w:rsidP="00CA57EB" w14:paraId="7A6A63BA" w14:textId="77777777">
      <w:pPr>
        <w:pStyle w:val="BodyTextIndent3"/>
        <w:widowControl w:val="0"/>
        <w:spacing w:line="240" w:lineRule="auto"/>
        <w:ind w:left="1080" w:right="720" w:firstLine="0"/>
        <w:rPr>
          <w:szCs w:val="24"/>
        </w:rPr>
      </w:pPr>
    </w:p>
    <w:p w:rsidR="00F10AC4" w:rsidP="00F10AC4" w14:paraId="01460C5F" w14:textId="1A32078E">
      <w:pPr>
        <w:pStyle w:val="BodyTextIndent3"/>
        <w:widowControl w:val="0"/>
        <w:numPr>
          <w:ilvl w:val="0"/>
          <w:numId w:val="12"/>
        </w:numPr>
        <w:spacing w:line="240" w:lineRule="auto"/>
        <w:ind w:right="720"/>
        <w:rPr>
          <w:szCs w:val="24"/>
        </w:rPr>
      </w:pPr>
      <w:r>
        <w:rPr>
          <w:szCs w:val="24"/>
        </w:rPr>
        <w:t>Any specific deadline established by order of the commission for purposes of a particular proceeding; or, if no such deadline is established;</w:t>
      </w:r>
    </w:p>
    <w:p w:rsidR="0095154B" w:rsidP="0095154B" w14:paraId="0C588A7C" w14:textId="77777777">
      <w:pPr>
        <w:pStyle w:val="BodyTextIndent3"/>
        <w:widowControl w:val="0"/>
        <w:spacing w:line="240" w:lineRule="auto"/>
        <w:ind w:left="1440" w:right="720" w:firstLine="0"/>
        <w:rPr>
          <w:szCs w:val="24"/>
        </w:rPr>
      </w:pPr>
    </w:p>
    <w:p w:rsidR="00CA57EB" w:rsidP="00F10AC4" w14:paraId="74411773" w14:textId="67115622">
      <w:pPr>
        <w:pStyle w:val="BodyTextIndent3"/>
        <w:widowControl w:val="0"/>
        <w:numPr>
          <w:ilvl w:val="0"/>
          <w:numId w:val="12"/>
        </w:numPr>
        <w:spacing w:line="240" w:lineRule="auto"/>
        <w:ind w:right="720"/>
        <w:rPr>
          <w:szCs w:val="24"/>
        </w:rPr>
      </w:pPr>
      <w:r>
        <w:rPr>
          <w:szCs w:val="24"/>
        </w:rPr>
        <w:t>Five days prior to the scheduled date of hearing.</w:t>
      </w:r>
    </w:p>
    <w:p w:rsidR="00CA57EB" w:rsidP="00CA57EB" w14:paraId="1F2242C6" w14:textId="00687967">
      <w:pPr>
        <w:pStyle w:val="BodyTextIndent3"/>
        <w:widowControl w:val="0"/>
        <w:spacing w:line="240" w:lineRule="auto"/>
        <w:ind w:right="720"/>
        <w:rPr>
          <w:szCs w:val="24"/>
        </w:rPr>
      </w:pPr>
    </w:p>
    <w:p w:rsidR="008904E7" w:rsidP="008904E7" w14:paraId="7CC7C4B2" w14:textId="77777777">
      <w:pPr>
        <w:pStyle w:val="BodyTextIndent3"/>
        <w:widowControl w:val="0"/>
        <w:spacing w:line="240" w:lineRule="auto"/>
        <w:ind w:left="1080" w:right="720" w:firstLine="0"/>
        <w:rPr>
          <w:szCs w:val="24"/>
        </w:rPr>
      </w:pPr>
      <w:r>
        <w:rPr>
          <w:szCs w:val="24"/>
        </w:rPr>
        <w:t xml:space="preserve">The public utilities commission </w:t>
      </w:r>
      <w:r w:rsidRPr="008904E7">
        <w:rPr>
          <w:szCs w:val="24"/>
          <w:u w:val="single"/>
        </w:rPr>
        <w:t>may, in its discretion, grant motions to intervene</w:t>
      </w:r>
      <w:r>
        <w:rPr>
          <w:szCs w:val="24"/>
        </w:rPr>
        <w:t xml:space="preserve"> which are filed after the deadline set forth in divisions (A)(1) and (2) of this section for good cause shown.</w:t>
      </w:r>
    </w:p>
    <w:p w:rsidR="008904E7" w:rsidP="008904E7" w14:paraId="0B4246B2" w14:textId="77777777">
      <w:pPr>
        <w:pStyle w:val="BodyTextIndent3"/>
        <w:widowControl w:val="0"/>
        <w:spacing w:line="240" w:lineRule="auto"/>
        <w:ind w:right="720" w:firstLine="0"/>
        <w:rPr>
          <w:szCs w:val="24"/>
        </w:rPr>
      </w:pPr>
    </w:p>
    <w:p w:rsidR="00614222" w:rsidP="005961A7" w14:paraId="117D8BE8" w14:textId="30B5F169">
      <w:pPr>
        <w:pStyle w:val="BodyTextIndent3"/>
        <w:widowControl w:val="0"/>
        <w:spacing w:line="480" w:lineRule="auto"/>
        <w:rPr>
          <w:szCs w:val="24"/>
        </w:rPr>
      </w:pPr>
      <w:r>
        <w:rPr>
          <w:szCs w:val="24"/>
        </w:rPr>
        <w:t xml:space="preserve">A plain reading of R.C. 4903.221 demonstrates that the language on which PALMco relies applies to </w:t>
      </w:r>
      <w:r w:rsidRPr="0095154B">
        <w:rPr>
          <w:i/>
          <w:iCs/>
          <w:szCs w:val="24"/>
        </w:rPr>
        <w:t>late-filed</w:t>
      </w:r>
      <w:r>
        <w:rPr>
          <w:szCs w:val="24"/>
        </w:rPr>
        <w:t xml:space="preserve"> motions to int</w:t>
      </w:r>
      <w:r w:rsidR="00C8566B">
        <w:rPr>
          <w:szCs w:val="24"/>
        </w:rPr>
        <w:t xml:space="preserve">ervene. OCC’s Motion to Intervene was not filed late, </w:t>
      </w:r>
      <w:r w:rsidR="0095154B">
        <w:rPr>
          <w:szCs w:val="24"/>
        </w:rPr>
        <w:t>and</w:t>
      </w:r>
      <w:r w:rsidR="00C8566B">
        <w:rPr>
          <w:szCs w:val="24"/>
        </w:rPr>
        <w:t xml:space="preserve"> PALMco </w:t>
      </w:r>
      <w:r w:rsidR="0095154B">
        <w:rPr>
          <w:szCs w:val="24"/>
        </w:rPr>
        <w:t xml:space="preserve">does not </w:t>
      </w:r>
      <w:r w:rsidR="001017FF">
        <w:rPr>
          <w:szCs w:val="24"/>
        </w:rPr>
        <w:t>dispute that</w:t>
      </w:r>
      <w:r w:rsidR="001017FF">
        <w:t>.</w:t>
      </w:r>
      <w:r>
        <w:rPr>
          <w:szCs w:val="24"/>
        </w:rPr>
        <w:t xml:space="preserve"> </w:t>
      </w:r>
    </w:p>
    <w:p w:rsidR="00F43C31" w:rsidP="005961A7" w14:paraId="009916D0" w14:textId="3EB32225">
      <w:pPr>
        <w:pStyle w:val="BodyTextIndent3"/>
        <w:widowControl w:val="0"/>
        <w:spacing w:line="480" w:lineRule="auto"/>
        <w:ind w:right="90"/>
        <w:rPr>
          <w:szCs w:val="24"/>
        </w:rPr>
      </w:pPr>
      <w:r>
        <w:rPr>
          <w:szCs w:val="24"/>
        </w:rPr>
        <w:t xml:space="preserve">PALMco’s </w:t>
      </w:r>
      <w:r w:rsidR="0095154B">
        <w:rPr>
          <w:szCs w:val="24"/>
        </w:rPr>
        <w:t>mis</w:t>
      </w:r>
      <w:r>
        <w:rPr>
          <w:szCs w:val="24"/>
        </w:rPr>
        <w:t>characterization of the intervention standard also directly contradicts the PUCO’s own rule governing intervention</w:t>
      </w:r>
      <w:r w:rsidR="001017FF">
        <w:rPr>
          <w:szCs w:val="24"/>
        </w:rPr>
        <w:t xml:space="preserve"> (which </w:t>
      </w:r>
      <w:r w:rsidR="00CC1C0B">
        <w:rPr>
          <w:szCs w:val="24"/>
        </w:rPr>
        <w:t>is</w:t>
      </w:r>
      <w:r w:rsidR="001017FF">
        <w:rPr>
          <w:szCs w:val="24"/>
        </w:rPr>
        <w:t xml:space="preserve"> subordinate to R.C. 4903.221</w:t>
      </w:r>
      <w:r w:rsidR="00E56741">
        <w:rPr>
          <w:szCs w:val="24"/>
        </w:rPr>
        <w:t>)</w:t>
      </w:r>
      <w:r w:rsidR="001017FF">
        <w:rPr>
          <w:szCs w:val="24"/>
        </w:rPr>
        <w:t>. Under the PUCO</w:t>
      </w:r>
      <w:r w:rsidR="00CC1C0B">
        <w:rPr>
          <w:szCs w:val="24"/>
        </w:rPr>
        <w:t>’s</w:t>
      </w:r>
      <w:r w:rsidR="001017FF">
        <w:rPr>
          <w:szCs w:val="24"/>
        </w:rPr>
        <w:t xml:space="preserve"> rules:</w:t>
      </w:r>
      <w:r>
        <w:rPr>
          <w:szCs w:val="24"/>
        </w:rPr>
        <w:t xml:space="preserve"> </w:t>
      </w:r>
    </w:p>
    <w:p w:rsidR="00A64A19" w:rsidP="00F43C31" w14:paraId="576BBE5E" w14:textId="53DEAF15">
      <w:pPr>
        <w:pStyle w:val="BodyTextIndent3"/>
        <w:widowControl w:val="0"/>
        <w:spacing w:line="240" w:lineRule="auto"/>
        <w:ind w:left="720" w:right="720" w:firstLine="0"/>
        <w:rPr>
          <w:szCs w:val="24"/>
        </w:rPr>
      </w:pPr>
      <w:r>
        <w:rPr>
          <w:szCs w:val="24"/>
        </w:rPr>
        <w:t xml:space="preserve">Upon timely motion, any person </w:t>
      </w:r>
      <w:r>
        <w:rPr>
          <w:i/>
          <w:iCs/>
          <w:szCs w:val="24"/>
        </w:rPr>
        <w:t>shall be permitted to intervene</w:t>
      </w:r>
      <w:r w:rsidR="00F43C31">
        <w:rPr>
          <w:szCs w:val="24"/>
        </w:rPr>
        <w:t xml:space="preserve"> in a proceeding upon a showing that: . . . The person has a real and substantial interest in the proceeding, and the person is so situated that the disposition of the proceeding may, as a practical matter, impair or impede his or her</w:t>
      </w:r>
      <w:r w:rsidR="00D40CF0">
        <w:rPr>
          <w:szCs w:val="24"/>
        </w:rPr>
        <w:t xml:space="preserve"> ability to protect that interest, unless the person’s interest is adequately represented by existing parties.</w:t>
      </w:r>
      <w:r>
        <w:rPr>
          <w:rStyle w:val="FootnoteReference"/>
          <w:szCs w:val="24"/>
        </w:rPr>
        <w:footnoteReference w:id="8"/>
      </w:r>
      <w:r>
        <w:rPr>
          <w:szCs w:val="24"/>
        </w:rPr>
        <w:t xml:space="preserve"> </w:t>
      </w:r>
    </w:p>
    <w:p w:rsidR="00D40CF0" w:rsidP="00D40CF0" w14:paraId="16BAA76C" w14:textId="11B58D90">
      <w:pPr>
        <w:pStyle w:val="BodyTextIndent3"/>
        <w:widowControl w:val="0"/>
        <w:spacing w:line="240" w:lineRule="auto"/>
        <w:ind w:right="720" w:firstLine="0"/>
        <w:rPr>
          <w:szCs w:val="24"/>
        </w:rPr>
      </w:pPr>
    </w:p>
    <w:p w:rsidR="00D40CF0" w:rsidP="005961A7" w14:paraId="7D04910B" w14:textId="782A8546">
      <w:pPr>
        <w:pStyle w:val="BodyTextIndent3"/>
        <w:widowControl w:val="0"/>
        <w:spacing w:line="480" w:lineRule="auto"/>
        <w:ind w:firstLine="0"/>
        <w:rPr>
          <w:szCs w:val="24"/>
        </w:rPr>
      </w:pPr>
      <w:r>
        <w:rPr>
          <w:szCs w:val="24"/>
        </w:rPr>
        <w:t xml:space="preserve">OCC </w:t>
      </w:r>
      <w:r w:rsidR="001017FF">
        <w:rPr>
          <w:szCs w:val="24"/>
        </w:rPr>
        <w:t>has made a showing that it has a “real and substantial interest” in being heard in this proceeding where customers have been harmed by PALMco</w:t>
      </w:r>
      <w:r w:rsidR="00CC1C0B">
        <w:rPr>
          <w:szCs w:val="24"/>
        </w:rPr>
        <w:t>’s</w:t>
      </w:r>
      <w:r w:rsidR="001017FF">
        <w:rPr>
          <w:szCs w:val="24"/>
        </w:rPr>
        <w:t xml:space="preserve"> manipulative marketing</w:t>
      </w:r>
      <w:r w:rsidR="005547C6">
        <w:rPr>
          <w:szCs w:val="24"/>
        </w:rPr>
        <w:t xml:space="preserve"> and unconscionable rates</w:t>
      </w:r>
      <w:r w:rsidR="001017FF">
        <w:rPr>
          <w:szCs w:val="24"/>
        </w:rPr>
        <w:t>.</w:t>
      </w:r>
      <w:r>
        <w:rPr>
          <w:szCs w:val="24"/>
        </w:rPr>
        <w:t xml:space="preserve"> </w:t>
      </w:r>
      <w:r w:rsidR="00E67DCE">
        <w:rPr>
          <w:szCs w:val="24"/>
        </w:rPr>
        <w:t xml:space="preserve">Therefore, the PUCO should grant OCC’s </w:t>
      </w:r>
      <w:r w:rsidR="004C070C">
        <w:rPr>
          <w:szCs w:val="24"/>
        </w:rPr>
        <w:t>m</w:t>
      </w:r>
      <w:r w:rsidR="00E67DCE">
        <w:rPr>
          <w:szCs w:val="24"/>
        </w:rPr>
        <w:t xml:space="preserve">otion to </w:t>
      </w:r>
      <w:r w:rsidR="004C070C">
        <w:rPr>
          <w:szCs w:val="24"/>
        </w:rPr>
        <w:t>i</w:t>
      </w:r>
      <w:r w:rsidR="00E67DCE">
        <w:rPr>
          <w:szCs w:val="24"/>
        </w:rPr>
        <w:t>ntervene.</w:t>
      </w:r>
    </w:p>
    <w:p w:rsidR="00022148" w:rsidP="00DD02C2" w14:paraId="1605F610" w14:textId="5F7C1F53">
      <w:pPr>
        <w:pStyle w:val="Heading2"/>
      </w:pPr>
      <w:bookmarkStart w:id="6" w:name="_Toc30075656"/>
      <w:r>
        <w:t>B.</w:t>
      </w:r>
      <w:r>
        <w:tab/>
        <w:t xml:space="preserve">PALMco’s claim that OCC has no legal authority to intervene in this proceeding </w:t>
      </w:r>
      <w:r w:rsidR="000A469D">
        <w:t xml:space="preserve">to protect consumers </w:t>
      </w:r>
      <w:r w:rsidR="00E67DCE">
        <w:t xml:space="preserve">has </w:t>
      </w:r>
      <w:r w:rsidR="00CC1C0B">
        <w:t xml:space="preserve">no </w:t>
      </w:r>
      <w:r w:rsidR="00E67DCE">
        <w:t>merit and should be reje</w:t>
      </w:r>
      <w:r w:rsidR="00272A47">
        <w:t>c</w:t>
      </w:r>
      <w:r w:rsidR="00E67DCE">
        <w:t>ted</w:t>
      </w:r>
      <w:r>
        <w:t>.</w:t>
      </w:r>
      <w:bookmarkEnd w:id="6"/>
    </w:p>
    <w:p w:rsidR="001017FF" w:rsidP="001017FF" w14:paraId="35B55532" w14:textId="2BB67348">
      <w:pPr>
        <w:pStyle w:val="BodyTextIndent3"/>
        <w:spacing w:line="480" w:lineRule="auto"/>
        <w:rPr>
          <w:szCs w:val="24"/>
        </w:rPr>
      </w:pPr>
      <w:r>
        <w:rPr>
          <w:szCs w:val="24"/>
        </w:rPr>
        <w:t>PALMco claims that OCC should be denied intervention because the provisions of R.C. Chapter 4911 do not “provide express or implied authority to intervene in [electric or natural gas] provider enforcement proceedings.”</w:t>
      </w:r>
      <w:r>
        <w:rPr>
          <w:rStyle w:val="FootnoteReference"/>
          <w:szCs w:val="24"/>
        </w:rPr>
        <w:footnoteReference w:id="9"/>
      </w:r>
      <w:r>
        <w:rPr>
          <w:szCs w:val="24"/>
        </w:rPr>
        <w:t xml:space="preserve"> PALMco asserts that OCC’s “powers and duties” with respect to intervention are limited to those set forth in R.C. 4911.02(B), which </w:t>
      </w:r>
      <w:r w:rsidR="001E73A3">
        <w:rPr>
          <w:szCs w:val="24"/>
        </w:rPr>
        <w:t xml:space="preserve">PALMco claims </w:t>
      </w:r>
      <w:r>
        <w:rPr>
          <w:szCs w:val="24"/>
        </w:rPr>
        <w:t>do not expressly include intervention in enforcement proceedings.</w:t>
      </w:r>
      <w:r>
        <w:rPr>
          <w:rStyle w:val="FootnoteReference"/>
          <w:szCs w:val="24"/>
        </w:rPr>
        <w:footnoteReference w:id="10"/>
      </w:r>
      <w:r>
        <w:rPr>
          <w:szCs w:val="24"/>
        </w:rPr>
        <w:t xml:space="preserve"> PALMco’s </w:t>
      </w:r>
      <w:r w:rsidR="001E73A3">
        <w:rPr>
          <w:szCs w:val="24"/>
        </w:rPr>
        <w:t>is wrong</w:t>
      </w:r>
      <w:r>
        <w:rPr>
          <w:szCs w:val="24"/>
        </w:rPr>
        <w:t>.</w:t>
      </w:r>
    </w:p>
    <w:p w:rsidR="00E67DCE" w14:paraId="027FF304" w14:textId="1247D6E1">
      <w:pPr>
        <w:pStyle w:val="BodyTextIndent3"/>
        <w:spacing w:line="480" w:lineRule="auto"/>
        <w:rPr>
          <w:szCs w:val="24"/>
        </w:rPr>
      </w:pPr>
      <w:r>
        <w:rPr>
          <w:szCs w:val="24"/>
        </w:rPr>
        <w:t>The General Assembly wrote</w:t>
      </w:r>
      <w:r w:rsidR="007B3AF6">
        <w:rPr>
          <w:szCs w:val="24"/>
        </w:rPr>
        <w:t xml:space="preserve"> right</w:t>
      </w:r>
      <w:r>
        <w:rPr>
          <w:szCs w:val="24"/>
        </w:rPr>
        <w:t xml:space="preserve"> into the law </w:t>
      </w:r>
      <w:r w:rsidR="00260432">
        <w:rPr>
          <w:szCs w:val="24"/>
        </w:rPr>
        <w:t>(</w:t>
      </w:r>
      <w:r>
        <w:rPr>
          <w:szCs w:val="24"/>
        </w:rPr>
        <w:t xml:space="preserve">that PALMco </w:t>
      </w:r>
      <w:r w:rsidR="007B3AF6">
        <w:rPr>
          <w:szCs w:val="24"/>
        </w:rPr>
        <w:t>misstates</w:t>
      </w:r>
      <w:r w:rsidR="00260432">
        <w:rPr>
          <w:szCs w:val="24"/>
        </w:rPr>
        <w:t>)</w:t>
      </w:r>
      <w:r w:rsidR="007B3AF6">
        <w:rPr>
          <w:szCs w:val="24"/>
        </w:rPr>
        <w:t xml:space="preserve"> that the Consumers’ Counsel has rights to protect consumers “Without limitation because of enumeration….” PALMco ignores those most important words and then claims OCC cannot intervene in an enforcement action because </w:t>
      </w:r>
      <w:r w:rsidR="00260432">
        <w:rPr>
          <w:szCs w:val="24"/>
        </w:rPr>
        <w:t>it</w:t>
      </w:r>
      <w:r w:rsidR="007B3AF6">
        <w:rPr>
          <w:szCs w:val="24"/>
        </w:rPr>
        <w:t xml:space="preserve"> is not enumerated</w:t>
      </w:r>
      <w:r w:rsidR="00260432">
        <w:rPr>
          <w:szCs w:val="24"/>
        </w:rPr>
        <w:t xml:space="preserve"> in the law</w:t>
      </w:r>
      <w:r w:rsidR="007B3AF6">
        <w:rPr>
          <w:szCs w:val="24"/>
        </w:rPr>
        <w:t>.</w:t>
      </w:r>
      <w:r w:rsidR="00260432">
        <w:rPr>
          <w:szCs w:val="24"/>
        </w:rPr>
        <w:t xml:space="preserve"> That makes no sense.</w:t>
      </w:r>
      <w:r w:rsidR="007B3AF6">
        <w:rPr>
          <w:szCs w:val="24"/>
        </w:rPr>
        <w:t xml:space="preserve"> </w:t>
      </w:r>
      <w:r w:rsidR="00260432">
        <w:rPr>
          <w:szCs w:val="24"/>
        </w:rPr>
        <w:t>PALMco is wrong. PALMco is vexatious.</w:t>
      </w:r>
      <w:r w:rsidR="007B3AF6">
        <w:rPr>
          <w:szCs w:val="24"/>
        </w:rPr>
        <w:t xml:space="preserve"> </w:t>
      </w:r>
      <w:r w:rsidR="00260432">
        <w:rPr>
          <w:szCs w:val="24"/>
        </w:rPr>
        <w:t xml:space="preserve">Even what is enumerated in the law, such as R.C. 4911.02(B)(2)(b), allows OCC to intervene. But again, </w:t>
      </w:r>
      <w:r w:rsidR="00511807">
        <w:rPr>
          <w:szCs w:val="24"/>
        </w:rPr>
        <w:t>the law has no “limitation because of enumeration</w:t>
      </w:r>
      <w:r w:rsidR="00260432">
        <w:rPr>
          <w:szCs w:val="24"/>
        </w:rPr>
        <w:t>.</w:t>
      </w:r>
      <w:r w:rsidR="00511807">
        <w:rPr>
          <w:szCs w:val="24"/>
        </w:rPr>
        <w:t>” And t</w:t>
      </w:r>
      <w:r w:rsidR="00822497">
        <w:rPr>
          <w:szCs w:val="24"/>
        </w:rPr>
        <w:t xml:space="preserve">he PUCO has </w:t>
      </w:r>
      <w:r w:rsidR="00511807">
        <w:rPr>
          <w:szCs w:val="24"/>
        </w:rPr>
        <w:t>found</w:t>
      </w:r>
      <w:r w:rsidR="00E70F0F">
        <w:rPr>
          <w:szCs w:val="24"/>
        </w:rPr>
        <w:t xml:space="preserve"> that </w:t>
      </w:r>
      <w:r w:rsidR="00822497">
        <w:rPr>
          <w:szCs w:val="24"/>
        </w:rPr>
        <w:t xml:space="preserve">[t]his language conveys the intent of the legislature that the provisions of Section 4911.02 should be construed </w:t>
      </w:r>
      <w:r w:rsidRPr="00E67DCE" w:rsidR="00822497">
        <w:rPr>
          <w:i/>
          <w:iCs/>
          <w:szCs w:val="24"/>
        </w:rPr>
        <w:t>as broadly as possible</w:t>
      </w:r>
      <w:r w:rsidR="00822497">
        <w:rPr>
          <w:szCs w:val="24"/>
        </w:rPr>
        <w:t>.”</w:t>
      </w:r>
      <w:r>
        <w:rPr>
          <w:rStyle w:val="FootnoteReference"/>
          <w:szCs w:val="24"/>
        </w:rPr>
        <w:footnoteReference w:id="11"/>
      </w:r>
      <w:r w:rsidR="008F6A9C">
        <w:rPr>
          <w:szCs w:val="24"/>
        </w:rPr>
        <w:t xml:space="preserve"> </w:t>
      </w:r>
      <w:r w:rsidR="00511807">
        <w:rPr>
          <w:szCs w:val="24"/>
        </w:rPr>
        <w:t>Under Ohio law, OCC has authority to seek intervention in this case to represent the interests of residential utility consumers.</w:t>
      </w:r>
      <w:r>
        <w:rPr>
          <w:rStyle w:val="FootnoteReference"/>
          <w:szCs w:val="24"/>
        </w:rPr>
        <w:footnoteReference w:id="12"/>
      </w:r>
    </w:p>
    <w:p w:rsidR="005A19C2" w:rsidP="00CF1DA3" w14:paraId="6D7F1226" w14:textId="362B3C45">
      <w:pPr>
        <w:pStyle w:val="BodyTextIndent3"/>
        <w:spacing w:line="480" w:lineRule="auto"/>
        <w:rPr>
          <w:szCs w:val="24"/>
        </w:rPr>
      </w:pPr>
      <w:r>
        <w:rPr>
          <w:szCs w:val="24"/>
        </w:rPr>
        <w:t xml:space="preserve">The PUCO has rejected </w:t>
      </w:r>
      <w:r w:rsidR="00E70F0F">
        <w:rPr>
          <w:szCs w:val="24"/>
        </w:rPr>
        <w:t xml:space="preserve">similar </w:t>
      </w:r>
      <w:r>
        <w:rPr>
          <w:szCs w:val="24"/>
        </w:rPr>
        <w:t xml:space="preserve">arguments </w:t>
      </w:r>
      <w:r w:rsidR="00E70F0F">
        <w:rPr>
          <w:szCs w:val="24"/>
        </w:rPr>
        <w:t xml:space="preserve">opposing </w:t>
      </w:r>
      <w:r>
        <w:rPr>
          <w:szCs w:val="24"/>
        </w:rPr>
        <w:t>OCC’s intervention.</w:t>
      </w:r>
      <w:r w:rsidR="00E67DCE">
        <w:rPr>
          <w:szCs w:val="24"/>
        </w:rPr>
        <w:t xml:space="preserve"> In the</w:t>
      </w:r>
      <w:r w:rsidR="00E67DCE">
        <w:rPr>
          <w:i/>
          <w:iCs/>
        </w:rPr>
        <w:t xml:space="preserve"> Matter of the Complaint of Jeffrey Pitzer v. Duke Energy Ohio, Inc.</w:t>
      </w:r>
      <w:r w:rsidR="00E67DCE">
        <w:t xml:space="preserve">, Case No. 15-298-GE-CSS, </w:t>
      </w:r>
      <w:r w:rsidR="00E70F0F">
        <w:t xml:space="preserve">an investigation into a utility’s misdeeds, </w:t>
      </w:r>
      <w:r w:rsidR="00E67DCE">
        <w:t xml:space="preserve">the PUCO granted OCC’s </w:t>
      </w:r>
      <w:r w:rsidR="00687B8B">
        <w:t>m</w:t>
      </w:r>
      <w:r w:rsidR="00E67DCE">
        <w:t xml:space="preserve">otion to </w:t>
      </w:r>
      <w:r w:rsidR="00687B8B">
        <w:t>i</w:t>
      </w:r>
      <w:r w:rsidR="00E67DCE">
        <w:t>ntervene over Duke</w:t>
      </w:r>
      <w:r w:rsidR="0024468E">
        <w:t>’s</w:t>
      </w:r>
      <w:r w:rsidR="00E67DCE">
        <w:t xml:space="preserve"> opposition</w:t>
      </w:r>
      <w:r w:rsidR="00E70F0F">
        <w:t xml:space="preserve">. The PUCO </w:t>
      </w:r>
      <w:r w:rsidR="00E67DCE">
        <w:t>reject</w:t>
      </w:r>
      <w:r w:rsidR="00E70F0F">
        <w:t>ed</w:t>
      </w:r>
      <w:r w:rsidR="00E67DCE">
        <w:t xml:space="preserve"> Duke’s argument that OCC was precluded from intervening in matters not specifically </w:t>
      </w:r>
      <w:r w:rsidR="00E70F0F">
        <w:t xml:space="preserve">enumerated </w:t>
      </w:r>
      <w:r w:rsidR="00E67DCE">
        <w:t>in R.C. 4911.02.</w:t>
      </w:r>
      <w:r>
        <w:rPr>
          <w:rStyle w:val="FootnoteReference"/>
          <w:szCs w:val="24"/>
        </w:rPr>
        <w:footnoteReference w:id="13"/>
      </w:r>
      <w:r>
        <w:rPr>
          <w:szCs w:val="24"/>
        </w:rPr>
        <w:t xml:space="preserve"> </w:t>
      </w:r>
      <w:r w:rsidR="00D93FD7">
        <w:rPr>
          <w:szCs w:val="24"/>
        </w:rPr>
        <w:t xml:space="preserve"> </w:t>
      </w:r>
    </w:p>
    <w:p w:rsidR="006A3710" w:rsidP="00B87DBE" w14:paraId="3B48AB72" w14:textId="04D990A3">
      <w:pPr>
        <w:pStyle w:val="BodyTextIndent3"/>
        <w:spacing w:line="480" w:lineRule="auto"/>
        <w:ind w:firstLine="0"/>
        <w:rPr>
          <w:szCs w:val="24"/>
        </w:rPr>
      </w:pPr>
      <w:r>
        <w:rPr>
          <w:szCs w:val="24"/>
        </w:rPr>
        <w:tab/>
        <w:t xml:space="preserve">PALMco’s contention that OCC’s authority to intervene is limited only to those matters specifically set forth in R.C. Chapter 4911 also ignores the plain language of R.C. 4903.221, which provides “[a]ny other person who may be adversely affected by a public utilities commission </w:t>
      </w:r>
      <w:r w:rsidRPr="005A19C2">
        <w:rPr>
          <w:i/>
          <w:iCs/>
          <w:szCs w:val="24"/>
        </w:rPr>
        <w:t>proceeding</w:t>
      </w:r>
      <w:r>
        <w:rPr>
          <w:szCs w:val="24"/>
        </w:rPr>
        <w:t xml:space="preserve"> may intervene in such </w:t>
      </w:r>
      <w:r w:rsidRPr="005A19C2">
        <w:rPr>
          <w:i/>
          <w:iCs/>
          <w:szCs w:val="24"/>
        </w:rPr>
        <w:t>proceeding</w:t>
      </w:r>
      <w:r>
        <w:rPr>
          <w:szCs w:val="24"/>
        </w:rPr>
        <w:t xml:space="preserve"> [].” (emphasis added). PALMco attempts to </w:t>
      </w:r>
      <w:r w:rsidR="00E70F0F">
        <w:rPr>
          <w:szCs w:val="24"/>
        </w:rPr>
        <w:t>argue that this case is not a proceeding covered under R.C. 4903.221. It alleges that this is “</w:t>
      </w:r>
      <w:r w:rsidR="00577C6E">
        <w:rPr>
          <w:szCs w:val="24"/>
        </w:rPr>
        <w:t xml:space="preserve">an enforcement proceeding” in which OCC cannot </w:t>
      </w:r>
      <w:r w:rsidR="00C158A5">
        <w:rPr>
          <w:szCs w:val="24"/>
        </w:rPr>
        <w:t>participate</w:t>
      </w:r>
      <w:r w:rsidR="00577C6E">
        <w:rPr>
          <w:szCs w:val="24"/>
        </w:rPr>
        <w:t>.</w:t>
      </w:r>
      <w:r>
        <w:rPr>
          <w:rStyle w:val="FootnoteReference"/>
          <w:szCs w:val="24"/>
        </w:rPr>
        <w:footnoteReference w:id="14"/>
      </w:r>
      <w:r w:rsidR="00D93FD7">
        <w:rPr>
          <w:szCs w:val="24"/>
        </w:rPr>
        <w:t xml:space="preserve"> </w:t>
      </w:r>
      <w:r w:rsidR="00577C6E">
        <w:rPr>
          <w:szCs w:val="24"/>
        </w:rPr>
        <w:t xml:space="preserve">But R.C. 4903.221 makes no such distinction and PALMco cites no authority to support </w:t>
      </w:r>
      <w:r w:rsidR="00A25065">
        <w:rPr>
          <w:szCs w:val="24"/>
        </w:rPr>
        <w:t xml:space="preserve">its argument. </w:t>
      </w:r>
      <w:r w:rsidR="00577C6E">
        <w:rPr>
          <w:szCs w:val="24"/>
        </w:rPr>
        <w:t>OCC was granted intervention in the first PALMco investigation</w:t>
      </w:r>
      <w:r w:rsidR="00A25065">
        <w:rPr>
          <w:szCs w:val="24"/>
        </w:rPr>
        <w:t xml:space="preserve">. </w:t>
      </w:r>
      <w:r w:rsidR="00B87DBE">
        <w:rPr>
          <w:szCs w:val="24"/>
        </w:rPr>
        <w:t>OCC</w:t>
      </w:r>
      <w:r w:rsidR="00577C6E">
        <w:rPr>
          <w:szCs w:val="24"/>
        </w:rPr>
        <w:t xml:space="preserve"> should be granted intervention to protect consumers in th</w:t>
      </w:r>
      <w:r w:rsidR="00A25065">
        <w:rPr>
          <w:szCs w:val="24"/>
        </w:rPr>
        <w:t>is</w:t>
      </w:r>
      <w:r w:rsidR="00577C6E">
        <w:rPr>
          <w:szCs w:val="24"/>
        </w:rPr>
        <w:t xml:space="preserve"> second </w:t>
      </w:r>
      <w:r w:rsidR="00B87DBE">
        <w:rPr>
          <w:szCs w:val="24"/>
        </w:rPr>
        <w:t>investigation</w:t>
      </w:r>
      <w:r w:rsidR="0024468E">
        <w:rPr>
          <w:szCs w:val="24"/>
        </w:rPr>
        <w:t xml:space="preserve"> as well</w:t>
      </w:r>
      <w:r w:rsidR="00B87DBE">
        <w:rPr>
          <w:szCs w:val="24"/>
        </w:rPr>
        <w:t>.</w:t>
      </w:r>
    </w:p>
    <w:p w:rsidR="00B9438A" w:rsidP="00DD02C2" w14:paraId="27F42C36" w14:textId="65E8D7EE">
      <w:pPr>
        <w:pStyle w:val="Heading2"/>
      </w:pPr>
      <w:bookmarkStart w:id="7" w:name="_Toc30075657"/>
      <w:r>
        <w:t>C.</w:t>
      </w:r>
      <w:r>
        <w:tab/>
      </w:r>
      <w:r w:rsidR="00F43C31">
        <w:t>OCC satisfies the standards for intervention in this proceeding</w:t>
      </w:r>
      <w:r w:rsidR="000A469D">
        <w:t>, and should be allowed to participate to protect consumers</w:t>
      </w:r>
      <w:r w:rsidR="00F43C31">
        <w:t>.</w:t>
      </w:r>
      <w:bookmarkEnd w:id="7"/>
      <w:r w:rsidR="006A3710">
        <w:t xml:space="preserve"> </w:t>
      </w:r>
    </w:p>
    <w:p w:rsidR="00AF4ED6" w:rsidP="00B87DBE" w14:paraId="62ECEC51" w14:textId="4179AA5C">
      <w:pPr>
        <w:pStyle w:val="BodyTextIndent3"/>
        <w:spacing w:line="480" w:lineRule="auto"/>
        <w:rPr>
          <w:szCs w:val="24"/>
        </w:rPr>
      </w:pPr>
      <w:r>
        <w:rPr>
          <w:szCs w:val="24"/>
        </w:rPr>
        <w:t xml:space="preserve">OCC’s </w:t>
      </w:r>
      <w:r w:rsidR="004C070C">
        <w:rPr>
          <w:szCs w:val="24"/>
        </w:rPr>
        <w:t>m</w:t>
      </w:r>
      <w:r>
        <w:rPr>
          <w:szCs w:val="24"/>
        </w:rPr>
        <w:t xml:space="preserve">otion to </w:t>
      </w:r>
      <w:r w:rsidR="004C070C">
        <w:rPr>
          <w:szCs w:val="24"/>
        </w:rPr>
        <w:t>i</w:t>
      </w:r>
      <w:r>
        <w:rPr>
          <w:szCs w:val="24"/>
        </w:rPr>
        <w:t xml:space="preserve">ntervene and supporting </w:t>
      </w:r>
      <w:r w:rsidR="004C070C">
        <w:rPr>
          <w:szCs w:val="24"/>
        </w:rPr>
        <w:t>m</w:t>
      </w:r>
      <w:r>
        <w:rPr>
          <w:szCs w:val="24"/>
        </w:rPr>
        <w:t xml:space="preserve">emorandum in </w:t>
      </w:r>
      <w:r w:rsidR="004C070C">
        <w:rPr>
          <w:szCs w:val="24"/>
        </w:rPr>
        <w:t>s</w:t>
      </w:r>
      <w:r>
        <w:rPr>
          <w:szCs w:val="24"/>
        </w:rPr>
        <w:t xml:space="preserve">upport (which are incorporated herein by reference) fully explained how </w:t>
      </w:r>
      <w:r w:rsidR="00C158A5">
        <w:rPr>
          <w:szCs w:val="24"/>
        </w:rPr>
        <w:t>OCC</w:t>
      </w:r>
      <w:r>
        <w:rPr>
          <w:szCs w:val="24"/>
        </w:rPr>
        <w:t xml:space="preserve"> satisfies the criteria for intervention under R.C. 4903.221 and Ohio Adm. Code 4901-1-11.</w:t>
      </w:r>
      <w:r w:rsidR="008A0C72">
        <w:rPr>
          <w:szCs w:val="24"/>
        </w:rPr>
        <w:t xml:space="preserve"> PALMco claims that OCC does not satisfy the intervention criteria. PALMco is wrong.</w:t>
      </w:r>
    </w:p>
    <w:p w:rsidR="007A7029" w:rsidP="00B87DBE" w14:paraId="18BA239F" w14:textId="29EBBED5">
      <w:pPr>
        <w:pStyle w:val="BodyTextIndent3"/>
        <w:spacing w:line="480" w:lineRule="auto"/>
        <w:rPr>
          <w:szCs w:val="24"/>
        </w:rPr>
      </w:pPr>
      <w:r>
        <w:rPr>
          <w:szCs w:val="24"/>
        </w:rPr>
        <w:t>First, PALMco claims that OCC “does not explain how it or any residential customers could be adversely affected if intervention is denied.”</w:t>
      </w:r>
      <w:r>
        <w:rPr>
          <w:rStyle w:val="FootnoteReference"/>
          <w:szCs w:val="24"/>
        </w:rPr>
        <w:footnoteReference w:id="15"/>
      </w:r>
      <w:r>
        <w:rPr>
          <w:szCs w:val="24"/>
        </w:rPr>
        <w:t xml:space="preserve"> </w:t>
      </w:r>
      <w:r w:rsidR="00C158A5">
        <w:rPr>
          <w:szCs w:val="24"/>
        </w:rPr>
        <w:t>Again, the</w:t>
      </w:r>
      <w:r>
        <w:rPr>
          <w:szCs w:val="24"/>
        </w:rPr>
        <w:t xml:space="preserve"> PUCO Staff determined that PALMco has “caused </w:t>
      </w:r>
      <w:r w:rsidRPr="00AF4ED6">
        <w:rPr>
          <w:i/>
          <w:iCs/>
          <w:szCs w:val="24"/>
        </w:rPr>
        <w:t>extreme harm</w:t>
      </w:r>
      <w:r>
        <w:rPr>
          <w:szCs w:val="24"/>
        </w:rPr>
        <w:t>” to Ohio consumers and that PALMco is “managerially unfit” to provide service in Ohio.</w:t>
      </w:r>
      <w:r>
        <w:rPr>
          <w:rStyle w:val="FootnoteReference"/>
          <w:szCs w:val="24"/>
        </w:rPr>
        <w:footnoteReference w:id="16"/>
      </w:r>
      <w:r w:rsidR="00174D12">
        <w:rPr>
          <w:szCs w:val="24"/>
        </w:rPr>
        <w:t xml:space="preserve"> The PUCO Staff </w:t>
      </w:r>
      <w:r w:rsidR="00C158A5">
        <w:rPr>
          <w:szCs w:val="24"/>
        </w:rPr>
        <w:t xml:space="preserve">now requests a second </w:t>
      </w:r>
      <w:r w:rsidR="00174D12">
        <w:rPr>
          <w:szCs w:val="24"/>
        </w:rPr>
        <w:t xml:space="preserve">investigation </w:t>
      </w:r>
      <w:r w:rsidR="00C158A5">
        <w:rPr>
          <w:szCs w:val="24"/>
        </w:rPr>
        <w:t xml:space="preserve">because </w:t>
      </w:r>
      <w:r w:rsidR="0024468E">
        <w:rPr>
          <w:szCs w:val="24"/>
        </w:rPr>
        <w:t>PALMco</w:t>
      </w:r>
      <w:r w:rsidR="00C158A5">
        <w:rPr>
          <w:szCs w:val="24"/>
        </w:rPr>
        <w:t xml:space="preserve"> has continued to </w:t>
      </w:r>
      <w:r w:rsidR="000A469D">
        <w:rPr>
          <w:szCs w:val="24"/>
        </w:rPr>
        <w:t>rip</w:t>
      </w:r>
      <w:r w:rsidR="00A25065">
        <w:rPr>
          <w:szCs w:val="24"/>
        </w:rPr>
        <w:t xml:space="preserve"> </w:t>
      </w:r>
      <w:r w:rsidR="000A469D">
        <w:rPr>
          <w:szCs w:val="24"/>
        </w:rPr>
        <w:t xml:space="preserve">off </w:t>
      </w:r>
      <w:r w:rsidR="00C158A5">
        <w:rPr>
          <w:szCs w:val="24"/>
        </w:rPr>
        <w:t>customers</w:t>
      </w:r>
      <w:r w:rsidR="00174D12">
        <w:rPr>
          <w:szCs w:val="24"/>
        </w:rPr>
        <w:t>.</w:t>
      </w:r>
      <w:r>
        <w:rPr>
          <w:rStyle w:val="FootnoteReference"/>
          <w:szCs w:val="24"/>
        </w:rPr>
        <w:footnoteReference w:id="17"/>
      </w:r>
      <w:r w:rsidR="0064320C">
        <w:rPr>
          <w:szCs w:val="24"/>
        </w:rPr>
        <w:t xml:space="preserve"> Ohio consumers who are being abused by PALMco deserve </w:t>
      </w:r>
      <w:r w:rsidR="00C158A5">
        <w:rPr>
          <w:szCs w:val="24"/>
        </w:rPr>
        <w:t xml:space="preserve">under Ohio law </w:t>
      </w:r>
      <w:r w:rsidR="0064320C">
        <w:rPr>
          <w:szCs w:val="24"/>
        </w:rPr>
        <w:t>to have their voices heard</w:t>
      </w:r>
      <w:r w:rsidR="00A25065">
        <w:rPr>
          <w:szCs w:val="24"/>
        </w:rPr>
        <w:t>.</w:t>
      </w:r>
      <w:r w:rsidR="0030616B">
        <w:rPr>
          <w:szCs w:val="24"/>
        </w:rPr>
        <w:t xml:space="preserve"> </w:t>
      </w:r>
      <w:r w:rsidR="001B409B">
        <w:rPr>
          <w:szCs w:val="24"/>
        </w:rPr>
        <w:t>And d</w:t>
      </w:r>
      <w:r w:rsidR="0064320C">
        <w:rPr>
          <w:szCs w:val="24"/>
        </w:rPr>
        <w:t xml:space="preserve">enying consumers representation and the right to be heard in this case in and of itself would “adversely affect” customers </w:t>
      </w:r>
      <w:r w:rsidR="0030616B">
        <w:rPr>
          <w:szCs w:val="24"/>
        </w:rPr>
        <w:t>in this proceeding</w:t>
      </w:r>
      <w:r>
        <w:rPr>
          <w:szCs w:val="24"/>
        </w:rPr>
        <w:t xml:space="preserve">. That’s </w:t>
      </w:r>
      <w:r w:rsidR="0030616B">
        <w:rPr>
          <w:szCs w:val="24"/>
        </w:rPr>
        <w:t xml:space="preserve">on top of the abuse </w:t>
      </w:r>
      <w:r w:rsidR="008A0C72">
        <w:rPr>
          <w:szCs w:val="24"/>
        </w:rPr>
        <w:t xml:space="preserve">that </w:t>
      </w:r>
      <w:r w:rsidR="0030616B">
        <w:rPr>
          <w:szCs w:val="24"/>
        </w:rPr>
        <w:t xml:space="preserve">they continue to suffer </w:t>
      </w:r>
      <w:r w:rsidR="008A0C72">
        <w:rPr>
          <w:szCs w:val="24"/>
        </w:rPr>
        <w:t xml:space="preserve">because </w:t>
      </w:r>
      <w:r w:rsidR="0030616B">
        <w:rPr>
          <w:szCs w:val="24"/>
        </w:rPr>
        <w:t xml:space="preserve">PALMco </w:t>
      </w:r>
      <w:r w:rsidR="001B409B">
        <w:rPr>
          <w:szCs w:val="24"/>
        </w:rPr>
        <w:t xml:space="preserve">is </w:t>
      </w:r>
      <w:r w:rsidR="0030616B">
        <w:rPr>
          <w:szCs w:val="24"/>
        </w:rPr>
        <w:t xml:space="preserve">still allowed to </w:t>
      </w:r>
      <w:r w:rsidR="00D907E6">
        <w:rPr>
          <w:szCs w:val="24"/>
        </w:rPr>
        <w:t>provide</w:t>
      </w:r>
      <w:r w:rsidR="00DB3016">
        <w:rPr>
          <w:szCs w:val="24"/>
        </w:rPr>
        <w:t xml:space="preserve"> </w:t>
      </w:r>
      <w:r w:rsidR="000A469D">
        <w:rPr>
          <w:szCs w:val="24"/>
        </w:rPr>
        <w:t>natural gas and electricity to consumers at unconscionable rates</w:t>
      </w:r>
      <w:r w:rsidR="0030616B">
        <w:rPr>
          <w:szCs w:val="24"/>
        </w:rPr>
        <w:t xml:space="preserve"> in this state.</w:t>
      </w:r>
      <w:r>
        <w:rPr>
          <w:szCs w:val="24"/>
        </w:rPr>
        <w:t xml:space="preserve"> </w:t>
      </w:r>
    </w:p>
    <w:p w:rsidR="0064320C" w:rsidP="00B87DBE" w14:paraId="486E8BA8" w14:textId="080090A8">
      <w:pPr>
        <w:pStyle w:val="BodyTextIndent3"/>
        <w:spacing w:line="480" w:lineRule="auto"/>
        <w:rPr>
          <w:szCs w:val="24"/>
        </w:rPr>
      </w:pPr>
      <w:r>
        <w:rPr>
          <w:szCs w:val="24"/>
        </w:rPr>
        <w:t>In the American system of justice, people are allowed to be heard. The Ohio General Assembly determined more than 40 years ago that consumers are heard through OCC’s voice.</w:t>
      </w:r>
    </w:p>
    <w:p w:rsidR="00C35C7E" w:rsidP="00B87DBE" w14:paraId="6203FCE8" w14:textId="075BFA9D">
      <w:pPr>
        <w:pStyle w:val="BodyTextIndent3"/>
        <w:spacing w:line="480" w:lineRule="auto"/>
        <w:rPr>
          <w:szCs w:val="24"/>
        </w:rPr>
      </w:pPr>
      <w:r>
        <w:rPr>
          <w:szCs w:val="24"/>
        </w:rPr>
        <w:t xml:space="preserve">Second, </w:t>
      </w:r>
      <w:r w:rsidR="0030616B">
        <w:rPr>
          <w:szCs w:val="24"/>
        </w:rPr>
        <w:t xml:space="preserve">PALMco claims that the interests of consumers are </w:t>
      </w:r>
      <w:r w:rsidR="008A0C72">
        <w:rPr>
          <w:szCs w:val="24"/>
        </w:rPr>
        <w:t xml:space="preserve">already </w:t>
      </w:r>
      <w:r w:rsidR="0030616B">
        <w:rPr>
          <w:szCs w:val="24"/>
        </w:rPr>
        <w:t>being represented by PUCO Staff in this case.</w:t>
      </w:r>
      <w:r>
        <w:rPr>
          <w:rStyle w:val="FootnoteReference"/>
          <w:szCs w:val="24"/>
        </w:rPr>
        <w:footnoteReference w:id="18"/>
      </w:r>
      <w:r>
        <w:rPr>
          <w:szCs w:val="24"/>
        </w:rPr>
        <w:t xml:space="preserve"> </w:t>
      </w:r>
      <w:r w:rsidR="00F441D6">
        <w:rPr>
          <w:szCs w:val="24"/>
        </w:rPr>
        <w:t xml:space="preserve">OCC </w:t>
      </w:r>
      <w:r w:rsidR="001B409B">
        <w:rPr>
          <w:szCs w:val="24"/>
        </w:rPr>
        <w:t>commends the</w:t>
      </w:r>
      <w:r w:rsidR="00F441D6">
        <w:rPr>
          <w:szCs w:val="24"/>
        </w:rPr>
        <w:t xml:space="preserve"> PUCO Staff for seeking a second investigation into PALMco’s egregious conduct</w:t>
      </w:r>
      <w:r w:rsidR="008A0C72">
        <w:rPr>
          <w:szCs w:val="24"/>
        </w:rPr>
        <w:t>. But</w:t>
      </w:r>
      <w:r w:rsidR="00F441D6">
        <w:rPr>
          <w:szCs w:val="24"/>
        </w:rPr>
        <w:t xml:space="preserve"> OCC is the organization created by Ohio law to represent</w:t>
      </w:r>
      <w:r w:rsidR="008A0C72">
        <w:rPr>
          <w:szCs w:val="24"/>
        </w:rPr>
        <w:t xml:space="preserve"> </w:t>
      </w:r>
      <w:r w:rsidR="00F441D6">
        <w:rPr>
          <w:szCs w:val="24"/>
        </w:rPr>
        <w:t xml:space="preserve">the interests of </w:t>
      </w:r>
      <w:r w:rsidR="005A6DBC">
        <w:rPr>
          <w:szCs w:val="24"/>
        </w:rPr>
        <w:t>Ohio’s residential utility consumers.</w:t>
      </w:r>
      <w:r w:rsidR="008A0C72">
        <w:rPr>
          <w:szCs w:val="24"/>
        </w:rPr>
        <w:t xml:space="preserve"> Ohio consumers are being exploited</w:t>
      </w:r>
      <w:r w:rsidR="007A7029">
        <w:rPr>
          <w:szCs w:val="24"/>
        </w:rPr>
        <w:t xml:space="preserve"> by PALMco</w:t>
      </w:r>
      <w:r w:rsidR="008A0C72">
        <w:rPr>
          <w:szCs w:val="24"/>
        </w:rPr>
        <w:t>, and they deserve legal representation</w:t>
      </w:r>
      <w:r w:rsidR="005A6DBC">
        <w:rPr>
          <w:szCs w:val="24"/>
        </w:rPr>
        <w:t xml:space="preserve"> </w:t>
      </w:r>
      <w:r w:rsidR="008A0C72">
        <w:rPr>
          <w:szCs w:val="24"/>
        </w:rPr>
        <w:t>as the General Assembly intended.</w:t>
      </w:r>
    </w:p>
    <w:p w:rsidR="000524E0" w:rsidP="001B409B" w14:paraId="1A7749C4" w14:textId="414BD3F6">
      <w:pPr>
        <w:pStyle w:val="BodyTextIndent3"/>
        <w:spacing w:line="480" w:lineRule="auto"/>
        <w:rPr>
          <w:szCs w:val="24"/>
        </w:rPr>
      </w:pPr>
      <w:r>
        <w:rPr>
          <w:szCs w:val="24"/>
        </w:rPr>
        <w:t xml:space="preserve">Third, PALMco claims that OCC’s intervention in this case would </w:t>
      </w:r>
      <w:r w:rsidR="00C0712A">
        <w:rPr>
          <w:szCs w:val="24"/>
        </w:rPr>
        <w:t>unduly prolong or delay the proceedings.</w:t>
      </w:r>
      <w:r>
        <w:rPr>
          <w:rStyle w:val="FootnoteReference"/>
          <w:szCs w:val="24"/>
        </w:rPr>
        <w:footnoteReference w:id="19"/>
      </w:r>
      <w:r w:rsidR="00C0712A">
        <w:rPr>
          <w:szCs w:val="24"/>
        </w:rPr>
        <w:t xml:space="preserve"> That argument should also be rejected. </w:t>
      </w:r>
      <w:r w:rsidR="002750A5">
        <w:rPr>
          <w:szCs w:val="24"/>
        </w:rPr>
        <w:t>I</w:t>
      </w:r>
      <w:r w:rsidR="00C0712A">
        <w:rPr>
          <w:szCs w:val="24"/>
        </w:rPr>
        <w:t>t</w:t>
      </w:r>
      <w:r w:rsidR="00F16104">
        <w:rPr>
          <w:szCs w:val="24"/>
        </w:rPr>
        <w:t xml:space="preserve"> is PALMco’s conduct – not OCC’s – that prompted</w:t>
      </w:r>
      <w:r w:rsidR="001B409B">
        <w:rPr>
          <w:szCs w:val="24"/>
        </w:rPr>
        <w:t xml:space="preserve"> the</w:t>
      </w:r>
      <w:r w:rsidR="00F16104">
        <w:rPr>
          <w:szCs w:val="24"/>
        </w:rPr>
        <w:t xml:space="preserve"> PUCO Staff to request a </w:t>
      </w:r>
      <w:r w:rsidRPr="00721F9A" w:rsidR="00F16104">
        <w:rPr>
          <w:i/>
          <w:iCs/>
          <w:szCs w:val="24"/>
        </w:rPr>
        <w:t>second investigation</w:t>
      </w:r>
      <w:r w:rsidR="00F16104">
        <w:rPr>
          <w:szCs w:val="24"/>
        </w:rPr>
        <w:t xml:space="preserve"> into PALMco’s</w:t>
      </w:r>
      <w:r w:rsidR="00677B52">
        <w:rPr>
          <w:szCs w:val="24"/>
        </w:rPr>
        <w:t xml:space="preserve"> ongoing</w:t>
      </w:r>
      <w:r w:rsidR="00F16104">
        <w:rPr>
          <w:szCs w:val="24"/>
        </w:rPr>
        <w:t xml:space="preserve"> customer abuse</w:t>
      </w:r>
      <w:r w:rsidR="00C0712A">
        <w:rPr>
          <w:szCs w:val="24"/>
        </w:rPr>
        <w:t>.</w:t>
      </w:r>
      <w:r w:rsidR="00F16104">
        <w:rPr>
          <w:szCs w:val="24"/>
        </w:rPr>
        <w:t xml:space="preserve"> </w:t>
      </w:r>
      <w:r w:rsidR="001B409B">
        <w:rPr>
          <w:szCs w:val="24"/>
        </w:rPr>
        <w:t xml:space="preserve">The </w:t>
      </w:r>
      <w:r w:rsidR="00F16104">
        <w:rPr>
          <w:szCs w:val="24"/>
        </w:rPr>
        <w:t xml:space="preserve">PUCO Staff </w:t>
      </w:r>
      <w:r w:rsidR="001B409B">
        <w:rPr>
          <w:szCs w:val="24"/>
        </w:rPr>
        <w:t xml:space="preserve">has </w:t>
      </w:r>
      <w:r w:rsidR="00F16104">
        <w:rPr>
          <w:szCs w:val="24"/>
        </w:rPr>
        <w:t>received 51 customer contacts regarding PALMco’s unconscionable electric and natural gas rates</w:t>
      </w:r>
      <w:r w:rsidR="001B409B">
        <w:rPr>
          <w:szCs w:val="24"/>
        </w:rPr>
        <w:t xml:space="preserve"> despite </w:t>
      </w:r>
      <w:r w:rsidR="00721F9A">
        <w:rPr>
          <w:szCs w:val="24"/>
        </w:rPr>
        <w:t xml:space="preserve">PALMco </w:t>
      </w:r>
      <w:r w:rsidR="001B409B">
        <w:rPr>
          <w:szCs w:val="24"/>
        </w:rPr>
        <w:t>already being under investigation</w:t>
      </w:r>
      <w:r w:rsidR="00721F9A">
        <w:rPr>
          <w:szCs w:val="24"/>
        </w:rPr>
        <w:t xml:space="preserve"> by the PUCO</w:t>
      </w:r>
      <w:r w:rsidR="00F16104">
        <w:rPr>
          <w:szCs w:val="24"/>
        </w:rPr>
        <w:t>.</w:t>
      </w:r>
      <w:r w:rsidR="001B409B">
        <w:rPr>
          <w:szCs w:val="24"/>
        </w:rPr>
        <w:t xml:space="preserve"> This is </w:t>
      </w:r>
      <w:r w:rsidR="00721F9A">
        <w:rPr>
          <w:szCs w:val="24"/>
        </w:rPr>
        <w:t xml:space="preserve">additional </w:t>
      </w:r>
      <w:r w:rsidR="001B409B">
        <w:rPr>
          <w:szCs w:val="24"/>
        </w:rPr>
        <w:t>evidence of what the PUCO Staff found to be a failure by PALMco to take “independent and meaningful steps” to correct its unlawful business practices.</w:t>
      </w:r>
      <w:r>
        <w:rPr>
          <w:rStyle w:val="FootnoteReference"/>
          <w:szCs w:val="24"/>
        </w:rPr>
        <w:footnoteReference w:id="20"/>
      </w:r>
      <w:r w:rsidR="00F16104">
        <w:rPr>
          <w:szCs w:val="24"/>
        </w:rPr>
        <w:t xml:space="preserve"> </w:t>
      </w:r>
    </w:p>
    <w:p w:rsidR="0049214A" w:rsidP="00721F9A" w14:paraId="7E63EA80" w14:textId="5121A672">
      <w:pPr>
        <w:pStyle w:val="BodyTextIndent3"/>
        <w:spacing w:line="480" w:lineRule="auto"/>
        <w:rPr>
          <w:szCs w:val="24"/>
        </w:rPr>
      </w:pPr>
      <w:r>
        <w:rPr>
          <w:szCs w:val="24"/>
        </w:rPr>
        <w:t>PALMco’s claims that OCC’s intervention should be denied because additional scrutiny will unduly prolong the proceedings are unjustified. I</w:t>
      </w:r>
      <w:r w:rsidR="000524E0">
        <w:rPr>
          <w:szCs w:val="24"/>
        </w:rPr>
        <w:t>f</w:t>
      </w:r>
      <w:r w:rsidR="00690646">
        <w:rPr>
          <w:szCs w:val="24"/>
        </w:rPr>
        <w:t xml:space="preserve"> this case goes to hearing or does not get resolved as </w:t>
      </w:r>
      <w:r w:rsidR="00231BA4">
        <w:rPr>
          <w:szCs w:val="24"/>
        </w:rPr>
        <w:t>quickly</w:t>
      </w:r>
      <w:r w:rsidR="00690646">
        <w:rPr>
          <w:szCs w:val="24"/>
        </w:rPr>
        <w:t xml:space="preserve"> as</w:t>
      </w:r>
      <w:r w:rsidR="00231BA4">
        <w:rPr>
          <w:szCs w:val="24"/>
        </w:rPr>
        <w:t xml:space="preserve"> </w:t>
      </w:r>
      <w:r w:rsidR="00822AAC">
        <w:rPr>
          <w:szCs w:val="24"/>
        </w:rPr>
        <w:t>PALMco</w:t>
      </w:r>
      <w:r w:rsidR="00231BA4">
        <w:rPr>
          <w:szCs w:val="24"/>
        </w:rPr>
        <w:t xml:space="preserve"> would like</w:t>
      </w:r>
      <w:r w:rsidR="00690646">
        <w:rPr>
          <w:szCs w:val="24"/>
        </w:rPr>
        <w:t xml:space="preserve">, that is not an </w:t>
      </w:r>
      <w:r w:rsidRPr="004A6984" w:rsidR="00690646">
        <w:rPr>
          <w:i/>
          <w:iCs/>
          <w:szCs w:val="24"/>
        </w:rPr>
        <w:t>undue</w:t>
      </w:r>
      <w:r w:rsidR="00690646">
        <w:rPr>
          <w:szCs w:val="24"/>
        </w:rPr>
        <w:t xml:space="preserve"> delay</w:t>
      </w:r>
      <w:r w:rsidR="002622B5">
        <w:rPr>
          <w:szCs w:val="24"/>
        </w:rPr>
        <w:t>.</w:t>
      </w:r>
      <w:r w:rsidR="00690646">
        <w:rPr>
          <w:szCs w:val="24"/>
        </w:rPr>
        <w:t xml:space="preserve"> </w:t>
      </w:r>
      <w:r w:rsidR="002622B5">
        <w:rPr>
          <w:szCs w:val="24"/>
        </w:rPr>
        <w:t>I</w:t>
      </w:r>
      <w:r w:rsidR="00690646">
        <w:rPr>
          <w:szCs w:val="24"/>
        </w:rPr>
        <w:t xml:space="preserve">t </w:t>
      </w:r>
      <w:r w:rsidR="002622B5">
        <w:rPr>
          <w:szCs w:val="24"/>
        </w:rPr>
        <w:t xml:space="preserve">would be time that is </w:t>
      </w:r>
      <w:r w:rsidR="00690646">
        <w:rPr>
          <w:szCs w:val="24"/>
        </w:rPr>
        <w:t xml:space="preserve">necessary </w:t>
      </w:r>
      <w:r w:rsidR="000524E0">
        <w:rPr>
          <w:szCs w:val="24"/>
        </w:rPr>
        <w:t>to provide</w:t>
      </w:r>
      <w:r w:rsidR="00690646">
        <w:rPr>
          <w:szCs w:val="24"/>
        </w:rPr>
        <w:t xml:space="preserve"> due process</w:t>
      </w:r>
      <w:r w:rsidR="000524E0">
        <w:rPr>
          <w:szCs w:val="24"/>
        </w:rPr>
        <w:t xml:space="preserve"> to the consumers PALMco harms</w:t>
      </w:r>
      <w:r w:rsidR="00690646">
        <w:rPr>
          <w:szCs w:val="24"/>
        </w:rPr>
        <w:t xml:space="preserve"> </w:t>
      </w:r>
      <w:r w:rsidR="002622B5">
        <w:rPr>
          <w:szCs w:val="24"/>
        </w:rPr>
        <w:t xml:space="preserve">and to unwind the complexity of what </w:t>
      </w:r>
      <w:r w:rsidR="00822AAC">
        <w:rPr>
          <w:szCs w:val="24"/>
        </w:rPr>
        <w:t>PALMco</w:t>
      </w:r>
      <w:r w:rsidR="002622B5">
        <w:rPr>
          <w:szCs w:val="24"/>
        </w:rPr>
        <w:t xml:space="preserve"> </w:t>
      </w:r>
      <w:r w:rsidR="00822AAC">
        <w:rPr>
          <w:szCs w:val="24"/>
        </w:rPr>
        <w:t xml:space="preserve">is doing to continually harm </w:t>
      </w:r>
      <w:r w:rsidR="00D730F0">
        <w:rPr>
          <w:szCs w:val="24"/>
        </w:rPr>
        <w:t>Ohio consumers</w:t>
      </w:r>
      <w:r w:rsidR="002622B5">
        <w:rPr>
          <w:szCs w:val="24"/>
        </w:rPr>
        <w:t>.</w:t>
      </w:r>
      <w:r w:rsidR="00D730F0">
        <w:rPr>
          <w:szCs w:val="24"/>
        </w:rPr>
        <w:t xml:space="preserve"> </w:t>
      </w:r>
      <w:r w:rsidR="00822AAC">
        <w:rPr>
          <w:szCs w:val="24"/>
        </w:rPr>
        <w:t>A</w:t>
      </w:r>
      <w:r w:rsidR="00C0712A">
        <w:rPr>
          <w:szCs w:val="24"/>
        </w:rPr>
        <w:t xml:space="preserve">s OCC explained in its </w:t>
      </w:r>
      <w:r w:rsidR="003F44AC">
        <w:rPr>
          <w:szCs w:val="24"/>
        </w:rPr>
        <w:t>m</w:t>
      </w:r>
      <w:r w:rsidR="00C0712A">
        <w:rPr>
          <w:szCs w:val="24"/>
        </w:rPr>
        <w:t xml:space="preserve">otion to </w:t>
      </w:r>
      <w:r w:rsidR="003F44AC">
        <w:rPr>
          <w:szCs w:val="24"/>
        </w:rPr>
        <w:t>i</w:t>
      </w:r>
      <w:r w:rsidR="00C0712A">
        <w:rPr>
          <w:szCs w:val="24"/>
        </w:rPr>
        <w:t>ntervene, OCC’s longstanding expertise and experience in PUCO proceedings will duly allow for the efficient processing of the case with consideration of the public interest.</w:t>
      </w:r>
      <w:r>
        <w:rPr>
          <w:rStyle w:val="FootnoteReference"/>
          <w:szCs w:val="24"/>
        </w:rPr>
        <w:footnoteReference w:id="21"/>
      </w:r>
      <w:r w:rsidR="001F372C">
        <w:rPr>
          <w:szCs w:val="24"/>
        </w:rPr>
        <w:t xml:space="preserve"> </w:t>
      </w:r>
    </w:p>
    <w:p w:rsidR="001C2403" w:rsidP="0049214A" w14:paraId="08669DA1" w14:textId="2A925B16">
      <w:pPr>
        <w:pStyle w:val="BodyTextIndent3"/>
        <w:spacing w:line="480" w:lineRule="auto"/>
        <w:rPr>
          <w:szCs w:val="24"/>
        </w:rPr>
      </w:pPr>
      <w:r>
        <w:rPr>
          <w:szCs w:val="24"/>
        </w:rPr>
        <w:t xml:space="preserve">Finally, </w:t>
      </w:r>
      <w:r w:rsidR="00822AAC">
        <w:rPr>
          <w:szCs w:val="24"/>
        </w:rPr>
        <w:t>PALMco disputes that OCC will</w:t>
      </w:r>
      <w:r>
        <w:rPr>
          <w:szCs w:val="24"/>
        </w:rPr>
        <w:t xml:space="preserve"> significantly contribute to the full development and equitable resolution of the factual issues</w:t>
      </w:r>
      <w:r w:rsidR="00822AAC">
        <w:rPr>
          <w:szCs w:val="24"/>
        </w:rPr>
        <w:t xml:space="preserve"> in this case</w:t>
      </w:r>
      <w:r>
        <w:rPr>
          <w:szCs w:val="24"/>
        </w:rPr>
        <w:t>.</w:t>
      </w:r>
      <w:r w:rsidR="00822AAC">
        <w:rPr>
          <w:szCs w:val="24"/>
        </w:rPr>
        <w:t xml:space="preserve"> PALMco argues that all OCC did in the first investigation was “ride Staff’s coattails</w:t>
      </w:r>
      <w:r>
        <w:rPr>
          <w:szCs w:val="24"/>
        </w:rPr>
        <w:t>.</w:t>
      </w:r>
      <w:r w:rsidR="00822AAC">
        <w:rPr>
          <w:szCs w:val="24"/>
        </w:rPr>
        <w:t>”</w:t>
      </w:r>
      <w:r>
        <w:rPr>
          <w:rStyle w:val="FootnoteReference"/>
          <w:szCs w:val="24"/>
        </w:rPr>
        <w:footnoteReference w:id="22"/>
      </w:r>
      <w:r w:rsidR="00822AAC">
        <w:rPr>
          <w:szCs w:val="24"/>
        </w:rPr>
        <w:t xml:space="preserve"> </w:t>
      </w:r>
      <w:r w:rsidR="00A709F3">
        <w:rPr>
          <w:szCs w:val="24"/>
        </w:rPr>
        <w:t>T</w:t>
      </w:r>
      <w:r w:rsidR="00822AAC">
        <w:rPr>
          <w:szCs w:val="24"/>
        </w:rPr>
        <w:t>hat characterization</w:t>
      </w:r>
      <w:r w:rsidR="00A709F3">
        <w:rPr>
          <w:szCs w:val="24"/>
        </w:rPr>
        <w:t xml:space="preserve"> is false</w:t>
      </w:r>
      <w:r w:rsidR="00822AAC">
        <w:rPr>
          <w:szCs w:val="24"/>
        </w:rPr>
        <w:t xml:space="preserve">. </w:t>
      </w:r>
      <w:r w:rsidR="007A7029">
        <w:rPr>
          <w:szCs w:val="24"/>
        </w:rPr>
        <w:t xml:space="preserve">The </w:t>
      </w:r>
      <w:r w:rsidR="00822AAC">
        <w:rPr>
          <w:szCs w:val="24"/>
        </w:rPr>
        <w:t>PUCO Staff</w:t>
      </w:r>
      <w:r>
        <w:rPr>
          <w:szCs w:val="24"/>
        </w:rPr>
        <w:t>’s</w:t>
      </w:r>
      <w:r w:rsidR="00822AAC">
        <w:rPr>
          <w:szCs w:val="24"/>
        </w:rPr>
        <w:t xml:space="preserve"> </w:t>
      </w:r>
      <w:r w:rsidR="007A7029">
        <w:rPr>
          <w:szCs w:val="24"/>
        </w:rPr>
        <w:t xml:space="preserve">investigation was a </w:t>
      </w:r>
      <w:r w:rsidR="00A709F3">
        <w:rPr>
          <w:szCs w:val="24"/>
        </w:rPr>
        <w:t>commendable effort in the first investigation</w:t>
      </w:r>
      <w:r w:rsidR="007A7029">
        <w:rPr>
          <w:szCs w:val="24"/>
        </w:rPr>
        <w:t>.</w:t>
      </w:r>
      <w:r w:rsidR="00A709F3">
        <w:rPr>
          <w:szCs w:val="24"/>
        </w:rPr>
        <w:t xml:space="preserve"> </w:t>
      </w:r>
      <w:r w:rsidR="007A7029">
        <w:rPr>
          <w:szCs w:val="24"/>
        </w:rPr>
        <w:t xml:space="preserve">But, as an example of differences, the </w:t>
      </w:r>
      <w:r>
        <w:rPr>
          <w:szCs w:val="24"/>
        </w:rPr>
        <w:t>PUCO Staff</w:t>
      </w:r>
      <w:r w:rsidR="00A709F3">
        <w:rPr>
          <w:szCs w:val="24"/>
        </w:rPr>
        <w:t xml:space="preserve"> </w:t>
      </w:r>
      <w:r w:rsidR="007A7029">
        <w:rPr>
          <w:szCs w:val="24"/>
        </w:rPr>
        <w:t xml:space="preserve">settled with </w:t>
      </w:r>
      <w:r w:rsidR="00822AAC">
        <w:rPr>
          <w:szCs w:val="24"/>
        </w:rPr>
        <w:t>PALMco</w:t>
      </w:r>
      <w:r w:rsidR="007A7029">
        <w:rPr>
          <w:szCs w:val="24"/>
        </w:rPr>
        <w:t xml:space="preserve">. </w:t>
      </w:r>
      <w:r w:rsidR="00822AAC">
        <w:rPr>
          <w:szCs w:val="24"/>
        </w:rPr>
        <w:t>OCC</w:t>
      </w:r>
      <w:r>
        <w:rPr>
          <w:szCs w:val="24"/>
        </w:rPr>
        <w:t xml:space="preserve"> </w:t>
      </w:r>
      <w:r w:rsidR="007A7029">
        <w:rPr>
          <w:szCs w:val="24"/>
        </w:rPr>
        <w:t>did not</w:t>
      </w:r>
      <w:r w:rsidR="00822AAC">
        <w:rPr>
          <w:szCs w:val="24"/>
        </w:rPr>
        <w:t>.</w:t>
      </w:r>
      <w:r w:rsidR="00A25065">
        <w:rPr>
          <w:szCs w:val="24"/>
        </w:rPr>
        <w:t xml:space="preserve"> </w:t>
      </w:r>
      <w:r w:rsidR="00822AAC">
        <w:rPr>
          <w:szCs w:val="24"/>
        </w:rPr>
        <w:t xml:space="preserve">And </w:t>
      </w:r>
      <w:r>
        <w:rPr>
          <w:szCs w:val="24"/>
        </w:rPr>
        <w:t xml:space="preserve">despite the settlement, </w:t>
      </w:r>
      <w:r w:rsidR="00A709F3">
        <w:rPr>
          <w:szCs w:val="24"/>
        </w:rPr>
        <w:t>PALMco’s abuse of Ohio consumers</w:t>
      </w:r>
      <w:r w:rsidR="00526FC5">
        <w:rPr>
          <w:szCs w:val="24"/>
        </w:rPr>
        <w:t xml:space="preserve"> has</w:t>
      </w:r>
      <w:r w:rsidR="00A709F3">
        <w:rPr>
          <w:szCs w:val="24"/>
        </w:rPr>
        <w:t xml:space="preserve"> continue</w:t>
      </w:r>
      <w:r w:rsidR="00526FC5">
        <w:rPr>
          <w:szCs w:val="24"/>
        </w:rPr>
        <w:t>d</w:t>
      </w:r>
      <w:r w:rsidR="00A709F3">
        <w:rPr>
          <w:szCs w:val="24"/>
        </w:rPr>
        <w:t xml:space="preserve">. OCC’s intervention in this case is necessary and justified. </w:t>
      </w:r>
    </w:p>
    <w:p w:rsidR="00A10D8D" w:rsidRPr="00F2572A" w:rsidP="001C2403" w14:paraId="43D3C0FE" w14:textId="63B9D4A5">
      <w:pPr>
        <w:pStyle w:val="BodyTextIndent3"/>
        <w:spacing w:line="480" w:lineRule="auto"/>
        <w:rPr>
          <w:szCs w:val="24"/>
        </w:rPr>
      </w:pPr>
      <w:r>
        <w:rPr>
          <w:szCs w:val="24"/>
        </w:rPr>
        <w:t>The PUCO should grant OCC’s Motion to Intervene because OCC meets the criteria set forth in R.C. 4903.221, Ohio Adm. Code 4901-1-11, and the precedent established by the Supreme Court of Ohio for intervention.</w:t>
      </w:r>
    </w:p>
    <w:p w:rsidR="0098629F" w:rsidP="0098629F" w14:paraId="2F9ECC35" w14:textId="77777777">
      <w:pPr>
        <w:pStyle w:val="BodyTextIndent3"/>
        <w:spacing w:line="240" w:lineRule="auto"/>
        <w:rPr>
          <w:szCs w:val="24"/>
        </w:rPr>
      </w:pPr>
    </w:p>
    <w:p w:rsidR="0073453E" w:rsidP="007528C2" w14:paraId="6E84001C" w14:textId="2581C37A">
      <w:pPr>
        <w:pStyle w:val="Heading1"/>
      </w:pPr>
      <w:bookmarkStart w:id="8" w:name="_Toc24990817"/>
      <w:bookmarkStart w:id="9" w:name="_Toc25220734"/>
      <w:bookmarkStart w:id="10" w:name="_Toc30075658"/>
      <w:r>
        <w:t>I</w:t>
      </w:r>
      <w:r w:rsidR="00861214">
        <w:t>I</w:t>
      </w:r>
      <w:r>
        <w:t>I</w:t>
      </w:r>
      <w:r w:rsidR="00DB184A">
        <w:t>.</w:t>
      </w:r>
      <w:r w:rsidR="00DB184A">
        <w:tab/>
      </w:r>
      <w:r w:rsidRPr="00F1618B" w:rsidR="004E7DFC">
        <w:t xml:space="preserve">THE PUCO SHOULD </w:t>
      </w:r>
      <w:r w:rsidR="00D6368F">
        <w:t xml:space="preserve">SUSPEND OR RESCIND PALMCO’S AUTHORITY TO </w:t>
      </w:r>
      <w:r w:rsidR="00E56741">
        <w:t xml:space="preserve">MARKET </w:t>
      </w:r>
      <w:r w:rsidR="00677B52">
        <w:t>NATURAL GAS AND ELECTRICITY TO CONSUMERS</w:t>
      </w:r>
      <w:r w:rsidR="006859F7">
        <w:t>.</w:t>
      </w:r>
      <w:bookmarkEnd w:id="8"/>
      <w:bookmarkEnd w:id="9"/>
      <w:bookmarkEnd w:id="10"/>
    </w:p>
    <w:p w:rsidR="002E17C2" w14:paraId="77549A09" w14:textId="44BCBB1E">
      <w:pPr>
        <w:pStyle w:val="BodyTextIndent3"/>
        <w:widowControl w:val="0"/>
        <w:spacing w:line="480" w:lineRule="auto"/>
        <w:ind w:right="-24" w:firstLine="0"/>
      </w:pPr>
      <w:r>
        <w:tab/>
        <w:t>PALMco’s Memo</w:t>
      </w:r>
      <w:r w:rsidR="00823B23">
        <w:t>randum</w:t>
      </w:r>
      <w:r>
        <w:t xml:space="preserve"> Contra does not address OCC’s request that the PUCO suspend or rescind PALMco’s operating authority except to say that “[n]othing has changed since the last investigation, when OCC made the same request.”</w:t>
      </w:r>
      <w:r>
        <w:rPr>
          <w:rStyle w:val="FootnoteReference"/>
        </w:rPr>
        <w:footnoteReference w:id="23"/>
      </w:r>
      <w:r w:rsidR="00766074">
        <w:t xml:space="preserve"> </w:t>
      </w:r>
      <w:r w:rsidR="00DC19F4">
        <w:t>Theref</w:t>
      </w:r>
      <w:r w:rsidR="00A85684">
        <w:t>o</w:t>
      </w:r>
      <w:r w:rsidR="00DC19F4">
        <w:t>re</w:t>
      </w:r>
      <w:r w:rsidR="00A85684">
        <w:t>,</w:t>
      </w:r>
      <w:r w:rsidR="00DC19F4">
        <w:t xml:space="preserve"> OCC relies on its</w:t>
      </w:r>
      <w:r w:rsidR="00A85684">
        <w:t xml:space="preserve"> recommendations contained in its</w:t>
      </w:r>
      <w:r w:rsidR="00DC19F4">
        <w:t xml:space="preserve"> original motion.</w:t>
      </w:r>
      <w:r>
        <w:rPr>
          <w:rStyle w:val="FootnoteReference"/>
        </w:rPr>
        <w:footnoteReference w:id="24"/>
      </w:r>
      <w:r w:rsidR="00DC19F4">
        <w:t xml:space="preserve"> </w:t>
      </w:r>
    </w:p>
    <w:p w:rsidR="004C1B77" w:rsidP="004C1B77" w14:paraId="19BD15CC" w14:textId="77777777">
      <w:pPr>
        <w:pStyle w:val="BodyTextIndent3"/>
        <w:widowControl w:val="0"/>
        <w:spacing w:line="480" w:lineRule="auto"/>
        <w:ind w:right="-24"/>
      </w:pPr>
      <w:r>
        <w:t xml:space="preserve">Finally, in PALMco’s December 31, 2019 letter filed in this case responding to the PUCO Staff’s December 16, 2019 letter and Notice of Probable Non-Compliance, PALMco states that the PUCO Staff is attempting through the second investigation to unlawfully to regulate PALMco’s competitive supplier rates. </w:t>
      </w:r>
    </w:p>
    <w:p w:rsidR="004C1B77" w:rsidRPr="004C1B77" w:rsidP="004C1B77" w14:paraId="17634B43" w14:textId="3440568B">
      <w:pPr>
        <w:pStyle w:val="BodyTextIndent3"/>
        <w:widowControl w:val="0"/>
        <w:spacing w:line="480" w:lineRule="auto"/>
        <w:ind w:right="-24"/>
        <w:rPr>
          <w:szCs w:val="24"/>
        </w:rPr>
      </w:pPr>
      <w:r>
        <w:t xml:space="preserve">PALMco’s contention has little merit, and a second PUCO investigation regarding PALMco is appropriate and necessary. The state’s policy regarding competitive energy supply, codified in Ohio law, is to “[e]nsure the availability to consumers of adequate, reliable, safe, efficient, nondiscriminatory and </w:t>
      </w:r>
      <w:r>
        <w:rPr>
          <w:i/>
          <w:iCs/>
        </w:rPr>
        <w:t>reasonably priced</w:t>
      </w:r>
      <w:r>
        <w:t xml:space="preserve"> retail electric service”</w:t>
      </w:r>
      <w:r>
        <w:rPr>
          <w:rStyle w:val="FootnoteReference"/>
        </w:rPr>
        <w:footnoteReference w:id="25"/>
      </w:r>
      <w:r>
        <w:t xml:space="preserve"> and to “[p]romote the availability to consumers of adequate, reliable, and </w:t>
      </w:r>
      <w:r>
        <w:rPr>
          <w:i/>
          <w:iCs/>
        </w:rPr>
        <w:t>reasonably priced</w:t>
      </w:r>
      <w:r>
        <w:t xml:space="preserve"> natural gas services and goods.”</w:t>
      </w:r>
      <w:r>
        <w:rPr>
          <w:rStyle w:val="FootnoteReference"/>
        </w:rPr>
        <w:footnoteReference w:id="26"/>
      </w:r>
      <w:r>
        <w:t xml:space="preserve"> Contrary to PALMco’s claims, PALMco’s status as a competitive retail energy marketer does not give it free reign to charge customers unconscionable rates and engage in deceptive business practices. </w:t>
      </w:r>
    </w:p>
    <w:p w:rsidR="006A37D6" w:rsidP="00B14A80" w14:paraId="1771C020" w14:textId="1BDECAA1">
      <w:pPr>
        <w:pStyle w:val="BodyTextIndent3"/>
        <w:widowControl w:val="0"/>
        <w:spacing w:line="480" w:lineRule="auto"/>
        <w:ind w:right="-24"/>
      </w:pPr>
      <w:r>
        <w:t>In sum, permitting a managerially unfit</w:t>
      </w:r>
      <w:r w:rsidR="00511FA9">
        <w:t xml:space="preserve"> and deceptive</w:t>
      </w:r>
      <w:r>
        <w:t xml:space="preserve"> marketer like PALMco to continue</w:t>
      </w:r>
      <w:r w:rsidR="003F44AC">
        <w:rPr>
          <w:szCs w:val="24"/>
        </w:rPr>
        <w:t xml:space="preserve"> providing</w:t>
      </w:r>
      <w:r w:rsidR="00E56741">
        <w:rPr>
          <w:szCs w:val="24"/>
        </w:rPr>
        <w:t xml:space="preserve"> </w:t>
      </w:r>
      <w:r w:rsidR="00677B52">
        <w:rPr>
          <w:szCs w:val="24"/>
        </w:rPr>
        <w:t>natural gas and electricity to consumers at unconscionable rates</w:t>
      </w:r>
      <w:r>
        <w:t xml:space="preserve"> harms competition in Ohio. If Ohio consumers cannot trust that their energy suppliers will follow the law, competition in Ohio will suffer. </w:t>
      </w:r>
      <w:r w:rsidR="00690646">
        <w:t xml:space="preserve">Accordingly, the PUCO should </w:t>
      </w:r>
      <w:r>
        <w:t>revoke PALMco’s authority to</w:t>
      </w:r>
      <w:r w:rsidR="003F44AC">
        <w:t xml:space="preserve"> provide</w:t>
      </w:r>
      <w:r w:rsidR="00E56741">
        <w:t xml:space="preserve"> electricity and natural gas to </w:t>
      </w:r>
      <w:r w:rsidR="00690646">
        <w:t>Ohio</w:t>
      </w:r>
      <w:r>
        <w:t>ans</w:t>
      </w:r>
      <w:r w:rsidR="00690646">
        <w:t>.</w:t>
      </w:r>
      <w:r w:rsidR="005B331B">
        <w:t xml:space="preserve"> </w:t>
      </w:r>
    </w:p>
    <w:p w:rsidR="0098629F" w:rsidP="0098629F" w14:paraId="578109A3" w14:textId="77777777">
      <w:pPr>
        <w:pStyle w:val="BodyTextIndent3"/>
        <w:widowControl w:val="0"/>
        <w:spacing w:line="240" w:lineRule="auto"/>
        <w:ind w:right="-24"/>
      </w:pPr>
    </w:p>
    <w:p w:rsidR="00BB5292" w:rsidP="00DD02C2" w14:paraId="4F5D8D4D" w14:textId="1E2962DB">
      <w:pPr>
        <w:pStyle w:val="Heading1"/>
      </w:pPr>
      <w:bookmarkStart w:id="11" w:name="_Toc30075659"/>
      <w:r>
        <w:t>I</w:t>
      </w:r>
      <w:r w:rsidR="00861214">
        <w:t>V</w:t>
      </w:r>
      <w:r w:rsidRPr="0034156F" w:rsidR="00F25517">
        <w:t>.</w:t>
      </w:r>
      <w:r w:rsidRPr="0034156F" w:rsidR="00F25517">
        <w:tab/>
        <w:t>CONCLUSION</w:t>
      </w:r>
      <w:bookmarkEnd w:id="11"/>
    </w:p>
    <w:p w:rsidR="000C49E0" w:rsidP="0045416D" w14:paraId="7E6FD2D3" w14:textId="509D4465">
      <w:pPr>
        <w:spacing w:line="480" w:lineRule="auto"/>
        <w:ind w:firstLine="720"/>
      </w:pPr>
      <w:r>
        <w:t xml:space="preserve">OCC’s </w:t>
      </w:r>
      <w:r w:rsidR="003F44AC">
        <w:t>m</w:t>
      </w:r>
      <w:r>
        <w:t xml:space="preserve">otion to </w:t>
      </w:r>
      <w:r w:rsidR="003F44AC">
        <w:t>i</w:t>
      </w:r>
      <w:r>
        <w:t xml:space="preserve">ntervene should be granted. </w:t>
      </w:r>
      <w:r w:rsidR="00362EB8">
        <w:t xml:space="preserve">OCC </w:t>
      </w:r>
      <w:r w:rsidR="00362EB8">
        <w:rPr>
          <w:szCs w:val="24"/>
        </w:rPr>
        <w:t>meets the criteria set forth in R.C. 4903.221, Ohio Adm. Code 4901-1-11, and the precedent established by the Supreme Court of Ohio for intervention</w:t>
      </w:r>
      <w:r w:rsidR="002B3605">
        <w:rPr>
          <w:szCs w:val="24"/>
        </w:rPr>
        <w:t>. Our intervention should be rightly granted on behalf of Ohio consumers – including those that PALMco ripped off, among others</w:t>
      </w:r>
      <w:r w:rsidR="00D60C2A">
        <w:rPr>
          <w:szCs w:val="24"/>
        </w:rPr>
        <w:t xml:space="preserve">. </w:t>
      </w:r>
      <w:r w:rsidR="00D60C2A">
        <w:t>The PUCO should also immediately suspend or rescind PALMco’s authority to provide service</w:t>
      </w:r>
      <w:r w:rsidR="002B3605">
        <w:t>,</w:t>
      </w:r>
      <w:r w:rsidR="00D60C2A">
        <w:t xml:space="preserve"> to protect </w:t>
      </w:r>
      <w:r w:rsidR="002B3605">
        <w:t xml:space="preserve">Ohioans </w:t>
      </w:r>
      <w:r w:rsidR="00D60C2A">
        <w:t>from</w:t>
      </w:r>
      <w:r w:rsidR="00511FA9">
        <w:t xml:space="preserve"> </w:t>
      </w:r>
      <w:r w:rsidR="00D60C2A">
        <w:t>further abuse</w:t>
      </w:r>
      <w:r w:rsidR="00511FA9">
        <w:t xml:space="preserve"> and harm</w:t>
      </w:r>
      <w:r w:rsidR="00D60C2A">
        <w:t>.</w:t>
      </w:r>
      <w:r w:rsidR="00362EB8">
        <w:t xml:space="preserve"> </w:t>
      </w:r>
    </w:p>
    <w:p w:rsidR="00642405" w:rsidP="006A37D6" w14:paraId="354FBCCA" w14:textId="77777777">
      <w:pPr>
        <w:spacing w:line="480" w:lineRule="auto"/>
        <w:ind w:left="2880" w:firstLine="720"/>
        <w:rPr>
          <w:szCs w:val="24"/>
        </w:rPr>
        <w:sectPr w:rsidSect="00DB56AA">
          <w:headerReference w:type="first" r:id="rId10"/>
          <w:pgSz w:w="12240" w:h="15840"/>
          <w:pgMar w:top="1440" w:right="1800" w:bottom="1440" w:left="1800" w:header="720" w:footer="720" w:gutter="0"/>
          <w:cols w:space="720"/>
          <w:titlePg/>
          <w:docGrid w:linePitch="65"/>
        </w:sectPr>
      </w:pPr>
    </w:p>
    <w:p w:rsidR="00B52F65" w:rsidP="006A37D6" w14:paraId="6BCA2A6B" w14:textId="13AB7FBA">
      <w:pPr>
        <w:spacing w:line="480" w:lineRule="auto"/>
        <w:ind w:left="2880" w:firstLine="720"/>
        <w:rPr>
          <w:szCs w:val="24"/>
        </w:rPr>
      </w:pPr>
      <w:r>
        <w:rPr>
          <w:szCs w:val="24"/>
        </w:rPr>
        <w:t>Respectfully submitted,</w:t>
      </w:r>
    </w:p>
    <w:p w:rsidR="00B52F65" w:rsidP="006A37D6" w14:paraId="45CA4634" w14:textId="77777777">
      <w:pPr>
        <w:pStyle w:val="Footer"/>
        <w:tabs>
          <w:tab w:val="left" w:pos="4320"/>
          <w:tab w:val="clear" w:pos="8640"/>
        </w:tabs>
        <w:ind w:left="3600"/>
        <w:rPr>
          <w:sz w:val="24"/>
          <w:szCs w:val="24"/>
        </w:rPr>
      </w:pPr>
      <w:r>
        <w:rPr>
          <w:sz w:val="24"/>
          <w:szCs w:val="24"/>
        </w:rPr>
        <w:t>Bruce Weston (0016973)</w:t>
      </w:r>
    </w:p>
    <w:p w:rsidR="00B52F65" w:rsidP="00B52F65" w14:paraId="7BF41220" w14:textId="77777777">
      <w:pPr>
        <w:tabs>
          <w:tab w:val="left" w:pos="4320"/>
        </w:tabs>
        <w:ind w:left="3600"/>
        <w:rPr>
          <w:szCs w:val="24"/>
        </w:rPr>
      </w:pPr>
      <w:r>
        <w:rPr>
          <w:szCs w:val="24"/>
        </w:rPr>
        <w:t>Ohio Consumers’ Counsel</w:t>
      </w:r>
    </w:p>
    <w:p w:rsidR="00B52F65" w:rsidP="00B52F65" w14:paraId="5D6862A3" w14:textId="77777777">
      <w:pPr>
        <w:tabs>
          <w:tab w:val="left" w:pos="4320"/>
        </w:tabs>
        <w:ind w:left="3600"/>
        <w:rPr>
          <w:szCs w:val="24"/>
        </w:rPr>
      </w:pPr>
    </w:p>
    <w:p w:rsidR="00B52F65" w:rsidRPr="004535A2" w:rsidP="00B52F65" w14:paraId="089D01BA" w14:textId="7DCE2620">
      <w:pPr>
        <w:tabs>
          <w:tab w:val="left" w:pos="4320"/>
        </w:tabs>
        <w:ind w:left="3600"/>
        <w:rPr>
          <w:i/>
          <w:szCs w:val="24"/>
          <w:u w:val="single"/>
        </w:rPr>
      </w:pPr>
      <w:r>
        <w:rPr>
          <w:i/>
          <w:szCs w:val="24"/>
          <w:u w:val="single"/>
        </w:rPr>
        <w:t>/s/ Angela</w:t>
      </w:r>
      <w:r w:rsidR="001A7091">
        <w:rPr>
          <w:i/>
          <w:szCs w:val="24"/>
          <w:u w:val="single"/>
        </w:rPr>
        <w:t xml:space="preserve"> D.</w:t>
      </w:r>
      <w:r>
        <w:rPr>
          <w:i/>
          <w:szCs w:val="24"/>
          <w:u w:val="single"/>
        </w:rPr>
        <w:t xml:space="preserve"> O’Brien</w:t>
      </w:r>
      <w:r>
        <w:rPr>
          <w:i/>
          <w:szCs w:val="24"/>
          <w:u w:val="single"/>
        </w:rPr>
        <w:tab/>
      </w:r>
      <w:r>
        <w:rPr>
          <w:i/>
          <w:szCs w:val="24"/>
          <w:u w:val="single"/>
        </w:rPr>
        <w:tab/>
      </w:r>
      <w:r>
        <w:rPr>
          <w:i/>
          <w:szCs w:val="24"/>
          <w:u w:val="single"/>
        </w:rPr>
        <w:tab/>
      </w:r>
    </w:p>
    <w:p w:rsidR="00B52F65" w:rsidP="00B52F65" w14:paraId="0A57EF60" w14:textId="65D41C49">
      <w:pPr>
        <w:tabs>
          <w:tab w:val="left" w:pos="4320"/>
        </w:tabs>
        <w:ind w:left="3600"/>
        <w:rPr>
          <w:sz w:val="28"/>
          <w:szCs w:val="28"/>
        </w:rPr>
      </w:pPr>
      <w:r>
        <w:rPr>
          <w:szCs w:val="24"/>
        </w:rPr>
        <w:t xml:space="preserve">Angela </w:t>
      </w:r>
      <w:r w:rsidR="001A7091">
        <w:rPr>
          <w:szCs w:val="24"/>
        </w:rPr>
        <w:t xml:space="preserve">D. </w:t>
      </w:r>
      <w:r>
        <w:rPr>
          <w:szCs w:val="24"/>
        </w:rPr>
        <w:t>O’Brien (</w:t>
      </w:r>
      <w:r w:rsidRPr="00B379B2">
        <w:rPr>
          <w:szCs w:val="24"/>
        </w:rPr>
        <w:t>0097579)</w:t>
      </w:r>
      <w:r>
        <w:rPr>
          <w:sz w:val="28"/>
          <w:szCs w:val="28"/>
        </w:rPr>
        <w:t xml:space="preserve"> </w:t>
      </w:r>
    </w:p>
    <w:p w:rsidR="00731B26" w:rsidP="00731B26" w14:paraId="061F486C" w14:textId="77777777">
      <w:pPr>
        <w:tabs>
          <w:tab w:val="left" w:pos="4320"/>
        </w:tabs>
        <w:ind w:left="3600"/>
        <w:rPr>
          <w:szCs w:val="24"/>
        </w:rPr>
      </w:pPr>
      <w:r>
        <w:rPr>
          <w:szCs w:val="24"/>
        </w:rPr>
        <w:t>Counsel of Record</w:t>
      </w:r>
    </w:p>
    <w:p w:rsidR="00731B26" w:rsidP="00731B26" w14:paraId="2DC427AC" w14:textId="0F3FBFB6">
      <w:pPr>
        <w:tabs>
          <w:tab w:val="left" w:pos="4320"/>
        </w:tabs>
        <w:ind w:left="3600"/>
        <w:rPr>
          <w:szCs w:val="24"/>
        </w:rPr>
      </w:pPr>
      <w:r>
        <w:rPr>
          <w:rFonts w:ascii="Times-Roman" w:hAnsi="Times-Roman" w:cs="Times-Roman"/>
          <w:szCs w:val="24"/>
        </w:rPr>
        <w:t>Christopher Healey (0086027)</w:t>
      </w:r>
    </w:p>
    <w:p w:rsidR="00731B26" w:rsidP="00731B26" w14:paraId="5932B179" w14:textId="03C356D5">
      <w:pPr>
        <w:tabs>
          <w:tab w:val="left" w:pos="4320"/>
        </w:tabs>
        <w:ind w:left="3600"/>
        <w:rPr>
          <w:szCs w:val="24"/>
        </w:rPr>
      </w:pPr>
      <w:r>
        <w:rPr>
          <w:szCs w:val="24"/>
        </w:rPr>
        <w:t>Assistant Consumers’ Counsel</w:t>
      </w:r>
    </w:p>
    <w:p w:rsidR="009D274E" w:rsidP="00731B26" w14:paraId="77E6E8EA" w14:textId="77777777">
      <w:pPr>
        <w:tabs>
          <w:tab w:val="left" w:pos="4320"/>
        </w:tabs>
        <w:ind w:left="3600"/>
        <w:rPr>
          <w:szCs w:val="24"/>
        </w:rPr>
      </w:pPr>
    </w:p>
    <w:p w:rsidR="00731B26" w:rsidRPr="009D274E" w:rsidP="009D274E" w14:paraId="08CF4D72" w14:textId="77777777">
      <w:pPr>
        <w:ind w:left="3600"/>
        <w:rPr>
          <w:b/>
          <w:bCs/>
        </w:rPr>
      </w:pPr>
      <w:r w:rsidRPr="009D274E">
        <w:rPr>
          <w:b/>
          <w:bCs/>
        </w:rPr>
        <w:t>Office of the Ohio Consumers’ Counsel</w:t>
      </w:r>
    </w:p>
    <w:p w:rsidR="00731B26" w:rsidP="009D274E" w14:paraId="13DAC3C4" w14:textId="77777777">
      <w:pPr>
        <w:ind w:left="3600"/>
        <w:rPr>
          <w:b/>
        </w:rPr>
      </w:pPr>
      <w:r>
        <w:t>65 East State Street, 7</w:t>
      </w:r>
      <w:r w:rsidRPr="00E46092">
        <w:t>th</w:t>
      </w:r>
      <w:r>
        <w:t xml:space="preserve"> Floor</w:t>
      </w:r>
    </w:p>
    <w:p w:rsidR="00731B26" w:rsidP="009D274E" w14:paraId="4A94F644" w14:textId="77777777">
      <w:pPr>
        <w:ind w:left="3600"/>
        <w:rPr>
          <w:b/>
        </w:rPr>
      </w:pPr>
      <w:r>
        <w:t>Columbus, Ohio 43215-4213</w:t>
      </w:r>
    </w:p>
    <w:p w:rsidR="00731B26" w:rsidP="00731B26" w14:paraId="4FB87428" w14:textId="7066634E">
      <w:pPr>
        <w:autoSpaceDE w:val="0"/>
        <w:autoSpaceDN w:val="0"/>
        <w:adjustRightInd w:val="0"/>
        <w:ind w:left="3600"/>
        <w:rPr>
          <w:szCs w:val="24"/>
        </w:rPr>
      </w:pPr>
      <w:r>
        <w:rPr>
          <w:szCs w:val="24"/>
        </w:rPr>
        <w:t xml:space="preserve">Telephone [O’Brien]: </w:t>
      </w:r>
      <w:r w:rsidRPr="00B379B2">
        <w:rPr>
          <w:szCs w:val="24"/>
        </w:rPr>
        <w:t>(614) 466-9531</w:t>
      </w:r>
    </w:p>
    <w:p w:rsidR="00D60C2A" w:rsidP="00731B26" w14:paraId="22FC8EAA" w14:textId="048C8666">
      <w:pPr>
        <w:autoSpaceDE w:val="0"/>
        <w:autoSpaceDN w:val="0"/>
        <w:adjustRightInd w:val="0"/>
        <w:ind w:left="3600"/>
        <w:rPr>
          <w:szCs w:val="24"/>
        </w:rPr>
      </w:pPr>
      <w:r>
        <w:rPr>
          <w:rFonts w:ascii="Times-Roman" w:hAnsi="Times-Roman" w:cs="Times-Roman"/>
          <w:szCs w:val="24"/>
        </w:rPr>
        <w:t>Telephone [Healey]: (614) 466-9571</w:t>
      </w:r>
    </w:p>
    <w:p w:rsidR="00731B26" w:rsidP="00731B26" w14:paraId="0E245E11" w14:textId="77777777">
      <w:pPr>
        <w:rPr>
          <w:szCs w:val="24"/>
        </w:rPr>
      </w:pPr>
      <w:r>
        <w:rPr>
          <w:szCs w:val="24"/>
        </w:rPr>
        <w:tab/>
      </w:r>
      <w:r>
        <w:rPr>
          <w:szCs w:val="24"/>
        </w:rPr>
        <w:tab/>
      </w:r>
      <w:r>
        <w:rPr>
          <w:szCs w:val="24"/>
        </w:rPr>
        <w:tab/>
      </w:r>
      <w:r>
        <w:rPr>
          <w:szCs w:val="24"/>
        </w:rPr>
        <w:tab/>
      </w:r>
      <w:r>
        <w:rPr>
          <w:szCs w:val="24"/>
        </w:rPr>
        <w:tab/>
      </w:r>
      <w:hyperlink r:id="rId11" w:history="1">
        <w:r w:rsidRPr="00DB2B65">
          <w:rPr>
            <w:rStyle w:val="Hyperlink"/>
            <w:szCs w:val="24"/>
          </w:rPr>
          <w:t>angela.obrien@occ.ohio.gov</w:t>
        </w:r>
      </w:hyperlink>
      <w:r>
        <w:rPr>
          <w:szCs w:val="24"/>
        </w:rPr>
        <w:t xml:space="preserve"> </w:t>
      </w:r>
    </w:p>
    <w:p w:rsidR="00D60C2A" w:rsidRPr="00D60C2A" w:rsidP="00731B26" w14:paraId="739C7BC2" w14:textId="7408E9DD">
      <w:pPr>
        <w:rPr>
          <w:rFonts w:ascii="Times-Roman" w:hAnsi="Times-Roman" w:cs="Times-Roman"/>
          <w:szCs w:val="24"/>
        </w:rPr>
      </w:pPr>
      <w:r>
        <w:rPr>
          <w:szCs w:val="24"/>
        </w:rPr>
        <w:tab/>
      </w:r>
      <w:r>
        <w:rPr>
          <w:szCs w:val="24"/>
        </w:rPr>
        <w:tab/>
      </w:r>
      <w:r>
        <w:rPr>
          <w:szCs w:val="24"/>
        </w:rPr>
        <w:tab/>
      </w:r>
      <w:r>
        <w:rPr>
          <w:szCs w:val="24"/>
        </w:rPr>
        <w:tab/>
      </w:r>
      <w:r>
        <w:rPr>
          <w:szCs w:val="24"/>
        </w:rPr>
        <w:tab/>
      </w:r>
      <w:hyperlink r:id="rId12" w:history="1">
        <w:r w:rsidRPr="00220694">
          <w:rPr>
            <w:rStyle w:val="Hyperlink"/>
            <w:rFonts w:ascii="Times-Roman" w:hAnsi="Times-Roman" w:cs="Times-Roman"/>
            <w:szCs w:val="24"/>
          </w:rPr>
          <w:t>Christopher.healey@occ.ohio.gov</w:t>
        </w:r>
      </w:hyperlink>
    </w:p>
    <w:p w:rsidR="00F44221" w:rsidP="00731B26" w14:paraId="4A33FB5F" w14:textId="5A0C8F6F">
      <w:pPr>
        <w:ind w:left="3600"/>
        <w:rPr>
          <w:szCs w:val="24"/>
        </w:rPr>
      </w:pPr>
      <w:r>
        <w:rPr>
          <w:szCs w:val="24"/>
        </w:rPr>
        <w:t>(willing to accept service by e-mail)</w:t>
      </w:r>
    </w:p>
    <w:p w:rsidR="00731B26" w:rsidP="00646111" w14:paraId="473F5430" w14:textId="77777777">
      <w:pPr>
        <w:rPr>
          <w:szCs w:val="24"/>
        </w:rPr>
      </w:pPr>
    </w:p>
    <w:p w:rsidR="00731B26" w:rsidRPr="007E2879" w:rsidP="00731B26" w14:paraId="638D85C2" w14:textId="77777777">
      <w:pPr>
        <w:ind w:left="2880" w:firstLine="720"/>
        <w:rPr>
          <w:szCs w:val="24"/>
        </w:rPr>
      </w:pPr>
      <w:r w:rsidRPr="007E2879">
        <w:rPr>
          <w:szCs w:val="24"/>
        </w:rPr>
        <w:t>Kimberly W. Bojko (0069402)</w:t>
      </w:r>
    </w:p>
    <w:p w:rsidR="00731B26" w:rsidRPr="007E2879" w:rsidP="00731B26" w14:paraId="475158E4" w14:textId="77777777">
      <w:pPr>
        <w:ind w:left="2880" w:firstLine="720"/>
        <w:rPr>
          <w:szCs w:val="24"/>
        </w:rPr>
      </w:pPr>
      <w:r w:rsidRPr="007E2879">
        <w:rPr>
          <w:szCs w:val="24"/>
        </w:rPr>
        <w:t>Carpenter Lipps &amp; Leland LLP</w:t>
      </w:r>
    </w:p>
    <w:p w:rsidR="00731B26" w:rsidRPr="007E2879" w:rsidP="00731B26" w14:paraId="16CBEE82" w14:textId="77777777">
      <w:pPr>
        <w:ind w:left="2880" w:firstLine="720"/>
        <w:rPr>
          <w:szCs w:val="24"/>
        </w:rPr>
      </w:pPr>
      <w:r w:rsidRPr="007E2879">
        <w:rPr>
          <w:szCs w:val="24"/>
        </w:rPr>
        <w:t>280 Plaza, Suite 1300</w:t>
      </w:r>
    </w:p>
    <w:p w:rsidR="00731B26" w:rsidRPr="007E2879" w:rsidP="00731B26" w14:paraId="2889B63D" w14:textId="77777777">
      <w:pPr>
        <w:ind w:left="2880" w:firstLine="720"/>
        <w:rPr>
          <w:szCs w:val="24"/>
        </w:rPr>
      </w:pPr>
      <w:r w:rsidRPr="007E2879">
        <w:rPr>
          <w:szCs w:val="24"/>
        </w:rPr>
        <w:t>280 North High Street</w:t>
      </w:r>
    </w:p>
    <w:p w:rsidR="00731B26" w:rsidRPr="007E2879" w:rsidP="00731B26" w14:paraId="462100CD" w14:textId="77777777">
      <w:pPr>
        <w:ind w:left="2880" w:firstLine="720"/>
        <w:rPr>
          <w:szCs w:val="24"/>
        </w:rPr>
      </w:pPr>
      <w:r w:rsidRPr="007E2879">
        <w:rPr>
          <w:szCs w:val="24"/>
        </w:rPr>
        <w:t>Columbus, Ohio 43215</w:t>
      </w:r>
    </w:p>
    <w:p w:rsidR="00731B26" w:rsidRPr="007E2879" w:rsidP="00731B26" w14:paraId="7B288C9D" w14:textId="77777777">
      <w:pPr>
        <w:ind w:left="2880" w:firstLine="720"/>
        <w:rPr>
          <w:szCs w:val="24"/>
        </w:rPr>
      </w:pPr>
      <w:hyperlink r:id="rId13" w:history="1">
        <w:r w:rsidRPr="00903CA0" w:rsidR="00F25517">
          <w:rPr>
            <w:rStyle w:val="Hyperlink"/>
            <w:szCs w:val="24"/>
          </w:rPr>
          <w:t>bojko@carpenterlipps.com</w:t>
        </w:r>
      </w:hyperlink>
      <w:r w:rsidRPr="007E2879" w:rsidR="00F25517">
        <w:rPr>
          <w:szCs w:val="24"/>
        </w:rPr>
        <w:t xml:space="preserve"> </w:t>
      </w:r>
    </w:p>
    <w:p w:rsidR="00731B26" w:rsidRPr="007E2879" w:rsidP="00731B26" w14:paraId="5DA76290" w14:textId="77777777">
      <w:pPr>
        <w:ind w:left="2880" w:firstLine="720"/>
        <w:rPr>
          <w:szCs w:val="24"/>
        </w:rPr>
      </w:pPr>
      <w:r w:rsidRPr="007E2879">
        <w:rPr>
          <w:szCs w:val="24"/>
        </w:rPr>
        <w:t>(willing to accept service by e-mail)</w:t>
      </w:r>
    </w:p>
    <w:p w:rsidR="00731B26" w:rsidRPr="00B6528E" w:rsidP="00731B26" w14:paraId="797D0E25" w14:textId="77777777">
      <w:pPr>
        <w:ind w:left="4320"/>
        <w:rPr>
          <w:sz w:val="16"/>
          <w:szCs w:val="16"/>
        </w:rPr>
      </w:pPr>
    </w:p>
    <w:p w:rsidR="00731B26" w:rsidRPr="007E2879" w:rsidP="00731B26" w14:paraId="4D94877E" w14:textId="77777777">
      <w:pPr>
        <w:ind w:left="2880" w:firstLine="720"/>
        <w:rPr>
          <w:i/>
          <w:iCs/>
          <w:szCs w:val="24"/>
        </w:rPr>
      </w:pPr>
      <w:r>
        <w:rPr>
          <w:i/>
          <w:iCs/>
          <w:szCs w:val="24"/>
        </w:rPr>
        <w:t>Special</w:t>
      </w:r>
      <w:r w:rsidRPr="007E2879">
        <w:rPr>
          <w:i/>
          <w:iCs/>
          <w:szCs w:val="24"/>
        </w:rPr>
        <w:t xml:space="preserve"> Counsel for</w:t>
      </w:r>
    </w:p>
    <w:p w:rsidR="00731B26" w:rsidP="00731B26" w14:paraId="561ED5E6" w14:textId="77777777">
      <w:pPr>
        <w:ind w:left="2880" w:firstLine="720"/>
        <w:rPr>
          <w:i/>
          <w:iCs/>
          <w:szCs w:val="24"/>
        </w:rPr>
      </w:pPr>
      <w:r w:rsidRPr="007E2879">
        <w:rPr>
          <w:i/>
          <w:iCs/>
          <w:szCs w:val="24"/>
        </w:rPr>
        <w:t>The Office of the Ohio Consumers</w:t>
      </w:r>
      <w:r>
        <w:rPr>
          <w:i/>
          <w:iCs/>
          <w:szCs w:val="24"/>
        </w:rPr>
        <w:t>’</w:t>
      </w:r>
      <w:r w:rsidRPr="007E2879">
        <w:rPr>
          <w:i/>
          <w:iCs/>
          <w:szCs w:val="24"/>
        </w:rPr>
        <w:t xml:space="preserve"> Counsel</w:t>
      </w:r>
    </w:p>
    <w:p w:rsidR="00731B26" w:rsidP="00B52F65" w14:paraId="6F5BDFA5" w14:textId="77777777">
      <w:pPr>
        <w:tabs>
          <w:tab w:val="left" w:pos="4320"/>
        </w:tabs>
        <w:ind w:left="3600"/>
        <w:rPr>
          <w:szCs w:val="24"/>
        </w:rPr>
      </w:pPr>
    </w:p>
    <w:p w:rsidR="00B52F65" w:rsidP="00B52F65" w14:paraId="0C0AFF5A" w14:textId="77777777">
      <w:pPr>
        <w:rPr>
          <w:szCs w:val="24"/>
        </w:rPr>
      </w:pPr>
    </w:p>
    <w:p w:rsidR="0089543E" w14:paraId="291C783E" w14:textId="77777777">
      <w:pPr>
        <w:rPr>
          <w:szCs w:val="24"/>
        </w:rPr>
      </w:pPr>
      <w:r>
        <w:rPr>
          <w:szCs w:val="24"/>
        </w:rPr>
        <w:br w:type="page"/>
      </w:r>
    </w:p>
    <w:p w:rsidR="00B52F65" w:rsidP="00F90B18" w14:paraId="1ABEA909" w14:textId="0190BFD8">
      <w:pPr>
        <w:jc w:val="center"/>
        <w:rPr>
          <w:b/>
          <w:bCs/>
          <w:u w:val="single"/>
        </w:rPr>
      </w:pPr>
      <w:r>
        <w:rPr>
          <w:b/>
          <w:bCs/>
          <w:u w:val="single"/>
        </w:rPr>
        <w:t>CERTIFICATE OF SERVICE</w:t>
      </w:r>
    </w:p>
    <w:p w:rsidR="00731B26" w:rsidP="00731B26" w14:paraId="725B071C" w14:textId="77777777">
      <w:pPr>
        <w:jc w:val="center"/>
      </w:pPr>
    </w:p>
    <w:p w:rsidR="00B52F65" w:rsidRPr="00641FA9" w:rsidP="0059283C" w14:paraId="1F6771BF" w14:textId="2546B415">
      <w:pPr>
        <w:spacing w:line="480" w:lineRule="auto"/>
        <w:ind w:firstLine="720"/>
        <w:rPr>
          <w:i/>
          <w:iCs/>
        </w:rPr>
      </w:pPr>
      <w:r>
        <w:t>I hereby certify that a copy of this</w:t>
      </w:r>
      <w:r w:rsidR="00731B26">
        <w:t xml:space="preserve"> </w:t>
      </w:r>
      <w:r w:rsidR="00DE0CA9">
        <w:t>Reply</w:t>
      </w:r>
      <w:r w:rsidR="0081674B">
        <w:t xml:space="preserve"> to</w:t>
      </w:r>
      <w:r w:rsidRPr="007528C2" w:rsidR="0081674B">
        <w:t xml:space="preserve"> PALM</w:t>
      </w:r>
      <w:r w:rsidR="0081674B">
        <w:t>co’s Memorandum</w:t>
      </w:r>
      <w:r w:rsidRPr="007528C2" w:rsidR="0081674B">
        <w:t xml:space="preserve"> C</w:t>
      </w:r>
      <w:r w:rsidR="0081674B">
        <w:t>ontra</w:t>
      </w:r>
      <w:r w:rsidRPr="007528C2" w:rsidR="0081674B">
        <w:t xml:space="preserve"> OCC’S M</w:t>
      </w:r>
      <w:r w:rsidR="0081674B">
        <w:t>otion</w:t>
      </w:r>
      <w:r w:rsidRPr="007528C2" w:rsidR="0081674B">
        <w:t xml:space="preserve"> </w:t>
      </w:r>
      <w:r w:rsidR="0081674B">
        <w:t>to</w:t>
      </w:r>
      <w:r w:rsidRPr="007528C2" w:rsidR="0081674B">
        <w:t xml:space="preserve"> I</w:t>
      </w:r>
      <w:r w:rsidR="0081674B">
        <w:t>ntervene</w:t>
      </w:r>
      <w:r w:rsidRPr="007528C2" w:rsidR="0081674B">
        <w:t xml:space="preserve"> </w:t>
      </w:r>
      <w:r w:rsidR="0081674B">
        <w:t>and</w:t>
      </w:r>
      <w:r w:rsidRPr="007528C2" w:rsidR="0081674B">
        <w:t xml:space="preserve"> </w:t>
      </w:r>
      <w:r w:rsidR="0081674B">
        <w:t>Motion</w:t>
      </w:r>
      <w:r w:rsidRPr="007528C2" w:rsidR="0081674B">
        <w:t xml:space="preserve"> </w:t>
      </w:r>
      <w:r w:rsidR="0081674B">
        <w:t>to</w:t>
      </w:r>
      <w:r w:rsidRPr="007528C2" w:rsidR="0081674B">
        <w:t xml:space="preserve"> S</w:t>
      </w:r>
      <w:r w:rsidR="0081674B">
        <w:t>uspend</w:t>
      </w:r>
      <w:r w:rsidRPr="007528C2" w:rsidR="0081674B">
        <w:t xml:space="preserve"> </w:t>
      </w:r>
      <w:r w:rsidR="0081674B">
        <w:t>or</w:t>
      </w:r>
      <w:r w:rsidRPr="007528C2" w:rsidR="0081674B">
        <w:t xml:space="preserve"> R</w:t>
      </w:r>
      <w:r w:rsidR="0081674B">
        <w:t>escind</w:t>
      </w:r>
      <w:r w:rsidRPr="007528C2" w:rsidR="0081674B">
        <w:t xml:space="preserve"> PALM</w:t>
      </w:r>
      <w:r w:rsidR="0081674B">
        <w:t>co’s</w:t>
      </w:r>
      <w:r w:rsidRPr="007528C2" w:rsidR="0081674B">
        <w:t xml:space="preserve"> C</w:t>
      </w:r>
      <w:r w:rsidR="0081674B">
        <w:t>ertificates</w:t>
      </w:r>
      <w:r w:rsidRPr="007528C2" w:rsidR="0081674B">
        <w:t xml:space="preserve"> </w:t>
      </w:r>
      <w:r w:rsidR="0081674B">
        <w:t>to</w:t>
      </w:r>
      <w:r w:rsidRPr="007528C2" w:rsidR="0081674B">
        <w:t xml:space="preserve"> </w:t>
      </w:r>
      <w:r w:rsidR="0081674B">
        <w:t>Market</w:t>
      </w:r>
      <w:r w:rsidRPr="007528C2" w:rsidR="0081674B">
        <w:t xml:space="preserve"> </w:t>
      </w:r>
      <w:r w:rsidR="0081674B">
        <w:t>Energy</w:t>
      </w:r>
      <w:r w:rsidR="0029380D">
        <w:t xml:space="preserve"> to Ohioans</w:t>
      </w:r>
      <w:r w:rsidR="00DE0CA9">
        <w:t xml:space="preserve"> </w:t>
      </w:r>
      <w:r>
        <w:t xml:space="preserve">was served on the persons stated below </w:t>
      </w:r>
      <w:r w:rsidRPr="0049109A">
        <w:t>via</w:t>
      </w:r>
      <w:r>
        <w:t xml:space="preserve"> electronic transmission, this </w:t>
      </w:r>
      <w:r w:rsidR="00D60C2A">
        <w:t>21</w:t>
      </w:r>
      <w:r w:rsidRPr="00D60C2A" w:rsidR="00D60C2A">
        <w:rPr>
          <w:vertAlign w:val="superscript"/>
        </w:rPr>
        <w:t>st</w:t>
      </w:r>
      <w:r w:rsidR="00D107F1">
        <w:t xml:space="preserve"> </w:t>
      </w:r>
      <w:r>
        <w:t>day of</w:t>
      </w:r>
      <w:r w:rsidR="00A10E45">
        <w:t xml:space="preserve"> </w:t>
      </w:r>
      <w:r w:rsidR="00D60C2A">
        <w:t>January</w:t>
      </w:r>
      <w:r>
        <w:t xml:space="preserve"> 20</w:t>
      </w:r>
      <w:r w:rsidR="00805F1D">
        <w:t>20</w:t>
      </w:r>
      <w:r>
        <w:t>.</w:t>
      </w:r>
    </w:p>
    <w:p w:rsidR="00B52F65" w14:paraId="5E837E0F" w14:textId="77777777">
      <w:pPr>
        <w:spacing w:line="480" w:lineRule="atLeast"/>
      </w:pPr>
    </w:p>
    <w:p w:rsidR="00B52F65" w14:paraId="7587DED6" w14:textId="43D04FCC">
      <w:pPr>
        <w:tabs>
          <w:tab w:val="left" w:pos="4320"/>
        </w:tabs>
        <w:rPr>
          <w:i/>
          <w:u w:val="single"/>
        </w:rPr>
      </w:pPr>
      <w:r>
        <w:tab/>
      </w:r>
      <w:r w:rsidRPr="00503056">
        <w:rPr>
          <w:i/>
          <w:iCs/>
          <w:u w:val="single"/>
        </w:rPr>
        <w:t>/s/</w:t>
      </w:r>
      <w:r w:rsidRPr="004535A2">
        <w:rPr>
          <w:u w:val="single"/>
        </w:rPr>
        <w:t xml:space="preserve"> </w:t>
      </w:r>
      <w:r>
        <w:rPr>
          <w:i/>
          <w:u w:val="single"/>
        </w:rPr>
        <w:t xml:space="preserve">Angela </w:t>
      </w:r>
      <w:r w:rsidR="00B559AA">
        <w:rPr>
          <w:i/>
          <w:u w:val="single"/>
        </w:rPr>
        <w:t xml:space="preserve">D. </w:t>
      </w:r>
      <w:r>
        <w:rPr>
          <w:i/>
          <w:u w:val="single"/>
        </w:rPr>
        <w:t>O’Brien</w:t>
      </w:r>
      <w:r>
        <w:rPr>
          <w:i/>
          <w:u w:val="single"/>
        </w:rPr>
        <w:tab/>
      </w:r>
      <w:r>
        <w:rPr>
          <w:i/>
          <w:u w:val="single"/>
        </w:rPr>
        <w:tab/>
      </w:r>
    </w:p>
    <w:p w:rsidR="00B52F65" w14:paraId="787CAC54" w14:textId="3A950C4F">
      <w:pPr>
        <w:tabs>
          <w:tab w:val="left" w:pos="4320"/>
        </w:tabs>
      </w:pPr>
      <w:r>
        <w:tab/>
        <w:t xml:space="preserve">Angela </w:t>
      </w:r>
      <w:r w:rsidR="00B559AA">
        <w:t xml:space="preserve">D. </w:t>
      </w:r>
      <w:r>
        <w:t>O’Brien</w:t>
      </w:r>
    </w:p>
    <w:p w:rsidR="00B52F65" w14:paraId="61EC04A1" w14:textId="64DEC6E3">
      <w:pPr>
        <w:tabs>
          <w:tab w:val="left" w:pos="4320"/>
        </w:tabs>
      </w:pPr>
      <w:r>
        <w:tab/>
        <w:t>Assistant Consumers’ Counsel</w:t>
      </w:r>
    </w:p>
    <w:p w:rsidR="0000110D" w14:paraId="5180D24C" w14:textId="77777777">
      <w:pPr>
        <w:tabs>
          <w:tab w:val="left" w:pos="4320"/>
        </w:tabs>
      </w:pPr>
    </w:p>
    <w:p w:rsidR="00B52F65" w14:paraId="367A86E8" w14:textId="77777777">
      <w:pPr>
        <w:pStyle w:val="CommentSubject"/>
      </w:pPr>
    </w:p>
    <w:p w:rsidR="005B331B" w:rsidP="0060598B" w14:paraId="4865252F" w14:textId="182D5AFF">
      <w:r>
        <w:t>The PUCO’s e-filing system will electronically serve notice of the filing of this document on the following parties:</w:t>
      </w:r>
    </w:p>
    <w:p w:rsidR="00DE0CA9" w:rsidP="0060598B" w14:paraId="1F08B9F0" w14:textId="53DAA0DE"/>
    <w:p w:rsidR="00DE0CA9" w:rsidP="00DE0CA9" w14:paraId="72ABCC9D" w14:textId="77777777">
      <w:pPr>
        <w:pStyle w:val="CommentText"/>
        <w:jc w:val="center"/>
        <w:rPr>
          <w:b/>
          <w:u w:val="single"/>
        </w:rPr>
      </w:pPr>
      <w:r w:rsidRPr="004B17F3">
        <w:rPr>
          <w:b/>
          <w:u w:val="single"/>
        </w:rPr>
        <w:t>SERVICE LIST</w:t>
      </w:r>
    </w:p>
    <w:p w:rsidR="00DE0CA9" w:rsidRPr="004B17F3" w:rsidP="00DE0CA9" w14:paraId="43D5948D" w14:textId="77777777">
      <w:pPr>
        <w:pStyle w:val="CommentText"/>
        <w:jc w:val="center"/>
        <w:rPr>
          <w:b/>
          <w:u w:val="single"/>
        </w:rPr>
      </w:pPr>
    </w:p>
    <w:p w:rsidR="00DE0CA9" w:rsidRPr="004B17F3" w:rsidP="00DE0CA9" w14:paraId="73B0C641" w14:textId="77777777">
      <w:pPr>
        <w:pStyle w:val="CommentText"/>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1"/>
        <w:gridCol w:w="4309"/>
      </w:tblGrid>
      <w:tr w14:paraId="5AF90495" w14:textId="77777777" w:rsidTr="004C0B58">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397" w:type="dxa"/>
            <w:tcBorders>
              <w:top w:val="nil"/>
              <w:left w:val="nil"/>
              <w:bottom w:val="nil"/>
              <w:right w:val="nil"/>
            </w:tcBorders>
            <w:shd w:val="clear" w:color="auto" w:fill="auto"/>
          </w:tcPr>
          <w:p w:rsidR="00DE0CA9" w:rsidRPr="004B17F3" w:rsidP="004C0B58" w14:paraId="5FB28E11" w14:textId="77777777">
            <w:pPr>
              <w:pStyle w:val="CommentText"/>
            </w:pPr>
            <w:hyperlink r:id="rId14" w:history="1">
              <w:r w:rsidRPr="004B17F3" w:rsidR="005961A7">
                <w:rPr>
                  <w:rStyle w:val="Hyperlink"/>
                </w:rPr>
                <w:t>John.jones@ohioattorneygeneral.gov</w:t>
              </w:r>
            </w:hyperlink>
          </w:p>
          <w:p w:rsidR="00DE0CA9" w:rsidRPr="004B17F3" w:rsidP="004C0B58" w14:paraId="60011617" w14:textId="77777777">
            <w:pPr>
              <w:pStyle w:val="CommentText"/>
            </w:pPr>
          </w:p>
        </w:tc>
        <w:tc>
          <w:tcPr>
            <w:tcW w:w="4459" w:type="dxa"/>
            <w:tcBorders>
              <w:top w:val="nil"/>
              <w:left w:val="nil"/>
              <w:bottom w:val="nil"/>
              <w:right w:val="nil"/>
            </w:tcBorders>
            <w:shd w:val="clear" w:color="auto" w:fill="auto"/>
          </w:tcPr>
          <w:p w:rsidR="00DE0CA9" w:rsidP="00DE0CA9" w14:paraId="3CD0871F" w14:textId="4C12B67A">
            <w:pPr>
              <w:autoSpaceDE w:val="0"/>
              <w:autoSpaceDN w:val="0"/>
              <w:adjustRightInd w:val="0"/>
              <w:ind w:left="1296"/>
              <w:rPr>
                <w:rFonts w:ascii="TimesNewRomanPSMT" w:hAnsi="TimesNewRomanPSMT" w:cs="TimesNewRomanPSMT"/>
                <w:szCs w:val="24"/>
              </w:rPr>
            </w:pPr>
            <w:hyperlink r:id="rId15" w:history="1">
              <w:r w:rsidRPr="009E015E" w:rsidR="005961A7">
                <w:rPr>
                  <w:rStyle w:val="Hyperlink"/>
                  <w:rFonts w:ascii="TimesNewRomanPSMT" w:hAnsi="TimesNewRomanPSMT" w:cs="TimesNewRomanPSMT"/>
                  <w:szCs w:val="24"/>
                </w:rPr>
                <w:t>whitt@whitt-sturtevant.com</w:t>
              </w:r>
            </w:hyperlink>
          </w:p>
          <w:p w:rsidR="00DE0CA9" w:rsidP="00DE0CA9" w14:paraId="26DC8DED" w14:textId="1B5AF2E7">
            <w:pPr>
              <w:autoSpaceDE w:val="0"/>
              <w:autoSpaceDN w:val="0"/>
              <w:adjustRightInd w:val="0"/>
              <w:ind w:left="1296"/>
              <w:rPr>
                <w:rFonts w:ascii="TimesNewRomanPSMT" w:hAnsi="TimesNewRomanPSMT" w:cs="TimesNewRomanPSMT"/>
                <w:szCs w:val="24"/>
              </w:rPr>
            </w:pPr>
            <w:hyperlink r:id="rId16" w:history="1">
              <w:r w:rsidRPr="009E015E" w:rsidR="005961A7">
                <w:rPr>
                  <w:rStyle w:val="Hyperlink"/>
                  <w:rFonts w:ascii="TimesNewRomanPSMT" w:hAnsi="TimesNewRomanPSMT" w:cs="TimesNewRomanPSMT"/>
                  <w:szCs w:val="24"/>
                </w:rPr>
                <w:t>fykes@whitt-sturtevant.com</w:t>
              </w:r>
            </w:hyperlink>
          </w:p>
          <w:p w:rsidR="00DE0CA9" w:rsidP="00DE0CA9" w14:paraId="682CE5B2" w14:textId="77777777">
            <w:pPr>
              <w:autoSpaceDE w:val="0"/>
              <w:autoSpaceDN w:val="0"/>
              <w:adjustRightInd w:val="0"/>
              <w:ind w:left="1296"/>
              <w:rPr>
                <w:rFonts w:ascii="TimesNewRomanPSMT" w:hAnsi="TimesNewRomanPSMT" w:cs="TimesNewRomanPSMT"/>
                <w:szCs w:val="24"/>
              </w:rPr>
            </w:pPr>
          </w:p>
          <w:p w:rsidR="00DE0CA9" w:rsidRPr="00950F66" w:rsidP="004C0B58" w14:paraId="46F81A63" w14:textId="283C6BBF">
            <w:pPr>
              <w:ind w:left="1416"/>
              <w:jc w:val="both"/>
              <w:rPr>
                <w:szCs w:val="24"/>
              </w:rPr>
            </w:pPr>
            <w:r w:rsidRPr="00950F66">
              <w:rPr>
                <w:szCs w:val="24"/>
              </w:rPr>
              <w:t xml:space="preserve"> </w:t>
            </w:r>
          </w:p>
          <w:p w:rsidR="00DE0CA9" w:rsidRPr="00950F66" w:rsidP="004C0B58" w14:paraId="371926FA" w14:textId="77777777">
            <w:pPr>
              <w:pStyle w:val="CommentText"/>
              <w:rPr>
                <w:b/>
                <w:u w:val="single"/>
              </w:rPr>
            </w:pPr>
          </w:p>
        </w:tc>
      </w:tr>
    </w:tbl>
    <w:p w:rsidR="00B52F65" w14:paraId="25C5C5C0" w14:textId="77777777">
      <w:pPr>
        <w:pStyle w:val="CommentText"/>
        <w:jc w:val="center"/>
        <w:rPr>
          <w:b/>
          <w:u w:val="single"/>
        </w:rPr>
      </w:pPr>
    </w:p>
    <w:p w:rsidR="00B52F65" w14:paraId="2F401E4F" w14:textId="77777777">
      <w:pPr>
        <w:pStyle w:val="CommentText"/>
        <w:jc w:val="center"/>
        <w:rPr>
          <w:b/>
          <w:u w:val="single"/>
        </w:rPr>
      </w:pPr>
    </w:p>
    <w:sectPr w:rsidSect="00642405">
      <w:headerReference w:type="first" r:id="rId17"/>
      <w:pgSz w:w="12240" w:h="15840"/>
      <w:pgMar w:top="1440" w:right="1800" w:bottom="1440" w:left="1800" w:header="720" w:footer="720" w:gutter="0"/>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2405" w14:paraId="23830BE9" w14:textId="586A98EA">
    <w:pPr>
      <w:pStyle w:val="Footer"/>
      <w:jc w:val="center"/>
    </w:pPr>
  </w:p>
  <w:p w:rsidR="00DD02C2" w14:paraId="58ACB4B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7204591"/>
      <w:docPartObj>
        <w:docPartGallery w:val="Page Numbers (Bottom of Page)"/>
        <w:docPartUnique/>
      </w:docPartObj>
    </w:sdtPr>
    <w:sdtEndPr>
      <w:rPr>
        <w:noProof/>
        <w:sz w:val="24"/>
        <w:szCs w:val="24"/>
      </w:rPr>
    </w:sdtEndPr>
    <w:sdtContent>
      <w:p w:rsidR="00124E2D" w:rsidRPr="00124E2D" w14:paraId="2AC16D66" w14:textId="77777777">
        <w:pPr>
          <w:pStyle w:val="Footer"/>
          <w:jc w:val="center"/>
          <w:rPr>
            <w:sz w:val="24"/>
            <w:szCs w:val="24"/>
          </w:rPr>
        </w:pPr>
        <w:r w:rsidRPr="00124E2D">
          <w:rPr>
            <w:sz w:val="24"/>
            <w:szCs w:val="24"/>
          </w:rPr>
          <w:fldChar w:fldCharType="begin"/>
        </w:r>
        <w:r w:rsidRPr="00124E2D">
          <w:rPr>
            <w:sz w:val="24"/>
            <w:szCs w:val="24"/>
          </w:rPr>
          <w:instrText xml:space="preserve"> PAGE   \* MERGEFORMAT </w:instrText>
        </w:r>
        <w:r w:rsidRPr="00124E2D">
          <w:rPr>
            <w:sz w:val="24"/>
            <w:szCs w:val="24"/>
          </w:rPr>
          <w:fldChar w:fldCharType="separate"/>
        </w:r>
        <w:r w:rsidRPr="00124E2D">
          <w:rPr>
            <w:noProof/>
            <w:sz w:val="24"/>
            <w:szCs w:val="24"/>
          </w:rPr>
          <w:t>2</w:t>
        </w:r>
        <w:r w:rsidRPr="00124E2D">
          <w:rPr>
            <w:noProof/>
            <w:sz w:val="24"/>
            <w:szCs w:val="24"/>
          </w:rPr>
          <w:fldChar w:fldCharType="end"/>
        </w:r>
      </w:p>
    </w:sdtContent>
  </w:sdt>
  <w:p w:rsidR="00124E2D" w14:paraId="598EBAC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53373079"/>
      <w:docPartObj>
        <w:docPartGallery w:val="Page Numbers (Bottom of Page)"/>
        <w:docPartUnique/>
      </w:docPartObj>
    </w:sdtPr>
    <w:sdtEndPr>
      <w:rPr>
        <w:noProof/>
        <w:sz w:val="24"/>
        <w:szCs w:val="24"/>
      </w:rPr>
    </w:sdtEndPr>
    <w:sdtContent>
      <w:p w:rsidR="00EC666F" w:rsidRPr="00EC666F" w14:paraId="028E48F0" w14:textId="77777777">
        <w:pPr>
          <w:pStyle w:val="Footer"/>
          <w:jc w:val="center"/>
          <w:rPr>
            <w:sz w:val="24"/>
            <w:szCs w:val="24"/>
          </w:rPr>
        </w:pPr>
        <w:r w:rsidRPr="00EC666F">
          <w:rPr>
            <w:sz w:val="24"/>
            <w:szCs w:val="24"/>
          </w:rPr>
          <w:fldChar w:fldCharType="begin"/>
        </w:r>
        <w:r w:rsidRPr="00EC666F">
          <w:rPr>
            <w:sz w:val="24"/>
            <w:szCs w:val="24"/>
          </w:rPr>
          <w:instrText xml:space="preserve"> PAGE   \* MERGEFORMAT </w:instrText>
        </w:r>
        <w:r w:rsidRPr="00EC666F">
          <w:rPr>
            <w:sz w:val="24"/>
            <w:szCs w:val="24"/>
          </w:rPr>
          <w:fldChar w:fldCharType="separate"/>
        </w:r>
        <w:r w:rsidRPr="00EC666F">
          <w:rPr>
            <w:noProof/>
            <w:sz w:val="24"/>
            <w:szCs w:val="24"/>
          </w:rPr>
          <w:t>2</w:t>
        </w:r>
        <w:r w:rsidRPr="00EC666F">
          <w:rPr>
            <w:noProof/>
            <w:sz w:val="24"/>
            <w:szCs w:val="24"/>
          </w:rPr>
          <w:fldChar w:fldCharType="end"/>
        </w:r>
      </w:p>
    </w:sdtContent>
  </w:sdt>
  <w:p w:rsidR="00EC666F" w14:paraId="2790BF4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546E6" w14:paraId="1DAF3E9F" w14:textId="77777777">
      <w:r>
        <w:separator/>
      </w:r>
    </w:p>
  </w:footnote>
  <w:footnote w:type="continuationSeparator" w:id="1">
    <w:p w:rsidR="00F546E6" w14:paraId="57D36B86" w14:textId="77777777">
      <w:r>
        <w:continuationSeparator/>
      </w:r>
    </w:p>
  </w:footnote>
  <w:footnote w:id="2">
    <w:p w:rsidR="0081674B" w:rsidP="00415B1A" w14:paraId="18A55C77" w14:textId="47BC91AF">
      <w:pPr>
        <w:pStyle w:val="FootnoteText"/>
        <w:spacing w:after="120"/>
      </w:pPr>
      <w:r>
        <w:rPr>
          <w:rStyle w:val="FootnoteReference"/>
        </w:rPr>
        <w:footnoteRef/>
      </w:r>
      <w:r>
        <w:t xml:space="preserve"> Case No. 19-2153-GE-COI, PUCO Staff Letter (Dec. 16, 2019).</w:t>
      </w:r>
    </w:p>
  </w:footnote>
  <w:footnote w:id="3">
    <w:p w:rsidR="00577C6E" w:rsidRPr="00BA4A41" w:rsidP="00415B1A" w14:paraId="321D1A7B" w14:textId="1B0B9888">
      <w:pPr>
        <w:pStyle w:val="FootnoteText"/>
        <w:spacing w:after="120"/>
      </w:pPr>
      <w:r>
        <w:rPr>
          <w:rStyle w:val="FootnoteReference"/>
        </w:rPr>
        <w:footnoteRef/>
      </w:r>
      <w:r>
        <w:t xml:space="preserve"> </w:t>
      </w:r>
      <w:r>
        <w:rPr>
          <w:i/>
          <w:iCs/>
        </w:rPr>
        <w:t>In the Matter of the Commission’s Investigation into PALMco Power OH, LLC d/b/a Indra Energy and PALMco Energy OH, LLC d/b/a Indra Energy’s Compliance with the Ohio Administrative Code and Potential Remedial Actions for Non-Compliance</w:t>
      </w:r>
      <w:r>
        <w:t>, Case No. 19-957-GE-COI, Staff Report (May 10, 2019) (“Staff Report”)</w:t>
      </w:r>
      <w:r w:rsidR="006E6D5D">
        <w:t>,</w:t>
      </w:r>
      <w:r w:rsidR="00174D12">
        <w:t xml:space="preserve"> at 17, 19</w:t>
      </w:r>
      <w:r>
        <w:t xml:space="preserve"> (emphasis added).</w:t>
      </w:r>
    </w:p>
    <w:p w:rsidR="00577C6E" w:rsidP="00415B1A" w14:paraId="218DB86D" w14:textId="77777777">
      <w:pPr>
        <w:pStyle w:val="FootnoteText"/>
        <w:spacing w:after="120"/>
      </w:pPr>
      <w:r>
        <w:t xml:space="preserve"> </w:t>
      </w:r>
    </w:p>
  </w:footnote>
  <w:footnote w:id="4">
    <w:p w:rsidR="004172B8" w:rsidP="00415B1A" w14:paraId="471B3419" w14:textId="6515168A">
      <w:pPr>
        <w:pStyle w:val="FootnoteText"/>
        <w:spacing w:after="120"/>
      </w:pPr>
      <w:r>
        <w:rPr>
          <w:rStyle w:val="FootnoteReference"/>
        </w:rPr>
        <w:footnoteRef/>
      </w:r>
      <w:r>
        <w:t xml:space="preserve"> </w:t>
      </w:r>
      <w:r w:rsidR="005F1BA0">
        <w:rPr>
          <w:i/>
        </w:rPr>
        <w:t>Ohio Consumers’ Counsel v. Pub. Util. Comm</w:t>
      </w:r>
      <w:r w:rsidR="005F1BA0">
        <w:t>., 111 Ohio St.3d 384, 388 (2006)</w:t>
      </w:r>
      <w:r>
        <w:t>.</w:t>
      </w:r>
    </w:p>
  </w:footnote>
  <w:footnote w:id="5">
    <w:p w:rsidR="00577C6E" w:rsidRPr="007528C2" w:rsidP="00415B1A" w14:paraId="22532BDC" w14:textId="4E158EFC">
      <w:pPr>
        <w:pStyle w:val="FootnoteText"/>
        <w:spacing w:after="120"/>
      </w:pPr>
      <w:r>
        <w:rPr>
          <w:rStyle w:val="FootnoteReference"/>
        </w:rPr>
        <w:footnoteRef/>
      </w:r>
      <w:r>
        <w:t xml:space="preserve"> </w:t>
      </w:r>
      <w:r w:rsidR="005A4C7E">
        <w:rPr>
          <w:i/>
        </w:rPr>
        <w:t>Ohio Consumers’ Counsel v. Pub. Util. Comm</w:t>
      </w:r>
      <w:r w:rsidR="005A4C7E">
        <w:t>., 111 Ohio St.3d 384, 388 (2006)</w:t>
      </w:r>
      <w:r>
        <w:t xml:space="preserve"> (emphasis added).</w:t>
      </w:r>
      <w:r w:rsidR="007528C2">
        <w:t xml:space="preserve"> </w:t>
      </w:r>
    </w:p>
  </w:footnote>
  <w:footnote w:id="6">
    <w:p w:rsidR="00577C6E" w:rsidRPr="00134990" w:rsidP="00415B1A" w14:paraId="6BC64B98" w14:textId="42076E6A">
      <w:pPr>
        <w:pStyle w:val="FootnoteText"/>
        <w:spacing w:after="120"/>
        <w:rPr>
          <w:iCs/>
        </w:rPr>
      </w:pPr>
      <w:r>
        <w:rPr>
          <w:rStyle w:val="FootnoteReference"/>
        </w:rPr>
        <w:footnoteRef/>
      </w:r>
      <w:r>
        <w:t xml:space="preserve"> </w:t>
      </w:r>
      <w:r w:rsidR="00687B8B">
        <w:rPr>
          <w:i/>
        </w:rPr>
        <w:t>Id</w:t>
      </w:r>
      <w:r w:rsidR="00C870BA">
        <w:t>.</w:t>
      </w:r>
      <w:r w:rsidR="00134990">
        <w:rPr>
          <w:iCs/>
        </w:rPr>
        <w:t xml:space="preserve"> PAL</w:t>
      </w:r>
      <w:r w:rsidR="00685CF7">
        <w:rPr>
          <w:iCs/>
        </w:rPr>
        <w:t xml:space="preserve">Mco claims that OCC’s intervention would unduly prolong and delay the proceedings in this case. Below, OCC explains why PALMco’s argument should be rejected. </w:t>
      </w:r>
    </w:p>
  </w:footnote>
  <w:footnote w:id="7">
    <w:p w:rsidR="00577C6E" w:rsidP="00415B1A" w14:paraId="6C4E51E8" w14:textId="26E75221">
      <w:pPr>
        <w:pStyle w:val="FootnoteText"/>
        <w:spacing w:after="120"/>
      </w:pPr>
      <w:r>
        <w:rPr>
          <w:rStyle w:val="FootnoteReference"/>
        </w:rPr>
        <w:footnoteRef/>
      </w:r>
      <w:r>
        <w:t xml:space="preserve"> PALMco Memo Contra</w:t>
      </w:r>
      <w:r w:rsidR="006E6D5D">
        <w:t>,</w:t>
      </w:r>
      <w:r>
        <w:t xml:space="preserve"> at 3.</w:t>
      </w:r>
    </w:p>
    <w:p w:rsidR="0095154B" w:rsidP="00415B1A" w14:paraId="3AA4F58B" w14:textId="77777777">
      <w:pPr>
        <w:pStyle w:val="FootnoteText"/>
        <w:spacing w:after="120"/>
      </w:pPr>
    </w:p>
  </w:footnote>
  <w:footnote w:id="8">
    <w:p w:rsidR="00577C6E" w:rsidP="00415B1A" w14:paraId="09C48994" w14:textId="1F924221">
      <w:pPr>
        <w:pStyle w:val="FootnoteText"/>
        <w:spacing w:after="120"/>
      </w:pPr>
      <w:r>
        <w:rPr>
          <w:rStyle w:val="FootnoteReference"/>
        </w:rPr>
        <w:footnoteRef/>
      </w:r>
      <w:r>
        <w:t xml:space="preserve"> Ohio Adm. Code 4901-1-11(A)</w:t>
      </w:r>
      <w:r w:rsidR="00642405">
        <w:t>.</w:t>
      </w:r>
    </w:p>
  </w:footnote>
  <w:footnote w:id="9">
    <w:p w:rsidR="001017FF" w:rsidP="00415B1A" w14:paraId="6D738398" w14:textId="5D1D8CCA">
      <w:pPr>
        <w:pStyle w:val="FootnoteText"/>
        <w:spacing w:after="120"/>
      </w:pPr>
      <w:r>
        <w:rPr>
          <w:rStyle w:val="FootnoteReference"/>
        </w:rPr>
        <w:footnoteRef/>
      </w:r>
      <w:r>
        <w:t xml:space="preserve"> PALMco Memo Contra</w:t>
      </w:r>
      <w:r w:rsidR="006E6D5D">
        <w:t>,</w:t>
      </w:r>
      <w:r>
        <w:t xml:space="preserve"> at 5-6.</w:t>
      </w:r>
      <w:r w:rsidR="00687B8B">
        <w:t xml:space="preserve"> PALMco cites </w:t>
      </w:r>
      <w:r w:rsidR="00687B8B">
        <w:rPr>
          <w:i/>
          <w:iCs/>
        </w:rPr>
        <w:t>Office of Consumers’ Counsel v. Pub. Util. Comm.</w:t>
      </w:r>
      <w:r w:rsidR="00687B8B">
        <w:t>, 56 Ohio St.2d 220, 223 (1978), but nothing in that case stands for the proposition that OCC should be denied intervention in this proceeding.</w:t>
      </w:r>
    </w:p>
  </w:footnote>
  <w:footnote w:id="10">
    <w:p w:rsidR="001017FF" w:rsidP="00415B1A" w14:paraId="3626FF93" w14:textId="78240F92">
      <w:pPr>
        <w:pStyle w:val="FootnoteText"/>
        <w:spacing w:after="120"/>
      </w:pPr>
      <w:r>
        <w:rPr>
          <w:rStyle w:val="FootnoteReference"/>
        </w:rPr>
        <w:footnoteRef/>
      </w:r>
      <w:r>
        <w:t xml:space="preserve"> PALMco Memo Contra</w:t>
      </w:r>
      <w:r w:rsidR="006E6D5D">
        <w:t>,</w:t>
      </w:r>
      <w:r>
        <w:t xml:space="preserve"> at 6.</w:t>
      </w:r>
    </w:p>
  </w:footnote>
  <w:footnote w:id="11">
    <w:p w:rsidR="00577C6E" w:rsidRPr="00CF1DA3" w:rsidP="00415B1A" w14:paraId="3C9B8F29" w14:textId="1A765C69">
      <w:pPr>
        <w:pStyle w:val="FootnoteText"/>
        <w:spacing w:after="120"/>
      </w:pPr>
      <w:r>
        <w:rPr>
          <w:rStyle w:val="FootnoteReference"/>
        </w:rPr>
        <w:footnoteRef/>
      </w:r>
      <w:r>
        <w:t xml:space="preserve"> </w:t>
      </w:r>
      <w:r>
        <w:rPr>
          <w:i/>
          <w:iCs/>
        </w:rPr>
        <w:t>In the Matter of the Complaint of the Office of Consumers’ Counsel on Behalf of the Residents of Copley Village Condominium Association I and Copley Village Condominium Association II v. Ohio Edison Company</w:t>
      </w:r>
      <w:r>
        <w:t xml:space="preserve">, Case No. 89-1031-EL-CSS, 1989 Ohio PUC LEXIS 1100, *5. </w:t>
      </w:r>
      <w:r w:rsidR="00E67DCE">
        <w:t>(emphasis added).</w:t>
      </w:r>
    </w:p>
  </w:footnote>
  <w:footnote w:id="12">
    <w:p w:rsidR="00511807" w:rsidP="00415B1A" w14:paraId="6261B97B" w14:textId="49C3F219">
      <w:pPr>
        <w:pStyle w:val="FootnoteText"/>
        <w:spacing w:after="120"/>
      </w:pPr>
      <w:r>
        <w:rPr>
          <w:rStyle w:val="FootnoteReference"/>
        </w:rPr>
        <w:footnoteRef/>
      </w:r>
      <w:r>
        <w:t xml:space="preserve"> R.C. 4911.02(B).</w:t>
      </w:r>
    </w:p>
  </w:footnote>
  <w:footnote w:id="13">
    <w:p w:rsidR="00E67DCE" w:rsidP="00415B1A" w14:paraId="2C9B532E" w14:textId="51AF0077">
      <w:pPr>
        <w:pStyle w:val="FootnoteText"/>
        <w:spacing w:after="120"/>
      </w:pPr>
      <w:r>
        <w:rPr>
          <w:rStyle w:val="FootnoteReference"/>
        </w:rPr>
        <w:footnoteRef/>
      </w:r>
      <w:r>
        <w:t xml:space="preserve"> </w:t>
      </w:r>
      <w:r>
        <w:rPr>
          <w:i/>
          <w:iCs/>
        </w:rPr>
        <w:t>See In the Matter of the Complaint of Jeffrey Pitzer v. Duke Energy Ohio, Inc.</w:t>
      </w:r>
      <w:r>
        <w:t>, Case No. 15-298-GE-CSS, Entry (July 10, 2015)</w:t>
      </w:r>
      <w:r w:rsidR="00C158A5">
        <w:t>.</w:t>
      </w:r>
    </w:p>
  </w:footnote>
  <w:footnote w:id="14">
    <w:p w:rsidR="00577C6E" w:rsidP="00415B1A" w14:paraId="3C540A73" w14:textId="6825DD06">
      <w:pPr>
        <w:pStyle w:val="FootnoteText"/>
        <w:spacing w:after="120"/>
      </w:pPr>
      <w:r>
        <w:rPr>
          <w:rStyle w:val="FootnoteReference"/>
        </w:rPr>
        <w:footnoteRef/>
      </w:r>
      <w:r>
        <w:t xml:space="preserve"> PALMco Memo Contra</w:t>
      </w:r>
      <w:r w:rsidR="006E6D5D">
        <w:t>,</w:t>
      </w:r>
      <w:r>
        <w:t xml:space="preserve"> at 5-6.</w:t>
      </w:r>
    </w:p>
  </w:footnote>
  <w:footnote w:id="15">
    <w:p w:rsidR="00AF4ED6" w:rsidRPr="00AF4ED6" w:rsidP="00415B1A" w14:paraId="0C01ACF1" w14:textId="0F9D2951">
      <w:pPr>
        <w:pStyle w:val="FootnoteText"/>
        <w:spacing w:after="120"/>
      </w:pPr>
      <w:r>
        <w:rPr>
          <w:rStyle w:val="FootnoteReference"/>
        </w:rPr>
        <w:footnoteRef/>
      </w:r>
      <w:r>
        <w:t xml:space="preserve"> </w:t>
      </w:r>
      <w:r w:rsidR="006E6D5D">
        <w:t xml:space="preserve">PALMco Memo Contra, </w:t>
      </w:r>
      <w:r>
        <w:t>at 4.</w:t>
      </w:r>
    </w:p>
  </w:footnote>
  <w:footnote w:id="16">
    <w:p w:rsidR="00174D12" w:rsidP="00415B1A" w14:paraId="54EAE782" w14:textId="41B1C254">
      <w:pPr>
        <w:pStyle w:val="FootnoteText"/>
        <w:spacing w:after="120"/>
      </w:pPr>
      <w:r>
        <w:rPr>
          <w:rStyle w:val="FootnoteReference"/>
        </w:rPr>
        <w:footnoteRef/>
      </w:r>
      <w:r>
        <w:t xml:space="preserve"> Staff Report</w:t>
      </w:r>
      <w:r w:rsidR="006E6D5D">
        <w:t>,</w:t>
      </w:r>
      <w:r w:rsidR="00EC666F">
        <w:t xml:space="preserve"> </w:t>
      </w:r>
      <w:r>
        <w:t>at 17, 19</w:t>
      </w:r>
      <w:r w:rsidR="006E6D5D">
        <w:t xml:space="preserve"> (emphasis added)</w:t>
      </w:r>
      <w:r>
        <w:t>.</w:t>
      </w:r>
    </w:p>
  </w:footnote>
  <w:footnote w:id="17">
    <w:p w:rsidR="00D90FA2" w:rsidP="00415B1A" w14:paraId="7841C451" w14:textId="6EED9F4F">
      <w:pPr>
        <w:pStyle w:val="FootnoteText"/>
        <w:spacing w:after="120"/>
      </w:pPr>
      <w:r>
        <w:rPr>
          <w:rStyle w:val="FootnoteReference"/>
        </w:rPr>
        <w:footnoteRef/>
      </w:r>
      <w:r>
        <w:t xml:space="preserve"> PUCO Staff Letter (Dec. 16, 2019).</w:t>
      </w:r>
    </w:p>
  </w:footnote>
  <w:footnote w:id="18">
    <w:p w:rsidR="0030616B" w:rsidP="00415B1A" w14:paraId="198A6607" w14:textId="2D057C4E">
      <w:pPr>
        <w:pStyle w:val="FootnoteText"/>
        <w:spacing w:after="120"/>
      </w:pPr>
      <w:r>
        <w:rPr>
          <w:rStyle w:val="FootnoteReference"/>
        </w:rPr>
        <w:footnoteRef/>
      </w:r>
      <w:r>
        <w:t xml:space="preserve"> PALMco Memo Contra</w:t>
      </w:r>
      <w:r w:rsidR="006E6D5D">
        <w:t>,</w:t>
      </w:r>
      <w:r w:rsidR="00EC666F">
        <w:t xml:space="preserve"> </w:t>
      </w:r>
      <w:r>
        <w:t>at 4.</w:t>
      </w:r>
    </w:p>
  </w:footnote>
  <w:footnote w:id="19">
    <w:p w:rsidR="00C0712A" w:rsidP="00415B1A" w14:paraId="6D3C6BBF" w14:textId="467E97AC">
      <w:pPr>
        <w:pStyle w:val="FootnoteText"/>
        <w:spacing w:after="120"/>
      </w:pPr>
      <w:r>
        <w:rPr>
          <w:rStyle w:val="FootnoteReference"/>
        </w:rPr>
        <w:footnoteRef/>
      </w:r>
      <w:r>
        <w:t xml:space="preserve"> PALMco Memo Contra</w:t>
      </w:r>
      <w:r w:rsidR="006E6D5D">
        <w:t>,</w:t>
      </w:r>
      <w:r>
        <w:t xml:space="preserve"> at 4-5.</w:t>
      </w:r>
    </w:p>
  </w:footnote>
  <w:footnote w:id="20">
    <w:p w:rsidR="000524E0" w:rsidP="00415B1A" w14:paraId="6951A8DA" w14:textId="40227EFB">
      <w:pPr>
        <w:pStyle w:val="FootnoteText"/>
        <w:spacing w:after="120"/>
      </w:pPr>
      <w:r>
        <w:rPr>
          <w:rStyle w:val="FootnoteReference"/>
        </w:rPr>
        <w:footnoteRef/>
      </w:r>
      <w:r>
        <w:t xml:space="preserve"> Staff Report</w:t>
      </w:r>
      <w:r w:rsidR="006E6D5D">
        <w:t>,</w:t>
      </w:r>
      <w:r w:rsidR="00EC666F">
        <w:t xml:space="preserve"> </w:t>
      </w:r>
      <w:r>
        <w:t>at 18.</w:t>
      </w:r>
    </w:p>
  </w:footnote>
  <w:footnote w:id="21">
    <w:p w:rsidR="00C0712A" w:rsidRPr="00D30B26" w:rsidP="00415B1A" w14:paraId="7634A213" w14:textId="0F2C5DEB">
      <w:pPr>
        <w:pStyle w:val="FootnoteText"/>
        <w:spacing w:after="120"/>
      </w:pPr>
      <w:r>
        <w:rPr>
          <w:rStyle w:val="FootnoteReference"/>
        </w:rPr>
        <w:footnoteRef/>
      </w:r>
      <w:r>
        <w:t xml:space="preserve"> </w:t>
      </w:r>
      <w:r>
        <w:rPr>
          <w:i/>
          <w:iCs/>
        </w:rPr>
        <w:t xml:space="preserve">See </w:t>
      </w:r>
      <w:r>
        <w:t>OCC Motion,</w:t>
      </w:r>
      <w:r w:rsidR="001467EE">
        <w:t xml:space="preserve"> Memorandum in Support</w:t>
      </w:r>
      <w:r w:rsidR="006E6D5D">
        <w:t>,</w:t>
      </w:r>
      <w:r>
        <w:t xml:space="preserve"> at</w:t>
      </w:r>
      <w:r w:rsidR="001467EE">
        <w:t xml:space="preserve"> 3</w:t>
      </w:r>
      <w:r>
        <w:t>.</w:t>
      </w:r>
    </w:p>
  </w:footnote>
  <w:footnote w:id="22">
    <w:p w:rsidR="00822AAC" w:rsidP="00415B1A" w14:paraId="38204FEB" w14:textId="341BAC21">
      <w:pPr>
        <w:pStyle w:val="FootnoteText"/>
        <w:spacing w:after="120"/>
      </w:pPr>
      <w:r>
        <w:rPr>
          <w:rStyle w:val="FootnoteReference"/>
        </w:rPr>
        <w:footnoteRef/>
      </w:r>
      <w:r>
        <w:t xml:space="preserve"> PALMco Memo Contra</w:t>
      </w:r>
      <w:r w:rsidR="006E6D5D">
        <w:t>,</w:t>
      </w:r>
      <w:r w:rsidR="00EC666F">
        <w:t xml:space="preserve"> </w:t>
      </w:r>
      <w:r>
        <w:t>at 5</w:t>
      </w:r>
      <w:r w:rsidR="00EC666F">
        <w:t>.</w:t>
      </w:r>
    </w:p>
  </w:footnote>
  <w:footnote w:id="23">
    <w:p w:rsidR="00766074" w:rsidP="00415B1A" w14:paraId="4BF9D138" w14:textId="45FAE794">
      <w:pPr>
        <w:pStyle w:val="FootnoteText"/>
        <w:spacing w:after="120"/>
      </w:pPr>
      <w:r>
        <w:rPr>
          <w:rStyle w:val="FootnoteReference"/>
        </w:rPr>
        <w:footnoteRef/>
      </w:r>
      <w:r>
        <w:t xml:space="preserve"> PALMco Memo Contra</w:t>
      </w:r>
      <w:r w:rsidR="006E6D5D">
        <w:t>,</w:t>
      </w:r>
      <w:r>
        <w:t xml:space="preserve"> at 2.</w:t>
      </w:r>
    </w:p>
  </w:footnote>
  <w:footnote w:id="24">
    <w:p w:rsidR="00DC19F4" w:rsidP="00415B1A" w14:paraId="04B4C1AF" w14:textId="136001F5">
      <w:pPr>
        <w:pStyle w:val="FootnoteText"/>
        <w:spacing w:after="120"/>
      </w:pPr>
      <w:r>
        <w:rPr>
          <w:rStyle w:val="FootnoteReference"/>
        </w:rPr>
        <w:footnoteRef/>
      </w:r>
      <w:r>
        <w:t xml:space="preserve"> </w:t>
      </w:r>
      <w:r w:rsidR="00463BF8">
        <w:t>OCC Motion, Memorandum in Support</w:t>
      </w:r>
      <w:r w:rsidR="006E6D5D">
        <w:t>,</w:t>
      </w:r>
      <w:r w:rsidR="00463BF8">
        <w:t xml:space="preserve"> at 4-5.</w:t>
      </w:r>
    </w:p>
  </w:footnote>
  <w:footnote w:id="25">
    <w:p w:rsidR="004C1B77" w:rsidP="00415B1A" w14:paraId="48E57736" w14:textId="282DD0E6">
      <w:pPr>
        <w:pStyle w:val="FootnoteText"/>
        <w:spacing w:after="120"/>
      </w:pPr>
      <w:r>
        <w:rPr>
          <w:rStyle w:val="FootnoteReference"/>
        </w:rPr>
        <w:footnoteRef/>
      </w:r>
      <w:r>
        <w:t xml:space="preserve"> R.C. 4928.02(A) (emphasis added).</w:t>
      </w:r>
    </w:p>
  </w:footnote>
  <w:footnote w:id="26">
    <w:p w:rsidR="004C1B77" w:rsidP="00415B1A" w14:paraId="261B3A52" w14:textId="77777777">
      <w:pPr>
        <w:pStyle w:val="FootnoteText"/>
        <w:spacing w:after="120"/>
      </w:pPr>
      <w:r>
        <w:rPr>
          <w:rStyle w:val="FootnoteReference"/>
        </w:rPr>
        <w:footnoteRef/>
      </w:r>
      <w:r>
        <w:t xml:space="preserve"> R.C. 4929.02(A)(1) (emphasis added).</w:t>
      </w:r>
    </w:p>
    <w:p w:rsidR="004C1B77" w:rsidP="00415B1A" w14:paraId="7D991E3F" w14:textId="77777777">
      <w:pPr>
        <w:pStyle w:val="FootnoteText"/>
        <w:spacing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666F" w14:paraId="14027AA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56AA" w14:paraId="62F15CC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42405" w14:paraId="294DD93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313817"/>
    <w:multiLevelType w:val="hybridMultilevel"/>
    <w:tmpl w:val="453EDB8E"/>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F805C31"/>
    <w:multiLevelType w:val="hybridMultilevel"/>
    <w:tmpl w:val="4874126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946555C"/>
    <w:multiLevelType w:val="hybridMultilevel"/>
    <w:tmpl w:val="610EBC6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3A3595C"/>
    <w:multiLevelType w:val="hybridMultilevel"/>
    <w:tmpl w:val="5CDCBFC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046284"/>
    <w:multiLevelType w:val="hybridMultilevel"/>
    <w:tmpl w:val="4C5E314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FF0C59"/>
    <w:multiLevelType w:val="hybridMultilevel"/>
    <w:tmpl w:val="6CE4FD2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D4F4496"/>
    <w:multiLevelType w:val="hybridMultilevel"/>
    <w:tmpl w:val="32E6EAA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5F0B67DB"/>
    <w:multiLevelType w:val="hybridMultilevel"/>
    <w:tmpl w:val="7EA640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3">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4">
    <w:nsid w:val="794F198A"/>
    <w:multiLevelType w:val="hybridMultilevel"/>
    <w:tmpl w:val="6CE4FD2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9"/>
  </w:num>
  <w:num w:numId="2">
    <w:abstractNumId w:val="8"/>
  </w:num>
  <w:num w:numId="3">
    <w:abstractNumId w:val="12"/>
  </w:num>
  <w:num w:numId="4">
    <w:abstractNumId w:val="11"/>
  </w:num>
  <w:num w:numId="5">
    <w:abstractNumId w:val="1"/>
  </w:num>
  <w:num w:numId="6">
    <w:abstractNumId w:val="13"/>
  </w:num>
  <w:num w:numId="7">
    <w:abstractNumId w:val="3"/>
  </w:num>
  <w:num w:numId="8">
    <w:abstractNumId w:val="10"/>
  </w:num>
  <w:num w:numId="9">
    <w:abstractNumId w:val="5"/>
  </w:num>
  <w:num w:numId="10">
    <w:abstractNumId w:val="0"/>
  </w:num>
  <w:num w:numId="11">
    <w:abstractNumId w:val="7"/>
  </w:num>
  <w:num w:numId="12">
    <w:abstractNumId w:val="2"/>
  </w:num>
  <w:num w:numId="13">
    <w:abstractNumId w:val="14"/>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09"/>
    <w:rsid w:val="0000110D"/>
    <w:rsid w:val="000039FF"/>
    <w:rsid w:val="00016647"/>
    <w:rsid w:val="000202BF"/>
    <w:rsid w:val="00022148"/>
    <w:rsid w:val="00027501"/>
    <w:rsid w:val="00034CD8"/>
    <w:rsid w:val="000524E0"/>
    <w:rsid w:val="000578A2"/>
    <w:rsid w:val="000635F2"/>
    <w:rsid w:val="0006609A"/>
    <w:rsid w:val="00066CF9"/>
    <w:rsid w:val="000671F2"/>
    <w:rsid w:val="00091197"/>
    <w:rsid w:val="00091BC7"/>
    <w:rsid w:val="000925F8"/>
    <w:rsid w:val="000A0D13"/>
    <w:rsid w:val="000A3B40"/>
    <w:rsid w:val="000A3CAF"/>
    <w:rsid w:val="000A469D"/>
    <w:rsid w:val="000B1BB1"/>
    <w:rsid w:val="000B7ED7"/>
    <w:rsid w:val="000C49E0"/>
    <w:rsid w:val="000E3CF4"/>
    <w:rsid w:val="000E6C64"/>
    <w:rsid w:val="000F0366"/>
    <w:rsid w:val="000F389B"/>
    <w:rsid w:val="000F5572"/>
    <w:rsid w:val="001017FF"/>
    <w:rsid w:val="00106466"/>
    <w:rsid w:val="001077B5"/>
    <w:rsid w:val="00107DE7"/>
    <w:rsid w:val="00110037"/>
    <w:rsid w:val="001101EE"/>
    <w:rsid w:val="00114114"/>
    <w:rsid w:val="001151B9"/>
    <w:rsid w:val="001233CD"/>
    <w:rsid w:val="001239CE"/>
    <w:rsid w:val="00124E2D"/>
    <w:rsid w:val="00131AF0"/>
    <w:rsid w:val="00131EDB"/>
    <w:rsid w:val="00134990"/>
    <w:rsid w:val="001467EE"/>
    <w:rsid w:val="00151C2D"/>
    <w:rsid w:val="00160EA7"/>
    <w:rsid w:val="00162941"/>
    <w:rsid w:val="00163C30"/>
    <w:rsid w:val="00165BE8"/>
    <w:rsid w:val="00170460"/>
    <w:rsid w:val="00174D12"/>
    <w:rsid w:val="001836F7"/>
    <w:rsid w:val="001941E0"/>
    <w:rsid w:val="001948AF"/>
    <w:rsid w:val="001974F7"/>
    <w:rsid w:val="001A32B9"/>
    <w:rsid w:val="001A5616"/>
    <w:rsid w:val="001A7091"/>
    <w:rsid w:val="001A7452"/>
    <w:rsid w:val="001B2ADD"/>
    <w:rsid w:val="001B409B"/>
    <w:rsid w:val="001C2403"/>
    <w:rsid w:val="001C5EA5"/>
    <w:rsid w:val="001D3793"/>
    <w:rsid w:val="001E73A3"/>
    <w:rsid w:val="001F372C"/>
    <w:rsid w:val="0020516E"/>
    <w:rsid w:val="00206E19"/>
    <w:rsid w:val="00210D25"/>
    <w:rsid w:val="00216EDE"/>
    <w:rsid w:val="00220694"/>
    <w:rsid w:val="00225741"/>
    <w:rsid w:val="00231BA4"/>
    <w:rsid w:val="00240621"/>
    <w:rsid w:val="002422D0"/>
    <w:rsid w:val="0024468E"/>
    <w:rsid w:val="00247F58"/>
    <w:rsid w:val="00260432"/>
    <w:rsid w:val="002622B5"/>
    <w:rsid w:val="00262528"/>
    <w:rsid w:val="00263991"/>
    <w:rsid w:val="00272A47"/>
    <w:rsid w:val="00274DC4"/>
    <w:rsid w:val="002750A5"/>
    <w:rsid w:val="00276DF1"/>
    <w:rsid w:val="002803A7"/>
    <w:rsid w:val="0029380D"/>
    <w:rsid w:val="00294557"/>
    <w:rsid w:val="00295113"/>
    <w:rsid w:val="002957C4"/>
    <w:rsid w:val="002A2129"/>
    <w:rsid w:val="002A4452"/>
    <w:rsid w:val="002A715F"/>
    <w:rsid w:val="002B08BF"/>
    <w:rsid w:val="002B3605"/>
    <w:rsid w:val="002C2434"/>
    <w:rsid w:val="002C40AA"/>
    <w:rsid w:val="002C4F13"/>
    <w:rsid w:val="002D185D"/>
    <w:rsid w:val="002E1127"/>
    <w:rsid w:val="002E17C2"/>
    <w:rsid w:val="002E4553"/>
    <w:rsid w:val="002F3162"/>
    <w:rsid w:val="002F59DA"/>
    <w:rsid w:val="002F5E90"/>
    <w:rsid w:val="0030206E"/>
    <w:rsid w:val="0030616B"/>
    <w:rsid w:val="003122E4"/>
    <w:rsid w:val="003346CD"/>
    <w:rsid w:val="00337645"/>
    <w:rsid w:val="00337FD0"/>
    <w:rsid w:val="00340F51"/>
    <w:rsid w:val="0034156F"/>
    <w:rsid w:val="00344050"/>
    <w:rsid w:val="00344F44"/>
    <w:rsid w:val="0035237D"/>
    <w:rsid w:val="00362EB8"/>
    <w:rsid w:val="00365412"/>
    <w:rsid w:val="003837A6"/>
    <w:rsid w:val="00391638"/>
    <w:rsid w:val="00397CD8"/>
    <w:rsid w:val="00397F54"/>
    <w:rsid w:val="003A42F4"/>
    <w:rsid w:val="003B1A4B"/>
    <w:rsid w:val="003C67FD"/>
    <w:rsid w:val="003D715D"/>
    <w:rsid w:val="003E2634"/>
    <w:rsid w:val="003F1EB8"/>
    <w:rsid w:val="003F44AC"/>
    <w:rsid w:val="003F4844"/>
    <w:rsid w:val="003F7530"/>
    <w:rsid w:val="00400B5C"/>
    <w:rsid w:val="00413A2B"/>
    <w:rsid w:val="0041483E"/>
    <w:rsid w:val="00415B1A"/>
    <w:rsid w:val="004172B8"/>
    <w:rsid w:val="00417BBC"/>
    <w:rsid w:val="00424A92"/>
    <w:rsid w:val="004317F7"/>
    <w:rsid w:val="00435C69"/>
    <w:rsid w:val="004535A2"/>
    <w:rsid w:val="0045416D"/>
    <w:rsid w:val="00457D1C"/>
    <w:rsid w:val="004603BD"/>
    <w:rsid w:val="00463BF8"/>
    <w:rsid w:val="004719C4"/>
    <w:rsid w:val="00473351"/>
    <w:rsid w:val="004829D6"/>
    <w:rsid w:val="00484B09"/>
    <w:rsid w:val="0049109A"/>
    <w:rsid w:val="0049214A"/>
    <w:rsid w:val="004A22C8"/>
    <w:rsid w:val="004A3D04"/>
    <w:rsid w:val="004A62F4"/>
    <w:rsid w:val="004A66B6"/>
    <w:rsid w:val="004A6984"/>
    <w:rsid w:val="004A6EE2"/>
    <w:rsid w:val="004B1662"/>
    <w:rsid w:val="004B17F3"/>
    <w:rsid w:val="004B69AE"/>
    <w:rsid w:val="004B7901"/>
    <w:rsid w:val="004C070C"/>
    <w:rsid w:val="004C0B58"/>
    <w:rsid w:val="004C1B77"/>
    <w:rsid w:val="004D4C9B"/>
    <w:rsid w:val="004E1D79"/>
    <w:rsid w:val="004E44F4"/>
    <w:rsid w:val="004E7041"/>
    <w:rsid w:val="004E7DFC"/>
    <w:rsid w:val="004F73E5"/>
    <w:rsid w:val="00500B79"/>
    <w:rsid w:val="00501550"/>
    <w:rsid w:val="00501992"/>
    <w:rsid w:val="00503056"/>
    <w:rsid w:val="00511807"/>
    <w:rsid w:val="00511FA9"/>
    <w:rsid w:val="00526FC5"/>
    <w:rsid w:val="005356D7"/>
    <w:rsid w:val="00543D32"/>
    <w:rsid w:val="00544F0C"/>
    <w:rsid w:val="0054563D"/>
    <w:rsid w:val="00553AEB"/>
    <w:rsid w:val="005547C6"/>
    <w:rsid w:val="0056206C"/>
    <w:rsid w:val="005637DC"/>
    <w:rsid w:val="00566CF1"/>
    <w:rsid w:val="00577318"/>
    <w:rsid w:val="00577C6E"/>
    <w:rsid w:val="00586ED4"/>
    <w:rsid w:val="0059231F"/>
    <w:rsid w:val="0059283C"/>
    <w:rsid w:val="00593F41"/>
    <w:rsid w:val="00594E90"/>
    <w:rsid w:val="005961A7"/>
    <w:rsid w:val="005A19C2"/>
    <w:rsid w:val="005A4C7E"/>
    <w:rsid w:val="005A6DBC"/>
    <w:rsid w:val="005B331B"/>
    <w:rsid w:val="005B6B86"/>
    <w:rsid w:val="005D3F48"/>
    <w:rsid w:val="005D4737"/>
    <w:rsid w:val="005F1B61"/>
    <w:rsid w:val="005F1BA0"/>
    <w:rsid w:val="005F2298"/>
    <w:rsid w:val="00603277"/>
    <w:rsid w:val="0060598B"/>
    <w:rsid w:val="00606D17"/>
    <w:rsid w:val="00611649"/>
    <w:rsid w:val="00614222"/>
    <w:rsid w:val="00614F1F"/>
    <w:rsid w:val="00615CAC"/>
    <w:rsid w:val="00615F55"/>
    <w:rsid w:val="00623BD0"/>
    <w:rsid w:val="006309C5"/>
    <w:rsid w:val="006357DA"/>
    <w:rsid w:val="006416B6"/>
    <w:rsid w:val="00641FA9"/>
    <w:rsid w:val="00642405"/>
    <w:rsid w:val="0064320C"/>
    <w:rsid w:val="006453F7"/>
    <w:rsid w:val="00646111"/>
    <w:rsid w:val="006511C0"/>
    <w:rsid w:val="0065689A"/>
    <w:rsid w:val="006629C4"/>
    <w:rsid w:val="00665C0A"/>
    <w:rsid w:val="006672FD"/>
    <w:rsid w:val="00670895"/>
    <w:rsid w:val="00677B52"/>
    <w:rsid w:val="00683224"/>
    <w:rsid w:val="006859F7"/>
    <w:rsid w:val="00685CF7"/>
    <w:rsid w:val="00687B8B"/>
    <w:rsid w:val="00690646"/>
    <w:rsid w:val="006917C6"/>
    <w:rsid w:val="00694B2A"/>
    <w:rsid w:val="006A1716"/>
    <w:rsid w:val="006A3710"/>
    <w:rsid w:val="006A37D6"/>
    <w:rsid w:val="006B3CF6"/>
    <w:rsid w:val="006B450E"/>
    <w:rsid w:val="006B764D"/>
    <w:rsid w:val="006C2ACB"/>
    <w:rsid w:val="006D3179"/>
    <w:rsid w:val="006D4759"/>
    <w:rsid w:val="006D5580"/>
    <w:rsid w:val="006E569F"/>
    <w:rsid w:val="006E6D5D"/>
    <w:rsid w:val="006F29E2"/>
    <w:rsid w:val="006F5202"/>
    <w:rsid w:val="00700FB1"/>
    <w:rsid w:val="0070178C"/>
    <w:rsid w:val="007115BE"/>
    <w:rsid w:val="00711BAE"/>
    <w:rsid w:val="00716257"/>
    <w:rsid w:val="007212A9"/>
    <w:rsid w:val="00721F9A"/>
    <w:rsid w:val="00731B26"/>
    <w:rsid w:val="007320F8"/>
    <w:rsid w:val="0073422D"/>
    <w:rsid w:val="0073453E"/>
    <w:rsid w:val="007528C2"/>
    <w:rsid w:val="0076595D"/>
    <w:rsid w:val="00766074"/>
    <w:rsid w:val="00775A93"/>
    <w:rsid w:val="0077658D"/>
    <w:rsid w:val="00782AB2"/>
    <w:rsid w:val="00785146"/>
    <w:rsid w:val="00786590"/>
    <w:rsid w:val="00791135"/>
    <w:rsid w:val="007912E0"/>
    <w:rsid w:val="00791807"/>
    <w:rsid w:val="007A7029"/>
    <w:rsid w:val="007A7105"/>
    <w:rsid w:val="007B068C"/>
    <w:rsid w:val="007B390B"/>
    <w:rsid w:val="007B3AF6"/>
    <w:rsid w:val="007C14AA"/>
    <w:rsid w:val="007C560A"/>
    <w:rsid w:val="007D295A"/>
    <w:rsid w:val="007D543C"/>
    <w:rsid w:val="007D5AE5"/>
    <w:rsid w:val="007E2879"/>
    <w:rsid w:val="007E4AE3"/>
    <w:rsid w:val="007F08CC"/>
    <w:rsid w:val="007F2CC1"/>
    <w:rsid w:val="007F48D4"/>
    <w:rsid w:val="008001E5"/>
    <w:rsid w:val="00804E49"/>
    <w:rsid w:val="00805AD1"/>
    <w:rsid w:val="00805F1D"/>
    <w:rsid w:val="0080746E"/>
    <w:rsid w:val="00807AD7"/>
    <w:rsid w:val="00810BAE"/>
    <w:rsid w:val="00812AC8"/>
    <w:rsid w:val="00813CC3"/>
    <w:rsid w:val="00814057"/>
    <w:rsid w:val="008141BB"/>
    <w:rsid w:val="008148F4"/>
    <w:rsid w:val="0081674B"/>
    <w:rsid w:val="00820F8F"/>
    <w:rsid w:val="00822497"/>
    <w:rsid w:val="00822AAC"/>
    <w:rsid w:val="00823B23"/>
    <w:rsid w:val="0082794D"/>
    <w:rsid w:val="008310ED"/>
    <w:rsid w:val="00832191"/>
    <w:rsid w:val="0083259F"/>
    <w:rsid w:val="0083591F"/>
    <w:rsid w:val="00837DD4"/>
    <w:rsid w:val="00851376"/>
    <w:rsid w:val="00854068"/>
    <w:rsid w:val="00861214"/>
    <w:rsid w:val="0086369F"/>
    <w:rsid w:val="0086417B"/>
    <w:rsid w:val="00864D76"/>
    <w:rsid w:val="00865ACA"/>
    <w:rsid w:val="008673F7"/>
    <w:rsid w:val="00887AF3"/>
    <w:rsid w:val="008904E7"/>
    <w:rsid w:val="00891815"/>
    <w:rsid w:val="0089369B"/>
    <w:rsid w:val="00894375"/>
    <w:rsid w:val="0089543E"/>
    <w:rsid w:val="00897771"/>
    <w:rsid w:val="008A0C72"/>
    <w:rsid w:val="008A5565"/>
    <w:rsid w:val="008A66E7"/>
    <w:rsid w:val="008B68AF"/>
    <w:rsid w:val="008C52F2"/>
    <w:rsid w:val="008C6A81"/>
    <w:rsid w:val="008D33BD"/>
    <w:rsid w:val="008D5052"/>
    <w:rsid w:val="008E047C"/>
    <w:rsid w:val="008E0F30"/>
    <w:rsid w:val="008F18E5"/>
    <w:rsid w:val="008F6A9C"/>
    <w:rsid w:val="008F7E3B"/>
    <w:rsid w:val="00901A32"/>
    <w:rsid w:val="00903CA0"/>
    <w:rsid w:val="0091218E"/>
    <w:rsid w:val="0091434C"/>
    <w:rsid w:val="009151CC"/>
    <w:rsid w:val="009178AF"/>
    <w:rsid w:val="00926762"/>
    <w:rsid w:val="009355FB"/>
    <w:rsid w:val="00936654"/>
    <w:rsid w:val="00940257"/>
    <w:rsid w:val="0094339C"/>
    <w:rsid w:val="009472C8"/>
    <w:rsid w:val="00950F66"/>
    <w:rsid w:val="0095154B"/>
    <w:rsid w:val="00952D50"/>
    <w:rsid w:val="00962A84"/>
    <w:rsid w:val="009679FE"/>
    <w:rsid w:val="00972433"/>
    <w:rsid w:val="00973CAE"/>
    <w:rsid w:val="00975160"/>
    <w:rsid w:val="00984CE1"/>
    <w:rsid w:val="0098629F"/>
    <w:rsid w:val="0099289D"/>
    <w:rsid w:val="009A4FA3"/>
    <w:rsid w:val="009B4E2A"/>
    <w:rsid w:val="009B54A0"/>
    <w:rsid w:val="009C7F6C"/>
    <w:rsid w:val="009D084F"/>
    <w:rsid w:val="009D274E"/>
    <w:rsid w:val="009D2D53"/>
    <w:rsid w:val="009E015E"/>
    <w:rsid w:val="009E09EC"/>
    <w:rsid w:val="00A001C4"/>
    <w:rsid w:val="00A044B5"/>
    <w:rsid w:val="00A1018F"/>
    <w:rsid w:val="00A10D8D"/>
    <w:rsid w:val="00A10E45"/>
    <w:rsid w:val="00A157AA"/>
    <w:rsid w:val="00A15EEC"/>
    <w:rsid w:val="00A1707B"/>
    <w:rsid w:val="00A23E08"/>
    <w:rsid w:val="00A25065"/>
    <w:rsid w:val="00A267FA"/>
    <w:rsid w:val="00A31B5F"/>
    <w:rsid w:val="00A359A7"/>
    <w:rsid w:val="00A46FA3"/>
    <w:rsid w:val="00A53528"/>
    <w:rsid w:val="00A53900"/>
    <w:rsid w:val="00A567AB"/>
    <w:rsid w:val="00A571F3"/>
    <w:rsid w:val="00A64A19"/>
    <w:rsid w:val="00A65C52"/>
    <w:rsid w:val="00A706F6"/>
    <w:rsid w:val="00A709F3"/>
    <w:rsid w:val="00A7519A"/>
    <w:rsid w:val="00A76714"/>
    <w:rsid w:val="00A85684"/>
    <w:rsid w:val="00A94909"/>
    <w:rsid w:val="00A94F44"/>
    <w:rsid w:val="00AA31FB"/>
    <w:rsid w:val="00AA7BFC"/>
    <w:rsid w:val="00AB4CFB"/>
    <w:rsid w:val="00AC4753"/>
    <w:rsid w:val="00AC5D23"/>
    <w:rsid w:val="00AC71FF"/>
    <w:rsid w:val="00AD45A5"/>
    <w:rsid w:val="00AE551A"/>
    <w:rsid w:val="00AF1EB7"/>
    <w:rsid w:val="00AF2BFD"/>
    <w:rsid w:val="00AF2D1E"/>
    <w:rsid w:val="00AF4ED6"/>
    <w:rsid w:val="00B01B51"/>
    <w:rsid w:val="00B05B8A"/>
    <w:rsid w:val="00B12DCB"/>
    <w:rsid w:val="00B14A80"/>
    <w:rsid w:val="00B160ED"/>
    <w:rsid w:val="00B379B2"/>
    <w:rsid w:val="00B42956"/>
    <w:rsid w:val="00B44311"/>
    <w:rsid w:val="00B44F6F"/>
    <w:rsid w:val="00B52F65"/>
    <w:rsid w:val="00B530FD"/>
    <w:rsid w:val="00B559AA"/>
    <w:rsid w:val="00B610EB"/>
    <w:rsid w:val="00B6528E"/>
    <w:rsid w:val="00B65A3A"/>
    <w:rsid w:val="00B65FA1"/>
    <w:rsid w:val="00B720BD"/>
    <w:rsid w:val="00B8388D"/>
    <w:rsid w:val="00B86E90"/>
    <w:rsid w:val="00B87DBE"/>
    <w:rsid w:val="00B9438A"/>
    <w:rsid w:val="00B958B3"/>
    <w:rsid w:val="00BA4A41"/>
    <w:rsid w:val="00BA4DC1"/>
    <w:rsid w:val="00BB5292"/>
    <w:rsid w:val="00BB6F7A"/>
    <w:rsid w:val="00BC300C"/>
    <w:rsid w:val="00BC5A8B"/>
    <w:rsid w:val="00BC5B2C"/>
    <w:rsid w:val="00BC7D43"/>
    <w:rsid w:val="00BD6A6D"/>
    <w:rsid w:val="00BE3175"/>
    <w:rsid w:val="00BE7BD8"/>
    <w:rsid w:val="00BF33A8"/>
    <w:rsid w:val="00BF3703"/>
    <w:rsid w:val="00C00484"/>
    <w:rsid w:val="00C004D0"/>
    <w:rsid w:val="00C01F43"/>
    <w:rsid w:val="00C0712A"/>
    <w:rsid w:val="00C12096"/>
    <w:rsid w:val="00C158A5"/>
    <w:rsid w:val="00C20A2A"/>
    <w:rsid w:val="00C35C7E"/>
    <w:rsid w:val="00C417D8"/>
    <w:rsid w:val="00C50C5C"/>
    <w:rsid w:val="00C50CDA"/>
    <w:rsid w:val="00C5249B"/>
    <w:rsid w:val="00C616A6"/>
    <w:rsid w:val="00C635CD"/>
    <w:rsid w:val="00C65EDA"/>
    <w:rsid w:val="00C82B81"/>
    <w:rsid w:val="00C83423"/>
    <w:rsid w:val="00C8566B"/>
    <w:rsid w:val="00C870BA"/>
    <w:rsid w:val="00C87E9D"/>
    <w:rsid w:val="00C9264C"/>
    <w:rsid w:val="00C94C4B"/>
    <w:rsid w:val="00C95C1A"/>
    <w:rsid w:val="00CA57EB"/>
    <w:rsid w:val="00CA6832"/>
    <w:rsid w:val="00CA705B"/>
    <w:rsid w:val="00CB0190"/>
    <w:rsid w:val="00CB2035"/>
    <w:rsid w:val="00CC1C0B"/>
    <w:rsid w:val="00CC1D7D"/>
    <w:rsid w:val="00CD75C5"/>
    <w:rsid w:val="00CE436B"/>
    <w:rsid w:val="00CE7CA5"/>
    <w:rsid w:val="00CF1DA3"/>
    <w:rsid w:val="00D03BB2"/>
    <w:rsid w:val="00D107F1"/>
    <w:rsid w:val="00D124EB"/>
    <w:rsid w:val="00D25518"/>
    <w:rsid w:val="00D30B26"/>
    <w:rsid w:val="00D3334C"/>
    <w:rsid w:val="00D33FB3"/>
    <w:rsid w:val="00D40CF0"/>
    <w:rsid w:val="00D41CB6"/>
    <w:rsid w:val="00D43A89"/>
    <w:rsid w:val="00D50ABF"/>
    <w:rsid w:val="00D53D56"/>
    <w:rsid w:val="00D55AE1"/>
    <w:rsid w:val="00D57EC3"/>
    <w:rsid w:val="00D60C2A"/>
    <w:rsid w:val="00D632C5"/>
    <w:rsid w:val="00D6368F"/>
    <w:rsid w:val="00D676C0"/>
    <w:rsid w:val="00D730F0"/>
    <w:rsid w:val="00D75E84"/>
    <w:rsid w:val="00D81FCA"/>
    <w:rsid w:val="00D8459E"/>
    <w:rsid w:val="00D86024"/>
    <w:rsid w:val="00D87DDD"/>
    <w:rsid w:val="00D907E6"/>
    <w:rsid w:val="00D90FA2"/>
    <w:rsid w:val="00D93FD7"/>
    <w:rsid w:val="00D9444E"/>
    <w:rsid w:val="00D971A3"/>
    <w:rsid w:val="00DA3795"/>
    <w:rsid w:val="00DB1705"/>
    <w:rsid w:val="00DB184A"/>
    <w:rsid w:val="00DB2B65"/>
    <w:rsid w:val="00DB3016"/>
    <w:rsid w:val="00DB56AA"/>
    <w:rsid w:val="00DB5F23"/>
    <w:rsid w:val="00DB6309"/>
    <w:rsid w:val="00DC19F4"/>
    <w:rsid w:val="00DC6D4F"/>
    <w:rsid w:val="00DD02C2"/>
    <w:rsid w:val="00DD1844"/>
    <w:rsid w:val="00DE0CA9"/>
    <w:rsid w:val="00DE1752"/>
    <w:rsid w:val="00E06BA8"/>
    <w:rsid w:val="00E17410"/>
    <w:rsid w:val="00E2159F"/>
    <w:rsid w:val="00E27AA1"/>
    <w:rsid w:val="00E30D7C"/>
    <w:rsid w:val="00E30EE1"/>
    <w:rsid w:val="00E37730"/>
    <w:rsid w:val="00E44A9D"/>
    <w:rsid w:val="00E46092"/>
    <w:rsid w:val="00E523E3"/>
    <w:rsid w:val="00E56741"/>
    <w:rsid w:val="00E56A22"/>
    <w:rsid w:val="00E6143F"/>
    <w:rsid w:val="00E6570A"/>
    <w:rsid w:val="00E66563"/>
    <w:rsid w:val="00E677AC"/>
    <w:rsid w:val="00E67DCE"/>
    <w:rsid w:val="00E70DD9"/>
    <w:rsid w:val="00E70F0F"/>
    <w:rsid w:val="00E801AD"/>
    <w:rsid w:val="00E81D7C"/>
    <w:rsid w:val="00E83D81"/>
    <w:rsid w:val="00E87065"/>
    <w:rsid w:val="00E87E9F"/>
    <w:rsid w:val="00E91CFF"/>
    <w:rsid w:val="00E94024"/>
    <w:rsid w:val="00E94132"/>
    <w:rsid w:val="00E97B5E"/>
    <w:rsid w:val="00EB1762"/>
    <w:rsid w:val="00EB201B"/>
    <w:rsid w:val="00EB5DBE"/>
    <w:rsid w:val="00EC666F"/>
    <w:rsid w:val="00ED2A94"/>
    <w:rsid w:val="00ED3B89"/>
    <w:rsid w:val="00ED5996"/>
    <w:rsid w:val="00ED5E6B"/>
    <w:rsid w:val="00EE569C"/>
    <w:rsid w:val="00EF0788"/>
    <w:rsid w:val="00F00D8C"/>
    <w:rsid w:val="00F011FA"/>
    <w:rsid w:val="00F02AFA"/>
    <w:rsid w:val="00F10AC4"/>
    <w:rsid w:val="00F14EEF"/>
    <w:rsid w:val="00F16104"/>
    <w:rsid w:val="00F1618B"/>
    <w:rsid w:val="00F22F03"/>
    <w:rsid w:val="00F25517"/>
    <w:rsid w:val="00F2572A"/>
    <w:rsid w:val="00F26293"/>
    <w:rsid w:val="00F363B6"/>
    <w:rsid w:val="00F43C31"/>
    <w:rsid w:val="00F441D6"/>
    <w:rsid w:val="00F44221"/>
    <w:rsid w:val="00F472C0"/>
    <w:rsid w:val="00F50D0C"/>
    <w:rsid w:val="00F546E6"/>
    <w:rsid w:val="00F55C88"/>
    <w:rsid w:val="00F71EC7"/>
    <w:rsid w:val="00F82A93"/>
    <w:rsid w:val="00F83AF2"/>
    <w:rsid w:val="00F84EA6"/>
    <w:rsid w:val="00F90B18"/>
    <w:rsid w:val="00F90D4B"/>
    <w:rsid w:val="00F95497"/>
    <w:rsid w:val="00FA01A4"/>
    <w:rsid w:val="00FA05CA"/>
    <w:rsid w:val="00FB24E3"/>
    <w:rsid w:val="00FB4AE9"/>
    <w:rsid w:val="00FC12A1"/>
    <w:rsid w:val="00FC554D"/>
    <w:rsid w:val="00FD0DAE"/>
    <w:rsid w:val="00FD22D2"/>
    <w:rsid w:val="00FD2EE5"/>
    <w:rsid w:val="00FD35F6"/>
    <w:rsid w:val="00FD466F"/>
    <w:rsid w:val="00FD573C"/>
    <w:rsid w:val="00FD7B83"/>
    <w:rsid w:val="00FE0569"/>
    <w:rsid w:val="00FE1341"/>
    <w:rsid w:val="00FE26E6"/>
    <w:rsid w:val="00FE3472"/>
    <w:rsid w:val="00FE69C2"/>
    <w:rsid w:val="00FF358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83C"/>
    <w:rPr>
      <w:sz w:val="24"/>
    </w:rPr>
  </w:style>
  <w:style w:type="paragraph" w:styleId="Heading1">
    <w:name w:val="heading 1"/>
    <w:basedOn w:val="Normal"/>
    <w:next w:val="Normal"/>
    <w:link w:val="Heading1Char"/>
    <w:qFormat/>
    <w:rsid w:val="00F1618B"/>
    <w:pPr>
      <w:keepNext/>
      <w:spacing w:after="240"/>
      <w:ind w:left="720" w:hanging="720"/>
      <w:outlineLvl w:val="0"/>
    </w:pPr>
    <w:rPr>
      <w:b/>
      <w:szCs w:val="24"/>
    </w:rPr>
  </w:style>
  <w:style w:type="paragraph" w:styleId="Heading2">
    <w:name w:val="heading 2"/>
    <w:basedOn w:val="Normal"/>
    <w:next w:val="Normal"/>
    <w:link w:val="Heading2Char"/>
    <w:autoRedefine/>
    <w:qFormat/>
    <w:rsid w:val="00DD02C2"/>
    <w:pPr>
      <w:keepNext/>
      <w:spacing w:after="240"/>
      <w:ind w:left="1440" w:hanging="720"/>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qFormat/>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qFormat/>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1">
    <w:name w:val="Unresolved Mention1"/>
    <w:uiPriority w:val="99"/>
    <w:semiHidden/>
    <w:unhideWhenUsed/>
    <w:rsid w:val="004535A2"/>
    <w:rPr>
      <w:color w:val="808080"/>
      <w:shd w:val="clear" w:color="auto" w:fill="E6E6E6"/>
    </w:rPr>
  </w:style>
  <w:style w:type="character" w:customStyle="1" w:styleId="FooterChar">
    <w:name w:val="Footer Char"/>
    <w:link w:val="Footer"/>
    <w:uiPriority w:val="99"/>
    <w:rsid w:val="004535A2"/>
  </w:style>
  <w:style w:type="character" w:customStyle="1" w:styleId="UnresolvedMention2">
    <w:name w:val="Unresolved Mention2"/>
    <w:basedOn w:val="DefaultParagraphFont"/>
    <w:rsid w:val="006511C0"/>
    <w:rPr>
      <w:color w:val="605E5C"/>
      <w:shd w:val="clear" w:color="auto" w:fill="E1DFDD"/>
    </w:rPr>
  </w:style>
  <w:style w:type="character" w:customStyle="1" w:styleId="HeaderChar">
    <w:name w:val="Header Char"/>
    <w:basedOn w:val="DefaultParagraphFont"/>
    <w:link w:val="Header"/>
    <w:uiPriority w:val="99"/>
    <w:rsid w:val="006859F7"/>
    <w:rPr>
      <w:sz w:val="24"/>
    </w:rPr>
  </w:style>
  <w:style w:type="paragraph" w:styleId="ListParagraph">
    <w:name w:val="List Paragraph"/>
    <w:basedOn w:val="Normal"/>
    <w:uiPriority w:val="34"/>
    <w:qFormat/>
    <w:rsid w:val="006859F7"/>
    <w:pPr>
      <w:ind w:left="720"/>
      <w:contextualSpacing/>
    </w:pPr>
    <w:rPr>
      <w:szCs w:val="24"/>
      <w:lang w:bidi="en-US"/>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rsid w:val="006859F7"/>
  </w:style>
  <w:style w:type="character" w:customStyle="1" w:styleId="HTMLPreformattedChar">
    <w:name w:val="HTML Preformatted Char"/>
    <w:basedOn w:val="DefaultParagraphFont"/>
    <w:link w:val="HTMLPreformatted"/>
    <w:rsid w:val="000F0366"/>
    <w:rPr>
      <w:rFonts w:ascii="Courier New" w:eastAsia="Courier New" w:hAnsi="Courier New" w:cs="Courier New"/>
    </w:rPr>
  </w:style>
  <w:style w:type="character" w:customStyle="1" w:styleId="Heading1Char">
    <w:name w:val="Heading 1 Char"/>
    <w:basedOn w:val="DefaultParagraphFont"/>
    <w:link w:val="Heading1"/>
    <w:rsid w:val="00F1618B"/>
    <w:rPr>
      <w:b/>
      <w:sz w:val="24"/>
      <w:szCs w:val="24"/>
    </w:rPr>
  </w:style>
  <w:style w:type="paragraph" w:styleId="TOC2">
    <w:name w:val="toc 2"/>
    <w:basedOn w:val="Normal"/>
    <w:next w:val="Normal"/>
    <w:autoRedefine/>
    <w:uiPriority w:val="39"/>
    <w:qFormat/>
    <w:rsid w:val="00DD02C2"/>
    <w:pPr>
      <w:spacing w:after="240"/>
      <w:ind w:left="1440" w:hanging="720"/>
    </w:pPr>
  </w:style>
  <w:style w:type="paragraph" w:styleId="TOC1">
    <w:name w:val="toc 1"/>
    <w:basedOn w:val="Normal"/>
    <w:next w:val="Normal"/>
    <w:autoRedefine/>
    <w:uiPriority w:val="39"/>
    <w:rsid w:val="009D274E"/>
    <w:pPr>
      <w:tabs>
        <w:tab w:val="decimal" w:leader="dot" w:pos="8640"/>
      </w:tabs>
      <w:spacing w:after="240"/>
      <w:ind w:left="720" w:hanging="720"/>
    </w:pPr>
  </w:style>
  <w:style w:type="character" w:customStyle="1" w:styleId="Heading2Char">
    <w:name w:val="Heading 2 Char"/>
    <w:basedOn w:val="DefaultParagraphFont"/>
    <w:link w:val="Heading2"/>
    <w:rsid w:val="00DD02C2"/>
    <w:rPr>
      <w:b/>
      <w:sz w:val="24"/>
    </w:rPr>
  </w:style>
  <w:style w:type="character" w:customStyle="1" w:styleId="UnresolvedMention3">
    <w:name w:val="Unresolved Mention3"/>
    <w:basedOn w:val="DefaultParagraphFont"/>
    <w:rsid w:val="00D60C2A"/>
    <w:rPr>
      <w:color w:val="605E5C"/>
      <w:shd w:val="clear" w:color="auto" w:fill="E1DFDD"/>
    </w:rPr>
  </w:style>
  <w:style w:type="paragraph" w:styleId="TOC3">
    <w:name w:val="toc 3"/>
    <w:basedOn w:val="Normal"/>
    <w:next w:val="Normal"/>
    <w:autoRedefine/>
    <w:semiHidden/>
    <w:unhideWhenUsed/>
    <w:qFormat/>
    <w:rsid w:val="00DD02C2"/>
    <w:pPr>
      <w:spacing w:after="240"/>
      <w:ind w:left="2160" w:hanging="720"/>
    </w:pPr>
  </w:style>
  <w:style w:type="character" w:customStyle="1" w:styleId="CommentTextChar">
    <w:name w:val="Comment Text Char"/>
    <w:basedOn w:val="DefaultParagraphFont"/>
    <w:link w:val="CommentText"/>
    <w:semiHidden/>
    <w:rsid w:val="00DE0CA9"/>
    <w:rPr>
      <w:sz w:val="24"/>
      <w:szCs w:val="24"/>
    </w:rPr>
  </w:style>
  <w:style w:type="character" w:customStyle="1" w:styleId="BodyTextIndent3Char">
    <w:name w:val="Body Text Indent 3 Char"/>
    <w:basedOn w:val="DefaultParagraphFont"/>
    <w:link w:val="BodyTextIndent3"/>
    <w:rsid w:val="004C1B7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hyperlink" Target="mailto:angela.obrien@occ.ohio.gov" TargetMode="External" /><Relationship Id="rId12" Type="http://schemas.openxmlformats.org/officeDocument/2006/relationships/hyperlink" Target="mailto:Christopher.healey@occ.ohio.gov" TargetMode="External" /><Relationship Id="rId13" Type="http://schemas.openxmlformats.org/officeDocument/2006/relationships/hyperlink" Target="mailto:bojko@carpenterlipps.com" TargetMode="External" /><Relationship Id="rId14" Type="http://schemas.openxmlformats.org/officeDocument/2006/relationships/hyperlink" Target="mailto:John.jones@ohioattorneygeneral.gov" TargetMode="External" /><Relationship Id="rId15" Type="http://schemas.openxmlformats.org/officeDocument/2006/relationships/hyperlink" Target="mailto:whitt@whitt-sturtevant.com" TargetMode="External" /><Relationship Id="rId16" Type="http://schemas.openxmlformats.org/officeDocument/2006/relationships/hyperlink" Target="mailto:fykes@whitt-sturtevant.com" TargetMode="External" /><Relationship Id="rId17" Type="http://schemas.openxmlformats.org/officeDocument/2006/relationships/header" Target="head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2669E-EA4C-48E8-96B0-A811F453F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2434</Words>
  <Characters>13875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2020-01-21T21:59:24Z</dcterms:created>
  <dcterms:modified xsi:type="dcterms:W3CDTF">2020-01-21T21:59:24Z</dcterms:modified>
</cp:coreProperties>
</file>