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E75755" w:rsidRPr="00AC0DF0" w:rsidP="00E75755" w14:paraId="3A24C8B5" w14:textId="77777777">
      <w:pPr>
        <w:pStyle w:val="HTMLPreformatted"/>
        <w:jc w:val="center"/>
        <w:rPr>
          <w:rFonts w:ascii="Times New Roman" w:hAnsi="Times New Roman" w:cs="Times New Roman"/>
          <w:b/>
          <w:bCs/>
          <w:sz w:val="24"/>
          <w:szCs w:val="24"/>
        </w:rPr>
      </w:pPr>
      <w:r w:rsidRPr="00AC0DF0">
        <w:rPr>
          <w:rFonts w:ascii="Times New Roman" w:hAnsi="Times New Roman" w:cs="Times New Roman"/>
          <w:b/>
          <w:bCs/>
          <w:sz w:val="24"/>
          <w:szCs w:val="24"/>
        </w:rPr>
        <w:t>BEFORE</w:t>
      </w:r>
    </w:p>
    <w:p w:rsidR="00E75755" w:rsidRPr="00AC0DF0" w:rsidP="00E75755" w14:paraId="3034A68A" w14:textId="77777777">
      <w:pPr>
        <w:pStyle w:val="HTMLPreformatted"/>
        <w:jc w:val="center"/>
        <w:rPr>
          <w:rFonts w:ascii="Times New Roman" w:hAnsi="Times New Roman" w:cs="Times New Roman"/>
          <w:sz w:val="24"/>
          <w:szCs w:val="24"/>
        </w:rPr>
      </w:pPr>
      <w:r w:rsidRPr="00AC0DF0">
        <w:rPr>
          <w:rFonts w:ascii="Times New Roman" w:hAnsi="Times New Roman" w:cs="Times New Roman"/>
          <w:b/>
          <w:bCs/>
          <w:sz w:val="24"/>
          <w:szCs w:val="24"/>
        </w:rPr>
        <w:t>THE PUBLIC UTILITIES COMMISSION OF OHIO</w:t>
      </w:r>
    </w:p>
    <w:p w:rsidR="00E75755" w:rsidRPr="00AC0DF0" w:rsidP="00E75755" w14:paraId="6EE5CD5A" w14:textId="77777777">
      <w:pPr>
        <w:pStyle w:val="HTMLPreformatted"/>
        <w:rPr>
          <w:rFonts w:ascii="Times New Roman" w:hAnsi="Times New Roman" w:cs="Times New Roman"/>
          <w:sz w:val="24"/>
          <w:szCs w:val="24"/>
        </w:rPr>
      </w:pPr>
    </w:p>
    <w:tbl>
      <w:tblPr>
        <w:tblW w:w="8730" w:type="dxa"/>
        <w:tblLook w:val="01E0"/>
      </w:tblPr>
      <w:tblGrid>
        <w:gridCol w:w="4230"/>
        <w:gridCol w:w="450"/>
        <w:gridCol w:w="4050"/>
      </w:tblGrid>
      <w:tr w14:paraId="1C0B0313" w14:textId="77777777" w:rsidTr="005A7E3C">
        <w:tblPrEx>
          <w:tblW w:w="8730" w:type="dxa"/>
          <w:tblLook w:val="01E0"/>
        </w:tblPrEx>
        <w:trPr>
          <w:trHeight w:val="807"/>
        </w:trPr>
        <w:tc>
          <w:tcPr>
            <w:tcW w:w="4230" w:type="dxa"/>
            <w:shd w:val="clear" w:color="auto" w:fill="auto"/>
          </w:tcPr>
          <w:p w:rsidR="00E75755" w:rsidRPr="00AC0DF0" w:rsidP="007665EA" w14:paraId="0103F201"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In the Matter of the Application for</w:t>
            </w:r>
          </w:p>
          <w:p w:rsidR="00E75755" w:rsidRPr="00AC0DF0" w:rsidP="007665EA" w14:paraId="0F67D108"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 xml:space="preserve">Establishment of a Unique </w:t>
            </w:r>
          </w:p>
          <w:p w:rsidR="00E75755" w:rsidRPr="00AC0DF0" w:rsidP="007665EA" w14:paraId="1CCACA05"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Arrangement for Toshi CMC, LLC.</w:t>
            </w:r>
          </w:p>
        </w:tc>
        <w:tc>
          <w:tcPr>
            <w:tcW w:w="450" w:type="dxa"/>
            <w:shd w:val="clear" w:color="auto" w:fill="auto"/>
          </w:tcPr>
          <w:p w:rsidR="00E75755" w:rsidRPr="00AC0DF0" w:rsidP="007665EA" w14:paraId="2AB4E3F1"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w:t>
            </w:r>
          </w:p>
          <w:p w:rsidR="00E75755" w:rsidRPr="00AC0DF0" w:rsidP="007665EA" w14:paraId="789966A2"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w:t>
            </w:r>
          </w:p>
          <w:p w:rsidR="00E75755" w:rsidRPr="00AC0DF0" w:rsidP="007665EA" w14:paraId="30034163"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w:t>
            </w:r>
          </w:p>
        </w:tc>
        <w:tc>
          <w:tcPr>
            <w:tcW w:w="4050" w:type="dxa"/>
            <w:shd w:val="clear" w:color="auto" w:fill="auto"/>
          </w:tcPr>
          <w:p w:rsidR="00E75755" w:rsidRPr="00AC0DF0" w:rsidP="007665EA" w14:paraId="07F03DD2" w14:textId="77777777">
            <w:pPr>
              <w:pStyle w:val="HTMLPreformatted"/>
              <w:rPr>
                <w:rFonts w:ascii="Times New Roman" w:hAnsi="Times New Roman" w:cs="Times New Roman"/>
                <w:sz w:val="24"/>
                <w:szCs w:val="24"/>
              </w:rPr>
            </w:pPr>
          </w:p>
          <w:p w:rsidR="00E75755" w:rsidRPr="00AC0DF0" w:rsidP="007665EA" w14:paraId="26806660"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Case No. 21-1205-EL-AEC</w:t>
            </w:r>
          </w:p>
          <w:p w:rsidR="00E75755" w:rsidRPr="00AC0DF0" w:rsidP="007665EA" w14:paraId="26E4367C" w14:textId="77777777">
            <w:pPr>
              <w:pStyle w:val="HTMLPreformatted"/>
              <w:rPr>
                <w:rFonts w:ascii="Times New Roman" w:hAnsi="Times New Roman" w:cs="Times New Roman"/>
                <w:sz w:val="24"/>
                <w:szCs w:val="24"/>
              </w:rPr>
            </w:pPr>
          </w:p>
        </w:tc>
      </w:tr>
    </w:tbl>
    <w:p w:rsidR="00E75755" w:rsidRPr="00AC0DF0" w:rsidP="00E75755" w14:paraId="6D81A313" w14:textId="77777777">
      <w:pPr>
        <w:pStyle w:val="HTMLPreformatted"/>
        <w:rPr>
          <w:rFonts w:ascii="Times New Roman" w:hAnsi="Times New Roman" w:cs="Times New Roman"/>
          <w:sz w:val="24"/>
          <w:szCs w:val="24"/>
        </w:rPr>
      </w:pPr>
    </w:p>
    <w:p w:rsidR="00E75755" w:rsidRPr="00AC0DF0" w:rsidP="00E75755" w14:paraId="215A126E" w14:textId="77777777">
      <w:pPr>
        <w:pStyle w:val="HTMLPreformatted"/>
        <w:pBdr>
          <w:top w:val="single" w:sz="12" w:space="1" w:color="auto"/>
        </w:pBdr>
        <w:rPr>
          <w:rFonts w:ascii="Times New Roman" w:hAnsi="Times New Roman" w:cs="Times New Roman"/>
          <w:sz w:val="24"/>
          <w:szCs w:val="24"/>
        </w:rPr>
      </w:pPr>
    </w:p>
    <w:p w:rsidR="00E75755" w:rsidRPr="00AC0DF0" w:rsidP="00E75755" w14:paraId="1781C9A0" w14:textId="77777777">
      <w:pPr>
        <w:jc w:val="center"/>
        <w:rPr>
          <w:b/>
          <w:bCs/>
          <w:szCs w:val="24"/>
        </w:rPr>
      </w:pPr>
      <w:r w:rsidRPr="00AC0DF0">
        <w:rPr>
          <w:b/>
          <w:bCs/>
          <w:szCs w:val="24"/>
        </w:rPr>
        <w:t xml:space="preserve">REPLY IN SUPPORT OF MOTION TO INTERVENE </w:t>
      </w:r>
    </w:p>
    <w:p w:rsidR="00E75755" w:rsidRPr="00AC0DF0" w:rsidP="00E75755" w14:paraId="6920B36C" w14:textId="77777777">
      <w:pPr>
        <w:jc w:val="center"/>
        <w:rPr>
          <w:b/>
          <w:bCs/>
          <w:szCs w:val="24"/>
        </w:rPr>
      </w:pPr>
      <w:r w:rsidRPr="00AC0DF0">
        <w:rPr>
          <w:b/>
          <w:bCs/>
          <w:szCs w:val="24"/>
        </w:rPr>
        <w:t xml:space="preserve">AND MEMORANDUM CONTRA MOTION TO STRIKE </w:t>
      </w:r>
    </w:p>
    <w:p w:rsidR="00E75755" w:rsidRPr="00AC0DF0" w:rsidP="00E75755" w14:paraId="26902E32" w14:textId="77777777">
      <w:pPr>
        <w:jc w:val="center"/>
        <w:rPr>
          <w:b/>
          <w:bCs/>
          <w:szCs w:val="24"/>
        </w:rPr>
      </w:pPr>
      <w:r w:rsidRPr="00AC0DF0">
        <w:rPr>
          <w:b/>
          <w:bCs/>
          <w:szCs w:val="24"/>
        </w:rPr>
        <w:t xml:space="preserve">OBJECTIONS AND COMMENTS </w:t>
      </w:r>
    </w:p>
    <w:p w:rsidR="00E75755" w:rsidRPr="00AC0DF0" w:rsidP="00E75755" w14:paraId="04490697" w14:textId="77777777">
      <w:pPr>
        <w:jc w:val="center"/>
        <w:rPr>
          <w:b/>
          <w:bCs/>
          <w:szCs w:val="24"/>
        </w:rPr>
      </w:pPr>
      <w:r w:rsidRPr="00AC0DF0">
        <w:rPr>
          <w:b/>
          <w:bCs/>
          <w:szCs w:val="24"/>
        </w:rPr>
        <w:t>BY</w:t>
      </w:r>
    </w:p>
    <w:p w:rsidR="00E75755" w:rsidRPr="00AC0DF0" w:rsidP="00E75755" w14:paraId="008E7AD8" w14:textId="77777777">
      <w:pPr>
        <w:jc w:val="center"/>
        <w:rPr>
          <w:b/>
          <w:bCs/>
          <w:szCs w:val="24"/>
        </w:rPr>
      </w:pPr>
      <w:r w:rsidRPr="00AC0DF0">
        <w:rPr>
          <w:b/>
          <w:bCs/>
          <w:szCs w:val="24"/>
        </w:rPr>
        <w:t>OFFICE OF THE OHIO CONSUMERS’ COUNSEL</w:t>
      </w:r>
    </w:p>
    <w:p w:rsidR="00E75755" w:rsidRPr="00AC0DF0" w:rsidP="00E75755" w14:paraId="750B557B" w14:textId="77777777">
      <w:pPr>
        <w:pBdr>
          <w:bottom w:val="single" w:sz="12" w:space="1" w:color="auto"/>
        </w:pBdr>
        <w:tabs>
          <w:tab w:val="left" w:pos="4320"/>
        </w:tabs>
        <w:rPr>
          <w:szCs w:val="24"/>
        </w:rPr>
      </w:pPr>
    </w:p>
    <w:p w:rsidR="00E75755" w:rsidRPr="00AC0DF0" w:rsidP="00E75755" w14:paraId="4EDB458C" w14:textId="77777777">
      <w:pPr>
        <w:tabs>
          <w:tab w:val="left" w:pos="4320"/>
        </w:tabs>
        <w:rPr>
          <w:szCs w:val="24"/>
        </w:rPr>
      </w:pPr>
    </w:p>
    <w:p w:rsidR="00E75755" w:rsidRPr="00AC0DF0" w:rsidP="00E75755" w14:paraId="08FCC3B1" w14:textId="77777777">
      <w:pPr>
        <w:rPr>
          <w:szCs w:val="24"/>
        </w:rPr>
      </w:pPr>
    </w:p>
    <w:p w:rsidR="00E75755" w:rsidRPr="00AC0DF0" w:rsidP="00E75755" w14:paraId="71C55A0A" w14:textId="51B19ACE">
      <w:pPr>
        <w:rPr>
          <w:szCs w:val="24"/>
        </w:rPr>
      </w:pPr>
    </w:p>
    <w:p w:rsidR="00FD1243" w:rsidRPr="00AC0DF0" w:rsidP="00E75755" w14:paraId="258CBAB6" w14:textId="22E3A4D9">
      <w:pPr>
        <w:rPr>
          <w:szCs w:val="24"/>
        </w:rPr>
      </w:pPr>
    </w:p>
    <w:p w:rsidR="00FD1243" w:rsidRPr="00AC0DF0" w:rsidP="00E75755" w14:paraId="1237CC50" w14:textId="01A5C460">
      <w:pPr>
        <w:rPr>
          <w:szCs w:val="24"/>
        </w:rPr>
      </w:pPr>
    </w:p>
    <w:p w:rsidR="00FD1243" w:rsidRPr="00AC0DF0" w:rsidP="00E75755" w14:paraId="4F6B49E7" w14:textId="77777777">
      <w:pPr>
        <w:rPr>
          <w:szCs w:val="24"/>
        </w:rPr>
      </w:pPr>
    </w:p>
    <w:p w:rsidR="00E75755" w:rsidRPr="00AC0DF0" w:rsidP="00E75755" w14:paraId="43E74E1B" w14:textId="77777777">
      <w:pPr>
        <w:rPr>
          <w:szCs w:val="24"/>
        </w:rPr>
      </w:pPr>
    </w:p>
    <w:p w:rsidR="00E75755" w:rsidRPr="00AC0DF0" w:rsidP="00E75755" w14:paraId="3B422C6A" w14:textId="77777777">
      <w:pPr>
        <w:rPr>
          <w:szCs w:val="24"/>
        </w:rPr>
      </w:pPr>
    </w:p>
    <w:p w:rsidR="00E75755" w:rsidRPr="00AC0DF0" w:rsidP="00E75755" w14:paraId="6D5BE614" w14:textId="77777777">
      <w:pPr>
        <w:rPr>
          <w:szCs w:val="24"/>
        </w:rPr>
      </w:pPr>
    </w:p>
    <w:p w:rsidR="00E75755" w:rsidRPr="00AC0DF0" w:rsidP="00E75755" w14:paraId="79968EF7" w14:textId="77777777">
      <w:pPr>
        <w:ind w:left="3600"/>
        <w:rPr>
          <w:rFonts w:eastAsiaTheme="minorEastAsia"/>
          <w:szCs w:val="24"/>
        </w:rPr>
      </w:pPr>
      <w:r w:rsidRPr="00AC0DF0">
        <w:rPr>
          <w:rFonts w:eastAsiaTheme="minorEastAsia"/>
          <w:szCs w:val="24"/>
        </w:rPr>
        <w:t>Bruce Weston (0016973)</w:t>
      </w:r>
    </w:p>
    <w:p w:rsidR="00E75755" w:rsidRPr="00AC0DF0" w:rsidP="00E75755" w14:paraId="1FF783C2" w14:textId="77777777">
      <w:pPr>
        <w:rPr>
          <w:rFonts w:eastAsiaTheme="minorEastAsia"/>
          <w:szCs w:val="24"/>
        </w:rPr>
      </w:pPr>
      <w:r w:rsidRPr="00AC0DF0">
        <w:rPr>
          <w:rFonts w:eastAsiaTheme="minorEastAsia"/>
          <w:szCs w:val="24"/>
        </w:rPr>
        <w:tab/>
      </w:r>
      <w:r w:rsidRPr="00AC0DF0">
        <w:rPr>
          <w:rFonts w:eastAsiaTheme="minorEastAsia"/>
          <w:szCs w:val="24"/>
        </w:rPr>
        <w:tab/>
      </w:r>
      <w:r w:rsidRPr="00AC0DF0">
        <w:rPr>
          <w:rFonts w:eastAsiaTheme="minorEastAsia"/>
          <w:szCs w:val="24"/>
        </w:rPr>
        <w:tab/>
      </w:r>
      <w:r w:rsidRPr="00AC0DF0">
        <w:rPr>
          <w:rFonts w:eastAsiaTheme="minorEastAsia"/>
          <w:szCs w:val="24"/>
        </w:rPr>
        <w:tab/>
      </w:r>
      <w:r w:rsidRPr="00AC0DF0">
        <w:rPr>
          <w:rFonts w:eastAsiaTheme="minorEastAsia"/>
          <w:szCs w:val="24"/>
        </w:rPr>
        <w:tab/>
        <w:t>Ohio Consumers’ Counsel</w:t>
      </w:r>
    </w:p>
    <w:p w:rsidR="00E75755" w:rsidRPr="00AC0DF0" w:rsidP="00E75755" w14:paraId="75865DD9" w14:textId="77777777">
      <w:pPr>
        <w:rPr>
          <w:rFonts w:eastAsiaTheme="minorEastAsia"/>
          <w:i/>
          <w:szCs w:val="24"/>
          <w:u w:val="single"/>
        </w:rPr>
      </w:pPr>
    </w:p>
    <w:p w:rsidR="00FD1243" w:rsidRPr="00AC0DF0" w:rsidP="00117DFF" w14:paraId="6FF03745" w14:textId="4FC66F7D">
      <w:pPr>
        <w:ind w:left="3510"/>
        <w:rPr>
          <w:rFonts w:eastAsiaTheme="minorEastAsia"/>
          <w:szCs w:val="24"/>
        </w:rPr>
      </w:pPr>
      <w:r w:rsidRPr="00AC0DF0">
        <w:rPr>
          <w:rFonts w:eastAsiaTheme="minorEastAsia"/>
          <w:szCs w:val="24"/>
        </w:rPr>
        <w:tab/>
        <w:t xml:space="preserve">Maureen </w:t>
      </w:r>
      <w:r w:rsidRPr="00AC0DF0" w:rsidR="007C3A65">
        <w:rPr>
          <w:rFonts w:eastAsiaTheme="minorEastAsia"/>
          <w:szCs w:val="24"/>
        </w:rPr>
        <w:t xml:space="preserve">R. </w:t>
      </w:r>
      <w:r w:rsidRPr="00AC0DF0">
        <w:rPr>
          <w:rFonts w:eastAsiaTheme="minorEastAsia"/>
          <w:szCs w:val="24"/>
        </w:rPr>
        <w:t>Willis (0020847)</w:t>
      </w:r>
    </w:p>
    <w:p w:rsidR="00FD1243" w:rsidRPr="00AC0DF0" w:rsidP="00FD1243" w14:paraId="6D853F16" w14:textId="77777777">
      <w:pPr>
        <w:ind w:left="3600"/>
        <w:rPr>
          <w:rFonts w:eastAsiaTheme="minorEastAsia"/>
          <w:szCs w:val="24"/>
        </w:rPr>
      </w:pPr>
      <w:r w:rsidRPr="00AC0DF0">
        <w:rPr>
          <w:rFonts w:eastAsiaTheme="minorEastAsia"/>
          <w:szCs w:val="24"/>
        </w:rPr>
        <w:t>Counsel of Record</w:t>
      </w:r>
    </w:p>
    <w:p w:rsidR="00FD1243" w:rsidRPr="00AC0DF0" w:rsidP="00FD1243" w14:paraId="2BD213EC" w14:textId="77777777">
      <w:pPr>
        <w:ind w:left="3600"/>
        <w:rPr>
          <w:rFonts w:eastAsiaTheme="minorEastAsia"/>
          <w:szCs w:val="24"/>
        </w:rPr>
      </w:pPr>
      <w:r w:rsidRPr="00AC0DF0">
        <w:rPr>
          <w:rFonts w:eastAsiaTheme="minorEastAsia"/>
          <w:szCs w:val="24"/>
        </w:rPr>
        <w:t>Amy Botschner O’Brien (0074423)</w:t>
      </w:r>
    </w:p>
    <w:p w:rsidR="00E75755" w:rsidRPr="00AC0DF0" w:rsidP="00FD1243" w14:paraId="47034A1C" w14:textId="54082C1C">
      <w:pPr>
        <w:ind w:left="3600"/>
        <w:rPr>
          <w:rFonts w:eastAsiaTheme="minorEastAsia"/>
          <w:szCs w:val="24"/>
        </w:rPr>
      </w:pPr>
      <w:r w:rsidRPr="00AC0DF0">
        <w:rPr>
          <w:rFonts w:eastAsiaTheme="minorEastAsia"/>
          <w:szCs w:val="24"/>
        </w:rPr>
        <w:t>Assistant Consumers’ Counsel</w:t>
      </w:r>
    </w:p>
    <w:p w:rsidR="00FD1243" w:rsidRPr="00AC0DF0" w:rsidP="00FD1243" w14:paraId="58911100" w14:textId="77777777">
      <w:pPr>
        <w:ind w:left="3600"/>
        <w:rPr>
          <w:szCs w:val="24"/>
        </w:rPr>
      </w:pPr>
    </w:p>
    <w:p w:rsidR="00E75755" w:rsidRPr="00AC0DF0" w:rsidP="00E75755" w14:paraId="643EF62D" w14:textId="77777777">
      <w:pPr>
        <w:ind w:left="3600"/>
        <w:rPr>
          <w:b/>
          <w:bCs/>
          <w:szCs w:val="24"/>
        </w:rPr>
      </w:pPr>
      <w:r w:rsidRPr="00AC0DF0">
        <w:rPr>
          <w:b/>
          <w:bCs/>
          <w:szCs w:val="24"/>
        </w:rPr>
        <w:t>Office of the Ohio Consumers' Counsel</w:t>
      </w:r>
    </w:p>
    <w:p w:rsidR="00E75755" w:rsidRPr="00AC0DF0" w:rsidP="00E75755" w14:paraId="5E770CAA" w14:textId="77777777">
      <w:pPr>
        <w:ind w:left="3600"/>
        <w:rPr>
          <w:b/>
          <w:szCs w:val="24"/>
        </w:rPr>
      </w:pPr>
      <w:r w:rsidRPr="00AC0DF0">
        <w:rPr>
          <w:szCs w:val="24"/>
        </w:rPr>
        <w:t>65 East State Street, Suite 700</w:t>
      </w:r>
    </w:p>
    <w:p w:rsidR="00E75755" w:rsidRPr="00AC0DF0" w:rsidP="00E75755" w14:paraId="182DBA50" w14:textId="77777777">
      <w:pPr>
        <w:ind w:left="3600"/>
        <w:rPr>
          <w:szCs w:val="24"/>
        </w:rPr>
      </w:pPr>
      <w:r w:rsidRPr="00AC0DF0">
        <w:rPr>
          <w:szCs w:val="24"/>
        </w:rPr>
        <w:t>Columbus, Ohio 43215</w:t>
      </w:r>
    </w:p>
    <w:p w:rsidR="00FD1243" w:rsidRPr="00AC0DF0" w:rsidP="00FD1243" w14:paraId="0B27D16E" w14:textId="77777777">
      <w:pPr>
        <w:autoSpaceDE w:val="0"/>
        <w:autoSpaceDN w:val="0"/>
        <w:adjustRightInd w:val="0"/>
        <w:ind w:left="3600"/>
        <w:rPr>
          <w:szCs w:val="24"/>
        </w:rPr>
      </w:pPr>
      <w:r w:rsidRPr="00AC0DF0">
        <w:rPr>
          <w:szCs w:val="24"/>
        </w:rPr>
        <w:t>Telephone [Willis]: (614) 466-9567</w:t>
      </w:r>
    </w:p>
    <w:p w:rsidR="00FD1243" w:rsidRPr="00AC0DF0" w:rsidP="00FD1243" w14:paraId="119A250E" w14:textId="77777777">
      <w:pPr>
        <w:autoSpaceDE w:val="0"/>
        <w:autoSpaceDN w:val="0"/>
        <w:adjustRightInd w:val="0"/>
        <w:ind w:left="3600"/>
        <w:rPr>
          <w:szCs w:val="24"/>
        </w:rPr>
      </w:pPr>
      <w:r w:rsidRPr="00AC0DF0">
        <w:rPr>
          <w:szCs w:val="24"/>
        </w:rPr>
        <w:t>Telephone [Botschner O’Brien]: (614) 466-9575</w:t>
      </w:r>
    </w:p>
    <w:p w:rsidR="00FD1243" w:rsidRPr="00AC0DF0" w:rsidP="00FD1243" w14:paraId="618C577C" w14:textId="24EBB7E4">
      <w:pPr>
        <w:ind w:firstLine="3600"/>
        <w:rPr>
          <w:szCs w:val="24"/>
        </w:rPr>
      </w:pPr>
      <w:hyperlink r:id="rId6" w:history="1">
        <w:r w:rsidRPr="00AC0DF0" w:rsidR="009B4F69">
          <w:rPr>
            <w:rStyle w:val="Hyperlink"/>
            <w:szCs w:val="24"/>
          </w:rPr>
          <w:t>maureen.willis@occ.ohio.gov</w:t>
        </w:r>
      </w:hyperlink>
      <w:r w:rsidRPr="00AC0DF0" w:rsidR="009B4F69">
        <w:rPr>
          <w:szCs w:val="24"/>
        </w:rPr>
        <w:t xml:space="preserve"> </w:t>
      </w:r>
    </w:p>
    <w:p w:rsidR="00FD1243" w:rsidRPr="00AC0DF0" w:rsidP="00FD1243" w14:paraId="6005223C" w14:textId="53CD1986">
      <w:pPr>
        <w:ind w:firstLine="3600"/>
        <w:rPr>
          <w:szCs w:val="24"/>
        </w:rPr>
      </w:pPr>
      <w:hyperlink r:id="rId7" w:history="1">
        <w:r w:rsidRPr="00AC0DF0" w:rsidR="009B4F69">
          <w:rPr>
            <w:rStyle w:val="Hyperlink"/>
            <w:szCs w:val="24"/>
          </w:rPr>
          <w:t>amy.botschner.obrien@occ.ohio.gov</w:t>
        </w:r>
      </w:hyperlink>
      <w:r w:rsidRPr="00AC0DF0" w:rsidR="009B4F69">
        <w:rPr>
          <w:szCs w:val="24"/>
        </w:rPr>
        <w:t xml:space="preserve"> </w:t>
      </w:r>
    </w:p>
    <w:p w:rsidR="003C1E17" w:rsidRPr="00AC0DF0" w:rsidP="007C3A65" w14:paraId="2D7DEE80" w14:textId="77777777">
      <w:pPr>
        <w:ind w:left="3600" w:hanging="3600"/>
        <w:rPr>
          <w:szCs w:val="24"/>
        </w:rPr>
        <w:sectPr w:rsidSect="005A7E3C">
          <w:headerReference w:type="default" r:id="rId8"/>
          <w:footerReference w:type="even" r:id="rId9"/>
          <w:footerReference w:type="default" r:id="rId10"/>
          <w:footerReference w:type="first" r:id="rId11"/>
          <w:pgSz w:w="12240" w:h="15840"/>
          <w:pgMar w:top="1440" w:right="1800" w:bottom="1440" w:left="1800" w:header="720" w:footer="720" w:gutter="0"/>
          <w:cols w:space="720"/>
          <w:docGrid w:linePitch="326"/>
        </w:sectPr>
      </w:pPr>
      <w:r w:rsidRPr="00AC0DF0">
        <w:rPr>
          <w:szCs w:val="24"/>
        </w:rPr>
        <w:t>January 1</w:t>
      </w:r>
      <w:r w:rsidRPr="00AC0DF0" w:rsidR="009527C0">
        <w:rPr>
          <w:szCs w:val="24"/>
        </w:rPr>
        <w:t>1</w:t>
      </w:r>
      <w:r w:rsidRPr="00AC0DF0">
        <w:rPr>
          <w:szCs w:val="24"/>
        </w:rPr>
        <w:t xml:space="preserve">, 2022 </w:t>
      </w:r>
      <w:r w:rsidRPr="00AC0DF0">
        <w:rPr>
          <w:szCs w:val="24"/>
        </w:rPr>
        <w:tab/>
      </w:r>
      <w:r w:rsidRPr="00AC0DF0" w:rsidR="00FD1243">
        <w:rPr>
          <w:szCs w:val="24"/>
        </w:rPr>
        <w:t>(willing to accept service by email)</w:t>
      </w:r>
    </w:p>
    <w:p w:rsidR="003C1E17" w:rsidRPr="00AC0DF0" w:rsidP="00744A7E" w14:paraId="5333769F" w14:textId="77777777">
      <w:pPr>
        <w:widowControl w:val="0"/>
        <w:ind w:left="720" w:hanging="720"/>
        <w:jc w:val="center"/>
        <w:rPr>
          <w:b/>
          <w:bCs/>
          <w:szCs w:val="24"/>
          <w:u w:val="single"/>
        </w:rPr>
      </w:pPr>
      <w:r w:rsidRPr="00AC0DF0">
        <w:rPr>
          <w:b/>
          <w:bCs/>
          <w:szCs w:val="24"/>
          <w:u w:val="single"/>
        </w:rPr>
        <w:t>TABLE OF CONTENTS</w:t>
      </w:r>
    </w:p>
    <w:p w:rsidR="003C1E17" w:rsidRPr="00AC0DF0" w:rsidP="003C1E17" w14:paraId="785A8E98" w14:textId="25D5A4EB">
      <w:pPr>
        <w:widowControl w:val="0"/>
        <w:ind w:left="720"/>
        <w:jc w:val="right"/>
        <w:rPr>
          <w:b/>
          <w:bCs/>
          <w:szCs w:val="24"/>
        </w:rPr>
      </w:pPr>
      <w:r w:rsidRPr="00AC0DF0">
        <w:rPr>
          <w:b/>
          <w:bCs/>
          <w:szCs w:val="24"/>
        </w:rPr>
        <w:t>PAGE</w:t>
      </w:r>
    </w:p>
    <w:p w:rsidR="00FD1243" w:rsidRPr="00AC0DF0" w:rsidP="007C3A65" w14:paraId="3FFF511B" w14:textId="243A8A41">
      <w:pPr>
        <w:ind w:left="3600" w:hanging="3600"/>
        <w:rPr>
          <w:szCs w:val="24"/>
        </w:rPr>
      </w:pPr>
    </w:p>
    <w:p w:rsidR="00480B80" w14:paraId="1CE30DC4" w14:textId="14C1DC5B">
      <w:pPr>
        <w:pStyle w:val="TOC1"/>
        <w:rPr>
          <w:rFonts w:asciiTheme="minorHAnsi" w:eastAsiaTheme="minorEastAsia" w:hAnsiTheme="minorHAnsi" w:cstheme="minorBidi"/>
          <w:noProof/>
          <w:sz w:val="22"/>
          <w:szCs w:val="22"/>
        </w:rPr>
      </w:pPr>
      <w:r w:rsidRPr="00AC0DF0">
        <w:rPr>
          <w:szCs w:val="24"/>
        </w:rPr>
        <w:fldChar w:fldCharType="begin"/>
      </w:r>
      <w:r w:rsidRPr="00AC0DF0">
        <w:rPr>
          <w:szCs w:val="24"/>
        </w:rPr>
        <w:instrText xml:space="preserve"> TOC \o "1-3" \u </w:instrText>
      </w:r>
      <w:r w:rsidRPr="00AC0DF0">
        <w:rPr>
          <w:szCs w:val="24"/>
        </w:rPr>
        <w:fldChar w:fldCharType="separate"/>
      </w:r>
      <w:r>
        <w:rPr>
          <w:noProof/>
        </w:rPr>
        <w:t>I.</w:t>
      </w:r>
      <w:r>
        <w:rPr>
          <w:rFonts w:asciiTheme="minorHAnsi" w:eastAsiaTheme="minorEastAsia" w:hAnsiTheme="minorHAnsi" w:cstheme="minorBidi"/>
          <w:noProof/>
          <w:sz w:val="22"/>
          <w:szCs w:val="22"/>
        </w:rPr>
        <w:tab/>
      </w:r>
      <w:r>
        <w:rPr>
          <w:noProof/>
        </w:rPr>
        <w:t>REPLY IN SUPPORT OF OCC’S INTERVENTION</w:t>
      </w:r>
      <w:r>
        <w:rPr>
          <w:noProof/>
        </w:rPr>
        <w:tab/>
      </w:r>
      <w:r>
        <w:rPr>
          <w:noProof/>
        </w:rPr>
        <w:fldChar w:fldCharType="begin"/>
      </w:r>
      <w:r>
        <w:rPr>
          <w:noProof/>
        </w:rPr>
        <w:instrText xml:space="preserve"> PAGEREF _Toc92807159 \h </w:instrText>
      </w:r>
      <w:r>
        <w:rPr>
          <w:noProof/>
        </w:rPr>
        <w:fldChar w:fldCharType="separate"/>
      </w:r>
      <w:r>
        <w:rPr>
          <w:noProof/>
        </w:rPr>
        <w:t>1</w:t>
      </w:r>
      <w:r>
        <w:rPr>
          <w:noProof/>
        </w:rPr>
        <w:fldChar w:fldCharType="end"/>
      </w:r>
    </w:p>
    <w:p w:rsidR="00480B80" w14:paraId="4D93CEAD" w14:textId="056B0C85">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OCC may be adversely affected by this proceeding and meets the criteria for intervention under Ohio law and the Ohio Administrative Code.</w:t>
      </w:r>
      <w:r>
        <w:rPr>
          <w:noProof/>
        </w:rPr>
        <w:tab/>
      </w:r>
      <w:r>
        <w:rPr>
          <w:noProof/>
        </w:rPr>
        <w:fldChar w:fldCharType="begin"/>
      </w:r>
      <w:r>
        <w:rPr>
          <w:noProof/>
        </w:rPr>
        <w:instrText xml:space="preserve"> PAGEREF _Toc92807160 \h </w:instrText>
      </w:r>
      <w:r>
        <w:rPr>
          <w:noProof/>
        </w:rPr>
        <w:fldChar w:fldCharType="separate"/>
      </w:r>
      <w:r>
        <w:rPr>
          <w:noProof/>
        </w:rPr>
        <w:t>1</w:t>
      </w:r>
      <w:r>
        <w:rPr>
          <w:noProof/>
        </w:rPr>
        <w:fldChar w:fldCharType="end"/>
      </w:r>
    </w:p>
    <w:p w:rsidR="00480B80" w14:paraId="3A6C9EB6" w14:textId="3B75E5D9">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OCC’s intervention will not unduly prolong and delay this proceeding and will contribute to the full development and equitable resolution of the factual issues.</w:t>
      </w:r>
      <w:r>
        <w:rPr>
          <w:noProof/>
        </w:rPr>
        <w:tab/>
      </w:r>
      <w:r>
        <w:rPr>
          <w:noProof/>
        </w:rPr>
        <w:fldChar w:fldCharType="begin"/>
      </w:r>
      <w:r>
        <w:rPr>
          <w:noProof/>
        </w:rPr>
        <w:instrText xml:space="preserve"> PAGEREF _Toc92807161 \h </w:instrText>
      </w:r>
      <w:r>
        <w:rPr>
          <w:noProof/>
        </w:rPr>
        <w:fldChar w:fldCharType="separate"/>
      </w:r>
      <w:r>
        <w:rPr>
          <w:noProof/>
        </w:rPr>
        <w:t>4</w:t>
      </w:r>
      <w:r>
        <w:rPr>
          <w:noProof/>
        </w:rPr>
        <w:fldChar w:fldCharType="end"/>
      </w:r>
    </w:p>
    <w:p w:rsidR="00480B80" w14:paraId="74117A1D" w14:textId="0417D5D6">
      <w:pPr>
        <w:pStyle w:val="TOC2"/>
        <w:tabs>
          <w:tab w:val="left" w:pos="1440"/>
        </w:tabs>
        <w:rPr>
          <w:rFonts w:asciiTheme="minorHAnsi" w:eastAsiaTheme="minorEastAsia" w:hAnsiTheme="minorHAnsi" w:cstheme="minorBidi"/>
          <w:noProof/>
          <w:sz w:val="22"/>
          <w:szCs w:val="22"/>
        </w:rPr>
      </w:pPr>
      <w:r>
        <w:rPr>
          <w:noProof/>
        </w:rPr>
        <w:t xml:space="preserve">C. </w:t>
      </w:r>
      <w:r>
        <w:rPr>
          <w:rFonts w:asciiTheme="minorHAnsi" w:eastAsiaTheme="minorEastAsia" w:hAnsiTheme="minorHAnsi" w:cstheme="minorBidi"/>
          <w:noProof/>
          <w:sz w:val="22"/>
          <w:szCs w:val="22"/>
        </w:rPr>
        <w:tab/>
      </w:r>
      <w:r>
        <w:rPr>
          <w:noProof/>
        </w:rPr>
        <w:t>OCC should have the ability to raise cost-shifting issues associated with Rider NMB in this proceeding.</w:t>
      </w:r>
      <w:r>
        <w:rPr>
          <w:noProof/>
        </w:rPr>
        <w:tab/>
      </w:r>
      <w:r>
        <w:rPr>
          <w:noProof/>
        </w:rPr>
        <w:fldChar w:fldCharType="begin"/>
      </w:r>
      <w:r>
        <w:rPr>
          <w:noProof/>
        </w:rPr>
        <w:instrText xml:space="preserve"> PAGEREF _Toc92807162 \h </w:instrText>
      </w:r>
      <w:r>
        <w:rPr>
          <w:noProof/>
        </w:rPr>
        <w:fldChar w:fldCharType="separate"/>
      </w:r>
      <w:r>
        <w:rPr>
          <w:noProof/>
        </w:rPr>
        <w:t>5</w:t>
      </w:r>
      <w:r>
        <w:rPr>
          <w:noProof/>
        </w:rPr>
        <w:fldChar w:fldCharType="end"/>
      </w:r>
    </w:p>
    <w:p w:rsidR="00480B80" w14:paraId="5D86AE1C" w14:textId="4E219C66">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MEMORANDUM CONTRA MOTION TO STRIKE OBJECTIONS AND COMMENTS</w:t>
      </w:r>
      <w:r>
        <w:rPr>
          <w:noProof/>
        </w:rPr>
        <w:tab/>
      </w:r>
      <w:r>
        <w:rPr>
          <w:noProof/>
        </w:rPr>
        <w:fldChar w:fldCharType="begin"/>
      </w:r>
      <w:r>
        <w:rPr>
          <w:noProof/>
        </w:rPr>
        <w:instrText xml:space="preserve"> PAGEREF _Toc92807163 \h </w:instrText>
      </w:r>
      <w:r>
        <w:rPr>
          <w:noProof/>
        </w:rPr>
        <w:fldChar w:fldCharType="separate"/>
      </w:r>
      <w:r>
        <w:rPr>
          <w:noProof/>
        </w:rPr>
        <w:t>6</w:t>
      </w:r>
      <w:r>
        <w:rPr>
          <w:noProof/>
        </w:rPr>
        <w:fldChar w:fldCharType="end"/>
      </w:r>
    </w:p>
    <w:p w:rsidR="00480B80" w14:paraId="12D24084" w14:textId="058F0E87">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OCC’s objections are not improper or prejudicial.</w:t>
      </w:r>
      <w:r>
        <w:rPr>
          <w:noProof/>
        </w:rPr>
        <w:tab/>
      </w:r>
      <w:r>
        <w:rPr>
          <w:noProof/>
        </w:rPr>
        <w:fldChar w:fldCharType="begin"/>
      </w:r>
      <w:r>
        <w:rPr>
          <w:noProof/>
        </w:rPr>
        <w:instrText xml:space="preserve"> PAGEREF _Toc92807164 \h </w:instrText>
      </w:r>
      <w:r>
        <w:rPr>
          <w:noProof/>
        </w:rPr>
        <w:fldChar w:fldCharType="separate"/>
      </w:r>
      <w:r>
        <w:rPr>
          <w:noProof/>
        </w:rPr>
        <w:t>6</w:t>
      </w:r>
      <w:r>
        <w:rPr>
          <w:noProof/>
        </w:rPr>
        <w:fldChar w:fldCharType="end"/>
      </w:r>
    </w:p>
    <w:p w:rsidR="00480B80" w14:paraId="2701C15A" w14:textId="677A0EEA">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OCC’s objections are well made.</w:t>
      </w:r>
      <w:r>
        <w:rPr>
          <w:noProof/>
        </w:rPr>
        <w:tab/>
      </w:r>
      <w:r>
        <w:rPr>
          <w:noProof/>
        </w:rPr>
        <w:fldChar w:fldCharType="begin"/>
      </w:r>
      <w:r>
        <w:rPr>
          <w:noProof/>
        </w:rPr>
        <w:instrText xml:space="preserve"> PAGEREF _Toc92807165 \h </w:instrText>
      </w:r>
      <w:r>
        <w:rPr>
          <w:noProof/>
        </w:rPr>
        <w:fldChar w:fldCharType="separate"/>
      </w:r>
      <w:r>
        <w:rPr>
          <w:noProof/>
        </w:rPr>
        <w:t>7</w:t>
      </w:r>
      <w:r>
        <w:rPr>
          <w:noProof/>
        </w:rPr>
        <w:fldChar w:fldCharType="end"/>
      </w:r>
    </w:p>
    <w:p w:rsidR="00480B80" w14:paraId="0963526B" w14:textId="11445E43">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The Rider NMB pilot program should be evaluated by the PUCO Staff according to the PUCO’s stated criteria before the pilot program is extended to allow additional participants.</w:t>
      </w:r>
      <w:r>
        <w:rPr>
          <w:noProof/>
        </w:rPr>
        <w:tab/>
      </w:r>
      <w:r>
        <w:rPr>
          <w:noProof/>
        </w:rPr>
        <w:fldChar w:fldCharType="begin"/>
      </w:r>
      <w:r>
        <w:rPr>
          <w:noProof/>
        </w:rPr>
        <w:instrText xml:space="preserve"> PAGEREF _Toc92807166 \h </w:instrText>
      </w:r>
      <w:r>
        <w:rPr>
          <w:noProof/>
        </w:rPr>
        <w:fldChar w:fldCharType="separate"/>
      </w:r>
      <w:r>
        <w:rPr>
          <w:noProof/>
        </w:rPr>
        <w:t>7</w:t>
      </w:r>
      <w:r>
        <w:rPr>
          <w:noProof/>
        </w:rPr>
        <w:fldChar w:fldCharType="end"/>
      </w:r>
    </w:p>
    <w:p w:rsidR="00480B80" w14:paraId="425D999B" w14:textId="311A8DED">
      <w:pPr>
        <w:pStyle w:val="TOC3"/>
        <w:tabs>
          <w:tab w:val="left" w:pos="21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The Rider NMB pilot program review should include whether and how much transmission costs are being shifted to non-participating customers.</w:t>
      </w:r>
      <w:r>
        <w:rPr>
          <w:noProof/>
        </w:rPr>
        <w:tab/>
      </w:r>
      <w:r>
        <w:rPr>
          <w:noProof/>
        </w:rPr>
        <w:fldChar w:fldCharType="begin"/>
      </w:r>
      <w:r>
        <w:rPr>
          <w:noProof/>
        </w:rPr>
        <w:instrText xml:space="preserve"> PAGEREF _Toc92807167 \h </w:instrText>
      </w:r>
      <w:r>
        <w:rPr>
          <w:noProof/>
        </w:rPr>
        <w:fldChar w:fldCharType="separate"/>
      </w:r>
      <w:r>
        <w:rPr>
          <w:noProof/>
        </w:rPr>
        <w:t>8</w:t>
      </w:r>
      <w:r>
        <w:rPr>
          <w:noProof/>
        </w:rPr>
        <w:fldChar w:fldCharType="end"/>
      </w:r>
    </w:p>
    <w:p w:rsidR="00480B80" w14:paraId="1BDA94C5" w14:textId="05AE1ECE">
      <w:pPr>
        <w:pStyle w:val="TOC1"/>
        <w:rPr>
          <w:rFonts w:asciiTheme="minorHAnsi" w:eastAsiaTheme="minorEastAsia" w:hAnsiTheme="minorHAnsi" w:cstheme="minorBidi"/>
          <w:noProof/>
          <w:sz w:val="22"/>
          <w:szCs w:val="22"/>
        </w:rPr>
      </w:pPr>
      <w:r>
        <w:rPr>
          <w:noProof/>
        </w:rPr>
        <w:t xml:space="preserve">III. </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_Toc92807168 \h </w:instrText>
      </w:r>
      <w:r>
        <w:rPr>
          <w:noProof/>
        </w:rPr>
        <w:fldChar w:fldCharType="separate"/>
      </w:r>
      <w:r>
        <w:rPr>
          <w:noProof/>
        </w:rPr>
        <w:t>11</w:t>
      </w:r>
      <w:r>
        <w:rPr>
          <w:noProof/>
        </w:rPr>
        <w:fldChar w:fldCharType="end"/>
      </w:r>
    </w:p>
    <w:p w:rsidR="00E75755" w:rsidRPr="00AC0DF0" w:rsidP="00676B2A" w14:paraId="0E263937" w14:textId="2B8A0BA8">
      <w:pPr>
        <w:tabs>
          <w:tab w:val="left" w:pos="4815"/>
        </w:tabs>
        <w:rPr>
          <w:szCs w:val="24"/>
        </w:rPr>
      </w:pPr>
      <w:r w:rsidRPr="00AC0DF0">
        <w:rPr>
          <w:szCs w:val="24"/>
        </w:rPr>
        <w:fldChar w:fldCharType="end"/>
      </w:r>
      <w:r w:rsidRPr="00AC0DF0" w:rsidR="00676B2A">
        <w:rPr>
          <w:szCs w:val="24"/>
        </w:rPr>
        <w:tab/>
      </w:r>
    </w:p>
    <w:p w:rsidR="00FD1243" w:rsidRPr="00AC0DF0" w:rsidP="00E75755" w14:paraId="68416C0E" w14:textId="77777777">
      <w:pPr>
        <w:rPr>
          <w:szCs w:val="24"/>
        </w:rPr>
      </w:pPr>
    </w:p>
    <w:p w:rsidR="00FD1243" w:rsidRPr="00AC0DF0" w:rsidP="00FD1243" w14:paraId="0B21D50B" w14:textId="0BA2B0AC">
      <w:pPr>
        <w:tabs>
          <w:tab w:val="left" w:pos="4320"/>
        </w:tabs>
        <w:ind w:firstLine="3600"/>
        <w:rPr>
          <w:szCs w:val="24"/>
        </w:rPr>
      </w:pPr>
    </w:p>
    <w:p w:rsidR="00FD1243" w:rsidRPr="00AC0DF0" w:rsidP="003C1E17" w14:paraId="2BF6AC50" w14:textId="1073F0A9">
      <w:pPr>
        <w:pStyle w:val="Heading1"/>
        <w:keepNext w:val="0"/>
        <w:tabs>
          <w:tab w:val="left" w:pos="5880"/>
        </w:tabs>
        <w:ind w:right="-648" w:firstLine="3600"/>
      </w:pPr>
      <w:r w:rsidRPr="00AC0DF0">
        <w:tab/>
      </w:r>
    </w:p>
    <w:p w:rsidR="003C1E17" w:rsidRPr="00AC0DF0" w:rsidP="003C1E17" w14:paraId="002F6D23" w14:textId="77777777">
      <w:pPr>
        <w:tabs>
          <w:tab w:val="left" w:pos="5880"/>
        </w:tabs>
        <w:rPr>
          <w:szCs w:val="24"/>
        </w:rPr>
      </w:pPr>
    </w:p>
    <w:p w:rsidR="003C1E17" w:rsidRPr="00AC0DF0" w:rsidP="003C1E17" w14:paraId="18822E39" w14:textId="77777777">
      <w:pPr>
        <w:tabs>
          <w:tab w:val="left" w:pos="5880"/>
        </w:tabs>
        <w:rPr>
          <w:szCs w:val="24"/>
        </w:rPr>
      </w:pPr>
    </w:p>
    <w:p w:rsidR="003C1E17" w:rsidRPr="00AC0DF0" w:rsidP="003C1E17" w14:paraId="596AC7EB" w14:textId="77777777">
      <w:pPr>
        <w:tabs>
          <w:tab w:val="left" w:pos="5880"/>
        </w:tabs>
        <w:rPr>
          <w:noProof/>
          <w:szCs w:val="24"/>
        </w:rPr>
      </w:pPr>
    </w:p>
    <w:p w:rsidR="00FD1243" w:rsidRPr="00AC0DF0" w:rsidP="003C1E17" w14:paraId="0F644B41" w14:textId="06D09F32">
      <w:pPr>
        <w:tabs>
          <w:tab w:val="left" w:pos="5880"/>
        </w:tabs>
        <w:rPr>
          <w:szCs w:val="24"/>
        </w:rPr>
        <w:sectPr w:rsidSect="005A7E3C">
          <w:pgSz w:w="12240" w:h="15840"/>
          <w:pgMar w:top="1440" w:right="1800" w:bottom="1440" w:left="1800" w:header="720" w:footer="720" w:gutter="0"/>
          <w:pgNumType w:fmt="lowerRoman" w:start="1"/>
          <w:cols w:space="720"/>
          <w:titlePg/>
          <w:docGrid w:linePitch="326"/>
        </w:sectPr>
      </w:pPr>
      <w:r w:rsidRPr="00AC0DF0">
        <w:rPr>
          <w:szCs w:val="24"/>
        </w:rPr>
        <w:tab/>
      </w:r>
    </w:p>
    <w:p w:rsidR="00A044B5" w:rsidRPr="00AC0DF0" w:rsidP="007950A4" w14:paraId="40D93619" w14:textId="77777777">
      <w:pPr>
        <w:pStyle w:val="HTMLPreformatted"/>
        <w:jc w:val="center"/>
        <w:rPr>
          <w:rFonts w:ascii="Times New Roman" w:hAnsi="Times New Roman" w:cs="Times New Roman"/>
          <w:b/>
          <w:bCs/>
          <w:sz w:val="24"/>
          <w:szCs w:val="24"/>
        </w:rPr>
      </w:pPr>
      <w:r w:rsidRPr="00AC0DF0">
        <w:rPr>
          <w:rFonts w:ascii="Times New Roman" w:hAnsi="Times New Roman" w:cs="Times New Roman"/>
          <w:b/>
          <w:bCs/>
          <w:sz w:val="24"/>
          <w:szCs w:val="24"/>
        </w:rPr>
        <w:t>BEFORE</w:t>
      </w:r>
    </w:p>
    <w:p w:rsidR="00A044B5" w:rsidRPr="00AC0DF0" w:rsidP="007950A4" w14:paraId="67FD471A" w14:textId="77777777">
      <w:pPr>
        <w:pStyle w:val="HTMLPreformatted"/>
        <w:jc w:val="center"/>
        <w:rPr>
          <w:rFonts w:ascii="Times New Roman" w:hAnsi="Times New Roman" w:cs="Times New Roman"/>
          <w:sz w:val="24"/>
          <w:szCs w:val="24"/>
        </w:rPr>
      </w:pPr>
      <w:r w:rsidRPr="00AC0DF0">
        <w:rPr>
          <w:rFonts w:ascii="Times New Roman" w:hAnsi="Times New Roman" w:cs="Times New Roman"/>
          <w:b/>
          <w:bCs/>
          <w:sz w:val="24"/>
          <w:szCs w:val="24"/>
        </w:rPr>
        <w:t>THE PUBLIC UTILITIES COMMISSION OF OHIO</w:t>
      </w:r>
    </w:p>
    <w:p w:rsidR="00A044B5" w:rsidRPr="00AC0DF0" w:rsidP="007950A4" w14:paraId="7A9DB178" w14:textId="77777777">
      <w:pPr>
        <w:pStyle w:val="HTMLPreformatted"/>
        <w:rPr>
          <w:rFonts w:ascii="Times New Roman" w:hAnsi="Times New Roman" w:cs="Times New Roman"/>
          <w:sz w:val="24"/>
          <w:szCs w:val="24"/>
        </w:rPr>
      </w:pPr>
    </w:p>
    <w:tbl>
      <w:tblPr>
        <w:tblW w:w="8730" w:type="dxa"/>
        <w:tblLook w:val="01E0"/>
      </w:tblPr>
      <w:tblGrid>
        <w:gridCol w:w="4230"/>
        <w:gridCol w:w="450"/>
        <w:gridCol w:w="4050"/>
      </w:tblGrid>
      <w:tr w14:paraId="1A6C51F1" w14:textId="77777777" w:rsidTr="005A7E3C">
        <w:tblPrEx>
          <w:tblW w:w="8730" w:type="dxa"/>
          <w:tblLook w:val="01E0"/>
        </w:tblPrEx>
        <w:trPr>
          <w:trHeight w:val="807"/>
        </w:trPr>
        <w:tc>
          <w:tcPr>
            <w:tcW w:w="4230" w:type="dxa"/>
            <w:shd w:val="clear" w:color="auto" w:fill="auto"/>
          </w:tcPr>
          <w:p w:rsidR="00E27589" w:rsidRPr="00AC0DF0" w:rsidP="007950A4" w14:paraId="0EAE408F"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In the Matter of</w:t>
            </w:r>
            <w:r w:rsidRPr="00AC0DF0" w:rsidR="006A2F84">
              <w:rPr>
                <w:rFonts w:ascii="Times New Roman" w:hAnsi="Times New Roman" w:cs="Times New Roman"/>
                <w:sz w:val="24"/>
                <w:szCs w:val="24"/>
              </w:rPr>
              <w:t xml:space="preserve"> the Application </w:t>
            </w:r>
            <w:r w:rsidRPr="00AC0DF0">
              <w:rPr>
                <w:rFonts w:ascii="Times New Roman" w:hAnsi="Times New Roman" w:cs="Times New Roman"/>
                <w:sz w:val="24"/>
                <w:szCs w:val="24"/>
              </w:rPr>
              <w:t>for</w:t>
            </w:r>
          </w:p>
          <w:p w:rsidR="00E27589" w:rsidRPr="00AC0DF0" w:rsidP="007950A4" w14:paraId="4DEF5A15"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 xml:space="preserve">Establishment of a Unique </w:t>
            </w:r>
          </w:p>
          <w:p w:rsidR="00A044B5" w:rsidRPr="00AC0DF0" w:rsidP="007950A4" w14:paraId="725FB0F1"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Arrangement for Toshi CMC, LLC</w:t>
            </w:r>
            <w:r w:rsidRPr="00AC0DF0" w:rsidR="00317043">
              <w:rPr>
                <w:rFonts w:ascii="Times New Roman" w:hAnsi="Times New Roman" w:cs="Times New Roman"/>
                <w:sz w:val="24"/>
                <w:szCs w:val="24"/>
              </w:rPr>
              <w:t>.</w:t>
            </w:r>
          </w:p>
        </w:tc>
        <w:tc>
          <w:tcPr>
            <w:tcW w:w="450" w:type="dxa"/>
            <w:shd w:val="clear" w:color="auto" w:fill="auto"/>
          </w:tcPr>
          <w:p w:rsidR="00A044B5" w:rsidRPr="00AC0DF0" w:rsidP="007950A4" w14:paraId="5C13FB2B"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w:t>
            </w:r>
          </w:p>
          <w:p w:rsidR="00A044B5" w:rsidRPr="00AC0DF0" w:rsidP="007950A4" w14:paraId="059796F0"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w:t>
            </w:r>
          </w:p>
          <w:p w:rsidR="00A044B5" w:rsidRPr="00AC0DF0" w:rsidP="007950A4" w14:paraId="6BBBFFF9" w14:textId="65A2BD1B">
            <w:pPr>
              <w:pStyle w:val="HTMLPreformatted"/>
              <w:rPr>
                <w:rFonts w:ascii="Times New Roman" w:hAnsi="Times New Roman" w:cs="Times New Roman"/>
                <w:sz w:val="24"/>
                <w:szCs w:val="24"/>
              </w:rPr>
            </w:pPr>
            <w:r w:rsidRPr="00AC0DF0">
              <w:rPr>
                <w:rFonts w:ascii="Times New Roman" w:hAnsi="Times New Roman" w:cs="Times New Roman"/>
                <w:sz w:val="24"/>
                <w:szCs w:val="24"/>
              </w:rPr>
              <w:t>)</w:t>
            </w:r>
          </w:p>
        </w:tc>
        <w:tc>
          <w:tcPr>
            <w:tcW w:w="4050" w:type="dxa"/>
            <w:shd w:val="clear" w:color="auto" w:fill="auto"/>
          </w:tcPr>
          <w:p w:rsidR="00A044B5" w:rsidRPr="00AC0DF0" w:rsidP="007950A4" w14:paraId="2657DCF5" w14:textId="77777777">
            <w:pPr>
              <w:pStyle w:val="HTMLPreformatted"/>
              <w:rPr>
                <w:rFonts w:ascii="Times New Roman" w:hAnsi="Times New Roman" w:cs="Times New Roman"/>
                <w:sz w:val="24"/>
                <w:szCs w:val="24"/>
              </w:rPr>
            </w:pPr>
          </w:p>
          <w:p w:rsidR="00A044B5" w:rsidRPr="00AC0DF0" w:rsidP="007950A4" w14:paraId="13C47341" w14:textId="77777777">
            <w:pPr>
              <w:pStyle w:val="HTMLPreformatted"/>
              <w:rPr>
                <w:rFonts w:ascii="Times New Roman" w:hAnsi="Times New Roman" w:cs="Times New Roman"/>
                <w:sz w:val="24"/>
                <w:szCs w:val="24"/>
              </w:rPr>
            </w:pPr>
            <w:r w:rsidRPr="00AC0DF0">
              <w:rPr>
                <w:rFonts w:ascii="Times New Roman" w:hAnsi="Times New Roman" w:cs="Times New Roman"/>
                <w:sz w:val="24"/>
                <w:szCs w:val="24"/>
              </w:rPr>
              <w:t xml:space="preserve">Case No. </w:t>
            </w:r>
            <w:r w:rsidRPr="00AC0DF0" w:rsidR="006A2F84">
              <w:rPr>
                <w:rFonts w:ascii="Times New Roman" w:hAnsi="Times New Roman" w:cs="Times New Roman"/>
                <w:sz w:val="24"/>
                <w:szCs w:val="24"/>
              </w:rPr>
              <w:t>21-1</w:t>
            </w:r>
            <w:r w:rsidRPr="00AC0DF0" w:rsidR="00E27589">
              <w:rPr>
                <w:rFonts w:ascii="Times New Roman" w:hAnsi="Times New Roman" w:cs="Times New Roman"/>
                <w:sz w:val="24"/>
                <w:szCs w:val="24"/>
              </w:rPr>
              <w:t>205</w:t>
            </w:r>
            <w:r w:rsidRPr="00AC0DF0" w:rsidR="006A2F84">
              <w:rPr>
                <w:rFonts w:ascii="Times New Roman" w:hAnsi="Times New Roman" w:cs="Times New Roman"/>
                <w:sz w:val="24"/>
                <w:szCs w:val="24"/>
              </w:rPr>
              <w:t>-EL-AEC</w:t>
            </w:r>
          </w:p>
          <w:p w:rsidR="00A044B5" w:rsidRPr="00AC0DF0" w:rsidP="007950A4" w14:paraId="25391877" w14:textId="77777777">
            <w:pPr>
              <w:pStyle w:val="HTMLPreformatted"/>
              <w:rPr>
                <w:rFonts w:ascii="Times New Roman" w:hAnsi="Times New Roman" w:cs="Times New Roman"/>
                <w:sz w:val="24"/>
                <w:szCs w:val="24"/>
              </w:rPr>
            </w:pPr>
          </w:p>
        </w:tc>
      </w:tr>
    </w:tbl>
    <w:p w:rsidR="00A044B5" w:rsidRPr="00AC0DF0" w:rsidP="007950A4" w14:paraId="489053AE" w14:textId="77777777">
      <w:pPr>
        <w:pStyle w:val="HTMLPreformatted"/>
        <w:rPr>
          <w:rFonts w:ascii="Times New Roman" w:hAnsi="Times New Roman" w:cs="Times New Roman"/>
          <w:sz w:val="24"/>
          <w:szCs w:val="24"/>
        </w:rPr>
      </w:pPr>
    </w:p>
    <w:p w:rsidR="00A044B5" w:rsidRPr="00AC0DF0" w:rsidP="007950A4" w14:paraId="63E71ED6" w14:textId="77777777">
      <w:pPr>
        <w:pStyle w:val="HTMLPreformatted"/>
        <w:pBdr>
          <w:top w:val="single" w:sz="12" w:space="1" w:color="auto"/>
        </w:pBdr>
        <w:rPr>
          <w:rFonts w:ascii="Times New Roman" w:hAnsi="Times New Roman" w:cs="Times New Roman"/>
          <w:sz w:val="24"/>
          <w:szCs w:val="24"/>
        </w:rPr>
      </w:pPr>
    </w:p>
    <w:p w:rsidR="00CF1733" w:rsidRPr="00AC0DF0" w:rsidP="007950A4" w14:paraId="3496F5C6" w14:textId="77777777">
      <w:pPr>
        <w:jc w:val="center"/>
        <w:rPr>
          <w:b/>
          <w:bCs/>
          <w:szCs w:val="24"/>
        </w:rPr>
      </w:pPr>
      <w:r w:rsidRPr="00AC0DF0">
        <w:rPr>
          <w:b/>
          <w:bCs/>
          <w:szCs w:val="24"/>
        </w:rPr>
        <w:t xml:space="preserve">REPLY IN SUPPORT OF </w:t>
      </w:r>
      <w:r w:rsidRPr="00AC0DF0" w:rsidR="00A044B5">
        <w:rPr>
          <w:b/>
          <w:bCs/>
          <w:szCs w:val="24"/>
        </w:rPr>
        <w:t>MOTION TO INTERVENE</w:t>
      </w:r>
      <w:r w:rsidRPr="00AC0DF0">
        <w:rPr>
          <w:b/>
          <w:bCs/>
          <w:szCs w:val="24"/>
        </w:rPr>
        <w:t xml:space="preserve"> </w:t>
      </w:r>
    </w:p>
    <w:p w:rsidR="00CF1733" w:rsidRPr="00AC0DF0" w:rsidP="007950A4" w14:paraId="1E5F7457" w14:textId="77777777">
      <w:pPr>
        <w:jc w:val="center"/>
        <w:rPr>
          <w:b/>
          <w:bCs/>
          <w:szCs w:val="24"/>
        </w:rPr>
      </w:pPr>
      <w:r w:rsidRPr="00AC0DF0">
        <w:rPr>
          <w:b/>
          <w:bCs/>
          <w:szCs w:val="24"/>
        </w:rPr>
        <w:t xml:space="preserve">AND MEMORANDUM CONTRA MOTION TO STRIKE </w:t>
      </w:r>
    </w:p>
    <w:p w:rsidR="00723316" w:rsidRPr="00AC0DF0" w:rsidP="007950A4" w14:paraId="4EFEE50D" w14:textId="77777777">
      <w:pPr>
        <w:jc w:val="center"/>
        <w:rPr>
          <w:b/>
          <w:bCs/>
          <w:szCs w:val="24"/>
        </w:rPr>
      </w:pPr>
      <w:r w:rsidRPr="00AC0DF0">
        <w:rPr>
          <w:b/>
          <w:bCs/>
          <w:szCs w:val="24"/>
        </w:rPr>
        <w:t xml:space="preserve">OBJECTIONS AND COMMENTS </w:t>
      </w:r>
    </w:p>
    <w:p w:rsidR="00A044B5" w:rsidRPr="00AC0DF0" w:rsidP="007950A4" w14:paraId="23A60D73" w14:textId="77777777">
      <w:pPr>
        <w:jc w:val="center"/>
        <w:rPr>
          <w:b/>
          <w:bCs/>
          <w:szCs w:val="24"/>
        </w:rPr>
      </w:pPr>
      <w:r w:rsidRPr="00AC0DF0">
        <w:rPr>
          <w:b/>
          <w:bCs/>
          <w:szCs w:val="24"/>
        </w:rPr>
        <w:t>BY</w:t>
      </w:r>
    </w:p>
    <w:p w:rsidR="00A044B5" w:rsidRPr="00AC0DF0" w:rsidP="007950A4" w14:paraId="345EB391" w14:textId="77777777">
      <w:pPr>
        <w:jc w:val="center"/>
        <w:rPr>
          <w:b/>
          <w:bCs/>
          <w:szCs w:val="24"/>
        </w:rPr>
      </w:pPr>
      <w:r w:rsidRPr="00AC0DF0">
        <w:rPr>
          <w:b/>
          <w:bCs/>
          <w:szCs w:val="24"/>
        </w:rPr>
        <w:t>OFFICE OF THE OHIO CONSUMERS’ COUNSEL</w:t>
      </w:r>
    </w:p>
    <w:p w:rsidR="00A044B5" w:rsidRPr="00AC0DF0" w:rsidP="007950A4" w14:paraId="301BA3C2" w14:textId="77777777">
      <w:pPr>
        <w:pBdr>
          <w:bottom w:val="single" w:sz="12" w:space="1" w:color="auto"/>
        </w:pBdr>
        <w:tabs>
          <w:tab w:val="left" w:pos="4320"/>
        </w:tabs>
        <w:rPr>
          <w:szCs w:val="24"/>
        </w:rPr>
      </w:pPr>
    </w:p>
    <w:p w:rsidR="00A044B5" w:rsidRPr="00AC0DF0" w:rsidP="007950A4" w14:paraId="2F661A67" w14:textId="77777777">
      <w:pPr>
        <w:tabs>
          <w:tab w:val="left" w:pos="4320"/>
        </w:tabs>
        <w:rPr>
          <w:szCs w:val="24"/>
        </w:rPr>
      </w:pPr>
    </w:p>
    <w:p w:rsidR="00340584" w:rsidRPr="00AC0DF0" w:rsidP="007950A4" w14:paraId="7B0F9B7C" w14:textId="77777777">
      <w:pPr>
        <w:pStyle w:val="BodyTextIndent3"/>
        <w:spacing w:line="480" w:lineRule="auto"/>
        <w:ind w:right="-312"/>
        <w:rPr>
          <w:szCs w:val="24"/>
        </w:rPr>
      </w:pPr>
      <w:r w:rsidRPr="00AC0DF0">
        <w:rPr>
          <w:szCs w:val="24"/>
        </w:rPr>
        <w:t xml:space="preserve">The PUCO should reject </w:t>
      </w:r>
      <w:r w:rsidRPr="00AC0DF0" w:rsidR="0009317A">
        <w:rPr>
          <w:szCs w:val="24"/>
        </w:rPr>
        <w:t>Toshi’s</w:t>
      </w:r>
      <w:r w:rsidRPr="00AC0DF0" w:rsidR="00875882">
        <w:rPr>
          <w:szCs w:val="24"/>
        </w:rPr>
        <w:t xml:space="preserve"> (or </w:t>
      </w:r>
      <w:r w:rsidRPr="00AC0DF0" w:rsidR="0093101F">
        <w:rPr>
          <w:szCs w:val="24"/>
        </w:rPr>
        <w:t>“Applicant”)</w:t>
      </w:r>
      <w:r w:rsidRPr="00AC0DF0">
        <w:rPr>
          <w:szCs w:val="24"/>
        </w:rPr>
        <w:t xml:space="preserve"> attempt to silence the state’s residential consumer advocate (OCC) </w:t>
      </w:r>
      <w:r w:rsidRPr="00AC0DF0" w:rsidR="00D83334">
        <w:rPr>
          <w:szCs w:val="24"/>
        </w:rPr>
        <w:t>in a case where residential customer</w:t>
      </w:r>
      <w:r w:rsidRPr="00AC0DF0" w:rsidR="00980851">
        <w:rPr>
          <w:szCs w:val="24"/>
        </w:rPr>
        <w:t>s</w:t>
      </w:r>
      <w:r w:rsidRPr="00AC0DF0" w:rsidR="00D83334">
        <w:rPr>
          <w:szCs w:val="24"/>
        </w:rPr>
        <w:t xml:space="preserve"> may be asked to pay </w:t>
      </w:r>
      <w:r w:rsidRPr="00AC0DF0" w:rsidR="0012179E">
        <w:rPr>
          <w:szCs w:val="24"/>
        </w:rPr>
        <w:t xml:space="preserve">more because of </w:t>
      </w:r>
      <w:r w:rsidRPr="00AC0DF0" w:rsidR="0009317A">
        <w:rPr>
          <w:szCs w:val="24"/>
        </w:rPr>
        <w:t xml:space="preserve">the Applicant ‘s participation in a pilot program. </w:t>
      </w:r>
      <w:r w:rsidRPr="00AC0DF0">
        <w:rPr>
          <w:szCs w:val="24"/>
        </w:rPr>
        <w:t xml:space="preserve">OCC represents </w:t>
      </w:r>
      <w:r w:rsidRPr="00AC0DF0" w:rsidR="00E27589">
        <w:rPr>
          <w:szCs w:val="24"/>
        </w:rPr>
        <w:t>FirstEnergy’s 1.9 million</w:t>
      </w:r>
      <w:r w:rsidRPr="00AC0DF0">
        <w:rPr>
          <w:szCs w:val="24"/>
        </w:rPr>
        <w:t xml:space="preserve"> residential consumers, all of whom</w:t>
      </w:r>
      <w:r w:rsidRPr="00AC0DF0" w:rsidR="009A628B">
        <w:rPr>
          <w:szCs w:val="24"/>
        </w:rPr>
        <w:t xml:space="preserve"> may be </w:t>
      </w:r>
      <w:r w:rsidRPr="00AC0DF0">
        <w:rPr>
          <w:szCs w:val="24"/>
        </w:rPr>
        <w:t xml:space="preserve">affected by </w:t>
      </w:r>
      <w:r w:rsidRPr="00AC0DF0" w:rsidR="004E02D5">
        <w:rPr>
          <w:szCs w:val="24"/>
        </w:rPr>
        <w:t xml:space="preserve">the </w:t>
      </w:r>
      <w:r w:rsidRPr="00AC0DF0">
        <w:rPr>
          <w:szCs w:val="24"/>
        </w:rPr>
        <w:t>application. The PUCO should grant OCC intervention in this case, as it has in numerous reasonable arrangement cases.</w:t>
      </w:r>
      <w:r w:rsidRPr="00AC0DF0" w:rsidR="00F21DEF">
        <w:rPr>
          <w:szCs w:val="24"/>
        </w:rPr>
        <w:t xml:space="preserve"> OCC easily satisfies the statutory standard for intervention.</w:t>
      </w:r>
    </w:p>
    <w:p w:rsidR="00AB60F7" w:rsidRPr="00AC0DF0" w:rsidP="00AB60F7" w14:paraId="20CCDB7C" w14:textId="77777777">
      <w:pPr>
        <w:pStyle w:val="BodyTextIndent3"/>
        <w:spacing w:line="240" w:lineRule="auto"/>
        <w:ind w:right="-312"/>
        <w:rPr>
          <w:szCs w:val="24"/>
        </w:rPr>
      </w:pPr>
    </w:p>
    <w:p w:rsidR="00340584" w:rsidRPr="00AC0DF0" w:rsidP="00137CBD" w14:paraId="6E0CEC33" w14:textId="1E8153AF">
      <w:pPr>
        <w:pStyle w:val="Heading1"/>
      </w:pPr>
      <w:bookmarkStart w:id="0" w:name="_Toc92789791"/>
      <w:bookmarkStart w:id="1" w:name="_Toc92807159"/>
      <w:r w:rsidRPr="00AC0DF0">
        <w:t>I.</w:t>
      </w:r>
      <w:r w:rsidRPr="00AC0DF0">
        <w:tab/>
        <w:t>REPLY</w:t>
      </w:r>
      <w:r w:rsidRPr="00AC0DF0" w:rsidR="00CF1733">
        <w:t xml:space="preserve"> IN SUPPORT OF OCC’S INTERVENTION</w:t>
      </w:r>
      <w:bookmarkEnd w:id="0"/>
      <w:bookmarkEnd w:id="1"/>
    </w:p>
    <w:p w:rsidR="00340584" w:rsidRPr="00AC0DF0" w:rsidP="00137CBD" w14:paraId="00CE5DA9" w14:textId="671CE06D">
      <w:pPr>
        <w:pStyle w:val="Heading2"/>
        <w:rPr>
          <w:szCs w:val="24"/>
        </w:rPr>
      </w:pPr>
      <w:bookmarkStart w:id="2" w:name="_Toc92789792"/>
      <w:bookmarkStart w:id="3" w:name="_Toc92807160"/>
      <w:r w:rsidRPr="00AC0DF0">
        <w:rPr>
          <w:szCs w:val="24"/>
        </w:rPr>
        <w:t>A</w:t>
      </w:r>
      <w:r w:rsidRPr="00AC0DF0" w:rsidR="00F21DEF">
        <w:rPr>
          <w:szCs w:val="24"/>
        </w:rPr>
        <w:t>.</w:t>
      </w:r>
      <w:r w:rsidRPr="00AC0DF0" w:rsidR="00F21DEF">
        <w:rPr>
          <w:szCs w:val="24"/>
        </w:rPr>
        <w:tab/>
      </w:r>
      <w:r w:rsidRPr="00AC0DF0">
        <w:rPr>
          <w:szCs w:val="24"/>
        </w:rPr>
        <w:t>OCC</w:t>
      </w:r>
      <w:r w:rsidRPr="00AC0DF0" w:rsidR="00D8197C">
        <w:rPr>
          <w:szCs w:val="24"/>
        </w:rPr>
        <w:t xml:space="preserve"> may be adversely affect</w:t>
      </w:r>
      <w:r w:rsidRPr="00AC0DF0" w:rsidR="00CA6640">
        <w:rPr>
          <w:szCs w:val="24"/>
        </w:rPr>
        <w:t>ed</w:t>
      </w:r>
      <w:r w:rsidRPr="00AC0DF0" w:rsidR="00D8197C">
        <w:rPr>
          <w:szCs w:val="24"/>
        </w:rPr>
        <w:t xml:space="preserve"> by this proceeding and meets the criteria for interv</w:t>
      </w:r>
      <w:r w:rsidRPr="00AC0DF0" w:rsidR="00CA6640">
        <w:rPr>
          <w:szCs w:val="24"/>
        </w:rPr>
        <w:t>en</w:t>
      </w:r>
      <w:r w:rsidRPr="00AC0DF0" w:rsidR="00D8197C">
        <w:rPr>
          <w:szCs w:val="24"/>
        </w:rPr>
        <w:t>tion under Ohio law and the Ohio Administrative Code.</w:t>
      </w:r>
      <w:bookmarkEnd w:id="2"/>
      <w:bookmarkEnd w:id="3"/>
      <w:r w:rsidRPr="00AC0DF0" w:rsidR="000417AB">
        <w:rPr>
          <w:szCs w:val="24"/>
        </w:rPr>
        <w:t xml:space="preserve"> </w:t>
      </w:r>
    </w:p>
    <w:p w:rsidR="00340584" w:rsidRPr="00AC0DF0" w:rsidP="007950A4" w14:paraId="07EBDD10" w14:textId="58678896">
      <w:pPr>
        <w:pStyle w:val="BodyTextIndent3"/>
        <w:spacing w:line="480" w:lineRule="auto"/>
        <w:ind w:right="-312"/>
        <w:rPr>
          <w:szCs w:val="24"/>
        </w:rPr>
      </w:pPr>
      <w:r w:rsidRPr="00AC0DF0">
        <w:rPr>
          <w:szCs w:val="24"/>
        </w:rPr>
        <w:t xml:space="preserve">The law </w:t>
      </w:r>
      <w:r w:rsidRPr="00AC0DF0" w:rsidR="00CA6640">
        <w:rPr>
          <w:szCs w:val="24"/>
        </w:rPr>
        <w:t>allows any person “who may be adversely affected” by a PUCO proceeding to seek intervention in that proceeding.</w:t>
      </w:r>
      <w:r>
        <w:rPr>
          <w:rStyle w:val="FootnoteReference"/>
          <w:szCs w:val="24"/>
        </w:rPr>
        <w:footnoteReference w:id="2"/>
      </w:r>
      <w:r w:rsidRPr="00AC0DF0" w:rsidR="000417AB">
        <w:rPr>
          <w:szCs w:val="24"/>
        </w:rPr>
        <w:t xml:space="preserve"> </w:t>
      </w:r>
      <w:r w:rsidRPr="00AC0DF0" w:rsidR="00CA6640">
        <w:rPr>
          <w:szCs w:val="24"/>
        </w:rPr>
        <w:t xml:space="preserve">The law further </w:t>
      </w:r>
      <w:r w:rsidRPr="00AC0DF0">
        <w:rPr>
          <w:szCs w:val="24"/>
        </w:rPr>
        <w:t xml:space="preserve">requires the PUCO to consider four factors in ruling upon </w:t>
      </w:r>
      <w:r w:rsidRPr="00AC0DF0" w:rsidR="00054D01">
        <w:rPr>
          <w:szCs w:val="24"/>
        </w:rPr>
        <w:t>a</w:t>
      </w:r>
      <w:r w:rsidRPr="00AC0DF0">
        <w:rPr>
          <w:szCs w:val="24"/>
        </w:rPr>
        <w:t xml:space="preserve"> motion to intervene: (1) the “nature and extent” of </w:t>
      </w:r>
      <w:r w:rsidRPr="00AC0DF0" w:rsidR="00054D01">
        <w:rPr>
          <w:szCs w:val="24"/>
        </w:rPr>
        <w:t>the prospective intervenor’s</w:t>
      </w:r>
      <w:r w:rsidRPr="00AC0DF0">
        <w:rPr>
          <w:szCs w:val="24"/>
        </w:rPr>
        <w:t xml:space="preserve"> interests, (2) the “legal position advanced” by </w:t>
      </w:r>
      <w:r w:rsidRPr="00AC0DF0" w:rsidR="00054D01">
        <w:rPr>
          <w:szCs w:val="24"/>
        </w:rPr>
        <w:t>the prospective intervenor</w:t>
      </w:r>
      <w:r w:rsidRPr="00AC0DF0">
        <w:rPr>
          <w:szCs w:val="24"/>
        </w:rPr>
        <w:t xml:space="preserve"> and its “probable relat</w:t>
      </w:r>
      <w:r w:rsidRPr="00AC0DF0" w:rsidR="00E6237C">
        <w:rPr>
          <w:szCs w:val="24"/>
        </w:rPr>
        <w:t>ion</w:t>
      </w:r>
      <w:r w:rsidRPr="00AC0DF0">
        <w:rPr>
          <w:szCs w:val="24"/>
        </w:rPr>
        <w:t xml:space="preserve"> to the merits of the case,” (3) whether </w:t>
      </w:r>
      <w:r w:rsidRPr="00AC0DF0" w:rsidR="00054D01">
        <w:rPr>
          <w:szCs w:val="24"/>
        </w:rPr>
        <w:t>the</w:t>
      </w:r>
      <w:r w:rsidRPr="00AC0DF0">
        <w:rPr>
          <w:szCs w:val="24"/>
        </w:rPr>
        <w:t xml:space="preserve"> </w:t>
      </w:r>
      <w:r w:rsidRPr="00AC0DF0" w:rsidR="00054D01">
        <w:rPr>
          <w:szCs w:val="24"/>
        </w:rPr>
        <w:t>prospective intervenor</w:t>
      </w:r>
      <w:r w:rsidRPr="00AC0DF0">
        <w:rPr>
          <w:szCs w:val="24"/>
        </w:rPr>
        <w:t xml:space="preserve"> “will unduly prolong or delay the proceeding</w:t>
      </w:r>
      <w:r>
        <w:rPr>
          <w:szCs w:val="24"/>
        </w:rPr>
        <w:t>s</w:t>
      </w:r>
      <w:r w:rsidRPr="00AC0DF0">
        <w:rPr>
          <w:szCs w:val="24"/>
        </w:rPr>
        <w:t xml:space="preserve">,” and (4) whether </w:t>
      </w:r>
      <w:r w:rsidRPr="00AC0DF0" w:rsidR="00054D01">
        <w:rPr>
          <w:szCs w:val="24"/>
        </w:rPr>
        <w:t>the prospective intervenor</w:t>
      </w:r>
      <w:r w:rsidRPr="00AC0DF0">
        <w:rPr>
          <w:szCs w:val="24"/>
        </w:rPr>
        <w:t xml:space="preserve"> “will significantly contribute to full development and equitable resolution of the factual issues.”</w:t>
      </w:r>
      <w:r>
        <w:rPr>
          <w:rStyle w:val="FootnoteReference"/>
          <w:szCs w:val="24"/>
        </w:rPr>
        <w:footnoteReference w:id="3"/>
      </w:r>
      <w:r w:rsidRPr="00AC0DF0" w:rsidR="000417AB">
        <w:rPr>
          <w:szCs w:val="24"/>
        </w:rPr>
        <w:t xml:space="preserve"> </w:t>
      </w:r>
      <w:r w:rsidRPr="00AC0DF0" w:rsidR="00EB3383">
        <w:rPr>
          <w:szCs w:val="24"/>
        </w:rPr>
        <w:t>OCC’s motion for intervention explained how OCC has met this standard</w:t>
      </w:r>
      <w:r w:rsidRPr="00AC0DF0" w:rsidR="00CA6640">
        <w:rPr>
          <w:szCs w:val="24"/>
        </w:rPr>
        <w:t xml:space="preserve"> as well as the “real and substantial interest” standard of the Ohio Administrative Code, O.A.C. 4901-1-11(A)(2).</w:t>
      </w:r>
      <w:r w:rsidRPr="00AC0DF0" w:rsidR="005A7E3C">
        <w:rPr>
          <w:szCs w:val="24"/>
        </w:rPr>
        <w:t xml:space="preserve"> </w:t>
      </w:r>
    </w:p>
    <w:p w:rsidR="00D0664F" w:rsidRPr="00AC0DF0" w:rsidP="007950A4" w14:paraId="7E8C58EB" w14:textId="48FF6F33">
      <w:pPr>
        <w:pStyle w:val="BodyTextIndent3"/>
        <w:spacing w:line="480" w:lineRule="auto"/>
        <w:ind w:right="-312"/>
        <w:rPr>
          <w:szCs w:val="24"/>
        </w:rPr>
      </w:pPr>
      <w:r w:rsidRPr="00AC0DF0">
        <w:rPr>
          <w:szCs w:val="24"/>
        </w:rPr>
        <w:t xml:space="preserve">In its memorandum contra OCC’s motion to intervene, </w:t>
      </w:r>
      <w:r w:rsidRPr="00AC0DF0" w:rsidR="0000549D">
        <w:rPr>
          <w:szCs w:val="24"/>
        </w:rPr>
        <w:t xml:space="preserve">the </w:t>
      </w:r>
      <w:r w:rsidRPr="00AC0DF0">
        <w:rPr>
          <w:szCs w:val="24"/>
        </w:rPr>
        <w:t xml:space="preserve">Applicant </w:t>
      </w:r>
      <w:r w:rsidRPr="00AC0DF0" w:rsidR="0000549D">
        <w:rPr>
          <w:szCs w:val="24"/>
        </w:rPr>
        <w:t xml:space="preserve">argues that OCC does not have a </w:t>
      </w:r>
      <w:r w:rsidRPr="00AC0DF0" w:rsidR="00CA6640">
        <w:rPr>
          <w:szCs w:val="24"/>
        </w:rPr>
        <w:t>“</w:t>
      </w:r>
      <w:r w:rsidRPr="00AC0DF0" w:rsidR="0000549D">
        <w:rPr>
          <w:szCs w:val="24"/>
        </w:rPr>
        <w:t>direct, rea</w:t>
      </w:r>
      <w:r w:rsidRPr="00AC0DF0">
        <w:rPr>
          <w:szCs w:val="24"/>
        </w:rPr>
        <w:t>l,</w:t>
      </w:r>
      <w:r w:rsidRPr="00AC0DF0" w:rsidR="0000549D">
        <w:rPr>
          <w:szCs w:val="24"/>
        </w:rPr>
        <w:t xml:space="preserve"> or substantial interest</w:t>
      </w:r>
      <w:r w:rsidRPr="00AC0DF0" w:rsidR="00CA6640">
        <w:rPr>
          <w:szCs w:val="24"/>
        </w:rPr>
        <w:t>”</w:t>
      </w:r>
      <w:r w:rsidRPr="00AC0DF0" w:rsidR="0000549D">
        <w:rPr>
          <w:szCs w:val="24"/>
        </w:rPr>
        <w:t xml:space="preserve"> in this proceeding, and </w:t>
      </w:r>
      <w:r w:rsidRPr="00AC0DF0" w:rsidR="008C63F8">
        <w:rPr>
          <w:szCs w:val="24"/>
        </w:rPr>
        <w:t xml:space="preserve">that OCC’s </w:t>
      </w:r>
      <w:r w:rsidRPr="00AC0DF0" w:rsidR="0000549D">
        <w:rPr>
          <w:szCs w:val="24"/>
        </w:rPr>
        <w:t>arguments are unrelated to the merits of the Applic</w:t>
      </w:r>
      <w:r w:rsidRPr="00AC0DF0">
        <w:rPr>
          <w:szCs w:val="24"/>
        </w:rPr>
        <w:t>a</w:t>
      </w:r>
      <w:r w:rsidRPr="00AC0DF0" w:rsidR="0000549D">
        <w:rPr>
          <w:szCs w:val="24"/>
        </w:rPr>
        <w:t>tion.</w:t>
      </w:r>
      <w:r>
        <w:rPr>
          <w:rStyle w:val="FootnoteReference"/>
          <w:szCs w:val="24"/>
        </w:rPr>
        <w:footnoteReference w:id="4"/>
      </w:r>
      <w:r w:rsidRPr="00AC0DF0" w:rsidR="000417AB">
        <w:rPr>
          <w:szCs w:val="24"/>
        </w:rPr>
        <w:t xml:space="preserve"> </w:t>
      </w:r>
      <w:r w:rsidRPr="00AC0DF0">
        <w:rPr>
          <w:szCs w:val="24"/>
        </w:rPr>
        <w:t>But these arguments evidence a misunderstanding of OCC’s advocacy.</w:t>
      </w:r>
      <w:r w:rsidRPr="00AC0DF0" w:rsidR="000417AB">
        <w:rPr>
          <w:szCs w:val="24"/>
        </w:rPr>
        <w:t xml:space="preserve"> </w:t>
      </w:r>
    </w:p>
    <w:p w:rsidR="0093101F" w:rsidRPr="00AC0DF0" w:rsidP="007950A4" w14:paraId="693C3E38" w14:textId="1FD787E0">
      <w:pPr>
        <w:pStyle w:val="BodyTextIndent3"/>
        <w:spacing w:line="480" w:lineRule="auto"/>
        <w:ind w:right="-312"/>
        <w:rPr>
          <w:szCs w:val="24"/>
        </w:rPr>
      </w:pPr>
      <w:r w:rsidRPr="00AC0DF0">
        <w:rPr>
          <w:szCs w:val="24"/>
        </w:rPr>
        <w:t xml:space="preserve">The Applicant argues that OCC should not be allowed to intervene because </w:t>
      </w:r>
      <w:r w:rsidRPr="00AC0DF0" w:rsidR="008C63F8">
        <w:rPr>
          <w:szCs w:val="24"/>
        </w:rPr>
        <w:t xml:space="preserve">it </w:t>
      </w:r>
      <w:r w:rsidRPr="00AC0DF0">
        <w:rPr>
          <w:szCs w:val="24"/>
        </w:rPr>
        <w:t xml:space="preserve">believes that OCC’s concerns are </w:t>
      </w:r>
      <w:r w:rsidRPr="00AC0DF0" w:rsidR="009A628B">
        <w:rPr>
          <w:szCs w:val="24"/>
        </w:rPr>
        <w:t>“unrelated to the Application in this case.”</w:t>
      </w:r>
      <w:r>
        <w:rPr>
          <w:rStyle w:val="FootnoteReference"/>
          <w:szCs w:val="24"/>
        </w:rPr>
        <w:footnoteReference w:id="5"/>
      </w:r>
      <w:r w:rsidRPr="00AC0DF0" w:rsidR="009A628B">
        <w:rPr>
          <w:szCs w:val="24"/>
        </w:rPr>
        <w:t xml:space="preserve"> </w:t>
      </w:r>
      <w:r w:rsidRPr="00AC0DF0">
        <w:rPr>
          <w:szCs w:val="24"/>
        </w:rPr>
        <w:t xml:space="preserve">The gist of Applicant’s position is </w:t>
      </w:r>
      <w:r w:rsidRPr="00AC0DF0" w:rsidR="00405C6C">
        <w:rPr>
          <w:szCs w:val="24"/>
        </w:rPr>
        <w:t xml:space="preserve">that </w:t>
      </w:r>
      <w:r w:rsidRPr="00AC0DF0">
        <w:rPr>
          <w:szCs w:val="24"/>
        </w:rPr>
        <w:t xml:space="preserve">OCC’s objections pertain to the </w:t>
      </w:r>
      <w:r w:rsidRPr="00AC0DF0" w:rsidR="006E1486">
        <w:rPr>
          <w:szCs w:val="24"/>
        </w:rPr>
        <w:t>“</w:t>
      </w:r>
      <w:r w:rsidRPr="00AC0DF0" w:rsidR="00405C6C">
        <w:rPr>
          <w:szCs w:val="24"/>
        </w:rPr>
        <w:t xml:space="preserve">hypothetical rate impacts of </w:t>
      </w:r>
      <w:r w:rsidRPr="00AC0DF0" w:rsidR="009924CA">
        <w:rPr>
          <w:szCs w:val="24"/>
        </w:rPr>
        <w:t>FirstEnergy’s Rider NMB P</w:t>
      </w:r>
      <w:r w:rsidRPr="00AC0DF0">
        <w:rPr>
          <w:szCs w:val="24"/>
        </w:rPr>
        <w:t xml:space="preserve">ilot </w:t>
      </w:r>
      <w:r w:rsidRPr="00AC0DF0" w:rsidR="009924CA">
        <w:rPr>
          <w:szCs w:val="24"/>
        </w:rPr>
        <w:t>P</w:t>
      </w:r>
      <w:r w:rsidRPr="00AC0DF0">
        <w:rPr>
          <w:szCs w:val="24"/>
        </w:rPr>
        <w:t>rogram</w:t>
      </w:r>
      <w:r w:rsidRPr="00AC0DF0" w:rsidR="00AC0DF0">
        <w:rPr>
          <w:szCs w:val="24"/>
        </w:rPr>
        <w:t xml:space="preserve"> </w:t>
      </w:r>
      <w:r w:rsidRPr="00AC0DF0" w:rsidR="00405C6C">
        <w:rPr>
          <w:szCs w:val="24"/>
        </w:rPr>
        <w:t>which are not at issue in this case.</w:t>
      </w:r>
      <w:r w:rsidRPr="00AC0DF0" w:rsidR="006E1486">
        <w:rPr>
          <w:szCs w:val="24"/>
        </w:rPr>
        <w:t>”</w:t>
      </w:r>
      <w:r>
        <w:rPr>
          <w:rStyle w:val="FootnoteReference"/>
          <w:szCs w:val="24"/>
        </w:rPr>
        <w:footnoteReference w:id="6"/>
      </w:r>
      <w:r w:rsidRPr="00AC0DF0" w:rsidR="00405C6C">
        <w:rPr>
          <w:szCs w:val="24"/>
        </w:rPr>
        <w:t xml:space="preserve"> </w:t>
      </w:r>
      <w:r w:rsidRPr="00AC0DF0" w:rsidR="006E1486">
        <w:rPr>
          <w:szCs w:val="24"/>
        </w:rPr>
        <w:t xml:space="preserve">The Applicant </w:t>
      </w:r>
      <w:r w:rsidRPr="00AC0DF0" w:rsidR="00EB3383">
        <w:rPr>
          <w:szCs w:val="24"/>
        </w:rPr>
        <w:t xml:space="preserve">also argues that OCC’s participation in the proceeding </w:t>
      </w:r>
      <w:r w:rsidRPr="00AC0DF0" w:rsidR="008426EE">
        <w:rPr>
          <w:szCs w:val="24"/>
        </w:rPr>
        <w:t>“</w:t>
      </w:r>
      <w:r w:rsidRPr="00AC0DF0" w:rsidR="00EB3383">
        <w:rPr>
          <w:szCs w:val="24"/>
        </w:rPr>
        <w:t xml:space="preserve">is not necessary </w:t>
      </w:r>
      <w:r w:rsidRPr="00AC0DF0" w:rsidR="008426EE">
        <w:rPr>
          <w:szCs w:val="24"/>
        </w:rPr>
        <w:t>to address the issue OCC raises.”</w:t>
      </w:r>
      <w:r>
        <w:rPr>
          <w:rStyle w:val="FootnoteReference"/>
          <w:szCs w:val="24"/>
        </w:rPr>
        <w:footnoteReference w:id="7"/>
      </w:r>
      <w:r w:rsidRPr="00AC0DF0" w:rsidR="000417AB">
        <w:rPr>
          <w:szCs w:val="24"/>
        </w:rPr>
        <w:t xml:space="preserve"> </w:t>
      </w:r>
      <w:r w:rsidRPr="00AC0DF0" w:rsidR="006E1486">
        <w:rPr>
          <w:szCs w:val="24"/>
        </w:rPr>
        <w:t xml:space="preserve">The Applicant </w:t>
      </w:r>
      <w:r w:rsidRPr="00AC0DF0" w:rsidR="008426EE">
        <w:rPr>
          <w:szCs w:val="24"/>
        </w:rPr>
        <w:t xml:space="preserve">claims that OCC’s request to “perform the hypothetical calculation” can be done </w:t>
      </w:r>
      <w:r w:rsidRPr="00AC0DF0" w:rsidR="0000549D">
        <w:rPr>
          <w:szCs w:val="24"/>
        </w:rPr>
        <w:t xml:space="preserve">without OCC’s intervention since </w:t>
      </w:r>
      <w:r w:rsidRPr="00AC0DF0" w:rsidR="008426EE">
        <w:rPr>
          <w:szCs w:val="24"/>
        </w:rPr>
        <w:t>“the Commission has all of the information at hand to consider the hypothetical calculation that OCC requests be conducted.</w:t>
      </w:r>
      <w:r w:rsidRPr="00AC0DF0" w:rsidR="0000549D">
        <w:rPr>
          <w:szCs w:val="24"/>
        </w:rPr>
        <w:t>”</w:t>
      </w:r>
      <w:r>
        <w:rPr>
          <w:rStyle w:val="FootnoteReference"/>
          <w:szCs w:val="24"/>
        </w:rPr>
        <w:footnoteReference w:id="8"/>
      </w:r>
      <w:r w:rsidRPr="00AC0DF0" w:rsidR="000417AB">
        <w:rPr>
          <w:szCs w:val="24"/>
        </w:rPr>
        <w:t xml:space="preserve"> </w:t>
      </w:r>
    </w:p>
    <w:p w:rsidR="00C51B10" w:rsidRPr="00AC0DF0" w:rsidP="00B35B47" w14:paraId="472BE2E7" w14:textId="50366B5F">
      <w:pPr>
        <w:pStyle w:val="BodyTextIndent3"/>
        <w:spacing w:line="480" w:lineRule="auto"/>
        <w:ind w:right="-312"/>
        <w:rPr>
          <w:b/>
          <w:bCs/>
          <w:szCs w:val="24"/>
        </w:rPr>
      </w:pPr>
      <w:r w:rsidRPr="00AC0DF0">
        <w:rPr>
          <w:szCs w:val="24"/>
        </w:rPr>
        <w:t xml:space="preserve">Contrary to the Applicant’s arguments otherwise, </w:t>
      </w:r>
      <w:r w:rsidRPr="00AC0DF0" w:rsidR="00CF1733">
        <w:rPr>
          <w:szCs w:val="24"/>
        </w:rPr>
        <w:t xml:space="preserve">OCC has shown </w:t>
      </w:r>
      <w:r w:rsidRPr="00AC0DF0" w:rsidR="006E1486">
        <w:rPr>
          <w:szCs w:val="24"/>
        </w:rPr>
        <w:t xml:space="preserve">that its interests may be adversely affected and that it has </w:t>
      </w:r>
      <w:r w:rsidRPr="00AC0DF0" w:rsidR="00CF1733">
        <w:rPr>
          <w:szCs w:val="24"/>
        </w:rPr>
        <w:t xml:space="preserve">a real or substantial interest in this case. </w:t>
      </w:r>
      <w:r w:rsidRPr="00AC0DF0" w:rsidR="00B35B47">
        <w:rPr>
          <w:szCs w:val="24"/>
        </w:rPr>
        <w:t>OCC is intervening to protect residential consumers from potential cost shifting</w:t>
      </w:r>
      <w:r w:rsidRPr="00AC0DF0" w:rsidR="006E1486">
        <w:rPr>
          <w:szCs w:val="24"/>
        </w:rPr>
        <w:t>.</w:t>
      </w:r>
      <w:r w:rsidRPr="00AC0DF0" w:rsidR="000417AB">
        <w:rPr>
          <w:szCs w:val="24"/>
        </w:rPr>
        <w:t xml:space="preserve"> </w:t>
      </w:r>
      <w:r w:rsidRPr="00AC0DF0" w:rsidR="00E6237C">
        <w:rPr>
          <w:szCs w:val="24"/>
        </w:rPr>
        <w:t xml:space="preserve">OCC’s concerns are rooted in </w:t>
      </w:r>
      <w:r w:rsidRPr="00AC0DF0" w:rsidR="00F04CCD">
        <w:rPr>
          <w:szCs w:val="24"/>
        </w:rPr>
        <w:t>any potential cost shifting to residential consumers</w:t>
      </w:r>
      <w:r w:rsidRPr="00AC0DF0" w:rsidR="00E6237C">
        <w:rPr>
          <w:szCs w:val="24"/>
        </w:rPr>
        <w:t xml:space="preserve"> which </w:t>
      </w:r>
      <w:r w:rsidRPr="00AC0DF0" w:rsidR="006E69DB">
        <w:rPr>
          <w:szCs w:val="24"/>
        </w:rPr>
        <w:t>c</w:t>
      </w:r>
      <w:r w:rsidRPr="00AC0DF0" w:rsidR="00E6237C">
        <w:rPr>
          <w:szCs w:val="24"/>
        </w:rPr>
        <w:t xml:space="preserve">ould </w:t>
      </w:r>
      <w:r w:rsidRPr="00AC0DF0" w:rsidR="00B35B47">
        <w:rPr>
          <w:szCs w:val="24"/>
        </w:rPr>
        <w:t xml:space="preserve">occur if the </w:t>
      </w:r>
      <w:r w:rsidRPr="00AC0DF0" w:rsidR="006E69DB">
        <w:rPr>
          <w:szCs w:val="24"/>
        </w:rPr>
        <w:t xml:space="preserve">untested </w:t>
      </w:r>
      <w:r w:rsidRPr="00AC0DF0" w:rsidR="00E6237C">
        <w:rPr>
          <w:szCs w:val="24"/>
        </w:rPr>
        <w:t xml:space="preserve">pilot </w:t>
      </w:r>
      <w:r w:rsidRPr="00AC0DF0" w:rsidR="00B35B47">
        <w:rPr>
          <w:szCs w:val="24"/>
        </w:rPr>
        <w:t xml:space="preserve">program is expanded </w:t>
      </w:r>
      <w:r w:rsidRPr="00AC0DF0" w:rsidR="00E6237C">
        <w:rPr>
          <w:szCs w:val="24"/>
        </w:rPr>
        <w:t xml:space="preserve">to include </w:t>
      </w:r>
      <w:r w:rsidRPr="00AC0DF0" w:rsidR="007174CC">
        <w:rPr>
          <w:szCs w:val="24"/>
        </w:rPr>
        <w:t>the Applicant</w:t>
      </w:r>
      <w:r w:rsidRPr="00AC0DF0" w:rsidR="00F04CCD">
        <w:rPr>
          <w:szCs w:val="24"/>
        </w:rPr>
        <w:t>.</w:t>
      </w:r>
      <w:r>
        <w:rPr>
          <w:rStyle w:val="FootnoteReference"/>
          <w:szCs w:val="24"/>
        </w:rPr>
        <w:footnoteReference w:id="9"/>
      </w:r>
      <w:r w:rsidRPr="00AC0DF0" w:rsidR="00F04CCD">
        <w:rPr>
          <w:szCs w:val="24"/>
        </w:rPr>
        <w:t xml:space="preserve"> The point of OCC’s objection</w:t>
      </w:r>
      <w:r w:rsidRPr="00AC0DF0" w:rsidR="006E1486">
        <w:rPr>
          <w:szCs w:val="24"/>
        </w:rPr>
        <w:t>s</w:t>
      </w:r>
      <w:r w:rsidRPr="00AC0DF0" w:rsidR="00F04CCD">
        <w:rPr>
          <w:szCs w:val="24"/>
        </w:rPr>
        <w:t xml:space="preserve"> is that </w:t>
      </w:r>
      <w:r w:rsidRPr="00AC0DF0" w:rsidR="00F04CCD">
        <w:rPr>
          <w:i/>
          <w:iCs/>
          <w:szCs w:val="24"/>
        </w:rPr>
        <w:t>until</w:t>
      </w:r>
      <w:r w:rsidRPr="00AC0DF0" w:rsidR="00F04CCD">
        <w:rPr>
          <w:szCs w:val="24"/>
        </w:rPr>
        <w:t xml:space="preserve"> the PUCO completes its </w:t>
      </w:r>
      <w:r w:rsidRPr="00AC0DF0" w:rsidR="00405C6C">
        <w:rPr>
          <w:szCs w:val="24"/>
        </w:rPr>
        <w:t xml:space="preserve">promised </w:t>
      </w:r>
      <w:r w:rsidRPr="00AC0DF0" w:rsidR="00F04CCD">
        <w:rPr>
          <w:szCs w:val="24"/>
        </w:rPr>
        <w:t>review of the pilot program, it would be un</w:t>
      </w:r>
      <w:r w:rsidRPr="00AC0DF0" w:rsidR="006E1486">
        <w:rPr>
          <w:szCs w:val="24"/>
        </w:rPr>
        <w:t xml:space="preserve">reasonable to allow the Applicant to participate, potentially adding </w:t>
      </w:r>
      <w:r w:rsidRPr="00AC0DF0" w:rsidR="008C63F8">
        <w:rPr>
          <w:szCs w:val="24"/>
        </w:rPr>
        <w:t xml:space="preserve">to </w:t>
      </w:r>
      <w:r w:rsidRPr="00AC0DF0" w:rsidR="007174CC">
        <w:rPr>
          <w:szCs w:val="24"/>
        </w:rPr>
        <w:t>cost shifting</w:t>
      </w:r>
      <w:r w:rsidRPr="00AC0DF0" w:rsidR="008C63F8">
        <w:rPr>
          <w:szCs w:val="24"/>
        </w:rPr>
        <w:t xml:space="preserve"> that</w:t>
      </w:r>
      <w:r w:rsidRPr="00AC0DF0" w:rsidR="00054D01">
        <w:rPr>
          <w:szCs w:val="24"/>
        </w:rPr>
        <w:t xml:space="preserve"> </w:t>
      </w:r>
      <w:r w:rsidRPr="00AC0DF0" w:rsidR="006E69DB">
        <w:rPr>
          <w:szCs w:val="24"/>
        </w:rPr>
        <w:t>may already be occurring</w:t>
      </w:r>
      <w:r w:rsidRPr="00AC0DF0" w:rsidR="006E1486">
        <w:rPr>
          <w:szCs w:val="24"/>
        </w:rPr>
        <w:t>.</w:t>
      </w:r>
      <w:r w:rsidRPr="00AC0DF0" w:rsidR="000417AB">
        <w:rPr>
          <w:szCs w:val="24"/>
        </w:rPr>
        <w:t xml:space="preserve"> </w:t>
      </w:r>
    </w:p>
    <w:p w:rsidR="00C74EB7" w:rsidRPr="00AC0DF0" w:rsidP="007950A4" w14:paraId="79AC9BB8" w14:textId="0071FEFE">
      <w:pPr>
        <w:pStyle w:val="BodyTextIndent3"/>
        <w:spacing w:line="480" w:lineRule="auto"/>
        <w:ind w:right="-312"/>
        <w:rPr>
          <w:szCs w:val="24"/>
        </w:rPr>
      </w:pPr>
      <w:r w:rsidRPr="00AC0DF0">
        <w:rPr>
          <w:szCs w:val="24"/>
        </w:rPr>
        <w:t>The whole point of the pilot program</w:t>
      </w:r>
      <w:r w:rsidRPr="00AC0DF0" w:rsidR="00910858">
        <w:rPr>
          <w:szCs w:val="24"/>
        </w:rPr>
        <w:t xml:space="preserve"> (indeed, of any pilot program)</w:t>
      </w:r>
      <w:r w:rsidRPr="00AC0DF0">
        <w:rPr>
          <w:szCs w:val="24"/>
        </w:rPr>
        <w:t xml:space="preserve"> is to collect data and then use that data to inform future decisions</w:t>
      </w:r>
      <w:r w:rsidRPr="00AC0DF0" w:rsidR="00910858">
        <w:rPr>
          <w:szCs w:val="24"/>
        </w:rPr>
        <w:t xml:space="preserve">. </w:t>
      </w:r>
      <w:r w:rsidRPr="00AC0DF0" w:rsidR="007174CC">
        <w:rPr>
          <w:szCs w:val="24"/>
        </w:rPr>
        <w:t>The PUCO</w:t>
      </w:r>
      <w:r w:rsidRPr="00AC0DF0" w:rsidR="00710CF9">
        <w:rPr>
          <w:szCs w:val="24"/>
        </w:rPr>
        <w:t>, in approving the pilot, directed its Staff “to continuously review the actual results of the Rider NMB pilot program and periodically report their findings to the Commission.”</w:t>
      </w:r>
      <w:r>
        <w:rPr>
          <w:rStyle w:val="FootnoteReference"/>
          <w:szCs w:val="24"/>
        </w:rPr>
        <w:footnoteReference w:id="10"/>
      </w:r>
      <w:r w:rsidRPr="00AC0DF0" w:rsidR="007174CC">
        <w:rPr>
          <w:szCs w:val="24"/>
        </w:rPr>
        <w:t xml:space="preserve"> </w:t>
      </w:r>
      <w:r w:rsidRPr="00AC0DF0" w:rsidR="00710CF9">
        <w:rPr>
          <w:szCs w:val="24"/>
        </w:rPr>
        <w:t>The PUCO specified that the review “should include</w:t>
      </w:r>
      <w:r w:rsidRPr="00AC0DF0" w:rsidR="00186610">
        <w:rPr>
          <w:szCs w:val="24"/>
        </w:rPr>
        <w:t>,</w:t>
      </w:r>
      <w:r w:rsidRPr="00AC0DF0" w:rsidR="00710CF9">
        <w:rPr>
          <w:szCs w:val="24"/>
        </w:rPr>
        <w:t xml:space="preserve"> at a minimum:</w:t>
      </w:r>
      <w:r w:rsidRPr="00AC0DF0" w:rsidR="000417AB">
        <w:rPr>
          <w:szCs w:val="24"/>
        </w:rPr>
        <w:t xml:space="preserve"> </w:t>
      </w:r>
      <w:r w:rsidRPr="00AC0DF0" w:rsidR="00710CF9">
        <w:rPr>
          <w:szCs w:val="24"/>
        </w:rPr>
        <w:t>whether there is an aggregate savings in transmission costs for all of the Companies’ customers, whether and how much in transmission costs are being shifted to customers not participating in the pilot program, whether the benefits of the pilot program outweigh any costs, and whe</w:t>
      </w:r>
      <w:r w:rsidRPr="00AC0DF0" w:rsidR="00C51B10">
        <w:rPr>
          <w:szCs w:val="24"/>
        </w:rPr>
        <w:t>ther Rider NMB results in overall cost savings to customers.”</w:t>
      </w:r>
      <w:r>
        <w:rPr>
          <w:rStyle w:val="FootnoteReference"/>
          <w:szCs w:val="24"/>
        </w:rPr>
        <w:footnoteReference w:id="11"/>
      </w:r>
      <w:r w:rsidRPr="00AC0DF0" w:rsidR="000417AB">
        <w:rPr>
          <w:szCs w:val="24"/>
        </w:rPr>
        <w:t xml:space="preserve"> </w:t>
      </w:r>
      <w:r w:rsidRPr="00AC0DF0" w:rsidR="00910858">
        <w:rPr>
          <w:szCs w:val="24"/>
        </w:rPr>
        <w:t xml:space="preserve">The PUCO </w:t>
      </w:r>
      <w:r w:rsidRPr="00AC0DF0" w:rsidR="00186610">
        <w:rPr>
          <w:szCs w:val="24"/>
        </w:rPr>
        <w:t>noted that the review “is necessary for the Commission to determine whether Rider NMB should be continued with the ability for customers to opt out, whether Rider NMB should be continued without the ability for customers to opt out, and whether Rider NMB should be terminated.”</w:t>
      </w:r>
      <w:r>
        <w:rPr>
          <w:rStyle w:val="FootnoteReference"/>
          <w:szCs w:val="24"/>
        </w:rPr>
        <w:footnoteReference w:id="12"/>
      </w:r>
      <w:r w:rsidRPr="00AC0DF0" w:rsidR="00186610">
        <w:rPr>
          <w:szCs w:val="24"/>
        </w:rPr>
        <w:t xml:space="preserve"> </w:t>
      </w:r>
    </w:p>
    <w:p w:rsidR="0093101F" w:rsidRPr="00AC0DF0" w:rsidP="007950A4" w14:paraId="6DDEDFF2" w14:textId="0673C061">
      <w:pPr>
        <w:pStyle w:val="BodyTextIndent3"/>
        <w:spacing w:line="480" w:lineRule="auto"/>
        <w:ind w:right="-312"/>
        <w:rPr>
          <w:szCs w:val="24"/>
        </w:rPr>
      </w:pPr>
      <w:r w:rsidRPr="00AC0DF0">
        <w:rPr>
          <w:szCs w:val="24"/>
        </w:rPr>
        <w:t xml:space="preserve">The PUCO </w:t>
      </w:r>
      <w:r w:rsidRPr="00AC0DF0" w:rsidR="00910858">
        <w:rPr>
          <w:szCs w:val="24"/>
        </w:rPr>
        <w:t xml:space="preserve">should </w:t>
      </w:r>
      <w:r w:rsidRPr="00AC0DF0" w:rsidR="008145AB">
        <w:rPr>
          <w:szCs w:val="24"/>
        </w:rPr>
        <w:t xml:space="preserve">not </w:t>
      </w:r>
      <w:r w:rsidRPr="00AC0DF0">
        <w:rPr>
          <w:szCs w:val="24"/>
        </w:rPr>
        <w:t xml:space="preserve">decide </w:t>
      </w:r>
      <w:r w:rsidRPr="00AC0DF0" w:rsidR="00910858">
        <w:rPr>
          <w:szCs w:val="24"/>
        </w:rPr>
        <w:t>Applicant’s proposal without the benefit of a full evaluation of the pilot program.</w:t>
      </w:r>
      <w:r w:rsidRPr="00AC0DF0" w:rsidR="000417AB">
        <w:rPr>
          <w:szCs w:val="24"/>
        </w:rPr>
        <w:t xml:space="preserve"> </w:t>
      </w:r>
      <w:r w:rsidRPr="00AC0DF0" w:rsidR="006E69DB">
        <w:rPr>
          <w:szCs w:val="24"/>
        </w:rPr>
        <w:t>A</w:t>
      </w:r>
      <w:r w:rsidRPr="00AC0DF0" w:rsidR="006E1486">
        <w:rPr>
          <w:szCs w:val="24"/>
        </w:rPr>
        <w:t>l</w:t>
      </w:r>
      <w:r w:rsidRPr="00AC0DF0" w:rsidR="006E69DB">
        <w:rPr>
          <w:szCs w:val="24"/>
        </w:rPr>
        <w:t xml:space="preserve">ong with evaluating the overall program, the PUCO should evaluate the impact of </w:t>
      </w:r>
      <w:r w:rsidRPr="00AC0DF0" w:rsidR="006E1486">
        <w:rPr>
          <w:szCs w:val="24"/>
        </w:rPr>
        <w:t xml:space="preserve">the Applicant </w:t>
      </w:r>
      <w:r w:rsidRPr="00AC0DF0" w:rsidR="006E69DB">
        <w:rPr>
          <w:szCs w:val="24"/>
        </w:rPr>
        <w:t xml:space="preserve">participating in the pilot program. </w:t>
      </w:r>
    </w:p>
    <w:p w:rsidR="00F7608C" w:rsidRPr="00AC0DF0" w:rsidP="00F7608C" w14:paraId="1A423BBB" w14:textId="14BAD00E">
      <w:pPr>
        <w:pStyle w:val="BodyTextIndent3"/>
        <w:spacing w:line="480" w:lineRule="auto"/>
        <w:ind w:right="-312"/>
        <w:rPr>
          <w:szCs w:val="24"/>
        </w:rPr>
      </w:pPr>
      <w:r w:rsidRPr="00AC0DF0">
        <w:rPr>
          <w:szCs w:val="24"/>
        </w:rPr>
        <w:t xml:space="preserve">While the Applicant may be correct that the PUCO can </w:t>
      </w:r>
      <w:r w:rsidRPr="00AC0DF0" w:rsidR="006E69DB">
        <w:rPr>
          <w:szCs w:val="24"/>
        </w:rPr>
        <w:t>perform th</w:t>
      </w:r>
      <w:r w:rsidRPr="00AC0DF0">
        <w:rPr>
          <w:szCs w:val="24"/>
        </w:rPr>
        <w:t xml:space="preserve">e </w:t>
      </w:r>
      <w:r w:rsidRPr="00AC0DF0" w:rsidR="006E69DB">
        <w:rPr>
          <w:szCs w:val="24"/>
        </w:rPr>
        <w:t xml:space="preserve">evaluation </w:t>
      </w:r>
      <w:r w:rsidRPr="00AC0DF0">
        <w:rPr>
          <w:szCs w:val="24"/>
        </w:rPr>
        <w:t xml:space="preserve">of the pilot program </w:t>
      </w:r>
      <w:r w:rsidRPr="00AC0DF0" w:rsidR="006E69DB">
        <w:rPr>
          <w:szCs w:val="24"/>
        </w:rPr>
        <w:t xml:space="preserve">it promised when it approved the pilot, OCC </w:t>
      </w:r>
      <w:r w:rsidRPr="00AC0DF0" w:rsidR="0034517E">
        <w:rPr>
          <w:szCs w:val="24"/>
        </w:rPr>
        <w:t xml:space="preserve">is not aware that the PUCO has done </w:t>
      </w:r>
      <w:r w:rsidRPr="00AC0DF0" w:rsidR="009C6142">
        <w:rPr>
          <w:szCs w:val="24"/>
        </w:rPr>
        <w:t>its</w:t>
      </w:r>
      <w:r w:rsidRPr="00AC0DF0" w:rsidR="006E69DB">
        <w:rPr>
          <w:szCs w:val="24"/>
        </w:rPr>
        <w:t xml:space="preserve"> evaluation. </w:t>
      </w:r>
      <w:r w:rsidRPr="00AC0DF0">
        <w:rPr>
          <w:szCs w:val="24"/>
        </w:rPr>
        <w:t xml:space="preserve">Nor is OCC aware of any Staff or PUCO agreement to </w:t>
      </w:r>
      <w:r w:rsidRPr="00AC0DF0" w:rsidR="008C63F8">
        <w:rPr>
          <w:szCs w:val="24"/>
        </w:rPr>
        <w:t xml:space="preserve">evaluate the pilot or Applicant’s participation in the pilot </w:t>
      </w:r>
      <w:r w:rsidRPr="00AC0DF0" w:rsidR="009C6142">
        <w:rPr>
          <w:szCs w:val="24"/>
        </w:rPr>
        <w:t>before a decision is rendered in this proceeding</w:t>
      </w:r>
      <w:r w:rsidRPr="00AC0DF0">
        <w:rPr>
          <w:szCs w:val="24"/>
        </w:rPr>
        <w:t>.</w:t>
      </w:r>
      <w:r w:rsidRPr="00AC0DF0" w:rsidR="000417AB">
        <w:rPr>
          <w:szCs w:val="24"/>
        </w:rPr>
        <w:t xml:space="preserve"> </w:t>
      </w:r>
      <w:r w:rsidRPr="00AC0DF0" w:rsidR="006E69DB">
        <w:rPr>
          <w:szCs w:val="24"/>
        </w:rPr>
        <w:t xml:space="preserve">OCC’s intervention </w:t>
      </w:r>
      <w:r w:rsidRPr="00AC0DF0" w:rsidR="0034517E">
        <w:rPr>
          <w:szCs w:val="24"/>
        </w:rPr>
        <w:t>has brought the issue to the forefront.</w:t>
      </w:r>
      <w:r w:rsidRPr="00AC0DF0" w:rsidR="000417AB">
        <w:rPr>
          <w:szCs w:val="24"/>
        </w:rPr>
        <w:t xml:space="preserve"> </w:t>
      </w:r>
      <w:r w:rsidRPr="00AC0DF0" w:rsidR="0034517E">
        <w:rPr>
          <w:szCs w:val="24"/>
        </w:rPr>
        <w:t>The Applican</w:t>
      </w:r>
      <w:r w:rsidRPr="00AC0DF0" w:rsidR="008C63F8">
        <w:rPr>
          <w:szCs w:val="24"/>
        </w:rPr>
        <w:t xml:space="preserve">t </w:t>
      </w:r>
      <w:r w:rsidRPr="00AC0DF0">
        <w:rPr>
          <w:szCs w:val="24"/>
        </w:rPr>
        <w:t xml:space="preserve">did not vouch for the lack of cost shifting in </w:t>
      </w:r>
      <w:r w:rsidRPr="00AC0DF0" w:rsidR="008C63F8">
        <w:rPr>
          <w:szCs w:val="24"/>
        </w:rPr>
        <w:t xml:space="preserve">the </w:t>
      </w:r>
      <w:r w:rsidRPr="00AC0DF0">
        <w:rPr>
          <w:szCs w:val="24"/>
        </w:rPr>
        <w:t xml:space="preserve">pilot program, although it did claim that its individual arrangement is </w:t>
      </w:r>
      <w:r w:rsidRPr="00AC0DF0" w:rsidR="0034517E">
        <w:rPr>
          <w:szCs w:val="24"/>
        </w:rPr>
        <w:t xml:space="preserve">a “zero-cost” method to </w:t>
      </w:r>
      <w:r w:rsidRPr="00AC0DF0" w:rsidR="00110E60">
        <w:rPr>
          <w:szCs w:val="24"/>
        </w:rPr>
        <w:t>“</w:t>
      </w:r>
      <w:r w:rsidRPr="00AC0DF0" w:rsidR="0034517E">
        <w:rPr>
          <w:szCs w:val="24"/>
        </w:rPr>
        <w:t>help secu</w:t>
      </w:r>
      <w:r w:rsidRPr="00AC0DF0">
        <w:rPr>
          <w:szCs w:val="24"/>
        </w:rPr>
        <w:t>r</w:t>
      </w:r>
      <w:r w:rsidRPr="00AC0DF0" w:rsidR="0034517E">
        <w:rPr>
          <w:szCs w:val="24"/>
        </w:rPr>
        <w:t>e a significant new economic development project</w:t>
      </w:r>
      <w:r w:rsidRPr="00AC0DF0">
        <w:rPr>
          <w:szCs w:val="24"/>
        </w:rPr>
        <w:t>.</w:t>
      </w:r>
      <w:r w:rsidRPr="00AC0DF0" w:rsidR="0034517E">
        <w:rPr>
          <w:szCs w:val="24"/>
        </w:rPr>
        <w:t>”</w:t>
      </w:r>
      <w:r>
        <w:rPr>
          <w:rStyle w:val="FootnoteReference"/>
          <w:szCs w:val="24"/>
        </w:rPr>
        <w:footnoteReference w:id="13"/>
      </w:r>
      <w:r w:rsidRPr="00AC0DF0">
        <w:rPr>
          <w:szCs w:val="24"/>
        </w:rPr>
        <w:t xml:space="preserve"> OCC’s intervention is important</w:t>
      </w:r>
      <w:r w:rsidRPr="00AC0DF0" w:rsidR="00A52FDA">
        <w:rPr>
          <w:szCs w:val="24"/>
        </w:rPr>
        <w:t xml:space="preserve"> </w:t>
      </w:r>
      <w:r w:rsidRPr="00AC0DF0" w:rsidR="008C63F8">
        <w:rPr>
          <w:szCs w:val="24"/>
        </w:rPr>
        <w:t xml:space="preserve">if not only </w:t>
      </w:r>
      <w:r w:rsidRPr="00AC0DF0">
        <w:rPr>
          <w:szCs w:val="24"/>
        </w:rPr>
        <w:t xml:space="preserve">to explore this particular claim. </w:t>
      </w:r>
    </w:p>
    <w:p w:rsidR="00CA7859" w:rsidRPr="00AC0DF0" w:rsidP="00CA7859" w14:paraId="47D96596" w14:textId="13214AA2">
      <w:pPr>
        <w:pStyle w:val="BodyTextIndent3"/>
        <w:spacing w:line="480" w:lineRule="auto"/>
        <w:ind w:right="-312"/>
        <w:rPr>
          <w:szCs w:val="24"/>
        </w:rPr>
      </w:pPr>
      <w:r w:rsidRPr="00AC0DF0">
        <w:rPr>
          <w:szCs w:val="24"/>
        </w:rPr>
        <w:t xml:space="preserve">Accordingly, OCC has </w:t>
      </w:r>
      <w:r w:rsidRPr="00AC0DF0" w:rsidR="00110E60">
        <w:rPr>
          <w:szCs w:val="24"/>
        </w:rPr>
        <w:t xml:space="preserve">a </w:t>
      </w:r>
      <w:r w:rsidRPr="00AC0DF0">
        <w:rPr>
          <w:szCs w:val="24"/>
        </w:rPr>
        <w:t>legal interest in this case</w:t>
      </w:r>
      <w:r w:rsidRPr="00AC0DF0" w:rsidR="000C3F80">
        <w:rPr>
          <w:szCs w:val="24"/>
        </w:rPr>
        <w:t>.</w:t>
      </w:r>
      <w:r w:rsidRPr="00AC0DF0">
        <w:rPr>
          <w:szCs w:val="24"/>
        </w:rPr>
        <w:t xml:space="preserve"> If the PUCO grants </w:t>
      </w:r>
      <w:r w:rsidRPr="00AC0DF0" w:rsidR="00F7608C">
        <w:rPr>
          <w:szCs w:val="24"/>
        </w:rPr>
        <w:t xml:space="preserve">the </w:t>
      </w:r>
      <w:r w:rsidRPr="00AC0DF0">
        <w:rPr>
          <w:szCs w:val="24"/>
        </w:rPr>
        <w:t xml:space="preserve">application without first reviewing the results of the pilot program, it could </w:t>
      </w:r>
      <w:r w:rsidRPr="00AC0DF0" w:rsidR="00C51B10">
        <w:rPr>
          <w:szCs w:val="24"/>
        </w:rPr>
        <w:t xml:space="preserve">potentially </w:t>
      </w:r>
      <w:r w:rsidRPr="00AC0DF0" w:rsidR="000C3F80">
        <w:rPr>
          <w:szCs w:val="24"/>
        </w:rPr>
        <w:t xml:space="preserve">cause </w:t>
      </w:r>
      <w:r w:rsidRPr="00AC0DF0" w:rsidR="00C51B10">
        <w:rPr>
          <w:szCs w:val="24"/>
        </w:rPr>
        <w:t xml:space="preserve">greater cost shifting to non-participating consumers, like those </w:t>
      </w:r>
      <w:r w:rsidRPr="00AC0DF0">
        <w:rPr>
          <w:szCs w:val="24"/>
        </w:rPr>
        <w:t>OCC represents.</w:t>
      </w:r>
      <w:r w:rsidRPr="00AC0DF0" w:rsidR="00405C6C">
        <w:rPr>
          <w:szCs w:val="24"/>
        </w:rPr>
        <w:t xml:space="preserve"> </w:t>
      </w:r>
      <w:r w:rsidRPr="00AC0DF0" w:rsidR="001258B3">
        <w:rPr>
          <w:szCs w:val="24"/>
        </w:rPr>
        <w:t>This would be unreasonable</w:t>
      </w:r>
      <w:r w:rsidRPr="00AC0DF0" w:rsidR="009C6142">
        <w:rPr>
          <w:szCs w:val="24"/>
        </w:rPr>
        <w:t xml:space="preserve"> and would adversely affect the consumers that OCC represents. OCC’s interest is real and substantial.</w:t>
      </w:r>
      <w:r w:rsidRPr="00AC0DF0" w:rsidR="005A7E3C">
        <w:rPr>
          <w:szCs w:val="24"/>
        </w:rPr>
        <w:t xml:space="preserve"> </w:t>
      </w:r>
      <w:bookmarkStart w:id="4" w:name="_Toc92789793"/>
    </w:p>
    <w:p w:rsidR="00CA7859" w:rsidRPr="00AC0DF0" w:rsidP="00CA7859" w14:paraId="1DB62E96" w14:textId="77777777">
      <w:pPr>
        <w:pStyle w:val="Heading2"/>
        <w:rPr>
          <w:szCs w:val="24"/>
        </w:rPr>
      </w:pPr>
      <w:bookmarkStart w:id="5" w:name="_Toc92807161"/>
      <w:r w:rsidRPr="00AC0DF0">
        <w:rPr>
          <w:szCs w:val="24"/>
        </w:rPr>
        <w:t>B.</w:t>
      </w:r>
      <w:r w:rsidRPr="00AC0DF0">
        <w:rPr>
          <w:szCs w:val="24"/>
        </w:rPr>
        <w:tab/>
      </w:r>
      <w:r w:rsidRPr="00AC0DF0" w:rsidR="001258B3">
        <w:rPr>
          <w:szCs w:val="24"/>
        </w:rPr>
        <w:t>OCC’s intervention will not unduly prolong and delay this proceed</w:t>
      </w:r>
      <w:r w:rsidRPr="00AC0DF0" w:rsidR="009C6142">
        <w:rPr>
          <w:szCs w:val="24"/>
        </w:rPr>
        <w:t>ing</w:t>
      </w:r>
      <w:r w:rsidRPr="00AC0DF0" w:rsidR="001258B3">
        <w:rPr>
          <w:szCs w:val="24"/>
        </w:rPr>
        <w:t xml:space="preserve"> and will contribute to the full development and equitable resolution of the factual issues.</w:t>
      </w:r>
      <w:bookmarkEnd w:id="4"/>
      <w:bookmarkEnd w:id="5"/>
    </w:p>
    <w:p w:rsidR="00CA7859" w:rsidRPr="00AC0DF0" w:rsidP="00CA7859" w14:paraId="2DBE3469" w14:textId="6CF2C7D5">
      <w:pPr>
        <w:pStyle w:val="BodyTextIndent3"/>
        <w:spacing w:line="480" w:lineRule="auto"/>
        <w:ind w:right="-312"/>
        <w:rPr>
          <w:szCs w:val="24"/>
        </w:rPr>
      </w:pPr>
      <w:r w:rsidRPr="00AC0DF0">
        <w:rPr>
          <w:szCs w:val="24"/>
        </w:rPr>
        <w:t>The Applicant alleges that OCC has conceded that i</w:t>
      </w:r>
      <w:r w:rsidRPr="00AC0DF0" w:rsidR="009C6142">
        <w:rPr>
          <w:szCs w:val="24"/>
        </w:rPr>
        <w:t>t</w:t>
      </w:r>
      <w:r w:rsidRPr="00AC0DF0">
        <w:rPr>
          <w:szCs w:val="24"/>
        </w:rPr>
        <w:t>s intervention and request will cause delay.</w:t>
      </w:r>
      <w:r>
        <w:rPr>
          <w:rStyle w:val="FootnoteReference"/>
          <w:szCs w:val="24"/>
        </w:rPr>
        <w:footnoteReference w:id="14"/>
      </w:r>
      <w:r w:rsidRPr="00AC0DF0" w:rsidR="000417AB">
        <w:rPr>
          <w:szCs w:val="24"/>
        </w:rPr>
        <w:t xml:space="preserve"> </w:t>
      </w:r>
      <w:r w:rsidRPr="00AC0DF0">
        <w:rPr>
          <w:szCs w:val="24"/>
        </w:rPr>
        <w:t>Applicant claims that “Commission Staff appears to be evaluating the Pilot</w:t>
      </w:r>
      <w:r w:rsidRPr="00AC0DF0" w:rsidR="000933D7">
        <w:rPr>
          <w:szCs w:val="24"/>
        </w:rPr>
        <w:t xml:space="preserve"> and any evaluation of the Pilot will not provide any information specific to Toshi as Toshi is not a participant in the pilot.”</w:t>
      </w:r>
      <w:r>
        <w:rPr>
          <w:rStyle w:val="FootnoteReference"/>
          <w:szCs w:val="24"/>
        </w:rPr>
        <w:footnoteReference w:id="15"/>
      </w:r>
      <w:r w:rsidRPr="00AC0DF0" w:rsidR="000417AB">
        <w:rPr>
          <w:szCs w:val="24"/>
        </w:rPr>
        <w:t xml:space="preserve"> </w:t>
      </w:r>
      <w:r w:rsidRPr="00AC0DF0" w:rsidR="000933D7">
        <w:rPr>
          <w:szCs w:val="24"/>
        </w:rPr>
        <w:t>The Staff should be evaluating the pilot, as it was directed to do so by the PUCO.</w:t>
      </w:r>
      <w:r w:rsidRPr="00AC0DF0" w:rsidR="000417AB">
        <w:rPr>
          <w:szCs w:val="24"/>
        </w:rPr>
        <w:t xml:space="preserve"> </w:t>
      </w:r>
      <w:r w:rsidRPr="00AC0DF0" w:rsidR="000933D7">
        <w:rPr>
          <w:szCs w:val="24"/>
        </w:rPr>
        <w:t>The pilot should be evaluated before it is expanded to include more participants.</w:t>
      </w:r>
      <w:r w:rsidRPr="00AC0DF0" w:rsidR="000417AB">
        <w:rPr>
          <w:szCs w:val="24"/>
        </w:rPr>
        <w:t xml:space="preserve"> </w:t>
      </w:r>
      <w:r w:rsidRPr="00AC0DF0" w:rsidR="000933D7">
        <w:rPr>
          <w:szCs w:val="24"/>
        </w:rPr>
        <w:t>If the Staff’s analysis is already underway, there should be no undue delay or prolonging of this proceeding.</w:t>
      </w:r>
      <w:r w:rsidRPr="00AC0DF0" w:rsidR="000417AB">
        <w:rPr>
          <w:szCs w:val="24"/>
        </w:rPr>
        <w:t xml:space="preserve"> </w:t>
      </w:r>
      <w:r w:rsidRPr="00AC0DF0" w:rsidR="000933D7">
        <w:rPr>
          <w:szCs w:val="24"/>
        </w:rPr>
        <w:t>Rather its study will help to answer the questions the PUCO posed about the pilot nearly five years ago</w:t>
      </w:r>
      <w:r w:rsidRPr="00AC0DF0" w:rsidR="000C3F80">
        <w:rPr>
          <w:szCs w:val="24"/>
        </w:rPr>
        <w:t>--q</w:t>
      </w:r>
      <w:r w:rsidRPr="00AC0DF0" w:rsidR="009C6142">
        <w:rPr>
          <w:szCs w:val="24"/>
        </w:rPr>
        <w:t>uestions that need to be answered before the PUCO rules on the Application.</w:t>
      </w:r>
      <w:r w:rsidRPr="00AC0DF0" w:rsidR="000933D7">
        <w:rPr>
          <w:szCs w:val="24"/>
        </w:rPr>
        <w:t xml:space="preserve"> </w:t>
      </w:r>
      <w:bookmarkStart w:id="6" w:name="_Toc92789794"/>
    </w:p>
    <w:p w:rsidR="00CA7859" w:rsidRPr="00AC0DF0" w:rsidP="00CA7859" w14:paraId="70171D47" w14:textId="2797832F">
      <w:pPr>
        <w:pStyle w:val="Heading2"/>
        <w:rPr>
          <w:szCs w:val="24"/>
        </w:rPr>
      </w:pPr>
      <w:bookmarkStart w:id="7" w:name="_Toc92807162"/>
      <w:r w:rsidRPr="00AC0DF0">
        <w:rPr>
          <w:szCs w:val="24"/>
        </w:rPr>
        <w:t xml:space="preserve">C. </w:t>
      </w:r>
      <w:r w:rsidRPr="00AC0DF0">
        <w:rPr>
          <w:szCs w:val="24"/>
        </w:rPr>
        <w:tab/>
        <w:t>OCC should have the ability to raise cost-shifting issues associated with Rider NMB in this proceeding</w:t>
      </w:r>
      <w:bookmarkEnd w:id="6"/>
      <w:r w:rsidRPr="00AC0DF0" w:rsidR="00CB2156">
        <w:rPr>
          <w:szCs w:val="24"/>
        </w:rPr>
        <w:t>.</w:t>
      </w:r>
      <w:bookmarkEnd w:id="7"/>
    </w:p>
    <w:p w:rsidR="00CA7859" w:rsidRPr="00AC0DF0" w:rsidP="00CA7859" w14:paraId="45AB5A2A" w14:textId="2647E343">
      <w:pPr>
        <w:pStyle w:val="BodyTextIndent3"/>
        <w:spacing w:line="480" w:lineRule="auto"/>
        <w:ind w:right="-312"/>
        <w:rPr>
          <w:szCs w:val="24"/>
        </w:rPr>
      </w:pPr>
      <w:r w:rsidRPr="00AC0DF0">
        <w:rPr>
          <w:szCs w:val="24"/>
        </w:rPr>
        <w:t>The Applicant alleges that the PUCO will not in any way impair OCC’s ability to protect its interests even if it denies OCC intervention.</w:t>
      </w:r>
      <w:r>
        <w:rPr>
          <w:rStyle w:val="FootnoteReference"/>
          <w:szCs w:val="24"/>
        </w:rPr>
        <w:footnoteReference w:id="16"/>
      </w:r>
      <w:r w:rsidRPr="00AC0DF0" w:rsidR="000417AB">
        <w:rPr>
          <w:szCs w:val="24"/>
        </w:rPr>
        <w:t xml:space="preserve"> </w:t>
      </w:r>
      <w:r w:rsidRPr="00AC0DF0" w:rsidR="000C3F80">
        <w:rPr>
          <w:szCs w:val="24"/>
        </w:rPr>
        <w:t xml:space="preserve">The </w:t>
      </w:r>
      <w:r w:rsidRPr="00AC0DF0">
        <w:rPr>
          <w:szCs w:val="24"/>
        </w:rPr>
        <w:t>Applica</w:t>
      </w:r>
      <w:r w:rsidRPr="00AC0DF0" w:rsidR="00E90CCC">
        <w:rPr>
          <w:szCs w:val="24"/>
        </w:rPr>
        <w:t xml:space="preserve">nt </w:t>
      </w:r>
      <w:r w:rsidRPr="00AC0DF0">
        <w:rPr>
          <w:szCs w:val="24"/>
        </w:rPr>
        <w:t xml:space="preserve">claims that “[t]his case is not the proper </w:t>
      </w:r>
      <w:r w:rsidRPr="00AC0DF0" w:rsidR="00E90CCC">
        <w:rPr>
          <w:szCs w:val="24"/>
        </w:rPr>
        <w:t xml:space="preserve">forum </w:t>
      </w:r>
      <w:r w:rsidRPr="00AC0DF0">
        <w:rPr>
          <w:szCs w:val="24"/>
        </w:rPr>
        <w:t>for OCC to challenge the merits of FirstEnergy’s Rider NMB Pilot Program as a whole</w:t>
      </w:r>
      <w:r w:rsidRPr="00AC0DF0" w:rsidR="009924CA">
        <w:rPr>
          <w:szCs w:val="24"/>
        </w:rPr>
        <w:t>,</w:t>
      </w:r>
      <w:r w:rsidRPr="00AC0DF0">
        <w:rPr>
          <w:szCs w:val="24"/>
        </w:rPr>
        <w:t xml:space="preserve"> or any directive that came from the ESP</w:t>
      </w:r>
      <w:r w:rsidRPr="00AC0DF0" w:rsidR="00E90CCC">
        <w:rPr>
          <w:szCs w:val="24"/>
        </w:rPr>
        <w:t xml:space="preserve"> </w:t>
      </w:r>
      <w:r w:rsidRPr="00AC0DF0">
        <w:rPr>
          <w:szCs w:val="24"/>
        </w:rPr>
        <w:t>IV case to which Toshi was not a party</w:t>
      </w:r>
      <w:r w:rsidRPr="00AC0DF0" w:rsidR="00E90CCC">
        <w:rPr>
          <w:szCs w:val="24"/>
        </w:rPr>
        <w:t>.”</w:t>
      </w:r>
      <w:r>
        <w:rPr>
          <w:rStyle w:val="FootnoteReference"/>
          <w:szCs w:val="24"/>
        </w:rPr>
        <w:footnoteReference w:id="17"/>
      </w:r>
      <w:r w:rsidRPr="00AC0DF0" w:rsidR="000417AB">
        <w:rPr>
          <w:szCs w:val="24"/>
        </w:rPr>
        <w:t xml:space="preserve"> </w:t>
      </w:r>
    </w:p>
    <w:p w:rsidR="00CA7859" w:rsidRPr="00AC0DF0" w:rsidP="00CA7859" w14:paraId="3FD64D16" w14:textId="77777777">
      <w:pPr>
        <w:pStyle w:val="BodyTextIndent3"/>
        <w:spacing w:line="480" w:lineRule="auto"/>
        <w:ind w:right="-312"/>
        <w:rPr>
          <w:szCs w:val="24"/>
        </w:rPr>
      </w:pPr>
      <w:r w:rsidRPr="00AC0DF0">
        <w:rPr>
          <w:szCs w:val="24"/>
        </w:rPr>
        <w:t>The Applicant is wrong.</w:t>
      </w:r>
      <w:r w:rsidRPr="00AC0DF0" w:rsidR="000417AB">
        <w:rPr>
          <w:szCs w:val="24"/>
        </w:rPr>
        <w:t xml:space="preserve"> </w:t>
      </w:r>
      <w:r w:rsidRPr="00AC0DF0">
        <w:rPr>
          <w:szCs w:val="24"/>
        </w:rPr>
        <w:t xml:space="preserve">The PUCO should </w:t>
      </w:r>
      <w:r w:rsidRPr="00AC0DF0" w:rsidR="00946957">
        <w:rPr>
          <w:szCs w:val="24"/>
        </w:rPr>
        <w:t xml:space="preserve">avoid </w:t>
      </w:r>
      <w:r w:rsidRPr="00AC0DF0">
        <w:rPr>
          <w:szCs w:val="24"/>
        </w:rPr>
        <w:t>kick</w:t>
      </w:r>
      <w:r w:rsidRPr="00AC0DF0" w:rsidR="00946957">
        <w:rPr>
          <w:szCs w:val="24"/>
        </w:rPr>
        <w:t>ing</w:t>
      </w:r>
      <w:r w:rsidRPr="00AC0DF0">
        <w:rPr>
          <w:szCs w:val="24"/>
        </w:rPr>
        <w:t xml:space="preserve"> the can down the road when it can prevent potential cost shifting</w:t>
      </w:r>
      <w:r w:rsidRPr="00AC0DF0" w:rsidR="00946957">
        <w:rPr>
          <w:szCs w:val="24"/>
        </w:rPr>
        <w:t xml:space="preserve"> now</w:t>
      </w:r>
      <w:r w:rsidRPr="00AC0DF0">
        <w:rPr>
          <w:szCs w:val="24"/>
        </w:rPr>
        <w:t>, by addressing the issue head on in this case.</w:t>
      </w:r>
      <w:r w:rsidRPr="00AC0DF0" w:rsidR="000417AB">
        <w:rPr>
          <w:szCs w:val="24"/>
        </w:rPr>
        <w:t xml:space="preserve"> </w:t>
      </w:r>
      <w:r w:rsidRPr="00AC0DF0">
        <w:rPr>
          <w:szCs w:val="24"/>
        </w:rPr>
        <w:t>It</w:t>
      </w:r>
      <w:r w:rsidRPr="00AC0DF0" w:rsidR="00FC5FE1">
        <w:rPr>
          <w:szCs w:val="24"/>
        </w:rPr>
        <w:t xml:space="preserve"> i</w:t>
      </w:r>
      <w:r w:rsidRPr="00AC0DF0">
        <w:rPr>
          <w:szCs w:val="24"/>
        </w:rPr>
        <w:t>s well past the time for the PUCO to review the pilot program.</w:t>
      </w:r>
      <w:r w:rsidRPr="00AC0DF0" w:rsidR="000417AB">
        <w:rPr>
          <w:szCs w:val="24"/>
        </w:rPr>
        <w:t xml:space="preserve"> </w:t>
      </w:r>
      <w:r w:rsidRPr="00AC0DF0">
        <w:rPr>
          <w:szCs w:val="24"/>
        </w:rPr>
        <w:t xml:space="preserve">It makes sense to conduct that evaluation prior to </w:t>
      </w:r>
      <w:r w:rsidRPr="00AC0DF0" w:rsidR="00946957">
        <w:rPr>
          <w:szCs w:val="24"/>
        </w:rPr>
        <w:t>approving any more applications</w:t>
      </w:r>
      <w:r w:rsidRPr="00AC0DF0" w:rsidR="000C3F80">
        <w:rPr>
          <w:szCs w:val="24"/>
        </w:rPr>
        <w:t>.</w:t>
      </w:r>
      <w:r w:rsidRPr="00AC0DF0" w:rsidR="000417AB">
        <w:rPr>
          <w:szCs w:val="24"/>
        </w:rPr>
        <w:t xml:space="preserve"> </w:t>
      </w:r>
      <w:r w:rsidRPr="00AC0DF0" w:rsidR="000C3F80">
        <w:rPr>
          <w:szCs w:val="24"/>
        </w:rPr>
        <w:t>Otherwise</w:t>
      </w:r>
      <w:r w:rsidRPr="00AC0DF0" w:rsidR="001A660B">
        <w:rPr>
          <w:szCs w:val="24"/>
        </w:rPr>
        <w:t>,</w:t>
      </w:r>
      <w:r w:rsidRPr="00AC0DF0" w:rsidR="000C3F80">
        <w:rPr>
          <w:szCs w:val="24"/>
        </w:rPr>
        <w:t xml:space="preserve"> new applications to join the program might </w:t>
      </w:r>
      <w:r w:rsidRPr="00AC0DF0" w:rsidR="00946957">
        <w:rPr>
          <w:szCs w:val="24"/>
        </w:rPr>
        <w:t>increase the</w:t>
      </w:r>
      <w:r w:rsidRPr="00AC0DF0" w:rsidR="00FC5FE1">
        <w:rPr>
          <w:szCs w:val="24"/>
        </w:rPr>
        <w:t xml:space="preserve"> cost of the</w:t>
      </w:r>
      <w:r w:rsidRPr="00AC0DF0" w:rsidR="00946957">
        <w:rPr>
          <w:szCs w:val="24"/>
        </w:rPr>
        <w:t xml:space="preserve"> pilot program and potentially increase cost shifting that may be occurring</w:t>
      </w:r>
      <w:r w:rsidRPr="00AC0DF0" w:rsidR="000C3F80">
        <w:rPr>
          <w:szCs w:val="24"/>
        </w:rPr>
        <w:t>.</w:t>
      </w:r>
    </w:p>
    <w:p w:rsidR="00CA7859" w:rsidRPr="00AC0DF0" w:rsidP="00CA7859" w14:paraId="6F44C0CF" w14:textId="2949F0A4">
      <w:pPr>
        <w:pStyle w:val="BodyTextIndent3"/>
        <w:spacing w:line="480" w:lineRule="auto"/>
        <w:ind w:right="-312"/>
        <w:rPr>
          <w:szCs w:val="24"/>
        </w:rPr>
      </w:pPr>
      <w:r w:rsidRPr="00AC0DF0">
        <w:rPr>
          <w:szCs w:val="24"/>
        </w:rPr>
        <w:t>Alternatively</w:t>
      </w:r>
      <w:r w:rsidRPr="00AC0DF0" w:rsidR="00946957">
        <w:rPr>
          <w:szCs w:val="24"/>
        </w:rPr>
        <w:t xml:space="preserve">, if the PUCO determines that this is not the proceeding to evaluate the pilot program, then the PUCO should stay this proceeding until its </w:t>
      </w:r>
      <w:r w:rsidRPr="00AC0DF0" w:rsidR="000C3F80">
        <w:rPr>
          <w:szCs w:val="24"/>
        </w:rPr>
        <w:t xml:space="preserve">promised </w:t>
      </w:r>
      <w:r w:rsidRPr="00AC0DF0" w:rsidR="00946957">
        <w:rPr>
          <w:szCs w:val="24"/>
        </w:rPr>
        <w:t>review of the pilot is complete.</w:t>
      </w:r>
      <w:r w:rsidRPr="00AC0DF0" w:rsidR="000417AB">
        <w:rPr>
          <w:szCs w:val="24"/>
        </w:rPr>
        <w:t xml:space="preserve"> </w:t>
      </w:r>
      <w:r w:rsidRPr="00AC0DF0" w:rsidR="00946957">
        <w:rPr>
          <w:szCs w:val="24"/>
        </w:rPr>
        <w:t>Without knowing the extent of cost shifting under the pilot</w:t>
      </w:r>
      <w:r w:rsidRPr="00AC0DF0" w:rsidR="000C3F80">
        <w:rPr>
          <w:szCs w:val="24"/>
        </w:rPr>
        <w:t>,</w:t>
      </w:r>
      <w:r w:rsidRPr="00AC0DF0" w:rsidR="00946957">
        <w:rPr>
          <w:szCs w:val="24"/>
        </w:rPr>
        <w:t xml:space="preserve"> it makes little sense to blindly expand the program and potentially exacerbate </w:t>
      </w:r>
      <w:r w:rsidRPr="00AC0DF0" w:rsidR="00D8197C">
        <w:rPr>
          <w:szCs w:val="24"/>
        </w:rPr>
        <w:t xml:space="preserve">the cost shifting that may </w:t>
      </w:r>
      <w:r w:rsidRPr="00AC0DF0" w:rsidR="003904B0">
        <w:rPr>
          <w:szCs w:val="24"/>
        </w:rPr>
        <w:t xml:space="preserve">already </w:t>
      </w:r>
      <w:r w:rsidRPr="00AC0DF0" w:rsidR="00D8197C">
        <w:rPr>
          <w:szCs w:val="24"/>
        </w:rPr>
        <w:t xml:space="preserve">be occurring. </w:t>
      </w:r>
      <w:bookmarkStart w:id="8" w:name="_Toc92789795"/>
    </w:p>
    <w:p w:rsidR="008F77ED" w:rsidRPr="00AC0DF0" w:rsidP="005A7E3C" w14:paraId="2E6C9299" w14:textId="77777777">
      <w:pPr>
        <w:pStyle w:val="BodyTextIndent3"/>
        <w:spacing w:line="240" w:lineRule="auto"/>
        <w:ind w:right="-312"/>
        <w:rPr>
          <w:szCs w:val="24"/>
        </w:rPr>
      </w:pPr>
    </w:p>
    <w:p w:rsidR="003904B0" w:rsidRPr="00AC0DF0" w:rsidP="00CA7859" w14:paraId="1DDC8FC3" w14:textId="1A65047C">
      <w:pPr>
        <w:pStyle w:val="Heading1"/>
      </w:pPr>
      <w:bookmarkStart w:id="9" w:name="_Toc92807163"/>
      <w:r w:rsidRPr="00AC0DF0">
        <w:t>II.</w:t>
      </w:r>
      <w:r w:rsidRPr="00AC0DF0">
        <w:tab/>
        <w:t>MEMORANDUM CONTRA MOTION TO STRIKE OBJECT</w:t>
      </w:r>
      <w:r w:rsidRPr="00AC0DF0" w:rsidR="00FC5FE1">
        <w:t>ION</w:t>
      </w:r>
      <w:r w:rsidRPr="00AC0DF0">
        <w:t>S AND COMMENTS</w:t>
      </w:r>
      <w:bookmarkEnd w:id="8"/>
      <w:bookmarkEnd w:id="9"/>
    </w:p>
    <w:p w:rsidR="003904B0" w:rsidRPr="00AC0DF0" w:rsidP="0056287E" w14:paraId="3183DC2B" w14:textId="20C69EA9">
      <w:pPr>
        <w:pStyle w:val="Heading2"/>
        <w:rPr>
          <w:szCs w:val="24"/>
        </w:rPr>
      </w:pPr>
      <w:bookmarkStart w:id="10" w:name="_Toc92789796"/>
      <w:bookmarkStart w:id="11" w:name="_Toc92807164"/>
      <w:r w:rsidRPr="00AC0DF0">
        <w:rPr>
          <w:szCs w:val="24"/>
        </w:rPr>
        <w:t>A.</w:t>
      </w:r>
      <w:r w:rsidRPr="00AC0DF0">
        <w:rPr>
          <w:szCs w:val="24"/>
        </w:rPr>
        <w:tab/>
        <w:t>OCC’s objections are not improper or prejudicial</w:t>
      </w:r>
      <w:bookmarkEnd w:id="10"/>
      <w:r w:rsidRPr="00AC0DF0" w:rsidR="00B41E55">
        <w:rPr>
          <w:szCs w:val="24"/>
        </w:rPr>
        <w:t>.</w:t>
      </w:r>
      <w:bookmarkEnd w:id="11"/>
    </w:p>
    <w:p w:rsidR="0015003A" w:rsidRPr="00AC0DF0" w:rsidP="0094127A" w14:paraId="2AA23D88" w14:textId="1DDBAF4A">
      <w:pPr>
        <w:pStyle w:val="BodyTextIndent3"/>
        <w:spacing w:line="480" w:lineRule="auto"/>
        <w:ind w:right="-312"/>
        <w:rPr>
          <w:szCs w:val="24"/>
        </w:rPr>
      </w:pPr>
      <w:r w:rsidRPr="00AC0DF0">
        <w:rPr>
          <w:szCs w:val="24"/>
        </w:rPr>
        <w:t>The Applicant claims that “OCC’s objections should be stricken as unduly prejudicial.”</w:t>
      </w:r>
      <w:r>
        <w:rPr>
          <w:rStyle w:val="FootnoteReference"/>
          <w:szCs w:val="24"/>
        </w:rPr>
        <w:footnoteReference w:id="18"/>
      </w:r>
      <w:r w:rsidRPr="00AC0DF0" w:rsidR="00B42F11">
        <w:rPr>
          <w:szCs w:val="24"/>
        </w:rPr>
        <w:t xml:space="preserve"> </w:t>
      </w:r>
      <w:r w:rsidRPr="00AC0DF0">
        <w:rPr>
          <w:szCs w:val="24"/>
        </w:rPr>
        <w:t xml:space="preserve">The Applicant alleges that OCC’s objections should be stricken for </w:t>
      </w:r>
      <w:r w:rsidRPr="00AC0DF0" w:rsidR="000C3F80">
        <w:rPr>
          <w:szCs w:val="24"/>
        </w:rPr>
        <w:t>“</w:t>
      </w:r>
      <w:r w:rsidRPr="00AC0DF0">
        <w:rPr>
          <w:szCs w:val="24"/>
        </w:rPr>
        <w:t>failing to comply with the Commission’s rules.”</w:t>
      </w:r>
      <w:r>
        <w:rPr>
          <w:rStyle w:val="FootnoteReference"/>
          <w:szCs w:val="24"/>
        </w:rPr>
        <w:footnoteReference w:id="19"/>
      </w:r>
      <w:r w:rsidRPr="00AC0DF0" w:rsidR="0094127A">
        <w:rPr>
          <w:szCs w:val="24"/>
        </w:rPr>
        <w:t xml:space="preserve"> In this regard the </w:t>
      </w:r>
      <w:r w:rsidRPr="00AC0DF0" w:rsidR="000C3F80">
        <w:rPr>
          <w:szCs w:val="24"/>
        </w:rPr>
        <w:t>A</w:t>
      </w:r>
      <w:r w:rsidRPr="00AC0DF0" w:rsidR="0094127A">
        <w:rPr>
          <w:szCs w:val="24"/>
        </w:rPr>
        <w:t>pplicant claims that OCC “is not an affected party” under O.A.C. 4901:1-38-05(F) and therefore “its filing of objections in this case is improper and should be stricken.”</w:t>
      </w:r>
      <w:r>
        <w:rPr>
          <w:rStyle w:val="FootnoteReference"/>
          <w:szCs w:val="24"/>
        </w:rPr>
        <w:footnoteReference w:id="20"/>
      </w:r>
      <w:r w:rsidRPr="00AC0DF0" w:rsidR="0094127A">
        <w:rPr>
          <w:szCs w:val="24"/>
        </w:rPr>
        <w:t xml:space="preserve"> The Applicant’s claims rest upon its misplaced arguments that OCC has failed to demonstrate any “direct</w:t>
      </w:r>
      <w:r w:rsidRPr="00AC0DF0" w:rsidR="00EF5376">
        <w:rPr>
          <w:szCs w:val="24"/>
        </w:rPr>
        <w:t>,</w:t>
      </w:r>
      <w:r>
        <w:rPr>
          <w:rStyle w:val="FootnoteReference"/>
          <w:szCs w:val="24"/>
        </w:rPr>
        <w:footnoteReference w:id="21"/>
      </w:r>
      <w:r w:rsidRPr="00AC0DF0" w:rsidR="0094127A">
        <w:rPr>
          <w:szCs w:val="24"/>
        </w:rPr>
        <w:t xml:space="preserve"> real or sub</w:t>
      </w:r>
      <w:r w:rsidRPr="00AC0DF0" w:rsidR="00F80BA4">
        <w:rPr>
          <w:szCs w:val="24"/>
        </w:rPr>
        <w:t>s</w:t>
      </w:r>
      <w:r w:rsidRPr="00AC0DF0" w:rsidR="0094127A">
        <w:rPr>
          <w:szCs w:val="24"/>
        </w:rPr>
        <w:t>tantial interest in the Application.”</w:t>
      </w:r>
      <w:r>
        <w:rPr>
          <w:rStyle w:val="FootnoteReference"/>
          <w:szCs w:val="24"/>
        </w:rPr>
        <w:footnoteReference w:id="22"/>
      </w:r>
      <w:r w:rsidRPr="00AC0DF0" w:rsidR="000417AB">
        <w:rPr>
          <w:szCs w:val="24"/>
        </w:rPr>
        <w:t xml:space="preserve"> </w:t>
      </w:r>
    </w:p>
    <w:p w:rsidR="0094127A" w:rsidRPr="00AC0DF0" w:rsidP="0094127A" w14:paraId="2D1F5111" w14:textId="7481C168">
      <w:pPr>
        <w:pStyle w:val="BodyTextIndent3"/>
        <w:spacing w:line="480" w:lineRule="auto"/>
        <w:ind w:right="-312"/>
        <w:rPr>
          <w:szCs w:val="24"/>
        </w:rPr>
      </w:pPr>
      <w:r w:rsidRPr="00AC0DF0">
        <w:rPr>
          <w:szCs w:val="24"/>
        </w:rPr>
        <w:t>As OCC explained above, OCC may be adversely harmed if the Applicant’s participation in the program causes cost shifting to occur for the non-participants.</w:t>
      </w:r>
      <w:r w:rsidRPr="00AC0DF0" w:rsidR="000417AB">
        <w:rPr>
          <w:szCs w:val="24"/>
        </w:rPr>
        <w:t xml:space="preserve"> </w:t>
      </w:r>
      <w:r w:rsidRPr="00AC0DF0">
        <w:rPr>
          <w:szCs w:val="24"/>
        </w:rPr>
        <w:t>OCC</w:t>
      </w:r>
      <w:r w:rsidRPr="00AC0DF0" w:rsidR="000C3F80">
        <w:rPr>
          <w:szCs w:val="24"/>
        </w:rPr>
        <w:t xml:space="preserve"> has an </w:t>
      </w:r>
      <w:r w:rsidRPr="00AC0DF0">
        <w:rPr>
          <w:szCs w:val="24"/>
        </w:rPr>
        <w:t xml:space="preserve">interest in preventing </w:t>
      </w:r>
      <w:r w:rsidRPr="00AC0DF0" w:rsidR="00EF5376">
        <w:rPr>
          <w:szCs w:val="24"/>
        </w:rPr>
        <w:t>residential consumers</w:t>
      </w:r>
      <w:r w:rsidRPr="00AC0DF0">
        <w:rPr>
          <w:szCs w:val="24"/>
        </w:rPr>
        <w:t xml:space="preserve"> from paying more under Rider NMB if the Applicant opts out</w:t>
      </w:r>
      <w:r w:rsidRPr="00AC0DF0" w:rsidR="00F81193">
        <w:rPr>
          <w:szCs w:val="24"/>
        </w:rPr>
        <w:t>.</w:t>
      </w:r>
      <w:r w:rsidRPr="00AC0DF0" w:rsidR="000417AB">
        <w:rPr>
          <w:szCs w:val="24"/>
        </w:rPr>
        <w:t xml:space="preserve"> </w:t>
      </w:r>
      <w:r w:rsidRPr="00AC0DF0" w:rsidR="00F81193">
        <w:rPr>
          <w:szCs w:val="24"/>
        </w:rPr>
        <w:t>This is</w:t>
      </w:r>
      <w:r w:rsidRPr="00AC0DF0">
        <w:rPr>
          <w:szCs w:val="24"/>
        </w:rPr>
        <w:t xml:space="preserve"> a real and substantial interest. </w:t>
      </w:r>
      <w:r w:rsidRPr="00AC0DF0" w:rsidR="0015003A">
        <w:rPr>
          <w:szCs w:val="24"/>
        </w:rPr>
        <w:t>While the Applicant can profess to offer a “zero cost”</w:t>
      </w:r>
      <w:r>
        <w:rPr>
          <w:rStyle w:val="FootnoteReference"/>
          <w:szCs w:val="24"/>
        </w:rPr>
        <w:footnoteReference w:id="23"/>
      </w:r>
      <w:r w:rsidRPr="00AC0DF0" w:rsidR="0015003A">
        <w:rPr>
          <w:szCs w:val="24"/>
        </w:rPr>
        <w:t xml:space="preserve"> unique arrangement, OCC should have the ability to intervene in</w:t>
      </w:r>
      <w:r w:rsidRPr="00AC0DF0" w:rsidR="00EF5376">
        <w:rPr>
          <w:szCs w:val="24"/>
        </w:rPr>
        <w:t xml:space="preserve"> order to </w:t>
      </w:r>
      <w:r w:rsidRPr="00AC0DF0" w:rsidR="0015003A">
        <w:rPr>
          <w:szCs w:val="24"/>
        </w:rPr>
        <w:t xml:space="preserve">test </w:t>
      </w:r>
      <w:r w:rsidRPr="00AC0DF0" w:rsidR="00F81193">
        <w:rPr>
          <w:szCs w:val="24"/>
        </w:rPr>
        <w:t>this</w:t>
      </w:r>
      <w:r w:rsidRPr="00AC0DF0" w:rsidR="0015003A">
        <w:rPr>
          <w:szCs w:val="24"/>
        </w:rPr>
        <w:t xml:space="preserve"> assertion.</w:t>
      </w:r>
      <w:r w:rsidRPr="00AC0DF0" w:rsidR="000417AB">
        <w:rPr>
          <w:szCs w:val="24"/>
        </w:rPr>
        <w:t xml:space="preserve"> </w:t>
      </w:r>
      <w:r w:rsidRPr="00AC0DF0" w:rsidR="00F81193">
        <w:rPr>
          <w:szCs w:val="24"/>
        </w:rPr>
        <w:t>If</w:t>
      </w:r>
      <w:r w:rsidRPr="00AC0DF0" w:rsidR="0015003A">
        <w:rPr>
          <w:szCs w:val="24"/>
        </w:rPr>
        <w:t xml:space="preserve"> the assertion is wrong, the consumers OCC represents will be adversely affected.</w:t>
      </w:r>
      <w:r w:rsidRPr="00AC0DF0" w:rsidR="000417AB">
        <w:rPr>
          <w:szCs w:val="24"/>
        </w:rPr>
        <w:t xml:space="preserve"> </w:t>
      </w:r>
      <w:r w:rsidRPr="00AC0DF0" w:rsidR="0015003A">
        <w:rPr>
          <w:szCs w:val="24"/>
        </w:rPr>
        <w:t xml:space="preserve">The PUCO should find </w:t>
      </w:r>
      <w:r w:rsidRPr="00AC0DF0" w:rsidR="00110E60">
        <w:rPr>
          <w:szCs w:val="24"/>
        </w:rPr>
        <w:t>deny the</w:t>
      </w:r>
      <w:r w:rsidRPr="00AC0DF0" w:rsidR="00EF5376">
        <w:rPr>
          <w:szCs w:val="24"/>
        </w:rPr>
        <w:t xml:space="preserve"> Applicant’s Motion to Strike</w:t>
      </w:r>
      <w:r w:rsidRPr="00AC0DF0" w:rsidR="00110E60">
        <w:rPr>
          <w:szCs w:val="24"/>
        </w:rPr>
        <w:t>.</w:t>
      </w:r>
      <w:r w:rsidRPr="00AC0DF0" w:rsidR="00EF5376">
        <w:rPr>
          <w:szCs w:val="24"/>
        </w:rPr>
        <w:t xml:space="preserve"> </w:t>
      </w:r>
    </w:p>
    <w:p w:rsidR="00FC62D8" w:rsidRPr="00AC0DF0" w:rsidP="00E75755" w14:paraId="2575B7AB" w14:textId="3E035E3C">
      <w:pPr>
        <w:pStyle w:val="Heading2"/>
        <w:rPr>
          <w:szCs w:val="24"/>
        </w:rPr>
      </w:pPr>
      <w:bookmarkStart w:id="12" w:name="_Toc92789797"/>
      <w:bookmarkStart w:id="13" w:name="_Toc92807165"/>
      <w:r w:rsidRPr="00AC0DF0">
        <w:rPr>
          <w:szCs w:val="24"/>
        </w:rPr>
        <w:t>B.</w:t>
      </w:r>
      <w:r w:rsidRPr="00AC0DF0">
        <w:rPr>
          <w:szCs w:val="24"/>
        </w:rPr>
        <w:tab/>
      </w:r>
      <w:r w:rsidRPr="00AC0DF0" w:rsidR="00F67DF4">
        <w:rPr>
          <w:szCs w:val="24"/>
        </w:rPr>
        <w:t>OCC’s objections are well made</w:t>
      </w:r>
      <w:r w:rsidRPr="00AC0DF0">
        <w:rPr>
          <w:szCs w:val="24"/>
        </w:rPr>
        <w:t>.</w:t>
      </w:r>
      <w:bookmarkEnd w:id="12"/>
      <w:bookmarkEnd w:id="13"/>
    </w:p>
    <w:p w:rsidR="00E850D2" w:rsidRPr="00AC0DF0" w:rsidP="00E75755" w14:paraId="3013E155" w14:textId="5F4F0EC5">
      <w:pPr>
        <w:pStyle w:val="Heading3"/>
        <w:rPr>
          <w:szCs w:val="24"/>
        </w:rPr>
      </w:pPr>
      <w:bookmarkStart w:id="14" w:name="_Toc92789798"/>
      <w:bookmarkStart w:id="15" w:name="_Toc92807166"/>
      <w:r w:rsidRPr="00AC0DF0">
        <w:rPr>
          <w:szCs w:val="24"/>
        </w:rPr>
        <w:t>1.</w:t>
      </w:r>
      <w:r w:rsidRPr="00AC0DF0">
        <w:rPr>
          <w:szCs w:val="24"/>
        </w:rPr>
        <w:tab/>
      </w:r>
      <w:r w:rsidRPr="00AC0DF0" w:rsidR="005B04C4">
        <w:rPr>
          <w:szCs w:val="24"/>
        </w:rPr>
        <w:t xml:space="preserve">The Rider NMB pilot program should be evaluated by the PUCO Staff according to the PUCO’s </w:t>
      </w:r>
      <w:r w:rsidRPr="00AC0DF0" w:rsidR="00D467F7">
        <w:rPr>
          <w:szCs w:val="24"/>
        </w:rPr>
        <w:t>stated</w:t>
      </w:r>
      <w:r w:rsidRPr="00AC0DF0" w:rsidR="005B04C4">
        <w:rPr>
          <w:szCs w:val="24"/>
        </w:rPr>
        <w:t xml:space="preserve"> criteria before </w:t>
      </w:r>
      <w:r w:rsidRPr="00AC0DF0" w:rsidR="00110E60">
        <w:rPr>
          <w:szCs w:val="24"/>
        </w:rPr>
        <w:t>the pilot program is extended to allow additional participants</w:t>
      </w:r>
      <w:r w:rsidRPr="00AC0DF0" w:rsidR="005B04C4">
        <w:rPr>
          <w:szCs w:val="24"/>
        </w:rPr>
        <w:t>.</w:t>
      </w:r>
      <w:bookmarkEnd w:id="14"/>
      <w:bookmarkEnd w:id="15"/>
    </w:p>
    <w:p w:rsidR="00F81193" w:rsidRPr="00AC0DF0" w:rsidP="00FB2949" w14:paraId="05B834ED" w14:textId="5684167D">
      <w:pPr>
        <w:spacing w:line="480" w:lineRule="auto"/>
        <w:ind w:firstLine="720"/>
        <w:rPr>
          <w:szCs w:val="24"/>
        </w:rPr>
      </w:pPr>
      <w:r w:rsidRPr="00AC0DF0">
        <w:rPr>
          <w:szCs w:val="24"/>
        </w:rPr>
        <w:t xml:space="preserve">The Applicant claims that </w:t>
      </w:r>
      <w:r w:rsidRPr="00AC0DF0" w:rsidR="00FB2949">
        <w:rPr>
          <w:szCs w:val="24"/>
        </w:rPr>
        <w:t>“OCC’s first and second objections both relate to the Rider NMB Pilot Program as a whole, but do not articulate how these objections are related to the merits of this specific case.”</w:t>
      </w:r>
      <w:r>
        <w:rPr>
          <w:rStyle w:val="FootnoteReference"/>
          <w:szCs w:val="24"/>
        </w:rPr>
        <w:footnoteReference w:id="24"/>
      </w:r>
      <w:r w:rsidRPr="00AC0DF0" w:rsidR="00FB2949">
        <w:rPr>
          <w:szCs w:val="24"/>
        </w:rPr>
        <w:t xml:space="preserve"> In this regard the </w:t>
      </w:r>
      <w:r w:rsidRPr="00AC0DF0" w:rsidR="00C0701E">
        <w:rPr>
          <w:szCs w:val="24"/>
        </w:rPr>
        <w:t>Applicant claims that the Rider NMB Pilot Program “was not created in this case</w:t>
      </w:r>
      <w:r w:rsidRPr="00AC0DF0">
        <w:rPr>
          <w:szCs w:val="24"/>
        </w:rPr>
        <w:t>,</w:t>
      </w:r>
      <w:r w:rsidRPr="00AC0DF0" w:rsidR="00C0701E">
        <w:rPr>
          <w:szCs w:val="24"/>
        </w:rPr>
        <w:t>”</w:t>
      </w:r>
      <w:r>
        <w:rPr>
          <w:rStyle w:val="FootnoteReference"/>
          <w:szCs w:val="24"/>
        </w:rPr>
        <w:footnoteReference w:id="25"/>
      </w:r>
      <w:r w:rsidRPr="00AC0DF0" w:rsidR="00C0701E">
        <w:rPr>
          <w:szCs w:val="24"/>
        </w:rPr>
        <w:t xml:space="preserve"> </w:t>
      </w:r>
      <w:r w:rsidRPr="00AC0DF0">
        <w:rPr>
          <w:szCs w:val="24"/>
        </w:rPr>
        <w:t xml:space="preserve">and </w:t>
      </w:r>
      <w:r w:rsidRPr="00AC0DF0" w:rsidR="00C0701E">
        <w:rPr>
          <w:szCs w:val="24"/>
        </w:rPr>
        <w:t>the Applicant “is not currently participating”</w:t>
      </w:r>
      <w:r>
        <w:rPr>
          <w:rStyle w:val="FootnoteReference"/>
          <w:szCs w:val="24"/>
        </w:rPr>
        <w:footnoteReference w:id="26"/>
      </w:r>
      <w:r w:rsidRPr="00AC0DF0" w:rsidR="00C0701E">
        <w:rPr>
          <w:szCs w:val="24"/>
        </w:rPr>
        <w:t xml:space="preserve"> in the Pilot</w:t>
      </w:r>
      <w:r w:rsidRPr="00AC0DF0">
        <w:rPr>
          <w:szCs w:val="24"/>
        </w:rPr>
        <w:t>.</w:t>
      </w:r>
      <w:r w:rsidRPr="00AC0DF0" w:rsidR="000417AB">
        <w:rPr>
          <w:szCs w:val="24"/>
        </w:rPr>
        <w:t xml:space="preserve"> </w:t>
      </w:r>
      <w:r w:rsidRPr="00AC0DF0">
        <w:rPr>
          <w:szCs w:val="24"/>
        </w:rPr>
        <w:t xml:space="preserve">Thus, the Applicant argues </w:t>
      </w:r>
      <w:r w:rsidRPr="00AC0DF0" w:rsidR="00C0701E">
        <w:rPr>
          <w:szCs w:val="24"/>
        </w:rPr>
        <w:t xml:space="preserve">an investigation of the Rider would be “procedurally </w:t>
      </w:r>
      <w:r w:rsidRPr="00AC0DF0" w:rsidR="00FC62D8">
        <w:rPr>
          <w:szCs w:val="24"/>
        </w:rPr>
        <w:t>improper</w:t>
      </w:r>
      <w:r w:rsidRPr="00AC0DF0" w:rsidR="00C0701E">
        <w:rPr>
          <w:szCs w:val="24"/>
        </w:rPr>
        <w:t xml:space="preserve"> and practically difficult.”</w:t>
      </w:r>
      <w:r>
        <w:rPr>
          <w:rStyle w:val="FootnoteReference"/>
          <w:szCs w:val="24"/>
        </w:rPr>
        <w:footnoteReference w:id="27"/>
      </w:r>
      <w:r w:rsidRPr="00AC0DF0" w:rsidR="00C0701E">
        <w:rPr>
          <w:szCs w:val="24"/>
        </w:rPr>
        <w:t xml:space="preserve"> </w:t>
      </w:r>
    </w:p>
    <w:p w:rsidR="00FC62D8" w:rsidRPr="00AC0DF0" w:rsidP="00FB2949" w14:paraId="06D320AC" w14:textId="3B4D1CE9">
      <w:pPr>
        <w:spacing w:line="480" w:lineRule="auto"/>
        <w:ind w:firstLine="720"/>
        <w:rPr>
          <w:szCs w:val="24"/>
        </w:rPr>
      </w:pPr>
      <w:r w:rsidRPr="00AC0DF0">
        <w:rPr>
          <w:szCs w:val="24"/>
        </w:rPr>
        <w:t xml:space="preserve">But Applicant’s claims are misplaced. The issue is not whether the pilot was created in this case, </w:t>
      </w:r>
      <w:r w:rsidRPr="00AC0DF0" w:rsidR="005B04C4">
        <w:rPr>
          <w:szCs w:val="24"/>
        </w:rPr>
        <w:t xml:space="preserve">or </w:t>
      </w:r>
      <w:r w:rsidRPr="00AC0DF0">
        <w:rPr>
          <w:szCs w:val="24"/>
        </w:rPr>
        <w:t xml:space="preserve">whether the Applicant is currently participating in it, or </w:t>
      </w:r>
      <w:r w:rsidRPr="00AC0DF0" w:rsidR="005B04C4">
        <w:rPr>
          <w:szCs w:val="24"/>
        </w:rPr>
        <w:t xml:space="preserve">how difficult an investigation would be. </w:t>
      </w:r>
      <w:r w:rsidRPr="00AC0DF0" w:rsidR="00420EE2">
        <w:rPr>
          <w:szCs w:val="24"/>
        </w:rPr>
        <w:t xml:space="preserve">Despite Applicant’s claims to the contrary, the PUCO cannot </w:t>
      </w:r>
      <w:r w:rsidRPr="00AC0DF0">
        <w:rPr>
          <w:szCs w:val="24"/>
        </w:rPr>
        <w:t xml:space="preserve">and should not </w:t>
      </w:r>
      <w:r w:rsidRPr="00AC0DF0" w:rsidR="00420EE2">
        <w:rPr>
          <w:szCs w:val="24"/>
        </w:rPr>
        <w:t>address the “merits”</w:t>
      </w:r>
      <w:r>
        <w:rPr>
          <w:rStyle w:val="FootnoteReference"/>
          <w:szCs w:val="24"/>
        </w:rPr>
        <w:footnoteReference w:id="28"/>
      </w:r>
      <w:r w:rsidRPr="00AC0DF0" w:rsidR="00420EE2">
        <w:rPr>
          <w:szCs w:val="24"/>
        </w:rPr>
        <w:t xml:space="preserve"> of the application unless </w:t>
      </w:r>
      <w:r w:rsidRPr="00AC0DF0" w:rsidR="009D0B61">
        <w:rPr>
          <w:szCs w:val="24"/>
        </w:rPr>
        <w:t xml:space="preserve">and until </w:t>
      </w:r>
      <w:r w:rsidRPr="00AC0DF0" w:rsidR="00420EE2">
        <w:rPr>
          <w:szCs w:val="24"/>
        </w:rPr>
        <w:t>a review of the pilot program is undertaken</w:t>
      </w:r>
      <w:r w:rsidRPr="00AC0DF0" w:rsidR="00992085">
        <w:rPr>
          <w:szCs w:val="24"/>
        </w:rPr>
        <w:t xml:space="preserve"> as the PUCO ordered</w:t>
      </w:r>
      <w:r w:rsidRPr="00AC0DF0" w:rsidR="00420EE2">
        <w:rPr>
          <w:szCs w:val="24"/>
        </w:rPr>
        <w:t>.</w:t>
      </w:r>
      <w:r>
        <w:rPr>
          <w:rStyle w:val="FootnoteReference"/>
          <w:szCs w:val="24"/>
        </w:rPr>
        <w:footnoteReference w:id="29"/>
      </w:r>
    </w:p>
    <w:p w:rsidR="009B4F69" w:rsidRPr="00AC0DF0" w:rsidP="00FB2949" w14:paraId="70D1B8DC" w14:textId="7B972F84">
      <w:pPr>
        <w:spacing w:line="480" w:lineRule="auto"/>
        <w:ind w:firstLine="720"/>
        <w:rPr>
          <w:szCs w:val="24"/>
        </w:rPr>
      </w:pPr>
      <w:r w:rsidRPr="00AC0DF0">
        <w:rPr>
          <w:szCs w:val="24"/>
        </w:rPr>
        <w:t>As</w:t>
      </w:r>
      <w:r w:rsidRPr="00AC0DF0" w:rsidR="00FC62D8">
        <w:rPr>
          <w:szCs w:val="24"/>
        </w:rPr>
        <w:t xml:space="preserve"> </w:t>
      </w:r>
      <w:r w:rsidRPr="00AC0DF0" w:rsidR="00B93552">
        <w:rPr>
          <w:szCs w:val="24"/>
        </w:rPr>
        <w:t>OCC pointed out in its Objections,</w:t>
      </w:r>
      <w:r>
        <w:rPr>
          <w:rStyle w:val="FootnoteReference"/>
          <w:szCs w:val="24"/>
        </w:rPr>
        <w:footnoteReference w:id="30"/>
      </w:r>
      <w:r w:rsidRPr="00AC0DF0" w:rsidR="00B93552">
        <w:rPr>
          <w:szCs w:val="24"/>
        </w:rPr>
        <w:t xml:space="preserve"> </w:t>
      </w:r>
      <w:r w:rsidRPr="00AC0DF0" w:rsidR="00FC62D8">
        <w:rPr>
          <w:szCs w:val="24"/>
        </w:rPr>
        <w:t xml:space="preserve">Rider NMB </w:t>
      </w:r>
      <w:r w:rsidRPr="00AC0DF0" w:rsidR="005B04C4">
        <w:rPr>
          <w:szCs w:val="24"/>
        </w:rPr>
        <w:t xml:space="preserve">is </w:t>
      </w:r>
      <w:r w:rsidRPr="00AC0DF0" w:rsidR="00B93552">
        <w:rPr>
          <w:szCs w:val="24"/>
        </w:rPr>
        <w:t xml:space="preserve">a pilot program </w:t>
      </w:r>
      <w:r w:rsidRPr="00AC0DF0" w:rsidR="005B04C4">
        <w:rPr>
          <w:szCs w:val="24"/>
        </w:rPr>
        <w:t xml:space="preserve">intended to be studied and used as a learning experience for regulatory policymaking. </w:t>
      </w:r>
      <w:r w:rsidRPr="00AC0DF0">
        <w:rPr>
          <w:szCs w:val="24"/>
        </w:rPr>
        <w:t>The PUCO directed FirstEnergy and the PUCO Staff to “continuously review the actual results of the Rider NMB pilot program and periodically report their findings to the Commission.”</w:t>
      </w:r>
      <w:r>
        <w:rPr>
          <w:rStyle w:val="FootnoteReference"/>
          <w:szCs w:val="24"/>
        </w:rPr>
        <w:footnoteReference w:id="31"/>
      </w:r>
      <w:r w:rsidRPr="00AC0DF0">
        <w:rPr>
          <w:szCs w:val="24"/>
        </w:rPr>
        <w:t xml:space="preserve"> </w:t>
      </w:r>
      <w:r w:rsidRPr="00AC0DF0" w:rsidR="00861C1F">
        <w:rPr>
          <w:szCs w:val="24"/>
        </w:rPr>
        <w:t xml:space="preserve">The </w:t>
      </w:r>
      <w:r w:rsidRPr="00AC0DF0">
        <w:rPr>
          <w:szCs w:val="24"/>
        </w:rPr>
        <w:t>review was to “include, at a minimum</w:t>
      </w:r>
      <w:r w:rsidRPr="00AC0DF0" w:rsidR="005B4F64">
        <w:rPr>
          <w:szCs w:val="24"/>
        </w:rPr>
        <w:t>:</w:t>
      </w:r>
      <w:r w:rsidRPr="00AC0DF0">
        <w:rPr>
          <w:szCs w:val="24"/>
        </w:rPr>
        <w:t xml:space="preserve"> whether there is an aggregate savings in transmission costs for all of the Companies’ customers, whether and how much in transmission costs are being shifted to customers not participating in the pilot program, whether the benefits of the pilot program outweigh any costs, and whether Rider NMB results in an overall costs savings to customers.”</w:t>
      </w:r>
      <w:r>
        <w:rPr>
          <w:rStyle w:val="FootnoteReference"/>
          <w:szCs w:val="24"/>
        </w:rPr>
        <w:footnoteReference w:id="32"/>
      </w:r>
      <w:r w:rsidRPr="00AC0DF0">
        <w:rPr>
          <w:szCs w:val="24"/>
        </w:rPr>
        <w:t xml:space="preserve"> </w:t>
      </w:r>
    </w:p>
    <w:p w:rsidR="009D0B61" w:rsidRPr="00AC0DF0" w:rsidP="00FB2949" w14:paraId="6C991F47" w14:textId="185ADCB5">
      <w:pPr>
        <w:spacing w:line="480" w:lineRule="auto"/>
        <w:ind w:firstLine="720"/>
        <w:rPr>
          <w:szCs w:val="24"/>
        </w:rPr>
      </w:pPr>
      <w:r w:rsidRPr="00AC0DF0">
        <w:rPr>
          <w:szCs w:val="24"/>
        </w:rPr>
        <w:t>Before the PUCO considers expan</w:t>
      </w:r>
      <w:r w:rsidRPr="00AC0DF0" w:rsidR="00861C1F">
        <w:rPr>
          <w:szCs w:val="24"/>
        </w:rPr>
        <w:t>ding the pi</w:t>
      </w:r>
      <w:r w:rsidRPr="00AC0DF0">
        <w:rPr>
          <w:szCs w:val="24"/>
        </w:rPr>
        <w:t xml:space="preserve">lot </w:t>
      </w:r>
      <w:r w:rsidRPr="00AC0DF0" w:rsidR="00861C1F">
        <w:rPr>
          <w:szCs w:val="24"/>
        </w:rPr>
        <w:t>p</w:t>
      </w:r>
      <w:r w:rsidRPr="00AC0DF0">
        <w:rPr>
          <w:szCs w:val="24"/>
        </w:rPr>
        <w:t>rogram, the PUCO should first follow through with its 2016 Order</w:t>
      </w:r>
      <w:r w:rsidRPr="00AC0DF0" w:rsidR="001E4F06">
        <w:rPr>
          <w:szCs w:val="24"/>
        </w:rPr>
        <w:t xml:space="preserve">. </w:t>
      </w:r>
      <w:r w:rsidRPr="00AC0DF0" w:rsidR="00861C1F">
        <w:rPr>
          <w:szCs w:val="24"/>
        </w:rPr>
        <w:t xml:space="preserve">Before more customers are added to the pilot, it </w:t>
      </w:r>
      <w:r w:rsidRPr="00AC0DF0" w:rsidR="00D467F7">
        <w:rPr>
          <w:szCs w:val="24"/>
        </w:rPr>
        <w:t xml:space="preserve">should </w:t>
      </w:r>
      <w:r w:rsidRPr="00AC0DF0">
        <w:rPr>
          <w:szCs w:val="24"/>
        </w:rPr>
        <w:t xml:space="preserve">be thoroughly examined by its Staff </w:t>
      </w:r>
      <w:r w:rsidRPr="00AC0DF0" w:rsidR="00861C1F">
        <w:rPr>
          <w:szCs w:val="24"/>
        </w:rPr>
        <w:t xml:space="preserve">as directed by the PUCO </w:t>
      </w:r>
      <w:r w:rsidRPr="00AC0DF0">
        <w:rPr>
          <w:szCs w:val="24"/>
        </w:rPr>
        <w:t xml:space="preserve">and </w:t>
      </w:r>
      <w:r w:rsidRPr="00AC0DF0" w:rsidR="001E4F06">
        <w:rPr>
          <w:szCs w:val="24"/>
        </w:rPr>
        <w:t xml:space="preserve">the results </w:t>
      </w:r>
      <w:r w:rsidRPr="00AC0DF0" w:rsidR="00861C1F">
        <w:rPr>
          <w:szCs w:val="24"/>
        </w:rPr>
        <w:t xml:space="preserve">publicly </w:t>
      </w:r>
      <w:r w:rsidRPr="00AC0DF0">
        <w:rPr>
          <w:szCs w:val="24"/>
        </w:rPr>
        <w:t>reported</w:t>
      </w:r>
      <w:r w:rsidRPr="00AC0DF0" w:rsidR="00861C1F">
        <w:rPr>
          <w:szCs w:val="24"/>
        </w:rPr>
        <w:t>.</w:t>
      </w:r>
      <w:r w:rsidRPr="00AC0DF0" w:rsidR="000417AB">
        <w:rPr>
          <w:szCs w:val="24"/>
        </w:rPr>
        <w:t xml:space="preserve"> </w:t>
      </w:r>
    </w:p>
    <w:p w:rsidR="009D0B61" w:rsidRPr="00AC0DF0" w:rsidP="004418B5" w14:paraId="6445EB55" w14:textId="7CEC9FCD">
      <w:pPr>
        <w:pStyle w:val="Heading3"/>
        <w:rPr>
          <w:szCs w:val="24"/>
        </w:rPr>
      </w:pPr>
      <w:bookmarkStart w:id="16" w:name="_Toc92789799"/>
      <w:bookmarkStart w:id="17" w:name="_Toc92807167"/>
      <w:r w:rsidRPr="00AC0DF0">
        <w:rPr>
          <w:szCs w:val="24"/>
        </w:rPr>
        <w:t>2.</w:t>
      </w:r>
      <w:r w:rsidRPr="00AC0DF0">
        <w:rPr>
          <w:szCs w:val="24"/>
        </w:rPr>
        <w:tab/>
        <w:t xml:space="preserve">The Rider NMB </w:t>
      </w:r>
      <w:r w:rsidRPr="00AC0DF0" w:rsidR="00C74EB7">
        <w:rPr>
          <w:szCs w:val="24"/>
        </w:rPr>
        <w:t>p</w:t>
      </w:r>
      <w:r w:rsidRPr="00AC0DF0">
        <w:rPr>
          <w:szCs w:val="24"/>
        </w:rPr>
        <w:t xml:space="preserve">ilot </w:t>
      </w:r>
      <w:r w:rsidRPr="00AC0DF0" w:rsidR="00C74EB7">
        <w:rPr>
          <w:szCs w:val="24"/>
        </w:rPr>
        <w:t>p</w:t>
      </w:r>
      <w:r w:rsidRPr="00AC0DF0">
        <w:rPr>
          <w:szCs w:val="24"/>
        </w:rPr>
        <w:t xml:space="preserve">rogram </w:t>
      </w:r>
      <w:r w:rsidRPr="00AC0DF0" w:rsidR="00861C1F">
        <w:rPr>
          <w:szCs w:val="24"/>
        </w:rPr>
        <w:t>r</w:t>
      </w:r>
      <w:r w:rsidRPr="00AC0DF0">
        <w:rPr>
          <w:szCs w:val="24"/>
        </w:rPr>
        <w:t>eview should include whether and how much transmission costs are being shifted to non-participating customers.</w:t>
      </w:r>
      <w:bookmarkEnd w:id="16"/>
      <w:bookmarkEnd w:id="17"/>
      <w:r w:rsidRPr="00AC0DF0" w:rsidR="000417AB">
        <w:rPr>
          <w:szCs w:val="24"/>
        </w:rPr>
        <w:t xml:space="preserve"> </w:t>
      </w:r>
    </w:p>
    <w:p w:rsidR="009B4F69" w:rsidRPr="00AC0DF0" w:rsidP="00992085" w14:paraId="7B561890" w14:textId="77777777">
      <w:pPr>
        <w:spacing w:line="480" w:lineRule="auto"/>
        <w:ind w:firstLine="720"/>
        <w:rPr>
          <w:szCs w:val="24"/>
        </w:rPr>
      </w:pPr>
      <w:r w:rsidRPr="00AC0DF0">
        <w:rPr>
          <w:szCs w:val="24"/>
        </w:rPr>
        <w:t xml:space="preserve">In its response to OCC’s third objection, </w:t>
      </w:r>
      <w:r w:rsidRPr="00AC0DF0" w:rsidR="00B93552">
        <w:rPr>
          <w:szCs w:val="24"/>
        </w:rPr>
        <w:t>t</w:t>
      </w:r>
      <w:r w:rsidRPr="00AC0DF0" w:rsidR="009D0B61">
        <w:rPr>
          <w:szCs w:val="24"/>
        </w:rPr>
        <w:t xml:space="preserve">he Applicant </w:t>
      </w:r>
      <w:r w:rsidRPr="00AC0DF0" w:rsidR="00B93552">
        <w:rPr>
          <w:szCs w:val="24"/>
        </w:rPr>
        <w:t xml:space="preserve">asserts </w:t>
      </w:r>
      <w:r w:rsidRPr="00AC0DF0" w:rsidR="009D0B61">
        <w:rPr>
          <w:szCs w:val="24"/>
        </w:rPr>
        <w:t xml:space="preserve">that </w:t>
      </w:r>
      <w:r w:rsidRPr="00AC0DF0" w:rsidR="00992085">
        <w:rPr>
          <w:szCs w:val="24"/>
        </w:rPr>
        <w:t>“</w:t>
      </w:r>
      <w:r w:rsidRPr="00AC0DF0" w:rsidR="009D0B61">
        <w:rPr>
          <w:szCs w:val="24"/>
        </w:rPr>
        <w:t>its proposed reasonable arrangement will not result in any unfair cost-shifting to other customers.”</w:t>
      </w:r>
      <w:r>
        <w:rPr>
          <w:rStyle w:val="FootnoteReference"/>
          <w:szCs w:val="24"/>
        </w:rPr>
        <w:footnoteReference w:id="33"/>
      </w:r>
      <w:r w:rsidRPr="00AC0DF0" w:rsidR="000417AB">
        <w:rPr>
          <w:szCs w:val="24"/>
        </w:rPr>
        <w:t xml:space="preserve"> </w:t>
      </w:r>
      <w:r w:rsidRPr="00AC0DF0" w:rsidR="00992085">
        <w:rPr>
          <w:szCs w:val="24"/>
        </w:rPr>
        <w:t>But it also alleges that “the pros and cons of the Rider NMB Pilot Program as a whole cannot be determined by the Application in this case.”</w:t>
      </w:r>
      <w:r>
        <w:rPr>
          <w:rStyle w:val="FootnoteReference"/>
          <w:szCs w:val="24"/>
        </w:rPr>
        <w:footnoteReference w:id="34"/>
      </w:r>
      <w:r w:rsidRPr="00AC0DF0" w:rsidR="00992085">
        <w:rPr>
          <w:szCs w:val="24"/>
        </w:rPr>
        <w:t xml:space="preserve"> The Applicant appears to want it both ways. </w:t>
      </w:r>
    </w:p>
    <w:p w:rsidR="001E4F06" w:rsidRPr="00AC0DF0" w:rsidP="00992085" w14:paraId="69620BAB" w14:textId="38ADB719">
      <w:pPr>
        <w:spacing w:line="480" w:lineRule="auto"/>
        <w:ind w:firstLine="720"/>
        <w:rPr>
          <w:szCs w:val="24"/>
        </w:rPr>
      </w:pPr>
      <w:r w:rsidRPr="00AC0DF0">
        <w:rPr>
          <w:szCs w:val="24"/>
        </w:rPr>
        <w:t>Despite Applicant’s claims, the PUCO cannot determine whether or not there has been unfair cost-shifting to other customers unless</w:t>
      </w:r>
      <w:r w:rsidRPr="00AC0DF0" w:rsidR="00B93552">
        <w:rPr>
          <w:szCs w:val="24"/>
        </w:rPr>
        <w:t xml:space="preserve"> and until </w:t>
      </w:r>
      <w:r w:rsidRPr="00AC0DF0">
        <w:rPr>
          <w:szCs w:val="24"/>
        </w:rPr>
        <w:t xml:space="preserve">the pilot program has been evaluated. </w:t>
      </w:r>
      <w:r w:rsidRPr="00AC0DF0" w:rsidR="001A660B">
        <w:rPr>
          <w:szCs w:val="24"/>
        </w:rPr>
        <w:t xml:space="preserve">A detailed analysis of whether and how much transmission costs are being shifted to non-participating customers is a critical issue for </w:t>
      </w:r>
      <w:r w:rsidRPr="00AC0DF0">
        <w:rPr>
          <w:szCs w:val="24"/>
        </w:rPr>
        <w:t>residential consumers</w:t>
      </w:r>
      <w:r w:rsidRPr="00AC0DF0" w:rsidR="001A660B">
        <w:rPr>
          <w:szCs w:val="24"/>
        </w:rPr>
        <w:t xml:space="preserve"> who cannot opt out of paying Rider NMB. </w:t>
      </w:r>
    </w:p>
    <w:p w:rsidR="00570708" w:rsidRPr="00AC0DF0" w:rsidP="00992085" w14:paraId="71669F9F" w14:textId="3C374D02">
      <w:pPr>
        <w:spacing w:line="480" w:lineRule="auto"/>
        <w:ind w:firstLine="720"/>
        <w:rPr>
          <w:szCs w:val="24"/>
        </w:rPr>
      </w:pPr>
      <w:r w:rsidRPr="00AC0DF0">
        <w:rPr>
          <w:szCs w:val="24"/>
        </w:rPr>
        <w:t>The review required by the PUCO five years ago is needed to determine if it is just and reasonable to expand the program or even continue it. The PUCO</w:t>
      </w:r>
      <w:r w:rsidRPr="00AC0DF0" w:rsidR="00C74EB7">
        <w:rPr>
          <w:szCs w:val="24"/>
        </w:rPr>
        <w:t xml:space="preserve"> determined</w:t>
      </w:r>
      <w:r w:rsidRPr="00AC0DF0" w:rsidR="000417AB">
        <w:rPr>
          <w:szCs w:val="24"/>
        </w:rPr>
        <w:t xml:space="preserve"> </w:t>
      </w:r>
      <w:r w:rsidRPr="00AC0DF0">
        <w:rPr>
          <w:szCs w:val="24"/>
        </w:rPr>
        <w:t xml:space="preserve">“that Rider NMB pilot program is a pilot program which bears further study to determine if the </w:t>
      </w:r>
      <w:r w:rsidRPr="00AC0DF0">
        <w:rPr>
          <w:i/>
          <w:iCs/>
          <w:szCs w:val="24"/>
        </w:rPr>
        <w:t>actual results</w:t>
      </w:r>
      <w:r w:rsidRPr="00AC0DF0">
        <w:rPr>
          <w:szCs w:val="24"/>
        </w:rPr>
        <w:t xml:space="preserve"> of the pilot program, rather than projected results, are in the public interest.</w:t>
      </w:r>
      <w:r w:rsidRPr="00AC0DF0" w:rsidR="001A660B">
        <w:rPr>
          <w:szCs w:val="24"/>
        </w:rPr>
        <w:t>”</w:t>
      </w:r>
      <w:r>
        <w:rPr>
          <w:rStyle w:val="FootnoteReference"/>
          <w:szCs w:val="24"/>
        </w:rPr>
        <w:footnoteReference w:id="35"/>
      </w:r>
      <w:r w:rsidRPr="00AC0DF0" w:rsidR="000417AB">
        <w:rPr>
          <w:szCs w:val="24"/>
        </w:rPr>
        <w:t xml:space="preserve"> </w:t>
      </w:r>
      <w:r w:rsidRPr="00AC0DF0">
        <w:rPr>
          <w:szCs w:val="24"/>
        </w:rPr>
        <w:t xml:space="preserve">The PUCO’s desire for the pilot was to determine “whether the benefits </w:t>
      </w:r>
      <w:r w:rsidRPr="00AC0DF0" w:rsidR="00F80E45">
        <w:rPr>
          <w:szCs w:val="24"/>
        </w:rPr>
        <w:t>of the pilot program outweigh any costs</w:t>
      </w:r>
      <w:r w:rsidRPr="00AC0DF0">
        <w:rPr>
          <w:szCs w:val="24"/>
        </w:rPr>
        <w:t>.”</w:t>
      </w:r>
      <w:r>
        <w:rPr>
          <w:rStyle w:val="FootnoteReference"/>
          <w:szCs w:val="24"/>
        </w:rPr>
        <w:footnoteReference w:id="36"/>
      </w:r>
      <w:r w:rsidRPr="00AC0DF0">
        <w:rPr>
          <w:szCs w:val="24"/>
        </w:rPr>
        <w:t xml:space="preserve"> This review </w:t>
      </w:r>
      <w:r w:rsidRPr="00AC0DF0" w:rsidR="00F80E45">
        <w:rPr>
          <w:szCs w:val="24"/>
        </w:rPr>
        <w:t>has not occurred, but it should</w:t>
      </w:r>
      <w:r w:rsidRPr="00AC0DF0">
        <w:rPr>
          <w:szCs w:val="24"/>
        </w:rPr>
        <w:t xml:space="preserve"> occur before any other customers, including the Applicant, are added to the program. </w:t>
      </w:r>
    </w:p>
    <w:p w:rsidR="00AF0C71" w:rsidRPr="00AC0DF0" w:rsidP="00992085" w14:paraId="09068450" w14:textId="0781B925">
      <w:pPr>
        <w:spacing w:line="480" w:lineRule="auto"/>
        <w:ind w:firstLine="720"/>
        <w:rPr>
          <w:szCs w:val="24"/>
        </w:rPr>
      </w:pPr>
      <w:r w:rsidRPr="00AC0DF0">
        <w:rPr>
          <w:szCs w:val="24"/>
        </w:rPr>
        <w:t xml:space="preserve">OCC fully understands how these unique arrangements </w:t>
      </w:r>
      <w:r w:rsidRPr="00AC0DF0" w:rsidR="00E728B3">
        <w:rPr>
          <w:szCs w:val="24"/>
        </w:rPr>
        <w:t xml:space="preserve">typically </w:t>
      </w:r>
      <w:r w:rsidRPr="00AC0DF0">
        <w:rPr>
          <w:szCs w:val="24"/>
        </w:rPr>
        <w:t>work. Large industrial consumers looking to save money want their cost</w:t>
      </w:r>
      <w:r w:rsidRPr="00AC0DF0" w:rsidR="00570708">
        <w:rPr>
          <w:szCs w:val="24"/>
        </w:rPr>
        <w:t>s</w:t>
      </w:r>
      <w:r w:rsidRPr="00AC0DF0">
        <w:rPr>
          <w:szCs w:val="24"/>
        </w:rPr>
        <w:t xml:space="preserve"> to be reduced</w:t>
      </w:r>
      <w:r w:rsidRPr="00AC0DF0" w:rsidR="00570708">
        <w:rPr>
          <w:szCs w:val="24"/>
        </w:rPr>
        <w:t>. But</w:t>
      </w:r>
      <w:r w:rsidRPr="00AC0DF0">
        <w:rPr>
          <w:szCs w:val="24"/>
        </w:rPr>
        <w:t xml:space="preserve"> reduced cost</w:t>
      </w:r>
      <w:r w:rsidRPr="00AC0DF0" w:rsidR="005B4F64">
        <w:rPr>
          <w:szCs w:val="24"/>
        </w:rPr>
        <w:t>s</w:t>
      </w:r>
      <w:r w:rsidRPr="00AC0DF0">
        <w:rPr>
          <w:szCs w:val="24"/>
        </w:rPr>
        <w:t xml:space="preserve"> for </w:t>
      </w:r>
      <w:r w:rsidRPr="00AC0DF0" w:rsidR="00184039">
        <w:rPr>
          <w:szCs w:val="24"/>
        </w:rPr>
        <w:t>the large industrial consumers</w:t>
      </w:r>
      <w:r w:rsidRPr="00AC0DF0">
        <w:rPr>
          <w:szCs w:val="24"/>
        </w:rPr>
        <w:t xml:space="preserve"> usually means increased costs to </w:t>
      </w:r>
      <w:r w:rsidRPr="00AC0DF0" w:rsidR="00184039">
        <w:rPr>
          <w:szCs w:val="24"/>
        </w:rPr>
        <w:t>other consumers (including</w:t>
      </w:r>
      <w:r w:rsidRPr="00AC0DF0">
        <w:rPr>
          <w:szCs w:val="24"/>
        </w:rPr>
        <w:t xml:space="preserve"> residential consumers</w:t>
      </w:r>
      <w:r w:rsidRPr="00AC0DF0" w:rsidR="00184039">
        <w:rPr>
          <w:szCs w:val="24"/>
        </w:rPr>
        <w:t>)</w:t>
      </w:r>
      <w:r w:rsidRPr="00AC0DF0">
        <w:rPr>
          <w:szCs w:val="24"/>
        </w:rPr>
        <w:t>. It may be th</w:t>
      </w:r>
      <w:r w:rsidRPr="00AC0DF0" w:rsidR="00570708">
        <w:rPr>
          <w:szCs w:val="24"/>
        </w:rPr>
        <w:t>at the Applicant</w:t>
      </w:r>
      <w:r w:rsidRPr="00AC0DF0">
        <w:rPr>
          <w:szCs w:val="24"/>
        </w:rPr>
        <w:t xml:space="preserve"> is unaware of or does not understand the cost shifting that is likely to occur under this unique arrangement. </w:t>
      </w:r>
    </w:p>
    <w:p w:rsidR="00F908AD" w:rsidRPr="00AC0DF0" w:rsidP="00992085" w14:paraId="5A0E93C1" w14:textId="77777777">
      <w:pPr>
        <w:spacing w:line="480" w:lineRule="auto"/>
        <w:ind w:firstLine="720"/>
        <w:rPr>
          <w:szCs w:val="24"/>
        </w:rPr>
      </w:pPr>
      <w:r w:rsidRPr="00AC0DF0">
        <w:rPr>
          <w:szCs w:val="24"/>
        </w:rPr>
        <w:t xml:space="preserve">The Applicant is </w:t>
      </w:r>
      <w:r w:rsidRPr="00AC0DF0" w:rsidR="00E850D2">
        <w:rPr>
          <w:szCs w:val="24"/>
        </w:rPr>
        <w:t>seeking to opt-out of Rider NMB in an effort to reduce its costs. Rider NMB costs are pass</w:t>
      </w:r>
      <w:r w:rsidRPr="00AC0DF0" w:rsidR="00E728B3">
        <w:rPr>
          <w:szCs w:val="24"/>
        </w:rPr>
        <w:t>-</w:t>
      </w:r>
      <w:r w:rsidRPr="00AC0DF0" w:rsidR="00E850D2">
        <w:rPr>
          <w:szCs w:val="24"/>
        </w:rPr>
        <w:t>th</w:t>
      </w:r>
      <w:r w:rsidRPr="00AC0DF0" w:rsidR="00E728B3">
        <w:rPr>
          <w:szCs w:val="24"/>
        </w:rPr>
        <w:t>r</w:t>
      </w:r>
      <w:r w:rsidRPr="00AC0DF0" w:rsidR="00E850D2">
        <w:rPr>
          <w:szCs w:val="24"/>
        </w:rPr>
        <w:t xml:space="preserve">ough costs for transmission services. If </w:t>
      </w:r>
      <w:r w:rsidRPr="00AC0DF0">
        <w:rPr>
          <w:szCs w:val="24"/>
        </w:rPr>
        <w:t xml:space="preserve">the Applicant </w:t>
      </w:r>
      <w:r w:rsidRPr="00AC0DF0" w:rsidR="00E850D2">
        <w:rPr>
          <w:szCs w:val="24"/>
        </w:rPr>
        <w:t>opts out and pays lower costs</w:t>
      </w:r>
      <w:r w:rsidRPr="00AC0DF0" w:rsidR="00E728B3">
        <w:rPr>
          <w:szCs w:val="24"/>
        </w:rPr>
        <w:t>,</w:t>
      </w:r>
      <w:r w:rsidRPr="00AC0DF0" w:rsidR="00E850D2">
        <w:rPr>
          <w:szCs w:val="24"/>
        </w:rPr>
        <w:t xml:space="preserve"> but the overall costs FirstEnergy is paying </w:t>
      </w:r>
      <w:r w:rsidRPr="00AC0DF0" w:rsidR="00F80E45">
        <w:rPr>
          <w:szCs w:val="24"/>
        </w:rPr>
        <w:t>are</w:t>
      </w:r>
      <w:r w:rsidRPr="00AC0DF0" w:rsidR="00E850D2">
        <w:rPr>
          <w:szCs w:val="24"/>
        </w:rPr>
        <w:t xml:space="preserve"> not reduced at an equal rate</w:t>
      </w:r>
      <w:r w:rsidRPr="00AC0DF0">
        <w:rPr>
          <w:szCs w:val="24"/>
        </w:rPr>
        <w:t>,</w:t>
      </w:r>
      <w:r w:rsidRPr="00AC0DF0" w:rsidR="00E850D2">
        <w:rPr>
          <w:szCs w:val="24"/>
        </w:rPr>
        <w:t xml:space="preserve"> then there will be additional costs spread out to those that are still paying Rider NMB.</w:t>
      </w:r>
      <w:r>
        <w:rPr>
          <w:rStyle w:val="FootnoteReference"/>
          <w:szCs w:val="24"/>
        </w:rPr>
        <w:footnoteReference w:id="37"/>
      </w:r>
      <w:r w:rsidRPr="00AC0DF0" w:rsidR="00E850D2">
        <w:rPr>
          <w:szCs w:val="24"/>
        </w:rPr>
        <w:t xml:space="preserve"> </w:t>
      </w:r>
    </w:p>
    <w:p w:rsidR="00E850D2" w:rsidRPr="00AC0DF0" w:rsidP="00992085" w14:paraId="7C4730C5" w14:textId="77777777">
      <w:pPr>
        <w:spacing w:line="480" w:lineRule="auto"/>
        <w:ind w:firstLine="720"/>
        <w:rPr>
          <w:szCs w:val="24"/>
        </w:rPr>
      </w:pPr>
      <w:r w:rsidRPr="00AC0DF0">
        <w:rPr>
          <w:szCs w:val="24"/>
        </w:rPr>
        <w:t>OCC is asking that a study be done to determine if there is any cost shifting</w:t>
      </w:r>
      <w:r w:rsidRPr="00AC0DF0" w:rsidR="00F908AD">
        <w:rPr>
          <w:szCs w:val="24"/>
        </w:rPr>
        <w:t xml:space="preserve"> that is occurring under the pilot</w:t>
      </w:r>
      <w:r w:rsidRPr="00AC0DF0" w:rsidR="004F78A3">
        <w:rPr>
          <w:szCs w:val="24"/>
        </w:rPr>
        <w:t xml:space="preserve">, </w:t>
      </w:r>
      <w:r w:rsidRPr="00AC0DF0" w:rsidR="00F908AD">
        <w:rPr>
          <w:szCs w:val="24"/>
        </w:rPr>
        <w:t xml:space="preserve">consistent </w:t>
      </w:r>
      <w:r w:rsidRPr="00AC0DF0" w:rsidR="00B86EF4">
        <w:rPr>
          <w:szCs w:val="24"/>
        </w:rPr>
        <w:t xml:space="preserve">with the PUCO’s </w:t>
      </w:r>
      <w:r w:rsidRPr="00AC0DF0" w:rsidR="00F908AD">
        <w:rPr>
          <w:szCs w:val="24"/>
        </w:rPr>
        <w:t xml:space="preserve">interest in knowing </w:t>
      </w:r>
      <w:r w:rsidRPr="00AC0DF0" w:rsidR="00F80E45">
        <w:rPr>
          <w:szCs w:val="24"/>
        </w:rPr>
        <w:t>“</w:t>
      </w:r>
      <w:r w:rsidRPr="00AC0DF0">
        <w:rPr>
          <w:szCs w:val="24"/>
        </w:rPr>
        <w:t xml:space="preserve">whether </w:t>
      </w:r>
      <w:r w:rsidRPr="00AC0DF0" w:rsidR="00F80E45">
        <w:rPr>
          <w:szCs w:val="24"/>
        </w:rPr>
        <w:t xml:space="preserve">and </w:t>
      </w:r>
      <w:r w:rsidRPr="00AC0DF0">
        <w:rPr>
          <w:szCs w:val="24"/>
        </w:rPr>
        <w:t>how much in transmission costs are being shifted to customers not participating in the program</w:t>
      </w:r>
      <w:r w:rsidRPr="00AC0DF0" w:rsidR="0048458E">
        <w:rPr>
          <w:szCs w:val="24"/>
        </w:rPr>
        <w:t>.</w:t>
      </w:r>
      <w:r w:rsidRPr="00AC0DF0">
        <w:rPr>
          <w:szCs w:val="24"/>
        </w:rPr>
        <w:t>”</w:t>
      </w:r>
      <w:r>
        <w:rPr>
          <w:rStyle w:val="FootnoteReference"/>
          <w:szCs w:val="24"/>
        </w:rPr>
        <w:footnoteReference w:id="38"/>
      </w:r>
      <w:r w:rsidRPr="00AC0DF0">
        <w:rPr>
          <w:szCs w:val="24"/>
        </w:rPr>
        <w:t xml:space="preserve"> Simply put</w:t>
      </w:r>
      <w:r w:rsidRPr="00AC0DF0" w:rsidR="00634685">
        <w:rPr>
          <w:szCs w:val="24"/>
        </w:rPr>
        <w:t>,</w:t>
      </w:r>
      <w:r w:rsidRPr="00AC0DF0">
        <w:rPr>
          <w:szCs w:val="24"/>
        </w:rPr>
        <w:t xml:space="preserve"> OCC is asking that the PUCO Staff and </w:t>
      </w:r>
      <w:r w:rsidRPr="00AC0DF0" w:rsidR="00F80E45">
        <w:rPr>
          <w:szCs w:val="24"/>
        </w:rPr>
        <w:t>FirstEnergy</w:t>
      </w:r>
      <w:r w:rsidRPr="00AC0DF0">
        <w:rPr>
          <w:szCs w:val="24"/>
        </w:rPr>
        <w:t xml:space="preserve"> do what was ordered by the PUCO when this pilot program was initiated. </w:t>
      </w:r>
    </w:p>
    <w:p w:rsidR="00E850D2" w:rsidP="00D467F7" w14:paraId="5226F7B7" w14:textId="5D4F70D7">
      <w:pPr>
        <w:spacing w:line="480" w:lineRule="auto"/>
        <w:rPr>
          <w:szCs w:val="24"/>
        </w:rPr>
      </w:pPr>
      <w:r w:rsidRPr="00AC0DF0">
        <w:rPr>
          <w:szCs w:val="24"/>
        </w:rPr>
        <w:tab/>
        <w:t xml:space="preserve">Applicant </w:t>
      </w:r>
      <w:r w:rsidRPr="00AC0DF0" w:rsidR="00D467F7">
        <w:rPr>
          <w:szCs w:val="24"/>
        </w:rPr>
        <w:t xml:space="preserve">further </w:t>
      </w:r>
      <w:r w:rsidRPr="00AC0DF0">
        <w:rPr>
          <w:szCs w:val="24"/>
        </w:rPr>
        <w:t>claims that “OCC is not an affected party to this case,</w:t>
      </w:r>
      <w:r w:rsidRPr="00AC0DF0" w:rsidR="00F80E45">
        <w:rPr>
          <w:szCs w:val="24"/>
        </w:rPr>
        <w:t>”</w:t>
      </w:r>
      <w:r w:rsidRPr="00AC0DF0">
        <w:rPr>
          <w:szCs w:val="24"/>
        </w:rPr>
        <w:t xml:space="preserve"> and that </w:t>
      </w:r>
      <w:r w:rsidRPr="00AC0DF0" w:rsidR="00F80E45">
        <w:rPr>
          <w:szCs w:val="24"/>
        </w:rPr>
        <w:t>“</w:t>
      </w:r>
      <w:r w:rsidRPr="00AC0DF0">
        <w:rPr>
          <w:szCs w:val="24"/>
        </w:rPr>
        <w:t>its objections are unrelated to the Application filed in this case.”</w:t>
      </w:r>
      <w:r>
        <w:rPr>
          <w:rStyle w:val="FootnoteReference"/>
          <w:szCs w:val="24"/>
        </w:rPr>
        <w:footnoteReference w:id="39"/>
      </w:r>
      <w:r w:rsidRPr="00AC0DF0">
        <w:rPr>
          <w:szCs w:val="24"/>
        </w:rPr>
        <w:t xml:space="preserve"> </w:t>
      </w:r>
      <w:r w:rsidRPr="00AC0DF0" w:rsidR="00B248E6">
        <w:rPr>
          <w:szCs w:val="24"/>
        </w:rPr>
        <w:t>This arg</w:t>
      </w:r>
      <w:r w:rsidRPr="00AC0DF0" w:rsidR="00021513">
        <w:rPr>
          <w:szCs w:val="24"/>
        </w:rPr>
        <w:t xml:space="preserve">ument is misplaced. </w:t>
      </w:r>
      <w:r w:rsidRPr="00AC0DF0" w:rsidR="00D467F7">
        <w:rPr>
          <w:szCs w:val="24"/>
        </w:rPr>
        <w:t>T</w:t>
      </w:r>
      <w:r w:rsidRPr="00AC0DF0">
        <w:rPr>
          <w:szCs w:val="24"/>
        </w:rPr>
        <w:t>he Applicant is asking for approval to participate in a pilot program that could decrease the transmission costs it pays yet could potentially cause the remaining customers who pay the rider to bear more costs.</w:t>
      </w:r>
      <w:r w:rsidRPr="00AC0DF0" w:rsidR="00AC0DF0">
        <w:rPr>
          <w:szCs w:val="24"/>
        </w:rPr>
        <w:t xml:space="preserve"> </w:t>
      </w:r>
      <w:r w:rsidRPr="00AC0DF0">
        <w:rPr>
          <w:szCs w:val="24"/>
        </w:rPr>
        <w:t xml:space="preserve">If the application is approved by the PUCO, any cost savings to the Applicant could </w:t>
      </w:r>
      <w:r w:rsidRPr="00AC0DF0" w:rsidR="00F908AD">
        <w:rPr>
          <w:szCs w:val="24"/>
        </w:rPr>
        <w:t xml:space="preserve">result in more costs being </w:t>
      </w:r>
      <w:r w:rsidRPr="00AC0DF0">
        <w:rPr>
          <w:szCs w:val="24"/>
        </w:rPr>
        <w:t>charged to other consumers by FirstEnergy</w:t>
      </w:r>
      <w:r w:rsidRPr="00AC0DF0" w:rsidR="00F908AD">
        <w:rPr>
          <w:szCs w:val="24"/>
        </w:rPr>
        <w:t>.</w:t>
      </w:r>
      <w:r w:rsidRPr="00AC0DF0">
        <w:rPr>
          <w:szCs w:val="24"/>
        </w:rPr>
        <w:t xml:space="preserve"> As the statutory representative of </w:t>
      </w:r>
      <w:r w:rsidRPr="00AC0DF0" w:rsidR="00D467F7">
        <w:rPr>
          <w:szCs w:val="24"/>
        </w:rPr>
        <w:t xml:space="preserve">FirstEnergy’s </w:t>
      </w:r>
      <w:r w:rsidRPr="00AC0DF0">
        <w:rPr>
          <w:szCs w:val="24"/>
        </w:rPr>
        <w:t>residential consumers</w:t>
      </w:r>
      <w:r>
        <w:rPr>
          <w:rStyle w:val="FootnoteReference"/>
          <w:szCs w:val="24"/>
        </w:rPr>
        <w:footnoteReference w:id="40"/>
      </w:r>
      <w:r w:rsidRPr="00AC0DF0">
        <w:rPr>
          <w:szCs w:val="24"/>
        </w:rPr>
        <w:t xml:space="preserve"> </w:t>
      </w:r>
      <w:r w:rsidRPr="00AC0DF0" w:rsidR="00D467F7">
        <w:rPr>
          <w:szCs w:val="24"/>
        </w:rPr>
        <w:t xml:space="preserve">who may be adversely affected by cost shifting associated with </w:t>
      </w:r>
      <w:r w:rsidRPr="00AC0DF0" w:rsidR="00F908AD">
        <w:rPr>
          <w:szCs w:val="24"/>
        </w:rPr>
        <w:t xml:space="preserve">the </w:t>
      </w:r>
      <w:r w:rsidRPr="00AC0DF0" w:rsidR="00D467F7">
        <w:rPr>
          <w:szCs w:val="24"/>
        </w:rPr>
        <w:t xml:space="preserve">Applicant participating in the pilot program, </w:t>
      </w:r>
      <w:r w:rsidRPr="00AC0DF0" w:rsidR="00184039">
        <w:rPr>
          <w:szCs w:val="24"/>
        </w:rPr>
        <w:t>OCC is indeed an affected party to this case</w:t>
      </w:r>
      <w:r w:rsidRPr="00AC0DF0" w:rsidR="002C3F88">
        <w:rPr>
          <w:szCs w:val="24"/>
        </w:rPr>
        <w:t>.</w:t>
      </w:r>
      <w:r w:rsidRPr="00AC0DF0" w:rsidR="000417AB">
        <w:rPr>
          <w:szCs w:val="24"/>
        </w:rPr>
        <w:t xml:space="preserve"> </w:t>
      </w:r>
      <w:r w:rsidRPr="00AC0DF0" w:rsidR="00184039">
        <w:rPr>
          <w:szCs w:val="24"/>
        </w:rPr>
        <w:t>Thus</w:t>
      </w:r>
      <w:r w:rsidRPr="00AC0DF0" w:rsidR="002C3F88">
        <w:rPr>
          <w:szCs w:val="24"/>
        </w:rPr>
        <w:t>,</w:t>
      </w:r>
      <w:r w:rsidRPr="00AC0DF0" w:rsidR="00184039">
        <w:rPr>
          <w:szCs w:val="24"/>
        </w:rPr>
        <w:t xml:space="preserve"> the Applicant’s Motion to Strike </w:t>
      </w:r>
      <w:r w:rsidRPr="00AC0DF0" w:rsidR="00D467F7">
        <w:rPr>
          <w:szCs w:val="24"/>
        </w:rPr>
        <w:t>OCC</w:t>
      </w:r>
      <w:r w:rsidRPr="00AC0DF0" w:rsidR="00184039">
        <w:rPr>
          <w:szCs w:val="24"/>
        </w:rPr>
        <w:t>’s objections should be denied</w:t>
      </w:r>
      <w:r w:rsidRPr="00AC0DF0" w:rsidR="00D467F7">
        <w:rPr>
          <w:szCs w:val="24"/>
        </w:rPr>
        <w:t>.</w:t>
      </w:r>
      <w:r w:rsidRPr="00AC0DF0">
        <w:rPr>
          <w:szCs w:val="24"/>
        </w:rPr>
        <w:t xml:space="preserve"> </w:t>
      </w:r>
    </w:p>
    <w:p w:rsidR="009D3111" w:rsidRPr="00AC0DF0" w:rsidP="009D3111" w14:paraId="4BA8E336" w14:textId="77777777">
      <w:pPr>
        <w:rPr>
          <w:szCs w:val="24"/>
        </w:rPr>
      </w:pPr>
    </w:p>
    <w:p w:rsidR="00F810D5" w:rsidRPr="00AC0DF0" w:rsidP="00E75755" w14:paraId="3BFA14F4" w14:textId="77777777">
      <w:pPr>
        <w:pStyle w:val="Heading1"/>
      </w:pPr>
      <w:bookmarkStart w:id="18" w:name="_Toc92789800"/>
      <w:bookmarkStart w:id="19" w:name="_Toc92807168"/>
      <w:r w:rsidRPr="00AC0DF0">
        <w:t xml:space="preserve">III. </w:t>
      </w:r>
      <w:r w:rsidRPr="00AC0DF0">
        <w:tab/>
      </w:r>
      <w:r w:rsidRPr="00AC0DF0" w:rsidR="00D408EF">
        <w:t>CONCLUSION</w:t>
      </w:r>
      <w:bookmarkEnd w:id="18"/>
      <w:bookmarkEnd w:id="19"/>
    </w:p>
    <w:p w:rsidR="00D408EF" w:rsidRPr="00AC0DF0" w:rsidP="007950A4" w14:paraId="04029695" w14:textId="5AAE47BF">
      <w:pPr>
        <w:pStyle w:val="BodyTextIndent3"/>
        <w:spacing w:line="480" w:lineRule="auto"/>
        <w:ind w:right="-312"/>
        <w:rPr>
          <w:szCs w:val="24"/>
        </w:rPr>
      </w:pPr>
      <w:r w:rsidRPr="00AC0DF0">
        <w:rPr>
          <w:szCs w:val="24"/>
        </w:rPr>
        <w:t xml:space="preserve">For the reasons described herein and in OCC’s motion to intervene, the PUCO should grant </w:t>
      </w:r>
      <w:r w:rsidRPr="00AC0DF0" w:rsidR="00184039">
        <w:rPr>
          <w:szCs w:val="24"/>
        </w:rPr>
        <w:t xml:space="preserve">OCC’s </w:t>
      </w:r>
      <w:r w:rsidRPr="00AC0DF0">
        <w:rPr>
          <w:szCs w:val="24"/>
        </w:rPr>
        <w:t>intervention</w:t>
      </w:r>
      <w:r w:rsidRPr="00AC0DF0" w:rsidR="00F67DF4">
        <w:rPr>
          <w:szCs w:val="24"/>
        </w:rPr>
        <w:t>.</w:t>
      </w:r>
      <w:r w:rsidRPr="00AC0DF0" w:rsidR="000417AB">
        <w:rPr>
          <w:szCs w:val="24"/>
        </w:rPr>
        <w:t xml:space="preserve"> </w:t>
      </w:r>
      <w:r w:rsidRPr="00AC0DF0" w:rsidR="00184039">
        <w:rPr>
          <w:szCs w:val="24"/>
        </w:rPr>
        <w:t>Furthermore, the Applicant’s Motion to Strike should be denied.</w:t>
      </w:r>
      <w:r w:rsidRPr="00AC0DF0" w:rsidR="000417AB">
        <w:rPr>
          <w:szCs w:val="24"/>
        </w:rPr>
        <w:t xml:space="preserve"> </w:t>
      </w:r>
    </w:p>
    <w:p w:rsidR="00A044B5" w:rsidRPr="00AC0DF0" w:rsidP="007950A4" w14:paraId="72577F9C" w14:textId="63F1BBF4">
      <w:pPr>
        <w:pStyle w:val="BodyTextIndent3"/>
        <w:ind w:left="3600" w:right="-672" w:firstLine="0"/>
        <w:rPr>
          <w:szCs w:val="24"/>
        </w:rPr>
      </w:pPr>
      <w:r w:rsidRPr="00AC0DF0">
        <w:rPr>
          <w:szCs w:val="24"/>
        </w:rPr>
        <w:t>Respectfully submitted,</w:t>
      </w:r>
    </w:p>
    <w:p w:rsidR="00A044B5" w:rsidRPr="00AC0DF0" w:rsidP="007950A4" w14:paraId="21C76754" w14:textId="77777777">
      <w:pPr>
        <w:pStyle w:val="Footer"/>
        <w:tabs>
          <w:tab w:val="clear" w:pos="4320"/>
          <w:tab w:val="clear" w:pos="8640"/>
        </w:tabs>
        <w:spacing w:before="240"/>
        <w:ind w:firstLine="3600"/>
        <w:rPr>
          <w:sz w:val="24"/>
          <w:szCs w:val="24"/>
        </w:rPr>
      </w:pPr>
      <w:r w:rsidRPr="00AC0DF0">
        <w:rPr>
          <w:sz w:val="24"/>
          <w:szCs w:val="24"/>
        </w:rPr>
        <w:t>Bruce Weston (0016973)</w:t>
      </w:r>
    </w:p>
    <w:p w:rsidR="00A044B5" w:rsidRPr="00AC0DF0" w:rsidP="007950A4" w14:paraId="79D3CB77" w14:textId="77777777">
      <w:pPr>
        <w:tabs>
          <w:tab w:val="left" w:pos="4320"/>
        </w:tabs>
        <w:ind w:firstLine="3600"/>
        <w:rPr>
          <w:szCs w:val="24"/>
        </w:rPr>
      </w:pPr>
      <w:r w:rsidRPr="00AC0DF0">
        <w:rPr>
          <w:szCs w:val="24"/>
        </w:rPr>
        <w:t>Ohio Consumers’ Counsel</w:t>
      </w:r>
    </w:p>
    <w:p w:rsidR="00BE260D" w:rsidRPr="00AC0DF0" w:rsidP="00BE260D" w14:paraId="4F22A972" w14:textId="77777777">
      <w:pPr>
        <w:rPr>
          <w:rFonts w:eastAsiaTheme="minorEastAsia"/>
          <w:i/>
          <w:szCs w:val="24"/>
          <w:u w:val="single"/>
        </w:rPr>
      </w:pPr>
    </w:p>
    <w:p w:rsidR="00BE260D" w:rsidRPr="00AC0DF0" w:rsidP="00BE260D" w14:paraId="7FCB518D" w14:textId="77777777">
      <w:pPr>
        <w:rPr>
          <w:rFonts w:eastAsiaTheme="minorEastAsia"/>
          <w:i/>
          <w:iCs/>
          <w:szCs w:val="24"/>
          <w:u w:val="single"/>
        </w:rPr>
      </w:pPr>
      <w:r w:rsidRPr="00AC0DF0">
        <w:rPr>
          <w:rFonts w:eastAsiaTheme="minorEastAsia"/>
          <w:szCs w:val="24"/>
        </w:rPr>
        <w:tab/>
      </w:r>
      <w:r w:rsidRPr="00AC0DF0">
        <w:rPr>
          <w:rFonts w:eastAsiaTheme="minorEastAsia"/>
          <w:szCs w:val="24"/>
        </w:rPr>
        <w:tab/>
      </w:r>
      <w:r w:rsidRPr="00AC0DF0">
        <w:rPr>
          <w:rFonts w:eastAsiaTheme="minorEastAsia"/>
          <w:szCs w:val="24"/>
        </w:rPr>
        <w:tab/>
      </w:r>
      <w:r w:rsidRPr="00AC0DF0">
        <w:rPr>
          <w:rFonts w:eastAsiaTheme="minorEastAsia"/>
          <w:szCs w:val="24"/>
        </w:rPr>
        <w:tab/>
      </w:r>
      <w:r w:rsidRPr="00AC0DF0">
        <w:rPr>
          <w:rFonts w:eastAsiaTheme="minorEastAsia"/>
          <w:szCs w:val="24"/>
        </w:rPr>
        <w:tab/>
      </w:r>
      <w:r w:rsidRPr="00AC0DF0">
        <w:rPr>
          <w:rFonts w:eastAsiaTheme="minorEastAsia"/>
          <w:i/>
          <w:iCs/>
          <w:szCs w:val="24"/>
          <w:u w:val="single"/>
        </w:rPr>
        <w:t xml:space="preserve">/s/ Maureen R. Willis </w:t>
      </w:r>
      <w:r w:rsidRPr="00AC0DF0">
        <w:rPr>
          <w:rFonts w:eastAsiaTheme="minorEastAsia"/>
          <w:i/>
          <w:iCs/>
          <w:szCs w:val="24"/>
          <w:u w:val="single"/>
        </w:rPr>
        <w:tab/>
      </w:r>
      <w:r w:rsidRPr="00AC0DF0">
        <w:rPr>
          <w:rFonts w:eastAsiaTheme="minorEastAsia"/>
          <w:i/>
          <w:iCs/>
          <w:szCs w:val="24"/>
          <w:u w:val="single"/>
        </w:rPr>
        <w:tab/>
      </w:r>
      <w:r w:rsidRPr="00AC0DF0">
        <w:rPr>
          <w:rFonts w:eastAsiaTheme="minorEastAsia"/>
          <w:i/>
          <w:iCs/>
          <w:szCs w:val="24"/>
          <w:u w:val="single"/>
        </w:rPr>
        <w:tab/>
      </w:r>
    </w:p>
    <w:p w:rsidR="00BE260D" w:rsidRPr="00AC0DF0" w:rsidP="00BE260D" w14:paraId="360497F1" w14:textId="77777777">
      <w:pPr>
        <w:ind w:left="3600"/>
        <w:rPr>
          <w:rFonts w:eastAsiaTheme="minorEastAsia"/>
          <w:szCs w:val="24"/>
        </w:rPr>
      </w:pPr>
      <w:r w:rsidRPr="00AC0DF0">
        <w:rPr>
          <w:rFonts w:eastAsiaTheme="minorEastAsia"/>
          <w:szCs w:val="24"/>
        </w:rPr>
        <w:t>Maureen R. Willis (0020847)</w:t>
      </w:r>
    </w:p>
    <w:p w:rsidR="00BE260D" w:rsidRPr="00AC0DF0" w:rsidP="00BE260D" w14:paraId="6945CCFE" w14:textId="77777777">
      <w:pPr>
        <w:ind w:left="3600"/>
        <w:rPr>
          <w:rFonts w:eastAsiaTheme="minorEastAsia"/>
          <w:szCs w:val="24"/>
        </w:rPr>
      </w:pPr>
      <w:r w:rsidRPr="00AC0DF0">
        <w:rPr>
          <w:rFonts w:eastAsiaTheme="minorEastAsia"/>
          <w:szCs w:val="24"/>
        </w:rPr>
        <w:t>Counsel of Record</w:t>
      </w:r>
    </w:p>
    <w:p w:rsidR="00BE260D" w:rsidRPr="00AC0DF0" w:rsidP="00BE260D" w14:paraId="35D62150" w14:textId="77777777">
      <w:pPr>
        <w:ind w:left="3600"/>
        <w:rPr>
          <w:rFonts w:eastAsiaTheme="minorEastAsia"/>
          <w:szCs w:val="24"/>
        </w:rPr>
      </w:pPr>
      <w:r w:rsidRPr="00AC0DF0">
        <w:rPr>
          <w:rFonts w:eastAsiaTheme="minorEastAsia"/>
          <w:szCs w:val="24"/>
        </w:rPr>
        <w:t>Amy Botschner O’Brien (0074423)</w:t>
      </w:r>
    </w:p>
    <w:p w:rsidR="00BE260D" w:rsidRPr="00AC0DF0" w:rsidP="00BE260D" w14:paraId="72C8C942" w14:textId="77777777">
      <w:pPr>
        <w:ind w:left="3600"/>
        <w:rPr>
          <w:rFonts w:eastAsiaTheme="minorEastAsia"/>
          <w:szCs w:val="24"/>
        </w:rPr>
      </w:pPr>
      <w:r w:rsidRPr="00AC0DF0">
        <w:rPr>
          <w:rFonts w:eastAsiaTheme="minorEastAsia"/>
          <w:szCs w:val="24"/>
        </w:rPr>
        <w:t>Assistant Consumers’ Counsel</w:t>
      </w:r>
    </w:p>
    <w:p w:rsidR="00BE260D" w:rsidRPr="00AC0DF0" w:rsidP="00BE260D" w14:paraId="1BDDE8F5" w14:textId="77777777">
      <w:pPr>
        <w:ind w:left="3600"/>
        <w:rPr>
          <w:szCs w:val="24"/>
        </w:rPr>
      </w:pPr>
    </w:p>
    <w:p w:rsidR="00BE260D" w:rsidRPr="00AC0DF0" w:rsidP="00BE260D" w14:paraId="2B3EBBC6" w14:textId="77777777">
      <w:pPr>
        <w:ind w:left="3600"/>
        <w:rPr>
          <w:b/>
          <w:bCs/>
          <w:szCs w:val="24"/>
        </w:rPr>
      </w:pPr>
      <w:r w:rsidRPr="00AC0DF0">
        <w:rPr>
          <w:b/>
          <w:bCs/>
          <w:szCs w:val="24"/>
        </w:rPr>
        <w:t>Office of the Ohio Consumers' Counsel</w:t>
      </w:r>
    </w:p>
    <w:p w:rsidR="00BE260D" w:rsidRPr="00AC0DF0" w:rsidP="00BE260D" w14:paraId="20B65A52" w14:textId="77777777">
      <w:pPr>
        <w:ind w:left="3600"/>
        <w:rPr>
          <w:b/>
          <w:szCs w:val="24"/>
        </w:rPr>
      </w:pPr>
      <w:r w:rsidRPr="00AC0DF0">
        <w:rPr>
          <w:szCs w:val="24"/>
        </w:rPr>
        <w:t>65 East State Street, Suite 700</w:t>
      </w:r>
    </w:p>
    <w:p w:rsidR="00BE260D" w:rsidRPr="00AC0DF0" w:rsidP="00BE260D" w14:paraId="0EB3C8E5" w14:textId="77777777">
      <w:pPr>
        <w:ind w:left="3600"/>
        <w:rPr>
          <w:szCs w:val="24"/>
        </w:rPr>
      </w:pPr>
      <w:r w:rsidRPr="00AC0DF0">
        <w:rPr>
          <w:szCs w:val="24"/>
        </w:rPr>
        <w:t>Columbus, Ohio 43215</w:t>
      </w:r>
    </w:p>
    <w:p w:rsidR="00BE260D" w:rsidRPr="00AC0DF0" w:rsidP="00BE260D" w14:paraId="222EA926" w14:textId="77777777">
      <w:pPr>
        <w:autoSpaceDE w:val="0"/>
        <w:autoSpaceDN w:val="0"/>
        <w:adjustRightInd w:val="0"/>
        <w:ind w:left="3600"/>
        <w:rPr>
          <w:szCs w:val="24"/>
        </w:rPr>
      </w:pPr>
      <w:r w:rsidRPr="00AC0DF0">
        <w:rPr>
          <w:szCs w:val="24"/>
        </w:rPr>
        <w:t>Telephone [Willis]: (614) 466-9567</w:t>
      </w:r>
    </w:p>
    <w:p w:rsidR="00BE260D" w:rsidRPr="00AC0DF0" w:rsidP="00BE260D" w14:paraId="731BD3DE" w14:textId="77777777">
      <w:pPr>
        <w:autoSpaceDE w:val="0"/>
        <w:autoSpaceDN w:val="0"/>
        <w:adjustRightInd w:val="0"/>
        <w:ind w:left="3600"/>
        <w:rPr>
          <w:szCs w:val="24"/>
        </w:rPr>
      </w:pPr>
      <w:r w:rsidRPr="00AC0DF0">
        <w:rPr>
          <w:szCs w:val="24"/>
        </w:rPr>
        <w:t>Telephone [Botschner O’Brien]: (614) 466-9575</w:t>
      </w:r>
    </w:p>
    <w:p w:rsidR="00BE260D" w:rsidRPr="00AC0DF0" w:rsidP="00BE260D" w14:paraId="0D9BED47" w14:textId="735E26BB">
      <w:pPr>
        <w:ind w:firstLine="3600"/>
        <w:rPr>
          <w:szCs w:val="24"/>
        </w:rPr>
      </w:pPr>
      <w:hyperlink r:id="rId6" w:history="1">
        <w:r w:rsidRPr="00AC0DF0" w:rsidR="009B4F69">
          <w:rPr>
            <w:rStyle w:val="Hyperlink"/>
            <w:szCs w:val="24"/>
          </w:rPr>
          <w:t>maureen.willis@occ.ohio.gov</w:t>
        </w:r>
      </w:hyperlink>
      <w:r w:rsidRPr="00AC0DF0" w:rsidR="009B4F69">
        <w:rPr>
          <w:szCs w:val="24"/>
        </w:rPr>
        <w:t xml:space="preserve"> </w:t>
      </w:r>
    </w:p>
    <w:p w:rsidR="00BE260D" w:rsidRPr="00AC0DF0" w:rsidP="00BE260D" w14:paraId="31EA7990" w14:textId="1E5B3CAD">
      <w:pPr>
        <w:ind w:firstLine="3600"/>
        <w:rPr>
          <w:szCs w:val="24"/>
        </w:rPr>
      </w:pPr>
      <w:hyperlink r:id="rId7" w:history="1">
        <w:r w:rsidRPr="00AC0DF0" w:rsidR="009B4F69">
          <w:rPr>
            <w:rStyle w:val="Hyperlink"/>
            <w:szCs w:val="24"/>
          </w:rPr>
          <w:t>amy.botschner.obrien@occ.ohio.gov</w:t>
        </w:r>
      </w:hyperlink>
      <w:r w:rsidRPr="00AC0DF0" w:rsidR="009B4F69">
        <w:rPr>
          <w:szCs w:val="24"/>
        </w:rPr>
        <w:t xml:space="preserve"> </w:t>
      </w:r>
    </w:p>
    <w:p w:rsidR="00BE260D" w:rsidRPr="00AC0DF0" w:rsidP="00BE260D" w14:paraId="0B4648B5" w14:textId="225FEE7E">
      <w:pPr>
        <w:ind w:left="3600" w:hanging="3600"/>
        <w:rPr>
          <w:szCs w:val="24"/>
        </w:rPr>
      </w:pPr>
      <w:r w:rsidRPr="00AC0DF0">
        <w:rPr>
          <w:szCs w:val="24"/>
        </w:rPr>
        <w:tab/>
        <w:t>(willing to accept service by email)</w:t>
      </w:r>
    </w:p>
    <w:p w:rsidR="00A044B5" w:rsidRPr="00AC0DF0" w:rsidP="007950A4" w14:paraId="6E7DED4F" w14:textId="77777777">
      <w:pPr>
        <w:ind w:firstLine="3600"/>
        <w:rPr>
          <w:szCs w:val="24"/>
        </w:rPr>
      </w:pPr>
    </w:p>
    <w:p w:rsidR="00A044B5" w:rsidRPr="00AC0DF0" w:rsidP="007950A4" w14:paraId="7005D5B6" w14:textId="77777777">
      <w:pPr>
        <w:rPr>
          <w:szCs w:val="24"/>
        </w:rPr>
      </w:pPr>
    </w:p>
    <w:p w:rsidR="00A044B5" w:rsidRPr="00AC0DF0" w:rsidP="007950A4" w14:paraId="2AE49FD4" w14:textId="77777777">
      <w:pPr>
        <w:rPr>
          <w:szCs w:val="24"/>
        </w:rPr>
      </w:pPr>
    </w:p>
    <w:p w:rsidR="00A044B5" w:rsidRPr="00AC0DF0" w:rsidP="007950A4" w14:paraId="1FD45379" w14:textId="77777777">
      <w:pPr>
        <w:rPr>
          <w:szCs w:val="24"/>
        </w:rPr>
      </w:pPr>
    </w:p>
    <w:p w:rsidR="005A7E3C" w:rsidRPr="00AC0DF0" w14:paraId="540B15F2" w14:textId="20936D9B">
      <w:pPr>
        <w:rPr>
          <w:szCs w:val="24"/>
        </w:rPr>
      </w:pPr>
      <w:r w:rsidRPr="00AC0DF0">
        <w:rPr>
          <w:szCs w:val="24"/>
        </w:rPr>
        <w:br w:type="page"/>
      </w:r>
    </w:p>
    <w:p w:rsidR="00A044B5" w:rsidRPr="00AC0DF0" w:rsidP="007950A4" w14:paraId="4855C8A5" w14:textId="77777777">
      <w:pPr>
        <w:jc w:val="center"/>
        <w:rPr>
          <w:b/>
          <w:bCs/>
          <w:szCs w:val="24"/>
          <w:u w:val="single"/>
        </w:rPr>
      </w:pPr>
      <w:r w:rsidRPr="00AC0DF0">
        <w:rPr>
          <w:b/>
          <w:bCs/>
          <w:szCs w:val="24"/>
          <w:u w:val="single"/>
        </w:rPr>
        <w:t>CERTIFICATE OF SERVICE</w:t>
      </w:r>
    </w:p>
    <w:p w:rsidR="00A044B5" w:rsidRPr="00AC0DF0" w:rsidP="00CB3FD8" w14:paraId="1DFF32B7" w14:textId="41FF3762">
      <w:pPr>
        <w:spacing w:line="480" w:lineRule="atLeast"/>
        <w:rPr>
          <w:szCs w:val="24"/>
        </w:rPr>
      </w:pPr>
      <w:r w:rsidRPr="00AC0DF0">
        <w:rPr>
          <w:szCs w:val="24"/>
        </w:rPr>
        <w:tab/>
        <w:t xml:space="preserve">I hereby certify that a copy of this </w:t>
      </w:r>
      <w:r w:rsidRPr="00AC0DF0" w:rsidR="008145AB">
        <w:rPr>
          <w:szCs w:val="24"/>
        </w:rPr>
        <w:t xml:space="preserve">Reply in Support of </w:t>
      </w:r>
      <w:r w:rsidRPr="00AC0DF0">
        <w:rPr>
          <w:iCs/>
          <w:szCs w:val="24"/>
        </w:rPr>
        <w:t>Motion to Intervene</w:t>
      </w:r>
      <w:r w:rsidRPr="00AC0DF0">
        <w:rPr>
          <w:szCs w:val="24"/>
        </w:rPr>
        <w:t xml:space="preserve"> </w:t>
      </w:r>
      <w:r w:rsidRPr="00AC0DF0" w:rsidR="008437E7">
        <w:rPr>
          <w:szCs w:val="24"/>
        </w:rPr>
        <w:t xml:space="preserve">and </w:t>
      </w:r>
      <w:r w:rsidRPr="00AC0DF0" w:rsidR="00CB3FD8">
        <w:rPr>
          <w:szCs w:val="24"/>
        </w:rPr>
        <w:t xml:space="preserve">Memorandum Contra Motion to Strike Objections and Comments </w:t>
      </w:r>
      <w:r w:rsidRPr="00AC0DF0">
        <w:rPr>
          <w:szCs w:val="24"/>
        </w:rPr>
        <w:t xml:space="preserve">was served on the persons stated below </w:t>
      </w:r>
      <w:r w:rsidRPr="00AC0DF0">
        <w:rPr>
          <w:iCs/>
          <w:szCs w:val="24"/>
        </w:rPr>
        <w:t>via</w:t>
      </w:r>
      <w:r w:rsidRPr="00AC0DF0" w:rsidR="002A4912">
        <w:rPr>
          <w:szCs w:val="24"/>
        </w:rPr>
        <w:t xml:space="preserve"> electronic transmission</w:t>
      </w:r>
      <w:r w:rsidRPr="00AC0DF0">
        <w:rPr>
          <w:szCs w:val="24"/>
        </w:rPr>
        <w:t xml:space="preserve">, this </w:t>
      </w:r>
      <w:r w:rsidRPr="00AC0DF0" w:rsidR="00CB3FD8">
        <w:rPr>
          <w:szCs w:val="24"/>
        </w:rPr>
        <w:t>11th</w:t>
      </w:r>
      <w:r w:rsidRPr="00AC0DF0" w:rsidR="008437E7">
        <w:rPr>
          <w:szCs w:val="24"/>
        </w:rPr>
        <w:t xml:space="preserve"> </w:t>
      </w:r>
      <w:r w:rsidRPr="00AC0DF0">
        <w:rPr>
          <w:szCs w:val="24"/>
        </w:rPr>
        <w:t xml:space="preserve">day of </w:t>
      </w:r>
      <w:r w:rsidRPr="00AC0DF0" w:rsidR="00660A68">
        <w:rPr>
          <w:szCs w:val="24"/>
        </w:rPr>
        <w:t>January 2022</w:t>
      </w:r>
      <w:r w:rsidRPr="00AC0DF0">
        <w:rPr>
          <w:szCs w:val="24"/>
        </w:rPr>
        <w:t>.</w:t>
      </w:r>
    </w:p>
    <w:p w:rsidR="00A044B5" w:rsidRPr="00AC0DF0" w:rsidP="007950A4" w14:paraId="624968FA" w14:textId="77777777">
      <w:pPr>
        <w:spacing w:line="480" w:lineRule="atLeast"/>
        <w:rPr>
          <w:szCs w:val="24"/>
        </w:rPr>
      </w:pPr>
    </w:p>
    <w:p w:rsidR="00A044B5" w:rsidRPr="00AC0DF0" w:rsidP="007950A4" w14:paraId="354D1823" w14:textId="20A1CC64">
      <w:pPr>
        <w:tabs>
          <w:tab w:val="left" w:pos="4320"/>
        </w:tabs>
        <w:rPr>
          <w:szCs w:val="24"/>
        </w:rPr>
      </w:pPr>
      <w:r w:rsidRPr="00AC0DF0">
        <w:rPr>
          <w:szCs w:val="24"/>
        </w:rPr>
        <w:tab/>
      </w:r>
      <w:r w:rsidRPr="00AC0DF0" w:rsidR="00317043">
        <w:rPr>
          <w:i/>
          <w:iCs/>
          <w:szCs w:val="24"/>
          <w:u w:val="single"/>
        </w:rPr>
        <w:t>/s/</w:t>
      </w:r>
      <w:r w:rsidRPr="00AC0DF0" w:rsidR="00E401E9">
        <w:rPr>
          <w:i/>
          <w:iCs/>
          <w:szCs w:val="24"/>
          <w:u w:val="single"/>
        </w:rPr>
        <w:t xml:space="preserve"> Maureen </w:t>
      </w:r>
      <w:r w:rsidRPr="00AC0DF0" w:rsidR="006E5733">
        <w:rPr>
          <w:i/>
          <w:iCs/>
          <w:szCs w:val="24"/>
          <w:u w:val="single"/>
        </w:rPr>
        <w:t xml:space="preserve">R. </w:t>
      </w:r>
      <w:r w:rsidRPr="00AC0DF0" w:rsidR="00E401E9">
        <w:rPr>
          <w:i/>
          <w:iCs/>
          <w:szCs w:val="24"/>
          <w:u w:val="single"/>
        </w:rPr>
        <w:t>Willis</w:t>
      </w:r>
      <w:r w:rsidRPr="00AC0DF0">
        <w:rPr>
          <w:szCs w:val="24"/>
        </w:rPr>
        <w:t>_______</w:t>
      </w:r>
    </w:p>
    <w:p w:rsidR="00A044B5" w:rsidRPr="00AC0DF0" w:rsidP="007950A4" w14:paraId="69A3BDF8" w14:textId="4A88E9F0">
      <w:pPr>
        <w:tabs>
          <w:tab w:val="left" w:pos="4320"/>
        </w:tabs>
        <w:rPr>
          <w:szCs w:val="24"/>
        </w:rPr>
      </w:pPr>
      <w:r w:rsidRPr="00AC0DF0">
        <w:rPr>
          <w:szCs w:val="24"/>
        </w:rPr>
        <w:tab/>
      </w:r>
      <w:r w:rsidRPr="00AC0DF0" w:rsidR="00660A68">
        <w:rPr>
          <w:szCs w:val="24"/>
        </w:rPr>
        <w:t xml:space="preserve">Maureen </w:t>
      </w:r>
      <w:r w:rsidRPr="00AC0DF0" w:rsidR="006E5733">
        <w:rPr>
          <w:szCs w:val="24"/>
        </w:rPr>
        <w:t xml:space="preserve">R. </w:t>
      </w:r>
      <w:r w:rsidRPr="00AC0DF0" w:rsidR="00660A68">
        <w:rPr>
          <w:szCs w:val="24"/>
        </w:rPr>
        <w:t>Willis</w:t>
      </w:r>
    </w:p>
    <w:p w:rsidR="00A044B5" w:rsidRPr="00AC0DF0" w:rsidP="007950A4" w14:paraId="49BBC955" w14:textId="77777777">
      <w:pPr>
        <w:tabs>
          <w:tab w:val="left" w:pos="4320"/>
        </w:tabs>
        <w:rPr>
          <w:szCs w:val="24"/>
        </w:rPr>
      </w:pPr>
      <w:r w:rsidRPr="00AC0DF0">
        <w:rPr>
          <w:szCs w:val="24"/>
        </w:rPr>
        <w:tab/>
        <w:t>Assistant Consumers’ Counsel</w:t>
      </w:r>
    </w:p>
    <w:p w:rsidR="00A044B5" w:rsidRPr="00AC0DF0" w:rsidP="007950A4" w14:paraId="44278D7B" w14:textId="77777777">
      <w:pPr>
        <w:pStyle w:val="CommentSubject"/>
        <w:rPr>
          <w:szCs w:val="24"/>
        </w:rPr>
      </w:pPr>
    </w:p>
    <w:p w:rsidR="009F067A" w:rsidRPr="00AC0DF0" w:rsidP="007950A4" w14:paraId="3C6B8C17" w14:textId="77777777">
      <w:pPr>
        <w:pStyle w:val="CommentText"/>
      </w:pPr>
      <w:r w:rsidRPr="00AC0DF0">
        <w:t>The PUCO’s e-filing system will electronically serve notice of the filing of this document on the following parties:</w:t>
      </w:r>
    </w:p>
    <w:p w:rsidR="009F067A" w:rsidRPr="00AC0DF0" w:rsidP="007950A4" w14:paraId="04EA111F" w14:textId="77777777">
      <w:pPr>
        <w:pStyle w:val="CommentText"/>
      </w:pPr>
    </w:p>
    <w:p w:rsidR="00A044B5" w:rsidRPr="00AC0DF0" w:rsidP="007950A4" w14:paraId="229F7FAC" w14:textId="77777777">
      <w:pPr>
        <w:pStyle w:val="CommentText"/>
      </w:pPr>
    </w:p>
    <w:p w:rsidR="00A044B5" w:rsidRPr="00AC0DF0" w:rsidP="007950A4" w14:paraId="5BF19FCE" w14:textId="77777777">
      <w:pPr>
        <w:pStyle w:val="CommentText"/>
        <w:jc w:val="center"/>
        <w:rPr>
          <w:b/>
          <w:u w:val="single"/>
        </w:rPr>
      </w:pPr>
      <w:r w:rsidRPr="00AC0DF0">
        <w:rPr>
          <w:b/>
          <w:u w:val="single"/>
        </w:rPr>
        <w:t>SERVICE LIST</w:t>
      </w:r>
    </w:p>
    <w:p w:rsidR="00317043" w:rsidRPr="00AC0DF0" w:rsidP="007950A4" w14:paraId="5F8C961F" w14:textId="77777777">
      <w:pPr>
        <w:pStyle w:val="CommentText"/>
        <w:jc w:val="center"/>
        <w:rPr>
          <w:b/>
          <w:u w:val="single"/>
        </w:rPr>
      </w:pPr>
    </w:p>
    <w:tbl>
      <w:tblPr>
        <w:tblW w:w="17712" w:type="dxa"/>
        <w:tblLook w:val="04A0"/>
      </w:tblPr>
      <w:tblGrid>
        <w:gridCol w:w="4428"/>
        <w:gridCol w:w="4428"/>
        <w:gridCol w:w="4428"/>
        <w:gridCol w:w="4428"/>
      </w:tblGrid>
      <w:tr w14:paraId="0C5C658F" w14:textId="77777777" w:rsidTr="00A45B70">
        <w:tblPrEx>
          <w:tblW w:w="17712" w:type="dxa"/>
          <w:tblLook w:val="04A0"/>
        </w:tblPrEx>
        <w:tc>
          <w:tcPr>
            <w:tcW w:w="4428" w:type="dxa"/>
          </w:tcPr>
          <w:p w:rsidR="00A45B70" w:rsidRPr="00AC0DF0" w:rsidP="00A45B70" w14:paraId="678915B5" w14:textId="6545BB55">
            <w:pPr>
              <w:pStyle w:val="CommentText"/>
              <w:ind w:left="-105"/>
              <w:jc w:val="both"/>
              <w:rPr>
                <w:bCs/>
              </w:rPr>
            </w:pPr>
            <w:hyperlink r:id="rId12" w:history="1">
              <w:r w:rsidRPr="00AC0DF0" w:rsidR="009B4F69">
                <w:rPr>
                  <w:rStyle w:val="Hyperlink"/>
                  <w:bCs/>
                </w:rPr>
                <w:t>John.jones@ohioAGO.gov</w:t>
              </w:r>
            </w:hyperlink>
          </w:p>
          <w:p w:rsidR="00A45B70" w:rsidRPr="00AC0DF0" w:rsidP="00A45B70" w14:paraId="157BDFF5" w14:textId="77777777">
            <w:pPr>
              <w:pStyle w:val="CommentText"/>
              <w:ind w:left="-105"/>
              <w:jc w:val="both"/>
            </w:pPr>
          </w:p>
          <w:p w:rsidR="00A45B70" w:rsidRPr="00AC0DF0" w:rsidP="00A45B70" w14:paraId="075D0F05" w14:textId="77777777">
            <w:pPr>
              <w:pStyle w:val="BodyText"/>
              <w:rPr>
                <w:szCs w:val="24"/>
              </w:rPr>
            </w:pPr>
          </w:p>
          <w:p w:rsidR="00A45B70" w:rsidRPr="00AC0DF0" w:rsidP="00A45B70" w14:paraId="044EFB4D" w14:textId="59F03AAF">
            <w:pPr>
              <w:pStyle w:val="BodyText"/>
              <w:ind w:left="-105"/>
              <w:rPr>
                <w:b/>
                <w:bCs/>
                <w:szCs w:val="24"/>
              </w:rPr>
            </w:pPr>
            <w:r w:rsidRPr="00AC0DF0">
              <w:rPr>
                <w:szCs w:val="24"/>
              </w:rPr>
              <w:t>Attorney Examiner</w:t>
            </w:r>
            <w:r w:rsidRPr="00AC0DF0">
              <w:rPr>
                <w:b/>
                <w:bCs/>
                <w:szCs w:val="24"/>
              </w:rPr>
              <w:t>:</w:t>
            </w:r>
          </w:p>
          <w:p w:rsidR="00A45B70" w:rsidRPr="00AC0DF0" w:rsidP="00A45B70" w14:paraId="70083166" w14:textId="350BE75C">
            <w:pPr>
              <w:pStyle w:val="BodyText"/>
              <w:ind w:left="-105"/>
              <w:rPr>
                <w:szCs w:val="24"/>
              </w:rPr>
            </w:pPr>
            <w:hyperlink r:id="rId13" w:history="1">
              <w:r w:rsidRPr="00AC0DF0" w:rsidR="005A7E3C">
                <w:rPr>
                  <w:rStyle w:val="Hyperlink"/>
                  <w:szCs w:val="24"/>
                </w:rPr>
                <w:t>Jesse.davis@puco.ohio.gov</w:t>
              </w:r>
            </w:hyperlink>
          </w:p>
          <w:p w:rsidR="005A7E3C" w:rsidRPr="00AC0DF0" w:rsidP="00A45B70" w14:paraId="600ADD46" w14:textId="77777777">
            <w:pPr>
              <w:pStyle w:val="BodyText"/>
              <w:ind w:left="-105"/>
              <w:rPr>
                <w:b/>
                <w:bCs/>
                <w:szCs w:val="24"/>
              </w:rPr>
            </w:pPr>
          </w:p>
          <w:p w:rsidR="00A45B70" w:rsidRPr="00AC0DF0" w:rsidP="00A45B70" w14:paraId="43BB4FBA" w14:textId="4C4B79EB">
            <w:pPr>
              <w:pStyle w:val="CommentText"/>
              <w:ind w:left="-105"/>
              <w:jc w:val="both"/>
              <w:rPr>
                <w:bCs/>
                <w:color w:val="0000FF"/>
                <w:u w:val="single"/>
              </w:rPr>
            </w:pPr>
          </w:p>
        </w:tc>
        <w:tc>
          <w:tcPr>
            <w:tcW w:w="4428" w:type="dxa"/>
          </w:tcPr>
          <w:p w:rsidR="00A45B70" w:rsidRPr="00AC0DF0" w:rsidP="00A45B70" w14:paraId="0ABF38D2" w14:textId="3EF36A87">
            <w:pPr>
              <w:pStyle w:val="Default"/>
              <w:rPr>
                <w:rFonts w:ascii="Times New Roman" w:hAnsi="Times New Roman" w:cs="Times New Roman"/>
              </w:rPr>
            </w:pPr>
            <w:hyperlink r:id="rId14" w:history="1">
              <w:r w:rsidRPr="00AC0DF0" w:rsidR="009B4F69">
                <w:rPr>
                  <w:rStyle w:val="Hyperlink"/>
                  <w:rFonts w:ascii="Times New Roman" w:hAnsi="Times New Roman" w:cs="Times New Roman"/>
                </w:rPr>
                <w:t>mpritchard@mcneeslaw.com</w:t>
              </w:r>
            </w:hyperlink>
          </w:p>
          <w:p w:rsidR="00A45B70" w:rsidRPr="00AC0DF0" w:rsidP="00A45B70" w14:paraId="64F38FC0" w14:textId="3F5B69BD">
            <w:pPr>
              <w:pStyle w:val="CommentText"/>
            </w:pPr>
            <w:hyperlink r:id="rId15" w:history="1">
              <w:r w:rsidRPr="00AC0DF0" w:rsidR="009B4F69">
                <w:rPr>
                  <w:rStyle w:val="Hyperlink"/>
                </w:rPr>
                <w:t>bmckenney@mcneeslaw.com</w:t>
              </w:r>
            </w:hyperlink>
          </w:p>
          <w:p w:rsidR="00A45B70" w:rsidRPr="00AC0DF0" w:rsidP="00A45B70" w14:paraId="6EDEB32E" w14:textId="35EA9A20">
            <w:pPr>
              <w:pStyle w:val="CommentText"/>
            </w:pPr>
            <w:hyperlink r:id="rId16" w:history="1">
              <w:r w:rsidRPr="00AC0DF0" w:rsidR="009B4F69">
                <w:rPr>
                  <w:rStyle w:val="Hyperlink"/>
                </w:rPr>
                <w:t>iavalon@taftlaw.com</w:t>
              </w:r>
            </w:hyperlink>
          </w:p>
          <w:p w:rsidR="00A45B70" w:rsidRPr="00AC0DF0" w:rsidP="00A45B70" w14:paraId="03EE61B3" w14:textId="2B289A3A">
            <w:pPr>
              <w:pStyle w:val="CommentText"/>
              <w:rPr>
                <w:bCs/>
              </w:rPr>
            </w:pPr>
            <w:hyperlink r:id="rId17" w:history="1">
              <w:r w:rsidRPr="00AC0DF0" w:rsidR="009B4F69">
                <w:rPr>
                  <w:rStyle w:val="Hyperlink"/>
                  <w:bCs/>
                </w:rPr>
                <w:t>bknipe@firstEnergycorp.com</w:t>
              </w:r>
            </w:hyperlink>
          </w:p>
        </w:tc>
        <w:tc>
          <w:tcPr>
            <w:tcW w:w="4428" w:type="dxa"/>
            <w:shd w:val="clear" w:color="auto" w:fill="auto"/>
          </w:tcPr>
          <w:p w:rsidR="00A45B70" w:rsidRPr="00AC0DF0" w:rsidP="00A45B70" w14:paraId="2F681FDE" w14:textId="14ACC982">
            <w:pPr>
              <w:pStyle w:val="CommentText"/>
              <w:rPr>
                <w:bCs/>
              </w:rPr>
            </w:pPr>
          </w:p>
        </w:tc>
        <w:tc>
          <w:tcPr>
            <w:tcW w:w="4428" w:type="dxa"/>
            <w:shd w:val="clear" w:color="auto" w:fill="auto"/>
          </w:tcPr>
          <w:p w:rsidR="00A45B70" w:rsidRPr="00AC0DF0" w:rsidP="00A45B70" w14:paraId="489B641C" w14:textId="77777777">
            <w:pPr>
              <w:pStyle w:val="CommentText"/>
              <w:rPr>
                <w:b/>
                <w:u w:val="single"/>
              </w:rPr>
            </w:pPr>
          </w:p>
        </w:tc>
      </w:tr>
    </w:tbl>
    <w:p w:rsidR="00A044B5" w:rsidRPr="00AC0DF0" w:rsidP="00A45B70" w14:paraId="7985A2A9" w14:textId="2A7D249A">
      <w:pPr>
        <w:pStyle w:val="BodyText"/>
        <w:rPr>
          <w:b/>
          <w:bCs/>
          <w:szCs w:val="24"/>
        </w:rPr>
      </w:pPr>
    </w:p>
    <w:sectPr w:rsidSect="005A7E3C">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304DA5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2DC756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41A8B54" w14:textId="2BB0D53D">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2014897907"/>
      <w:docPartObj>
        <w:docPartGallery w:val="Page Numbers (Bottom of Page)"/>
        <w:docPartUnique/>
      </w:docPartObj>
    </w:sdtPr>
    <w:sdtEndPr>
      <w:rPr>
        <w:noProof/>
      </w:rPr>
    </w:sdtEndPr>
    <w:sdtContent>
      <w:p w:rsidR="00F3750A" w:rsidRPr="00F3750A" w14:paraId="4FAC6DDB" w14:textId="73A4640C">
        <w:pPr>
          <w:pStyle w:val="Footer"/>
          <w:jc w:val="center"/>
          <w:rPr>
            <w:sz w:val="24"/>
            <w:szCs w:val="24"/>
          </w:rPr>
        </w:pPr>
        <w:r w:rsidRPr="00F3750A">
          <w:rPr>
            <w:sz w:val="24"/>
            <w:szCs w:val="24"/>
          </w:rPr>
          <w:fldChar w:fldCharType="begin"/>
        </w:r>
        <w:r w:rsidRPr="00F3750A">
          <w:rPr>
            <w:sz w:val="24"/>
            <w:szCs w:val="24"/>
          </w:rPr>
          <w:instrText xml:space="preserve"> PAGE   \* MERGEFORMAT </w:instrText>
        </w:r>
        <w:r w:rsidRPr="00F3750A">
          <w:rPr>
            <w:sz w:val="24"/>
            <w:szCs w:val="24"/>
          </w:rPr>
          <w:fldChar w:fldCharType="separate"/>
        </w:r>
        <w:r w:rsidRPr="00F3750A">
          <w:rPr>
            <w:noProof/>
            <w:sz w:val="24"/>
            <w:szCs w:val="24"/>
          </w:rPr>
          <w:t>2</w:t>
        </w:r>
        <w:r w:rsidRPr="00F3750A">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563901"/>
      <w:docPartObj>
        <w:docPartGallery w:val="Page Numbers (Bottom of Page)"/>
        <w:docPartUnique/>
      </w:docPartObj>
    </w:sdtPr>
    <w:sdtEndPr>
      <w:rPr>
        <w:noProof/>
        <w:sz w:val="24"/>
        <w:szCs w:val="24"/>
      </w:rPr>
    </w:sdtEndPr>
    <w:sdtContent>
      <w:p w:rsidR="005A7E3C" w:rsidRPr="005A7E3C" w14:paraId="5DB4ABD1" w14:textId="1429A1F0">
        <w:pPr>
          <w:pStyle w:val="Footer"/>
          <w:jc w:val="center"/>
          <w:rPr>
            <w:sz w:val="24"/>
            <w:szCs w:val="24"/>
          </w:rPr>
        </w:pPr>
        <w:r w:rsidRPr="005A7E3C">
          <w:rPr>
            <w:sz w:val="24"/>
            <w:szCs w:val="24"/>
          </w:rPr>
          <w:fldChar w:fldCharType="begin"/>
        </w:r>
        <w:r w:rsidRPr="005A7E3C">
          <w:rPr>
            <w:sz w:val="24"/>
            <w:szCs w:val="24"/>
          </w:rPr>
          <w:instrText xml:space="preserve"> PAGE   \* MERGEFORMAT </w:instrText>
        </w:r>
        <w:r w:rsidRPr="005A7E3C">
          <w:rPr>
            <w:sz w:val="24"/>
            <w:szCs w:val="24"/>
          </w:rPr>
          <w:fldChar w:fldCharType="separate"/>
        </w:r>
        <w:r w:rsidRPr="005A7E3C">
          <w:rPr>
            <w:noProof/>
            <w:sz w:val="24"/>
            <w:szCs w:val="24"/>
          </w:rPr>
          <w:t>2</w:t>
        </w:r>
        <w:r w:rsidRPr="005A7E3C">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4969693"/>
      <w:docPartObj>
        <w:docPartGallery w:val="Page Numbers (Bottom of Page)"/>
        <w:docPartUnique/>
      </w:docPartObj>
    </w:sdtPr>
    <w:sdtEndPr>
      <w:rPr>
        <w:noProof/>
        <w:sz w:val="24"/>
        <w:szCs w:val="24"/>
      </w:rPr>
    </w:sdtEndPr>
    <w:sdtContent>
      <w:p w:rsidR="00F3750A" w:rsidRPr="00F3750A" w14:paraId="001D74D6" w14:textId="012FBCF6">
        <w:pPr>
          <w:pStyle w:val="Footer"/>
          <w:jc w:val="center"/>
          <w:rPr>
            <w:sz w:val="24"/>
            <w:szCs w:val="24"/>
          </w:rPr>
        </w:pPr>
        <w:r w:rsidRPr="00F3750A">
          <w:rPr>
            <w:sz w:val="24"/>
            <w:szCs w:val="24"/>
          </w:rPr>
          <w:fldChar w:fldCharType="begin"/>
        </w:r>
        <w:r w:rsidRPr="00F3750A">
          <w:rPr>
            <w:sz w:val="24"/>
            <w:szCs w:val="24"/>
          </w:rPr>
          <w:instrText xml:space="preserve"> PAGE   \* MERGEFORMAT </w:instrText>
        </w:r>
        <w:r w:rsidRPr="00F3750A">
          <w:rPr>
            <w:sz w:val="24"/>
            <w:szCs w:val="24"/>
          </w:rPr>
          <w:fldChar w:fldCharType="separate"/>
        </w:r>
        <w:r w:rsidRPr="00F3750A">
          <w:rPr>
            <w:noProof/>
            <w:sz w:val="24"/>
            <w:szCs w:val="24"/>
          </w:rPr>
          <w:t>2</w:t>
        </w:r>
        <w:r w:rsidRPr="00F3750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525" w14:paraId="71576B8D" w14:textId="77777777">
      <w:r>
        <w:separator/>
      </w:r>
    </w:p>
  </w:footnote>
  <w:footnote w:type="continuationSeparator" w:id="1">
    <w:p w:rsidR="00BD3525" w14:paraId="61B5423E" w14:textId="77777777">
      <w:r>
        <w:continuationSeparator/>
      </w:r>
    </w:p>
  </w:footnote>
  <w:footnote w:id="2">
    <w:p w:rsidR="00CA6640" w:rsidP="008A7B41" w14:paraId="0C9790DD" w14:textId="53600DDC">
      <w:pPr>
        <w:pStyle w:val="FootnoteText"/>
        <w:spacing w:after="120"/>
      </w:pPr>
      <w:r>
        <w:rPr>
          <w:rStyle w:val="FootnoteReference"/>
        </w:rPr>
        <w:footnoteRef/>
      </w:r>
      <w:r w:rsidR="00106BA6">
        <w:t xml:space="preserve"> </w:t>
      </w:r>
      <w:r>
        <w:t>R.C. 4903.221.</w:t>
      </w:r>
    </w:p>
  </w:footnote>
  <w:footnote w:id="3">
    <w:p w:rsidR="001C1B3F" w:rsidP="008A7B41" w14:paraId="2D9D2DFA" w14:textId="2700A177">
      <w:pPr>
        <w:pStyle w:val="FootnoteText"/>
        <w:spacing w:after="120"/>
      </w:pPr>
      <w:r>
        <w:rPr>
          <w:rStyle w:val="FootnoteReference"/>
        </w:rPr>
        <w:footnoteRef/>
      </w:r>
      <w:r w:rsidR="00106BA6">
        <w:t xml:space="preserve"> </w:t>
      </w:r>
      <w:r>
        <w:t>R.C. 4903.221.</w:t>
      </w:r>
    </w:p>
  </w:footnote>
  <w:footnote w:id="4">
    <w:p w:rsidR="00D0664F" w:rsidP="008A7B41" w14:paraId="01F99270" w14:textId="5E3F2553">
      <w:pPr>
        <w:pStyle w:val="FootnoteText"/>
        <w:spacing w:after="120"/>
      </w:pPr>
      <w:r>
        <w:rPr>
          <w:rStyle w:val="FootnoteReference"/>
        </w:rPr>
        <w:footnoteRef/>
      </w:r>
      <w:r w:rsidR="00106BA6">
        <w:t xml:space="preserve"> </w:t>
      </w:r>
      <w:r>
        <w:t xml:space="preserve">Memo Contra at 6-8. </w:t>
      </w:r>
    </w:p>
  </w:footnote>
  <w:footnote w:id="5">
    <w:p w:rsidR="009A628B" w:rsidP="008A7B41" w14:paraId="5E737228" w14:textId="3787CBDA">
      <w:pPr>
        <w:pStyle w:val="FootnoteText"/>
        <w:spacing w:after="120"/>
      </w:pPr>
      <w:r>
        <w:rPr>
          <w:rStyle w:val="FootnoteReference"/>
        </w:rPr>
        <w:footnoteRef/>
      </w:r>
      <w:r w:rsidR="00106BA6">
        <w:t xml:space="preserve"> </w:t>
      </w:r>
      <w:r>
        <w:t xml:space="preserve">Memo Contra at 8. </w:t>
      </w:r>
    </w:p>
  </w:footnote>
  <w:footnote w:id="6">
    <w:p w:rsidR="00405C6C" w:rsidP="008A7B41" w14:paraId="0DEF4D77" w14:textId="13AE130A">
      <w:pPr>
        <w:pStyle w:val="FootnoteText"/>
        <w:spacing w:after="120"/>
      </w:pPr>
      <w:r>
        <w:rPr>
          <w:rStyle w:val="FootnoteReference"/>
        </w:rPr>
        <w:footnoteRef/>
      </w:r>
      <w:r w:rsidR="00106BA6">
        <w:rPr>
          <w:i/>
          <w:iCs/>
        </w:rPr>
        <w:t xml:space="preserve"> </w:t>
      </w:r>
      <w:r w:rsidRPr="00861C1F">
        <w:rPr>
          <w:i/>
          <w:iCs/>
        </w:rPr>
        <w:t>Id.</w:t>
      </w:r>
      <w:r>
        <w:t xml:space="preserve"> at </w:t>
      </w:r>
      <w:r w:rsidR="009924CA">
        <w:t>6</w:t>
      </w:r>
      <w:r>
        <w:t xml:space="preserve">. </w:t>
      </w:r>
    </w:p>
  </w:footnote>
  <w:footnote w:id="7">
    <w:p w:rsidR="008426EE" w:rsidP="008A7B41" w14:paraId="307B8C0C" w14:textId="341860D7">
      <w:pPr>
        <w:pStyle w:val="FootnoteText"/>
        <w:spacing w:after="120"/>
      </w:pPr>
      <w:r>
        <w:rPr>
          <w:rStyle w:val="FootnoteReference"/>
        </w:rPr>
        <w:footnoteRef/>
      </w:r>
      <w:r w:rsidR="00106BA6">
        <w:rPr>
          <w:i/>
          <w:iCs/>
        </w:rPr>
        <w:t xml:space="preserve"> </w:t>
      </w:r>
      <w:r w:rsidRPr="00861C1F" w:rsidR="00861C1F">
        <w:rPr>
          <w:i/>
          <w:iCs/>
        </w:rPr>
        <w:t>Id</w:t>
      </w:r>
      <w:r w:rsidRPr="00861C1F">
        <w:rPr>
          <w:i/>
          <w:iCs/>
        </w:rPr>
        <w:t>.</w:t>
      </w:r>
      <w:r>
        <w:t xml:space="preserve"> </w:t>
      </w:r>
      <w:r w:rsidR="009924CA">
        <w:t>at 7.</w:t>
      </w:r>
    </w:p>
  </w:footnote>
  <w:footnote w:id="8">
    <w:p w:rsidR="0000549D" w:rsidP="008A7B41" w14:paraId="0EB87C95" w14:textId="6356D055">
      <w:pPr>
        <w:pStyle w:val="FootnoteText"/>
        <w:spacing w:after="120"/>
      </w:pPr>
      <w:r>
        <w:rPr>
          <w:rStyle w:val="FootnoteReference"/>
        </w:rPr>
        <w:footnoteRef/>
      </w:r>
      <w:r w:rsidR="00106BA6">
        <w:rPr>
          <w:i/>
          <w:iCs/>
        </w:rPr>
        <w:t xml:space="preserve"> </w:t>
      </w:r>
      <w:r w:rsidRPr="00861C1F" w:rsidR="00861C1F">
        <w:rPr>
          <w:i/>
          <w:iCs/>
        </w:rPr>
        <w:t>Id</w:t>
      </w:r>
      <w:r w:rsidRPr="00861C1F">
        <w:rPr>
          <w:i/>
          <w:iCs/>
        </w:rPr>
        <w:t>.</w:t>
      </w:r>
      <w:r>
        <w:t xml:space="preserve"> </w:t>
      </w:r>
    </w:p>
  </w:footnote>
  <w:footnote w:id="9">
    <w:p w:rsidR="00F04CCD" w:rsidP="008A7B41" w14:paraId="569019E6" w14:textId="148333D5">
      <w:pPr>
        <w:pStyle w:val="FootnoteText"/>
        <w:spacing w:after="120"/>
      </w:pPr>
      <w:r>
        <w:rPr>
          <w:rStyle w:val="FootnoteReference"/>
        </w:rPr>
        <w:footnoteRef/>
      </w:r>
      <w:r w:rsidR="00106BA6">
        <w:t xml:space="preserve"> </w:t>
      </w:r>
      <w:r>
        <w:t>OCC Objections at 6-7.</w:t>
      </w:r>
    </w:p>
  </w:footnote>
  <w:footnote w:id="10">
    <w:p w:rsidR="00710CF9" w:rsidP="008A7B41" w14:paraId="713E681D" w14:textId="7AE6AE00">
      <w:pPr>
        <w:pStyle w:val="FootnoteText"/>
        <w:spacing w:after="120"/>
      </w:pPr>
      <w:r w:rsidRPr="00861C1F">
        <w:rPr>
          <w:rStyle w:val="FootnoteReference"/>
          <w:i/>
          <w:iCs/>
        </w:rPr>
        <w:footnoteRef/>
      </w:r>
      <w:r w:rsidRPr="00861C1F">
        <w:rPr>
          <w:i/>
          <w:iCs/>
        </w:rPr>
        <w:t xml:space="preserve"> In re App</w:t>
      </w:r>
      <w:r w:rsidRPr="00861C1F" w:rsidR="0058316A">
        <w:rPr>
          <w:i/>
          <w:iCs/>
        </w:rPr>
        <w:t>lication</w:t>
      </w:r>
      <w:r w:rsidRPr="00861C1F">
        <w:rPr>
          <w:i/>
          <w:iCs/>
        </w:rPr>
        <w:t xml:space="preserve"> of FirstEnergy for Authority to Provide for a Standard Service Offer Pursuant to R.C. 4928.143 in the Form of an Elec. Sec. Plan</w:t>
      </w:r>
      <w:r>
        <w:t>, Case No. 14-1297-E</w:t>
      </w:r>
      <w:r w:rsidR="00A52FDA">
        <w:t>L</w:t>
      </w:r>
      <w:r w:rsidR="00861C1F">
        <w:t>-</w:t>
      </w:r>
      <w:r>
        <w:t xml:space="preserve">SSO, </w:t>
      </w:r>
      <w:r w:rsidR="00186610">
        <w:t xml:space="preserve">Fifth Entry on Rehearing </w:t>
      </w:r>
      <w:r>
        <w:t xml:space="preserve">at </w:t>
      </w:r>
      <w:r w:rsidR="00186610">
        <w:t>¶310</w:t>
      </w:r>
      <w:r>
        <w:t xml:space="preserve"> (</w:t>
      </w:r>
      <w:r w:rsidR="00186610">
        <w:t>Oct. 12</w:t>
      </w:r>
      <w:r>
        <w:t>, 2016).</w:t>
      </w:r>
      <w:r w:rsidR="000417AB">
        <w:t xml:space="preserve"> </w:t>
      </w:r>
    </w:p>
  </w:footnote>
  <w:footnote w:id="11">
    <w:p w:rsidR="00C51B10" w:rsidP="008A7B41" w14:paraId="022D1F65" w14:textId="08683BE3">
      <w:pPr>
        <w:pStyle w:val="FootnoteText"/>
        <w:spacing w:after="120"/>
      </w:pPr>
      <w:r>
        <w:rPr>
          <w:rStyle w:val="FootnoteReference"/>
        </w:rPr>
        <w:footnoteRef/>
      </w:r>
      <w:r w:rsidR="00106BA6">
        <w:rPr>
          <w:i/>
          <w:iCs/>
        </w:rPr>
        <w:t xml:space="preserve"> </w:t>
      </w:r>
      <w:r w:rsidRPr="00861C1F">
        <w:rPr>
          <w:i/>
          <w:iCs/>
        </w:rPr>
        <w:t>Id.</w:t>
      </w:r>
      <w:r w:rsidR="000417AB">
        <w:t xml:space="preserve"> </w:t>
      </w:r>
    </w:p>
  </w:footnote>
  <w:footnote w:id="12">
    <w:p w:rsidR="00C74EB7" w:rsidP="008A7B41" w14:paraId="181A06BD" w14:textId="77777777">
      <w:pPr>
        <w:pStyle w:val="FootnoteText"/>
        <w:spacing w:after="120"/>
      </w:pPr>
      <w:r>
        <w:rPr>
          <w:rStyle w:val="FootnoteReference"/>
        </w:rPr>
        <w:footnoteRef/>
      </w:r>
      <w:r>
        <w:t xml:space="preserve"> </w:t>
      </w:r>
      <w:r w:rsidRPr="00C74EB7">
        <w:rPr>
          <w:i/>
          <w:iCs/>
        </w:rPr>
        <w:t>Id.</w:t>
      </w:r>
      <w:r>
        <w:t xml:space="preserve"> </w:t>
      </w:r>
    </w:p>
  </w:footnote>
  <w:footnote w:id="13">
    <w:p w:rsidR="00F7608C" w:rsidP="008A7B41" w14:paraId="3981381C" w14:textId="7652A444">
      <w:pPr>
        <w:pStyle w:val="FootnoteText"/>
        <w:spacing w:after="120"/>
      </w:pPr>
      <w:r>
        <w:rPr>
          <w:rStyle w:val="FootnoteReference"/>
        </w:rPr>
        <w:footnoteRef/>
      </w:r>
      <w:r>
        <w:t xml:space="preserve"> Application at 11.</w:t>
      </w:r>
      <w:r w:rsidR="000417AB">
        <w:t xml:space="preserve"> </w:t>
      </w:r>
    </w:p>
  </w:footnote>
  <w:footnote w:id="14">
    <w:p w:rsidR="001258B3" w:rsidP="008A7B41" w14:paraId="2D526489" w14:textId="27292742">
      <w:pPr>
        <w:pStyle w:val="FootnoteText"/>
        <w:spacing w:after="120"/>
      </w:pPr>
      <w:r>
        <w:rPr>
          <w:rStyle w:val="FootnoteReference"/>
        </w:rPr>
        <w:footnoteRef/>
      </w:r>
      <w:r>
        <w:t xml:space="preserve"> Memo Contra at 8.</w:t>
      </w:r>
      <w:r w:rsidR="000417AB">
        <w:t xml:space="preserve"> </w:t>
      </w:r>
    </w:p>
  </w:footnote>
  <w:footnote w:id="15">
    <w:p w:rsidR="000933D7" w:rsidP="008A7B41" w14:paraId="4CE7B7DB" w14:textId="77777777">
      <w:pPr>
        <w:pStyle w:val="FootnoteText"/>
        <w:spacing w:after="120"/>
      </w:pPr>
      <w:r>
        <w:rPr>
          <w:rStyle w:val="FootnoteReference"/>
        </w:rPr>
        <w:footnoteRef/>
      </w:r>
      <w:r>
        <w:t xml:space="preserve"> </w:t>
      </w:r>
      <w:r w:rsidRPr="000C3F80">
        <w:rPr>
          <w:i/>
          <w:iCs/>
        </w:rPr>
        <w:t>Id.</w:t>
      </w:r>
      <w:r>
        <w:t xml:space="preserve"> </w:t>
      </w:r>
    </w:p>
  </w:footnote>
  <w:footnote w:id="16">
    <w:p w:rsidR="0018561B" w:rsidP="008A7B41" w14:paraId="70852F76" w14:textId="0969F033">
      <w:pPr>
        <w:pStyle w:val="FootnoteText"/>
        <w:spacing w:after="120"/>
      </w:pPr>
      <w:r>
        <w:rPr>
          <w:rStyle w:val="FootnoteReference"/>
        </w:rPr>
        <w:footnoteRef/>
      </w:r>
      <w:r>
        <w:t xml:space="preserve"> Memo Contra at 9.</w:t>
      </w:r>
      <w:r w:rsidR="000417AB">
        <w:t xml:space="preserve"> </w:t>
      </w:r>
    </w:p>
  </w:footnote>
  <w:footnote w:id="17">
    <w:p w:rsidR="00E90CCC" w:rsidP="008A7B41" w14:paraId="407AB914" w14:textId="17A04AB2">
      <w:pPr>
        <w:pStyle w:val="FootnoteText"/>
        <w:spacing w:after="120"/>
      </w:pPr>
      <w:r>
        <w:rPr>
          <w:rStyle w:val="FootnoteReference"/>
        </w:rPr>
        <w:footnoteRef/>
      </w:r>
      <w:r>
        <w:t xml:space="preserve"> </w:t>
      </w:r>
      <w:r w:rsidRPr="000C3F80">
        <w:rPr>
          <w:i/>
          <w:iCs/>
        </w:rPr>
        <w:t>Id.</w:t>
      </w:r>
      <w:r w:rsidR="00AC0DF0">
        <w:t xml:space="preserve"> </w:t>
      </w:r>
    </w:p>
  </w:footnote>
  <w:footnote w:id="18">
    <w:p w:rsidR="007860C3" w:rsidP="008A7B41" w14:paraId="3F1B0DCE" w14:textId="06F0B1E1">
      <w:pPr>
        <w:pStyle w:val="FootnoteText"/>
        <w:spacing w:after="120"/>
      </w:pPr>
      <w:r>
        <w:rPr>
          <w:rStyle w:val="FootnoteReference"/>
        </w:rPr>
        <w:footnoteRef/>
      </w:r>
      <w:r>
        <w:t xml:space="preserve"> </w:t>
      </w:r>
      <w:r w:rsidRPr="001D60DB" w:rsidR="00B41E55">
        <w:rPr>
          <w:i/>
          <w:iCs/>
        </w:rPr>
        <w:t>Id</w:t>
      </w:r>
      <w:r w:rsidR="00B41E55">
        <w:t>.</w:t>
      </w:r>
      <w:r w:rsidR="000417AB">
        <w:t xml:space="preserve"> </w:t>
      </w:r>
    </w:p>
  </w:footnote>
  <w:footnote w:id="19">
    <w:p w:rsidR="007860C3" w:rsidP="008A7B41" w14:paraId="0BED7400" w14:textId="39D2542C">
      <w:pPr>
        <w:pStyle w:val="FootnoteText"/>
        <w:spacing w:after="120"/>
      </w:pPr>
      <w:r>
        <w:rPr>
          <w:rStyle w:val="FootnoteReference"/>
        </w:rPr>
        <w:footnoteRef/>
      </w:r>
      <w:r>
        <w:t xml:space="preserve"> </w:t>
      </w:r>
      <w:r w:rsidRPr="00F81193" w:rsidR="0094127A">
        <w:rPr>
          <w:i/>
          <w:iCs/>
        </w:rPr>
        <w:t>Id.</w:t>
      </w:r>
      <w:r w:rsidR="000417AB">
        <w:t xml:space="preserve"> </w:t>
      </w:r>
    </w:p>
  </w:footnote>
  <w:footnote w:id="20">
    <w:p w:rsidR="0094127A" w:rsidP="008A7B41" w14:paraId="2F87E783" w14:textId="5AE4C3AD">
      <w:pPr>
        <w:pStyle w:val="FootnoteText"/>
        <w:spacing w:after="120"/>
      </w:pPr>
      <w:r>
        <w:rPr>
          <w:rStyle w:val="FootnoteReference"/>
        </w:rPr>
        <w:footnoteRef/>
      </w:r>
      <w:r>
        <w:t xml:space="preserve"> </w:t>
      </w:r>
      <w:r w:rsidRPr="00F81193">
        <w:rPr>
          <w:i/>
          <w:iCs/>
        </w:rPr>
        <w:t>Id.</w:t>
      </w:r>
      <w:r>
        <w:t xml:space="preserve"> at 9-1</w:t>
      </w:r>
      <w:r w:rsidR="00B41E55">
        <w:t>1</w:t>
      </w:r>
      <w:r>
        <w:t xml:space="preserve">. </w:t>
      </w:r>
    </w:p>
  </w:footnote>
  <w:footnote w:id="21">
    <w:p w:rsidR="00F80BA4" w:rsidP="008A7B41" w14:paraId="0BC95952" w14:textId="2FBCDF38">
      <w:pPr>
        <w:pStyle w:val="FootnoteText"/>
        <w:spacing w:after="120"/>
      </w:pPr>
      <w:r>
        <w:rPr>
          <w:rStyle w:val="FootnoteReference"/>
        </w:rPr>
        <w:footnoteRef/>
      </w:r>
      <w:r>
        <w:t xml:space="preserve"> Applicant’s insistence that OCC show it has a “direct” interest in the proceeding has no tether to law or rule.</w:t>
      </w:r>
      <w:r w:rsidR="000417AB">
        <w:t xml:space="preserve"> </w:t>
      </w:r>
      <w:r>
        <w:t xml:space="preserve">Use of that standard is inappropriate and unfounded. </w:t>
      </w:r>
    </w:p>
  </w:footnote>
  <w:footnote w:id="22">
    <w:p w:rsidR="0094127A" w:rsidP="008A7B41" w14:paraId="46745244" w14:textId="2DB6EC6E">
      <w:pPr>
        <w:pStyle w:val="FootnoteText"/>
        <w:spacing w:after="120"/>
      </w:pPr>
      <w:r>
        <w:rPr>
          <w:rStyle w:val="FootnoteReference"/>
        </w:rPr>
        <w:footnoteRef/>
      </w:r>
      <w:r>
        <w:t xml:space="preserve"> </w:t>
      </w:r>
      <w:r w:rsidRPr="00F81193">
        <w:rPr>
          <w:i/>
          <w:iCs/>
        </w:rPr>
        <w:t>Id.</w:t>
      </w:r>
      <w:r>
        <w:t xml:space="preserve"> at </w:t>
      </w:r>
      <w:r w:rsidR="00B41E55">
        <w:t>10</w:t>
      </w:r>
      <w:r>
        <w:t xml:space="preserve">. </w:t>
      </w:r>
    </w:p>
  </w:footnote>
  <w:footnote w:id="23">
    <w:p w:rsidR="002B64EF" w:rsidP="008A7B41" w14:paraId="30E5990F" w14:textId="27CA7193">
      <w:pPr>
        <w:pStyle w:val="FootnoteText"/>
        <w:spacing w:after="120"/>
      </w:pPr>
      <w:r>
        <w:rPr>
          <w:rStyle w:val="FootnoteReference"/>
        </w:rPr>
        <w:footnoteRef/>
      </w:r>
      <w:r>
        <w:t xml:space="preserve"> Application at 11.</w:t>
      </w:r>
    </w:p>
  </w:footnote>
  <w:footnote w:id="24">
    <w:p w:rsidR="00FB2949" w:rsidP="008A7B41" w14:paraId="7784CC5F" w14:textId="77777777">
      <w:pPr>
        <w:pStyle w:val="FootnoteText"/>
        <w:spacing w:after="120"/>
      </w:pPr>
      <w:r>
        <w:rPr>
          <w:rStyle w:val="FootnoteReference"/>
        </w:rPr>
        <w:footnoteRef/>
      </w:r>
      <w:r>
        <w:t xml:space="preserve"> Memo Contra at 10.</w:t>
      </w:r>
    </w:p>
  </w:footnote>
  <w:footnote w:id="25">
    <w:p w:rsidR="00C0701E" w:rsidRPr="00F81193" w:rsidP="008A7B41" w14:paraId="3CA15844" w14:textId="77777777">
      <w:pPr>
        <w:pStyle w:val="FootnoteText"/>
        <w:spacing w:after="120"/>
        <w:rPr>
          <w:i/>
          <w:iCs/>
        </w:rPr>
      </w:pPr>
      <w:r>
        <w:rPr>
          <w:rStyle w:val="FootnoteReference"/>
        </w:rPr>
        <w:footnoteRef/>
      </w:r>
      <w:r>
        <w:t xml:space="preserve"> </w:t>
      </w:r>
      <w:r w:rsidRPr="00F81193">
        <w:rPr>
          <w:i/>
          <w:iCs/>
        </w:rPr>
        <w:t>Id.</w:t>
      </w:r>
    </w:p>
  </w:footnote>
  <w:footnote w:id="26">
    <w:p w:rsidR="00C0701E" w:rsidP="008A7B41" w14:paraId="14C3F702" w14:textId="77777777">
      <w:pPr>
        <w:pStyle w:val="FootnoteText"/>
        <w:spacing w:after="120"/>
      </w:pPr>
      <w:r>
        <w:rPr>
          <w:rStyle w:val="FootnoteReference"/>
        </w:rPr>
        <w:footnoteRef/>
      </w:r>
      <w:r>
        <w:t xml:space="preserve"> </w:t>
      </w:r>
      <w:r w:rsidRPr="00F81193">
        <w:rPr>
          <w:i/>
          <w:iCs/>
        </w:rPr>
        <w:t>Id</w:t>
      </w:r>
      <w:r>
        <w:t>.</w:t>
      </w:r>
    </w:p>
  </w:footnote>
  <w:footnote w:id="27">
    <w:p w:rsidR="00C0701E" w:rsidP="008A7B41" w14:paraId="3CE7B416" w14:textId="77777777">
      <w:pPr>
        <w:pStyle w:val="FootnoteText"/>
        <w:spacing w:after="120"/>
      </w:pPr>
      <w:r>
        <w:rPr>
          <w:rStyle w:val="FootnoteReference"/>
        </w:rPr>
        <w:footnoteRef/>
      </w:r>
      <w:r>
        <w:t xml:space="preserve"> </w:t>
      </w:r>
      <w:r w:rsidRPr="00F81193">
        <w:rPr>
          <w:i/>
          <w:iCs/>
        </w:rPr>
        <w:t>Id.</w:t>
      </w:r>
    </w:p>
  </w:footnote>
  <w:footnote w:id="28">
    <w:p w:rsidR="00420EE2" w:rsidP="008A7B41" w14:paraId="1FF477DA" w14:textId="77777777">
      <w:pPr>
        <w:pStyle w:val="FootnoteText"/>
        <w:spacing w:after="120"/>
      </w:pPr>
      <w:r>
        <w:rPr>
          <w:rStyle w:val="FootnoteReference"/>
        </w:rPr>
        <w:footnoteRef/>
      </w:r>
      <w:r>
        <w:t xml:space="preserve"> </w:t>
      </w:r>
      <w:r w:rsidRPr="00F81193">
        <w:rPr>
          <w:i/>
          <w:iCs/>
        </w:rPr>
        <w:t>Id.</w:t>
      </w:r>
    </w:p>
  </w:footnote>
  <w:footnote w:id="29">
    <w:p w:rsidR="00992085" w:rsidP="008A7B41" w14:paraId="00A6A118" w14:textId="77777777">
      <w:pPr>
        <w:pStyle w:val="FootnoteText"/>
        <w:spacing w:after="120"/>
      </w:pPr>
      <w:r>
        <w:rPr>
          <w:rStyle w:val="FootnoteReference"/>
        </w:rPr>
        <w:footnoteRef/>
      </w:r>
      <w:r>
        <w:t xml:space="preserve"> </w:t>
      </w:r>
      <w:r w:rsidRPr="00420EE2">
        <w:rPr>
          <w:i/>
          <w:iCs/>
        </w:rPr>
        <w:t>In re Application of [FirstEnergy] for Authority to Provide for a Standard Service Offer Pursuant to R.C. 4928.143 in the Form of an Elec. Sec. Plan</w:t>
      </w:r>
      <w:r>
        <w:t xml:space="preserve">, Case No. </w:t>
      </w:r>
      <w:r w:rsidRPr="00B772C5">
        <w:t>14-1297-EL-SSO, Fifth Entry on Rehearing ¶ 310 (</w:t>
      </w:r>
      <w:r w:rsidR="00C74EB7">
        <w:t xml:space="preserve">Oct. 12, </w:t>
      </w:r>
      <w:r>
        <w:t>2016</w:t>
      </w:r>
      <w:r w:rsidRPr="00B772C5">
        <w:t>)</w:t>
      </w:r>
      <w:r>
        <w:t>.</w:t>
      </w:r>
    </w:p>
  </w:footnote>
  <w:footnote w:id="30">
    <w:p w:rsidR="00B93552" w:rsidP="008A7B41" w14:paraId="137EC05B" w14:textId="77777777">
      <w:pPr>
        <w:pStyle w:val="FootnoteText"/>
        <w:spacing w:after="120"/>
      </w:pPr>
      <w:r>
        <w:rPr>
          <w:rStyle w:val="FootnoteReference"/>
        </w:rPr>
        <w:footnoteRef/>
      </w:r>
      <w:r>
        <w:t xml:space="preserve"> Motion to Intervene and Objections by Office of the Ohio Consumers’ Counsel </w:t>
      </w:r>
      <w:r w:rsidR="00861C1F">
        <w:t xml:space="preserve">at 3-5 </w:t>
      </w:r>
      <w:r>
        <w:t>(Dec. 20, 2021)</w:t>
      </w:r>
      <w:r w:rsidR="00861C1F">
        <w:t>.</w:t>
      </w:r>
      <w:r>
        <w:t xml:space="preserve"> </w:t>
      </w:r>
    </w:p>
  </w:footnote>
  <w:footnote w:id="31">
    <w:p w:rsidR="00420EE2" w:rsidP="008A7B41" w14:paraId="00C3AB8A" w14:textId="21CE2E36">
      <w:pPr>
        <w:pStyle w:val="FootnoteText"/>
        <w:spacing w:after="120"/>
      </w:pPr>
      <w:r>
        <w:rPr>
          <w:rStyle w:val="FootnoteReference"/>
        </w:rPr>
        <w:footnoteRef/>
      </w:r>
      <w:r>
        <w:t xml:space="preserve"> </w:t>
      </w:r>
      <w:r w:rsidRPr="00420EE2" w:rsidR="00D467F7">
        <w:rPr>
          <w:i/>
          <w:iCs/>
        </w:rPr>
        <w:t>In re Application of [FirstEnergy] for Authority to Provide for a Standard Service Offer Pursuant to R.C. 4928.143 in the Form of an Elec. Sec. Plan</w:t>
      </w:r>
      <w:r w:rsidR="00D467F7">
        <w:t xml:space="preserve">, Case No. </w:t>
      </w:r>
      <w:r w:rsidRPr="00B772C5" w:rsidR="00D467F7">
        <w:t>14-1297-EL-SSO, Fifth Entry on Rehearing ¶ 310 (</w:t>
      </w:r>
      <w:r w:rsidR="00C74EB7">
        <w:t>Oct. 12</w:t>
      </w:r>
      <w:r w:rsidR="00D467F7">
        <w:t>, 2016</w:t>
      </w:r>
      <w:r w:rsidRPr="00B772C5" w:rsidR="00D467F7">
        <w:t>)</w:t>
      </w:r>
      <w:r w:rsidR="00D467F7">
        <w:t>.</w:t>
      </w:r>
    </w:p>
  </w:footnote>
  <w:footnote w:id="32">
    <w:p w:rsidR="009D0B61" w:rsidP="008A7B41" w14:paraId="6D987DCC" w14:textId="77777777">
      <w:pPr>
        <w:pStyle w:val="FootnoteText"/>
        <w:spacing w:after="120"/>
      </w:pPr>
      <w:r>
        <w:rPr>
          <w:rStyle w:val="FootnoteReference"/>
        </w:rPr>
        <w:footnoteRef/>
      </w:r>
      <w:r>
        <w:t xml:space="preserve"> </w:t>
      </w:r>
      <w:r w:rsidRPr="001A660B">
        <w:rPr>
          <w:i/>
          <w:iCs/>
        </w:rPr>
        <w:t>Id.</w:t>
      </w:r>
      <w:r>
        <w:t xml:space="preserve"> </w:t>
      </w:r>
    </w:p>
  </w:footnote>
  <w:footnote w:id="33">
    <w:p w:rsidR="00992085" w:rsidP="008A7B41" w14:paraId="0E1EF2B2" w14:textId="77777777">
      <w:pPr>
        <w:pStyle w:val="FootnoteText"/>
        <w:spacing w:after="120"/>
      </w:pPr>
      <w:r>
        <w:rPr>
          <w:rStyle w:val="FootnoteReference"/>
        </w:rPr>
        <w:footnoteRef/>
      </w:r>
      <w:r>
        <w:t xml:space="preserve"> Memo Contra at 10. </w:t>
      </w:r>
    </w:p>
  </w:footnote>
  <w:footnote w:id="34">
    <w:p w:rsidR="001E4F06" w:rsidP="008A7B41" w14:paraId="545155AE" w14:textId="77777777">
      <w:pPr>
        <w:pStyle w:val="FootnoteText"/>
        <w:spacing w:after="120"/>
      </w:pPr>
      <w:r>
        <w:rPr>
          <w:rStyle w:val="FootnoteReference"/>
        </w:rPr>
        <w:footnoteRef/>
      </w:r>
      <w:r>
        <w:t xml:space="preserve"> </w:t>
      </w:r>
      <w:r w:rsidRPr="00A52FDA">
        <w:rPr>
          <w:i/>
          <w:iCs/>
        </w:rPr>
        <w:t>Id.</w:t>
      </w:r>
    </w:p>
  </w:footnote>
  <w:footnote w:id="35">
    <w:p w:rsidR="00570708" w:rsidP="008A7B41" w14:paraId="4F50C4D5" w14:textId="7DCF90AD">
      <w:pPr>
        <w:pStyle w:val="FootnoteText"/>
        <w:spacing w:after="120"/>
      </w:pPr>
      <w:r>
        <w:rPr>
          <w:rStyle w:val="FootnoteReference"/>
        </w:rPr>
        <w:footnoteRef/>
      </w:r>
      <w:r w:rsidR="00106BA6">
        <w:rPr>
          <w:i/>
          <w:iCs/>
        </w:rPr>
        <w:t xml:space="preserve"> </w:t>
      </w:r>
      <w:r w:rsidRPr="00420EE2" w:rsidR="004D72EA">
        <w:rPr>
          <w:i/>
          <w:iCs/>
        </w:rPr>
        <w:t>In re Application of [FirstEnergy] for Authority to Provide for a Standard Service Offer Pursuant to R.C. 4928.143 in the Form of an Elec. Sec. Plan</w:t>
      </w:r>
      <w:r w:rsidR="004D72EA">
        <w:t xml:space="preserve">, Case No. </w:t>
      </w:r>
      <w:r w:rsidRPr="00B772C5" w:rsidR="004D72EA">
        <w:t>14-1297-EL-SSO, Fifth Entry on Rehearing ¶ 310 (</w:t>
      </w:r>
      <w:r w:rsidR="00186610">
        <w:t xml:space="preserve">Oct. 12, </w:t>
      </w:r>
      <w:r w:rsidR="004D72EA">
        <w:t>2016</w:t>
      </w:r>
      <w:r w:rsidRPr="00B772C5" w:rsidR="004D72EA">
        <w:t>)</w:t>
      </w:r>
      <w:r w:rsidR="004D72EA">
        <w:t xml:space="preserve"> (emphasis added).</w:t>
      </w:r>
    </w:p>
  </w:footnote>
  <w:footnote w:id="36">
    <w:p w:rsidR="00570708" w:rsidP="008A7B41" w14:paraId="689C0A4D" w14:textId="77777777">
      <w:pPr>
        <w:pStyle w:val="FootnoteText"/>
        <w:spacing w:after="120"/>
      </w:pPr>
      <w:r>
        <w:rPr>
          <w:rStyle w:val="FootnoteReference"/>
        </w:rPr>
        <w:footnoteRef/>
      </w:r>
      <w:r>
        <w:t xml:space="preserve"> </w:t>
      </w:r>
      <w:r w:rsidRPr="001A660B">
        <w:rPr>
          <w:i/>
          <w:iCs/>
        </w:rPr>
        <w:t>Id.</w:t>
      </w:r>
    </w:p>
  </w:footnote>
  <w:footnote w:id="37">
    <w:p w:rsidR="00AF0C71" w:rsidP="008A7B41" w14:paraId="45440D87" w14:textId="77777777">
      <w:pPr>
        <w:pStyle w:val="FootnoteText"/>
        <w:spacing w:after="120"/>
      </w:pPr>
      <w:r>
        <w:rPr>
          <w:rStyle w:val="FootnoteReference"/>
        </w:rPr>
        <w:footnoteRef/>
      </w:r>
      <w:r>
        <w:t xml:space="preserve"> </w:t>
      </w:r>
      <w:r w:rsidRPr="00AF0C71">
        <w:rPr>
          <w:i/>
          <w:iCs/>
        </w:rPr>
        <w:t>See, e.g</w:t>
      </w:r>
      <w:r>
        <w:t>., Case No. 12-1497-EL-SSO, Tr.</w:t>
      </w:r>
      <w:r w:rsidR="002C3F88">
        <w:t xml:space="preserve"> XXXVI at 7656 </w:t>
      </w:r>
      <w:r>
        <w:t>(Mikkelsen)</w:t>
      </w:r>
      <w:r w:rsidR="002C3F88">
        <w:t>.</w:t>
      </w:r>
      <w:r>
        <w:t xml:space="preserve"> </w:t>
      </w:r>
    </w:p>
  </w:footnote>
  <w:footnote w:id="38">
    <w:p w:rsidR="00E850D2" w:rsidP="008A7B41" w14:paraId="5EC7E0EA" w14:textId="6943152B">
      <w:pPr>
        <w:pStyle w:val="FootnoteText"/>
        <w:spacing w:after="120"/>
      </w:pPr>
      <w:r>
        <w:rPr>
          <w:rStyle w:val="FootnoteReference"/>
        </w:rPr>
        <w:footnoteRef/>
      </w:r>
      <w:r>
        <w:t xml:space="preserve"> </w:t>
      </w:r>
      <w:r w:rsidRPr="00420EE2" w:rsidR="002C3F88">
        <w:rPr>
          <w:i/>
          <w:iCs/>
        </w:rPr>
        <w:t>In re Application of [FirstEnergy] for Authority to Provide for a Standard Service Offer Pursuant to R.C. 4928.143 in the Form of an Elec. Sec. Plan</w:t>
      </w:r>
      <w:r w:rsidR="002C3F88">
        <w:t xml:space="preserve">, Case No. </w:t>
      </w:r>
      <w:r w:rsidRPr="00B772C5" w:rsidR="002C3F88">
        <w:t>14-1297-EL-SSO, Fifth Entry on Rehearing ¶ 310 (</w:t>
      </w:r>
      <w:r w:rsidR="002C3F88">
        <w:t>Oct. 12, 2016</w:t>
      </w:r>
      <w:r w:rsidRPr="00B772C5" w:rsidR="002C3F88">
        <w:t>)</w:t>
      </w:r>
      <w:r w:rsidR="00E401E9">
        <w:t>.</w:t>
      </w:r>
    </w:p>
  </w:footnote>
  <w:footnote w:id="39">
    <w:p w:rsidR="00E728B3" w:rsidP="008A7B41" w14:paraId="350C47ED" w14:textId="77777777">
      <w:pPr>
        <w:pStyle w:val="FootnoteText"/>
        <w:spacing w:after="120"/>
      </w:pPr>
      <w:r>
        <w:rPr>
          <w:rStyle w:val="FootnoteReference"/>
        </w:rPr>
        <w:footnoteRef/>
      </w:r>
      <w:r>
        <w:t xml:space="preserve"> Memo Contra at 11.</w:t>
      </w:r>
    </w:p>
  </w:footnote>
  <w:footnote w:id="40">
    <w:p w:rsidR="00E728B3" w:rsidP="008A7B41" w14:paraId="33301D8C" w14:textId="77777777">
      <w:pPr>
        <w:pStyle w:val="FootnoteText"/>
        <w:spacing w:after="120"/>
      </w:pPr>
      <w:r>
        <w:rPr>
          <w:rStyle w:val="FootnoteReference"/>
        </w:rPr>
        <w:footnoteRef/>
      </w:r>
      <w:r>
        <w:t xml:space="preserve"> </w:t>
      </w:r>
      <w:r w:rsidRPr="00F908AD">
        <w:rPr>
          <w:i/>
          <w:iCs/>
        </w:rPr>
        <w:t>See</w:t>
      </w:r>
      <w:r>
        <w:t xml:space="preserve"> R.C. Chapter 4911, R.C. 4903.221 and Ohio Adm. Code 4901-1-11.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8978541"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1D07C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892DA6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19D79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31310"/>
    <w:multiLevelType w:val="hybridMultilevel"/>
    <w:tmpl w:val="1638CCF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7B4F3B"/>
    <w:multiLevelType w:val="hybridMultilevel"/>
    <w:tmpl w:val="B970AD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391F8C"/>
    <w:multiLevelType w:val="hybridMultilevel"/>
    <w:tmpl w:val="1F3ECD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7"/>
  </w:num>
  <w:num w:numId="4">
    <w:abstractNumId w:val="6"/>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14A2"/>
    <w:rsid w:val="00004F1D"/>
    <w:rsid w:val="0000549D"/>
    <w:rsid w:val="0000674A"/>
    <w:rsid w:val="00021513"/>
    <w:rsid w:val="000417AB"/>
    <w:rsid w:val="00054D01"/>
    <w:rsid w:val="00082870"/>
    <w:rsid w:val="0009317A"/>
    <w:rsid w:val="000933D7"/>
    <w:rsid w:val="000C3224"/>
    <w:rsid w:val="000C3F2A"/>
    <w:rsid w:val="000C3F80"/>
    <w:rsid w:val="000C409E"/>
    <w:rsid w:val="000D660C"/>
    <w:rsid w:val="000E014D"/>
    <w:rsid w:val="000E2148"/>
    <w:rsid w:val="00103C7B"/>
    <w:rsid w:val="00106BA6"/>
    <w:rsid w:val="00110E60"/>
    <w:rsid w:val="00117DFF"/>
    <w:rsid w:val="0012179E"/>
    <w:rsid w:val="00121E6A"/>
    <w:rsid w:val="001258B3"/>
    <w:rsid w:val="00126533"/>
    <w:rsid w:val="00137CBD"/>
    <w:rsid w:val="0015003A"/>
    <w:rsid w:val="00150FC8"/>
    <w:rsid w:val="00151640"/>
    <w:rsid w:val="001534E4"/>
    <w:rsid w:val="0015406D"/>
    <w:rsid w:val="00156383"/>
    <w:rsid w:val="001603EB"/>
    <w:rsid w:val="0016369D"/>
    <w:rsid w:val="001663F9"/>
    <w:rsid w:val="001822BE"/>
    <w:rsid w:val="00184039"/>
    <w:rsid w:val="0018561B"/>
    <w:rsid w:val="00186610"/>
    <w:rsid w:val="001908A2"/>
    <w:rsid w:val="001A660B"/>
    <w:rsid w:val="001B07FD"/>
    <w:rsid w:val="001C1B3F"/>
    <w:rsid w:val="001C3274"/>
    <w:rsid w:val="001D0897"/>
    <w:rsid w:val="001D60DB"/>
    <w:rsid w:val="001E4F06"/>
    <w:rsid w:val="001F4144"/>
    <w:rsid w:val="002246F3"/>
    <w:rsid w:val="002429E5"/>
    <w:rsid w:val="002478FE"/>
    <w:rsid w:val="00251AD5"/>
    <w:rsid w:val="0026257C"/>
    <w:rsid w:val="00270856"/>
    <w:rsid w:val="002757EC"/>
    <w:rsid w:val="002A4912"/>
    <w:rsid w:val="002B64EF"/>
    <w:rsid w:val="002C3F88"/>
    <w:rsid w:val="002F1518"/>
    <w:rsid w:val="002F66D4"/>
    <w:rsid w:val="002F7CC5"/>
    <w:rsid w:val="0031242C"/>
    <w:rsid w:val="00317043"/>
    <w:rsid w:val="00340584"/>
    <w:rsid w:val="0034517E"/>
    <w:rsid w:val="00347F1A"/>
    <w:rsid w:val="00354F02"/>
    <w:rsid w:val="003576D8"/>
    <w:rsid w:val="003627AF"/>
    <w:rsid w:val="00365C0A"/>
    <w:rsid w:val="00372550"/>
    <w:rsid w:val="00381FC2"/>
    <w:rsid w:val="00383396"/>
    <w:rsid w:val="003904B0"/>
    <w:rsid w:val="003B7CA8"/>
    <w:rsid w:val="003C1E17"/>
    <w:rsid w:val="003E56BE"/>
    <w:rsid w:val="003F0FBF"/>
    <w:rsid w:val="00405C6C"/>
    <w:rsid w:val="0041057F"/>
    <w:rsid w:val="00420EE2"/>
    <w:rsid w:val="004251F5"/>
    <w:rsid w:val="00434271"/>
    <w:rsid w:val="004418B5"/>
    <w:rsid w:val="00462BD6"/>
    <w:rsid w:val="004674D5"/>
    <w:rsid w:val="00471735"/>
    <w:rsid w:val="00476981"/>
    <w:rsid w:val="00480607"/>
    <w:rsid w:val="00480B80"/>
    <w:rsid w:val="004811E4"/>
    <w:rsid w:val="0048458E"/>
    <w:rsid w:val="004900DD"/>
    <w:rsid w:val="004C7A32"/>
    <w:rsid w:val="004D72EA"/>
    <w:rsid w:val="004E02D5"/>
    <w:rsid w:val="004E31AD"/>
    <w:rsid w:val="004F6E59"/>
    <w:rsid w:val="004F78A3"/>
    <w:rsid w:val="00502800"/>
    <w:rsid w:val="00512B71"/>
    <w:rsid w:val="0051520D"/>
    <w:rsid w:val="005270F0"/>
    <w:rsid w:val="00534C70"/>
    <w:rsid w:val="005374ED"/>
    <w:rsid w:val="00542B96"/>
    <w:rsid w:val="0055107B"/>
    <w:rsid w:val="0055483D"/>
    <w:rsid w:val="0055512A"/>
    <w:rsid w:val="0056287E"/>
    <w:rsid w:val="00570708"/>
    <w:rsid w:val="00574635"/>
    <w:rsid w:val="0058316A"/>
    <w:rsid w:val="00587F43"/>
    <w:rsid w:val="005A6744"/>
    <w:rsid w:val="005A7E3C"/>
    <w:rsid w:val="005B04C4"/>
    <w:rsid w:val="005B4F64"/>
    <w:rsid w:val="005D4F26"/>
    <w:rsid w:val="005D56B6"/>
    <w:rsid w:val="005D7B8C"/>
    <w:rsid w:val="005D7F93"/>
    <w:rsid w:val="005E212C"/>
    <w:rsid w:val="005E6800"/>
    <w:rsid w:val="005F01FA"/>
    <w:rsid w:val="005F273B"/>
    <w:rsid w:val="005F5EDA"/>
    <w:rsid w:val="00614D2A"/>
    <w:rsid w:val="0062108F"/>
    <w:rsid w:val="0062677C"/>
    <w:rsid w:val="00631041"/>
    <w:rsid w:val="00634685"/>
    <w:rsid w:val="00635D19"/>
    <w:rsid w:val="00641070"/>
    <w:rsid w:val="00642969"/>
    <w:rsid w:val="00654B76"/>
    <w:rsid w:val="00660A68"/>
    <w:rsid w:val="0067335A"/>
    <w:rsid w:val="00676B2A"/>
    <w:rsid w:val="006908AC"/>
    <w:rsid w:val="006919E6"/>
    <w:rsid w:val="006A1DC0"/>
    <w:rsid w:val="006A2F84"/>
    <w:rsid w:val="006C5841"/>
    <w:rsid w:val="006C6A4D"/>
    <w:rsid w:val="006D7285"/>
    <w:rsid w:val="006E1486"/>
    <w:rsid w:val="006E53E4"/>
    <w:rsid w:val="006E551C"/>
    <w:rsid w:val="006E5733"/>
    <w:rsid w:val="006E69DB"/>
    <w:rsid w:val="006F20EC"/>
    <w:rsid w:val="006F6428"/>
    <w:rsid w:val="006F6678"/>
    <w:rsid w:val="006F6C88"/>
    <w:rsid w:val="006F71DA"/>
    <w:rsid w:val="00710CF9"/>
    <w:rsid w:val="0071728C"/>
    <w:rsid w:val="007174CC"/>
    <w:rsid w:val="00721484"/>
    <w:rsid w:val="00723316"/>
    <w:rsid w:val="00725ED1"/>
    <w:rsid w:val="00730C0C"/>
    <w:rsid w:val="007320DF"/>
    <w:rsid w:val="00744A7E"/>
    <w:rsid w:val="00745DEB"/>
    <w:rsid w:val="0074794B"/>
    <w:rsid w:val="00760DE9"/>
    <w:rsid w:val="007665EA"/>
    <w:rsid w:val="00772E83"/>
    <w:rsid w:val="00774525"/>
    <w:rsid w:val="007860C3"/>
    <w:rsid w:val="0079132A"/>
    <w:rsid w:val="007931E9"/>
    <w:rsid w:val="007950A4"/>
    <w:rsid w:val="00796526"/>
    <w:rsid w:val="007B3A41"/>
    <w:rsid w:val="007B6756"/>
    <w:rsid w:val="007C26B0"/>
    <w:rsid w:val="007C3A65"/>
    <w:rsid w:val="007C41EC"/>
    <w:rsid w:val="007D07E6"/>
    <w:rsid w:val="007D7C68"/>
    <w:rsid w:val="007E2F6C"/>
    <w:rsid w:val="007F3D40"/>
    <w:rsid w:val="008145AB"/>
    <w:rsid w:val="0082395B"/>
    <w:rsid w:val="008265F1"/>
    <w:rsid w:val="00840E65"/>
    <w:rsid w:val="008426EE"/>
    <w:rsid w:val="008437E7"/>
    <w:rsid w:val="00845401"/>
    <w:rsid w:val="00861C1F"/>
    <w:rsid w:val="00866F7F"/>
    <w:rsid w:val="00875882"/>
    <w:rsid w:val="008836F9"/>
    <w:rsid w:val="008A4892"/>
    <w:rsid w:val="008A7B41"/>
    <w:rsid w:val="008A7DBE"/>
    <w:rsid w:val="008C1951"/>
    <w:rsid w:val="008C63F8"/>
    <w:rsid w:val="008C7D0E"/>
    <w:rsid w:val="008D3A4F"/>
    <w:rsid w:val="008D5F20"/>
    <w:rsid w:val="008F4272"/>
    <w:rsid w:val="008F77ED"/>
    <w:rsid w:val="00902050"/>
    <w:rsid w:val="00910858"/>
    <w:rsid w:val="0093101F"/>
    <w:rsid w:val="0094127A"/>
    <w:rsid w:val="009412A7"/>
    <w:rsid w:val="00946957"/>
    <w:rsid w:val="009512E6"/>
    <w:rsid w:val="009527C0"/>
    <w:rsid w:val="0096154D"/>
    <w:rsid w:val="00980851"/>
    <w:rsid w:val="00992085"/>
    <w:rsid w:val="009924CA"/>
    <w:rsid w:val="00992E47"/>
    <w:rsid w:val="009A628B"/>
    <w:rsid w:val="009B4F69"/>
    <w:rsid w:val="009B6D8B"/>
    <w:rsid w:val="009B79D5"/>
    <w:rsid w:val="009C4F7B"/>
    <w:rsid w:val="009C6142"/>
    <w:rsid w:val="009D0B61"/>
    <w:rsid w:val="009D3111"/>
    <w:rsid w:val="009D420E"/>
    <w:rsid w:val="009E68DA"/>
    <w:rsid w:val="009F067A"/>
    <w:rsid w:val="00A02EAA"/>
    <w:rsid w:val="00A044B5"/>
    <w:rsid w:val="00A2047A"/>
    <w:rsid w:val="00A31787"/>
    <w:rsid w:val="00A36A02"/>
    <w:rsid w:val="00A371FC"/>
    <w:rsid w:val="00A45B70"/>
    <w:rsid w:val="00A50857"/>
    <w:rsid w:val="00A52FDA"/>
    <w:rsid w:val="00A5514C"/>
    <w:rsid w:val="00A5690C"/>
    <w:rsid w:val="00A609F9"/>
    <w:rsid w:val="00A71A22"/>
    <w:rsid w:val="00A77784"/>
    <w:rsid w:val="00AA6372"/>
    <w:rsid w:val="00AA7CBA"/>
    <w:rsid w:val="00AB5661"/>
    <w:rsid w:val="00AB60F7"/>
    <w:rsid w:val="00AB7473"/>
    <w:rsid w:val="00AC0DF0"/>
    <w:rsid w:val="00AC102B"/>
    <w:rsid w:val="00AC5C21"/>
    <w:rsid w:val="00AD049B"/>
    <w:rsid w:val="00AD135E"/>
    <w:rsid w:val="00AE437E"/>
    <w:rsid w:val="00AF0C71"/>
    <w:rsid w:val="00B01877"/>
    <w:rsid w:val="00B13FB0"/>
    <w:rsid w:val="00B14A30"/>
    <w:rsid w:val="00B248E6"/>
    <w:rsid w:val="00B35B47"/>
    <w:rsid w:val="00B41E55"/>
    <w:rsid w:val="00B42F11"/>
    <w:rsid w:val="00B606A6"/>
    <w:rsid w:val="00B772C5"/>
    <w:rsid w:val="00B8243C"/>
    <w:rsid w:val="00B84496"/>
    <w:rsid w:val="00B86EF4"/>
    <w:rsid w:val="00B90053"/>
    <w:rsid w:val="00B93552"/>
    <w:rsid w:val="00BA335C"/>
    <w:rsid w:val="00BB4604"/>
    <w:rsid w:val="00BC5346"/>
    <w:rsid w:val="00BC7AB9"/>
    <w:rsid w:val="00BD3525"/>
    <w:rsid w:val="00BD564B"/>
    <w:rsid w:val="00BE260D"/>
    <w:rsid w:val="00BE2B36"/>
    <w:rsid w:val="00BE69A5"/>
    <w:rsid w:val="00C05899"/>
    <w:rsid w:val="00C0701E"/>
    <w:rsid w:val="00C163F9"/>
    <w:rsid w:val="00C45C01"/>
    <w:rsid w:val="00C46BB2"/>
    <w:rsid w:val="00C51B10"/>
    <w:rsid w:val="00C5378E"/>
    <w:rsid w:val="00C54B61"/>
    <w:rsid w:val="00C6286A"/>
    <w:rsid w:val="00C63001"/>
    <w:rsid w:val="00C72434"/>
    <w:rsid w:val="00C7280F"/>
    <w:rsid w:val="00C74EB7"/>
    <w:rsid w:val="00C86B6A"/>
    <w:rsid w:val="00C910AC"/>
    <w:rsid w:val="00C91CE6"/>
    <w:rsid w:val="00CA3F81"/>
    <w:rsid w:val="00CA6640"/>
    <w:rsid w:val="00CA6D56"/>
    <w:rsid w:val="00CA7859"/>
    <w:rsid w:val="00CB2156"/>
    <w:rsid w:val="00CB3FD8"/>
    <w:rsid w:val="00CF1733"/>
    <w:rsid w:val="00D0664F"/>
    <w:rsid w:val="00D26315"/>
    <w:rsid w:val="00D408EF"/>
    <w:rsid w:val="00D467F7"/>
    <w:rsid w:val="00D55177"/>
    <w:rsid w:val="00D55F50"/>
    <w:rsid w:val="00D57504"/>
    <w:rsid w:val="00D74BAB"/>
    <w:rsid w:val="00D8197C"/>
    <w:rsid w:val="00D83334"/>
    <w:rsid w:val="00D8543C"/>
    <w:rsid w:val="00D924AD"/>
    <w:rsid w:val="00D93590"/>
    <w:rsid w:val="00DA722E"/>
    <w:rsid w:val="00DB62E5"/>
    <w:rsid w:val="00DD5B30"/>
    <w:rsid w:val="00DE3BDA"/>
    <w:rsid w:val="00DF1D7F"/>
    <w:rsid w:val="00DF2EC7"/>
    <w:rsid w:val="00E269A2"/>
    <w:rsid w:val="00E27589"/>
    <w:rsid w:val="00E401E9"/>
    <w:rsid w:val="00E444D2"/>
    <w:rsid w:val="00E520B0"/>
    <w:rsid w:val="00E6237C"/>
    <w:rsid w:val="00E627D8"/>
    <w:rsid w:val="00E6580D"/>
    <w:rsid w:val="00E728B3"/>
    <w:rsid w:val="00E75755"/>
    <w:rsid w:val="00E75D2C"/>
    <w:rsid w:val="00E7627E"/>
    <w:rsid w:val="00E777DC"/>
    <w:rsid w:val="00E850D2"/>
    <w:rsid w:val="00E90CCC"/>
    <w:rsid w:val="00E952A0"/>
    <w:rsid w:val="00E96AA6"/>
    <w:rsid w:val="00EA5A03"/>
    <w:rsid w:val="00EB3383"/>
    <w:rsid w:val="00ED0B67"/>
    <w:rsid w:val="00ED7107"/>
    <w:rsid w:val="00EF35AD"/>
    <w:rsid w:val="00EF3AD6"/>
    <w:rsid w:val="00EF3C87"/>
    <w:rsid w:val="00EF5376"/>
    <w:rsid w:val="00F04CCD"/>
    <w:rsid w:val="00F10117"/>
    <w:rsid w:val="00F1341B"/>
    <w:rsid w:val="00F20713"/>
    <w:rsid w:val="00F21DEF"/>
    <w:rsid w:val="00F35442"/>
    <w:rsid w:val="00F3750A"/>
    <w:rsid w:val="00F661B9"/>
    <w:rsid w:val="00F67DF4"/>
    <w:rsid w:val="00F7608C"/>
    <w:rsid w:val="00F80BA4"/>
    <w:rsid w:val="00F80E45"/>
    <w:rsid w:val="00F810D5"/>
    <w:rsid w:val="00F81193"/>
    <w:rsid w:val="00F83B55"/>
    <w:rsid w:val="00F908AD"/>
    <w:rsid w:val="00FA3F0A"/>
    <w:rsid w:val="00FB2949"/>
    <w:rsid w:val="00FC1373"/>
    <w:rsid w:val="00FC5FE1"/>
    <w:rsid w:val="00FC62D8"/>
    <w:rsid w:val="00FD1243"/>
    <w:rsid w:val="00FD12B3"/>
    <w:rsid w:val="00FE05A8"/>
    <w:rsid w:val="00FF20D4"/>
    <w:rsid w:val="00FF2A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FD8"/>
    <w:rPr>
      <w:sz w:val="24"/>
    </w:rPr>
  </w:style>
  <w:style w:type="paragraph" w:styleId="Heading1">
    <w:name w:val="heading 1"/>
    <w:basedOn w:val="Normal"/>
    <w:next w:val="Normal"/>
    <w:link w:val="Heading1Char"/>
    <w:qFormat/>
    <w:rsid w:val="00137CBD"/>
    <w:pPr>
      <w:keepNext/>
      <w:spacing w:after="240"/>
      <w:ind w:left="720" w:hanging="720"/>
      <w:outlineLvl w:val="0"/>
    </w:pPr>
    <w:rPr>
      <w:b/>
      <w:szCs w:val="24"/>
    </w:rPr>
  </w:style>
  <w:style w:type="paragraph" w:styleId="Heading2">
    <w:name w:val="heading 2"/>
    <w:basedOn w:val="Normal"/>
    <w:next w:val="Normal"/>
    <w:qFormat/>
    <w:rsid w:val="0056287E"/>
    <w:pPr>
      <w:keepNext/>
      <w:tabs>
        <w:tab w:val="left" w:pos="4320"/>
      </w:tabs>
      <w:spacing w:after="240"/>
      <w:ind w:left="1440" w:hanging="720"/>
      <w:outlineLvl w:val="1"/>
    </w:pPr>
    <w:rPr>
      <w:b/>
    </w:rPr>
  </w:style>
  <w:style w:type="paragraph" w:styleId="Heading3">
    <w:name w:val="heading 3"/>
    <w:basedOn w:val="Normal"/>
    <w:next w:val="Normal"/>
    <w:qFormat/>
    <w:rsid w:val="00E75755"/>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ommentTextChar">
    <w:name w:val="Comment Text Char"/>
    <w:link w:val="CommentText"/>
    <w:semiHidden/>
    <w:rsid w:val="009F067A"/>
    <w:rPr>
      <w:sz w:val="24"/>
      <w:szCs w:val="24"/>
    </w:rPr>
  </w:style>
  <w:style w:type="character" w:customStyle="1" w:styleId="UnresolvedMention1">
    <w:name w:val="Unresolved Mention1"/>
    <w:uiPriority w:val="99"/>
    <w:semiHidden/>
    <w:unhideWhenUsed/>
    <w:rsid w:val="0055512A"/>
    <w:rPr>
      <w:color w:val="605E5C"/>
      <w:shd w:val="clear" w:color="auto" w:fill="E1DFDD"/>
    </w:rPr>
  </w:style>
  <w:style w:type="character" w:customStyle="1" w:styleId="FootnoteTextChar">
    <w:name w:val="Footnote Text Char"/>
    <w:basedOn w:val="DefaultParagraphFont"/>
    <w:link w:val="FootnoteText"/>
    <w:uiPriority w:val="99"/>
    <w:semiHidden/>
    <w:rsid w:val="001534E4"/>
  </w:style>
  <w:style w:type="paragraph" w:styleId="Revision">
    <w:name w:val="Revision"/>
    <w:hidden/>
    <w:uiPriority w:val="99"/>
    <w:semiHidden/>
    <w:rsid w:val="00980851"/>
    <w:rPr>
      <w:sz w:val="24"/>
    </w:rPr>
  </w:style>
  <w:style w:type="character" w:customStyle="1" w:styleId="HTMLPreformattedChar">
    <w:name w:val="HTML Preformatted Char"/>
    <w:basedOn w:val="DefaultParagraphFont"/>
    <w:link w:val="HTMLPreformatted"/>
    <w:rsid w:val="00E75755"/>
    <w:rPr>
      <w:rFonts w:ascii="Courier New" w:eastAsia="Courier New" w:hAnsi="Courier New" w:cs="Courier New"/>
    </w:rPr>
  </w:style>
  <w:style w:type="character" w:customStyle="1" w:styleId="Heading1Char">
    <w:name w:val="Heading 1 Char"/>
    <w:basedOn w:val="DefaultParagraphFont"/>
    <w:link w:val="Heading1"/>
    <w:rsid w:val="00FD1243"/>
    <w:rPr>
      <w:b/>
      <w:sz w:val="24"/>
      <w:szCs w:val="24"/>
    </w:rPr>
  </w:style>
  <w:style w:type="paragraph" w:styleId="TOC2">
    <w:name w:val="toc 2"/>
    <w:basedOn w:val="Normal"/>
    <w:next w:val="Normal"/>
    <w:autoRedefine/>
    <w:uiPriority w:val="39"/>
    <w:rsid w:val="005A7E3C"/>
    <w:pPr>
      <w:tabs>
        <w:tab w:val="decimal" w:leader="dot" w:pos="8640"/>
      </w:tabs>
      <w:spacing w:after="240"/>
      <w:ind w:left="1440" w:hanging="720"/>
    </w:pPr>
  </w:style>
  <w:style w:type="paragraph" w:styleId="TOC1">
    <w:name w:val="toc 1"/>
    <w:aliases w:val="OCC Table of Contenst"/>
    <w:basedOn w:val="Normal"/>
    <w:next w:val="Normal"/>
    <w:autoRedefine/>
    <w:uiPriority w:val="39"/>
    <w:qFormat/>
    <w:rsid w:val="005A7E3C"/>
    <w:pPr>
      <w:tabs>
        <w:tab w:val="decimal" w:leader="dot" w:pos="8640"/>
      </w:tabs>
      <w:spacing w:after="240"/>
      <w:ind w:left="720" w:hanging="720"/>
    </w:pPr>
  </w:style>
  <w:style w:type="paragraph" w:styleId="TOC3">
    <w:name w:val="toc 3"/>
    <w:basedOn w:val="Normal"/>
    <w:next w:val="Normal"/>
    <w:autoRedefine/>
    <w:uiPriority w:val="39"/>
    <w:rsid w:val="005A7E3C"/>
    <w:pPr>
      <w:tabs>
        <w:tab w:val="decimal" w:leader="dot" w:pos="8640"/>
      </w:tabs>
      <w:spacing w:after="240"/>
      <w:ind w:left="2160" w:hanging="720"/>
    </w:pPr>
  </w:style>
  <w:style w:type="character" w:customStyle="1" w:styleId="FooterChar">
    <w:name w:val="Footer Char"/>
    <w:basedOn w:val="DefaultParagraphFont"/>
    <w:link w:val="Footer"/>
    <w:uiPriority w:val="99"/>
    <w:rsid w:val="00F3750A"/>
  </w:style>
  <w:style w:type="paragraph" w:customStyle="1" w:styleId="Default">
    <w:name w:val="Default"/>
    <w:rsid w:val="00A45B70"/>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A45B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John.jones@ohioAGO.gov" TargetMode="External" /><Relationship Id="rId13" Type="http://schemas.openxmlformats.org/officeDocument/2006/relationships/hyperlink" Target="mailto:Jesse.davis@puco.ohio.gov" TargetMode="External" /><Relationship Id="rId14" Type="http://schemas.openxmlformats.org/officeDocument/2006/relationships/hyperlink" Target="mailto:mpritchard@mcneeslaw.com" TargetMode="External" /><Relationship Id="rId15" Type="http://schemas.openxmlformats.org/officeDocument/2006/relationships/hyperlink" Target="mailto:bmckenney@mcneeslaw.com" TargetMode="External" /><Relationship Id="rId16" Type="http://schemas.openxmlformats.org/officeDocument/2006/relationships/hyperlink" Target="mailto:iavalon@taftlaw.com" TargetMode="External" /><Relationship Id="rId17" Type="http://schemas.openxmlformats.org/officeDocument/2006/relationships/hyperlink" Target="mailto:bknipe@firstEnergycorp.com" TargetMode="Externa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header" Target="header4.xml" /><Relationship Id="rId22" Type="http://schemas.openxmlformats.org/officeDocument/2006/relationships/footer" Target="footer5.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amy.botschner.obrien@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ABF7-FADF-4105-B9E1-FA5A3422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Toshi Reply 21-1205--final for proofing  (00458272.DOCX;1)</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2022-01-11T20:52:18Z</dcterms:created>
  <dcterms:modified xsi:type="dcterms:W3CDTF">2022-01-11T20:52:18Z</dcterms:modified>
</cp:coreProperties>
</file>