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0346" w14:textId="77777777" w:rsidR="00C638E3" w:rsidRPr="007249C1" w:rsidRDefault="00C638E3" w:rsidP="00C638E3">
      <w:pPr>
        <w:jc w:val="center"/>
        <w:rPr>
          <w:rFonts w:eastAsia="Calibri"/>
          <w:b/>
          <w:smallCaps/>
          <w:sz w:val="28"/>
          <w:szCs w:val="28"/>
        </w:rPr>
      </w:pPr>
      <w:r w:rsidRPr="007249C1">
        <w:rPr>
          <w:rFonts w:eastAsia="Calibri"/>
          <w:b/>
          <w:smallCaps/>
          <w:sz w:val="28"/>
          <w:szCs w:val="28"/>
        </w:rPr>
        <w:t>Before</w:t>
      </w:r>
    </w:p>
    <w:p w14:paraId="7B2355B0" w14:textId="77777777" w:rsidR="00C638E3" w:rsidRDefault="00C638E3" w:rsidP="00C638E3">
      <w:pPr>
        <w:jc w:val="center"/>
        <w:rPr>
          <w:rFonts w:eastAsia="Calibri"/>
          <w:b/>
          <w:smallCaps/>
          <w:sz w:val="28"/>
          <w:szCs w:val="28"/>
        </w:rPr>
      </w:pPr>
      <w:r w:rsidRPr="007249C1">
        <w:rPr>
          <w:rFonts w:eastAsia="Calibri"/>
          <w:b/>
          <w:smallCaps/>
          <w:sz w:val="28"/>
          <w:szCs w:val="28"/>
        </w:rPr>
        <w:t>The Public Utilities Commission of Ohio</w:t>
      </w:r>
    </w:p>
    <w:p w14:paraId="159B4929" w14:textId="77777777" w:rsidR="00C638E3" w:rsidRDefault="00C638E3" w:rsidP="00C638E3">
      <w:pPr>
        <w:jc w:val="center"/>
        <w:rPr>
          <w:rFonts w:eastAsia="Calibri"/>
          <w:b/>
          <w:smallCaps/>
        </w:rPr>
      </w:pPr>
    </w:p>
    <w:p w14:paraId="01526611" w14:textId="77777777" w:rsidR="00C638E3" w:rsidRPr="00754DB3" w:rsidRDefault="00C638E3" w:rsidP="00C638E3">
      <w:pPr>
        <w:jc w:val="center"/>
        <w:rPr>
          <w:rFonts w:eastAsia="Calibri"/>
          <w:b/>
          <w:smallCaps/>
        </w:rPr>
      </w:pPr>
    </w:p>
    <w:p w14:paraId="5122482E" w14:textId="77777777" w:rsidR="00C638E3" w:rsidRPr="00754DB3" w:rsidRDefault="00C638E3" w:rsidP="00C638E3">
      <w:pPr>
        <w:tabs>
          <w:tab w:val="left" w:pos="4680"/>
          <w:tab w:val="left" w:pos="5220"/>
        </w:tabs>
        <w:autoSpaceDE w:val="0"/>
        <w:autoSpaceDN w:val="0"/>
        <w:adjustRightInd w:val="0"/>
      </w:pPr>
      <w:r w:rsidRPr="00754DB3">
        <w:t>In the Matter of the Application of</w:t>
      </w:r>
      <w:r w:rsidRPr="00754DB3">
        <w:tab/>
        <w:t>)</w:t>
      </w:r>
    </w:p>
    <w:p w14:paraId="2B37FAC9" w14:textId="77777777" w:rsidR="00C638E3" w:rsidRPr="00754DB3" w:rsidRDefault="00C638E3" w:rsidP="00C638E3">
      <w:pPr>
        <w:tabs>
          <w:tab w:val="left" w:pos="4680"/>
          <w:tab w:val="left" w:pos="5220"/>
        </w:tabs>
        <w:autoSpaceDE w:val="0"/>
        <w:autoSpaceDN w:val="0"/>
        <w:adjustRightInd w:val="0"/>
      </w:pPr>
      <w:r w:rsidRPr="00754DB3">
        <w:t>The Dayton Power and Light Company for</w:t>
      </w:r>
      <w:r w:rsidRPr="00754DB3">
        <w:tab/>
        <w:t>)</w:t>
      </w:r>
      <w:r w:rsidRPr="00754DB3">
        <w:tab/>
        <w:t>Case No. 16-395-EL-SSO</w:t>
      </w:r>
    </w:p>
    <w:p w14:paraId="1D9CA971" w14:textId="77777777" w:rsidR="00C638E3" w:rsidRPr="00754DB3" w:rsidRDefault="00C638E3" w:rsidP="00C638E3">
      <w:pPr>
        <w:tabs>
          <w:tab w:val="left" w:pos="4680"/>
          <w:tab w:val="left" w:pos="5220"/>
        </w:tabs>
        <w:autoSpaceDE w:val="0"/>
        <w:autoSpaceDN w:val="0"/>
        <w:adjustRightInd w:val="0"/>
      </w:pPr>
      <w:r w:rsidRPr="00754DB3">
        <w:t>Approval of Its Electric Security Plan</w:t>
      </w:r>
      <w:r w:rsidRPr="00754DB3">
        <w:tab/>
        <w:t>)</w:t>
      </w:r>
    </w:p>
    <w:p w14:paraId="1E1D2547" w14:textId="77777777" w:rsidR="00C638E3" w:rsidRPr="00754DB3" w:rsidRDefault="00C638E3" w:rsidP="00C638E3">
      <w:pPr>
        <w:tabs>
          <w:tab w:val="left" w:pos="4680"/>
          <w:tab w:val="left" w:pos="5220"/>
        </w:tabs>
        <w:autoSpaceDE w:val="0"/>
        <w:autoSpaceDN w:val="0"/>
        <w:adjustRightInd w:val="0"/>
      </w:pPr>
    </w:p>
    <w:p w14:paraId="5F2BC45F" w14:textId="77777777" w:rsidR="00C638E3" w:rsidRPr="00754DB3" w:rsidRDefault="00C638E3" w:rsidP="00C638E3">
      <w:pPr>
        <w:tabs>
          <w:tab w:val="left" w:pos="4680"/>
          <w:tab w:val="left" w:pos="5220"/>
        </w:tabs>
        <w:autoSpaceDE w:val="0"/>
        <w:autoSpaceDN w:val="0"/>
        <w:adjustRightInd w:val="0"/>
      </w:pPr>
      <w:r w:rsidRPr="00754DB3">
        <w:t>In the Matter of the Application of</w:t>
      </w:r>
      <w:r w:rsidRPr="00754DB3">
        <w:tab/>
        <w:t>)</w:t>
      </w:r>
    </w:p>
    <w:p w14:paraId="2D195777" w14:textId="77777777" w:rsidR="00C638E3" w:rsidRPr="00754DB3" w:rsidRDefault="00C638E3" w:rsidP="00C638E3">
      <w:pPr>
        <w:tabs>
          <w:tab w:val="left" w:pos="4680"/>
          <w:tab w:val="left" w:pos="5220"/>
        </w:tabs>
        <w:autoSpaceDE w:val="0"/>
        <w:autoSpaceDN w:val="0"/>
        <w:adjustRightInd w:val="0"/>
      </w:pPr>
      <w:r w:rsidRPr="00754DB3">
        <w:t>The Dayton Power and Light Company for</w:t>
      </w:r>
      <w:r w:rsidRPr="00754DB3">
        <w:tab/>
        <w:t>)</w:t>
      </w:r>
      <w:r w:rsidRPr="00754DB3">
        <w:tab/>
        <w:t>Case No. 16-396-EL-ATA</w:t>
      </w:r>
    </w:p>
    <w:p w14:paraId="403D39BC" w14:textId="77777777" w:rsidR="00C638E3" w:rsidRPr="00754DB3" w:rsidRDefault="00C638E3" w:rsidP="00C638E3">
      <w:pPr>
        <w:tabs>
          <w:tab w:val="left" w:pos="4680"/>
          <w:tab w:val="left" w:pos="5220"/>
        </w:tabs>
        <w:autoSpaceDE w:val="0"/>
        <w:autoSpaceDN w:val="0"/>
        <w:adjustRightInd w:val="0"/>
      </w:pPr>
      <w:r w:rsidRPr="00754DB3">
        <w:t>Approval of Revised Tariffs</w:t>
      </w:r>
      <w:r w:rsidRPr="00754DB3">
        <w:tab/>
        <w:t>)</w:t>
      </w:r>
    </w:p>
    <w:p w14:paraId="07DCC268" w14:textId="77777777" w:rsidR="00C638E3" w:rsidRPr="00754DB3" w:rsidRDefault="00C638E3" w:rsidP="00C638E3">
      <w:pPr>
        <w:tabs>
          <w:tab w:val="left" w:pos="4680"/>
          <w:tab w:val="left" w:pos="5220"/>
        </w:tabs>
        <w:autoSpaceDE w:val="0"/>
        <w:autoSpaceDN w:val="0"/>
        <w:adjustRightInd w:val="0"/>
      </w:pPr>
    </w:p>
    <w:p w14:paraId="3B1AD2D8" w14:textId="77777777" w:rsidR="00C638E3" w:rsidRPr="00754DB3" w:rsidRDefault="00C638E3" w:rsidP="00C638E3">
      <w:pPr>
        <w:tabs>
          <w:tab w:val="left" w:pos="4680"/>
          <w:tab w:val="left" w:pos="5220"/>
        </w:tabs>
        <w:autoSpaceDE w:val="0"/>
        <w:autoSpaceDN w:val="0"/>
        <w:adjustRightInd w:val="0"/>
      </w:pPr>
      <w:r w:rsidRPr="00754DB3">
        <w:t>In the Matter of the Application of</w:t>
      </w:r>
      <w:r w:rsidRPr="00754DB3">
        <w:tab/>
        <w:t>)</w:t>
      </w:r>
    </w:p>
    <w:p w14:paraId="0F1771C0" w14:textId="77777777" w:rsidR="00C638E3" w:rsidRPr="00754DB3" w:rsidRDefault="00C638E3" w:rsidP="00C638E3">
      <w:pPr>
        <w:tabs>
          <w:tab w:val="left" w:pos="4680"/>
          <w:tab w:val="left" w:pos="5220"/>
        </w:tabs>
        <w:autoSpaceDE w:val="0"/>
        <w:autoSpaceDN w:val="0"/>
        <w:adjustRightInd w:val="0"/>
      </w:pPr>
      <w:r w:rsidRPr="00754DB3">
        <w:t>The Dayton Power and Light Company for</w:t>
      </w:r>
      <w:r w:rsidRPr="00754DB3">
        <w:tab/>
        <w:t>)</w:t>
      </w:r>
      <w:r w:rsidRPr="00754DB3">
        <w:tab/>
        <w:t>Case No. 16-397-EL-AAM</w:t>
      </w:r>
    </w:p>
    <w:p w14:paraId="11739EF5" w14:textId="77777777" w:rsidR="00C638E3" w:rsidRPr="00754DB3" w:rsidRDefault="00C638E3" w:rsidP="00C638E3">
      <w:pPr>
        <w:tabs>
          <w:tab w:val="left" w:pos="4680"/>
          <w:tab w:val="left" w:pos="5220"/>
        </w:tabs>
        <w:autoSpaceDE w:val="0"/>
        <w:autoSpaceDN w:val="0"/>
        <w:adjustRightInd w:val="0"/>
      </w:pPr>
      <w:r w:rsidRPr="00754DB3">
        <w:t>Approval of Certain Accounting Authority</w:t>
      </w:r>
      <w:r w:rsidRPr="00754DB3">
        <w:tab/>
        <w:t>)</w:t>
      </w:r>
    </w:p>
    <w:p w14:paraId="1BA5C611" w14:textId="77777777" w:rsidR="00C638E3" w:rsidRPr="00754DB3" w:rsidRDefault="00C638E3" w:rsidP="00C638E3">
      <w:pPr>
        <w:tabs>
          <w:tab w:val="left" w:pos="4680"/>
          <w:tab w:val="left" w:pos="5220"/>
        </w:tabs>
        <w:autoSpaceDE w:val="0"/>
        <w:autoSpaceDN w:val="0"/>
        <w:adjustRightInd w:val="0"/>
      </w:pPr>
      <w:r w:rsidRPr="00754DB3">
        <w:t>Pursuant to Ohio Rev. Code § 4905.13</w:t>
      </w:r>
      <w:r w:rsidRPr="00754DB3">
        <w:tab/>
        <w:t>)</w:t>
      </w:r>
    </w:p>
    <w:p w14:paraId="41AC4255" w14:textId="77777777" w:rsidR="00C638E3" w:rsidRDefault="00C638E3" w:rsidP="00C638E3">
      <w:pPr>
        <w:tabs>
          <w:tab w:val="left" w:pos="4680"/>
          <w:tab w:val="left" w:pos="5220"/>
        </w:tabs>
        <w:autoSpaceDE w:val="0"/>
        <w:autoSpaceDN w:val="0"/>
        <w:adjustRightInd w:val="0"/>
      </w:pPr>
    </w:p>
    <w:p w14:paraId="08798DA6" w14:textId="77777777" w:rsidR="00C638E3" w:rsidRPr="00AC2E18" w:rsidRDefault="00C638E3" w:rsidP="00C638E3">
      <w:pPr>
        <w:tabs>
          <w:tab w:val="left" w:pos="4680"/>
          <w:tab w:val="left" w:pos="5220"/>
        </w:tabs>
        <w:autoSpaceDE w:val="0"/>
        <w:autoSpaceDN w:val="0"/>
        <w:adjustRightInd w:val="0"/>
      </w:pPr>
    </w:p>
    <w:p w14:paraId="3A3BD9D2" w14:textId="77777777" w:rsidR="00C638E3" w:rsidRDefault="00C638E3" w:rsidP="00C638E3">
      <w:pPr>
        <w:tabs>
          <w:tab w:val="left" w:pos="5040"/>
        </w:tabs>
        <w:rPr>
          <w:rFonts w:eastAsia="Times New Roman"/>
        </w:rPr>
      </w:pPr>
    </w:p>
    <w:p w14:paraId="25200FD4" w14:textId="77777777" w:rsidR="00C638E3" w:rsidRPr="003046A9" w:rsidRDefault="00C638E3" w:rsidP="00C638E3">
      <w:pPr>
        <w:pBdr>
          <w:bottom w:val="single" w:sz="12" w:space="1" w:color="auto"/>
        </w:pBdr>
        <w:tabs>
          <w:tab w:val="left" w:pos="5040"/>
        </w:tabs>
        <w:rPr>
          <w:rFonts w:eastAsia="Times New Roman"/>
        </w:rPr>
      </w:pPr>
    </w:p>
    <w:p w14:paraId="5A0BF6E1" w14:textId="77777777" w:rsidR="00C638E3" w:rsidRPr="000F2E9D" w:rsidRDefault="00C638E3" w:rsidP="00C638E3">
      <w:pPr>
        <w:rPr>
          <w:b/>
        </w:rPr>
      </w:pPr>
    </w:p>
    <w:p w14:paraId="144DD5DD" w14:textId="77777777" w:rsidR="00C638E3" w:rsidRDefault="00C638E3" w:rsidP="00C638E3">
      <w:pPr>
        <w:jc w:val="center"/>
        <w:rPr>
          <w:rFonts w:ascii="Arial Bold" w:hAnsi="Arial Bold"/>
          <w:b/>
          <w:smallCaps/>
          <w:sz w:val="28"/>
          <w:szCs w:val="28"/>
        </w:rPr>
      </w:pPr>
      <w:r>
        <w:rPr>
          <w:rFonts w:ascii="Arial Bold" w:hAnsi="Arial Bold"/>
          <w:b/>
          <w:smallCaps/>
          <w:sz w:val="28"/>
          <w:szCs w:val="28"/>
        </w:rPr>
        <w:t>Reply to The Dayton Power and Light Company’s</w:t>
      </w:r>
    </w:p>
    <w:p w14:paraId="28FA148A" w14:textId="77777777" w:rsidR="00C638E3" w:rsidRDefault="00C638E3" w:rsidP="00C638E3">
      <w:pPr>
        <w:jc w:val="center"/>
        <w:rPr>
          <w:rFonts w:ascii="Arial Bold" w:hAnsi="Arial Bold"/>
          <w:b/>
          <w:smallCaps/>
          <w:sz w:val="28"/>
          <w:szCs w:val="28"/>
        </w:rPr>
      </w:pPr>
      <w:r>
        <w:rPr>
          <w:rFonts w:ascii="Arial Bold" w:hAnsi="Arial Bold"/>
          <w:b/>
          <w:smallCaps/>
          <w:sz w:val="28"/>
          <w:szCs w:val="28"/>
        </w:rPr>
        <w:t>Memorandum in Opposition to Industrial Energy Users-Ohio’s</w:t>
      </w:r>
    </w:p>
    <w:p w14:paraId="78DD582E" w14:textId="127DBF23" w:rsidR="00C638E3" w:rsidRDefault="00C638E3" w:rsidP="00C638E3">
      <w:pPr>
        <w:jc w:val="center"/>
        <w:rPr>
          <w:rFonts w:ascii="Arial Bold" w:hAnsi="Arial Bold"/>
          <w:b/>
          <w:smallCaps/>
          <w:sz w:val="28"/>
          <w:szCs w:val="28"/>
        </w:rPr>
      </w:pPr>
      <w:r>
        <w:rPr>
          <w:rFonts w:ascii="Arial Bold" w:hAnsi="Arial Bold"/>
          <w:b/>
          <w:smallCaps/>
          <w:sz w:val="28"/>
          <w:szCs w:val="28"/>
        </w:rPr>
        <w:t>Motion to Dismiss the Distribution Modernization Rider</w:t>
      </w:r>
    </w:p>
    <w:p w14:paraId="7B1B7F06" w14:textId="77777777" w:rsidR="00C638E3" w:rsidRPr="008810B2" w:rsidRDefault="00C638E3" w:rsidP="00C638E3">
      <w:pPr>
        <w:pBdr>
          <w:bottom w:val="single" w:sz="12" w:space="1" w:color="auto"/>
        </w:pBdr>
        <w:jc w:val="center"/>
        <w:rPr>
          <w:rFonts w:ascii="Arial Bold" w:hAnsi="Arial Bold"/>
          <w:b/>
          <w:smallCaps/>
        </w:rPr>
      </w:pPr>
    </w:p>
    <w:p w14:paraId="68E50D0D" w14:textId="77777777" w:rsidR="00C638E3" w:rsidRDefault="00C638E3" w:rsidP="00C638E3">
      <w:pPr>
        <w:jc w:val="center"/>
        <w:rPr>
          <w:rFonts w:eastAsia="Times New Roman"/>
          <w:b/>
          <w:smallCaps/>
          <w:u w:val="single"/>
        </w:rPr>
      </w:pPr>
    </w:p>
    <w:p w14:paraId="36329FF0" w14:textId="77777777" w:rsidR="00C638E3" w:rsidRDefault="00C638E3" w:rsidP="00C638E3">
      <w:pPr>
        <w:jc w:val="center"/>
        <w:rPr>
          <w:rFonts w:eastAsia="Times New Roman"/>
          <w:b/>
          <w:smallCaps/>
          <w:u w:val="single"/>
        </w:rPr>
      </w:pPr>
    </w:p>
    <w:p w14:paraId="4F2E8976" w14:textId="77777777" w:rsidR="00C638E3" w:rsidRDefault="00C638E3" w:rsidP="00C638E3">
      <w:pPr>
        <w:jc w:val="center"/>
        <w:rPr>
          <w:rFonts w:eastAsia="Times New Roman"/>
          <w:b/>
          <w:smallCaps/>
          <w:u w:val="single"/>
        </w:rPr>
      </w:pPr>
    </w:p>
    <w:p w14:paraId="475C5473" w14:textId="77777777" w:rsidR="00C638E3" w:rsidRDefault="00C638E3" w:rsidP="00C638E3">
      <w:pPr>
        <w:jc w:val="center"/>
        <w:rPr>
          <w:rFonts w:eastAsia="Times New Roman"/>
          <w:b/>
          <w:smallCaps/>
          <w:u w:val="single"/>
        </w:rPr>
      </w:pPr>
    </w:p>
    <w:p w14:paraId="1A9E340A" w14:textId="77777777" w:rsidR="00E820AA" w:rsidRDefault="00E820AA" w:rsidP="00C638E3">
      <w:pPr>
        <w:jc w:val="center"/>
        <w:rPr>
          <w:rFonts w:eastAsia="Times New Roman"/>
          <w:b/>
          <w:smallCaps/>
          <w:u w:val="single"/>
        </w:rPr>
      </w:pPr>
    </w:p>
    <w:p w14:paraId="4A786B25" w14:textId="77777777" w:rsidR="00C638E3" w:rsidRDefault="00C638E3" w:rsidP="00C638E3">
      <w:pPr>
        <w:widowControl w:val="0"/>
        <w:ind w:left="3960"/>
        <w:rPr>
          <w:rFonts w:eastAsia="Calibri"/>
          <w:bCs/>
        </w:rPr>
      </w:pPr>
      <w:r>
        <w:rPr>
          <w:rFonts w:eastAsia="Calibri"/>
          <w:bCs/>
        </w:rPr>
        <w:t>Frank P. Darr (Reg. No. 0025469)</w:t>
      </w:r>
    </w:p>
    <w:p w14:paraId="08B35A63" w14:textId="77777777" w:rsidR="00C638E3" w:rsidRDefault="00C638E3" w:rsidP="00C638E3">
      <w:pPr>
        <w:widowControl w:val="0"/>
        <w:ind w:left="3960"/>
        <w:rPr>
          <w:rFonts w:eastAsia="Calibri"/>
          <w:bCs/>
        </w:rPr>
      </w:pPr>
      <w:r>
        <w:rPr>
          <w:rFonts w:eastAsia="Calibri"/>
          <w:bCs/>
        </w:rPr>
        <w:t>Counsel of Record</w:t>
      </w:r>
    </w:p>
    <w:p w14:paraId="639F49AD" w14:textId="77777777" w:rsidR="00C638E3" w:rsidRDefault="00C638E3" w:rsidP="00C638E3">
      <w:pPr>
        <w:widowControl w:val="0"/>
        <w:ind w:left="3960"/>
        <w:rPr>
          <w:rFonts w:eastAsia="Calibri"/>
          <w:b/>
          <w:bCs/>
        </w:rPr>
      </w:pPr>
      <w:r>
        <w:rPr>
          <w:rFonts w:eastAsia="Calibri"/>
          <w:bCs/>
        </w:rPr>
        <w:t>Matthew R. Pritchard (Reg. No. 0088070)</w:t>
      </w:r>
    </w:p>
    <w:p w14:paraId="70DA5726" w14:textId="77777777" w:rsidR="00C638E3" w:rsidRDefault="00C638E3" w:rsidP="00C638E3">
      <w:pPr>
        <w:widowControl w:val="0"/>
        <w:ind w:left="3960"/>
        <w:rPr>
          <w:rFonts w:eastAsia="Calibri"/>
          <w:b/>
          <w:bCs/>
          <w:smallCaps/>
        </w:rPr>
      </w:pPr>
      <w:r>
        <w:rPr>
          <w:rFonts w:eastAsia="Calibri"/>
          <w:bCs/>
          <w:smallCaps/>
        </w:rPr>
        <w:t xml:space="preserve">McNees Wallace &amp; </w:t>
      </w:r>
      <w:proofErr w:type="spellStart"/>
      <w:r>
        <w:rPr>
          <w:rFonts w:eastAsia="Calibri"/>
          <w:bCs/>
          <w:smallCaps/>
        </w:rPr>
        <w:t>Nurick</w:t>
      </w:r>
      <w:proofErr w:type="spellEnd"/>
      <w:r>
        <w:rPr>
          <w:rFonts w:eastAsia="Calibri"/>
          <w:bCs/>
          <w:smallCaps/>
        </w:rPr>
        <w:t xml:space="preserve"> LLC</w:t>
      </w:r>
    </w:p>
    <w:p w14:paraId="034E3CD4" w14:textId="77777777" w:rsidR="00C638E3" w:rsidRDefault="00C638E3" w:rsidP="00C638E3">
      <w:pPr>
        <w:widowControl w:val="0"/>
        <w:ind w:left="3960"/>
        <w:rPr>
          <w:rFonts w:eastAsia="Calibri"/>
          <w:b/>
          <w:bCs/>
        </w:rPr>
      </w:pPr>
      <w:r>
        <w:rPr>
          <w:rFonts w:eastAsia="Calibri"/>
          <w:bCs/>
        </w:rPr>
        <w:t>21 East State Street, 17</w:t>
      </w:r>
      <w:r>
        <w:rPr>
          <w:rFonts w:eastAsia="Calibri"/>
          <w:bCs/>
          <w:vertAlign w:val="superscript"/>
        </w:rPr>
        <w:t>TH</w:t>
      </w:r>
      <w:r>
        <w:rPr>
          <w:rFonts w:eastAsia="Calibri"/>
          <w:bCs/>
        </w:rPr>
        <w:t xml:space="preserve"> Floor</w:t>
      </w:r>
    </w:p>
    <w:p w14:paraId="6B803368" w14:textId="77777777" w:rsidR="00C638E3" w:rsidRDefault="00C638E3" w:rsidP="00C638E3">
      <w:pPr>
        <w:tabs>
          <w:tab w:val="left" w:pos="-1440"/>
          <w:tab w:val="left" w:pos="-720"/>
          <w:tab w:val="left" w:pos="5040"/>
          <w:tab w:val="center" w:pos="7200"/>
        </w:tabs>
        <w:overflowPunct w:val="0"/>
        <w:autoSpaceDE w:val="0"/>
        <w:autoSpaceDN w:val="0"/>
        <w:adjustRightInd w:val="0"/>
        <w:ind w:left="3960"/>
        <w:rPr>
          <w:rFonts w:eastAsia="Calibri"/>
        </w:rPr>
      </w:pPr>
      <w:r>
        <w:rPr>
          <w:rFonts w:eastAsia="Calibri"/>
        </w:rPr>
        <w:t>Columbus, OH  43215</w:t>
      </w:r>
    </w:p>
    <w:p w14:paraId="304104EF" w14:textId="77777777" w:rsidR="00C638E3" w:rsidRDefault="00C638E3" w:rsidP="00C638E3">
      <w:pPr>
        <w:tabs>
          <w:tab w:val="left" w:pos="-1440"/>
          <w:tab w:val="left" w:pos="-720"/>
          <w:tab w:val="left" w:pos="5040"/>
          <w:tab w:val="center" w:pos="7200"/>
        </w:tabs>
        <w:overflowPunct w:val="0"/>
        <w:autoSpaceDE w:val="0"/>
        <w:autoSpaceDN w:val="0"/>
        <w:adjustRightInd w:val="0"/>
        <w:ind w:left="3960"/>
        <w:rPr>
          <w:rFonts w:eastAsia="Calibri"/>
        </w:rPr>
      </w:pPr>
      <w:r>
        <w:rPr>
          <w:rFonts w:eastAsia="Calibri"/>
        </w:rPr>
        <w:t>Telephone:  (614) 469-8000</w:t>
      </w:r>
    </w:p>
    <w:p w14:paraId="496721CF" w14:textId="77777777" w:rsidR="00C638E3" w:rsidRDefault="00C638E3" w:rsidP="00C638E3">
      <w:pPr>
        <w:tabs>
          <w:tab w:val="left" w:pos="-1440"/>
          <w:tab w:val="left" w:pos="-720"/>
          <w:tab w:val="left" w:pos="5040"/>
          <w:tab w:val="center" w:pos="7200"/>
        </w:tabs>
        <w:overflowPunct w:val="0"/>
        <w:autoSpaceDE w:val="0"/>
        <w:autoSpaceDN w:val="0"/>
        <w:adjustRightInd w:val="0"/>
        <w:ind w:left="3960"/>
        <w:rPr>
          <w:rFonts w:eastAsia="Calibri"/>
        </w:rPr>
      </w:pPr>
      <w:proofErr w:type="spellStart"/>
      <w:r>
        <w:rPr>
          <w:rFonts w:eastAsia="Calibri"/>
        </w:rPr>
        <w:t>Telecopier</w:t>
      </w:r>
      <w:proofErr w:type="spellEnd"/>
      <w:r>
        <w:rPr>
          <w:rFonts w:eastAsia="Calibri"/>
        </w:rPr>
        <w:t>:  (614) 469-4653</w:t>
      </w:r>
    </w:p>
    <w:p w14:paraId="1488EC00" w14:textId="77777777" w:rsidR="00C638E3" w:rsidRDefault="00C638E3" w:rsidP="00C638E3">
      <w:pPr>
        <w:tabs>
          <w:tab w:val="left" w:pos="-1440"/>
          <w:tab w:val="left" w:pos="-720"/>
          <w:tab w:val="left" w:pos="5040"/>
          <w:tab w:val="center" w:pos="7200"/>
        </w:tabs>
        <w:overflowPunct w:val="0"/>
        <w:autoSpaceDE w:val="0"/>
        <w:autoSpaceDN w:val="0"/>
        <w:adjustRightInd w:val="0"/>
        <w:ind w:left="3960"/>
        <w:rPr>
          <w:rFonts w:eastAsia="Calibri"/>
          <w:color w:val="000000"/>
        </w:rPr>
      </w:pPr>
      <w:r>
        <w:rPr>
          <w:rFonts w:eastAsia="Calibri"/>
        </w:rPr>
        <w:t>fdarr@mwncmh.com</w:t>
      </w:r>
    </w:p>
    <w:p w14:paraId="63D281C2" w14:textId="77777777" w:rsidR="00C638E3" w:rsidRDefault="00C638E3" w:rsidP="00C638E3">
      <w:pPr>
        <w:tabs>
          <w:tab w:val="left" w:pos="-1440"/>
          <w:tab w:val="left" w:pos="-720"/>
          <w:tab w:val="left" w:pos="5040"/>
          <w:tab w:val="center" w:pos="7200"/>
        </w:tabs>
        <w:overflowPunct w:val="0"/>
        <w:autoSpaceDE w:val="0"/>
        <w:autoSpaceDN w:val="0"/>
        <w:adjustRightInd w:val="0"/>
        <w:ind w:left="3960"/>
        <w:rPr>
          <w:rFonts w:eastAsia="Calibri"/>
          <w:color w:val="000000"/>
        </w:rPr>
      </w:pPr>
      <w:r>
        <w:rPr>
          <w:rFonts w:eastAsia="Calibri"/>
          <w:color w:val="000000"/>
        </w:rPr>
        <w:t>(</w:t>
      </w:r>
      <w:proofErr w:type="gramStart"/>
      <w:r>
        <w:rPr>
          <w:rFonts w:eastAsia="Calibri"/>
          <w:color w:val="000000"/>
        </w:rPr>
        <w:t>willing</w:t>
      </w:r>
      <w:proofErr w:type="gramEnd"/>
      <w:r>
        <w:rPr>
          <w:rFonts w:eastAsia="Calibri"/>
          <w:color w:val="000000"/>
        </w:rPr>
        <w:t xml:space="preserve"> to accept service by e-mail)</w:t>
      </w:r>
    </w:p>
    <w:p w14:paraId="1DC8CD70" w14:textId="77777777" w:rsidR="00C638E3" w:rsidRDefault="00C638E3" w:rsidP="00C638E3">
      <w:pPr>
        <w:tabs>
          <w:tab w:val="left" w:pos="-1440"/>
          <w:tab w:val="left" w:pos="-720"/>
          <w:tab w:val="left" w:pos="5040"/>
          <w:tab w:val="center" w:pos="7200"/>
        </w:tabs>
        <w:overflowPunct w:val="0"/>
        <w:autoSpaceDE w:val="0"/>
        <w:autoSpaceDN w:val="0"/>
        <w:adjustRightInd w:val="0"/>
        <w:ind w:left="3960"/>
        <w:rPr>
          <w:rFonts w:eastAsia="Calibri"/>
          <w:smallCaps/>
          <w:color w:val="000000"/>
        </w:rPr>
      </w:pPr>
      <w:r>
        <w:rPr>
          <w:rFonts w:eastAsia="Calibri"/>
          <w:color w:val="000000"/>
        </w:rPr>
        <w:t>mpritchard@mwncmh.com</w:t>
      </w:r>
    </w:p>
    <w:p w14:paraId="3B7E12FC" w14:textId="77777777" w:rsidR="00C638E3" w:rsidRDefault="00C638E3" w:rsidP="00C638E3">
      <w:pPr>
        <w:tabs>
          <w:tab w:val="left" w:pos="-1440"/>
          <w:tab w:val="left" w:pos="-720"/>
          <w:tab w:val="left" w:pos="5040"/>
          <w:tab w:val="center" w:pos="7200"/>
        </w:tabs>
        <w:overflowPunct w:val="0"/>
        <w:autoSpaceDE w:val="0"/>
        <w:autoSpaceDN w:val="0"/>
        <w:adjustRightInd w:val="0"/>
        <w:ind w:left="3960"/>
        <w:rPr>
          <w:rFonts w:eastAsia="Calibri"/>
          <w:color w:val="000000"/>
        </w:rPr>
      </w:pPr>
      <w:r>
        <w:rPr>
          <w:rFonts w:eastAsia="Calibri"/>
          <w:color w:val="000000"/>
        </w:rPr>
        <w:t>(</w:t>
      </w:r>
      <w:proofErr w:type="gramStart"/>
      <w:r>
        <w:rPr>
          <w:rFonts w:eastAsia="Calibri"/>
          <w:color w:val="000000"/>
        </w:rPr>
        <w:t>willing</w:t>
      </w:r>
      <w:proofErr w:type="gramEnd"/>
      <w:r>
        <w:rPr>
          <w:rFonts w:eastAsia="Calibri"/>
          <w:color w:val="000000"/>
        </w:rPr>
        <w:t xml:space="preserve"> to accept service by e-mail)</w:t>
      </w:r>
    </w:p>
    <w:p w14:paraId="6EAB2A75" w14:textId="77777777" w:rsidR="00C638E3" w:rsidRDefault="00C638E3" w:rsidP="00C638E3">
      <w:pPr>
        <w:tabs>
          <w:tab w:val="left" w:pos="-1440"/>
          <w:tab w:val="left" w:pos="-720"/>
          <w:tab w:val="left" w:pos="5040"/>
          <w:tab w:val="center" w:pos="7200"/>
        </w:tabs>
        <w:overflowPunct w:val="0"/>
        <w:autoSpaceDE w:val="0"/>
        <w:autoSpaceDN w:val="0"/>
        <w:adjustRightInd w:val="0"/>
        <w:ind w:left="3960"/>
        <w:rPr>
          <w:rFonts w:eastAsia="Calibri"/>
          <w:b/>
          <w:smallCaps/>
        </w:rPr>
      </w:pPr>
    </w:p>
    <w:p w14:paraId="5D4BD1A0" w14:textId="77777777" w:rsidR="00E820AA" w:rsidRDefault="00C638E3" w:rsidP="00C638E3">
      <w:pPr>
        <w:ind w:left="3960" w:hanging="3960"/>
        <w:rPr>
          <w:rFonts w:ascii="Arial Bold" w:eastAsia="Calibri" w:hAnsi="Arial Bold"/>
          <w:b/>
          <w:smallCaps/>
        </w:rPr>
        <w:sectPr w:rsidR="00E820AA" w:rsidSect="00E820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pPr>
      <w:r>
        <w:rPr>
          <w:rFonts w:ascii="Arial Bold" w:eastAsia="Calibri" w:hAnsi="Arial Bold"/>
          <w:b/>
          <w:smallCaps/>
        </w:rPr>
        <w:t>December 22</w:t>
      </w:r>
      <w:r w:rsidRPr="0034578C">
        <w:rPr>
          <w:rFonts w:ascii="Arial Bold" w:eastAsia="Calibri" w:hAnsi="Arial Bold"/>
          <w:b/>
          <w:smallCaps/>
        </w:rPr>
        <w:t>, 2016</w:t>
      </w:r>
      <w:r w:rsidRPr="0034578C">
        <w:rPr>
          <w:rFonts w:ascii="Arial Bold" w:eastAsia="Calibri" w:hAnsi="Arial Bold"/>
          <w:b/>
          <w:smallCaps/>
        </w:rPr>
        <w:tab/>
        <w:t>Attorneys for Industrial Energy Users-Ohio</w:t>
      </w:r>
    </w:p>
    <w:p w14:paraId="1FF5A80B" w14:textId="40B5D44C" w:rsidR="00C638E3" w:rsidRPr="00000974" w:rsidRDefault="005E5B09" w:rsidP="00E820AA">
      <w:pPr>
        <w:jc w:val="center"/>
        <w:rPr>
          <w:rFonts w:ascii="Arial Bold" w:hAnsi="Arial Bold"/>
          <w:b/>
          <w:smallCaps/>
          <w:sz w:val="28"/>
          <w:szCs w:val="28"/>
          <w:u w:val="single"/>
        </w:rPr>
      </w:pPr>
      <w:r w:rsidRPr="00000974">
        <w:rPr>
          <w:rFonts w:ascii="Arial Bold" w:hAnsi="Arial Bold"/>
          <w:b/>
          <w:smallCaps/>
          <w:sz w:val="28"/>
          <w:szCs w:val="28"/>
          <w:u w:val="single"/>
        </w:rPr>
        <w:lastRenderedPageBreak/>
        <w:t>Table of Contents</w:t>
      </w:r>
    </w:p>
    <w:p w14:paraId="0F4EEFF3" w14:textId="77777777" w:rsidR="005E5B09" w:rsidRDefault="005E5B09" w:rsidP="00E820AA">
      <w:pPr>
        <w:jc w:val="center"/>
      </w:pPr>
    </w:p>
    <w:p w14:paraId="3A07538C" w14:textId="461CFB53" w:rsidR="00000974" w:rsidRPr="00000974" w:rsidRDefault="00000974" w:rsidP="00000974">
      <w:pPr>
        <w:jc w:val="right"/>
        <w:rPr>
          <w:b/>
          <w:u w:val="single"/>
        </w:rPr>
      </w:pPr>
      <w:r w:rsidRPr="00000974">
        <w:rPr>
          <w:b/>
          <w:u w:val="single"/>
        </w:rPr>
        <w:t>Page</w:t>
      </w:r>
    </w:p>
    <w:p w14:paraId="60E27458" w14:textId="77777777" w:rsidR="00000974" w:rsidRPr="00000974" w:rsidRDefault="00000974" w:rsidP="00000974">
      <w:pPr>
        <w:jc w:val="right"/>
        <w:rPr>
          <w:u w:val="single"/>
        </w:rPr>
      </w:pPr>
    </w:p>
    <w:p w14:paraId="4FA569EB" w14:textId="65E61364" w:rsidR="00000974" w:rsidRDefault="00000974" w:rsidP="00000974">
      <w:pPr>
        <w:pStyle w:val="TOC1"/>
        <w:tabs>
          <w:tab w:val="right" w:leader="dot" w:pos="9360"/>
        </w:tabs>
        <w:spacing w:after="240"/>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70166157" w:history="1">
        <w:r w:rsidRPr="00E83471">
          <w:rPr>
            <w:rStyle w:val="Hyperlink"/>
            <w:noProof/>
          </w:rPr>
          <w:t>I.</w:t>
        </w:r>
        <w:r>
          <w:rPr>
            <w:rFonts w:asciiTheme="minorHAnsi" w:eastAsiaTheme="minorEastAsia" w:hAnsiTheme="minorHAnsi"/>
            <w:noProof/>
            <w:sz w:val="22"/>
            <w:szCs w:val="22"/>
          </w:rPr>
          <w:tab/>
        </w:r>
        <w:r w:rsidRPr="00E83471">
          <w:rPr>
            <w:rStyle w:val="Hyperlink"/>
            <w:noProof/>
          </w:rPr>
          <w:t>Introduction</w:t>
        </w:r>
        <w:r>
          <w:rPr>
            <w:noProof/>
            <w:webHidden/>
          </w:rPr>
          <w:tab/>
        </w:r>
        <w:r>
          <w:rPr>
            <w:noProof/>
            <w:webHidden/>
          </w:rPr>
          <w:fldChar w:fldCharType="begin"/>
        </w:r>
        <w:r>
          <w:rPr>
            <w:noProof/>
            <w:webHidden/>
          </w:rPr>
          <w:instrText xml:space="preserve"> PAGEREF _Toc470166157 \h </w:instrText>
        </w:r>
        <w:r>
          <w:rPr>
            <w:noProof/>
            <w:webHidden/>
          </w:rPr>
        </w:r>
        <w:r>
          <w:rPr>
            <w:noProof/>
            <w:webHidden/>
          </w:rPr>
          <w:fldChar w:fldCharType="separate"/>
        </w:r>
        <w:r w:rsidR="00592356">
          <w:rPr>
            <w:noProof/>
            <w:webHidden/>
          </w:rPr>
          <w:t>1</w:t>
        </w:r>
        <w:r>
          <w:rPr>
            <w:noProof/>
            <w:webHidden/>
          </w:rPr>
          <w:fldChar w:fldCharType="end"/>
        </w:r>
      </w:hyperlink>
    </w:p>
    <w:p w14:paraId="17DD3DDB" w14:textId="50E69C4F" w:rsidR="00000974" w:rsidRDefault="00592356" w:rsidP="00000974">
      <w:pPr>
        <w:pStyle w:val="TOC1"/>
        <w:tabs>
          <w:tab w:val="right" w:leader="dot" w:pos="9360"/>
        </w:tabs>
        <w:spacing w:after="240"/>
        <w:rPr>
          <w:rFonts w:asciiTheme="minorHAnsi" w:eastAsiaTheme="minorEastAsia" w:hAnsiTheme="minorHAnsi"/>
          <w:noProof/>
          <w:sz w:val="22"/>
          <w:szCs w:val="22"/>
        </w:rPr>
      </w:pPr>
      <w:hyperlink w:anchor="_Toc470166158" w:history="1">
        <w:r w:rsidR="00000974" w:rsidRPr="00E83471">
          <w:rPr>
            <w:rStyle w:val="Hyperlink"/>
            <w:noProof/>
          </w:rPr>
          <w:t>II.</w:t>
        </w:r>
        <w:r w:rsidR="00000974">
          <w:rPr>
            <w:rFonts w:asciiTheme="minorHAnsi" w:eastAsiaTheme="minorEastAsia" w:hAnsiTheme="minorHAnsi"/>
            <w:noProof/>
            <w:sz w:val="22"/>
            <w:szCs w:val="22"/>
          </w:rPr>
          <w:tab/>
        </w:r>
        <w:r w:rsidR="00000974" w:rsidRPr="00E83471">
          <w:rPr>
            <w:rStyle w:val="Hyperlink"/>
            <w:noProof/>
          </w:rPr>
          <w:t xml:space="preserve">The Commission is authorized </w:t>
        </w:r>
        <w:r w:rsidR="00000974">
          <w:rPr>
            <w:rStyle w:val="Hyperlink"/>
            <w:noProof/>
          </w:rPr>
          <w:t>to dismiss an application for an</w:t>
        </w:r>
        <w:r w:rsidR="00000974" w:rsidRPr="00E83471">
          <w:rPr>
            <w:rStyle w:val="Hyperlink"/>
            <w:noProof/>
          </w:rPr>
          <w:t xml:space="preserve"> SSO that, as a matter of law, cannot be authorized by it</w:t>
        </w:r>
        <w:r w:rsidR="00000974">
          <w:rPr>
            <w:noProof/>
            <w:webHidden/>
          </w:rPr>
          <w:tab/>
        </w:r>
        <w:r w:rsidR="00000974">
          <w:rPr>
            <w:noProof/>
            <w:webHidden/>
          </w:rPr>
          <w:fldChar w:fldCharType="begin"/>
        </w:r>
        <w:r w:rsidR="00000974">
          <w:rPr>
            <w:noProof/>
            <w:webHidden/>
          </w:rPr>
          <w:instrText xml:space="preserve"> PAGEREF _Toc470166158 \h </w:instrText>
        </w:r>
        <w:r w:rsidR="00000974">
          <w:rPr>
            <w:noProof/>
            <w:webHidden/>
          </w:rPr>
        </w:r>
        <w:r w:rsidR="00000974">
          <w:rPr>
            <w:noProof/>
            <w:webHidden/>
          </w:rPr>
          <w:fldChar w:fldCharType="separate"/>
        </w:r>
        <w:r>
          <w:rPr>
            <w:noProof/>
            <w:webHidden/>
          </w:rPr>
          <w:t>2</w:t>
        </w:r>
        <w:r w:rsidR="00000974">
          <w:rPr>
            <w:noProof/>
            <w:webHidden/>
          </w:rPr>
          <w:fldChar w:fldCharType="end"/>
        </w:r>
      </w:hyperlink>
    </w:p>
    <w:p w14:paraId="1D9ABA1A" w14:textId="77777777" w:rsidR="00000974" w:rsidRDefault="00592356" w:rsidP="00000974">
      <w:pPr>
        <w:pStyle w:val="TOC1"/>
        <w:tabs>
          <w:tab w:val="right" w:leader="dot" w:pos="9360"/>
        </w:tabs>
        <w:spacing w:after="240"/>
        <w:rPr>
          <w:rFonts w:asciiTheme="minorHAnsi" w:eastAsiaTheme="minorEastAsia" w:hAnsiTheme="minorHAnsi"/>
          <w:noProof/>
          <w:sz w:val="22"/>
          <w:szCs w:val="22"/>
        </w:rPr>
      </w:pPr>
      <w:hyperlink w:anchor="_Toc470166159" w:history="1">
        <w:r w:rsidR="00000974" w:rsidRPr="00E83471">
          <w:rPr>
            <w:rStyle w:val="Hyperlink"/>
            <w:noProof/>
          </w:rPr>
          <w:t>III.</w:t>
        </w:r>
        <w:r w:rsidR="00000974">
          <w:rPr>
            <w:rFonts w:asciiTheme="minorHAnsi" w:eastAsiaTheme="minorEastAsia" w:hAnsiTheme="minorHAnsi"/>
            <w:noProof/>
            <w:sz w:val="22"/>
            <w:szCs w:val="22"/>
          </w:rPr>
          <w:tab/>
        </w:r>
        <w:r w:rsidR="00000974" w:rsidRPr="00E83471">
          <w:rPr>
            <w:rStyle w:val="Hyperlink"/>
            <w:noProof/>
          </w:rPr>
          <w:t>The Commission cannot lawfully authorize the DMR as a term of an ESP</w:t>
        </w:r>
        <w:r w:rsidR="00000974">
          <w:rPr>
            <w:noProof/>
            <w:webHidden/>
          </w:rPr>
          <w:tab/>
        </w:r>
        <w:r w:rsidR="00000974">
          <w:rPr>
            <w:noProof/>
            <w:webHidden/>
          </w:rPr>
          <w:fldChar w:fldCharType="begin"/>
        </w:r>
        <w:r w:rsidR="00000974">
          <w:rPr>
            <w:noProof/>
            <w:webHidden/>
          </w:rPr>
          <w:instrText xml:space="preserve"> PAGEREF _Toc470166159 \h </w:instrText>
        </w:r>
        <w:r w:rsidR="00000974">
          <w:rPr>
            <w:noProof/>
            <w:webHidden/>
          </w:rPr>
        </w:r>
        <w:r w:rsidR="00000974">
          <w:rPr>
            <w:noProof/>
            <w:webHidden/>
          </w:rPr>
          <w:fldChar w:fldCharType="separate"/>
        </w:r>
        <w:r>
          <w:rPr>
            <w:noProof/>
            <w:webHidden/>
          </w:rPr>
          <w:t>6</w:t>
        </w:r>
        <w:r w:rsidR="00000974">
          <w:rPr>
            <w:noProof/>
            <w:webHidden/>
          </w:rPr>
          <w:fldChar w:fldCharType="end"/>
        </w:r>
      </w:hyperlink>
    </w:p>
    <w:p w14:paraId="53E22C1E" w14:textId="77777777" w:rsidR="00000974" w:rsidRDefault="00592356" w:rsidP="00000974">
      <w:pPr>
        <w:pStyle w:val="TOC2"/>
        <w:tabs>
          <w:tab w:val="right" w:leader="dot" w:pos="9360"/>
        </w:tabs>
        <w:spacing w:after="240"/>
        <w:rPr>
          <w:rFonts w:asciiTheme="minorHAnsi" w:eastAsiaTheme="minorEastAsia" w:hAnsiTheme="minorHAnsi"/>
          <w:noProof/>
          <w:sz w:val="22"/>
          <w:szCs w:val="22"/>
        </w:rPr>
      </w:pPr>
      <w:hyperlink w:anchor="_Toc470166160" w:history="1">
        <w:r w:rsidR="00000974" w:rsidRPr="00E83471">
          <w:rPr>
            <w:rStyle w:val="Hyperlink"/>
            <w:noProof/>
          </w:rPr>
          <w:t>A.</w:t>
        </w:r>
        <w:r w:rsidR="00000974">
          <w:rPr>
            <w:rFonts w:asciiTheme="minorHAnsi" w:eastAsiaTheme="minorEastAsia" w:hAnsiTheme="minorHAnsi"/>
            <w:noProof/>
            <w:sz w:val="22"/>
            <w:szCs w:val="22"/>
          </w:rPr>
          <w:tab/>
        </w:r>
        <w:r w:rsidR="00000974" w:rsidRPr="00E83471">
          <w:rPr>
            <w:rStyle w:val="Hyperlink"/>
            <w:noProof/>
          </w:rPr>
          <w:t>The DMR is not a term that the Commission may authorize under R.C. 4928.143(B)(2)</w:t>
        </w:r>
        <w:r w:rsidR="00000974">
          <w:rPr>
            <w:noProof/>
            <w:webHidden/>
          </w:rPr>
          <w:tab/>
        </w:r>
        <w:r w:rsidR="00000974">
          <w:rPr>
            <w:noProof/>
            <w:webHidden/>
          </w:rPr>
          <w:fldChar w:fldCharType="begin"/>
        </w:r>
        <w:r w:rsidR="00000974">
          <w:rPr>
            <w:noProof/>
            <w:webHidden/>
          </w:rPr>
          <w:instrText xml:space="preserve"> PAGEREF _Toc470166160 \h </w:instrText>
        </w:r>
        <w:r w:rsidR="00000974">
          <w:rPr>
            <w:noProof/>
            <w:webHidden/>
          </w:rPr>
        </w:r>
        <w:r w:rsidR="00000974">
          <w:rPr>
            <w:noProof/>
            <w:webHidden/>
          </w:rPr>
          <w:fldChar w:fldCharType="separate"/>
        </w:r>
        <w:r>
          <w:rPr>
            <w:noProof/>
            <w:webHidden/>
          </w:rPr>
          <w:t>6</w:t>
        </w:r>
        <w:r w:rsidR="00000974">
          <w:rPr>
            <w:noProof/>
            <w:webHidden/>
          </w:rPr>
          <w:fldChar w:fldCharType="end"/>
        </w:r>
      </w:hyperlink>
    </w:p>
    <w:p w14:paraId="26C36F57" w14:textId="77777777" w:rsidR="00000974" w:rsidRDefault="00592356" w:rsidP="00000974">
      <w:pPr>
        <w:pStyle w:val="TOC2"/>
        <w:tabs>
          <w:tab w:val="right" w:leader="dot" w:pos="9360"/>
        </w:tabs>
        <w:spacing w:after="240"/>
        <w:rPr>
          <w:rFonts w:asciiTheme="minorHAnsi" w:eastAsiaTheme="minorEastAsia" w:hAnsiTheme="minorHAnsi"/>
          <w:noProof/>
          <w:sz w:val="22"/>
          <w:szCs w:val="22"/>
        </w:rPr>
      </w:pPr>
      <w:hyperlink w:anchor="_Toc470166161" w:history="1">
        <w:r w:rsidR="00000974" w:rsidRPr="00E83471">
          <w:rPr>
            <w:rStyle w:val="Hyperlink"/>
            <w:noProof/>
          </w:rPr>
          <w:t>B.</w:t>
        </w:r>
        <w:r w:rsidR="00000974">
          <w:rPr>
            <w:rFonts w:asciiTheme="minorHAnsi" w:eastAsiaTheme="minorEastAsia" w:hAnsiTheme="minorHAnsi"/>
            <w:noProof/>
            <w:sz w:val="22"/>
            <w:szCs w:val="22"/>
          </w:rPr>
          <w:tab/>
        </w:r>
        <w:r w:rsidR="00000974" w:rsidRPr="00E83471">
          <w:rPr>
            <w:rStyle w:val="Hyperlink"/>
            <w:noProof/>
          </w:rPr>
          <w:t>The claim that the Commission may authorize the DMR under R.C. 4928.143 notwithstanding the prohibition in R.C. 4928.38 and 4928.141 should be rejected because it is not supported by legislative intent or the Commission’s prior, simultaneous, and subsequent interpretation and application of the regulatory structure applicable to EDUs</w:t>
        </w:r>
        <w:r w:rsidR="00000974">
          <w:rPr>
            <w:noProof/>
            <w:webHidden/>
          </w:rPr>
          <w:tab/>
        </w:r>
        <w:r w:rsidR="00000974">
          <w:rPr>
            <w:noProof/>
            <w:webHidden/>
          </w:rPr>
          <w:fldChar w:fldCharType="begin"/>
        </w:r>
        <w:r w:rsidR="00000974">
          <w:rPr>
            <w:noProof/>
            <w:webHidden/>
          </w:rPr>
          <w:instrText xml:space="preserve"> PAGEREF _Toc470166161 \h </w:instrText>
        </w:r>
        <w:r w:rsidR="00000974">
          <w:rPr>
            <w:noProof/>
            <w:webHidden/>
          </w:rPr>
        </w:r>
        <w:r w:rsidR="00000974">
          <w:rPr>
            <w:noProof/>
            <w:webHidden/>
          </w:rPr>
          <w:fldChar w:fldCharType="separate"/>
        </w:r>
        <w:r>
          <w:rPr>
            <w:noProof/>
            <w:webHidden/>
          </w:rPr>
          <w:t>9</w:t>
        </w:r>
        <w:r w:rsidR="00000974">
          <w:rPr>
            <w:noProof/>
            <w:webHidden/>
          </w:rPr>
          <w:fldChar w:fldCharType="end"/>
        </w:r>
      </w:hyperlink>
    </w:p>
    <w:p w14:paraId="32931A6C" w14:textId="77777777" w:rsidR="00000974" w:rsidRDefault="00592356" w:rsidP="00000974">
      <w:pPr>
        <w:pStyle w:val="TOC2"/>
        <w:tabs>
          <w:tab w:val="right" w:leader="dot" w:pos="9360"/>
        </w:tabs>
        <w:spacing w:after="240"/>
        <w:rPr>
          <w:rFonts w:asciiTheme="minorHAnsi" w:eastAsiaTheme="minorEastAsia" w:hAnsiTheme="minorHAnsi"/>
          <w:noProof/>
          <w:sz w:val="22"/>
          <w:szCs w:val="22"/>
        </w:rPr>
      </w:pPr>
      <w:hyperlink w:anchor="_Toc470166162" w:history="1">
        <w:r w:rsidR="00000974" w:rsidRPr="00E83471">
          <w:rPr>
            <w:rStyle w:val="Hyperlink"/>
            <w:noProof/>
          </w:rPr>
          <w:t>C.</w:t>
        </w:r>
        <w:r w:rsidR="00000974">
          <w:rPr>
            <w:rFonts w:asciiTheme="minorHAnsi" w:eastAsiaTheme="minorEastAsia" w:hAnsiTheme="minorHAnsi"/>
            <w:noProof/>
            <w:sz w:val="22"/>
            <w:szCs w:val="22"/>
          </w:rPr>
          <w:tab/>
        </w:r>
        <w:r w:rsidR="00000974" w:rsidRPr="00E83471">
          <w:rPr>
            <w:rStyle w:val="Hyperlink"/>
            <w:noProof/>
          </w:rPr>
          <w:t>The claim that the Commission may authorize the DMR by resolving an alleged conflict under R.C. 1.52 should be rejected because there is no conflict between R.C. 4928.143(B)(2)(d) and 4928.38</w:t>
        </w:r>
        <w:r w:rsidR="00000974">
          <w:rPr>
            <w:noProof/>
            <w:webHidden/>
          </w:rPr>
          <w:tab/>
        </w:r>
        <w:r w:rsidR="00000974">
          <w:rPr>
            <w:noProof/>
            <w:webHidden/>
          </w:rPr>
          <w:fldChar w:fldCharType="begin"/>
        </w:r>
        <w:r w:rsidR="00000974">
          <w:rPr>
            <w:noProof/>
            <w:webHidden/>
          </w:rPr>
          <w:instrText xml:space="preserve"> PAGEREF _Toc470166162 \h </w:instrText>
        </w:r>
        <w:r w:rsidR="00000974">
          <w:rPr>
            <w:noProof/>
            <w:webHidden/>
          </w:rPr>
        </w:r>
        <w:r w:rsidR="00000974">
          <w:rPr>
            <w:noProof/>
            <w:webHidden/>
          </w:rPr>
          <w:fldChar w:fldCharType="separate"/>
        </w:r>
        <w:r>
          <w:rPr>
            <w:noProof/>
            <w:webHidden/>
          </w:rPr>
          <w:t>14</w:t>
        </w:r>
        <w:r w:rsidR="00000974">
          <w:rPr>
            <w:noProof/>
            <w:webHidden/>
          </w:rPr>
          <w:fldChar w:fldCharType="end"/>
        </w:r>
      </w:hyperlink>
    </w:p>
    <w:p w14:paraId="50697574" w14:textId="77777777" w:rsidR="00000974" w:rsidRDefault="00592356" w:rsidP="00000974">
      <w:pPr>
        <w:pStyle w:val="TOC2"/>
        <w:tabs>
          <w:tab w:val="right" w:leader="dot" w:pos="9360"/>
        </w:tabs>
        <w:spacing w:after="240"/>
        <w:rPr>
          <w:rFonts w:asciiTheme="minorHAnsi" w:eastAsiaTheme="minorEastAsia" w:hAnsiTheme="minorHAnsi"/>
          <w:noProof/>
          <w:sz w:val="22"/>
          <w:szCs w:val="22"/>
        </w:rPr>
      </w:pPr>
      <w:hyperlink w:anchor="_Toc470166163" w:history="1">
        <w:r w:rsidR="00000974" w:rsidRPr="00E83471">
          <w:rPr>
            <w:rStyle w:val="Hyperlink"/>
            <w:noProof/>
          </w:rPr>
          <w:t>D.</w:t>
        </w:r>
        <w:r w:rsidR="00000974">
          <w:rPr>
            <w:rFonts w:asciiTheme="minorHAnsi" w:eastAsiaTheme="minorEastAsia" w:hAnsiTheme="minorHAnsi"/>
            <w:noProof/>
            <w:sz w:val="22"/>
            <w:szCs w:val="22"/>
          </w:rPr>
          <w:tab/>
        </w:r>
        <w:r w:rsidR="00000974" w:rsidRPr="00E83471">
          <w:rPr>
            <w:rStyle w:val="Hyperlink"/>
            <w:noProof/>
          </w:rPr>
          <w:t>The DMR violates the prohibitions against undue subsidies, transition revenue or its equivalent, and undue preferences to affiliates</w:t>
        </w:r>
        <w:r w:rsidR="00000974">
          <w:rPr>
            <w:noProof/>
            <w:webHidden/>
          </w:rPr>
          <w:tab/>
        </w:r>
        <w:r w:rsidR="00000974">
          <w:rPr>
            <w:noProof/>
            <w:webHidden/>
          </w:rPr>
          <w:fldChar w:fldCharType="begin"/>
        </w:r>
        <w:r w:rsidR="00000974">
          <w:rPr>
            <w:noProof/>
            <w:webHidden/>
          </w:rPr>
          <w:instrText xml:space="preserve"> PAGEREF _Toc470166163 \h </w:instrText>
        </w:r>
        <w:r w:rsidR="00000974">
          <w:rPr>
            <w:noProof/>
            <w:webHidden/>
          </w:rPr>
        </w:r>
        <w:r w:rsidR="00000974">
          <w:rPr>
            <w:noProof/>
            <w:webHidden/>
          </w:rPr>
          <w:fldChar w:fldCharType="separate"/>
        </w:r>
        <w:r>
          <w:rPr>
            <w:noProof/>
            <w:webHidden/>
          </w:rPr>
          <w:t>15</w:t>
        </w:r>
        <w:r w:rsidR="00000974">
          <w:rPr>
            <w:noProof/>
            <w:webHidden/>
          </w:rPr>
          <w:fldChar w:fldCharType="end"/>
        </w:r>
      </w:hyperlink>
    </w:p>
    <w:p w14:paraId="78CBC345" w14:textId="77777777" w:rsidR="00000974" w:rsidRDefault="00592356" w:rsidP="00000974">
      <w:pPr>
        <w:pStyle w:val="TOC1"/>
        <w:tabs>
          <w:tab w:val="right" w:leader="dot" w:pos="9360"/>
        </w:tabs>
        <w:spacing w:after="240"/>
        <w:rPr>
          <w:rFonts w:asciiTheme="minorHAnsi" w:eastAsiaTheme="minorEastAsia" w:hAnsiTheme="minorHAnsi"/>
          <w:noProof/>
          <w:sz w:val="22"/>
          <w:szCs w:val="22"/>
        </w:rPr>
      </w:pPr>
      <w:hyperlink w:anchor="_Toc470166164" w:history="1">
        <w:r w:rsidR="00000974" w:rsidRPr="00E83471">
          <w:rPr>
            <w:rStyle w:val="Hyperlink"/>
            <w:noProof/>
          </w:rPr>
          <w:t>IV.</w:t>
        </w:r>
        <w:r w:rsidR="00000974">
          <w:rPr>
            <w:rFonts w:asciiTheme="minorHAnsi" w:eastAsiaTheme="minorEastAsia" w:hAnsiTheme="minorHAnsi"/>
            <w:noProof/>
            <w:sz w:val="22"/>
            <w:szCs w:val="22"/>
          </w:rPr>
          <w:tab/>
        </w:r>
        <w:r w:rsidR="00000974" w:rsidRPr="00E83471">
          <w:rPr>
            <w:rStyle w:val="Hyperlink"/>
            <w:noProof/>
          </w:rPr>
          <w:t>Conclusion</w:t>
        </w:r>
        <w:r w:rsidR="00000974">
          <w:rPr>
            <w:noProof/>
            <w:webHidden/>
          </w:rPr>
          <w:tab/>
        </w:r>
        <w:r w:rsidR="00000974">
          <w:rPr>
            <w:noProof/>
            <w:webHidden/>
          </w:rPr>
          <w:fldChar w:fldCharType="begin"/>
        </w:r>
        <w:r w:rsidR="00000974">
          <w:rPr>
            <w:noProof/>
            <w:webHidden/>
          </w:rPr>
          <w:instrText xml:space="preserve"> PAGEREF _Toc470166164 \h </w:instrText>
        </w:r>
        <w:r w:rsidR="00000974">
          <w:rPr>
            <w:noProof/>
            <w:webHidden/>
          </w:rPr>
        </w:r>
        <w:r w:rsidR="00000974">
          <w:rPr>
            <w:noProof/>
            <w:webHidden/>
          </w:rPr>
          <w:fldChar w:fldCharType="separate"/>
        </w:r>
        <w:r>
          <w:rPr>
            <w:noProof/>
            <w:webHidden/>
          </w:rPr>
          <w:t>20</w:t>
        </w:r>
        <w:r w:rsidR="00000974">
          <w:rPr>
            <w:noProof/>
            <w:webHidden/>
          </w:rPr>
          <w:fldChar w:fldCharType="end"/>
        </w:r>
      </w:hyperlink>
    </w:p>
    <w:p w14:paraId="6257F612" w14:textId="77777777" w:rsidR="005E5B09" w:rsidRDefault="00000974" w:rsidP="00E820AA">
      <w:pPr>
        <w:jc w:val="center"/>
      </w:pPr>
      <w:r>
        <w:fldChar w:fldCharType="end"/>
      </w:r>
    </w:p>
    <w:p w14:paraId="6388049A" w14:textId="77777777" w:rsidR="005E5B09" w:rsidRDefault="005E5B09" w:rsidP="00E820AA">
      <w:pPr>
        <w:jc w:val="center"/>
      </w:pPr>
    </w:p>
    <w:p w14:paraId="74256FA5" w14:textId="77777777" w:rsidR="005E5B09" w:rsidRDefault="005E5B09" w:rsidP="00E820AA">
      <w:pPr>
        <w:jc w:val="center"/>
      </w:pPr>
    </w:p>
    <w:p w14:paraId="5B38F5C4" w14:textId="77777777" w:rsidR="005E5B09" w:rsidRDefault="005E5B09" w:rsidP="00E820AA">
      <w:pPr>
        <w:jc w:val="center"/>
        <w:sectPr w:rsidR="005E5B09" w:rsidSect="00000974">
          <w:pgSz w:w="12240" w:h="15840" w:code="1"/>
          <w:pgMar w:top="1440" w:right="1440" w:bottom="1440" w:left="1440" w:header="720" w:footer="720" w:gutter="0"/>
          <w:pgNumType w:fmt="lowerRoman" w:start="1"/>
          <w:cols w:space="720"/>
          <w:docGrid w:linePitch="360"/>
        </w:sectPr>
      </w:pPr>
    </w:p>
    <w:p w14:paraId="6FE3BE28" w14:textId="77777777" w:rsidR="00C638E3" w:rsidRPr="007249C1" w:rsidRDefault="00C638E3" w:rsidP="00C638E3">
      <w:pPr>
        <w:jc w:val="center"/>
        <w:rPr>
          <w:rFonts w:eastAsia="Calibri"/>
          <w:b/>
          <w:smallCaps/>
          <w:sz w:val="28"/>
          <w:szCs w:val="28"/>
        </w:rPr>
      </w:pPr>
      <w:r w:rsidRPr="007249C1">
        <w:rPr>
          <w:rFonts w:eastAsia="Calibri"/>
          <w:b/>
          <w:smallCaps/>
          <w:sz w:val="28"/>
          <w:szCs w:val="28"/>
        </w:rPr>
        <w:lastRenderedPageBreak/>
        <w:t>Before</w:t>
      </w:r>
    </w:p>
    <w:p w14:paraId="0F02E664" w14:textId="77777777" w:rsidR="00C638E3" w:rsidRDefault="00C638E3" w:rsidP="00C638E3">
      <w:pPr>
        <w:jc w:val="center"/>
        <w:rPr>
          <w:rFonts w:eastAsia="Calibri"/>
          <w:b/>
          <w:smallCaps/>
          <w:sz w:val="28"/>
          <w:szCs w:val="28"/>
        </w:rPr>
      </w:pPr>
      <w:r w:rsidRPr="007249C1">
        <w:rPr>
          <w:rFonts w:eastAsia="Calibri"/>
          <w:b/>
          <w:smallCaps/>
          <w:sz w:val="28"/>
          <w:szCs w:val="28"/>
        </w:rPr>
        <w:t>The Public Utilities Commission of Ohio</w:t>
      </w:r>
    </w:p>
    <w:p w14:paraId="7D4D467E" w14:textId="77777777" w:rsidR="00C638E3" w:rsidRDefault="00C638E3" w:rsidP="00C638E3">
      <w:pPr>
        <w:jc w:val="center"/>
        <w:rPr>
          <w:rFonts w:eastAsia="Calibri"/>
          <w:b/>
          <w:smallCaps/>
        </w:rPr>
      </w:pPr>
    </w:p>
    <w:p w14:paraId="18964A82" w14:textId="77777777" w:rsidR="00C638E3" w:rsidRPr="00754DB3" w:rsidRDefault="00C638E3" w:rsidP="00C638E3">
      <w:pPr>
        <w:jc w:val="center"/>
        <w:rPr>
          <w:rFonts w:eastAsia="Calibri"/>
          <w:b/>
          <w:smallCaps/>
        </w:rPr>
      </w:pPr>
    </w:p>
    <w:p w14:paraId="58B52515" w14:textId="77777777" w:rsidR="00C638E3" w:rsidRPr="00754DB3" w:rsidRDefault="00C638E3" w:rsidP="00C638E3">
      <w:pPr>
        <w:tabs>
          <w:tab w:val="left" w:pos="4680"/>
          <w:tab w:val="left" w:pos="5220"/>
        </w:tabs>
        <w:autoSpaceDE w:val="0"/>
        <w:autoSpaceDN w:val="0"/>
        <w:adjustRightInd w:val="0"/>
      </w:pPr>
      <w:r w:rsidRPr="00754DB3">
        <w:t>In the Matter of the Application of</w:t>
      </w:r>
      <w:r w:rsidRPr="00754DB3">
        <w:tab/>
        <w:t>)</w:t>
      </w:r>
    </w:p>
    <w:p w14:paraId="385C77E3" w14:textId="77777777" w:rsidR="00C638E3" w:rsidRPr="00754DB3" w:rsidRDefault="00C638E3" w:rsidP="00C638E3">
      <w:pPr>
        <w:tabs>
          <w:tab w:val="left" w:pos="4680"/>
          <w:tab w:val="left" w:pos="5220"/>
        </w:tabs>
        <w:autoSpaceDE w:val="0"/>
        <w:autoSpaceDN w:val="0"/>
        <w:adjustRightInd w:val="0"/>
      </w:pPr>
      <w:r w:rsidRPr="00754DB3">
        <w:t>The Dayton Power and Light Company for</w:t>
      </w:r>
      <w:r w:rsidRPr="00754DB3">
        <w:tab/>
        <w:t>)</w:t>
      </w:r>
      <w:r w:rsidRPr="00754DB3">
        <w:tab/>
        <w:t>Case No. 16-395-EL-SSO</w:t>
      </w:r>
    </w:p>
    <w:p w14:paraId="4E701076" w14:textId="77777777" w:rsidR="00C638E3" w:rsidRPr="00754DB3" w:rsidRDefault="00C638E3" w:rsidP="00C638E3">
      <w:pPr>
        <w:tabs>
          <w:tab w:val="left" w:pos="4680"/>
          <w:tab w:val="left" w:pos="5220"/>
        </w:tabs>
        <w:autoSpaceDE w:val="0"/>
        <w:autoSpaceDN w:val="0"/>
        <w:adjustRightInd w:val="0"/>
      </w:pPr>
      <w:r w:rsidRPr="00754DB3">
        <w:t>Approval of Its Electric Security Plan</w:t>
      </w:r>
      <w:r w:rsidRPr="00754DB3">
        <w:tab/>
        <w:t>)</w:t>
      </w:r>
    </w:p>
    <w:p w14:paraId="3C346645" w14:textId="77777777" w:rsidR="00C638E3" w:rsidRPr="00754DB3" w:rsidRDefault="00C638E3" w:rsidP="00C638E3">
      <w:pPr>
        <w:tabs>
          <w:tab w:val="left" w:pos="4680"/>
          <w:tab w:val="left" w:pos="5220"/>
        </w:tabs>
        <w:autoSpaceDE w:val="0"/>
        <w:autoSpaceDN w:val="0"/>
        <w:adjustRightInd w:val="0"/>
      </w:pPr>
    </w:p>
    <w:p w14:paraId="41443205" w14:textId="77777777" w:rsidR="00C638E3" w:rsidRPr="00754DB3" w:rsidRDefault="00C638E3" w:rsidP="00C638E3">
      <w:pPr>
        <w:tabs>
          <w:tab w:val="left" w:pos="4680"/>
          <w:tab w:val="left" w:pos="5220"/>
        </w:tabs>
        <w:autoSpaceDE w:val="0"/>
        <w:autoSpaceDN w:val="0"/>
        <w:adjustRightInd w:val="0"/>
      </w:pPr>
      <w:r w:rsidRPr="00754DB3">
        <w:t>In the Matter of the Application of</w:t>
      </w:r>
      <w:r w:rsidRPr="00754DB3">
        <w:tab/>
        <w:t>)</w:t>
      </w:r>
    </w:p>
    <w:p w14:paraId="703FB232" w14:textId="77777777" w:rsidR="00C638E3" w:rsidRPr="00754DB3" w:rsidRDefault="00C638E3" w:rsidP="00C638E3">
      <w:pPr>
        <w:tabs>
          <w:tab w:val="left" w:pos="4680"/>
          <w:tab w:val="left" w:pos="5220"/>
        </w:tabs>
        <w:autoSpaceDE w:val="0"/>
        <w:autoSpaceDN w:val="0"/>
        <w:adjustRightInd w:val="0"/>
      </w:pPr>
      <w:r w:rsidRPr="00754DB3">
        <w:t>The Dayton Power and Light Company for</w:t>
      </w:r>
      <w:r w:rsidRPr="00754DB3">
        <w:tab/>
        <w:t>)</w:t>
      </w:r>
      <w:r w:rsidRPr="00754DB3">
        <w:tab/>
        <w:t>Case No. 16-396-EL-ATA</w:t>
      </w:r>
    </w:p>
    <w:p w14:paraId="56A413D6" w14:textId="77777777" w:rsidR="00C638E3" w:rsidRPr="00754DB3" w:rsidRDefault="00C638E3" w:rsidP="00C638E3">
      <w:pPr>
        <w:tabs>
          <w:tab w:val="left" w:pos="4680"/>
          <w:tab w:val="left" w:pos="5220"/>
        </w:tabs>
        <w:autoSpaceDE w:val="0"/>
        <w:autoSpaceDN w:val="0"/>
        <w:adjustRightInd w:val="0"/>
      </w:pPr>
      <w:r w:rsidRPr="00754DB3">
        <w:t>Approval of Revised Tariffs</w:t>
      </w:r>
      <w:r w:rsidRPr="00754DB3">
        <w:tab/>
        <w:t>)</w:t>
      </w:r>
    </w:p>
    <w:p w14:paraId="6F99D354" w14:textId="77777777" w:rsidR="00C638E3" w:rsidRPr="00754DB3" w:rsidRDefault="00C638E3" w:rsidP="00C638E3">
      <w:pPr>
        <w:tabs>
          <w:tab w:val="left" w:pos="4680"/>
          <w:tab w:val="left" w:pos="5220"/>
        </w:tabs>
        <w:autoSpaceDE w:val="0"/>
        <w:autoSpaceDN w:val="0"/>
        <w:adjustRightInd w:val="0"/>
      </w:pPr>
    </w:p>
    <w:p w14:paraId="7B4D2E81" w14:textId="77777777" w:rsidR="00C638E3" w:rsidRPr="00754DB3" w:rsidRDefault="00C638E3" w:rsidP="00C638E3">
      <w:pPr>
        <w:tabs>
          <w:tab w:val="left" w:pos="4680"/>
          <w:tab w:val="left" w:pos="5220"/>
        </w:tabs>
        <w:autoSpaceDE w:val="0"/>
        <w:autoSpaceDN w:val="0"/>
        <w:adjustRightInd w:val="0"/>
      </w:pPr>
      <w:r w:rsidRPr="00754DB3">
        <w:t>In the Matter of the Application of</w:t>
      </w:r>
      <w:r w:rsidRPr="00754DB3">
        <w:tab/>
        <w:t>)</w:t>
      </w:r>
    </w:p>
    <w:p w14:paraId="5AFE07C4" w14:textId="77777777" w:rsidR="00C638E3" w:rsidRPr="00754DB3" w:rsidRDefault="00C638E3" w:rsidP="00C638E3">
      <w:pPr>
        <w:tabs>
          <w:tab w:val="left" w:pos="4680"/>
          <w:tab w:val="left" w:pos="5220"/>
        </w:tabs>
        <w:autoSpaceDE w:val="0"/>
        <w:autoSpaceDN w:val="0"/>
        <w:adjustRightInd w:val="0"/>
      </w:pPr>
      <w:r w:rsidRPr="00754DB3">
        <w:t>The Dayton Power and Light Company for</w:t>
      </w:r>
      <w:r w:rsidRPr="00754DB3">
        <w:tab/>
        <w:t>)</w:t>
      </w:r>
      <w:r w:rsidRPr="00754DB3">
        <w:tab/>
        <w:t>Case No. 16-397-EL-AAM</w:t>
      </w:r>
    </w:p>
    <w:p w14:paraId="5E7CE29D" w14:textId="77777777" w:rsidR="00C638E3" w:rsidRPr="00754DB3" w:rsidRDefault="00C638E3" w:rsidP="00C638E3">
      <w:pPr>
        <w:tabs>
          <w:tab w:val="left" w:pos="4680"/>
          <w:tab w:val="left" w:pos="5220"/>
        </w:tabs>
        <w:autoSpaceDE w:val="0"/>
        <w:autoSpaceDN w:val="0"/>
        <w:adjustRightInd w:val="0"/>
      </w:pPr>
      <w:r w:rsidRPr="00754DB3">
        <w:t>Approval of Certain Accounting Authority</w:t>
      </w:r>
      <w:r w:rsidRPr="00754DB3">
        <w:tab/>
        <w:t>)</w:t>
      </w:r>
    </w:p>
    <w:p w14:paraId="780E76E6" w14:textId="77777777" w:rsidR="00C638E3" w:rsidRPr="00754DB3" w:rsidRDefault="00C638E3" w:rsidP="00C638E3">
      <w:pPr>
        <w:tabs>
          <w:tab w:val="left" w:pos="4680"/>
          <w:tab w:val="left" w:pos="5220"/>
        </w:tabs>
        <w:autoSpaceDE w:val="0"/>
        <w:autoSpaceDN w:val="0"/>
        <w:adjustRightInd w:val="0"/>
      </w:pPr>
      <w:r w:rsidRPr="00754DB3">
        <w:t>Pursuant to Ohio Rev. Code § 4905.13</w:t>
      </w:r>
      <w:r w:rsidRPr="00754DB3">
        <w:tab/>
        <w:t>)</w:t>
      </w:r>
    </w:p>
    <w:p w14:paraId="5DF45BE6" w14:textId="77777777" w:rsidR="00C638E3" w:rsidRDefault="00C638E3" w:rsidP="00C638E3">
      <w:pPr>
        <w:tabs>
          <w:tab w:val="left" w:pos="4680"/>
          <w:tab w:val="left" w:pos="5220"/>
        </w:tabs>
        <w:autoSpaceDE w:val="0"/>
        <w:autoSpaceDN w:val="0"/>
        <w:adjustRightInd w:val="0"/>
      </w:pPr>
    </w:p>
    <w:p w14:paraId="529092E9" w14:textId="77777777" w:rsidR="00C638E3" w:rsidRPr="003046A9" w:rsidRDefault="00C638E3" w:rsidP="00C638E3">
      <w:pPr>
        <w:pBdr>
          <w:bottom w:val="single" w:sz="12" w:space="1" w:color="auto"/>
        </w:pBdr>
        <w:tabs>
          <w:tab w:val="left" w:pos="5040"/>
        </w:tabs>
        <w:rPr>
          <w:rFonts w:eastAsia="Times New Roman"/>
        </w:rPr>
      </w:pPr>
    </w:p>
    <w:p w14:paraId="0F60C38C" w14:textId="77777777" w:rsidR="00C638E3" w:rsidRPr="000F2E9D" w:rsidRDefault="00C638E3" w:rsidP="00C638E3">
      <w:pPr>
        <w:jc w:val="center"/>
        <w:rPr>
          <w:b/>
        </w:rPr>
      </w:pPr>
    </w:p>
    <w:p w14:paraId="0E3A8F9B" w14:textId="77777777" w:rsidR="00C638E3" w:rsidRDefault="00C638E3" w:rsidP="00C638E3">
      <w:pPr>
        <w:jc w:val="center"/>
        <w:rPr>
          <w:rFonts w:ascii="Arial Bold" w:hAnsi="Arial Bold"/>
          <w:b/>
          <w:smallCaps/>
          <w:sz w:val="28"/>
          <w:szCs w:val="28"/>
        </w:rPr>
      </w:pPr>
      <w:r>
        <w:rPr>
          <w:rFonts w:ascii="Arial Bold" w:hAnsi="Arial Bold"/>
          <w:b/>
          <w:smallCaps/>
          <w:sz w:val="28"/>
          <w:szCs w:val="28"/>
        </w:rPr>
        <w:t>Reply to The Dayton Power and Light Company’s</w:t>
      </w:r>
    </w:p>
    <w:p w14:paraId="77A3D431" w14:textId="77777777" w:rsidR="00C638E3" w:rsidRDefault="00C638E3" w:rsidP="00C638E3">
      <w:pPr>
        <w:jc w:val="center"/>
        <w:rPr>
          <w:rFonts w:ascii="Arial Bold" w:hAnsi="Arial Bold"/>
          <w:b/>
          <w:smallCaps/>
          <w:sz w:val="28"/>
          <w:szCs w:val="28"/>
        </w:rPr>
      </w:pPr>
      <w:r>
        <w:rPr>
          <w:rFonts w:ascii="Arial Bold" w:hAnsi="Arial Bold"/>
          <w:b/>
          <w:smallCaps/>
          <w:sz w:val="28"/>
          <w:szCs w:val="28"/>
        </w:rPr>
        <w:t>Memorandum in Opposition to Industrial Energy Users-Ohio’s</w:t>
      </w:r>
    </w:p>
    <w:p w14:paraId="6310666B" w14:textId="77777777" w:rsidR="00C638E3" w:rsidRDefault="00C638E3" w:rsidP="00C638E3">
      <w:pPr>
        <w:jc w:val="center"/>
        <w:rPr>
          <w:rFonts w:ascii="Arial Bold" w:hAnsi="Arial Bold"/>
          <w:b/>
          <w:smallCaps/>
          <w:sz w:val="28"/>
          <w:szCs w:val="28"/>
        </w:rPr>
      </w:pPr>
      <w:r>
        <w:rPr>
          <w:rFonts w:ascii="Arial Bold" w:hAnsi="Arial Bold"/>
          <w:b/>
          <w:smallCaps/>
          <w:sz w:val="28"/>
          <w:szCs w:val="28"/>
        </w:rPr>
        <w:t>Motion to Dismiss the Distribution Modernization Rider</w:t>
      </w:r>
    </w:p>
    <w:p w14:paraId="0735F236" w14:textId="77777777" w:rsidR="00C638E3" w:rsidRPr="008810B2" w:rsidRDefault="00C638E3" w:rsidP="00C638E3">
      <w:pPr>
        <w:pBdr>
          <w:bottom w:val="single" w:sz="12" w:space="1" w:color="auto"/>
        </w:pBdr>
        <w:jc w:val="center"/>
        <w:rPr>
          <w:rFonts w:ascii="Arial Bold" w:hAnsi="Arial Bold"/>
          <w:b/>
          <w:smallCaps/>
        </w:rPr>
      </w:pPr>
    </w:p>
    <w:p w14:paraId="3B99C534" w14:textId="77777777" w:rsidR="00C638E3" w:rsidRDefault="00C638E3" w:rsidP="00C638E3">
      <w:pPr>
        <w:jc w:val="center"/>
        <w:rPr>
          <w:rFonts w:eastAsia="Times New Roman"/>
          <w:b/>
          <w:smallCaps/>
          <w:u w:val="single"/>
        </w:rPr>
      </w:pPr>
    </w:p>
    <w:p w14:paraId="75704959" w14:textId="6DE7D7D8" w:rsidR="002B4C7D" w:rsidRDefault="002B4C7D" w:rsidP="00C638E3"/>
    <w:p w14:paraId="6E796908" w14:textId="77777777" w:rsidR="00F47B4E" w:rsidRPr="00F47B4E" w:rsidRDefault="00F47B4E" w:rsidP="00990B4D">
      <w:pPr>
        <w:pStyle w:val="Heading1"/>
      </w:pPr>
      <w:bookmarkStart w:id="0" w:name="_Toc470166157"/>
      <w:r w:rsidRPr="00F47B4E">
        <w:t>Introduction</w:t>
      </w:r>
      <w:bookmarkEnd w:id="0"/>
    </w:p>
    <w:p w14:paraId="42BF48D3" w14:textId="3CEA9B21" w:rsidR="00346C36" w:rsidRDefault="000318AB" w:rsidP="00C638E3">
      <w:pPr>
        <w:spacing w:line="480" w:lineRule="auto"/>
      </w:pPr>
      <w:r>
        <w:tab/>
      </w:r>
      <w:r w:rsidR="00115F2F">
        <w:t xml:space="preserve">In its Motion to Dismiss </w:t>
      </w:r>
      <w:r w:rsidR="00AA509C">
        <w:t>the</w:t>
      </w:r>
      <w:r w:rsidR="00187F3D">
        <w:t xml:space="preserve"> request </w:t>
      </w:r>
      <w:r w:rsidR="00AA509C">
        <w:t xml:space="preserve">of </w:t>
      </w:r>
      <w:r w:rsidR="005F109D">
        <w:t xml:space="preserve">The </w:t>
      </w:r>
      <w:r w:rsidR="00AA509C">
        <w:t>Dayton Power and Light Company (“DP&amp;L”)</w:t>
      </w:r>
      <w:r w:rsidR="00642220">
        <w:t xml:space="preserve"> </w:t>
      </w:r>
      <w:r w:rsidR="00187F3D">
        <w:t>for authorization of the D</w:t>
      </w:r>
      <w:r w:rsidR="00D944E3">
        <w:t xml:space="preserve">istribution </w:t>
      </w:r>
      <w:r w:rsidR="00187F3D">
        <w:t>M</w:t>
      </w:r>
      <w:r w:rsidR="00D944E3">
        <w:t xml:space="preserve">odernization </w:t>
      </w:r>
      <w:r w:rsidR="00187F3D">
        <w:t>R</w:t>
      </w:r>
      <w:r w:rsidR="00D944E3">
        <w:t>ider (“DMR”)</w:t>
      </w:r>
      <w:r w:rsidR="00115F2F">
        <w:t xml:space="preserve">, </w:t>
      </w:r>
      <w:r w:rsidR="00AA509C">
        <w:t>Industrial Energy Users-Ohio (“</w:t>
      </w:r>
      <w:r>
        <w:t>IEU-Ohio</w:t>
      </w:r>
      <w:r w:rsidR="00AA509C">
        <w:t>”)</w:t>
      </w:r>
      <w:r>
        <w:t xml:space="preserve"> </w:t>
      </w:r>
      <w:r w:rsidR="00115F2F">
        <w:t xml:space="preserve">demonstrated </w:t>
      </w:r>
      <w:r w:rsidR="00AA509C">
        <w:t xml:space="preserve">that </w:t>
      </w:r>
      <w:r>
        <w:t xml:space="preserve">DP&amp;L’s request </w:t>
      </w:r>
      <w:r w:rsidR="00010107">
        <w:t>would violate</w:t>
      </w:r>
      <w:r>
        <w:t xml:space="preserve"> statutory requirements for corporate separation, </w:t>
      </w:r>
      <w:r w:rsidR="00705B68">
        <w:t>cannot be lawfully</w:t>
      </w:r>
      <w:r>
        <w:t xml:space="preserve"> authorized as a term of an </w:t>
      </w:r>
      <w:r w:rsidR="00705B68">
        <w:t>electric security plan (“</w:t>
      </w:r>
      <w:r>
        <w:t>ESP</w:t>
      </w:r>
      <w:r w:rsidR="00705B68">
        <w:t>”)</w:t>
      </w:r>
      <w:r>
        <w:t xml:space="preserve"> under R.C. 4928.143(B),</w:t>
      </w:r>
      <w:r w:rsidR="00010107">
        <w:t xml:space="preserve"> would violate the prohibition of anticompetitive subsidies under R.C.</w:t>
      </w:r>
      <w:r w:rsidR="00115F2F">
        <w:t xml:space="preserve"> 4928.02(H), and would violate the prohibition of authorization of transition revenue or its equivalent </w:t>
      </w:r>
      <w:r w:rsidR="00705B68">
        <w:t>under</w:t>
      </w:r>
      <w:r w:rsidR="00115F2F">
        <w:t xml:space="preserve"> R.C. 4928.38.</w:t>
      </w:r>
      <w:r w:rsidR="00B631D3">
        <w:rPr>
          <w:rStyle w:val="FootnoteReference"/>
        </w:rPr>
        <w:footnoteReference w:id="1"/>
      </w:r>
      <w:r w:rsidR="00115F2F">
        <w:t xml:space="preserve">  </w:t>
      </w:r>
    </w:p>
    <w:p w14:paraId="3F59964D" w14:textId="37D349B4" w:rsidR="008E3BF4" w:rsidRDefault="0082271E" w:rsidP="00C638E3">
      <w:pPr>
        <w:spacing w:line="480" w:lineRule="auto"/>
      </w:pPr>
      <w:r>
        <w:lastRenderedPageBreak/>
        <w:tab/>
      </w:r>
      <w:r w:rsidR="00D06955">
        <w:t xml:space="preserve">DP&amp;L responds that the </w:t>
      </w:r>
      <w:r w:rsidR="005F109D">
        <w:t>Public Utilities Commission of Ohio (“</w:t>
      </w:r>
      <w:r w:rsidR="00D06955">
        <w:t>Commission</w:t>
      </w:r>
      <w:r w:rsidR="005F109D">
        <w:t>”)</w:t>
      </w:r>
      <w:r w:rsidR="00D06955">
        <w:t xml:space="preserve"> is without authority to grant a motion to dismiss in </w:t>
      </w:r>
      <w:r w:rsidR="005F109D">
        <w:t xml:space="preserve">a </w:t>
      </w:r>
      <w:r w:rsidR="00D06955">
        <w:t xml:space="preserve">case in which DP&amp;L is seeking authorization of an </w:t>
      </w:r>
      <w:r w:rsidR="005F109D">
        <w:t>ESP</w:t>
      </w:r>
      <w:r w:rsidR="00D06955">
        <w:t xml:space="preserve">.  Second, it offers a defense of the </w:t>
      </w:r>
      <w:r w:rsidR="003F541E">
        <w:t>DMR.</w:t>
      </w:r>
      <w:r w:rsidR="00B631D3">
        <w:rPr>
          <w:rStyle w:val="FootnoteReference"/>
        </w:rPr>
        <w:footnoteReference w:id="2"/>
      </w:r>
      <w:r w:rsidR="00346C36">
        <w:t xml:space="preserve">  </w:t>
      </w:r>
    </w:p>
    <w:p w14:paraId="6AE7E508" w14:textId="25099E8C" w:rsidR="003F541E" w:rsidRDefault="003F541E" w:rsidP="00C638E3">
      <w:pPr>
        <w:spacing w:line="480" w:lineRule="auto"/>
      </w:pPr>
      <w:r>
        <w:tab/>
        <w:t xml:space="preserve">DP&amp;L’s first </w:t>
      </w:r>
      <w:proofErr w:type="gramStart"/>
      <w:r>
        <w:t>claim, that</w:t>
      </w:r>
      <w:proofErr w:type="gramEnd"/>
      <w:r>
        <w:t xml:space="preserve"> the Commission is without authority to dismiss provisions of the ESP application</w:t>
      </w:r>
      <w:r w:rsidR="002D35D7">
        <w:t>,</w:t>
      </w:r>
      <w:r>
        <w:t xml:space="preserve"> is wholly without merit.  The Commission </w:t>
      </w:r>
      <w:r w:rsidR="007A48DB">
        <w:t xml:space="preserve">is charged by R.C. 4901.13 to regulate the mode and manner of all hearings.  Under its statutory authority, the Commission has dismissed applications that failed to state grounds for relief as a means </w:t>
      </w:r>
      <w:r w:rsidR="00624527">
        <w:t xml:space="preserve">of conserving not only its resources but those of the interested parties from the waste associated with applications for relief that the Commission cannot lawfully address.  In this regard, the Commission </w:t>
      </w:r>
      <w:r w:rsidR="00D926A3">
        <w:t xml:space="preserve">previously </w:t>
      </w:r>
      <w:r w:rsidR="00624527">
        <w:t xml:space="preserve">has dismissed </w:t>
      </w:r>
      <w:r w:rsidR="00D926A3">
        <w:t xml:space="preserve">an </w:t>
      </w:r>
      <w:r w:rsidR="00624527">
        <w:t xml:space="preserve">application for a </w:t>
      </w:r>
      <w:r w:rsidR="00AF0FC4">
        <w:t xml:space="preserve">standard service offer </w:t>
      </w:r>
      <w:r w:rsidR="005F109D">
        <w:t xml:space="preserve">(“SSO”) </w:t>
      </w:r>
      <w:r w:rsidR="00AF0FC4">
        <w:t>in a case in which the applicant did state adequate grounds for relief</w:t>
      </w:r>
      <w:r w:rsidR="0061309F">
        <w:t>.</w:t>
      </w:r>
      <w:r w:rsidR="00AF0FC4">
        <w:t xml:space="preserve">  </w:t>
      </w:r>
      <w:r w:rsidR="00BD35C8">
        <w:t xml:space="preserve">  </w:t>
      </w:r>
    </w:p>
    <w:p w14:paraId="5D4A54AC" w14:textId="14AAC665" w:rsidR="00360064" w:rsidRDefault="00360064" w:rsidP="00C638E3">
      <w:pPr>
        <w:spacing w:line="480" w:lineRule="auto"/>
      </w:pPr>
      <w:r>
        <w:tab/>
      </w:r>
      <w:r w:rsidR="00D92FEC">
        <w:t xml:space="preserve">Because </w:t>
      </w:r>
      <w:r w:rsidR="005F109D">
        <w:t xml:space="preserve">the </w:t>
      </w:r>
      <w:r w:rsidR="00D92FEC">
        <w:t>DMR violates both state law and Commission rules, n</w:t>
      </w:r>
      <w:r>
        <w:t xml:space="preserve">o hearing is required to address </w:t>
      </w:r>
      <w:r w:rsidR="00D92FEC">
        <w:t>DP&amp;L’s request for the DMR</w:t>
      </w:r>
      <w:r>
        <w:t xml:space="preserve">.  </w:t>
      </w:r>
      <w:r w:rsidR="00BB47BC">
        <w:t xml:space="preserve">Contrary to DP&amp;L’s assertions that there are factual issues concerning the DMR that the Commission must decide, </w:t>
      </w:r>
      <w:r w:rsidR="002D35D7">
        <w:t xml:space="preserve">DP&amp;L’s amended application and its testimony in support of the DMR demonstrate that </w:t>
      </w:r>
      <w:r w:rsidR="00A11DA0">
        <w:t xml:space="preserve">the DMR cannot be lawfully authorized as a term of an ESP.  Accordingly, </w:t>
      </w:r>
      <w:r w:rsidR="00BB47BC">
        <w:t xml:space="preserve">the </w:t>
      </w:r>
      <w:r w:rsidR="002D35D7">
        <w:t>Commission</w:t>
      </w:r>
      <w:r w:rsidR="00BB47BC">
        <w:t xml:space="preserve"> should dismiss the request for the DMR</w:t>
      </w:r>
      <w:r w:rsidR="00245F4A">
        <w:t>.</w:t>
      </w:r>
      <w:r>
        <w:t xml:space="preserve"> </w:t>
      </w:r>
    </w:p>
    <w:p w14:paraId="01637D42" w14:textId="0679B7A0" w:rsidR="00D06955" w:rsidRPr="00F47B4E" w:rsidRDefault="00245F4A" w:rsidP="00E820AA">
      <w:pPr>
        <w:pStyle w:val="Heading1"/>
      </w:pPr>
      <w:bookmarkStart w:id="1" w:name="_Toc470166158"/>
      <w:r w:rsidRPr="00F47B4E">
        <w:t>The Commission is authorized to dismiss</w:t>
      </w:r>
      <w:r w:rsidR="00701C75" w:rsidRPr="00F47B4E">
        <w:t xml:space="preserve"> an applicati</w:t>
      </w:r>
      <w:r w:rsidR="00A1160E">
        <w:t>on for a</w:t>
      </w:r>
      <w:r w:rsidR="005F109D">
        <w:t>N</w:t>
      </w:r>
      <w:r w:rsidR="00A1160E">
        <w:t xml:space="preserve"> </w:t>
      </w:r>
      <w:r w:rsidR="005F109D">
        <w:t xml:space="preserve">SSO </w:t>
      </w:r>
      <w:r w:rsidR="00701C75" w:rsidRPr="00F47B4E">
        <w:t>that</w:t>
      </w:r>
      <w:r w:rsidR="008C7298" w:rsidRPr="00F47B4E">
        <w:t>, as a matter of law,</w:t>
      </w:r>
      <w:r w:rsidR="00701C75" w:rsidRPr="00F47B4E">
        <w:t xml:space="preserve"> </w:t>
      </w:r>
      <w:r w:rsidR="008C7298" w:rsidRPr="00F47B4E">
        <w:t xml:space="preserve">cannot </w:t>
      </w:r>
      <w:r w:rsidR="00701C75" w:rsidRPr="00F47B4E">
        <w:t>be authorized by it</w:t>
      </w:r>
      <w:bookmarkEnd w:id="1"/>
    </w:p>
    <w:p w14:paraId="17B64FC0" w14:textId="49983837" w:rsidR="00187F3D" w:rsidRDefault="00187F3D" w:rsidP="00C638E3">
      <w:pPr>
        <w:spacing w:line="480" w:lineRule="auto"/>
      </w:pPr>
      <w:r>
        <w:tab/>
      </w:r>
      <w:r w:rsidR="00071EA4">
        <w:t>In its Motion to D</w:t>
      </w:r>
      <w:r w:rsidR="008C7298">
        <w:t>ismiss, IEU-Ohio stated that i</w:t>
      </w:r>
      <w:r w:rsidR="00B45650">
        <w:t xml:space="preserve">t was seeking dismissal of the </w:t>
      </w:r>
      <w:r w:rsidR="008C7298">
        <w:t xml:space="preserve">request for authorization of the DMR because DP&amp;L had failed to state a claim on which </w:t>
      </w:r>
      <w:r w:rsidR="008C7298">
        <w:lastRenderedPageBreak/>
        <w:t>the Commission could grant relief.</w:t>
      </w:r>
      <w:r w:rsidR="00E820AA">
        <w:rPr>
          <w:rStyle w:val="FootnoteReference"/>
        </w:rPr>
        <w:footnoteReference w:id="3"/>
      </w:r>
      <w:r w:rsidR="008C7298">
        <w:t xml:space="preserve">  </w:t>
      </w:r>
      <w:r w:rsidR="00A11DA0">
        <w:t xml:space="preserve">In its </w:t>
      </w:r>
      <w:r w:rsidR="008A7E56">
        <w:t>memorandum opposing IEU-Ohio’s M</w:t>
      </w:r>
      <w:r w:rsidR="00A11DA0">
        <w:t>otio</w:t>
      </w:r>
      <w:r w:rsidR="008A7E56">
        <w:t>n to D</w:t>
      </w:r>
      <w:r w:rsidR="00B10D3A">
        <w:t>ismiss, DP&amp;L asserts that motions to dismiss are not pe</w:t>
      </w:r>
      <w:r w:rsidR="00B45650">
        <w:t>r</w:t>
      </w:r>
      <w:r w:rsidR="00B10D3A">
        <w:t xml:space="preserve">mitted in </w:t>
      </w:r>
      <w:r w:rsidR="005F109D">
        <w:t xml:space="preserve">SSO </w:t>
      </w:r>
      <w:r w:rsidR="00B10D3A">
        <w:t>proceedings.</w:t>
      </w:r>
      <w:r w:rsidR="00B631D3">
        <w:rPr>
          <w:rStyle w:val="FootnoteReference"/>
        </w:rPr>
        <w:footnoteReference w:id="4"/>
      </w:r>
      <w:r w:rsidR="00B10D3A">
        <w:t xml:space="preserve">  </w:t>
      </w:r>
      <w:r w:rsidR="00254DA8">
        <w:t>In support of this extraordinary claim, DP&amp;L argues that R.C. 4903.</w:t>
      </w:r>
      <w:r w:rsidR="003D7884">
        <w:t xml:space="preserve">082 </w:t>
      </w:r>
      <w:r w:rsidR="000B7FE9">
        <w:t xml:space="preserve">does not authorize the Commission to apply </w:t>
      </w:r>
      <w:r w:rsidR="006C0414">
        <w:t>Civil Rule 12 standards to its proceedings and “dismissing any portion of the Amended Application would violate DP&amp;L’s r</w:t>
      </w:r>
      <w:r w:rsidR="00B45650">
        <w:t>ight to have its proposal heard</w:t>
      </w:r>
      <w:r w:rsidR="005F109D">
        <w:t>”</w:t>
      </w:r>
      <w:r w:rsidR="00B45650">
        <w:t xml:space="preserve"> under R.C. 4928</w:t>
      </w:r>
      <w:r w:rsidR="005F109D">
        <w:t>.</w:t>
      </w:r>
      <w:r w:rsidR="00B45650">
        <w:t>141(B)</w:t>
      </w:r>
      <w:r w:rsidR="00544824">
        <w:t xml:space="preserve"> and the Commission</w:t>
      </w:r>
      <w:r w:rsidR="005F109D">
        <w:t>’s</w:t>
      </w:r>
      <w:r w:rsidR="00544824">
        <w:t xml:space="preserve"> right to modify an application</w:t>
      </w:r>
      <w:r w:rsidR="00B631D3">
        <w:t>.</w:t>
      </w:r>
      <w:r w:rsidR="00B631D3">
        <w:rPr>
          <w:rStyle w:val="FootnoteReference"/>
        </w:rPr>
        <w:footnoteReference w:id="5"/>
      </w:r>
      <w:r w:rsidR="00544824">
        <w:t xml:space="preserve">  </w:t>
      </w:r>
      <w:r w:rsidR="00B17CAD">
        <w:t>These claims are unsupported by Ohio law and long-standing Commission precedent.</w:t>
      </w:r>
    </w:p>
    <w:p w14:paraId="481E3F08" w14:textId="77777777" w:rsidR="004C1B2B" w:rsidRDefault="007F140B" w:rsidP="00C638E3">
      <w:pPr>
        <w:spacing w:line="480" w:lineRule="auto"/>
      </w:pPr>
      <w:r>
        <w:tab/>
      </w:r>
      <w:r w:rsidR="008A7E56">
        <w:t xml:space="preserve">In its Memo Contra, </w:t>
      </w:r>
      <w:r w:rsidR="0064466C">
        <w:t xml:space="preserve">DP&amp;L initially provides a technical argument that the Commission’s authority to rely on </w:t>
      </w:r>
      <w:r w:rsidR="00FB7B8B">
        <w:t>Civil</w:t>
      </w:r>
      <w:r w:rsidR="0064466C">
        <w:t xml:space="preserve"> Rule standards to govern its management of its docket is somehow limited to only discovery based on R.C. 4903.082.  As provided by that section, the Commission may look generally to the Rules of Civil Procedure.  While </w:t>
      </w:r>
      <w:r w:rsidR="00FB7B8B">
        <w:t>other parts of that</w:t>
      </w:r>
      <w:r w:rsidR="0064466C">
        <w:t xml:space="preserve"> section </w:t>
      </w:r>
      <w:r w:rsidR="00FB7B8B">
        <w:t>address</w:t>
      </w:r>
      <w:r w:rsidR="0064466C">
        <w:t xml:space="preserve"> discovery, the general statement concerning the Commission’s </w:t>
      </w:r>
      <w:r w:rsidR="003063D8">
        <w:t>discretion</w:t>
      </w:r>
      <w:r w:rsidR="0064466C">
        <w:t xml:space="preserve"> to consider the Civil Rules is not limited to discovery.</w:t>
      </w:r>
      <w:r w:rsidR="003063D8">
        <w:t xml:space="preserve">  In this regard, the statute should be given its plain meaning.  </w:t>
      </w:r>
    </w:p>
    <w:p w14:paraId="4B64FE48" w14:textId="581272F4" w:rsidR="00DE7170" w:rsidRDefault="003063D8" w:rsidP="00E820AA">
      <w:pPr>
        <w:spacing w:line="480" w:lineRule="auto"/>
        <w:ind w:firstLine="720"/>
      </w:pPr>
      <w:r>
        <w:t>DP&amp;L’s argument also ignores that t</w:t>
      </w:r>
      <w:r w:rsidR="004C1B2B">
        <w:t xml:space="preserve">he General Assembly has afforded the Commission broad authority to manage its docket.  Under R.C. 4901.13, </w:t>
      </w:r>
      <w:r w:rsidR="007F140B" w:rsidRPr="007F140B">
        <w:t xml:space="preserve">the "commission may adopt and publish rules to govern its proceedings and to regulate the mode and manner of all </w:t>
      </w:r>
      <w:r w:rsidR="004232B5">
        <w:t xml:space="preserve">… hearings </w:t>
      </w:r>
      <w:r w:rsidR="007F140B" w:rsidRPr="007F140B">
        <w:t>relating to parties before it."</w:t>
      </w:r>
      <w:r w:rsidR="007F140B">
        <w:t xml:space="preserve">  </w:t>
      </w:r>
      <w:r w:rsidR="007F140B" w:rsidRPr="007F140B">
        <w:t>"Under R.C. 4901.13 the commission has broad discretion in the conduct of its hearings."</w:t>
      </w:r>
      <w:r w:rsidR="00B631D3">
        <w:rPr>
          <w:rStyle w:val="FootnoteReference"/>
        </w:rPr>
        <w:footnoteReference w:id="6"/>
      </w:r>
      <w:r w:rsidR="007F140B" w:rsidRPr="007F140B">
        <w:t xml:space="preserve"> </w:t>
      </w:r>
      <w:r w:rsidR="00176AB8">
        <w:t xml:space="preserve"> </w:t>
      </w:r>
      <w:r w:rsidR="00C16B96">
        <w:t xml:space="preserve">  </w:t>
      </w:r>
      <w:r w:rsidR="004232B5">
        <w:t xml:space="preserve">Further, </w:t>
      </w:r>
      <w:r w:rsidR="007F140B" w:rsidRPr="007F140B">
        <w:t>"</w:t>
      </w:r>
      <w:r w:rsidR="004232B5">
        <w:t>[</w:t>
      </w:r>
      <w:proofErr w:type="spellStart"/>
      <w:r w:rsidR="004232B5">
        <w:t>i</w:t>
      </w:r>
      <w:proofErr w:type="spellEnd"/>
      <w:r w:rsidR="004232B5">
        <w:t>]</w:t>
      </w:r>
      <w:r w:rsidR="007F140B" w:rsidRPr="007F140B">
        <w:t xml:space="preserve">t is well-settled that pursuant to R.C. 4901.13, the commission has the discretion to decide how, </w:t>
      </w:r>
      <w:r w:rsidR="007F140B" w:rsidRPr="007F140B">
        <w:lastRenderedPageBreak/>
        <w:t>in light of its internal organization and</w:t>
      </w:r>
      <w:bookmarkStart w:id="2" w:name="_GoBack"/>
      <w:bookmarkEnd w:id="2"/>
      <w:r w:rsidR="007F140B" w:rsidRPr="007F140B">
        <w:t xml:space="preserve"> docket considerations, it may best proceed to manage and expedite the orderly flow of its business, avoid undue delay and eliminate unnecessary duplication of effort.</w:t>
      </w:r>
      <w:r w:rsidR="009428FF">
        <w:t>”</w:t>
      </w:r>
      <w:r w:rsidR="00B631D3">
        <w:rPr>
          <w:rStyle w:val="FootnoteReference"/>
        </w:rPr>
        <w:footnoteReference w:id="7"/>
      </w:r>
      <w:r w:rsidR="007F140B" w:rsidRPr="007F140B">
        <w:t xml:space="preserve">  </w:t>
      </w:r>
    </w:p>
    <w:p w14:paraId="7C7BEAF7" w14:textId="77777777" w:rsidR="0064466C" w:rsidRDefault="00B17CAD" w:rsidP="00C638E3">
      <w:pPr>
        <w:spacing w:line="480" w:lineRule="auto"/>
      </w:pPr>
      <w:r>
        <w:tab/>
      </w:r>
      <w:r w:rsidR="004232B5">
        <w:t xml:space="preserve">In practice, the Commission has frequently granted motions to dismiss </w:t>
      </w:r>
      <w:r w:rsidR="00DD1E8B">
        <w:t xml:space="preserve">without hearing </w:t>
      </w:r>
      <w:r w:rsidR="004232B5">
        <w:t xml:space="preserve">when </w:t>
      </w:r>
      <w:r w:rsidR="00D03DCC">
        <w:t>an applicant has sought relief that the Commission could not lawfully authorize.</w:t>
      </w:r>
    </w:p>
    <w:p w14:paraId="38F20BA1" w14:textId="4116A080" w:rsidR="00AB414A" w:rsidRPr="00AB414A" w:rsidRDefault="0063199C" w:rsidP="00C638E3">
      <w:pPr>
        <w:spacing w:line="480" w:lineRule="auto"/>
      </w:pPr>
      <w:r>
        <w:tab/>
      </w:r>
      <w:r w:rsidR="00AB414A" w:rsidRPr="00AB414A">
        <w:t>In a case involving the Monongahela Power Company, the electric distribution utility (“EDU”) sought authorization of a</w:t>
      </w:r>
      <w:r w:rsidR="000E2C36">
        <w:t>n</w:t>
      </w:r>
      <w:r w:rsidR="00AB414A" w:rsidRPr="00AB414A">
        <w:t xml:space="preserve"> </w:t>
      </w:r>
      <w:r w:rsidR="000E2C36">
        <w:t xml:space="preserve">SSO </w:t>
      </w:r>
      <w:r w:rsidR="00AB414A" w:rsidRPr="00AB414A">
        <w:t>without demonstrating in its application that it had met the statutory requirements to terminate the market development period and implement an auction</w:t>
      </w:r>
      <w:r w:rsidR="000E2C36">
        <w:t>-</w:t>
      </w:r>
      <w:r w:rsidR="00AB414A" w:rsidRPr="00AB414A">
        <w:t xml:space="preserve">based </w:t>
      </w:r>
      <w:r w:rsidR="000E2C36">
        <w:t>SSO</w:t>
      </w:r>
      <w:r w:rsidR="00AB414A" w:rsidRPr="00AB414A">
        <w:t>.  On a motion to dismiss filed by IEU-Ohio based on the EDU’s failure to demonstrate that the statutory conditions were met, the Commission dismissed the application.</w:t>
      </w:r>
      <w:r w:rsidR="00B631D3">
        <w:rPr>
          <w:rStyle w:val="FootnoteReference"/>
        </w:rPr>
        <w:footnoteReference w:id="8"/>
      </w:r>
      <w:r w:rsidR="00AB414A" w:rsidRPr="00AB414A">
        <w:t xml:space="preserve">  </w:t>
      </w:r>
    </w:p>
    <w:p w14:paraId="38B4E9BE" w14:textId="7A593F55" w:rsidR="001908B0" w:rsidRDefault="001908B0" w:rsidP="00E820AA">
      <w:pPr>
        <w:spacing w:line="480" w:lineRule="auto"/>
        <w:ind w:firstLine="720"/>
      </w:pPr>
      <w:r>
        <w:t xml:space="preserve">Similarly, the Commission granted a motion to dismiss filed by several intervenors of an EDU’s application for inclusion of certain projects in its energy efficiency and peak demand reduction </w:t>
      </w:r>
      <w:r w:rsidR="000E2C36">
        <w:t xml:space="preserve">(“EE/PDR”) </w:t>
      </w:r>
      <w:r>
        <w:t>compliance plan because the application demonstrated that the projects did not meet statutory requirements.</w:t>
      </w:r>
      <w:r w:rsidR="00B631D3">
        <w:rPr>
          <w:rStyle w:val="FootnoteReference"/>
        </w:rPr>
        <w:footnoteReference w:id="9"/>
      </w:r>
      <w:r>
        <w:t xml:space="preserve">  </w:t>
      </w:r>
    </w:p>
    <w:p w14:paraId="0F77F817" w14:textId="4CDF8EC6" w:rsidR="001908B0" w:rsidRDefault="001908B0" w:rsidP="00C638E3">
      <w:pPr>
        <w:spacing w:line="480" w:lineRule="auto"/>
      </w:pPr>
      <w:r>
        <w:tab/>
        <w:t xml:space="preserve">In a 2011 case, the Commission granted a motion to dismiss a request by the Office of the Ohio Consumers’ Counsel </w:t>
      </w:r>
      <w:r w:rsidR="000E2C36">
        <w:t xml:space="preserve">(“OCC”) </w:t>
      </w:r>
      <w:r>
        <w:t xml:space="preserve">for a show cause order against AT&amp;T </w:t>
      </w:r>
      <w:r>
        <w:lastRenderedPageBreak/>
        <w:t>Ohio because an intervening change of law rendered the request for the show cause order moot.</w:t>
      </w:r>
      <w:r w:rsidR="00B631D3">
        <w:rPr>
          <w:rStyle w:val="FootnoteReference"/>
        </w:rPr>
        <w:footnoteReference w:id="10"/>
      </w:r>
      <w:r>
        <w:t xml:space="preserve">  </w:t>
      </w:r>
    </w:p>
    <w:p w14:paraId="08754A93" w14:textId="713D7306" w:rsidR="001908B0" w:rsidRDefault="001908B0" w:rsidP="00C638E3">
      <w:pPr>
        <w:spacing w:line="480" w:lineRule="auto"/>
      </w:pPr>
      <w:r>
        <w:tab/>
        <w:t>In a 2004 case, the Commission granted a motion to dismiss filed by a track owner of an application seeking an exemption of the requirement for school buses and carriers of hazardous materials from stopping at a railroad crossing.  The dismissal was granted after the Commission Staff submitted a letter demonstrating that the crossing did not meet the statutory requirements for an exemption.</w:t>
      </w:r>
      <w:r w:rsidR="00B631D3">
        <w:rPr>
          <w:rStyle w:val="FootnoteReference"/>
        </w:rPr>
        <w:footnoteReference w:id="11"/>
      </w:r>
      <w:r>
        <w:t xml:space="preserve">  </w:t>
      </w:r>
    </w:p>
    <w:p w14:paraId="16BA9011" w14:textId="0E41BA5C" w:rsidR="001908B0" w:rsidRDefault="001908B0" w:rsidP="00C638E3">
      <w:pPr>
        <w:spacing w:line="480" w:lineRule="auto"/>
      </w:pPr>
      <w:r>
        <w:tab/>
        <w:t>In a 1989 case, the Commission granted a motion to dismiss an application seeking a boundary change for a telephone exchange because the application failed to state sufficient facts to support a finding that service was inadequate as required by the applicable statutes.</w:t>
      </w:r>
      <w:r w:rsidR="00B631D3">
        <w:rPr>
          <w:rStyle w:val="FootnoteReference"/>
        </w:rPr>
        <w:footnoteReference w:id="12"/>
      </w:r>
      <w:r>
        <w:t xml:space="preserve">  </w:t>
      </w:r>
    </w:p>
    <w:p w14:paraId="0E35AB87" w14:textId="77777777" w:rsidR="001908B0" w:rsidRDefault="001908B0" w:rsidP="00C638E3">
      <w:pPr>
        <w:spacing w:line="480" w:lineRule="auto"/>
      </w:pPr>
      <w:r>
        <w:tab/>
        <w:t>This litany of cases demonstrates that the Commission has frequently and properly exercised its authority to dismiss an application without hearing when the application and supporting materials demonstrate that the Commission is without authority to grant the relief requested in the application.  DP&amp;L’s assertion that the Commission lacks that authority is simply wrong.</w:t>
      </w:r>
    </w:p>
    <w:p w14:paraId="3C021B3B" w14:textId="533BE0E9" w:rsidR="00083DAD" w:rsidRDefault="00083DAD" w:rsidP="00C638E3">
      <w:pPr>
        <w:spacing w:line="480" w:lineRule="auto"/>
      </w:pPr>
      <w:r>
        <w:tab/>
      </w:r>
      <w:r w:rsidR="00F360EF">
        <w:t>DP&amp;L’s assertion that it has a right to hearing because it is seeking authorization of a</w:t>
      </w:r>
      <w:r w:rsidR="000E2C36">
        <w:t>n</w:t>
      </w:r>
      <w:r w:rsidR="00F360EF">
        <w:t xml:space="preserve"> </w:t>
      </w:r>
      <w:r w:rsidR="000E2C36">
        <w:t xml:space="preserve">SSO </w:t>
      </w:r>
      <w:r w:rsidR="00F360EF">
        <w:t xml:space="preserve">is also without merit.  </w:t>
      </w:r>
      <w:r w:rsidR="00806F4D">
        <w:t xml:space="preserve">As noted above, the Commission can and has dismissed </w:t>
      </w:r>
      <w:r w:rsidR="00806F4D">
        <w:lastRenderedPageBreak/>
        <w:t>unlawful applications</w:t>
      </w:r>
      <w:r w:rsidR="00961C00">
        <w:t xml:space="preserve">, even in SSO cases.   The right to a hearing does not equate to the right </w:t>
      </w:r>
      <w:r w:rsidR="006A5821">
        <w:t>of an EDU to force a hearing on an application containing unlawful terms and conditions that the Commission cannot authorize.</w:t>
      </w:r>
    </w:p>
    <w:p w14:paraId="4565B1A3" w14:textId="69E04C5B" w:rsidR="00E820AA" w:rsidRDefault="00AD1CBF" w:rsidP="000B6412">
      <w:pPr>
        <w:spacing w:line="480" w:lineRule="auto"/>
        <w:rPr>
          <w:rFonts w:eastAsiaTheme="majorEastAsia" w:cs="Arial"/>
          <w:b/>
          <w:caps/>
          <w:szCs w:val="32"/>
          <w:u w:val="single"/>
        </w:rPr>
      </w:pPr>
      <w:r>
        <w:tab/>
        <w:t xml:space="preserve">As </w:t>
      </w:r>
      <w:r w:rsidR="00865126">
        <w:t>demonstrated</w:t>
      </w:r>
      <w:r>
        <w:t xml:space="preserve"> at len</w:t>
      </w:r>
      <w:r w:rsidR="008E504A">
        <w:t xml:space="preserve">gth in IEU-Ohio’s Motion to Dismiss, </w:t>
      </w:r>
      <w:r w:rsidR="00865126">
        <w:t>the request for</w:t>
      </w:r>
      <w:r w:rsidR="00173D41">
        <w:t xml:space="preserve"> the DMR cannot be lawfully authorized by the Commission</w:t>
      </w:r>
      <w:r w:rsidR="00262A8C">
        <w:t xml:space="preserve"> based on the allegations contained in the amended application and supporting testimony</w:t>
      </w:r>
      <w:r w:rsidR="00173D41">
        <w:t xml:space="preserve">. </w:t>
      </w:r>
      <w:r w:rsidR="009D4D89">
        <w:t xml:space="preserve"> </w:t>
      </w:r>
      <w:r w:rsidR="00262A8C">
        <w:t xml:space="preserve">Because the amended application and supporting testimony lead to only one conclusion, that the authorization of the DMR would be </w:t>
      </w:r>
      <w:r w:rsidR="009428FF">
        <w:t>unlawful</w:t>
      </w:r>
      <w:r w:rsidR="00F86C9F">
        <w:t xml:space="preserve">, the Commission is authorized to grant IEU-Ohio’s Motion to </w:t>
      </w:r>
      <w:proofErr w:type="gramStart"/>
      <w:r w:rsidR="00F86C9F">
        <w:t>Dismiss</w:t>
      </w:r>
      <w:proofErr w:type="gramEnd"/>
      <w:r w:rsidR="00F86C9F">
        <w:t xml:space="preserve"> the </w:t>
      </w:r>
      <w:r w:rsidR="009428FF">
        <w:t xml:space="preserve">request for the </w:t>
      </w:r>
      <w:r w:rsidR="00F86C9F">
        <w:t>DMR.</w:t>
      </w:r>
      <w:r w:rsidR="008D5F2C">
        <w:rPr>
          <w:rStyle w:val="FootnoteReference"/>
        </w:rPr>
        <w:footnoteReference w:id="13"/>
      </w:r>
      <w:r w:rsidR="00F86C9F">
        <w:t xml:space="preserve">  </w:t>
      </w:r>
    </w:p>
    <w:p w14:paraId="7AFD0D4A" w14:textId="6B23544B" w:rsidR="00466A06" w:rsidRPr="006E6508" w:rsidRDefault="00466A06" w:rsidP="00E820AA">
      <w:pPr>
        <w:pStyle w:val="Heading1"/>
      </w:pPr>
      <w:bookmarkStart w:id="3" w:name="_Toc470166159"/>
      <w:r w:rsidRPr="006E6508">
        <w:t>The Commission cannot lawfully authorize the DMR as a term of an ESP</w:t>
      </w:r>
      <w:bookmarkEnd w:id="3"/>
    </w:p>
    <w:p w14:paraId="58F3BC4E" w14:textId="77777777" w:rsidR="00AD6C12" w:rsidRPr="002105D6" w:rsidRDefault="00AD6C12" w:rsidP="00E820AA">
      <w:pPr>
        <w:pStyle w:val="Heading2"/>
      </w:pPr>
      <w:bookmarkStart w:id="4" w:name="_Toc470166160"/>
      <w:r w:rsidRPr="002105D6">
        <w:t>The DMR is not a term that the Commission may authorize under R.C. 4928.143(B</w:t>
      </w:r>
      <w:proofErr w:type="gramStart"/>
      <w:r w:rsidRPr="002105D6">
        <w:t>)(</w:t>
      </w:r>
      <w:proofErr w:type="gramEnd"/>
      <w:r w:rsidRPr="002105D6">
        <w:t>2)</w:t>
      </w:r>
      <w:bookmarkEnd w:id="4"/>
    </w:p>
    <w:p w14:paraId="198BCFE2" w14:textId="695CA5BC" w:rsidR="00F329FE" w:rsidRDefault="00180BCD" w:rsidP="00C638E3">
      <w:pPr>
        <w:spacing w:line="480" w:lineRule="auto"/>
      </w:pPr>
      <w:r>
        <w:tab/>
      </w:r>
      <w:r w:rsidR="00E726B3">
        <w:t>As the Supreme Court recently held, albeit in a slightly different context, the legality of a charge authorized under an ESP does not turn on the name the utility ascribes to the charge.</w:t>
      </w:r>
      <w:r w:rsidR="00E726B3">
        <w:rPr>
          <w:rStyle w:val="FootnoteReference"/>
        </w:rPr>
        <w:footnoteReference w:id="14"/>
      </w:r>
      <w:r w:rsidR="00E726B3">
        <w:t xml:space="preserve">  Rather, it is the true “nature” of the charge that determines its legality.</w:t>
      </w:r>
      <w:r w:rsidR="00E726B3">
        <w:rPr>
          <w:rStyle w:val="FootnoteReference"/>
        </w:rPr>
        <w:footnoteReference w:id="15"/>
      </w:r>
      <w:r w:rsidR="00E726B3">
        <w:t xml:space="preserve">  The true nature of the DMR has nothing to do with distribution modernization or any other utility service.  </w:t>
      </w:r>
      <w:r>
        <w:t xml:space="preserve">As demonstrated in IEU-Ohio’s </w:t>
      </w:r>
      <w:r w:rsidR="005622CF">
        <w:t>M</w:t>
      </w:r>
      <w:r>
        <w:t xml:space="preserve">otion to </w:t>
      </w:r>
      <w:r w:rsidR="005622CF">
        <w:t>D</w:t>
      </w:r>
      <w:r>
        <w:t>ismiss</w:t>
      </w:r>
      <w:r w:rsidR="00E820AA">
        <w:t>,</w:t>
      </w:r>
      <w:r>
        <w:t xml:space="preserve"> the DMR is not a term that may be lawfully authorized by the Commission under R.C. 4928.143.</w:t>
      </w:r>
      <w:r>
        <w:rPr>
          <w:rStyle w:val="FootnoteReference"/>
        </w:rPr>
        <w:footnoteReference w:id="16"/>
      </w:r>
      <w:r w:rsidR="00F329FE">
        <w:t xml:space="preserve">  </w:t>
      </w:r>
    </w:p>
    <w:p w14:paraId="23B2D8E3" w14:textId="168EE008" w:rsidR="00F329FE" w:rsidRDefault="00F329FE" w:rsidP="00C638E3">
      <w:pPr>
        <w:spacing w:line="480" w:lineRule="auto"/>
      </w:pPr>
      <w:r>
        <w:lastRenderedPageBreak/>
        <w:tab/>
      </w:r>
      <w:r w:rsidR="00E726B3">
        <w:t xml:space="preserve">In response, </w:t>
      </w:r>
      <w:r>
        <w:t xml:space="preserve">DP&amp;L </w:t>
      </w:r>
      <w:r w:rsidR="00C32980">
        <w:t xml:space="preserve">initially </w:t>
      </w:r>
      <w:r>
        <w:t>claims that the DMR meets the requirements under (B</w:t>
      </w:r>
      <w:proofErr w:type="gramStart"/>
      <w:r>
        <w:t>)(</w:t>
      </w:r>
      <w:proofErr w:type="gramEnd"/>
      <w:r>
        <w:t>2)(h) and (</w:t>
      </w:r>
      <w:proofErr w:type="spellStart"/>
      <w:r>
        <w:t>i</w:t>
      </w:r>
      <w:proofErr w:type="spellEnd"/>
      <w:r>
        <w:t>) based on the implementation of grid modernization initiatives.</w:t>
      </w:r>
      <w:r w:rsidR="00CC39E4">
        <w:rPr>
          <w:rStyle w:val="FootnoteReference"/>
        </w:rPr>
        <w:footnoteReference w:id="17"/>
      </w:r>
      <w:r>
        <w:t xml:space="preserve">  While DP&amp;L claims that without the DMR it will not have the access to debt or equity to invest in distribution modernization initiatives, it also does not plan to make any such investments with the DMR.  </w:t>
      </w:r>
      <w:r w:rsidR="00852E42">
        <w:t>As DP&amp;L makes plenty clear in its testimony, it intends to use the DMR revenue to pay down debt at DP&amp;L and DPL Inc.</w:t>
      </w:r>
      <w:r w:rsidR="00C32980">
        <w:rPr>
          <w:rStyle w:val="FootnoteReference"/>
        </w:rPr>
        <w:footnoteReference w:id="18"/>
      </w:r>
      <w:r w:rsidR="00852E42">
        <w:t xml:space="preserve">  Even a cursory review of R.C. 4928.143(B)(2) indicates that debt repayment is not a term or condition that may be included in an ESP.  </w:t>
      </w:r>
      <w:r>
        <w:t xml:space="preserve"> Because the true nature of the DMR is debt repayment and not investing in grid modernization initiatives, DP&amp;L</w:t>
      </w:r>
      <w:r w:rsidR="00307B19">
        <w:t>’s</w:t>
      </w:r>
      <w:r>
        <w:t xml:space="preserve"> claims that the DMR satisfies the requirements of (B</w:t>
      </w:r>
      <w:proofErr w:type="gramStart"/>
      <w:r>
        <w:t>)(</w:t>
      </w:r>
      <w:proofErr w:type="gramEnd"/>
      <w:r>
        <w:t>2)(h) or (</w:t>
      </w:r>
      <w:proofErr w:type="spellStart"/>
      <w:r>
        <w:t>i</w:t>
      </w:r>
      <w:proofErr w:type="spellEnd"/>
      <w:r>
        <w:t>) is without merit.</w:t>
      </w:r>
    </w:p>
    <w:p w14:paraId="1F373064" w14:textId="7F34152F" w:rsidR="00B1796F" w:rsidRDefault="00B1796F" w:rsidP="00C638E3">
      <w:pPr>
        <w:spacing w:line="480" w:lineRule="auto"/>
      </w:pPr>
      <w:r>
        <w:tab/>
        <w:t xml:space="preserve">Moreover, the vast majority of the debt repayment that the DMR is intended to permit is </w:t>
      </w:r>
      <w:r w:rsidR="00C80090">
        <w:t>associated with reducing the acquisition premium debt at</w:t>
      </w:r>
      <w:r>
        <w:t xml:space="preserve"> DPL Inc.  The ESP statute (and the Commission’s jurisdiction in general) addresses </w:t>
      </w:r>
      <w:r w:rsidR="004F44A8">
        <w:t>public utilities</w:t>
      </w:r>
      <w:r>
        <w:t xml:space="preserve">, </w:t>
      </w:r>
      <w:r w:rsidR="004F44A8">
        <w:t xml:space="preserve">here </w:t>
      </w:r>
      <w:r>
        <w:t>DP&amp;L.  None of the provisions of R.C. 4928.143(B</w:t>
      </w:r>
      <w:proofErr w:type="gramStart"/>
      <w:r>
        <w:t>)(</w:t>
      </w:r>
      <w:proofErr w:type="gramEnd"/>
      <w:r>
        <w:t>2) in any way, shape, or form authorize</w:t>
      </w:r>
      <w:r w:rsidR="009850FA">
        <w:t>s</w:t>
      </w:r>
      <w:r>
        <w:t xml:space="preserve"> the Commission to regulate any other company.  Accordingly, the ESP statute cannot be used as a vehicle to secure revenue for DPL Inc. to repay the acquisition premium debt on its books.</w:t>
      </w:r>
    </w:p>
    <w:p w14:paraId="23484173" w14:textId="42DA4F1E" w:rsidR="00852E42" w:rsidRDefault="00F329FE" w:rsidP="00C638E3">
      <w:pPr>
        <w:spacing w:line="480" w:lineRule="auto"/>
      </w:pPr>
      <w:r>
        <w:tab/>
        <w:t>DP&amp;L also argues that the DMR may be authorized under (B</w:t>
      </w:r>
      <w:proofErr w:type="gramStart"/>
      <w:r>
        <w:t>)(</w:t>
      </w:r>
      <w:proofErr w:type="gramEnd"/>
      <w:r>
        <w:t xml:space="preserve">2)(d) because the DMR will have the effect of stabilizing or providing certainty regarding retail electric </w:t>
      </w:r>
      <w:r>
        <w:lastRenderedPageBreak/>
        <w:t>service.</w:t>
      </w:r>
      <w:r>
        <w:rPr>
          <w:rStyle w:val="FootnoteReference"/>
        </w:rPr>
        <w:footnoteReference w:id="19"/>
      </w:r>
      <w:r>
        <w:t xml:space="preserve">  </w:t>
      </w:r>
      <w:r w:rsidR="00F74395">
        <w:t xml:space="preserve">In support of this claim, however, </w:t>
      </w:r>
      <w:r>
        <w:t>DP&amp;L</w:t>
      </w:r>
      <w:r w:rsidR="00F74395">
        <w:t xml:space="preserve"> states that</w:t>
      </w:r>
      <w:r>
        <w:t xml:space="preserve"> without the DMR DP&amp;L will not make the necessary investments in the distribution network and will instead issue dividends to DPL Inc. to pay off the acquisition premium debt.</w:t>
      </w:r>
      <w:r>
        <w:rPr>
          <w:rStyle w:val="FootnoteReference"/>
        </w:rPr>
        <w:footnoteReference w:id="20"/>
      </w:r>
      <w:r w:rsidR="00B1796F">
        <w:t xml:space="preserve">  Such action would violate Ohio’s corporate separation requirements and would require DP&amp;L’s board of directors to act in DPL Inc.’s best interest and not its own.  The lawfulness of the DMR cannot be supported exclusively by a claim that the authorization of the charge will prevent DP&amp;L from taking illegal actions.</w:t>
      </w:r>
    </w:p>
    <w:p w14:paraId="26039971" w14:textId="12D849DD" w:rsidR="00F329FE" w:rsidRDefault="00852E42" w:rsidP="00C638E3">
      <w:pPr>
        <w:spacing w:line="480" w:lineRule="auto"/>
      </w:pPr>
      <w:r>
        <w:tab/>
        <w:t>DP&amp;L</w:t>
      </w:r>
      <w:r w:rsidR="00813C83">
        <w:t xml:space="preserve"> </w:t>
      </w:r>
      <w:r w:rsidR="00B1796F">
        <w:t>further</w:t>
      </w:r>
      <w:r>
        <w:t xml:space="preserve"> cites to the Commission’s recent decision in FirstEnergy’s ESP case in an attempt to bootstrap its newest request</w:t>
      </w:r>
      <w:r w:rsidR="00D94060">
        <w:t>ed</w:t>
      </w:r>
      <w:r>
        <w:t xml:space="preserve"> </w:t>
      </w:r>
      <w:proofErr w:type="spellStart"/>
      <w:r>
        <w:t>nonbypassable</w:t>
      </w:r>
      <w:proofErr w:type="spellEnd"/>
      <w:r>
        <w:t xml:space="preserve"> revenue support to an entirely different set of facts.  Initially, FirstEnergy had a pending application </w:t>
      </w:r>
      <w:r w:rsidR="00B1796F">
        <w:t xml:space="preserve">to implement distribution modernization initiatives </w:t>
      </w:r>
      <w:r>
        <w:t xml:space="preserve">before the Commission when the Staff proposed the DMR in the FirstEnergy case.  The Commission also found that FirstEnergy’s DMR was designed to incent investment in grid modernization.  These facts are not present here.  Unlike FirstEnergy, DP&amp;L has not filed a smart grid plan; and it was directed to do so no later than July 1, 2014 if it wanted to extend the </w:t>
      </w:r>
      <w:r w:rsidR="00307B19">
        <w:t>Service Stability Rider (“</w:t>
      </w:r>
      <w:r>
        <w:t>SSR</w:t>
      </w:r>
      <w:r w:rsidR="00307B19">
        <w:t>”)</w:t>
      </w:r>
      <w:r>
        <w:t xml:space="preserve"> (through the SSR-E</w:t>
      </w:r>
      <w:r w:rsidR="007A2AE6">
        <w:t>xtension or “SSR</w:t>
      </w:r>
      <w:r w:rsidR="007A2AE6">
        <w:noBreakHyphen/>
        <w:t>E”</w:t>
      </w:r>
      <w:r>
        <w:t>).</w:t>
      </w:r>
      <w:r w:rsidR="00E91060">
        <w:rPr>
          <w:rStyle w:val="FootnoteReference"/>
        </w:rPr>
        <w:footnoteReference w:id="21"/>
      </w:r>
      <w:r>
        <w:t xml:space="preserve">  Unlike FirstEnergy, DP&amp;L has indicated that the DMR revenue will not be used for distribution modernization initiatives</w:t>
      </w:r>
      <w:r w:rsidR="00601DD1">
        <w:t>.  I</w:t>
      </w:r>
      <w:r w:rsidR="00A66492">
        <w:t>nstead</w:t>
      </w:r>
      <w:r w:rsidR="00601DD1">
        <w:t>,</w:t>
      </w:r>
      <w:r>
        <w:t xml:space="preserve"> </w:t>
      </w:r>
      <w:r w:rsidR="00A66492">
        <w:t xml:space="preserve">the DMR </w:t>
      </w:r>
      <w:r w:rsidR="00601DD1">
        <w:t>revenue</w:t>
      </w:r>
      <w:r w:rsidR="00A66492">
        <w:t xml:space="preserve"> </w:t>
      </w:r>
      <w:r>
        <w:t>will be used to pay down debt.</w:t>
      </w:r>
      <w:r>
        <w:rPr>
          <w:rStyle w:val="FootnoteReference"/>
        </w:rPr>
        <w:footnoteReference w:id="22"/>
      </w:r>
      <w:r>
        <w:t xml:space="preserve">  And unlike FirstEnergy, DP&amp;L has committed to not seeking to collect the AES acquisition premium (</w:t>
      </w:r>
      <w:r>
        <w:rPr>
          <w:i/>
        </w:rPr>
        <w:t>i.e.</w:t>
      </w:r>
      <w:r>
        <w:t xml:space="preserve"> the repayment of the AES </w:t>
      </w:r>
      <w:r>
        <w:lastRenderedPageBreak/>
        <w:t xml:space="preserve">acquisition debt that remains on DPL Inc.’s books and which is the sole cause for all of </w:t>
      </w:r>
      <w:r w:rsidR="007A2AE6">
        <w:t xml:space="preserve">the </w:t>
      </w:r>
      <w:r>
        <w:t>claimed financial integrity issues at DP&amp;L and DPL Inc.), which the DMR would fund.</w:t>
      </w:r>
      <w:r>
        <w:rPr>
          <w:rStyle w:val="FootnoteReference"/>
        </w:rPr>
        <w:footnoteReference w:id="23"/>
      </w:r>
      <w:r>
        <w:t xml:space="preserve">  </w:t>
      </w:r>
    </w:p>
    <w:p w14:paraId="73225485" w14:textId="1E104588" w:rsidR="00F329FE" w:rsidRPr="00852E42" w:rsidRDefault="00F329FE" w:rsidP="00C638E3">
      <w:pPr>
        <w:spacing w:line="480" w:lineRule="auto"/>
      </w:pPr>
      <w:r>
        <w:tab/>
      </w:r>
      <w:r w:rsidR="00B1796F">
        <w:t>The true nature of DP&amp;L’s DMR is to pay down debt, debt that largely results from AES’s highly</w:t>
      </w:r>
      <w:r w:rsidR="007A2AE6">
        <w:t>-</w:t>
      </w:r>
      <w:r w:rsidR="00B1796F">
        <w:t>leveraged takeover of DPL Inc. in 2011.  DP&amp;L has not set forth any plan in this case, or any other, to invest in distribution modernization initiatives.  Because the true nature of the DMR is to pay down debt that largely resides at DPL Inc., a purpose not authorized under the ESP statute, the Commission should grant IEU-Ohio’s Motion to Dismiss.</w:t>
      </w:r>
    </w:p>
    <w:p w14:paraId="071175AB" w14:textId="7CBD71AA" w:rsidR="00887485" w:rsidRPr="002105D6" w:rsidRDefault="00887485" w:rsidP="00E820AA">
      <w:pPr>
        <w:pStyle w:val="Heading2"/>
      </w:pPr>
      <w:bookmarkStart w:id="5" w:name="_Toc452975215"/>
      <w:bookmarkStart w:id="6" w:name="_Toc451769331"/>
      <w:bookmarkStart w:id="7" w:name="_Toc451762652"/>
      <w:bookmarkStart w:id="8" w:name="_Toc451524173"/>
      <w:bookmarkStart w:id="9" w:name="_Toc470166161"/>
      <w:r w:rsidRPr="002105D6">
        <w:t xml:space="preserve">The claim that the Commission may authorize the </w:t>
      </w:r>
      <w:r w:rsidR="002105D6" w:rsidRPr="002105D6">
        <w:t>DMR</w:t>
      </w:r>
      <w:r w:rsidRPr="002105D6">
        <w:t xml:space="preserve"> under R.C. 4928.143 notwithstanding the prohibition in R.C. 4928.38 and 4928.141 should be rejected because it is not supported by legislative intent or the Commission’s prior, simultaneous, and subsequent interpretation and application of the regulatory structure applicable to </w:t>
      </w:r>
      <w:bookmarkEnd w:id="5"/>
      <w:bookmarkEnd w:id="6"/>
      <w:bookmarkEnd w:id="7"/>
      <w:bookmarkEnd w:id="8"/>
      <w:r w:rsidR="007A2AE6">
        <w:t>EDUs</w:t>
      </w:r>
      <w:bookmarkEnd w:id="9"/>
    </w:p>
    <w:p w14:paraId="43DBE4A2" w14:textId="08C09C51" w:rsidR="00887485" w:rsidRPr="00887485" w:rsidRDefault="00887485" w:rsidP="00E820AA">
      <w:pPr>
        <w:spacing w:line="480" w:lineRule="auto"/>
        <w:ind w:firstLine="720"/>
      </w:pPr>
      <w:r w:rsidRPr="00887485">
        <w:t xml:space="preserve">DP&amp;L also argues that R.C. 4928.143 permits the Commission to authorize the </w:t>
      </w:r>
      <w:r w:rsidR="00EC1E69">
        <w:t>DMR</w:t>
      </w:r>
      <w:r w:rsidRPr="00887485">
        <w:t xml:space="preserve"> even if </w:t>
      </w:r>
      <w:r w:rsidR="00EC1E69">
        <w:t xml:space="preserve">authorization of </w:t>
      </w:r>
      <w:r w:rsidR="00CD0094">
        <w:t xml:space="preserve">the DMR would violate </w:t>
      </w:r>
      <w:r w:rsidR="00EC1E69">
        <w:t>other prohibitions contained in Chapter 4928</w:t>
      </w:r>
      <w:r w:rsidRPr="00887485">
        <w:t>.</w:t>
      </w:r>
      <w:r w:rsidR="00E00765">
        <w:rPr>
          <w:rStyle w:val="FootnoteReference"/>
        </w:rPr>
        <w:footnoteReference w:id="24"/>
      </w:r>
      <w:r w:rsidRPr="00887485">
        <w:t xml:space="preserve">  According to DP&amp;L</w:t>
      </w:r>
      <w:r w:rsidR="007A2AE6">
        <w:t>,</w:t>
      </w:r>
      <w:r w:rsidRPr="00887485">
        <w:t xml:space="preserve"> the Commission may ignore the </w:t>
      </w:r>
      <w:r w:rsidR="00A81746">
        <w:t xml:space="preserve">various </w:t>
      </w:r>
      <w:r w:rsidRPr="00887485">
        <w:t>prohibition</w:t>
      </w:r>
      <w:r w:rsidR="00A81746">
        <w:t>s</w:t>
      </w:r>
      <w:r w:rsidRPr="00887485">
        <w:t xml:space="preserve"> on the basis of a “notwithstanding” clause in R.C. 4928.143 or because the later adopt</w:t>
      </w:r>
      <w:r w:rsidR="007A2AE6">
        <w:t>ion</w:t>
      </w:r>
      <w:r w:rsidRPr="00887485">
        <w:t xml:space="preserve"> of R.C. 4928.143 silently repeals the previously adopted and conflicting </w:t>
      </w:r>
      <w:r w:rsidR="00A81746">
        <w:t>statutes</w:t>
      </w:r>
      <w:r w:rsidRPr="00887485">
        <w:t>.  Its statutory arguments are without merit.</w:t>
      </w:r>
    </w:p>
    <w:p w14:paraId="65DEE793" w14:textId="2C9D6994" w:rsidR="00887485" w:rsidRPr="00887485" w:rsidRDefault="00887485" w:rsidP="00E820AA">
      <w:pPr>
        <w:spacing w:line="480" w:lineRule="auto"/>
        <w:ind w:firstLine="720"/>
      </w:pPr>
      <w:r w:rsidRPr="00887485">
        <w:t xml:space="preserve">In asserting that the Commission can authorize the </w:t>
      </w:r>
      <w:r w:rsidR="00CC6423">
        <w:t>DMR</w:t>
      </w:r>
      <w:r w:rsidRPr="00887485">
        <w:t>, DP&amp;L assumes that the Commission can authorize</w:t>
      </w:r>
      <w:r w:rsidR="001D22EF">
        <w:t xml:space="preserve"> the DMR</w:t>
      </w:r>
      <w:r w:rsidRPr="00887485">
        <w:t xml:space="preserve"> under </w:t>
      </w:r>
      <w:r w:rsidR="00CC6423">
        <w:t xml:space="preserve">one of the provisions of </w:t>
      </w:r>
      <w:r w:rsidRPr="00887485">
        <w:t>R.C. 4928.143(B</w:t>
      </w:r>
      <w:proofErr w:type="gramStart"/>
      <w:r w:rsidRPr="00887485">
        <w:t>)(</w:t>
      </w:r>
      <w:proofErr w:type="gramEnd"/>
      <w:r w:rsidRPr="00887485">
        <w:t xml:space="preserve">2).  </w:t>
      </w:r>
      <w:r w:rsidR="00CC6423">
        <w:t xml:space="preserve">As discussed above, no provision of that Section authorizes the credit support rider DP&amp;L </w:t>
      </w:r>
      <w:r w:rsidR="00CC6423">
        <w:lastRenderedPageBreak/>
        <w:t>is seeking</w:t>
      </w:r>
      <w:r w:rsidRPr="00887485">
        <w:t xml:space="preserve"> and, as the Court has already held, </w:t>
      </w:r>
      <w:r w:rsidR="00D306B1">
        <w:t>the failure to demonstrate that the rider is authorized by that section is dispositive</w:t>
      </w:r>
      <w:r w:rsidRPr="00887485">
        <w:t>.</w:t>
      </w:r>
      <w:r w:rsidR="00E00765">
        <w:rPr>
          <w:rStyle w:val="FootnoteReference"/>
        </w:rPr>
        <w:footnoteReference w:id="25"/>
      </w:r>
      <w:r w:rsidRPr="00887485">
        <w:t xml:space="preserve">  </w:t>
      </w:r>
    </w:p>
    <w:p w14:paraId="3366F29B" w14:textId="6BD1E2C8" w:rsidR="00887485" w:rsidRPr="00887485" w:rsidRDefault="001D22EF" w:rsidP="00C638E3">
      <w:pPr>
        <w:spacing w:line="480" w:lineRule="auto"/>
      </w:pPr>
      <w:r>
        <w:tab/>
      </w:r>
      <w:r w:rsidR="00887485" w:rsidRPr="00887485">
        <w:t xml:space="preserve">DP&amp;L’s attempt to avoid the application of </w:t>
      </w:r>
      <w:r w:rsidR="002D633C">
        <w:t xml:space="preserve">the various prohibitions that prevent authorization of the DMR </w:t>
      </w:r>
      <w:r w:rsidR="00887485" w:rsidRPr="00887485">
        <w:t>by pointing to the “notwithstanding” clause also should be rejected because it violates norms of statutory construction.</w:t>
      </w:r>
    </w:p>
    <w:p w14:paraId="0F75F5FC" w14:textId="24F464A8" w:rsidR="00887485" w:rsidRPr="00887485" w:rsidRDefault="00887485" w:rsidP="00C638E3">
      <w:pPr>
        <w:spacing w:line="480" w:lineRule="auto"/>
      </w:pPr>
      <w:r w:rsidRPr="00887485">
        <w:tab/>
        <w:t>The “paramount concern in construing a statute is legislative intent.”</w:t>
      </w:r>
      <w:r w:rsidR="00BC1550">
        <w:rPr>
          <w:rStyle w:val="FootnoteReference"/>
        </w:rPr>
        <w:footnoteReference w:id="26"/>
      </w:r>
      <w:r w:rsidRPr="00887485">
        <w:rPr>
          <w:i/>
        </w:rPr>
        <w:t xml:space="preserve">  </w:t>
      </w:r>
      <w:r w:rsidRPr="00887485">
        <w:t xml:space="preserve">  “Notwithstanding” clauses such as that contained in R.C. 4928.143(B</w:t>
      </w:r>
      <w:proofErr w:type="gramStart"/>
      <w:r w:rsidRPr="00887485">
        <w:t>)(</w:t>
      </w:r>
      <w:proofErr w:type="gramEnd"/>
      <w:r w:rsidRPr="00887485">
        <w:t>2) therefore must be read in light of the “paramount concern” of the legislation.</w:t>
      </w:r>
      <w:r w:rsidR="00BC1550">
        <w:rPr>
          <w:rStyle w:val="FootnoteReference"/>
        </w:rPr>
        <w:footnoteReference w:id="27"/>
      </w:r>
      <w:r w:rsidRPr="00887485">
        <w:t xml:space="preserve">    </w:t>
      </w:r>
    </w:p>
    <w:p w14:paraId="3B6A7793" w14:textId="77777777" w:rsidR="00887485" w:rsidRPr="00887485" w:rsidRDefault="00887485" w:rsidP="00E820AA">
      <w:pPr>
        <w:spacing w:line="480" w:lineRule="auto"/>
        <w:ind w:firstLine="720"/>
      </w:pPr>
      <w:r w:rsidRPr="00887485">
        <w:t xml:space="preserve">In this instance, the “notwithstanding” clause in R.C. 4928.143(B)(2) must be read in light of the enactment in the same legislation of R.C. 4928.141, which prohibits an allowance for transition costs, and other provisions that render the </w:t>
      </w:r>
      <w:r w:rsidR="009428FF">
        <w:t>DMR</w:t>
      </w:r>
      <w:r w:rsidRPr="00887485">
        <w:t xml:space="preserve"> unlawful.</w:t>
      </w:r>
    </w:p>
    <w:p w14:paraId="7E7A10A0" w14:textId="701D0BF8" w:rsidR="00887485" w:rsidRPr="00887485" w:rsidRDefault="00887485" w:rsidP="00E820AA">
      <w:pPr>
        <w:spacing w:line="480" w:lineRule="auto"/>
        <w:ind w:firstLine="720"/>
        <w:rPr>
          <w:bCs/>
        </w:rPr>
      </w:pPr>
      <w:r w:rsidRPr="00887485">
        <w:rPr>
          <w:bCs/>
        </w:rPr>
        <w:t xml:space="preserve">As part of </w:t>
      </w:r>
      <w:r w:rsidR="007A2AE6">
        <w:rPr>
          <w:bCs/>
        </w:rPr>
        <w:t>Amended Substitute Senate Bill 221 (“</w:t>
      </w:r>
      <w:r w:rsidRPr="00887485">
        <w:rPr>
          <w:bCs/>
        </w:rPr>
        <w:t>SB 221</w:t>
      </w:r>
      <w:r w:rsidR="007A2AE6">
        <w:rPr>
          <w:bCs/>
        </w:rPr>
        <w:t>”)</w:t>
      </w:r>
      <w:r w:rsidRPr="00887485">
        <w:rPr>
          <w:bCs/>
        </w:rPr>
        <w:t xml:space="preserve">, the legislation enacting R.C. 4928.143 and </w:t>
      </w:r>
      <w:proofErr w:type="gramStart"/>
      <w:r w:rsidRPr="00887485">
        <w:rPr>
          <w:bCs/>
        </w:rPr>
        <w:t>its</w:t>
      </w:r>
      <w:proofErr w:type="gramEnd"/>
      <w:r w:rsidRPr="00887485">
        <w:rPr>
          <w:bCs/>
        </w:rPr>
        <w:t xml:space="preserve"> “notwithstanding” clause, the General Assembly also enacted R.C. 4928.141.  That Section specifies that an electric utility must maintain </w:t>
      </w:r>
      <w:r w:rsidR="007A2AE6">
        <w:rPr>
          <w:bCs/>
        </w:rPr>
        <w:t xml:space="preserve">an SSO </w:t>
      </w:r>
      <w:r w:rsidRPr="00887485">
        <w:rPr>
          <w:bCs/>
        </w:rPr>
        <w:t xml:space="preserve">and that this offer may take the form of a </w:t>
      </w:r>
      <w:r w:rsidR="007A2AE6" w:rsidRPr="00887485">
        <w:rPr>
          <w:bCs/>
        </w:rPr>
        <w:t xml:space="preserve">market rate offer </w:t>
      </w:r>
      <w:r w:rsidR="007A2AE6">
        <w:rPr>
          <w:bCs/>
        </w:rPr>
        <w:t xml:space="preserve">(“MRO”) </w:t>
      </w:r>
      <w:r w:rsidRPr="00887485">
        <w:rPr>
          <w:bCs/>
        </w:rPr>
        <w:t>under R.C. 4928.142 or an ESP under R.C. 4928.143.  R.C. 4928.141 also addresses the previously</w:t>
      </w:r>
      <w:r w:rsidR="007A2AE6">
        <w:rPr>
          <w:bCs/>
        </w:rPr>
        <w:t>-</w:t>
      </w:r>
      <w:r w:rsidRPr="00887485">
        <w:rPr>
          <w:bCs/>
        </w:rPr>
        <w:t xml:space="preserve">enacted prohibition on transition revenue and directs the Commission to exclude an allowance for </w:t>
      </w:r>
      <w:r w:rsidRPr="00887485">
        <w:rPr>
          <w:bCs/>
        </w:rPr>
        <w:lastRenderedPageBreak/>
        <w:t xml:space="preserve">transition costs from any </w:t>
      </w:r>
      <w:r w:rsidR="007A2AE6">
        <w:rPr>
          <w:bCs/>
        </w:rPr>
        <w:t>SSO</w:t>
      </w:r>
      <w:r w:rsidRPr="00887485">
        <w:rPr>
          <w:bCs/>
        </w:rPr>
        <w:t>.  As the Court recently explained, R.C. 4928.141 “expressly prohibits the recovery of transition costs” under “a standard service offer made through an ESP.”</w:t>
      </w:r>
      <w:r w:rsidR="00A75C01">
        <w:rPr>
          <w:rStyle w:val="FootnoteReference"/>
          <w:bCs/>
        </w:rPr>
        <w:footnoteReference w:id="28"/>
      </w:r>
      <w:r w:rsidRPr="00887485">
        <w:rPr>
          <w:bCs/>
        </w:rPr>
        <w:t xml:space="preserve">    </w:t>
      </w:r>
    </w:p>
    <w:p w14:paraId="2BDCBC3E" w14:textId="44791DBE" w:rsidR="00887485" w:rsidRPr="00887485" w:rsidRDefault="00887485" w:rsidP="00E820AA">
      <w:pPr>
        <w:spacing w:line="480" w:lineRule="auto"/>
        <w:ind w:firstLine="720"/>
        <w:rPr>
          <w:bCs/>
        </w:rPr>
      </w:pPr>
      <w:r w:rsidRPr="00887485">
        <w:rPr>
          <w:bCs/>
        </w:rPr>
        <w:t xml:space="preserve">In SB 221, the General Assembly provided additional direction that it did not intend the “notwithstanding” clause to subsume all of the other statutory provisions in Title 49.  In particular, the General Assembly modified the </w:t>
      </w:r>
      <w:r w:rsidR="001D22EF">
        <w:rPr>
          <w:bCs/>
        </w:rPr>
        <w:t>s</w:t>
      </w:r>
      <w:r w:rsidRPr="00887485">
        <w:rPr>
          <w:bCs/>
        </w:rPr>
        <w:t>tate policy by amending and renumbering R.C. 4928.02(H) to provide that it is the policy of the State to</w:t>
      </w:r>
      <w:r w:rsidR="00AD4DCB">
        <w:rPr>
          <w:bCs/>
        </w:rPr>
        <w:t xml:space="preserve"> </w:t>
      </w:r>
      <w:r w:rsidRPr="00887485">
        <w:rPr>
          <w:bCs/>
        </w:rPr>
        <w:t>“[e]</w:t>
      </w:r>
      <w:proofErr w:type="spellStart"/>
      <w:r w:rsidRPr="00887485">
        <w:rPr>
          <w:bCs/>
        </w:rPr>
        <w:t>nsure</w:t>
      </w:r>
      <w:proofErr w:type="spellEnd"/>
      <w:r w:rsidRPr="00887485">
        <w:rPr>
          <w:bCs/>
        </w:rPr>
        <w:t xml:space="preserv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w:t>
      </w:r>
      <w:r w:rsidRPr="00887485">
        <w:rPr>
          <w:bCs/>
          <w:vertAlign w:val="superscript"/>
        </w:rPr>
        <w:footnoteReference w:id="29"/>
      </w:r>
      <w:r w:rsidRPr="00887485">
        <w:rPr>
          <w:bCs/>
        </w:rPr>
        <w:t xml:space="preserve">  The amendment specifically prohibits a charge such as the </w:t>
      </w:r>
      <w:r w:rsidR="007A2AE6">
        <w:rPr>
          <w:bCs/>
        </w:rPr>
        <w:t>R</w:t>
      </w:r>
      <w:r w:rsidR="002E1D0F">
        <w:rPr>
          <w:bCs/>
        </w:rPr>
        <w:t>econciliation</w:t>
      </w:r>
      <w:r w:rsidR="007A2AE6">
        <w:rPr>
          <w:bCs/>
        </w:rPr>
        <w:t xml:space="preserve"> Rider (“</w:t>
      </w:r>
      <w:r w:rsidRPr="00887485">
        <w:rPr>
          <w:bCs/>
        </w:rPr>
        <w:t>RR</w:t>
      </w:r>
      <w:r w:rsidR="007A2AE6">
        <w:rPr>
          <w:bCs/>
        </w:rPr>
        <w:t>”)</w:t>
      </w:r>
      <w:r w:rsidRPr="00887485">
        <w:rPr>
          <w:bCs/>
        </w:rPr>
        <w:t xml:space="preserve"> that provides DP&amp;L’s generation business with additional revenue through a distribution-like, </w:t>
      </w:r>
      <w:r w:rsidRPr="00E820AA">
        <w:rPr>
          <w:bCs/>
          <w:i/>
        </w:rPr>
        <w:t>i.e</w:t>
      </w:r>
      <w:r w:rsidRPr="007A2AE6">
        <w:rPr>
          <w:bCs/>
          <w:i/>
        </w:rPr>
        <w:t>.</w:t>
      </w:r>
      <w:r w:rsidRPr="00887485">
        <w:rPr>
          <w:bCs/>
        </w:rPr>
        <w:t xml:space="preserve">, </w:t>
      </w:r>
      <w:proofErr w:type="spellStart"/>
      <w:r w:rsidRPr="00887485">
        <w:rPr>
          <w:bCs/>
        </w:rPr>
        <w:t>nonbypassable</w:t>
      </w:r>
      <w:proofErr w:type="spellEnd"/>
      <w:r w:rsidRPr="00887485">
        <w:rPr>
          <w:bCs/>
        </w:rPr>
        <w:t>, charge.</w:t>
      </w:r>
    </w:p>
    <w:p w14:paraId="4E2E6293" w14:textId="77777777" w:rsidR="00887485" w:rsidRPr="00887485" w:rsidRDefault="00887485" w:rsidP="00C638E3">
      <w:pPr>
        <w:spacing w:line="480" w:lineRule="auto"/>
        <w:rPr>
          <w:bCs/>
        </w:rPr>
      </w:pPr>
      <w:r w:rsidRPr="00887485">
        <w:rPr>
          <w:bCs/>
        </w:rPr>
        <w:tab/>
        <w:t xml:space="preserve">In addition to prohibiting an allowance for transition costs in R.C. 4928.141, the General Assembly also modified R.C. 4928.17.  Under then-existing and current law, this Section requires an electric utility to separate its competitive generation function from the noncompetitive distribution and transmission functions and prohibits the utility from providing any undue preference or advantage to its competitive generation business unit </w:t>
      </w:r>
      <w:r w:rsidRPr="00887485">
        <w:rPr>
          <w:bCs/>
        </w:rPr>
        <w:lastRenderedPageBreak/>
        <w:t>or the generation business of any affiliate.  In SB 221, the General Assembly added a requirement that electric utilities obtain Commission approval prior to divesting any generation assets.  It is clear that the General Assembly did not intend to repeal the effect of this statute prohibiting a utility from providing an undue advantage or preference to its own competitive generation business by including the “notwithstanding” language simultaneously in SB 221.</w:t>
      </w:r>
    </w:p>
    <w:p w14:paraId="64888940" w14:textId="2F18CAC3" w:rsidR="00887485" w:rsidRPr="00887485" w:rsidRDefault="00887485" w:rsidP="00E820AA">
      <w:pPr>
        <w:spacing w:line="480" w:lineRule="auto"/>
        <w:ind w:firstLine="720"/>
        <w:rPr>
          <w:bCs/>
        </w:rPr>
      </w:pPr>
      <w:r w:rsidRPr="00887485">
        <w:rPr>
          <w:bCs/>
        </w:rPr>
        <w:t xml:space="preserve">When enacting SB 221 in 2008, the General Assembly also did not repeal R.C. 4928.06 which obligates the Commission to effectuate the </w:t>
      </w:r>
      <w:r w:rsidR="001D22EF">
        <w:rPr>
          <w:bCs/>
        </w:rPr>
        <w:t>s</w:t>
      </w:r>
      <w:r w:rsidRPr="00887485">
        <w:rPr>
          <w:bCs/>
        </w:rPr>
        <w:t xml:space="preserve">tate policy contained in R.C. 4928.02.  In 2012, the General Assembly subsequently made additional changes to the </w:t>
      </w:r>
      <w:r w:rsidR="001D22EF">
        <w:rPr>
          <w:bCs/>
        </w:rPr>
        <w:t>s</w:t>
      </w:r>
      <w:r w:rsidRPr="00887485">
        <w:rPr>
          <w:bCs/>
        </w:rPr>
        <w:t xml:space="preserve">tate </w:t>
      </w:r>
      <w:r w:rsidR="001D7E96">
        <w:rPr>
          <w:bCs/>
        </w:rPr>
        <w:t xml:space="preserve">policy </w:t>
      </w:r>
      <w:r w:rsidRPr="00887485">
        <w:rPr>
          <w:bCs/>
        </w:rPr>
        <w:t xml:space="preserve">specified in R.C. 4928.02.  </w:t>
      </w:r>
      <w:r w:rsidRPr="00887485">
        <w:rPr>
          <w:bCs/>
          <w:i/>
        </w:rPr>
        <w:t xml:space="preserve">See </w:t>
      </w:r>
      <w:r w:rsidRPr="00887485">
        <w:rPr>
          <w:bCs/>
        </w:rPr>
        <w:t xml:space="preserve">Senate Bill 315 (these additional changes did not alter the prohibition in R.C. 4928.02(H)).  Therefore, it is clear that the General Assembly intends that the </w:t>
      </w:r>
      <w:r w:rsidR="001D22EF">
        <w:rPr>
          <w:bCs/>
        </w:rPr>
        <w:t>s</w:t>
      </w:r>
      <w:r w:rsidRPr="00887485">
        <w:rPr>
          <w:bCs/>
        </w:rPr>
        <w:t xml:space="preserve">tate </w:t>
      </w:r>
      <w:r w:rsidR="001D7E96">
        <w:rPr>
          <w:bCs/>
        </w:rPr>
        <w:t xml:space="preserve">policy </w:t>
      </w:r>
      <w:r w:rsidRPr="00887485">
        <w:rPr>
          <w:bCs/>
        </w:rPr>
        <w:t>continue to have effect.</w:t>
      </w:r>
    </w:p>
    <w:p w14:paraId="65065302" w14:textId="35974A2D" w:rsidR="00887485" w:rsidRPr="00887485" w:rsidRDefault="00887485" w:rsidP="00E820AA">
      <w:pPr>
        <w:spacing w:line="480" w:lineRule="auto"/>
        <w:ind w:firstLine="720"/>
        <w:rPr>
          <w:bCs/>
        </w:rPr>
      </w:pPr>
      <w:r w:rsidRPr="00887485">
        <w:rPr>
          <w:bCs/>
        </w:rPr>
        <w:t xml:space="preserve">Furthermore, the Commission’s decisions bear out the Commission’s understanding that </w:t>
      </w:r>
      <w:r w:rsidR="00F16920">
        <w:rPr>
          <w:bCs/>
        </w:rPr>
        <w:t xml:space="preserve">the “notwithstanding” clause in </w:t>
      </w:r>
      <w:r w:rsidRPr="00887485">
        <w:rPr>
          <w:bCs/>
        </w:rPr>
        <w:t>R.C. 4928.143(B</w:t>
      </w:r>
      <w:proofErr w:type="gramStart"/>
      <w:r w:rsidRPr="00887485">
        <w:rPr>
          <w:bCs/>
        </w:rPr>
        <w:t>)(</w:t>
      </w:r>
      <w:proofErr w:type="gramEnd"/>
      <w:r w:rsidRPr="00887485">
        <w:rPr>
          <w:bCs/>
        </w:rPr>
        <w:t xml:space="preserve">2) did not silently </w:t>
      </w:r>
      <w:r w:rsidR="00504992">
        <w:rPr>
          <w:bCs/>
        </w:rPr>
        <w:t>suspend</w:t>
      </w:r>
      <w:r w:rsidRPr="00887485">
        <w:rPr>
          <w:bCs/>
        </w:rPr>
        <w:t xml:space="preserve"> various other requirements of Chapter 4928, and these decisions should guide the </w:t>
      </w:r>
      <w:r w:rsidR="007C71B7">
        <w:rPr>
          <w:bCs/>
        </w:rPr>
        <w:t>Commission</w:t>
      </w:r>
      <w:r w:rsidR="007C71B7" w:rsidRPr="00887485">
        <w:rPr>
          <w:bCs/>
        </w:rPr>
        <w:t xml:space="preserve">’s </w:t>
      </w:r>
      <w:r w:rsidRPr="00887485">
        <w:rPr>
          <w:bCs/>
        </w:rPr>
        <w:t>decision.</w:t>
      </w:r>
      <w:r w:rsidR="00860791">
        <w:rPr>
          <w:rStyle w:val="FootnoteReference"/>
          <w:bCs/>
        </w:rPr>
        <w:footnoteReference w:id="30"/>
      </w:r>
      <w:r w:rsidRPr="00887485">
        <w:rPr>
          <w:bCs/>
        </w:rPr>
        <w:t xml:space="preserve">    </w:t>
      </w:r>
    </w:p>
    <w:p w14:paraId="3EAB701C" w14:textId="5D0DA0E2" w:rsidR="00887485" w:rsidRPr="00887485" w:rsidRDefault="00887485" w:rsidP="00E820AA">
      <w:pPr>
        <w:spacing w:line="480" w:lineRule="auto"/>
        <w:ind w:firstLine="720"/>
        <w:rPr>
          <w:bCs/>
        </w:rPr>
      </w:pPr>
      <w:r w:rsidRPr="00887485">
        <w:rPr>
          <w:bCs/>
        </w:rPr>
        <w:t xml:space="preserve">In DP&amp;L’s prior ESP case, for example, the Commission rejected another </w:t>
      </w:r>
      <w:proofErr w:type="spellStart"/>
      <w:r w:rsidRPr="00887485">
        <w:rPr>
          <w:bCs/>
        </w:rPr>
        <w:t>nonbypassable</w:t>
      </w:r>
      <w:proofErr w:type="spellEnd"/>
      <w:r w:rsidRPr="00887485">
        <w:rPr>
          <w:bCs/>
        </w:rPr>
        <w:t xml:space="preserve"> charge proposed by DP&amp;L under R.C. 4928.143(B)(2)(d), the Switching Tracker, because it “violates the policies of the state of Ohio [R.C. 4928.02], is anticompetitive, and would discourage further development of Ohio’s retail electric services market.”</w:t>
      </w:r>
      <w:r w:rsidR="00860791">
        <w:rPr>
          <w:rStyle w:val="FootnoteReference"/>
          <w:bCs/>
        </w:rPr>
        <w:footnoteReference w:id="31"/>
      </w:r>
      <w:r w:rsidRPr="00887485">
        <w:rPr>
          <w:bCs/>
        </w:rPr>
        <w:t xml:space="preserve">  </w:t>
      </w:r>
    </w:p>
    <w:p w14:paraId="51F8A9BA" w14:textId="0E9654BE" w:rsidR="00887485" w:rsidRPr="00887485" w:rsidRDefault="00887485" w:rsidP="00E820AA">
      <w:pPr>
        <w:spacing w:line="480" w:lineRule="auto"/>
        <w:ind w:firstLine="720"/>
        <w:rPr>
          <w:bCs/>
          <w:i/>
        </w:rPr>
      </w:pPr>
      <w:r w:rsidRPr="00887485">
        <w:rPr>
          <w:bCs/>
        </w:rPr>
        <w:lastRenderedPageBreak/>
        <w:t>In 2010, AEP-Ohio requested that the Commission authorize a charge under R.C. 4928.143(B</w:t>
      </w:r>
      <w:proofErr w:type="gramStart"/>
      <w:r w:rsidRPr="00887485">
        <w:rPr>
          <w:bCs/>
        </w:rPr>
        <w:t>)(</w:t>
      </w:r>
      <w:proofErr w:type="gramEnd"/>
      <w:r w:rsidRPr="00887485">
        <w:rPr>
          <w:bCs/>
        </w:rPr>
        <w:t>2)(c) and (d) to allow it to collect costs associated with closing a generation plant.</w:t>
      </w:r>
      <w:r w:rsidR="00860791">
        <w:rPr>
          <w:rStyle w:val="FootnoteReference"/>
          <w:bCs/>
        </w:rPr>
        <w:footnoteReference w:id="32"/>
      </w:r>
      <w:r w:rsidRPr="00887485">
        <w:rPr>
          <w:bCs/>
        </w:rPr>
        <w:t xml:space="preserve">  The Commission rejected AEP-Ohio’s application, finding that it did not have the authority under R.C. 4928.143(B)(2) to allow for such recovery </w:t>
      </w:r>
      <w:r w:rsidRPr="00887485">
        <w:rPr>
          <w:bCs/>
          <w:i/>
        </w:rPr>
        <w:t>and</w:t>
      </w:r>
      <w:r w:rsidRPr="00887485">
        <w:rPr>
          <w:bCs/>
        </w:rPr>
        <w:t xml:space="preserve"> that the recovery of such costs was prohibited by R.C. 4928.02(H).</w:t>
      </w:r>
      <w:r w:rsidR="00860791">
        <w:rPr>
          <w:rStyle w:val="FootnoteReference"/>
          <w:bCs/>
        </w:rPr>
        <w:footnoteReference w:id="33"/>
      </w:r>
      <w:r w:rsidRPr="00887485">
        <w:rPr>
          <w:bCs/>
        </w:rPr>
        <w:t xml:space="preserve">  </w:t>
      </w:r>
    </w:p>
    <w:p w14:paraId="4B943051" w14:textId="383DAC01" w:rsidR="00887485" w:rsidRPr="00887485" w:rsidRDefault="00887485" w:rsidP="00E820AA">
      <w:pPr>
        <w:spacing w:line="480" w:lineRule="auto"/>
        <w:ind w:firstLine="720"/>
        <w:rPr>
          <w:bCs/>
        </w:rPr>
      </w:pPr>
      <w:r w:rsidRPr="00887485">
        <w:rPr>
          <w:bCs/>
        </w:rPr>
        <w:t xml:space="preserve">Likewise, the Commission issued a decision that confirms the </w:t>
      </w:r>
      <w:r w:rsidR="001D7E96">
        <w:rPr>
          <w:bCs/>
        </w:rPr>
        <w:t>S</w:t>
      </w:r>
      <w:r w:rsidRPr="00887485">
        <w:rPr>
          <w:bCs/>
        </w:rPr>
        <w:t>tate policy in R.C. 4928.02 applies to charges authorized under R.C. 4928.143(B</w:t>
      </w:r>
      <w:proofErr w:type="gramStart"/>
      <w:r w:rsidRPr="00887485">
        <w:rPr>
          <w:bCs/>
        </w:rPr>
        <w:t>)(</w:t>
      </w:r>
      <w:proofErr w:type="gramEnd"/>
      <w:r w:rsidRPr="00887485">
        <w:rPr>
          <w:bCs/>
        </w:rPr>
        <w:t>2).</w:t>
      </w:r>
      <w:r w:rsidR="00860791">
        <w:rPr>
          <w:rStyle w:val="FootnoteReference"/>
          <w:bCs/>
        </w:rPr>
        <w:footnoteReference w:id="34"/>
      </w:r>
      <w:r w:rsidRPr="00887485">
        <w:rPr>
          <w:bCs/>
        </w:rPr>
        <w:t xml:space="preserve">  In this order, the Commission held that it was required to modify a rider proposed by AEP-Ohio under R.C. 4928.143(B</w:t>
      </w:r>
      <w:proofErr w:type="gramStart"/>
      <w:r w:rsidRPr="00887485">
        <w:rPr>
          <w:bCs/>
        </w:rPr>
        <w:t>)(</w:t>
      </w:r>
      <w:proofErr w:type="gramEnd"/>
      <w:r w:rsidRPr="00887485">
        <w:rPr>
          <w:bCs/>
        </w:rPr>
        <w:t>2) because the proposed rider would violate the prohibition in R.C. 4928.02(H).  “[A]s proposed by AEP Ohio, the [bad debt rider] would flow the bad debt of both shopping and non-shopping customers, whether generation- or distribution-related, through a single rider, which may cause the type of subsidy that the Commission must avoid under R.C. 4928.02(H).”</w:t>
      </w:r>
      <w:r w:rsidR="00860791">
        <w:rPr>
          <w:rStyle w:val="FootnoteReference"/>
          <w:bCs/>
        </w:rPr>
        <w:footnoteReference w:id="35"/>
      </w:r>
      <w:r w:rsidRPr="00887485">
        <w:rPr>
          <w:bCs/>
        </w:rPr>
        <w:t xml:space="preserve">  The Commission further held in this order that an additional statutory requirement contained in R.C. 4928.10(D</w:t>
      </w:r>
      <w:proofErr w:type="gramStart"/>
      <w:r w:rsidRPr="00887485">
        <w:rPr>
          <w:bCs/>
        </w:rPr>
        <w:t>)(</w:t>
      </w:r>
      <w:proofErr w:type="gramEnd"/>
      <w:r w:rsidRPr="00887485">
        <w:rPr>
          <w:bCs/>
        </w:rPr>
        <w:t>3) could not be ignored when authorizing a charge under R.C. 4928.143(B)(2).</w:t>
      </w:r>
      <w:r w:rsidR="00860791">
        <w:rPr>
          <w:rStyle w:val="FootnoteReference"/>
          <w:bCs/>
        </w:rPr>
        <w:footnoteReference w:id="36"/>
      </w:r>
      <w:r w:rsidRPr="00887485">
        <w:rPr>
          <w:bCs/>
        </w:rPr>
        <w:t xml:space="preserve">  </w:t>
      </w:r>
    </w:p>
    <w:p w14:paraId="0F0E74E9" w14:textId="6309CB4F" w:rsidR="00887485" w:rsidRPr="00887485" w:rsidRDefault="00887485" w:rsidP="00E820AA">
      <w:pPr>
        <w:spacing w:line="480" w:lineRule="auto"/>
        <w:ind w:firstLine="720"/>
        <w:rPr>
          <w:bCs/>
        </w:rPr>
      </w:pPr>
      <w:r w:rsidRPr="00887485">
        <w:t xml:space="preserve">In summary, </w:t>
      </w:r>
      <w:r w:rsidRPr="00887485">
        <w:rPr>
          <w:bCs/>
        </w:rPr>
        <w:t xml:space="preserve">SB 221 and the overall structure of Title 49 make clear that the General Assembly did not intend to give the Commission </w:t>
      </w:r>
      <w:r w:rsidRPr="00887485">
        <w:rPr>
          <w:bCs/>
          <w:i/>
        </w:rPr>
        <w:t>carte blanche</w:t>
      </w:r>
      <w:r w:rsidRPr="00887485">
        <w:rPr>
          <w:bCs/>
        </w:rPr>
        <w:t xml:space="preserve"> to ignore every other statute in Title 49 when authorizing charges under an ESP.  The General </w:t>
      </w:r>
      <w:r w:rsidRPr="00887485">
        <w:rPr>
          <w:bCs/>
        </w:rPr>
        <w:lastRenderedPageBreak/>
        <w:t xml:space="preserve">Assembly’s simultaneous and subsequent amendments of Chapter 4928 reflect an intent to maintain the applicability of the prohibitions in R.C. 4928.02(H), 4928.141, 4928.17, and 4928.38.  Additionally, </w:t>
      </w:r>
      <w:r w:rsidRPr="00887485">
        <w:t xml:space="preserve">the Commission has repeatedly held that the terms and conditions contained in an ESP must conform to the other requirements specified in Chapter 4928.  Thus, the “notwithstanding” clause in R.C. 4928.143 does not permit the Commission to authorize a rider that by its nature will violate </w:t>
      </w:r>
      <w:r w:rsidR="00FD731C">
        <w:t>the various prohibition</w:t>
      </w:r>
      <w:r w:rsidR="001D7E96">
        <w:t>s</w:t>
      </w:r>
      <w:r w:rsidR="00FD731C">
        <w:t xml:space="preserve"> in Chapter 4928.</w:t>
      </w:r>
    </w:p>
    <w:p w14:paraId="38A7CE2F" w14:textId="1AFDBB5A" w:rsidR="00887485" w:rsidRPr="00FE51DE" w:rsidRDefault="00887485" w:rsidP="00E820AA">
      <w:pPr>
        <w:pStyle w:val="Heading2"/>
      </w:pPr>
      <w:bookmarkStart w:id="10" w:name="_Toc452975216"/>
      <w:bookmarkStart w:id="11" w:name="_Toc451769332"/>
      <w:bookmarkStart w:id="12" w:name="_Toc451762653"/>
      <w:bookmarkStart w:id="13" w:name="_Toc451524174"/>
      <w:bookmarkStart w:id="14" w:name="_Toc470166162"/>
      <w:r w:rsidRPr="00FE51DE">
        <w:t xml:space="preserve">The claim that the Commission may authorize </w:t>
      </w:r>
      <w:r w:rsidR="001D7E96">
        <w:t xml:space="preserve">the </w:t>
      </w:r>
      <w:r w:rsidR="002105D6" w:rsidRPr="00FE51DE">
        <w:t>DMR</w:t>
      </w:r>
      <w:r w:rsidRPr="00FE51DE">
        <w:t xml:space="preserve"> by resolving an alleged conflict under R.C. 1.52 should be rejected because there is no conflict between R.C. 4928.143(B</w:t>
      </w:r>
      <w:proofErr w:type="gramStart"/>
      <w:r w:rsidRPr="00FE51DE">
        <w:t>)(</w:t>
      </w:r>
      <w:proofErr w:type="gramEnd"/>
      <w:r w:rsidRPr="00FE51DE">
        <w:t>2)(d) and 4928.38</w:t>
      </w:r>
      <w:bookmarkEnd w:id="10"/>
      <w:bookmarkEnd w:id="11"/>
      <w:bookmarkEnd w:id="12"/>
      <w:bookmarkEnd w:id="13"/>
      <w:bookmarkEnd w:id="14"/>
    </w:p>
    <w:p w14:paraId="7646729C" w14:textId="130923F9" w:rsidR="00887485" w:rsidRPr="00887485" w:rsidRDefault="00887485" w:rsidP="00C638E3">
      <w:pPr>
        <w:spacing w:line="480" w:lineRule="auto"/>
      </w:pPr>
      <w:r w:rsidRPr="00887485">
        <w:tab/>
        <w:t xml:space="preserve">In an alternative claim, DP&amp;L asserts that the </w:t>
      </w:r>
      <w:r w:rsidR="009428FF">
        <w:t>Commission</w:t>
      </w:r>
      <w:r w:rsidRPr="00887485">
        <w:t xml:space="preserve"> should </w:t>
      </w:r>
      <w:r w:rsidR="008A3245">
        <w:t>find that R.C. 4928.143(B)(2)</w:t>
      </w:r>
      <w:r w:rsidRPr="00887485">
        <w:t xml:space="preserve"> allows the Commi</w:t>
      </w:r>
      <w:r w:rsidR="008A3245">
        <w:t xml:space="preserve">ssion to ignore the prohibitions contained in R.C. 4928.02, 4928.17, and 4928.38 </w:t>
      </w:r>
      <w:r w:rsidRPr="00887485">
        <w:t xml:space="preserve">because R.C. 4928.143 was </w:t>
      </w:r>
      <w:r w:rsidR="008A3245">
        <w:t xml:space="preserve">later </w:t>
      </w:r>
      <w:r w:rsidRPr="00887485">
        <w:t>enacted.  This claim is premised on R.C. 1.52 and is applicable only if two statutes are irrecon</w:t>
      </w:r>
      <w:r w:rsidR="003B2C03">
        <w:t>cilable.  R.C. 4928.143(B</w:t>
      </w:r>
      <w:proofErr w:type="gramStart"/>
      <w:r w:rsidR="003B2C03">
        <w:t>)(</w:t>
      </w:r>
      <w:proofErr w:type="gramEnd"/>
      <w:r w:rsidR="003B2C03">
        <w:t>2)</w:t>
      </w:r>
      <w:r w:rsidRPr="00887485">
        <w:t xml:space="preserve"> is irreconcilable with </w:t>
      </w:r>
      <w:r w:rsidR="003B2C03">
        <w:t>the other statutes, however,</w:t>
      </w:r>
      <w:r w:rsidRPr="00887485">
        <w:t xml:space="preserve"> </w:t>
      </w:r>
      <w:r w:rsidR="003B2C03" w:rsidRPr="00887485">
        <w:t xml:space="preserve">only </w:t>
      </w:r>
      <w:r w:rsidRPr="00887485">
        <w:t xml:space="preserve">if the Commission reads words into </w:t>
      </w:r>
      <w:r w:rsidR="001D7E96">
        <w:t xml:space="preserve">the </w:t>
      </w:r>
      <w:r w:rsidRPr="00887485">
        <w:t xml:space="preserve">former statute </w:t>
      </w:r>
      <w:r w:rsidR="003B2C03">
        <w:t>such that R.C. 4928.143(B)(2)</w:t>
      </w:r>
      <w:r w:rsidRPr="00887485">
        <w:t xml:space="preserve"> would allow the Commission to authorize transition revenue or its equivalent</w:t>
      </w:r>
      <w:r w:rsidR="00A10BDC">
        <w:t xml:space="preserve"> or unlawful subsidies or preferences for DP&amp;L’s affiliates</w:t>
      </w:r>
      <w:r w:rsidRPr="00887485">
        <w:t xml:space="preserve">.  </w:t>
      </w:r>
    </w:p>
    <w:p w14:paraId="07A7AEDB" w14:textId="45A735F3" w:rsidR="00887485" w:rsidRPr="00887485" w:rsidRDefault="00887485" w:rsidP="00E820AA">
      <w:pPr>
        <w:spacing w:line="480" w:lineRule="auto"/>
        <w:ind w:firstLine="720"/>
      </w:pPr>
      <w:r w:rsidRPr="00887485">
        <w:t xml:space="preserve">The Court has rejected statutory interpretations that require it to add or subtract words from the statutory language.  “It is </w:t>
      </w:r>
      <w:r w:rsidRPr="00887485">
        <w:rPr>
          <w:bCs/>
        </w:rPr>
        <w:t>a</w:t>
      </w:r>
      <w:r w:rsidRPr="00887485">
        <w:t xml:space="preserve"> general rule that courts, </w:t>
      </w:r>
      <w:r w:rsidRPr="00887485">
        <w:rPr>
          <w:bCs/>
        </w:rPr>
        <w:t>in</w:t>
      </w:r>
      <w:r w:rsidRPr="00887485">
        <w:t xml:space="preserve"> the </w:t>
      </w:r>
      <w:r w:rsidRPr="00887485">
        <w:rPr>
          <w:bCs/>
        </w:rPr>
        <w:t>interpretation of a statute</w:t>
      </w:r>
      <w:r w:rsidRPr="00887485">
        <w:t xml:space="preserve">, may not take, strike or </w:t>
      </w:r>
      <w:r w:rsidRPr="00887485">
        <w:rPr>
          <w:bCs/>
        </w:rPr>
        <w:t>read</w:t>
      </w:r>
      <w:r w:rsidRPr="00887485">
        <w:t xml:space="preserve"> anything </w:t>
      </w:r>
      <w:r w:rsidRPr="00887485">
        <w:rPr>
          <w:bCs/>
        </w:rPr>
        <w:t>out</w:t>
      </w:r>
      <w:r w:rsidRPr="00887485">
        <w:t xml:space="preserve"> of </w:t>
      </w:r>
      <w:r w:rsidRPr="00887485">
        <w:rPr>
          <w:bCs/>
        </w:rPr>
        <w:t>a</w:t>
      </w:r>
      <w:r w:rsidRPr="00887485">
        <w:t xml:space="preserve"> </w:t>
      </w:r>
      <w:r w:rsidRPr="00887485">
        <w:rPr>
          <w:bCs/>
        </w:rPr>
        <w:t>statute</w:t>
      </w:r>
      <w:r w:rsidRPr="00887485">
        <w:t>, or delete, subtract or omit anything therefrom.”</w:t>
      </w:r>
      <w:r w:rsidR="00860791">
        <w:rPr>
          <w:rStyle w:val="FootnoteReference"/>
        </w:rPr>
        <w:footnoteReference w:id="37"/>
      </w:r>
      <w:r w:rsidRPr="00887485">
        <w:t xml:space="preserve">  The statutes as drafted are reconcilable because R.C. </w:t>
      </w:r>
      <w:r w:rsidRPr="00887485">
        <w:lastRenderedPageBreak/>
        <w:t>4928.143(B)(2) does not authorize the recovery of transition revenue or its equivalent</w:t>
      </w:r>
      <w:r w:rsidR="00A10BDC">
        <w:t xml:space="preserve"> or unlawful subsidies or preferences for DP&amp;L’s affiliates</w:t>
      </w:r>
      <w:r w:rsidRPr="00887485">
        <w:t xml:space="preserve"> and</w:t>
      </w:r>
      <w:r w:rsidR="001D7E96">
        <w:t>,</w:t>
      </w:r>
      <w:r w:rsidRPr="00887485">
        <w:t xml:space="preserve"> therefore, the statutory construction rule favoring later enacted statutes is inapplicable. </w:t>
      </w:r>
    </w:p>
    <w:p w14:paraId="46EBB57D" w14:textId="3ACD90F5" w:rsidR="00887485" w:rsidRPr="00887485" w:rsidRDefault="00887485" w:rsidP="00C638E3">
      <w:pPr>
        <w:spacing w:line="480" w:lineRule="auto"/>
      </w:pPr>
      <w:r w:rsidRPr="00887485">
        <w:tab/>
        <w:t xml:space="preserve">Even </w:t>
      </w:r>
      <w:r>
        <w:t xml:space="preserve">if </w:t>
      </w:r>
      <w:r w:rsidRPr="00887485">
        <w:t>there were a conflict, the rule would not apply due to t</w:t>
      </w:r>
      <w:r w:rsidR="001062FA">
        <w:t xml:space="preserve">he enactment of R.C. 4928.02(H), </w:t>
      </w:r>
      <w:r w:rsidRPr="00887485">
        <w:t>4928.141</w:t>
      </w:r>
      <w:r w:rsidR="001062FA">
        <w:t>, and 4928.17</w:t>
      </w:r>
      <w:r w:rsidRPr="00887485">
        <w:t xml:space="preserve"> in the same legislation.  When the General Assembly enacted R.C. 4928.143(B)(2) in SB 221, it also enacted R.C. 4928.141 prohibiting a</w:t>
      </w:r>
      <w:r w:rsidR="001062FA">
        <w:t xml:space="preserve">n allowance of transition costs, </w:t>
      </w:r>
      <w:r w:rsidRPr="00887485">
        <w:t xml:space="preserve">amended R.C. 4928.02(H) to prohibit </w:t>
      </w:r>
      <w:proofErr w:type="spellStart"/>
      <w:r w:rsidRPr="00887485">
        <w:t>nonbypassable</w:t>
      </w:r>
      <w:proofErr w:type="spellEnd"/>
      <w:r w:rsidRPr="00887485">
        <w:t xml:space="preserve"> collection of generation costs</w:t>
      </w:r>
      <w:r w:rsidR="001062FA">
        <w:t>, and amended R.C. 4928.17 to require Commission review of generation asset transfers</w:t>
      </w:r>
      <w:r w:rsidRPr="00887485">
        <w:t>.  Based on the General Assembly’s enactment of provisions prohibiting recovery of transition costs and undue subsidies of generation services in SB</w:t>
      </w:r>
      <w:r w:rsidR="001D7E96">
        <w:t> </w:t>
      </w:r>
      <w:r w:rsidRPr="00887485">
        <w:t xml:space="preserve">221, the claim that R.C. 1.52 requires the </w:t>
      </w:r>
      <w:r w:rsidR="009428FF">
        <w:t>Commission</w:t>
      </w:r>
      <w:r w:rsidRPr="00887485">
        <w:t xml:space="preserve"> to find that R.C. 4928.143(B)(2) permits DP&amp;L to bill and collect transition charges is without support.</w:t>
      </w:r>
    </w:p>
    <w:p w14:paraId="5B9E6383" w14:textId="77777777" w:rsidR="006E6508" w:rsidRPr="00FE51DE" w:rsidRDefault="008A7852" w:rsidP="00E820AA">
      <w:pPr>
        <w:pStyle w:val="Heading2"/>
      </w:pPr>
      <w:bookmarkStart w:id="15" w:name="_Toc470166163"/>
      <w:r w:rsidRPr="00FE51DE">
        <w:t>The DMR violates the prohibitions against undue subsidies, transition revenue or its equivalent, and undue preferences to affiliates</w:t>
      </w:r>
      <w:bookmarkEnd w:id="15"/>
    </w:p>
    <w:p w14:paraId="236C64B5" w14:textId="7129EEE2" w:rsidR="00162B99" w:rsidRDefault="00162B99" w:rsidP="00C638E3">
      <w:pPr>
        <w:spacing w:line="480" w:lineRule="auto"/>
      </w:pPr>
      <w:r>
        <w:tab/>
        <w:t>IEU-Ohio also demonstrated in its Motion to Dismiss th</w:t>
      </w:r>
      <w:r w:rsidR="00F231FE">
        <w:t>at DP&amp;L’s DMR was prohibited by</w:t>
      </w:r>
      <w:r>
        <w:t xml:space="preserve"> </w:t>
      </w:r>
      <w:r w:rsidR="001D7E96">
        <w:t xml:space="preserve">R.C. </w:t>
      </w:r>
      <w:r>
        <w:t xml:space="preserve">4928.17 because it provided an undue advantage or preference to its affiliate; R.C. 4928.02(H) because it was an anticompetitive subsidy; and </w:t>
      </w:r>
      <w:r w:rsidR="001D7E96">
        <w:t>R.C. </w:t>
      </w:r>
      <w:r>
        <w:t>4928.38 because it allowed DP&amp;L to collect transition revenue or its equivalent.  DP&amp;L off</w:t>
      </w:r>
      <w:r w:rsidR="00F231FE">
        <w:t xml:space="preserve">ers three baseless </w:t>
      </w:r>
      <w:r>
        <w:t xml:space="preserve">arguments as to why these prohibitions have </w:t>
      </w:r>
      <w:r w:rsidR="00F231FE">
        <w:t xml:space="preserve">not </w:t>
      </w:r>
      <w:r>
        <w:t>been violated.</w:t>
      </w:r>
      <w:r w:rsidR="00F231FE">
        <w:t xml:space="preserve"> </w:t>
      </w:r>
    </w:p>
    <w:p w14:paraId="549DFB23" w14:textId="77777777" w:rsidR="007C71B7" w:rsidRDefault="00162B99" w:rsidP="00C638E3">
      <w:pPr>
        <w:spacing w:line="480" w:lineRule="auto"/>
      </w:pPr>
      <w:r>
        <w:tab/>
        <w:t>Initially</w:t>
      </w:r>
      <w:r w:rsidR="005B15DC">
        <w:t>,</w:t>
      </w:r>
      <w:r>
        <w:t xml:space="preserve"> DP&amp;L claims that the corporate separation statute is no longer applicable to DP&amp;L because it sells all of its generation output into the market. </w:t>
      </w:r>
      <w:r w:rsidR="0049118D">
        <w:t xml:space="preserve"> </w:t>
      </w:r>
      <w:r w:rsidR="00D8642C">
        <w:t xml:space="preserve">DP&amp;L is not correct.  R.C. 4928.17 applies to an electric utility that provides noncompetitive retail electric service and a competitive retail electric service; DP&amp;L provides both.  </w:t>
      </w:r>
    </w:p>
    <w:p w14:paraId="55F056EF" w14:textId="7B102D16" w:rsidR="00555377" w:rsidRDefault="007C71B7" w:rsidP="00C638E3">
      <w:pPr>
        <w:spacing w:line="480" w:lineRule="auto"/>
      </w:pPr>
      <w:r>
        <w:lastRenderedPageBreak/>
        <w:tab/>
      </w:r>
      <w:r w:rsidR="00D8642C">
        <w:t>P</w:t>
      </w:r>
      <w:r w:rsidR="005B15DC">
        <w:t xml:space="preserve">ursuant to R.C. 4928.141, </w:t>
      </w:r>
      <w:r w:rsidR="0049118D">
        <w:t>DP&amp;L is required to provide default generation service to those customers that do not take service from a competitive retail electr</w:t>
      </w:r>
      <w:r w:rsidR="00555377">
        <w:t>ic service</w:t>
      </w:r>
      <w:r w:rsidR="001D7E96">
        <w:t xml:space="preserve"> (“CRES”)</w:t>
      </w:r>
      <w:r w:rsidR="00555377">
        <w:t xml:space="preserve"> provider.  T</w:t>
      </w:r>
      <w:r w:rsidR="005B15DC">
        <w:t xml:space="preserve">he provision </w:t>
      </w:r>
      <w:r w:rsidR="00555377">
        <w:t>of the SSO is a</w:t>
      </w:r>
      <w:r w:rsidR="005B15DC">
        <w:t xml:space="preserve"> competitive retail electric service to non</w:t>
      </w:r>
      <w:r w:rsidR="001D7E96">
        <w:t>-</w:t>
      </w:r>
      <w:r w:rsidR="005B15DC">
        <w:t xml:space="preserve">shopping customers.  </w:t>
      </w:r>
      <w:r w:rsidR="00555377">
        <w:t xml:space="preserve">See R.C. 4928.05(A).  </w:t>
      </w:r>
      <w:r w:rsidR="00D8642C">
        <w:t>DP&amp;L also provides</w:t>
      </w:r>
      <w:r w:rsidR="001E574A">
        <w:t xml:space="preserve"> noncompetitive distribution service.  Thus, DP&amp;L provides both competitive and noncompetitive retail electric services.</w:t>
      </w:r>
    </w:p>
    <w:p w14:paraId="4B589E7E" w14:textId="60B5AFE1" w:rsidR="001E574A" w:rsidRDefault="001E574A" w:rsidP="00C638E3">
      <w:pPr>
        <w:spacing w:line="480" w:lineRule="auto"/>
      </w:pPr>
      <w:r>
        <w:tab/>
      </w:r>
      <w:r w:rsidR="00EE6B86">
        <w:t>R.C. 4928.17 also applies when an electric utility provides a noncompetitive retail electric service and a product or service other than retail electric service.  Because the DMR is not directly related to any retail electric service</w:t>
      </w:r>
      <w:r w:rsidR="00E820AA">
        <w:t>,</w:t>
      </w:r>
      <w:r w:rsidR="00EE6B86">
        <w:t xml:space="preserve"> it can only be classified as a product or service other than retail electric service.  Thus, if the DMR were approved, DP&amp;L would </w:t>
      </w:r>
      <w:r w:rsidR="002330F2">
        <w:t>still be subject to R.C. 4928.17 even if it provided no competitive retail electric services.</w:t>
      </w:r>
    </w:p>
    <w:p w14:paraId="5EB30E64" w14:textId="35293793" w:rsidR="00263153" w:rsidRDefault="00555377" w:rsidP="00C638E3">
      <w:pPr>
        <w:spacing w:line="480" w:lineRule="auto"/>
      </w:pPr>
      <w:r>
        <w:tab/>
      </w:r>
      <w:r w:rsidR="005B15DC">
        <w:t xml:space="preserve">DP&amp;L also claims that </w:t>
      </w:r>
      <w:r w:rsidR="00543326">
        <w:t xml:space="preserve">the DMR does not violate the Commission’s rules, but if it did </w:t>
      </w:r>
      <w:r w:rsidR="005B15DC">
        <w:t>the Commission can waive its own rules.</w:t>
      </w:r>
      <w:r w:rsidR="005B15DC">
        <w:rPr>
          <w:rStyle w:val="FootnoteReference"/>
        </w:rPr>
        <w:footnoteReference w:id="38"/>
      </w:r>
      <w:r w:rsidR="005B15DC">
        <w:t xml:space="preserve">  </w:t>
      </w:r>
      <w:r w:rsidR="00263153">
        <w:t>Initially, t</w:t>
      </w:r>
      <w:r w:rsidR="005B15DC" w:rsidRPr="00E820AA">
        <w:t>he Commission’s ability to waive its rules is constrained when the requirement is also required by statute.</w:t>
      </w:r>
      <w:r w:rsidR="00E9606D" w:rsidRPr="00E820AA">
        <w:rPr>
          <w:rStyle w:val="FootnoteReference"/>
        </w:rPr>
        <w:footnoteReference w:id="39"/>
      </w:r>
      <w:r w:rsidR="005B15DC" w:rsidRPr="00E820AA">
        <w:t xml:space="preserve">  </w:t>
      </w:r>
      <w:r w:rsidR="00DA48E9">
        <w:t>R.C. 4928.17</w:t>
      </w:r>
      <w:r w:rsidR="005B15DC">
        <w:t xml:space="preserve"> prohibits </w:t>
      </w:r>
      <w:r w:rsidR="001D7E96">
        <w:t xml:space="preserve">undue </w:t>
      </w:r>
      <w:r w:rsidR="005B15DC">
        <w:t>affiliate preferences</w:t>
      </w:r>
      <w:r w:rsidR="002C4841">
        <w:t>.  T</w:t>
      </w:r>
      <w:r w:rsidR="005B15DC">
        <w:t xml:space="preserve">he Commission’s rules </w:t>
      </w:r>
      <w:r w:rsidR="002C4841">
        <w:t>similarly specify that the EDU may not provide an undue preference to its affiliate.</w:t>
      </w:r>
      <w:r w:rsidR="002C4841">
        <w:rPr>
          <w:rStyle w:val="FootnoteReference"/>
        </w:rPr>
        <w:footnoteReference w:id="40"/>
      </w:r>
      <w:r w:rsidR="002C4841">
        <w:t xml:space="preserve">  </w:t>
      </w:r>
      <w:r w:rsidR="005B15DC">
        <w:t>Because the prohibition on undue affiliate preferences</w:t>
      </w:r>
      <w:r w:rsidR="00EF49F0">
        <w:t xml:space="preserve"> set forth in Rule 4901:1-37-04, O.A.C.,</w:t>
      </w:r>
      <w:r w:rsidR="005B15DC">
        <w:t xml:space="preserve"> is </w:t>
      </w:r>
      <w:r w:rsidR="00EF49F0">
        <w:t xml:space="preserve">also </w:t>
      </w:r>
      <w:r w:rsidR="005B15DC">
        <w:t>required by statute</w:t>
      </w:r>
      <w:r w:rsidR="00E820AA">
        <w:t>,</w:t>
      </w:r>
      <w:r w:rsidR="005B15DC">
        <w:t xml:space="preserve"> the Commission cannot waive the rule.</w:t>
      </w:r>
      <w:r w:rsidR="00543326">
        <w:t xml:space="preserve">  </w:t>
      </w:r>
    </w:p>
    <w:p w14:paraId="741CDEC1" w14:textId="544AD44B" w:rsidR="000B0052" w:rsidRDefault="00263153" w:rsidP="00C638E3">
      <w:pPr>
        <w:spacing w:line="480" w:lineRule="auto"/>
      </w:pPr>
      <w:r>
        <w:tab/>
        <w:t xml:space="preserve">Furthermore, the DMR violates the </w:t>
      </w:r>
      <w:r w:rsidR="004B0B9F">
        <w:t>affiliate transaction restrictions</w:t>
      </w:r>
      <w:r>
        <w:t xml:space="preserve"> specified in Rule 4901:1-37-04(C), O.A.C.  </w:t>
      </w:r>
      <w:r w:rsidR="00B466C7">
        <w:t xml:space="preserve">This rule prohibits EDUs from entering into any arrangement </w:t>
      </w:r>
      <w:r w:rsidR="00B466C7">
        <w:lastRenderedPageBreak/>
        <w:t>that would maintain the financial viability of an affiliate and from entering into any arrangement where the EDU would be responsible for an affiliate’s debt.</w:t>
      </w:r>
      <w:r w:rsidR="00C93A68">
        <w:rPr>
          <w:rStyle w:val="FootnoteReference"/>
        </w:rPr>
        <w:footnoteReference w:id="41"/>
      </w:r>
      <w:r w:rsidR="00B466C7">
        <w:t xml:space="preserve">  </w:t>
      </w:r>
      <w:r w:rsidR="00EF49F0">
        <w:t xml:space="preserve">Although DP&amp;L asserts </w:t>
      </w:r>
      <w:r w:rsidR="004B0B9F">
        <w:t>that the DMR does not make DP&amp;L responsible for DPL Inc.’s debt</w:t>
      </w:r>
      <w:r w:rsidR="00EF49F0">
        <w:t>,</w:t>
      </w:r>
      <w:r w:rsidR="00C71A20">
        <w:t xml:space="preserve"> t</w:t>
      </w:r>
      <w:r w:rsidR="000B0052">
        <w:t xml:space="preserve">he testimony of Mr. Jackson </w:t>
      </w:r>
      <w:r w:rsidR="00817394">
        <w:t xml:space="preserve">makes clear that </w:t>
      </w:r>
      <w:r w:rsidR="00847078">
        <w:t xml:space="preserve">DP&amp;L plans to use </w:t>
      </w:r>
      <w:r w:rsidR="009E38F1">
        <w:t>the DMR revenue</w:t>
      </w:r>
      <w:r w:rsidR="00847078">
        <w:t>s</w:t>
      </w:r>
      <w:r w:rsidR="009E38F1">
        <w:t xml:space="preserve"> to pay down debt at DPL Inc.</w:t>
      </w:r>
      <w:r w:rsidR="009E38F1">
        <w:rPr>
          <w:rStyle w:val="FootnoteReference"/>
        </w:rPr>
        <w:footnoteReference w:id="42"/>
      </w:r>
      <w:r w:rsidR="00716A19">
        <w:t xml:space="preserve">  Thus, the restrictions in Rule 4901:1-37-04(C), O.A.C., would be violated if the Commission authorized the DMR.</w:t>
      </w:r>
    </w:p>
    <w:p w14:paraId="63FFF9DE" w14:textId="46BF0B56" w:rsidR="005B15DC" w:rsidRDefault="000B0052" w:rsidP="00C638E3">
      <w:pPr>
        <w:spacing w:line="480" w:lineRule="auto"/>
      </w:pPr>
      <w:r>
        <w:tab/>
      </w:r>
      <w:r w:rsidR="00984B6C">
        <w:t>DP&amp;L also offers a nonsensical argument about DP&amp;L’s credit rating being notched to DPL Inc. for credit rating purposes.</w:t>
      </w:r>
      <w:r w:rsidR="00984B6C">
        <w:rPr>
          <w:rStyle w:val="FootnoteReference"/>
        </w:rPr>
        <w:footnoteReference w:id="43"/>
      </w:r>
      <w:r w:rsidR="00984B6C">
        <w:t xml:space="preserve">  </w:t>
      </w:r>
      <w:r w:rsidR="00847078">
        <w:t>Whatever impact or relationship credit ratings may have to the DMR, this impact or relationship cannot be used to bypass the requirements in Ohio law and the Commission</w:t>
      </w:r>
      <w:r w:rsidR="00293165">
        <w:t>’s rules that make it clear</w:t>
      </w:r>
      <w:r w:rsidR="00847078">
        <w:t xml:space="preserve"> that an EDU cannot maintain the financial viability of an affiliate; that an EDU cannot be held liable for the acquisition debt of an affiliate; and that an EDU is not responsible for its affiliate’s debt.</w:t>
      </w:r>
      <w:r w:rsidR="00847078">
        <w:rPr>
          <w:rStyle w:val="FootnoteReference"/>
        </w:rPr>
        <w:footnoteReference w:id="44"/>
      </w:r>
    </w:p>
    <w:p w14:paraId="665C7007" w14:textId="40B3434F" w:rsidR="00FE51DE" w:rsidRDefault="005B15DC" w:rsidP="00C638E3">
      <w:pPr>
        <w:spacing w:line="480" w:lineRule="auto"/>
      </w:pPr>
      <w:r>
        <w:tab/>
        <w:t>DP&amp;L next claims that the DMR does not violate R.C. 4928.02(H) because it</w:t>
      </w:r>
      <w:r w:rsidR="0071769B">
        <w:t xml:space="preserve"> i</w:t>
      </w:r>
      <w:r>
        <w:t xml:space="preserve">s designed to maintain DP&amp;L’s financial integrity and because DP&amp;L has taken steps to improve its finances.  Implementing </w:t>
      </w:r>
      <w:proofErr w:type="spellStart"/>
      <w:r>
        <w:t>nonbypassable</w:t>
      </w:r>
      <w:proofErr w:type="spellEnd"/>
      <w:r>
        <w:t xml:space="preserve"> charges that are uniquely available to DP&amp;L to pay down generation debt it claims it cannot transfer to an affiliate and to pay down parent company debt is an advantage no</w:t>
      </w:r>
      <w:r w:rsidR="0071769B">
        <w:t>t</w:t>
      </w:r>
      <w:r>
        <w:t xml:space="preserve"> available in the marketplace to DP&amp;L </w:t>
      </w:r>
      <w:r>
        <w:lastRenderedPageBreak/>
        <w:t>(and DPL Inc.’s competitors</w:t>
      </w:r>
      <w:r w:rsidR="00E820AA">
        <w:t>)</w:t>
      </w:r>
      <w:r>
        <w:t>.</w:t>
      </w:r>
      <w:r w:rsidR="009049B8">
        <w:rPr>
          <w:rStyle w:val="FootnoteReference"/>
        </w:rPr>
        <w:footnoteReference w:id="45"/>
      </w:r>
      <w:r>
        <w:t xml:space="preserve">  It</w:t>
      </w:r>
      <w:r w:rsidR="00F776D1">
        <w:t>,</w:t>
      </w:r>
      <w:r>
        <w:t xml:space="preserve"> by definition, is a subsidy to DP&amp;L and its corporate parent.</w:t>
      </w:r>
    </w:p>
    <w:p w14:paraId="2B23BB6E" w14:textId="332893A6" w:rsidR="00397E8A" w:rsidRPr="00397E8A" w:rsidRDefault="00E925B2" w:rsidP="00397E8A">
      <w:pPr>
        <w:spacing w:line="480" w:lineRule="auto"/>
      </w:pPr>
      <w:r>
        <w:tab/>
        <w:t>Finally, DP&amp;L claims that the DMR is not transition revenue or its equivalent because transition costs are limited to historic costs</w:t>
      </w:r>
      <w:r w:rsidR="000B69C2">
        <w:t xml:space="preserve"> and because DP&amp;L has not proposed any transition in this case</w:t>
      </w:r>
      <w:r>
        <w:t>.</w:t>
      </w:r>
      <w:r w:rsidR="009049B8">
        <w:rPr>
          <w:rStyle w:val="FootnoteReference"/>
        </w:rPr>
        <w:footnoteReference w:id="46"/>
      </w:r>
      <w:r w:rsidR="00F776D1">
        <w:t xml:space="preserve"> </w:t>
      </w:r>
      <w:r w:rsidR="009049B8">
        <w:t xml:space="preserve"> </w:t>
      </w:r>
      <w:r w:rsidR="000821F3">
        <w:t xml:space="preserve">The Court has already rejected the narrow view to the statutory prohibition DP&amp;L urges in its Memo Contra.  </w:t>
      </w:r>
      <w:r w:rsidR="00397E8A" w:rsidRPr="00397E8A">
        <w:t>In the case that formed the basis of the Court’s reversal of the SSR, the C</w:t>
      </w:r>
      <w:r w:rsidR="00027E26">
        <w:t>ourt held</w:t>
      </w:r>
      <w:r w:rsidR="00397E8A" w:rsidRPr="00397E8A">
        <w:t>:</w:t>
      </w:r>
    </w:p>
    <w:p w14:paraId="2B0177CC" w14:textId="14DA3C7C" w:rsidR="00397E8A" w:rsidRDefault="00397E8A" w:rsidP="00E820AA">
      <w:pPr>
        <w:ind w:left="720" w:right="720"/>
      </w:pPr>
      <w:r w:rsidRPr="00397E8A">
        <w:t xml:space="preserve">[The Commission’s and AEP-Ohio’s] overly narrow definition of transition revenue overlooks that R.C. 4928.38 bars “the receipt of transition revenues </w:t>
      </w:r>
      <w:r w:rsidRPr="00397E8A">
        <w:rPr>
          <w:i/>
        </w:rPr>
        <w:t>or any equivalent revenues</w:t>
      </w:r>
      <w:r w:rsidRPr="00397E8A">
        <w:t xml:space="preserve"> by an electric utility” after 2010.  (Emphasis added.) By inserting the phrase “any equivalent revenues,” the General Assembly has demonstrated its intention to bar not only transition revenue associated with costs that were stranded during the transition to market following S.B. 3 but also any revenue that amounts to transition revenue by another name.</w:t>
      </w:r>
      <w:r w:rsidRPr="00397E8A">
        <w:rPr>
          <w:vertAlign w:val="superscript"/>
        </w:rPr>
        <w:footnoteReference w:id="47"/>
      </w:r>
    </w:p>
    <w:p w14:paraId="04239E08" w14:textId="77777777" w:rsidR="00E820AA" w:rsidRDefault="00E820AA" w:rsidP="00E820AA">
      <w:pPr>
        <w:ind w:left="720" w:right="720"/>
      </w:pPr>
    </w:p>
    <w:p w14:paraId="28C217D5" w14:textId="08F8D840" w:rsidR="00711ACA" w:rsidRDefault="00027E26" w:rsidP="00C638E3">
      <w:pPr>
        <w:spacing w:line="480" w:lineRule="auto"/>
      </w:pPr>
      <w:r>
        <w:tab/>
        <w:t xml:space="preserve">Furthermore, </w:t>
      </w:r>
      <w:r w:rsidR="00E925B2">
        <w:t>DP&amp;L</w:t>
      </w:r>
      <w:r w:rsidR="00E820AA">
        <w:t>’s</w:t>
      </w:r>
      <w:r w:rsidR="00E925B2">
        <w:t xml:space="preserve"> </w:t>
      </w:r>
      <w:r w:rsidR="00CC7D40">
        <w:t>argument about historic costs has already been rejected.  I</w:t>
      </w:r>
      <w:r w:rsidR="00E925B2">
        <w:t>n defense of the SSR</w:t>
      </w:r>
      <w:r w:rsidR="00E820AA">
        <w:t>,</w:t>
      </w:r>
      <w:r w:rsidR="00CC7D40">
        <w:t xml:space="preserve"> DP&amp;L argued to the Court </w:t>
      </w:r>
      <w:r w:rsidR="00A94390">
        <w:t>that the SSR did not provide for the recovery of transition revenue because “transition costs are defined by statute as historic costs that a utility incurred in the past (generally, costs of constructing generation plan</w:t>
      </w:r>
      <w:r w:rsidR="00A94390" w:rsidRPr="000B10EA">
        <w:t>ts).”</w:t>
      </w:r>
      <w:r w:rsidR="009049B8">
        <w:rPr>
          <w:rStyle w:val="FootnoteReference"/>
        </w:rPr>
        <w:footnoteReference w:id="48"/>
      </w:r>
      <w:r w:rsidR="00F776D1">
        <w:t xml:space="preserve"> </w:t>
      </w:r>
      <w:r w:rsidR="000B10EA">
        <w:t xml:space="preserve"> </w:t>
      </w:r>
      <w:r w:rsidR="00E925B2">
        <w:t xml:space="preserve">The Court rejected </w:t>
      </w:r>
      <w:r w:rsidR="008C5331">
        <w:t xml:space="preserve">DP&amp;L’s </w:t>
      </w:r>
      <w:r w:rsidR="00E925B2">
        <w:t xml:space="preserve">argument </w:t>
      </w:r>
      <w:r w:rsidR="00711ACA">
        <w:t xml:space="preserve">reversing the authorization of DP&amp;L’s SSR with citation </w:t>
      </w:r>
      <w:r w:rsidR="008C5331">
        <w:t xml:space="preserve">citing the case that is </w:t>
      </w:r>
      <w:r w:rsidR="00711ACA">
        <w:t>the source of the quote above.</w:t>
      </w:r>
      <w:r w:rsidR="00E713C1">
        <w:rPr>
          <w:rStyle w:val="FootnoteReference"/>
        </w:rPr>
        <w:footnoteReference w:id="49"/>
      </w:r>
      <w:r w:rsidR="00711ACA">
        <w:t xml:space="preserve">  </w:t>
      </w:r>
    </w:p>
    <w:p w14:paraId="1171F2FD" w14:textId="666C6F51" w:rsidR="00711ACA" w:rsidRDefault="00CC7D40" w:rsidP="00C638E3">
      <w:pPr>
        <w:spacing w:line="480" w:lineRule="auto"/>
      </w:pPr>
      <w:r>
        <w:lastRenderedPageBreak/>
        <w:tab/>
        <w:t xml:space="preserve">DP&amp;L’s second argument </w:t>
      </w:r>
      <w:r w:rsidR="00F65BA3">
        <w:t xml:space="preserve">regarding the lack of a transition is </w:t>
      </w:r>
      <w:r w:rsidR="00F00FE8">
        <w:t xml:space="preserve">both incorrect and </w:t>
      </w:r>
      <w:r w:rsidR="0090248C">
        <w:t>irrelevant to</w:t>
      </w:r>
      <w:r w:rsidR="00F00FE8">
        <w:t xml:space="preserve"> the determination of whether a charge allows for the collection of transition revenue </w:t>
      </w:r>
      <w:r w:rsidR="00F00FE8">
        <w:rPr>
          <w:i/>
        </w:rPr>
        <w:t>or any equivalent revenue</w:t>
      </w:r>
      <w:r w:rsidR="00F00FE8">
        <w:t>.  Initially, in its Memo Contra</w:t>
      </w:r>
      <w:r w:rsidR="00E820AA">
        <w:t>,</w:t>
      </w:r>
      <w:r w:rsidR="00F00FE8">
        <w:t xml:space="preserve"> </w:t>
      </w:r>
      <w:r w:rsidR="0090248C">
        <w:t>DP&amp;L explains the transition that</w:t>
      </w:r>
      <w:r w:rsidR="00F00FE8">
        <w:t xml:space="preserve"> it claims the DMR will provide:  “[the DMR] is designed to provide DP&amp;L with a path to pay down debt to allow investments and modernization of the distribution and transmission grid.”</w:t>
      </w:r>
      <w:r w:rsidR="00F00FE8">
        <w:rPr>
          <w:rStyle w:val="FootnoteReference"/>
        </w:rPr>
        <w:footnoteReference w:id="50"/>
      </w:r>
      <w:r w:rsidR="00F00FE8">
        <w:t xml:space="preserve">  </w:t>
      </w:r>
      <w:r w:rsidR="0090248C">
        <w:t>Thus, DP&amp;L’s claim, even if relevant</w:t>
      </w:r>
      <w:r w:rsidR="00E820AA">
        <w:t>,</w:t>
      </w:r>
      <w:r w:rsidR="0090248C">
        <w:t xml:space="preserve"> is contradicted by its own claims.</w:t>
      </w:r>
    </w:p>
    <w:p w14:paraId="30EEF575" w14:textId="61810CA7" w:rsidR="00C5217F" w:rsidRDefault="0090248C" w:rsidP="00C638E3">
      <w:pPr>
        <w:spacing w:line="480" w:lineRule="auto"/>
      </w:pPr>
      <w:r>
        <w:tab/>
        <w:t xml:space="preserve">Furthermore, as the Court made clear in </w:t>
      </w:r>
      <w:r>
        <w:rPr>
          <w:i/>
        </w:rPr>
        <w:t>Columbus Southern</w:t>
      </w:r>
      <w:r>
        <w:t xml:space="preserve">, the statutory prohibition extends to the collection of transition revenue </w:t>
      </w:r>
      <w:r>
        <w:rPr>
          <w:i/>
        </w:rPr>
        <w:t>or any equivalent revenue</w:t>
      </w:r>
      <w:r w:rsidR="00E713C1">
        <w:t xml:space="preserve"> and it is the </w:t>
      </w:r>
      <w:r w:rsidR="00E820AA">
        <w:t xml:space="preserve">true </w:t>
      </w:r>
      <w:r w:rsidR="00E713C1">
        <w:t>nature of the charge that dictates whether it violates this prohibition.</w:t>
      </w:r>
      <w:r w:rsidR="00E713C1">
        <w:rPr>
          <w:rStyle w:val="FootnoteReference"/>
        </w:rPr>
        <w:footnoteReference w:id="51"/>
      </w:r>
      <w:r w:rsidR="00E713C1">
        <w:t xml:space="preserve">  </w:t>
      </w:r>
      <w:r w:rsidR="00C5217F">
        <w:t xml:space="preserve">Regardless of whether there is a statutorily defined transition (as there was under SB 3), a charge that serves the same purpose is unlawful.  And the purpose of the DMR is to provide DP&amp;L with revenue it cannot secure in the competitive generation market.  This is clear from DP&amp;L’s </w:t>
      </w:r>
      <w:r w:rsidR="009E2EAF">
        <w:t>testimony</w:t>
      </w:r>
      <w:r w:rsidR="00C5217F">
        <w:t>.</w:t>
      </w:r>
    </w:p>
    <w:p w14:paraId="5DE1BF03" w14:textId="7C7C2AB4" w:rsidR="0090248C" w:rsidRPr="0090248C" w:rsidRDefault="00C5217F" w:rsidP="00C638E3">
      <w:pPr>
        <w:spacing w:line="480" w:lineRule="auto"/>
      </w:pPr>
      <w:r>
        <w:tab/>
        <w:t xml:space="preserve">In both the testimony of Mr. Jackson and Mr. </w:t>
      </w:r>
      <w:proofErr w:type="spellStart"/>
      <w:r>
        <w:t>Malinak</w:t>
      </w:r>
      <w:proofErr w:type="spellEnd"/>
      <w:r>
        <w:t xml:space="preserve">, DP&amp;L ties the DMR to </w:t>
      </w:r>
      <w:r w:rsidR="005D726A">
        <w:t>lower than desired wholesale generation prices.  Mr. Jackson testifies that low wholesale market prices are one of several factors driving DP&amp;L’s claimed need for the DMR.</w:t>
      </w:r>
      <w:r w:rsidR="005D726A">
        <w:rPr>
          <w:rStyle w:val="FootnoteReference"/>
        </w:rPr>
        <w:footnoteReference w:id="52"/>
      </w:r>
      <w:r w:rsidR="005D726A">
        <w:t xml:space="preserve">  Mr. </w:t>
      </w:r>
      <w:proofErr w:type="spellStart"/>
      <w:r w:rsidR="005D726A">
        <w:t>Malinak</w:t>
      </w:r>
      <w:proofErr w:type="spellEnd"/>
      <w:r w:rsidR="005D726A">
        <w:t xml:space="preserve"> testifies that the financial analysis that underlies the DMR is the same financial </w:t>
      </w:r>
      <w:r w:rsidR="005D726A">
        <w:lastRenderedPageBreak/>
        <w:t>analysis that DP&amp;L used to justify the SSR.</w:t>
      </w:r>
      <w:r w:rsidR="005D726A">
        <w:rPr>
          <w:rStyle w:val="FootnoteReference"/>
        </w:rPr>
        <w:footnoteReference w:id="53"/>
      </w:r>
      <w:r>
        <w:t xml:space="preserve"> </w:t>
      </w:r>
      <w:r w:rsidR="004637FE">
        <w:t xml:space="preserve"> As explained by DP&amp;L</w:t>
      </w:r>
      <w:r w:rsidR="00CC248D">
        <w:t xml:space="preserve"> in its last ESP case</w:t>
      </w:r>
      <w:r w:rsidR="004637FE">
        <w:t>, the primary driver for its claimed need for the SSR was low wholesale market prices.</w:t>
      </w:r>
      <w:r w:rsidR="004637FE">
        <w:rPr>
          <w:rStyle w:val="FootnoteReference"/>
        </w:rPr>
        <w:footnoteReference w:id="54"/>
      </w:r>
    </w:p>
    <w:p w14:paraId="0342BBC6" w14:textId="1D31EC42" w:rsidR="00FE51DE" w:rsidRDefault="00F83E3A" w:rsidP="00C638E3">
      <w:pPr>
        <w:spacing w:line="480" w:lineRule="auto"/>
      </w:pPr>
      <w:r>
        <w:tab/>
      </w:r>
      <w:r w:rsidR="00140D53">
        <w:t>Accordingly, because t</w:t>
      </w:r>
      <w:r w:rsidR="00140D53" w:rsidRPr="00FE51DE">
        <w:t>he DMR violates the prohibitions against undue subsidies, transition revenue or its equivalent, and undue preferences to affiliates</w:t>
      </w:r>
      <w:r w:rsidR="00640258">
        <w:t>,</w:t>
      </w:r>
      <w:r w:rsidR="00140D53">
        <w:t xml:space="preserve"> </w:t>
      </w:r>
      <w:r w:rsidR="00254E57">
        <w:t>the charge may not lawfully be authorized in this case.</w:t>
      </w:r>
    </w:p>
    <w:p w14:paraId="322A5EBE" w14:textId="26B0E501" w:rsidR="00FE51DE" w:rsidRDefault="00FE51DE" w:rsidP="00E820AA">
      <w:pPr>
        <w:pStyle w:val="Heading1"/>
      </w:pPr>
      <w:bookmarkStart w:id="16" w:name="_Toc470166164"/>
      <w:r w:rsidRPr="00FE51DE">
        <w:t>Conclusion</w:t>
      </w:r>
      <w:bookmarkEnd w:id="16"/>
    </w:p>
    <w:p w14:paraId="152F2F97" w14:textId="186076FA" w:rsidR="00C638E3" w:rsidRDefault="00254E57" w:rsidP="00E820AA">
      <w:pPr>
        <w:spacing w:line="480" w:lineRule="auto"/>
      </w:pPr>
      <w:r>
        <w:tab/>
        <w:t>As demonstrated in the Motion to Dismiss the DMR and herein</w:t>
      </w:r>
      <w:r w:rsidR="00640258">
        <w:t>,</w:t>
      </w:r>
      <w:r>
        <w:t xml:space="preserve"> the charge may not lawfully be authorized under </w:t>
      </w:r>
      <w:r w:rsidR="00640258">
        <w:t>R.C. 4928.143 and its authorization</w:t>
      </w:r>
      <w:r>
        <w:t xml:space="preserve"> is prohibited by R.C</w:t>
      </w:r>
      <w:r w:rsidR="00640258">
        <w:t>. 4928.02(H),</w:t>
      </w:r>
      <w:r>
        <w:t xml:space="preserve"> 4928.17, and 4928.38.  Accordingly, the Commission should dismiss the DMR from DP&amp;L’s ESP application.</w:t>
      </w:r>
    </w:p>
    <w:p w14:paraId="5A338C2C" w14:textId="273C42EB" w:rsidR="00C638E3" w:rsidRDefault="00C638E3" w:rsidP="00C638E3">
      <w:pPr>
        <w:tabs>
          <w:tab w:val="left" w:pos="4320"/>
          <w:tab w:val="right" w:pos="8640"/>
        </w:tabs>
        <w:ind w:left="4140"/>
        <w:rPr>
          <w:rFonts w:eastAsia="Times New Roman"/>
        </w:rPr>
      </w:pPr>
      <w:r>
        <w:rPr>
          <w:rFonts w:eastAsia="Times New Roman"/>
        </w:rPr>
        <w:t>Respectfully submitted,</w:t>
      </w:r>
      <w:r w:rsidDel="00B74E43">
        <w:rPr>
          <w:rFonts w:eastAsia="Times New Roman"/>
        </w:rPr>
        <w:t xml:space="preserve"> </w:t>
      </w:r>
    </w:p>
    <w:p w14:paraId="06955578" w14:textId="77777777" w:rsidR="00C638E3" w:rsidRDefault="00C638E3" w:rsidP="00C638E3">
      <w:pPr>
        <w:tabs>
          <w:tab w:val="left" w:pos="4320"/>
          <w:tab w:val="right" w:pos="8640"/>
        </w:tabs>
        <w:ind w:left="4140"/>
        <w:rPr>
          <w:rFonts w:eastAsia="Times New Roman"/>
          <w:i/>
          <w:u w:val="single"/>
        </w:rPr>
      </w:pPr>
    </w:p>
    <w:p w14:paraId="29FC9C22" w14:textId="77777777" w:rsidR="00C638E3" w:rsidRPr="00935789" w:rsidRDefault="00C638E3" w:rsidP="00C638E3">
      <w:pPr>
        <w:tabs>
          <w:tab w:val="right" w:pos="8640"/>
        </w:tabs>
        <w:ind w:left="4140"/>
        <w:rPr>
          <w:rFonts w:eastAsia="Times New Roman"/>
          <w:i/>
          <w:u w:val="single"/>
        </w:rPr>
      </w:pPr>
      <w:r w:rsidRPr="00935789">
        <w:rPr>
          <w:rFonts w:eastAsia="Times New Roman"/>
          <w:i/>
          <w:u w:val="single"/>
        </w:rPr>
        <w:t xml:space="preserve">/s/ </w:t>
      </w:r>
      <w:r>
        <w:rPr>
          <w:rFonts w:eastAsia="Times New Roman"/>
          <w:i/>
          <w:u w:val="single"/>
        </w:rPr>
        <w:t>Matthew R. Pritchard</w:t>
      </w:r>
      <w:r w:rsidRPr="00935789">
        <w:rPr>
          <w:rFonts w:eastAsia="Times New Roman"/>
          <w:i/>
          <w:u w:val="single"/>
        </w:rPr>
        <w:tab/>
      </w:r>
    </w:p>
    <w:p w14:paraId="5AFE9F63" w14:textId="77777777" w:rsidR="00C638E3" w:rsidRDefault="00C638E3" w:rsidP="00C638E3">
      <w:pPr>
        <w:widowControl w:val="0"/>
        <w:ind w:left="4140"/>
        <w:rPr>
          <w:rFonts w:eastAsia="Calibri"/>
          <w:bCs/>
        </w:rPr>
      </w:pPr>
      <w:r>
        <w:rPr>
          <w:rFonts w:eastAsia="Calibri"/>
          <w:bCs/>
        </w:rPr>
        <w:t>Frank P. Darr (Reg. No. 0025469)</w:t>
      </w:r>
    </w:p>
    <w:p w14:paraId="75358D67" w14:textId="77777777" w:rsidR="00C638E3" w:rsidRDefault="00C638E3" w:rsidP="00C638E3">
      <w:pPr>
        <w:widowControl w:val="0"/>
        <w:ind w:left="4140"/>
        <w:rPr>
          <w:rFonts w:eastAsia="Calibri"/>
          <w:bCs/>
        </w:rPr>
      </w:pPr>
      <w:r>
        <w:rPr>
          <w:rFonts w:eastAsia="Calibri"/>
          <w:bCs/>
        </w:rPr>
        <w:t>Counsel of Record</w:t>
      </w:r>
    </w:p>
    <w:p w14:paraId="227E8C99" w14:textId="77777777" w:rsidR="00C638E3" w:rsidRDefault="00C638E3" w:rsidP="00C638E3">
      <w:pPr>
        <w:widowControl w:val="0"/>
        <w:ind w:left="4140"/>
        <w:rPr>
          <w:rFonts w:eastAsia="Calibri"/>
          <w:b/>
          <w:bCs/>
        </w:rPr>
      </w:pPr>
      <w:r>
        <w:rPr>
          <w:rFonts w:eastAsia="Calibri"/>
          <w:bCs/>
        </w:rPr>
        <w:t>Matthew R. Pritchard (Reg. No. 0088070)</w:t>
      </w:r>
    </w:p>
    <w:p w14:paraId="6BE49DE0" w14:textId="77777777" w:rsidR="00C638E3" w:rsidRDefault="00C638E3" w:rsidP="00C638E3">
      <w:pPr>
        <w:widowControl w:val="0"/>
        <w:tabs>
          <w:tab w:val="left" w:pos="4320"/>
        </w:tabs>
        <w:ind w:left="4140"/>
        <w:rPr>
          <w:rFonts w:eastAsia="Times New Roman"/>
          <w:bCs/>
          <w:smallCaps/>
        </w:rPr>
      </w:pPr>
      <w:r>
        <w:rPr>
          <w:rFonts w:eastAsia="Times New Roman"/>
          <w:bCs/>
          <w:smallCaps/>
        </w:rPr>
        <w:t xml:space="preserve">McNees Wallace &amp; </w:t>
      </w:r>
      <w:proofErr w:type="spellStart"/>
      <w:r>
        <w:rPr>
          <w:rFonts w:eastAsia="Times New Roman"/>
          <w:bCs/>
          <w:smallCaps/>
        </w:rPr>
        <w:t>Nurick</w:t>
      </w:r>
      <w:proofErr w:type="spellEnd"/>
      <w:r>
        <w:rPr>
          <w:rFonts w:eastAsia="Times New Roman"/>
          <w:bCs/>
          <w:smallCaps/>
        </w:rPr>
        <w:t xml:space="preserve"> LLC</w:t>
      </w:r>
    </w:p>
    <w:p w14:paraId="3C89817A" w14:textId="77777777" w:rsidR="00C638E3" w:rsidRDefault="00C638E3" w:rsidP="00C638E3">
      <w:pPr>
        <w:widowControl w:val="0"/>
        <w:tabs>
          <w:tab w:val="left" w:pos="4320"/>
        </w:tabs>
        <w:ind w:left="4140"/>
        <w:rPr>
          <w:rFonts w:eastAsia="Times New Roman"/>
          <w:bCs/>
          <w:szCs w:val="20"/>
        </w:rPr>
      </w:pPr>
      <w:r>
        <w:rPr>
          <w:rFonts w:eastAsia="Times New Roman"/>
          <w:bCs/>
          <w:szCs w:val="20"/>
        </w:rPr>
        <w:t>21 East State Street, 17</w:t>
      </w:r>
      <w:r>
        <w:rPr>
          <w:rFonts w:eastAsia="Times New Roman"/>
          <w:bCs/>
          <w:szCs w:val="20"/>
          <w:vertAlign w:val="superscript"/>
        </w:rPr>
        <w:t>TH</w:t>
      </w:r>
      <w:r>
        <w:rPr>
          <w:rFonts w:eastAsia="Times New Roman"/>
          <w:bCs/>
          <w:szCs w:val="20"/>
        </w:rPr>
        <w:t xml:space="preserve"> Floor</w:t>
      </w:r>
    </w:p>
    <w:p w14:paraId="0238FCC4" w14:textId="77777777" w:rsidR="00C638E3" w:rsidRDefault="00C638E3" w:rsidP="00C638E3">
      <w:pPr>
        <w:tabs>
          <w:tab w:val="left" w:pos="4320"/>
        </w:tabs>
        <w:ind w:left="4140"/>
        <w:rPr>
          <w:rFonts w:eastAsia="Times New Roman"/>
        </w:rPr>
      </w:pPr>
      <w:r>
        <w:rPr>
          <w:rFonts w:eastAsia="Times New Roman"/>
        </w:rPr>
        <w:t>Columbus, OH  43215</w:t>
      </w:r>
    </w:p>
    <w:p w14:paraId="5F459DB4" w14:textId="77777777" w:rsidR="00C638E3" w:rsidRDefault="00C638E3" w:rsidP="00C638E3">
      <w:pPr>
        <w:ind w:left="4140"/>
        <w:rPr>
          <w:rFonts w:eastAsia="Times New Roman"/>
        </w:rPr>
      </w:pPr>
      <w:r>
        <w:rPr>
          <w:rFonts w:eastAsia="Times New Roman"/>
        </w:rPr>
        <w:t>fdarr@mwncmh.com</w:t>
      </w:r>
    </w:p>
    <w:p w14:paraId="0CBFEC92" w14:textId="77777777" w:rsidR="00C638E3" w:rsidRDefault="00C638E3" w:rsidP="00C638E3">
      <w:pPr>
        <w:ind w:left="4140"/>
        <w:rPr>
          <w:rFonts w:eastAsia="Times New Roman"/>
        </w:rPr>
      </w:pPr>
      <w:r>
        <w:rPr>
          <w:rFonts w:eastAsia="Times New Roman"/>
        </w:rPr>
        <w:t>mpritchard@mwncmh.com</w:t>
      </w:r>
    </w:p>
    <w:p w14:paraId="39E34FEB" w14:textId="77777777" w:rsidR="00C638E3" w:rsidRDefault="00C638E3" w:rsidP="00C638E3">
      <w:pPr>
        <w:ind w:left="4140"/>
        <w:rPr>
          <w:rFonts w:eastAsia="Times New Roman"/>
        </w:rPr>
      </w:pPr>
    </w:p>
    <w:p w14:paraId="607DAAA8" w14:textId="77777777" w:rsidR="00C638E3" w:rsidRDefault="00C638E3" w:rsidP="00C638E3">
      <w:pPr>
        <w:ind w:left="4140"/>
        <w:rPr>
          <w:rFonts w:ascii="Arial Bold" w:eastAsia="Times New Roman" w:hAnsi="Arial Bold"/>
          <w:b/>
          <w:smallCaps/>
        </w:rPr>
      </w:pPr>
      <w:r w:rsidRPr="00E418F7">
        <w:rPr>
          <w:rFonts w:ascii="Arial Bold" w:eastAsia="Times New Roman" w:hAnsi="Arial Bold"/>
          <w:b/>
          <w:bCs/>
          <w:smallCaps/>
        </w:rPr>
        <w:t>Attorneys for</w:t>
      </w:r>
      <w:r w:rsidRPr="00E418F7">
        <w:rPr>
          <w:rFonts w:ascii="Arial Bold" w:eastAsia="Times New Roman" w:hAnsi="Arial Bold"/>
          <w:smallCaps/>
        </w:rPr>
        <w:t xml:space="preserve"> </w:t>
      </w:r>
      <w:r w:rsidRPr="00E418F7">
        <w:rPr>
          <w:rFonts w:ascii="Arial Bold" w:eastAsia="Times New Roman" w:hAnsi="Arial Bold"/>
          <w:b/>
          <w:smallCaps/>
        </w:rPr>
        <w:t>Industrial Energy Users-Ohio</w:t>
      </w:r>
    </w:p>
    <w:p w14:paraId="6AFFA625" w14:textId="77777777" w:rsidR="00E21F02" w:rsidRDefault="00E21F02" w:rsidP="00C638E3">
      <w:pPr>
        <w:sectPr w:rsidR="00E21F02" w:rsidSect="005B0C0B">
          <w:pgSz w:w="12240" w:h="15840" w:code="1"/>
          <w:pgMar w:top="1440" w:right="1440" w:bottom="1440" w:left="1440" w:header="720" w:footer="720" w:gutter="0"/>
          <w:pgNumType w:start="1"/>
          <w:cols w:space="720"/>
          <w:titlePg/>
          <w:docGrid w:linePitch="360"/>
        </w:sectPr>
      </w:pPr>
    </w:p>
    <w:p w14:paraId="6C95B78D" w14:textId="77777777" w:rsidR="00E21F02" w:rsidRDefault="00E21F02" w:rsidP="00E21F02">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6AF7B75" w14:textId="77777777" w:rsidR="00E21F02" w:rsidRDefault="00E21F02" w:rsidP="00E21F02">
      <w:pPr>
        <w:rPr>
          <w:rFonts w:cs="Arial"/>
        </w:rPr>
      </w:pPr>
    </w:p>
    <w:p w14:paraId="55200C3F" w14:textId="76893A49" w:rsidR="00E21F02" w:rsidRPr="00E66B49" w:rsidRDefault="00E21F02" w:rsidP="00E21F02">
      <w:pPr>
        <w:pStyle w:val="BodyText"/>
        <w:spacing w:line="480" w:lineRule="auto"/>
        <w:ind w:firstLine="720"/>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Pr>
          <w:i/>
        </w:rPr>
        <w:t xml:space="preserve">Reply to The Dayton Power and Light Company’s Memorandum in Opposition to Industrial Energy Users-Ohio’s Motion to Dismiss the Distribution Modernization Rider </w:t>
      </w:r>
      <w:r w:rsidRPr="00E66B49">
        <w:t xml:space="preserve">was sent by, or on behalf of, the undersigned counsel for IEU-Ohio to the following parties of record this </w:t>
      </w:r>
      <w:r>
        <w:t>22</w:t>
      </w:r>
      <w:r w:rsidRPr="00E21F02">
        <w:rPr>
          <w:vertAlign w:val="superscript"/>
        </w:rPr>
        <w:t>nd</w:t>
      </w:r>
      <w:r>
        <w:t xml:space="preserve"> </w:t>
      </w:r>
      <w:r w:rsidRPr="00E66B49">
        <w:t xml:space="preserve">day of </w:t>
      </w:r>
      <w:r>
        <w:t xml:space="preserve">December 2016, </w:t>
      </w:r>
      <w:r w:rsidRPr="00E66B49">
        <w:rPr>
          <w:i/>
        </w:rPr>
        <w:t>via</w:t>
      </w:r>
      <w:r w:rsidRPr="00E66B49">
        <w:t xml:space="preserve"> electronic transmission. </w:t>
      </w:r>
    </w:p>
    <w:p w14:paraId="4982B76F" w14:textId="3F0D3A8C" w:rsidR="00E21F02" w:rsidRPr="00320E03" w:rsidRDefault="00E21F02" w:rsidP="00E21F02">
      <w:pPr>
        <w:tabs>
          <w:tab w:val="center" w:pos="7200"/>
          <w:tab w:val="right" w:pos="9360"/>
        </w:tabs>
        <w:ind w:left="5040"/>
        <w:rPr>
          <w:rFonts w:cs="Arial"/>
          <w:i/>
          <w:u w:val="single"/>
        </w:rPr>
      </w:pPr>
      <w:r w:rsidRPr="00320E03">
        <w:rPr>
          <w:rFonts w:cs="Arial"/>
          <w:i/>
          <w:u w:val="single"/>
        </w:rPr>
        <w:t xml:space="preserve">/s/ </w:t>
      </w:r>
      <w:r>
        <w:rPr>
          <w:rFonts w:cs="Arial"/>
          <w:i/>
          <w:u w:val="single"/>
        </w:rPr>
        <w:t>Matthew R. Pritchard</w:t>
      </w:r>
      <w:r w:rsidRPr="00320E03">
        <w:rPr>
          <w:rFonts w:cs="Arial"/>
          <w:i/>
          <w:u w:val="single"/>
        </w:rPr>
        <w:tab/>
      </w:r>
    </w:p>
    <w:p w14:paraId="36C40267" w14:textId="3E264F92" w:rsidR="00E21F02" w:rsidRDefault="00E21F02" w:rsidP="00E21F02">
      <w:pPr>
        <w:tabs>
          <w:tab w:val="center" w:pos="7200"/>
          <w:tab w:val="right" w:pos="9360"/>
        </w:tabs>
        <w:ind w:left="5760"/>
        <w:rPr>
          <w:rFonts w:cs="Arial"/>
        </w:rPr>
      </w:pPr>
      <w:r>
        <w:rPr>
          <w:rFonts w:cs="Arial"/>
        </w:rPr>
        <w:t>Matthew R. Pritchard</w:t>
      </w:r>
    </w:p>
    <w:p w14:paraId="5AC3AA73" w14:textId="77777777" w:rsidR="00E21F02" w:rsidRDefault="00E21F02" w:rsidP="00E21F02">
      <w:pPr>
        <w:autoSpaceDE w:val="0"/>
        <w:autoSpaceDN w:val="0"/>
        <w:adjustRightInd w:val="0"/>
        <w:rPr>
          <w:rFonts w:cs="Arial"/>
        </w:rPr>
      </w:pPr>
    </w:p>
    <w:p w14:paraId="2FD1616B" w14:textId="77777777" w:rsidR="00EE0061" w:rsidRDefault="00EE0061" w:rsidP="00E21F02">
      <w:pPr>
        <w:autoSpaceDE w:val="0"/>
        <w:autoSpaceDN w:val="0"/>
        <w:adjustRightInd w:val="0"/>
        <w:rPr>
          <w:rFonts w:cs="Arial"/>
          <w:color w:val="000000" w:themeColor="text1"/>
          <w:sz w:val="20"/>
          <w:szCs w:val="20"/>
        </w:rPr>
        <w:sectPr w:rsidR="00EE0061" w:rsidSect="00EE0061">
          <w:headerReference w:type="even" r:id="rId14"/>
          <w:headerReference w:type="default" r:id="rId15"/>
          <w:footerReference w:type="even" r:id="rId16"/>
          <w:footerReference w:type="default" r:id="rId17"/>
          <w:headerReference w:type="first" r:id="rId18"/>
          <w:footerReference w:type="first" r:id="rId19"/>
          <w:pgSz w:w="12240" w:h="15840" w:code="1"/>
          <w:pgMar w:top="1296" w:right="1440" w:bottom="1152" w:left="1440" w:header="720" w:footer="720" w:gutter="0"/>
          <w:cols w:space="720"/>
          <w:titlePg/>
          <w:docGrid w:linePitch="360"/>
        </w:sectPr>
      </w:pPr>
    </w:p>
    <w:p w14:paraId="7B412F55" w14:textId="7A3A7618"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 xml:space="preserve">Charles J. </w:t>
      </w:r>
      <w:proofErr w:type="spellStart"/>
      <w:r w:rsidRPr="00E21F02">
        <w:rPr>
          <w:rFonts w:cs="Arial"/>
          <w:color w:val="000000" w:themeColor="text1"/>
          <w:sz w:val="20"/>
          <w:szCs w:val="20"/>
        </w:rPr>
        <w:t>Faruki</w:t>
      </w:r>
      <w:proofErr w:type="spellEnd"/>
      <w:r>
        <w:rPr>
          <w:rFonts w:cs="Arial"/>
          <w:color w:val="000000" w:themeColor="text1"/>
          <w:sz w:val="20"/>
          <w:szCs w:val="20"/>
        </w:rPr>
        <w:t xml:space="preserve"> </w:t>
      </w:r>
      <w:r w:rsidRPr="00E21F02">
        <w:rPr>
          <w:rFonts w:cs="Arial"/>
          <w:color w:val="000000" w:themeColor="text1"/>
          <w:sz w:val="20"/>
          <w:szCs w:val="20"/>
        </w:rPr>
        <w:t>(Counsel of Record)</w:t>
      </w:r>
    </w:p>
    <w:p w14:paraId="0EC1D2DB"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D. Jeffrey Ireland</w:t>
      </w:r>
    </w:p>
    <w:p w14:paraId="3CC2E284"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Jeffrey S. Sharkey</w:t>
      </w:r>
    </w:p>
    <w:p w14:paraId="1B78BC52"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FARUKI IRELAND &amp; COX P.L.L.</w:t>
      </w:r>
    </w:p>
    <w:p w14:paraId="01DD4B84"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110 North Main Street, Suite 1600</w:t>
      </w:r>
    </w:p>
    <w:p w14:paraId="21A6C37F"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Dayton, OH 45402</w:t>
      </w:r>
    </w:p>
    <w:p w14:paraId="15A6AFFD"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cfaruki@ficlaw.com</w:t>
      </w:r>
    </w:p>
    <w:p w14:paraId="36BA4704"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djireland@ficlaw.com</w:t>
      </w:r>
    </w:p>
    <w:p w14:paraId="23433095"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jsharkey@ficlaw.com</w:t>
      </w:r>
    </w:p>
    <w:p w14:paraId="63AB8C95" w14:textId="77777777" w:rsidR="00E21F02" w:rsidRPr="00E21F02" w:rsidRDefault="00E21F02" w:rsidP="00E21F02">
      <w:pPr>
        <w:autoSpaceDE w:val="0"/>
        <w:autoSpaceDN w:val="0"/>
        <w:adjustRightInd w:val="0"/>
        <w:rPr>
          <w:rFonts w:cs="Arial"/>
          <w:color w:val="000000" w:themeColor="text1"/>
          <w:sz w:val="20"/>
          <w:szCs w:val="20"/>
        </w:rPr>
      </w:pPr>
    </w:p>
    <w:p w14:paraId="473D22C5" w14:textId="77777777" w:rsidR="00E21F02" w:rsidRPr="00E21F02" w:rsidRDefault="00E21F02" w:rsidP="00E21F02">
      <w:pPr>
        <w:autoSpaceDE w:val="0"/>
        <w:autoSpaceDN w:val="0"/>
        <w:adjustRightInd w:val="0"/>
        <w:rPr>
          <w:rFonts w:cs="Arial"/>
          <w:b/>
          <w:smallCaps/>
          <w:color w:val="000000" w:themeColor="text1"/>
          <w:sz w:val="20"/>
          <w:szCs w:val="20"/>
        </w:rPr>
      </w:pPr>
      <w:r w:rsidRPr="00E21F02">
        <w:rPr>
          <w:rFonts w:cs="Arial"/>
          <w:b/>
          <w:smallCaps/>
          <w:color w:val="000000" w:themeColor="text1"/>
          <w:sz w:val="20"/>
          <w:szCs w:val="20"/>
        </w:rPr>
        <w:t>Counsel for The Dayton Power and</w:t>
      </w:r>
    </w:p>
    <w:p w14:paraId="0F6BB5F6"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Light Company</w:t>
      </w:r>
    </w:p>
    <w:p w14:paraId="32306267" w14:textId="77777777" w:rsidR="00E21F02" w:rsidRPr="00E21F02" w:rsidRDefault="00E21F02" w:rsidP="00E21F02">
      <w:pPr>
        <w:rPr>
          <w:rFonts w:cs="Arial"/>
          <w:color w:val="000000" w:themeColor="text1"/>
          <w:sz w:val="20"/>
          <w:szCs w:val="20"/>
        </w:rPr>
      </w:pPr>
    </w:p>
    <w:p w14:paraId="053BE090"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Madeline Fleisher</w:t>
      </w:r>
    </w:p>
    <w:p w14:paraId="6522B14D"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Kristin Field</w:t>
      </w:r>
    </w:p>
    <w:p w14:paraId="7EF8D1A0"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Environmental Law &amp; Policy Center</w:t>
      </w:r>
    </w:p>
    <w:p w14:paraId="2A8EF497"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21 West Broad St., Suite 500</w:t>
      </w:r>
    </w:p>
    <w:p w14:paraId="494A1C4C"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Columbus, OH 43215</w:t>
      </w:r>
    </w:p>
    <w:p w14:paraId="3B2C687A"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mfleisher@elpc.org</w:t>
      </w:r>
    </w:p>
    <w:p w14:paraId="31B0D422" w14:textId="77777777" w:rsidR="00E21F02" w:rsidRPr="00E21F02" w:rsidRDefault="00E21F02" w:rsidP="00E21F02">
      <w:pPr>
        <w:autoSpaceDE w:val="0"/>
        <w:autoSpaceDN w:val="0"/>
        <w:adjustRightInd w:val="0"/>
        <w:rPr>
          <w:rFonts w:cs="Arial"/>
          <w:iCs/>
          <w:color w:val="000000" w:themeColor="text1"/>
          <w:sz w:val="20"/>
          <w:szCs w:val="20"/>
        </w:rPr>
      </w:pPr>
    </w:p>
    <w:p w14:paraId="67C6DE96" w14:textId="77777777" w:rsidR="00E21F02" w:rsidRPr="00E21F02" w:rsidRDefault="00E21F02" w:rsidP="00E21F02">
      <w:pPr>
        <w:autoSpaceDE w:val="0"/>
        <w:autoSpaceDN w:val="0"/>
        <w:adjustRightInd w:val="0"/>
        <w:rPr>
          <w:rFonts w:cs="Arial"/>
          <w:b/>
          <w:iCs/>
          <w:smallCaps/>
          <w:color w:val="000000" w:themeColor="text1"/>
          <w:sz w:val="20"/>
          <w:szCs w:val="20"/>
        </w:rPr>
      </w:pPr>
      <w:r w:rsidRPr="00E21F02">
        <w:rPr>
          <w:rFonts w:cs="Arial"/>
          <w:b/>
          <w:iCs/>
          <w:smallCaps/>
          <w:color w:val="000000" w:themeColor="text1"/>
          <w:sz w:val="20"/>
          <w:szCs w:val="20"/>
        </w:rPr>
        <w:t>Counsel for the Environmental Law &amp;</w:t>
      </w:r>
    </w:p>
    <w:p w14:paraId="53561036" w14:textId="77777777" w:rsidR="00E21F02" w:rsidRPr="00E21F02" w:rsidRDefault="00E21F02" w:rsidP="00E21F02">
      <w:pPr>
        <w:rPr>
          <w:rFonts w:cs="Arial"/>
          <w:b/>
          <w:iCs/>
          <w:smallCaps/>
          <w:color w:val="000000" w:themeColor="text1"/>
          <w:sz w:val="20"/>
          <w:szCs w:val="20"/>
        </w:rPr>
      </w:pPr>
      <w:r w:rsidRPr="00E21F02">
        <w:rPr>
          <w:rFonts w:cs="Arial"/>
          <w:b/>
          <w:iCs/>
          <w:smallCaps/>
          <w:color w:val="000000" w:themeColor="text1"/>
          <w:sz w:val="20"/>
          <w:szCs w:val="20"/>
        </w:rPr>
        <w:t>Policy Center</w:t>
      </w:r>
    </w:p>
    <w:p w14:paraId="27B8BACA" w14:textId="77777777" w:rsidR="00E21F02" w:rsidRPr="00E21F02" w:rsidRDefault="00E21F02" w:rsidP="00E21F02">
      <w:pPr>
        <w:rPr>
          <w:rFonts w:cs="Arial"/>
          <w:color w:val="000000" w:themeColor="text1"/>
          <w:sz w:val="20"/>
          <w:szCs w:val="20"/>
        </w:rPr>
      </w:pPr>
    </w:p>
    <w:p w14:paraId="74E2A2AF"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Jeffrey W. Mayes</w:t>
      </w:r>
    </w:p>
    <w:p w14:paraId="35880278"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General Counsel</w:t>
      </w:r>
    </w:p>
    <w:p w14:paraId="3DD388D7"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Monitoring Analytics, LLC</w:t>
      </w:r>
    </w:p>
    <w:p w14:paraId="77357260"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2621 Van Buren Avenue, Suite 160</w:t>
      </w:r>
    </w:p>
    <w:p w14:paraId="5871B7A6"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Valley Forge Corporate Center</w:t>
      </w:r>
    </w:p>
    <w:p w14:paraId="1D9F2F01"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Eagleville, PA  19403</w:t>
      </w:r>
    </w:p>
    <w:p w14:paraId="7EDAE8B7" w14:textId="51E10BE3" w:rsidR="00E21F02" w:rsidRPr="00E21F02" w:rsidRDefault="00E21F02" w:rsidP="00E21F02">
      <w:pPr>
        <w:rPr>
          <w:rFonts w:cs="Arial"/>
          <w:iCs/>
          <w:color w:val="000000" w:themeColor="text1"/>
          <w:sz w:val="20"/>
          <w:szCs w:val="20"/>
        </w:rPr>
      </w:pPr>
      <w:r w:rsidRPr="00FD5C46">
        <w:rPr>
          <w:rFonts w:cs="Arial"/>
          <w:iCs/>
          <w:color w:val="000000" w:themeColor="text1"/>
          <w:sz w:val="20"/>
          <w:szCs w:val="20"/>
        </w:rPr>
        <w:t>jeffrey.mayes@monitoringanalytics.com</w:t>
      </w:r>
    </w:p>
    <w:p w14:paraId="2F1EACE4" w14:textId="77777777" w:rsidR="00E21F02" w:rsidRPr="00E21F02" w:rsidRDefault="00E21F02" w:rsidP="00E21F02">
      <w:pPr>
        <w:rPr>
          <w:rFonts w:cs="Arial"/>
          <w:iCs/>
          <w:color w:val="000000" w:themeColor="text1"/>
          <w:sz w:val="20"/>
          <w:szCs w:val="20"/>
        </w:rPr>
      </w:pPr>
    </w:p>
    <w:p w14:paraId="46DB7CC5" w14:textId="77777777" w:rsidR="00E21F02" w:rsidRPr="00E21F02" w:rsidRDefault="00E21F02" w:rsidP="00E21F02">
      <w:pPr>
        <w:rPr>
          <w:rFonts w:cs="Arial"/>
          <w:b/>
          <w:iCs/>
          <w:smallCaps/>
          <w:color w:val="000000" w:themeColor="text1"/>
          <w:sz w:val="20"/>
          <w:szCs w:val="20"/>
        </w:rPr>
      </w:pPr>
      <w:r w:rsidRPr="00E21F02">
        <w:rPr>
          <w:rFonts w:cs="Arial"/>
          <w:b/>
          <w:iCs/>
          <w:smallCaps/>
          <w:color w:val="000000" w:themeColor="text1"/>
          <w:sz w:val="20"/>
          <w:szCs w:val="20"/>
        </w:rPr>
        <w:t>Counsel for Monitoring Analytics, LLC</w:t>
      </w:r>
    </w:p>
    <w:p w14:paraId="3F63FF00" w14:textId="77777777" w:rsidR="00EE0061" w:rsidRDefault="00EE0061" w:rsidP="00E21F02">
      <w:pPr>
        <w:autoSpaceDE w:val="0"/>
        <w:autoSpaceDN w:val="0"/>
        <w:adjustRightInd w:val="0"/>
        <w:rPr>
          <w:rFonts w:cs="Arial"/>
          <w:color w:val="000000" w:themeColor="text1"/>
          <w:sz w:val="20"/>
          <w:szCs w:val="20"/>
        </w:rPr>
      </w:pPr>
    </w:p>
    <w:p w14:paraId="6D4E7884" w14:textId="0E931287" w:rsidR="00E21F02" w:rsidRPr="00E21F02" w:rsidRDefault="00EE0061" w:rsidP="00E21F02">
      <w:pPr>
        <w:autoSpaceDE w:val="0"/>
        <w:autoSpaceDN w:val="0"/>
        <w:adjustRightInd w:val="0"/>
        <w:rPr>
          <w:rFonts w:cs="Arial"/>
          <w:color w:val="000000" w:themeColor="text1"/>
          <w:sz w:val="20"/>
          <w:szCs w:val="20"/>
        </w:rPr>
      </w:pPr>
      <w:r>
        <w:rPr>
          <w:rFonts w:cs="Arial"/>
          <w:color w:val="000000" w:themeColor="text1"/>
          <w:sz w:val="20"/>
          <w:szCs w:val="20"/>
        </w:rPr>
        <w:br w:type="column"/>
      </w:r>
      <w:r w:rsidR="00E21F02" w:rsidRPr="00E21F02">
        <w:rPr>
          <w:rFonts w:cs="Arial"/>
          <w:color w:val="000000" w:themeColor="text1"/>
          <w:sz w:val="20"/>
          <w:szCs w:val="20"/>
        </w:rPr>
        <w:t>Evelyn R. Robinson</w:t>
      </w:r>
    </w:p>
    <w:p w14:paraId="76724FD1"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PJM Interconnection, L.L.C.</w:t>
      </w:r>
    </w:p>
    <w:p w14:paraId="1A6D0C79"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2750 Monroe Boulevard</w:t>
      </w:r>
    </w:p>
    <w:p w14:paraId="6484480F"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Audubon, PA 19403</w:t>
      </w:r>
    </w:p>
    <w:p w14:paraId="41CD59F1" w14:textId="146DC4CE" w:rsidR="00E21F02" w:rsidRPr="00E21F02" w:rsidRDefault="00E21F02" w:rsidP="00E21F02">
      <w:pPr>
        <w:rPr>
          <w:rFonts w:cs="Arial"/>
          <w:iCs/>
          <w:color w:val="000000" w:themeColor="text1"/>
          <w:sz w:val="20"/>
          <w:szCs w:val="20"/>
        </w:rPr>
      </w:pPr>
      <w:r w:rsidRPr="00FD5C46">
        <w:rPr>
          <w:rFonts w:cs="Arial"/>
          <w:iCs/>
          <w:color w:val="000000" w:themeColor="text1"/>
          <w:sz w:val="20"/>
          <w:szCs w:val="20"/>
        </w:rPr>
        <w:t>evelyn.robinson@pjm.com</w:t>
      </w:r>
    </w:p>
    <w:p w14:paraId="7E003B01" w14:textId="77777777" w:rsidR="00E21F02" w:rsidRPr="00E21F02" w:rsidRDefault="00E21F02" w:rsidP="00E21F02">
      <w:pPr>
        <w:rPr>
          <w:rFonts w:cs="Arial"/>
          <w:iCs/>
          <w:color w:val="000000" w:themeColor="text1"/>
          <w:sz w:val="20"/>
          <w:szCs w:val="20"/>
        </w:rPr>
      </w:pPr>
    </w:p>
    <w:p w14:paraId="69E48800" w14:textId="77777777" w:rsidR="00E21F02" w:rsidRPr="00E21F02" w:rsidRDefault="00E21F02" w:rsidP="00E21F02">
      <w:pPr>
        <w:autoSpaceDE w:val="0"/>
        <w:autoSpaceDN w:val="0"/>
        <w:adjustRightInd w:val="0"/>
        <w:rPr>
          <w:rFonts w:cs="Arial"/>
          <w:b/>
          <w:iCs/>
          <w:smallCaps/>
          <w:color w:val="000000" w:themeColor="text1"/>
          <w:sz w:val="20"/>
          <w:szCs w:val="20"/>
        </w:rPr>
      </w:pPr>
      <w:r w:rsidRPr="00E21F02">
        <w:rPr>
          <w:rFonts w:cs="Arial"/>
          <w:b/>
          <w:iCs/>
          <w:smallCaps/>
          <w:color w:val="000000" w:themeColor="text1"/>
          <w:sz w:val="20"/>
          <w:szCs w:val="20"/>
        </w:rPr>
        <w:t>Counsel for PJM Interconnection, L.L.C.</w:t>
      </w:r>
    </w:p>
    <w:p w14:paraId="7F4264E7" w14:textId="77777777" w:rsidR="00E21F02" w:rsidRPr="00E21F02" w:rsidRDefault="00E21F02" w:rsidP="00E21F02">
      <w:pPr>
        <w:rPr>
          <w:rFonts w:cs="Arial"/>
          <w:iCs/>
          <w:color w:val="000000" w:themeColor="text1"/>
          <w:sz w:val="20"/>
          <w:szCs w:val="20"/>
        </w:rPr>
      </w:pPr>
    </w:p>
    <w:p w14:paraId="3125EA41"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David F. Boehm, Esq.</w:t>
      </w:r>
    </w:p>
    <w:p w14:paraId="16988EAA"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Michael L. Kurtz, Esq.</w:t>
      </w:r>
    </w:p>
    <w:p w14:paraId="75A5DB6F"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Kurt J. Boehm, Esq.</w:t>
      </w:r>
    </w:p>
    <w:p w14:paraId="76E01CB2"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Jody Kyler Cohn, Esq.</w:t>
      </w:r>
    </w:p>
    <w:p w14:paraId="0EB9BDBF"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Boehm, Kurtz &amp; Lowry</w:t>
      </w:r>
    </w:p>
    <w:p w14:paraId="06B0FD37"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36 East Seventh Street, Suite 1510</w:t>
      </w:r>
    </w:p>
    <w:p w14:paraId="4EEEDCA1"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Cincinnati, OH  45202</w:t>
      </w:r>
    </w:p>
    <w:p w14:paraId="3C92E86D"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dboehm@BKLlawfirm.com mkurtzt@BKLlawfirm.com</w:t>
      </w:r>
    </w:p>
    <w:p w14:paraId="6AEB7290"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kboehm@BKLlawfirm.com</w:t>
      </w:r>
    </w:p>
    <w:p w14:paraId="6596FDC3"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jkylercohn@BKLlawfirm.com</w:t>
      </w:r>
    </w:p>
    <w:p w14:paraId="6C9220FE" w14:textId="77777777" w:rsidR="00E21F02" w:rsidRPr="00E21F02" w:rsidRDefault="00E21F02" w:rsidP="00E21F02">
      <w:pPr>
        <w:rPr>
          <w:rFonts w:cs="Arial"/>
          <w:color w:val="000000" w:themeColor="text1"/>
          <w:sz w:val="20"/>
          <w:szCs w:val="20"/>
        </w:rPr>
      </w:pPr>
    </w:p>
    <w:p w14:paraId="3D08937B"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Ohio Energy Group</w:t>
      </w:r>
    </w:p>
    <w:p w14:paraId="0D0E9C0B" w14:textId="77777777" w:rsidR="00E21F02" w:rsidRPr="00E21F02" w:rsidRDefault="00E21F02" w:rsidP="00E21F02">
      <w:pPr>
        <w:rPr>
          <w:rFonts w:cs="Arial"/>
          <w:color w:val="000000" w:themeColor="text1"/>
          <w:sz w:val="20"/>
          <w:szCs w:val="20"/>
        </w:rPr>
      </w:pPr>
    </w:p>
    <w:p w14:paraId="04851AFB"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Kevin R. Schmidt (Reg. No. 0086722)</w:t>
      </w:r>
    </w:p>
    <w:p w14:paraId="0168BF84"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Strategic Public Partners</w:t>
      </w:r>
    </w:p>
    <w:p w14:paraId="2A87E480"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88 East Broad Street, Suite 1770</w:t>
      </w:r>
    </w:p>
    <w:p w14:paraId="3A55C929"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Columbus, OH  43215</w:t>
      </w:r>
    </w:p>
    <w:p w14:paraId="0812F3E4" w14:textId="77777777" w:rsidR="00E21F02" w:rsidRPr="00E21F02" w:rsidRDefault="00E21F02" w:rsidP="00E21F02">
      <w:pPr>
        <w:autoSpaceDE w:val="0"/>
        <w:autoSpaceDN w:val="0"/>
        <w:adjustRightInd w:val="0"/>
        <w:rPr>
          <w:rFonts w:cs="Arial"/>
          <w:color w:val="000000" w:themeColor="text1"/>
          <w:sz w:val="20"/>
          <w:szCs w:val="20"/>
        </w:rPr>
      </w:pPr>
      <w:r w:rsidRPr="00E21F02">
        <w:rPr>
          <w:rFonts w:cs="Arial"/>
          <w:color w:val="000000" w:themeColor="text1"/>
          <w:sz w:val="20"/>
          <w:szCs w:val="20"/>
        </w:rPr>
        <w:t>schmidt@sppgrp.com</w:t>
      </w:r>
    </w:p>
    <w:p w14:paraId="5A232048" w14:textId="77777777" w:rsidR="00E21F02" w:rsidRPr="00E21F02" w:rsidRDefault="00E21F02" w:rsidP="00E21F02">
      <w:pPr>
        <w:rPr>
          <w:rFonts w:cs="Arial"/>
          <w:color w:val="000000" w:themeColor="text1"/>
          <w:sz w:val="20"/>
          <w:szCs w:val="20"/>
        </w:rPr>
      </w:pPr>
    </w:p>
    <w:p w14:paraId="109A5BAD"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Energy Professionals of Ohio</w:t>
      </w:r>
    </w:p>
    <w:p w14:paraId="0CBBB672" w14:textId="77777777" w:rsidR="00E21F02" w:rsidRPr="00E21F02" w:rsidRDefault="00E21F02" w:rsidP="00E21F02">
      <w:pPr>
        <w:rPr>
          <w:rFonts w:cs="Arial"/>
          <w:color w:val="000000" w:themeColor="text1"/>
          <w:sz w:val="20"/>
          <w:szCs w:val="20"/>
        </w:rPr>
      </w:pPr>
    </w:p>
    <w:p w14:paraId="4C230404" w14:textId="77777777" w:rsidR="00EE0061" w:rsidRDefault="00EE0061" w:rsidP="00E21F02">
      <w:pPr>
        <w:rPr>
          <w:rFonts w:cs="Arial"/>
          <w:color w:val="000000" w:themeColor="text1"/>
          <w:sz w:val="20"/>
          <w:szCs w:val="20"/>
        </w:rPr>
        <w:sectPr w:rsidR="00EE0061" w:rsidSect="00EE0061">
          <w:type w:val="continuous"/>
          <w:pgSz w:w="12240" w:h="15840" w:code="1"/>
          <w:pgMar w:top="1296" w:right="1440" w:bottom="1152" w:left="1440" w:header="720" w:footer="720" w:gutter="0"/>
          <w:cols w:num="2" w:space="720"/>
          <w:titlePg/>
          <w:docGrid w:linePitch="360"/>
        </w:sectPr>
      </w:pPr>
    </w:p>
    <w:p w14:paraId="3FAFC7A8" w14:textId="3B3A718D" w:rsidR="00E21F02" w:rsidRPr="00E21F02" w:rsidRDefault="00E21F02" w:rsidP="00E21F02">
      <w:pPr>
        <w:rPr>
          <w:rFonts w:cs="Arial"/>
          <w:color w:val="000000" w:themeColor="text1"/>
          <w:sz w:val="20"/>
          <w:szCs w:val="20"/>
        </w:rPr>
      </w:pPr>
      <w:r w:rsidRPr="00E21F02">
        <w:rPr>
          <w:rFonts w:cs="Arial"/>
          <w:color w:val="000000" w:themeColor="text1"/>
          <w:sz w:val="20"/>
          <w:szCs w:val="20"/>
        </w:rPr>
        <w:lastRenderedPageBreak/>
        <w:t>William J. Michael</w:t>
      </w:r>
      <w:r>
        <w:rPr>
          <w:rFonts w:cs="Arial"/>
          <w:color w:val="000000" w:themeColor="text1"/>
          <w:sz w:val="20"/>
          <w:szCs w:val="20"/>
        </w:rPr>
        <w:t xml:space="preserve"> (</w:t>
      </w:r>
      <w:r w:rsidRPr="00E21F02">
        <w:rPr>
          <w:rFonts w:cs="Arial"/>
          <w:color w:val="000000" w:themeColor="text1"/>
          <w:sz w:val="20"/>
          <w:szCs w:val="20"/>
        </w:rPr>
        <w:t>Counsel of Record</w:t>
      </w:r>
      <w:r>
        <w:rPr>
          <w:rFonts w:cs="Arial"/>
          <w:color w:val="000000" w:themeColor="text1"/>
          <w:sz w:val="20"/>
          <w:szCs w:val="20"/>
        </w:rPr>
        <w:t>)</w:t>
      </w:r>
    </w:p>
    <w:p w14:paraId="558B437C"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Kevin F. Moore</w:t>
      </w:r>
    </w:p>
    <w:p w14:paraId="5AA8C283"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Ajay Kumar</w:t>
      </w:r>
    </w:p>
    <w:p w14:paraId="173B0CF6"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10 West Broad Street, Suite 1800</w:t>
      </w:r>
    </w:p>
    <w:p w14:paraId="4F6CE606"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Columbus, OH  43215-3485</w:t>
      </w:r>
    </w:p>
    <w:p w14:paraId="1FC157E9" w14:textId="408487DB" w:rsidR="00E21F02" w:rsidRPr="00E21F02" w:rsidRDefault="00E21F02" w:rsidP="00E21F02">
      <w:pPr>
        <w:rPr>
          <w:rFonts w:cs="Arial"/>
          <w:color w:val="000000" w:themeColor="text1"/>
          <w:sz w:val="20"/>
          <w:szCs w:val="20"/>
        </w:rPr>
      </w:pPr>
      <w:r w:rsidRPr="00FD5C46">
        <w:rPr>
          <w:rFonts w:cs="Arial"/>
          <w:color w:val="000000" w:themeColor="text1"/>
          <w:sz w:val="20"/>
          <w:szCs w:val="20"/>
        </w:rPr>
        <w:t>William.Michael@occ.ohio.gov</w:t>
      </w:r>
    </w:p>
    <w:p w14:paraId="5756566B" w14:textId="7C1BA9B9" w:rsidR="00E21F02" w:rsidRPr="00E21F02" w:rsidRDefault="00E21F02" w:rsidP="00E21F02">
      <w:pPr>
        <w:rPr>
          <w:rStyle w:val="Hyperlink"/>
          <w:rFonts w:cs="Arial"/>
          <w:color w:val="000000" w:themeColor="text1"/>
          <w:sz w:val="20"/>
          <w:szCs w:val="20"/>
          <w:u w:val="none"/>
        </w:rPr>
      </w:pPr>
      <w:r w:rsidRPr="00FD5C46">
        <w:rPr>
          <w:rFonts w:cs="Arial"/>
          <w:color w:val="000000" w:themeColor="text1"/>
          <w:sz w:val="20"/>
          <w:szCs w:val="20"/>
        </w:rPr>
        <w:t>Kevin.Moore@occ.ohio.gov</w:t>
      </w:r>
    </w:p>
    <w:p w14:paraId="263E195E" w14:textId="77777777" w:rsidR="00E21F02" w:rsidRPr="00E21F02" w:rsidRDefault="00E21F02" w:rsidP="00E21F02">
      <w:pPr>
        <w:rPr>
          <w:rFonts w:cs="Arial"/>
          <w:color w:val="000000" w:themeColor="text1"/>
          <w:sz w:val="20"/>
          <w:szCs w:val="20"/>
        </w:rPr>
      </w:pPr>
      <w:r w:rsidRPr="00E21F02">
        <w:rPr>
          <w:rStyle w:val="Hyperlink"/>
          <w:rFonts w:cs="Arial"/>
          <w:color w:val="000000" w:themeColor="text1"/>
          <w:sz w:val="20"/>
          <w:szCs w:val="20"/>
          <w:u w:val="none"/>
        </w:rPr>
        <w:t>ajay.kumar@occ.ohio.gov</w:t>
      </w:r>
    </w:p>
    <w:p w14:paraId="37600477" w14:textId="77777777" w:rsidR="00E21F02" w:rsidRPr="00E21F02" w:rsidRDefault="00E21F02" w:rsidP="00E21F02">
      <w:pPr>
        <w:rPr>
          <w:rFonts w:cs="Arial"/>
          <w:color w:val="000000" w:themeColor="text1"/>
          <w:sz w:val="20"/>
          <w:szCs w:val="20"/>
        </w:rPr>
      </w:pPr>
    </w:p>
    <w:p w14:paraId="7998107C"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Office of the Ohio Consumers’ Counsel</w:t>
      </w:r>
    </w:p>
    <w:p w14:paraId="59BD5B48" w14:textId="77777777" w:rsidR="00E21F02" w:rsidRPr="00E21F02" w:rsidRDefault="00E21F02" w:rsidP="00E21F02">
      <w:pPr>
        <w:rPr>
          <w:rFonts w:cs="Arial"/>
          <w:color w:val="000000" w:themeColor="text1"/>
          <w:sz w:val="20"/>
          <w:szCs w:val="20"/>
        </w:rPr>
      </w:pPr>
    </w:p>
    <w:p w14:paraId="5063CB45"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Angela Paul Whitfield</w:t>
      </w:r>
    </w:p>
    <w:p w14:paraId="1F7A0869"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Carpenter </w:t>
      </w:r>
      <w:proofErr w:type="spellStart"/>
      <w:r w:rsidRPr="00E21F02">
        <w:rPr>
          <w:rFonts w:cs="Arial"/>
          <w:color w:val="000000" w:themeColor="text1"/>
          <w:sz w:val="20"/>
          <w:szCs w:val="20"/>
        </w:rPr>
        <w:t>Lipps</w:t>
      </w:r>
      <w:proofErr w:type="spellEnd"/>
      <w:r w:rsidRPr="00E21F02">
        <w:rPr>
          <w:rFonts w:cs="Arial"/>
          <w:color w:val="000000" w:themeColor="text1"/>
          <w:sz w:val="20"/>
          <w:szCs w:val="20"/>
        </w:rPr>
        <w:t xml:space="preserve"> &amp; Leland LLP</w:t>
      </w:r>
    </w:p>
    <w:p w14:paraId="27A15EAA"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280 Plaza, Suite 1300</w:t>
      </w:r>
    </w:p>
    <w:p w14:paraId="74B97446"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280 North High Street</w:t>
      </w:r>
    </w:p>
    <w:p w14:paraId="09AE9D71"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Columbus, OH  43215</w:t>
      </w:r>
    </w:p>
    <w:p w14:paraId="0ADA9CD8"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paul@carpenterlipps.com</w:t>
      </w:r>
    </w:p>
    <w:p w14:paraId="7FBFC50F" w14:textId="77777777" w:rsidR="00E21F02" w:rsidRPr="00E21F02" w:rsidRDefault="00E21F02" w:rsidP="00E21F02">
      <w:pPr>
        <w:rPr>
          <w:rFonts w:cs="Arial"/>
          <w:color w:val="000000" w:themeColor="text1"/>
          <w:sz w:val="20"/>
          <w:szCs w:val="20"/>
        </w:rPr>
      </w:pPr>
    </w:p>
    <w:p w14:paraId="7AF7D24C"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The Kroger Co.</w:t>
      </w:r>
    </w:p>
    <w:p w14:paraId="104BA593" w14:textId="77777777" w:rsidR="00E21F02" w:rsidRPr="00E21F02" w:rsidRDefault="00E21F02" w:rsidP="00E21F02">
      <w:pPr>
        <w:rPr>
          <w:rFonts w:cs="Arial"/>
          <w:color w:val="000000" w:themeColor="text1"/>
          <w:sz w:val="20"/>
          <w:szCs w:val="20"/>
        </w:rPr>
      </w:pPr>
    </w:p>
    <w:p w14:paraId="411BA489"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Kimberly W. </w:t>
      </w:r>
      <w:proofErr w:type="spellStart"/>
      <w:r w:rsidRPr="00E21F02">
        <w:rPr>
          <w:rFonts w:cs="Arial"/>
          <w:color w:val="000000" w:themeColor="text1"/>
          <w:sz w:val="20"/>
          <w:szCs w:val="20"/>
        </w:rPr>
        <w:t>Bojko</w:t>
      </w:r>
      <w:proofErr w:type="spellEnd"/>
    </w:p>
    <w:p w14:paraId="5C83F515"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James D. </w:t>
      </w:r>
      <w:proofErr w:type="spellStart"/>
      <w:r w:rsidRPr="00E21F02">
        <w:rPr>
          <w:rFonts w:cs="Arial"/>
          <w:color w:val="000000" w:themeColor="text1"/>
          <w:sz w:val="20"/>
          <w:szCs w:val="20"/>
        </w:rPr>
        <w:t>Perko</w:t>
      </w:r>
      <w:proofErr w:type="spellEnd"/>
      <w:r w:rsidRPr="00E21F02">
        <w:rPr>
          <w:rFonts w:cs="Arial"/>
          <w:color w:val="000000" w:themeColor="text1"/>
          <w:sz w:val="20"/>
          <w:szCs w:val="20"/>
        </w:rPr>
        <w:t>, Jr.</w:t>
      </w:r>
    </w:p>
    <w:p w14:paraId="4D5E1440"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Carpenter </w:t>
      </w:r>
      <w:proofErr w:type="spellStart"/>
      <w:r w:rsidRPr="00E21F02">
        <w:rPr>
          <w:rFonts w:cs="Arial"/>
          <w:color w:val="000000" w:themeColor="text1"/>
          <w:sz w:val="20"/>
          <w:szCs w:val="20"/>
        </w:rPr>
        <w:t>Lipps</w:t>
      </w:r>
      <w:proofErr w:type="spellEnd"/>
      <w:r w:rsidRPr="00E21F02">
        <w:rPr>
          <w:rFonts w:cs="Arial"/>
          <w:color w:val="000000" w:themeColor="text1"/>
          <w:sz w:val="20"/>
          <w:szCs w:val="20"/>
        </w:rPr>
        <w:t xml:space="preserve"> &amp; Leland LLP</w:t>
      </w:r>
    </w:p>
    <w:p w14:paraId="2D3BAB20"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280 North High Street, Suite 1300</w:t>
      </w:r>
    </w:p>
    <w:p w14:paraId="6520B63A"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Columbus, OH  43215</w:t>
      </w:r>
    </w:p>
    <w:p w14:paraId="32FBB37A" w14:textId="7622D32F" w:rsidR="00E21F02" w:rsidRPr="00E21F02" w:rsidRDefault="00E21F02" w:rsidP="00E21F02">
      <w:pPr>
        <w:rPr>
          <w:rFonts w:cs="Arial"/>
          <w:color w:val="000000" w:themeColor="text1"/>
          <w:sz w:val="20"/>
          <w:szCs w:val="20"/>
        </w:rPr>
      </w:pPr>
      <w:r w:rsidRPr="00FD5C46">
        <w:rPr>
          <w:rFonts w:cs="Arial"/>
          <w:color w:val="000000" w:themeColor="text1"/>
          <w:sz w:val="20"/>
          <w:szCs w:val="20"/>
        </w:rPr>
        <w:t>Bojko@carpenterlipps.com</w:t>
      </w:r>
    </w:p>
    <w:p w14:paraId="7D211214" w14:textId="50147479" w:rsidR="00E21F02" w:rsidRPr="00E21F02" w:rsidRDefault="00E21F02" w:rsidP="00E21F02">
      <w:pPr>
        <w:rPr>
          <w:rFonts w:cs="Arial"/>
          <w:color w:val="000000" w:themeColor="text1"/>
          <w:sz w:val="20"/>
          <w:szCs w:val="20"/>
        </w:rPr>
      </w:pPr>
      <w:r w:rsidRPr="00FD5C46">
        <w:rPr>
          <w:rFonts w:cs="Arial"/>
          <w:color w:val="000000" w:themeColor="text1"/>
          <w:sz w:val="20"/>
          <w:szCs w:val="20"/>
        </w:rPr>
        <w:t>perko@carpenterlipps.com</w:t>
      </w:r>
    </w:p>
    <w:p w14:paraId="78BF8365" w14:textId="77777777" w:rsidR="00E21F02" w:rsidRPr="00E21F02" w:rsidRDefault="00E21F02" w:rsidP="00E21F02">
      <w:pPr>
        <w:rPr>
          <w:rFonts w:cs="Arial"/>
          <w:color w:val="000000" w:themeColor="text1"/>
          <w:sz w:val="20"/>
          <w:szCs w:val="20"/>
        </w:rPr>
      </w:pPr>
    </w:p>
    <w:p w14:paraId="6620BCE4"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the Ohio Manufacturers’ Association Energy Group</w:t>
      </w:r>
    </w:p>
    <w:p w14:paraId="10FB52C5" w14:textId="77777777" w:rsidR="00E21F02" w:rsidRPr="00E21F02" w:rsidRDefault="00E21F02" w:rsidP="00E21F02">
      <w:pPr>
        <w:rPr>
          <w:rFonts w:cs="Arial"/>
          <w:color w:val="000000" w:themeColor="text1"/>
          <w:sz w:val="20"/>
          <w:szCs w:val="20"/>
        </w:rPr>
      </w:pPr>
    </w:p>
    <w:p w14:paraId="14A2FE2D"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Michael J. </w:t>
      </w:r>
      <w:proofErr w:type="spellStart"/>
      <w:r w:rsidRPr="00E21F02">
        <w:rPr>
          <w:rFonts w:cs="Arial"/>
          <w:color w:val="000000" w:themeColor="text1"/>
          <w:sz w:val="20"/>
          <w:szCs w:val="20"/>
        </w:rPr>
        <w:t>Settineri</w:t>
      </w:r>
      <w:proofErr w:type="spellEnd"/>
    </w:p>
    <w:p w14:paraId="4BFDB713"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Stephen M. Howard</w:t>
      </w:r>
    </w:p>
    <w:p w14:paraId="5F652C9E"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Gretchen L. </w:t>
      </w:r>
      <w:proofErr w:type="spellStart"/>
      <w:r w:rsidRPr="00E21F02">
        <w:rPr>
          <w:rFonts w:cs="Arial"/>
          <w:color w:val="000000" w:themeColor="text1"/>
          <w:sz w:val="20"/>
          <w:szCs w:val="20"/>
        </w:rPr>
        <w:t>Petrucci</w:t>
      </w:r>
      <w:proofErr w:type="spellEnd"/>
    </w:p>
    <w:p w14:paraId="476D85A3"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Ilya </w:t>
      </w:r>
      <w:proofErr w:type="spellStart"/>
      <w:r w:rsidRPr="00E21F02">
        <w:rPr>
          <w:rFonts w:cs="Arial"/>
          <w:color w:val="000000" w:themeColor="text1"/>
          <w:sz w:val="20"/>
          <w:szCs w:val="20"/>
        </w:rPr>
        <w:t>Batikov</w:t>
      </w:r>
      <w:proofErr w:type="spellEnd"/>
    </w:p>
    <w:p w14:paraId="4FAC88B1" w14:textId="77777777" w:rsidR="00E21F02" w:rsidRPr="00E21F02" w:rsidRDefault="00E21F02" w:rsidP="00E21F02">
      <w:pPr>
        <w:rPr>
          <w:rFonts w:cs="Arial"/>
          <w:color w:val="000000" w:themeColor="text1"/>
          <w:sz w:val="20"/>
          <w:szCs w:val="20"/>
        </w:rPr>
      </w:pPr>
      <w:proofErr w:type="spellStart"/>
      <w:r w:rsidRPr="00E21F02">
        <w:rPr>
          <w:rFonts w:cs="Arial"/>
          <w:color w:val="000000" w:themeColor="text1"/>
          <w:sz w:val="20"/>
          <w:szCs w:val="20"/>
        </w:rPr>
        <w:t>Vorys</w:t>
      </w:r>
      <w:proofErr w:type="spellEnd"/>
      <w:r w:rsidRPr="00E21F02">
        <w:rPr>
          <w:rFonts w:cs="Arial"/>
          <w:color w:val="000000" w:themeColor="text1"/>
          <w:sz w:val="20"/>
          <w:szCs w:val="20"/>
        </w:rPr>
        <w:t xml:space="preserve">, </w:t>
      </w:r>
      <w:proofErr w:type="spellStart"/>
      <w:r w:rsidRPr="00E21F02">
        <w:rPr>
          <w:rFonts w:cs="Arial"/>
          <w:color w:val="000000" w:themeColor="text1"/>
          <w:sz w:val="20"/>
          <w:szCs w:val="20"/>
        </w:rPr>
        <w:t>Sater</w:t>
      </w:r>
      <w:proofErr w:type="spellEnd"/>
      <w:r w:rsidRPr="00E21F02">
        <w:rPr>
          <w:rFonts w:cs="Arial"/>
          <w:color w:val="000000" w:themeColor="text1"/>
          <w:sz w:val="20"/>
          <w:szCs w:val="20"/>
        </w:rPr>
        <w:t>, Seymour and Pease LLP</w:t>
      </w:r>
    </w:p>
    <w:p w14:paraId="2904DD45"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52 E. Gay Street</w:t>
      </w:r>
    </w:p>
    <w:p w14:paraId="3AA97A48"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Columbus, OH  43215</w:t>
      </w:r>
    </w:p>
    <w:p w14:paraId="12C4EA4F" w14:textId="138FD03A" w:rsidR="00E21F02" w:rsidRPr="00E21F02" w:rsidRDefault="00E21F02" w:rsidP="00E21F02">
      <w:pPr>
        <w:rPr>
          <w:rFonts w:cs="Arial"/>
          <w:color w:val="000000" w:themeColor="text1"/>
          <w:sz w:val="20"/>
          <w:szCs w:val="20"/>
        </w:rPr>
      </w:pPr>
      <w:r w:rsidRPr="00FD5C46">
        <w:rPr>
          <w:rFonts w:cs="Arial"/>
          <w:color w:val="000000" w:themeColor="text1"/>
          <w:sz w:val="20"/>
          <w:szCs w:val="20"/>
        </w:rPr>
        <w:t>mjsettineri@vorys.com</w:t>
      </w:r>
    </w:p>
    <w:p w14:paraId="275D9D7C" w14:textId="563F5BC8" w:rsidR="00E21F02" w:rsidRPr="00E21F02" w:rsidRDefault="00E21F02" w:rsidP="00E21F02">
      <w:pPr>
        <w:rPr>
          <w:rFonts w:cs="Arial"/>
          <w:color w:val="000000" w:themeColor="text1"/>
          <w:sz w:val="20"/>
          <w:szCs w:val="20"/>
        </w:rPr>
      </w:pPr>
      <w:r w:rsidRPr="00FD5C46">
        <w:rPr>
          <w:rFonts w:cs="Arial"/>
          <w:color w:val="000000" w:themeColor="text1"/>
          <w:sz w:val="20"/>
          <w:szCs w:val="20"/>
        </w:rPr>
        <w:t>smhoward@vorys.co</w:t>
      </w:r>
      <w:r w:rsidRPr="00E21F02">
        <w:rPr>
          <w:rFonts w:cs="Arial"/>
          <w:color w:val="000000" w:themeColor="text1"/>
          <w:sz w:val="20"/>
          <w:szCs w:val="20"/>
        </w:rPr>
        <w:t>m</w:t>
      </w:r>
    </w:p>
    <w:p w14:paraId="4D6F6E25" w14:textId="39B320B2" w:rsidR="00E21F02" w:rsidRPr="00E21F02" w:rsidRDefault="00E21F02" w:rsidP="00E21F02">
      <w:pPr>
        <w:rPr>
          <w:rFonts w:cs="Arial"/>
          <w:color w:val="000000" w:themeColor="text1"/>
          <w:sz w:val="20"/>
          <w:szCs w:val="20"/>
        </w:rPr>
      </w:pPr>
      <w:r w:rsidRPr="00FD5C46">
        <w:rPr>
          <w:rFonts w:cs="Arial"/>
          <w:color w:val="000000" w:themeColor="text1"/>
          <w:sz w:val="20"/>
          <w:szCs w:val="20"/>
        </w:rPr>
        <w:t>glpetrucci@vorys.com</w:t>
      </w:r>
    </w:p>
    <w:p w14:paraId="46E161F3" w14:textId="40736DC1" w:rsidR="00E21F02" w:rsidRPr="00E21F02" w:rsidRDefault="00E21F02" w:rsidP="00E21F02">
      <w:pPr>
        <w:rPr>
          <w:rFonts w:cs="Arial"/>
          <w:color w:val="000000" w:themeColor="text1"/>
          <w:sz w:val="20"/>
          <w:szCs w:val="20"/>
        </w:rPr>
      </w:pPr>
      <w:r w:rsidRPr="00FD5C46">
        <w:rPr>
          <w:rFonts w:cs="Arial"/>
          <w:color w:val="000000" w:themeColor="text1"/>
          <w:sz w:val="20"/>
          <w:szCs w:val="20"/>
        </w:rPr>
        <w:t>ibatikov@vorys.com</w:t>
      </w:r>
    </w:p>
    <w:p w14:paraId="4F777F51" w14:textId="77777777" w:rsidR="00E21F02" w:rsidRPr="00E21F02" w:rsidRDefault="00E21F02" w:rsidP="00E21F02">
      <w:pPr>
        <w:rPr>
          <w:rFonts w:cs="Arial"/>
          <w:color w:val="000000" w:themeColor="text1"/>
          <w:sz w:val="20"/>
          <w:szCs w:val="20"/>
        </w:rPr>
      </w:pPr>
    </w:p>
    <w:p w14:paraId="365C30AD"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Dynegy Inc., PJM Power Providers Group and the Electric Power Supply Association and the Retail Energy Supply Association</w:t>
      </w:r>
    </w:p>
    <w:p w14:paraId="09C4260E" w14:textId="77777777" w:rsidR="00E21F02" w:rsidRPr="00E21F02" w:rsidRDefault="00E21F02" w:rsidP="00E21F02">
      <w:pPr>
        <w:rPr>
          <w:rFonts w:cs="Arial"/>
          <w:color w:val="000000" w:themeColor="text1"/>
          <w:sz w:val="20"/>
          <w:szCs w:val="20"/>
        </w:rPr>
      </w:pPr>
    </w:p>
    <w:p w14:paraId="44F4AC52" w14:textId="2CC34806"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Joseph </w:t>
      </w:r>
      <w:proofErr w:type="spellStart"/>
      <w:r w:rsidRPr="00E21F02">
        <w:rPr>
          <w:rFonts w:cs="Arial"/>
          <w:color w:val="000000" w:themeColor="text1"/>
          <w:sz w:val="20"/>
          <w:szCs w:val="20"/>
        </w:rPr>
        <w:t>Oliker</w:t>
      </w:r>
      <w:proofErr w:type="spellEnd"/>
    </w:p>
    <w:p w14:paraId="79839955"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IGS Energy</w:t>
      </w:r>
    </w:p>
    <w:p w14:paraId="489E4006"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6100 Emerald Parkway</w:t>
      </w:r>
    </w:p>
    <w:p w14:paraId="7A0B009D"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Dublin, OH  43016</w:t>
      </w:r>
    </w:p>
    <w:p w14:paraId="13239075" w14:textId="5156AC94" w:rsidR="00E21F02" w:rsidRPr="00E21F02" w:rsidRDefault="00E21F02" w:rsidP="00E21F02">
      <w:pPr>
        <w:rPr>
          <w:rFonts w:cs="Arial"/>
          <w:color w:val="000000" w:themeColor="text1"/>
          <w:sz w:val="20"/>
          <w:szCs w:val="20"/>
        </w:rPr>
      </w:pPr>
      <w:r w:rsidRPr="00FD5C46">
        <w:rPr>
          <w:rFonts w:cs="Arial"/>
          <w:color w:val="000000" w:themeColor="text1"/>
          <w:sz w:val="20"/>
          <w:szCs w:val="20"/>
        </w:rPr>
        <w:t>joliker@igsenergy.com</w:t>
      </w:r>
    </w:p>
    <w:p w14:paraId="56699113" w14:textId="77777777" w:rsidR="00E21F02" w:rsidRPr="00E21F02" w:rsidRDefault="00E21F02" w:rsidP="00E21F02">
      <w:pPr>
        <w:rPr>
          <w:rFonts w:cs="Arial"/>
          <w:color w:val="000000" w:themeColor="text1"/>
          <w:sz w:val="20"/>
          <w:szCs w:val="20"/>
        </w:rPr>
      </w:pPr>
    </w:p>
    <w:p w14:paraId="3D04E483" w14:textId="5AAEEC10" w:rsidR="00E21F02" w:rsidRPr="00E21F02" w:rsidRDefault="00E21F02" w:rsidP="00E21F02">
      <w:pPr>
        <w:rPr>
          <w:rFonts w:cs="Arial"/>
          <w:color w:val="000000" w:themeColor="text1"/>
          <w:sz w:val="20"/>
          <w:szCs w:val="20"/>
        </w:rPr>
      </w:pPr>
      <w:r w:rsidRPr="00E21F02">
        <w:rPr>
          <w:rFonts w:cs="Arial"/>
          <w:b/>
          <w:smallCaps/>
          <w:color w:val="000000" w:themeColor="text1"/>
          <w:sz w:val="20"/>
          <w:szCs w:val="20"/>
        </w:rPr>
        <w:t>Counsel for IGS Energy</w:t>
      </w:r>
    </w:p>
    <w:p w14:paraId="28832759" w14:textId="77777777" w:rsidR="00EE0061" w:rsidRDefault="00EE0061" w:rsidP="00E21F02">
      <w:pPr>
        <w:rPr>
          <w:rFonts w:cs="Arial"/>
          <w:color w:val="000000" w:themeColor="text1"/>
          <w:sz w:val="20"/>
          <w:szCs w:val="20"/>
        </w:rPr>
      </w:pPr>
    </w:p>
    <w:p w14:paraId="7FBF5D49" w14:textId="765DE677" w:rsidR="00E21F02" w:rsidRPr="00E21F02" w:rsidRDefault="00EE0061" w:rsidP="00E21F02">
      <w:pPr>
        <w:rPr>
          <w:rFonts w:cs="Arial"/>
          <w:color w:val="000000" w:themeColor="text1"/>
          <w:sz w:val="20"/>
          <w:szCs w:val="20"/>
        </w:rPr>
      </w:pPr>
      <w:r>
        <w:rPr>
          <w:rFonts w:cs="Arial"/>
          <w:color w:val="000000" w:themeColor="text1"/>
          <w:sz w:val="20"/>
          <w:szCs w:val="20"/>
        </w:rPr>
        <w:br w:type="column"/>
      </w:r>
      <w:r w:rsidR="00E21F02" w:rsidRPr="00E21F02">
        <w:rPr>
          <w:rFonts w:cs="Arial"/>
          <w:color w:val="000000" w:themeColor="text1"/>
          <w:sz w:val="20"/>
          <w:szCs w:val="20"/>
        </w:rPr>
        <w:t>Michael D. Dortch</w:t>
      </w:r>
    </w:p>
    <w:p w14:paraId="6B6AC8B5"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Richard R. Parsons</w:t>
      </w:r>
    </w:p>
    <w:p w14:paraId="7AA2A616" w14:textId="77777777" w:rsidR="00E21F02" w:rsidRPr="00E21F02" w:rsidRDefault="00E21F02" w:rsidP="00E21F02">
      <w:pPr>
        <w:rPr>
          <w:rFonts w:cs="Arial"/>
          <w:color w:val="000000" w:themeColor="text1"/>
          <w:sz w:val="20"/>
          <w:szCs w:val="20"/>
        </w:rPr>
      </w:pPr>
      <w:proofErr w:type="spellStart"/>
      <w:r w:rsidRPr="00E21F02">
        <w:rPr>
          <w:rFonts w:cs="Arial"/>
          <w:color w:val="000000" w:themeColor="text1"/>
          <w:sz w:val="20"/>
          <w:szCs w:val="20"/>
        </w:rPr>
        <w:t>Kravitz</w:t>
      </w:r>
      <w:proofErr w:type="spellEnd"/>
      <w:r w:rsidRPr="00E21F02">
        <w:rPr>
          <w:rFonts w:cs="Arial"/>
          <w:color w:val="000000" w:themeColor="text1"/>
          <w:sz w:val="20"/>
          <w:szCs w:val="20"/>
        </w:rPr>
        <w:t>, Brown &amp; Dortch, LLC</w:t>
      </w:r>
    </w:p>
    <w:p w14:paraId="4CCA8E35"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65 East State Street, Suite 200</w:t>
      </w:r>
    </w:p>
    <w:p w14:paraId="11BE569B"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Columbus, OH  43215</w:t>
      </w:r>
    </w:p>
    <w:p w14:paraId="4E0D397F" w14:textId="5B015FAC" w:rsidR="00E21F02" w:rsidRPr="00E21F02" w:rsidRDefault="00E21F02" w:rsidP="00E21F02">
      <w:pPr>
        <w:rPr>
          <w:rFonts w:cs="Arial"/>
          <w:color w:val="000000" w:themeColor="text1"/>
          <w:sz w:val="20"/>
          <w:szCs w:val="20"/>
        </w:rPr>
      </w:pPr>
      <w:r w:rsidRPr="00FD5C46">
        <w:rPr>
          <w:rFonts w:cs="Arial"/>
          <w:color w:val="000000" w:themeColor="text1"/>
          <w:sz w:val="20"/>
          <w:szCs w:val="20"/>
        </w:rPr>
        <w:t>mdortch@kravitzllc.com</w:t>
      </w:r>
    </w:p>
    <w:p w14:paraId="6C639806" w14:textId="0FE66CFC" w:rsidR="00E21F02" w:rsidRPr="00E21F02" w:rsidRDefault="00E21F02" w:rsidP="00E21F02">
      <w:pPr>
        <w:rPr>
          <w:rFonts w:cs="Arial"/>
          <w:color w:val="000000" w:themeColor="text1"/>
          <w:sz w:val="20"/>
          <w:szCs w:val="20"/>
        </w:rPr>
      </w:pPr>
      <w:r w:rsidRPr="00FD5C46">
        <w:rPr>
          <w:rFonts w:cs="Arial"/>
          <w:color w:val="000000" w:themeColor="text1"/>
          <w:sz w:val="20"/>
          <w:szCs w:val="20"/>
        </w:rPr>
        <w:t>rparsons@kravitzllc.com</w:t>
      </w:r>
    </w:p>
    <w:p w14:paraId="43CC04AF" w14:textId="77777777" w:rsidR="00E21F02" w:rsidRPr="00E21F02" w:rsidRDefault="00E21F02" w:rsidP="00E21F02">
      <w:pPr>
        <w:rPr>
          <w:rFonts w:cs="Arial"/>
          <w:color w:val="000000" w:themeColor="text1"/>
          <w:sz w:val="20"/>
          <w:szCs w:val="20"/>
        </w:rPr>
      </w:pPr>
    </w:p>
    <w:p w14:paraId="04DC73A3"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Noble Americas Energy Solutions LLC</w:t>
      </w:r>
    </w:p>
    <w:p w14:paraId="184CE153" w14:textId="77777777" w:rsidR="00E21F02" w:rsidRPr="00E21F02" w:rsidRDefault="00E21F02" w:rsidP="00E21F02">
      <w:pPr>
        <w:rPr>
          <w:rFonts w:cs="Arial"/>
          <w:color w:val="000000" w:themeColor="text1"/>
          <w:sz w:val="20"/>
          <w:szCs w:val="20"/>
        </w:rPr>
      </w:pPr>
    </w:p>
    <w:p w14:paraId="586CEDF7"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Colleen L. Mooney</w:t>
      </w:r>
    </w:p>
    <w:p w14:paraId="65F1FB23"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231 West Lima Street</w:t>
      </w:r>
    </w:p>
    <w:p w14:paraId="0F3C68D3"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PO Box 1793</w:t>
      </w:r>
    </w:p>
    <w:p w14:paraId="1B8E2AD7"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Findlay, OH  45839-1793</w:t>
      </w:r>
    </w:p>
    <w:p w14:paraId="380E38D2" w14:textId="2AFDF8F6" w:rsidR="00E21F02" w:rsidRPr="00E21F02" w:rsidRDefault="00E21F02" w:rsidP="00E21F02">
      <w:pPr>
        <w:rPr>
          <w:rFonts w:cs="Arial"/>
          <w:color w:val="000000" w:themeColor="text1"/>
          <w:sz w:val="20"/>
          <w:szCs w:val="20"/>
        </w:rPr>
      </w:pPr>
      <w:r w:rsidRPr="00FD5C46">
        <w:rPr>
          <w:rFonts w:cs="Arial"/>
          <w:color w:val="000000" w:themeColor="text1"/>
          <w:sz w:val="20"/>
          <w:szCs w:val="20"/>
        </w:rPr>
        <w:t>cmooney@ohiopartners.org</w:t>
      </w:r>
    </w:p>
    <w:p w14:paraId="14A6AB68" w14:textId="77777777" w:rsidR="00E21F02" w:rsidRPr="00E21F02" w:rsidRDefault="00E21F02" w:rsidP="00E21F02">
      <w:pPr>
        <w:rPr>
          <w:rFonts w:cs="Arial"/>
          <w:color w:val="000000" w:themeColor="text1"/>
          <w:sz w:val="20"/>
          <w:szCs w:val="20"/>
        </w:rPr>
      </w:pPr>
    </w:p>
    <w:p w14:paraId="590A6376"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Ohio Partners for Affordable Energy</w:t>
      </w:r>
    </w:p>
    <w:p w14:paraId="7E9685EC" w14:textId="77777777" w:rsidR="00E21F02" w:rsidRPr="00E21F02" w:rsidRDefault="00E21F02" w:rsidP="00E21F02">
      <w:pPr>
        <w:rPr>
          <w:rFonts w:cs="Arial"/>
          <w:color w:val="000000" w:themeColor="text1"/>
          <w:sz w:val="20"/>
          <w:szCs w:val="20"/>
        </w:rPr>
      </w:pPr>
    </w:p>
    <w:p w14:paraId="6F9CA9B0"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Trent Dougherty</w:t>
      </w:r>
    </w:p>
    <w:p w14:paraId="6826C7FC"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1145 Chesapeake Ave., Suite I</w:t>
      </w:r>
    </w:p>
    <w:p w14:paraId="32D302E9"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Columbus, OH  43212-3449</w:t>
      </w:r>
    </w:p>
    <w:p w14:paraId="642381DA" w14:textId="24023621" w:rsidR="00E21F02" w:rsidRPr="00E21F02" w:rsidRDefault="00E21F02" w:rsidP="00E21F02">
      <w:pPr>
        <w:rPr>
          <w:rFonts w:cs="Arial"/>
          <w:color w:val="000000" w:themeColor="text1"/>
          <w:sz w:val="20"/>
          <w:szCs w:val="20"/>
        </w:rPr>
      </w:pPr>
      <w:r w:rsidRPr="00FD5C46">
        <w:rPr>
          <w:rFonts w:cs="Arial"/>
          <w:color w:val="000000" w:themeColor="text1"/>
          <w:sz w:val="20"/>
          <w:szCs w:val="20"/>
        </w:rPr>
        <w:t>tdougherty@theOEC.org</w:t>
      </w:r>
    </w:p>
    <w:p w14:paraId="413986E6" w14:textId="77777777" w:rsidR="00E21F02" w:rsidRPr="00E21F02" w:rsidRDefault="00E21F02" w:rsidP="00E21F02">
      <w:pPr>
        <w:rPr>
          <w:rFonts w:cs="Arial"/>
          <w:color w:val="000000" w:themeColor="text1"/>
          <w:sz w:val="20"/>
          <w:szCs w:val="20"/>
        </w:rPr>
      </w:pPr>
    </w:p>
    <w:p w14:paraId="56F90550"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the Ohio Environmental Council and Environmental Defense Fund</w:t>
      </w:r>
    </w:p>
    <w:p w14:paraId="2A4DAD26" w14:textId="77777777" w:rsidR="00E21F02" w:rsidRPr="00E21F02" w:rsidRDefault="00E21F02" w:rsidP="00E21F02">
      <w:pPr>
        <w:rPr>
          <w:rFonts w:cs="Arial"/>
          <w:color w:val="000000" w:themeColor="text1"/>
          <w:sz w:val="20"/>
          <w:szCs w:val="20"/>
        </w:rPr>
      </w:pPr>
    </w:p>
    <w:p w14:paraId="00F8518B"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Joel E. </w:t>
      </w:r>
      <w:proofErr w:type="spellStart"/>
      <w:r w:rsidRPr="00E21F02">
        <w:rPr>
          <w:rFonts w:cs="Arial"/>
          <w:color w:val="000000" w:themeColor="text1"/>
          <w:sz w:val="20"/>
          <w:szCs w:val="20"/>
        </w:rPr>
        <w:t>Sechler</w:t>
      </w:r>
      <w:proofErr w:type="spellEnd"/>
    </w:p>
    <w:p w14:paraId="515CE097"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Carpenter </w:t>
      </w:r>
      <w:proofErr w:type="spellStart"/>
      <w:r w:rsidRPr="00E21F02">
        <w:rPr>
          <w:rFonts w:cs="Arial"/>
          <w:color w:val="000000" w:themeColor="text1"/>
          <w:sz w:val="20"/>
          <w:szCs w:val="20"/>
        </w:rPr>
        <w:t>Lipps</w:t>
      </w:r>
      <w:proofErr w:type="spellEnd"/>
      <w:r w:rsidRPr="00E21F02">
        <w:rPr>
          <w:rFonts w:cs="Arial"/>
          <w:color w:val="000000" w:themeColor="text1"/>
          <w:sz w:val="20"/>
          <w:szCs w:val="20"/>
        </w:rPr>
        <w:t xml:space="preserve"> &amp; Leland LLP</w:t>
      </w:r>
    </w:p>
    <w:p w14:paraId="7320E94E"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280 North High Street, Suite 1300</w:t>
      </w:r>
    </w:p>
    <w:p w14:paraId="50A34295"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Columbus, OH  43215</w:t>
      </w:r>
    </w:p>
    <w:p w14:paraId="223E21AD" w14:textId="44DE8D04" w:rsidR="00E21F02" w:rsidRPr="00E21F02" w:rsidRDefault="00E21F02" w:rsidP="00E21F02">
      <w:pPr>
        <w:rPr>
          <w:rFonts w:cs="Arial"/>
          <w:color w:val="000000" w:themeColor="text1"/>
          <w:sz w:val="20"/>
          <w:szCs w:val="20"/>
        </w:rPr>
      </w:pPr>
      <w:r w:rsidRPr="00FD5C46">
        <w:rPr>
          <w:rFonts w:cs="Arial"/>
          <w:color w:val="000000" w:themeColor="text1"/>
          <w:sz w:val="20"/>
          <w:szCs w:val="20"/>
        </w:rPr>
        <w:t>Sechler@carpenterlipps.com</w:t>
      </w:r>
    </w:p>
    <w:p w14:paraId="449EB1A1" w14:textId="77777777" w:rsidR="00E21F02" w:rsidRPr="00E21F02" w:rsidRDefault="00E21F02" w:rsidP="00E21F02">
      <w:pPr>
        <w:rPr>
          <w:rFonts w:cs="Arial"/>
          <w:color w:val="000000" w:themeColor="text1"/>
          <w:sz w:val="20"/>
          <w:szCs w:val="20"/>
        </w:rPr>
      </w:pPr>
    </w:p>
    <w:p w14:paraId="171147C8"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Gregory J. </w:t>
      </w:r>
      <w:proofErr w:type="spellStart"/>
      <w:r w:rsidRPr="00E21F02">
        <w:rPr>
          <w:rFonts w:cs="Arial"/>
          <w:color w:val="000000" w:themeColor="text1"/>
          <w:sz w:val="20"/>
          <w:szCs w:val="20"/>
        </w:rPr>
        <w:t>Poulos</w:t>
      </w:r>
      <w:proofErr w:type="spellEnd"/>
    </w:p>
    <w:p w14:paraId="0CFB726A" w14:textId="77777777" w:rsidR="00E21F02" w:rsidRPr="00E21F02" w:rsidRDefault="00E21F02" w:rsidP="00E21F02">
      <w:pPr>
        <w:rPr>
          <w:rFonts w:cs="Arial"/>
          <w:color w:val="000000" w:themeColor="text1"/>
          <w:sz w:val="20"/>
          <w:szCs w:val="20"/>
        </w:rPr>
      </w:pPr>
      <w:proofErr w:type="spellStart"/>
      <w:r w:rsidRPr="00E21F02">
        <w:rPr>
          <w:rFonts w:cs="Arial"/>
          <w:color w:val="000000" w:themeColor="text1"/>
          <w:sz w:val="20"/>
          <w:szCs w:val="20"/>
        </w:rPr>
        <w:t>EnerNOC</w:t>
      </w:r>
      <w:proofErr w:type="spellEnd"/>
      <w:r w:rsidRPr="00E21F02">
        <w:rPr>
          <w:rFonts w:cs="Arial"/>
          <w:color w:val="000000" w:themeColor="text1"/>
          <w:sz w:val="20"/>
          <w:szCs w:val="20"/>
        </w:rPr>
        <w:t>, Inc.</w:t>
      </w:r>
    </w:p>
    <w:p w14:paraId="25610D2C"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PO Box 29492</w:t>
      </w:r>
    </w:p>
    <w:p w14:paraId="17432176"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Columbus, OH  43229</w:t>
      </w:r>
    </w:p>
    <w:p w14:paraId="0567627E" w14:textId="0415F193" w:rsidR="00E21F02" w:rsidRPr="00E21F02" w:rsidRDefault="00E21F02" w:rsidP="00E21F02">
      <w:pPr>
        <w:rPr>
          <w:rFonts w:cs="Arial"/>
          <w:color w:val="000000" w:themeColor="text1"/>
          <w:sz w:val="20"/>
          <w:szCs w:val="20"/>
        </w:rPr>
      </w:pPr>
      <w:r w:rsidRPr="00FD5C46">
        <w:rPr>
          <w:rFonts w:cs="Arial"/>
          <w:color w:val="000000" w:themeColor="text1"/>
          <w:sz w:val="20"/>
          <w:szCs w:val="20"/>
        </w:rPr>
        <w:t>gpoulos@enernoc.com</w:t>
      </w:r>
    </w:p>
    <w:p w14:paraId="6A3A3F35" w14:textId="77777777" w:rsidR="00E21F02" w:rsidRPr="00E21F02" w:rsidRDefault="00E21F02" w:rsidP="00E21F02">
      <w:pPr>
        <w:rPr>
          <w:rFonts w:cs="Arial"/>
          <w:color w:val="000000" w:themeColor="text1"/>
          <w:sz w:val="20"/>
          <w:szCs w:val="20"/>
        </w:rPr>
      </w:pPr>
    </w:p>
    <w:p w14:paraId="5797C060" w14:textId="77777777" w:rsidR="00E21F02" w:rsidRDefault="00E21F02" w:rsidP="00E21F02">
      <w:pPr>
        <w:rPr>
          <w:rFonts w:cs="Arial"/>
          <w:b/>
          <w:smallCaps/>
          <w:color w:val="000000" w:themeColor="text1"/>
          <w:sz w:val="20"/>
          <w:szCs w:val="20"/>
        </w:rPr>
      </w:pPr>
      <w:r w:rsidRPr="00E21F02">
        <w:rPr>
          <w:rFonts w:cs="Arial"/>
          <w:b/>
          <w:smallCaps/>
          <w:color w:val="000000" w:themeColor="text1"/>
          <w:sz w:val="20"/>
          <w:szCs w:val="20"/>
        </w:rPr>
        <w:t xml:space="preserve">Counsel for </w:t>
      </w:r>
      <w:proofErr w:type="spellStart"/>
      <w:r w:rsidRPr="00E21F02">
        <w:rPr>
          <w:rFonts w:cs="Arial"/>
          <w:b/>
          <w:smallCaps/>
          <w:color w:val="000000" w:themeColor="text1"/>
          <w:sz w:val="20"/>
          <w:szCs w:val="20"/>
        </w:rPr>
        <w:t>EnerNOC</w:t>
      </w:r>
      <w:proofErr w:type="spellEnd"/>
      <w:r w:rsidRPr="00E21F02">
        <w:rPr>
          <w:rFonts w:cs="Arial"/>
          <w:b/>
          <w:smallCaps/>
          <w:color w:val="000000" w:themeColor="text1"/>
          <w:sz w:val="20"/>
          <w:szCs w:val="20"/>
        </w:rPr>
        <w:t>, Inc.</w:t>
      </w:r>
    </w:p>
    <w:p w14:paraId="2209BFE6" w14:textId="77777777" w:rsidR="00E21F02" w:rsidRDefault="00E21F02" w:rsidP="00E21F02">
      <w:pPr>
        <w:rPr>
          <w:rFonts w:eastAsia="Calibri" w:cs="Arial"/>
          <w:color w:val="000000" w:themeColor="text1"/>
          <w:sz w:val="20"/>
          <w:szCs w:val="20"/>
        </w:rPr>
      </w:pPr>
    </w:p>
    <w:p w14:paraId="4EAAD39E"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Richard L. Sites</w:t>
      </w:r>
    </w:p>
    <w:p w14:paraId="0A853E33"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Regulatory Counsel</w:t>
      </w:r>
    </w:p>
    <w:p w14:paraId="34AFF049"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Ohio Hospital Association</w:t>
      </w:r>
    </w:p>
    <w:p w14:paraId="5CA1FE7A"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155 East Broad Street, 3</w:t>
      </w:r>
      <w:r w:rsidRPr="00E21F02">
        <w:rPr>
          <w:rFonts w:eastAsia="Calibri" w:cs="Arial"/>
          <w:color w:val="000000" w:themeColor="text1"/>
          <w:sz w:val="20"/>
          <w:szCs w:val="20"/>
          <w:vertAlign w:val="superscript"/>
        </w:rPr>
        <w:t>rd</w:t>
      </w:r>
      <w:r w:rsidRPr="00E21F02">
        <w:rPr>
          <w:rFonts w:eastAsia="Calibri" w:cs="Arial"/>
          <w:color w:val="000000" w:themeColor="text1"/>
          <w:sz w:val="20"/>
          <w:szCs w:val="20"/>
        </w:rPr>
        <w:t xml:space="preserve"> Floor</w:t>
      </w:r>
    </w:p>
    <w:p w14:paraId="4DAC85FB"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Columbus, OH  43215-3620</w:t>
      </w:r>
    </w:p>
    <w:p w14:paraId="6E9CCB18" w14:textId="552D98CE"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rick.sites@ohiohospitals.org</w:t>
      </w:r>
    </w:p>
    <w:p w14:paraId="10283A8D" w14:textId="77777777" w:rsidR="00E21F02" w:rsidRPr="00E21F02" w:rsidRDefault="00E21F02" w:rsidP="00E21F02">
      <w:pPr>
        <w:rPr>
          <w:rFonts w:eastAsia="Calibri" w:cs="Arial"/>
          <w:color w:val="000000" w:themeColor="text1"/>
          <w:sz w:val="20"/>
          <w:szCs w:val="20"/>
        </w:rPr>
      </w:pPr>
    </w:p>
    <w:p w14:paraId="725AFD2D" w14:textId="6B1396A5"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Matthew Warnock</w:t>
      </w:r>
    </w:p>
    <w:p w14:paraId="27AF8BE7"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 xml:space="preserve">Dylan </w:t>
      </w:r>
      <w:proofErr w:type="spellStart"/>
      <w:r w:rsidRPr="00E21F02">
        <w:rPr>
          <w:rFonts w:eastAsia="Calibri" w:cs="Arial"/>
          <w:color w:val="000000" w:themeColor="text1"/>
          <w:sz w:val="20"/>
          <w:szCs w:val="20"/>
        </w:rPr>
        <w:t>Borchers</w:t>
      </w:r>
      <w:proofErr w:type="spellEnd"/>
    </w:p>
    <w:p w14:paraId="1496EDC5"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 xml:space="preserve">Bricker &amp; </w:t>
      </w:r>
      <w:proofErr w:type="spellStart"/>
      <w:r w:rsidRPr="00E21F02">
        <w:rPr>
          <w:rFonts w:eastAsia="Calibri" w:cs="Arial"/>
          <w:color w:val="000000" w:themeColor="text1"/>
          <w:sz w:val="20"/>
          <w:szCs w:val="20"/>
        </w:rPr>
        <w:t>Eckler</w:t>
      </w:r>
      <w:proofErr w:type="spellEnd"/>
      <w:r w:rsidRPr="00E21F02">
        <w:rPr>
          <w:rFonts w:eastAsia="Calibri" w:cs="Arial"/>
          <w:color w:val="000000" w:themeColor="text1"/>
          <w:sz w:val="20"/>
          <w:szCs w:val="20"/>
        </w:rPr>
        <w:t xml:space="preserve"> LLP</w:t>
      </w:r>
    </w:p>
    <w:p w14:paraId="7D2C51AA"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100 South Third Street</w:t>
      </w:r>
    </w:p>
    <w:p w14:paraId="2845E251"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Columbus, OH  43215-4291</w:t>
      </w:r>
    </w:p>
    <w:p w14:paraId="1C080522" w14:textId="6D0BC419"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mwarnock@bricker.com</w:t>
      </w:r>
    </w:p>
    <w:p w14:paraId="7AB9BCAB" w14:textId="750DD98F"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dborchers@bricker.com</w:t>
      </w:r>
    </w:p>
    <w:p w14:paraId="4287EBB9" w14:textId="77777777" w:rsidR="00E21F02" w:rsidRPr="00E21F02" w:rsidRDefault="00E21F02" w:rsidP="00E21F02">
      <w:pPr>
        <w:rPr>
          <w:rFonts w:eastAsia="Calibri" w:cs="Arial"/>
          <w:color w:val="000000" w:themeColor="text1"/>
          <w:sz w:val="20"/>
          <w:szCs w:val="20"/>
        </w:rPr>
      </w:pPr>
    </w:p>
    <w:p w14:paraId="643FF909" w14:textId="77777777" w:rsidR="00EE0061" w:rsidRDefault="00E21F02" w:rsidP="00E21F02">
      <w:pPr>
        <w:rPr>
          <w:rFonts w:eastAsia="Calibri" w:cs="Arial"/>
          <w:b/>
          <w:smallCaps/>
          <w:color w:val="000000" w:themeColor="text1"/>
          <w:sz w:val="20"/>
          <w:szCs w:val="20"/>
        </w:rPr>
        <w:sectPr w:rsidR="00EE0061" w:rsidSect="00EE0061">
          <w:pgSz w:w="12240" w:h="15840" w:code="1"/>
          <w:pgMar w:top="1296" w:right="1440" w:bottom="1152" w:left="1440" w:header="720" w:footer="720" w:gutter="0"/>
          <w:cols w:num="2" w:space="720"/>
          <w:titlePg/>
          <w:docGrid w:linePitch="360"/>
        </w:sectPr>
      </w:pPr>
      <w:r w:rsidRPr="00E21F02">
        <w:rPr>
          <w:rFonts w:eastAsia="Calibri" w:cs="Arial"/>
          <w:b/>
          <w:smallCaps/>
          <w:color w:val="000000" w:themeColor="text1"/>
          <w:sz w:val="20"/>
          <w:szCs w:val="20"/>
        </w:rPr>
        <w:t>Counsel for The Ohio Hospital Association</w:t>
      </w:r>
    </w:p>
    <w:p w14:paraId="53C299A4"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lastRenderedPageBreak/>
        <w:t xml:space="preserve">Richard C. </w:t>
      </w:r>
      <w:proofErr w:type="spellStart"/>
      <w:r w:rsidRPr="00E21F02">
        <w:rPr>
          <w:rFonts w:eastAsia="Calibri" w:cs="Arial"/>
          <w:color w:val="000000" w:themeColor="text1"/>
          <w:sz w:val="20"/>
          <w:szCs w:val="20"/>
        </w:rPr>
        <w:t>Sahli</w:t>
      </w:r>
      <w:proofErr w:type="spellEnd"/>
    </w:p>
    <w:p w14:paraId="6B8CF873"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 xml:space="preserve">Richard </w:t>
      </w:r>
      <w:proofErr w:type="spellStart"/>
      <w:r w:rsidRPr="00E21F02">
        <w:rPr>
          <w:rFonts w:eastAsia="Calibri" w:cs="Arial"/>
          <w:color w:val="000000" w:themeColor="text1"/>
          <w:sz w:val="20"/>
          <w:szCs w:val="20"/>
        </w:rPr>
        <w:t>Sahli</w:t>
      </w:r>
      <w:proofErr w:type="spellEnd"/>
      <w:r w:rsidRPr="00E21F02">
        <w:rPr>
          <w:rFonts w:eastAsia="Calibri" w:cs="Arial"/>
          <w:color w:val="000000" w:themeColor="text1"/>
          <w:sz w:val="20"/>
          <w:szCs w:val="20"/>
        </w:rPr>
        <w:t xml:space="preserve"> Law Office, LLC</w:t>
      </w:r>
    </w:p>
    <w:p w14:paraId="1A2445BF"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981 Pinewood Lane</w:t>
      </w:r>
    </w:p>
    <w:p w14:paraId="7C946E80"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Columbus, OH  43230-3662</w:t>
      </w:r>
    </w:p>
    <w:p w14:paraId="65601497" w14:textId="194DD451"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rsahli@columbus.rr.com</w:t>
      </w:r>
    </w:p>
    <w:p w14:paraId="3202DADE" w14:textId="77777777" w:rsidR="00E21F02" w:rsidRPr="00E21F02" w:rsidRDefault="00E21F02" w:rsidP="00E21F02">
      <w:pPr>
        <w:rPr>
          <w:rFonts w:eastAsia="Calibri" w:cs="Arial"/>
          <w:color w:val="000000" w:themeColor="text1"/>
          <w:sz w:val="20"/>
          <w:szCs w:val="20"/>
        </w:rPr>
      </w:pPr>
    </w:p>
    <w:p w14:paraId="329353B6"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Tony Mendoza</w:t>
      </w:r>
    </w:p>
    <w:p w14:paraId="58FF3785"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Kristin Henry</w:t>
      </w:r>
    </w:p>
    <w:p w14:paraId="5201D151"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Sierra Club Environmental Law Program</w:t>
      </w:r>
    </w:p>
    <w:p w14:paraId="2AC7EEC3"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2101 Webster St., 13</w:t>
      </w:r>
      <w:r w:rsidRPr="00E21F02">
        <w:rPr>
          <w:rFonts w:eastAsia="Calibri" w:cs="Arial"/>
          <w:color w:val="000000" w:themeColor="text1"/>
          <w:sz w:val="20"/>
          <w:szCs w:val="20"/>
          <w:vertAlign w:val="superscript"/>
        </w:rPr>
        <w:t>th</w:t>
      </w:r>
      <w:r w:rsidRPr="00E21F02">
        <w:rPr>
          <w:rFonts w:eastAsia="Calibri" w:cs="Arial"/>
          <w:color w:val="000000" w:themeColor="text1"/>
          <w:sz w:val="20"/>
          <w:szCs w:val="20"/>
        </w:rPr>
        <w:t xml:space="preserve"> Floor</w:t>
      </w:r>
    </w:p>
    <w:p w14:paraId="531F7C9D"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Oakland, CA  94612</w:t>
      </w:r>
    </w:p>
    <w:p w14:paraId="79FC81B3" w14:textId="24396ED7"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Tony.mendoza@sierraclub.org</w:t>
      </w:r>
    </w:p>
    <w:p w14:paraId="6708BB18"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Kristin.henry@sierraclub.org</w:t>
      </w:r>
    </w:p>
    <w:p w14:paraId="54FE665A" w14:textId="77777777" w:rsidR="00E21F02" w:rsidRPr="00E21F02" w:rsidRDefault="00E21F02" w:rsidP="00E21F02">
      <w:pPr>
        <w:rPr>
          <w:rFonts w:eastAsia="Calibri" w:cs="Arial"/>
          <w:color w:val="000000" w:themeColor="text1"/>
          <w:sz w:val="20"/>
          <w:szCs w:val="20"/>
        </w:rPr>
      </w:pPr>
    </w:p>
    <w:p w14:paraId="3EA97458"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 xml:space="preserve">Christopher M. </w:t>
      </w:r>
      <w:proofErr w:type="spellStart"/>
      <w:r w:rsidRPr="00E21F02">
        <w:rPr>
          <w:rFonts w:eastAsia="Calibri" w:cs="Arial"/>
          <w:color w:val="000000" w:themeColor="text1"/>
          <w:sz w:val="20"/>
          <w:szCs w:val="20"/>
        </w:rPr>
        <w:t>Bzdok</w:t>
      </w:r>
      <w:proofErr w:type="spellEnd"/>
    </w:p>
    <w:p w14:paraId="05E13228"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 xml:space="preserve">Olson </w:t>
      </w:r>
      <w:proofErr w:type="spellStart"/>
      <w:r w:rsidRPr="00E21F02">
        <w:rPr>
          <w:rFonts w:eastAsia="Calibri" w:cs="Arial"/>
          <w:color w:val="000000" w:themeColor="text1"/>
          <w:sz w:val="20"/>
          <w:szCs w:val="20"/>
        </w:rPr>
        <w:t>Bzdok</w:t>
      </w:r>
      <w:proofErr w:type="spellEnd"/>
      <w:r w:rsidRPr="00E21F02">
        <w:rPr>
          <w:rFonts w:eastAsia="Calibri" w:cs="Arial"/>
          <w:color w:val="000000" w:themeColor="text1"/>
          <w:sz w:val="20"/>
          <w:szCs w:val="20"/>
        </w:rPr>
        <w:t xml:space="preserve"> &amp; Howard, P.C.</w:t>
      </w:r>
    </w:p>
    <w:p w14:paraId="2B4DE85F"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420 E. Front Street</w:t>
      </w:r>
    </w:p>
    <w:p w14:paraId="66D8550F"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Traverse City, MI  49686</w:t>
      </w:r>
    </w:p>
    <w:p w14:paraId="14440468" w14:textId="11026784"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chris@envlaw.com</w:t>
      </w:r>
    </w:p>
    <w:p w14:paraId="1069C919" w14:textId="77777777" w:rsidR="00E21F02" w:rsidRPr="00E21F02" w:rsidRDefault="00E21F02" w:rsidP="00E21F02">
      <w:pPr>
        <w:rPr>
          <w:rFonts w:eastAsia="Calibri" w:cs="Arial"/>
          <w:color w:val="000000" w:themeColor="text1"/>
          <w:sz w:val="20"/>
          <w:szCs w:val="20"/>
        </w:rPr>
      </w:pPr>
    </w:p>
    <w:p w14:paraId="45548A37" w14:textId="77777777" w:rsidR="00E21F02" w:rsidRPr="00E21F02" w:rsidRDefault="00E21F02" w:rsidP="00E21F02">
      <w:pPr>
        <w:rPr>
          <w:rFonts w:eastAsia="Calibri" w:cs="Arial"/>
          <w:b/>
          <w:smallCaps/>
          <w:color w:val="000000" w:themeColor="text1"/>
          <w:sz w:val="20"/>
          <w:szCs w:val="20"/>
        </w:rPr>
      </w:pPr>
      <w:r w:rsidRPr="00E21F02">
        <w:rPr>
          <w:rFonts w:eastAsia="Calibri" w:cs="Arial"/>
          <w:b/>
          <w:smallCaps/>
          <w:color w:val="000000" w:themeColor="text1"/>
          <w:sz w:val="20"/>
          <w:szCs w:val="20"/>
        </w:rPr>
        <w:t>Counsel for Sierra Club</w:t>
      </w:r>
    </w:p>
    <w:p w14:paraId="57473A6B" w14:textId="77777777" w:rsidR="00E21F02" w:rsidRPr="00E21F02" w:rsidRDefault="00E21F02" w:rsidP="00E21F02">
      <w:pPr>
        <w:rPr>
          <w:rFonts w:eastAsia="Calibri" w:cs="Arial"/>
          <w:b/>
          <w:smallCaps/>
          <w:color w:val="000000" w:themeColor="text1"/>
          <w:sz w:val="20"/>
          <w:szCs w:val="20"/>
        </w:rPr>
      </w:pPr>
    </w:p>
    <w:p w14:paraId="6298FDED"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Steven D. Lesser</w:t>
      </w:r>
    </w:p>
    <w:p w14:paraId="22524BE2"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James F. Lang</w:t>
      </w:r>
    </w:p>
    <w:p w14:paraId="4A35EE53"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N. Trevor Alexander</w:t>
      </w:r>
    </w:p>
    <w:p w14:paraId="1204BC19"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 xml:space="preserve">Mark T. </w:t>
      </w:r>
      <w:proofErr w:type="spellStart"/>
      <w:r w:rsidRPr="00E21F02">
        <w:rPr>
          <w:rFonts w:eastAsia="Calibri" w:cs="Arial"/>
          <w:color w:val="000000" w:themeColor="text1"/>
          <w:sz w:val="20"/>
          <w:szCs w:val="20"/>
        </w:rPr>
        <w:t>Keaney</w:t>
      </w:r>
      <w:proofErr w:type="spellEnd"/>
    </w:p>
    <w:p w14:paraId="5AB0CBAB"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Calfee, Halter &amp; Griswold LLP</w:t>
      </w:r>
    </w:p>
    <w:p w14:paraId="4B824EFD"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41 S. High St.</w:t>
      </w:r>
    </w:p>
    <w:p w14:paraId="611D2104"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1200 Huntington Center</w:t>
      </w:r>
    </w:p>
    <w:p w14:paraId="35887FE1"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Columbus, OH  43215</w:t>
      </w:r>
    </w:p>
    <w:p w14:paraId="509EA404" w14:textId="43F4264B"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slesser@calfee.com</w:t>
      </w:r>
    </w:p>
    <w:p w14:paraId="71072004" w14:textId="7C7E5D34"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jlang@calfee.com</w:t>
      </w:r>
    </w:p>
    <w:p w14:paraId="39642F3E" w14:textId="71AC3067"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talexander@calfee.com</w:t>
      </w:r>
    </w:p>
    <w:p w14:paraId="537525AE" w14:textId="58367AE4"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mkeaney@calfee.com</w:t>
      </w:r>
    </w:p>
    <w:p w14:paraId="50335AFA" w14:textId="77777777" w:rsidR="00E21F02" w:rsidRPr="00E21F02" w:rsidRDefault="00E21F02" w:rsidP="00E21F02">
      <w:pPr>
        <w:rPr>
          <w:rFonts w:eastAsia="Calibri" w:cs="Arial"/>
          <w:color w:val="000000" w:themeColor="text1"/>
          <w:sz w:val="20"/>
          <w:szCs w:val="20"/>
        </w:rPr>
      </w:pPr>
    </w:p>
    <w:p w14:paraId="5D360FB2" w14:textId="77777777" w:rsidR="00E21F02" w:rsidRPr="00E21F02" w:rsidRDefault="00E21F02" w:rsidP="00E21F02">
      <w:pPr>
        <w:rPr>
          <w:rFonts w:eastAsia="Calibri" w:cs="Arial"/>
          <w:b/>
          <w:smallCaps/>
          <w:color w:val="000000" w:themeColor="text1"/>
          <w:sz w:val="20"/>
          <w:szCs w:val="20"/>
        </w:rPr>
      </w:pPr>
      <w:r w:rsidRPr="00E21F02">
        <w:rPr>
          <w:rFonts w:eastAsia="Calibri" w:cs="Arial"/>
          <w:b/>
          <w:smallCaps/>
          <w:color w:val="000000" w:themeColor="text1"/>
          <w:sz w:val="20"/>
          <w:szCs w:val="20"/>
        </w:rPr>
        <w:t>Counsel for the City of Dayton and Honda of America Mfg., Inc.</w:t>
      </w:r>
    </w:p>
    <w:p w14:paraId="7E05088F" w14:textId="77777777" w:rsidR="00E21F02" w:rsidRPr="00E21F02" w:rsidRDefault="00E21F02" w:rsidP="00E21F02">
      <w:pPr>
        <w:rPr>
          <w:rFonts w:eastAsia="Calibri" w:cs="Arial"/>
          <w:b/>
          <w:smallCaps/>
          <w:color w:val="000000" w:themeColor="text1"/>
          <w:sz w:val="20"/>
          <w:szCs w:val="20"/>
        </w:rPr>
      </w:pPr>
    </w:p>
    <w:p w14:paraId="2226618B" w14:textId="01A48AA9" w:rsidR="00E21F02" w:rsidRPr="00E21F02" w:rsidRDefault="00E21F02" w:rsidP="00E21F02">
      <w:pPr>
        <w:rPr>
          <w:rFonts w:cs="Arial"/>
          <w:color w:val="000000" w:themeColor="text1"/>
          <w:sz w:val="20"/>
          <w:szCs w:val="20"/>
        </w:rPr>
      </w:pPr>
      <w:r w:rsidRPr="00E21F02">
        <w:rPr>
          <w:rFonts w:cs="Arial"/>
          <w:color w:val="000000" w:themeColor="text1"/>
          <w:sz w:val="20"/>
          <w:szCs w:val="20"/>
        </w:rPr>
        <w:t>Amy B. Spiller</w:t>
      </w:r>
    </w:p>
    <w:p w14:paraId="3578D442"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Elizabeth H. Watts</w:t>
      </w:r>
    </w:p>
    <w:p w14:paraId="7773BBBE"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Jeanne W. </w:t>
      </w:r>
      <w:proofErr w:type="spellStart"/>
      <w:r w:rsidRPr="00E21F02">
        <w:rPr>
          <w:rFonts w:cs="Arial"/>
          <w:color w:val="000000" w:themeColor="text1"/>
          <w:sz w:val="20"/>
          <w:szCs w:val="20"/>
        </w:rPr>
        <w:t>Kingery</w:t>
      </w:r>
      <w:proofErr w:type="spellEnd"/>
    </w:p>
    <w:p w14:paraId="2DF66B13"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139 East Fourth Street</w:t>
      </w:r>
    </w:p>
    <w:p w14:paraId="617685E7"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1303-Main</w:t>
      </w:r>
    </w:p>
    <w:p w14:paraId="1AFBCC22"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Cincinnati, OH  45202</w:t>
      </w:r>
    </w:p>
    <w:p w14:paraId="48D2E654"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Amy.Spiller@Duke-Energy.com</w:t>
      </w:r>
    </w:p>
    <w:p w14:paraId="5DDB0446"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elizabeth.watts@duke-energy.com</w:t>
      </w:r>
    </w:p>
    <w:p w14:paraId="363FD084"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Jeanne.kingery@duke-energy.com</w:t>
      </w:r>
    </w:p>
    <w:p w14:paraId="492F1EAF" w14:textId="77777777" w:rsidR="00E21F02" w:rsidRPr="00E21F02" w:rsidRDefault="00E21F02" w:rsidP="00E21F02">
      <w:pPr>
        <w:rPr>
          <w:rFonts w:cs="Arial"/>
          <w:color w:val="000000" w:themeColor="text1"/>
          <w:sz w:val="20"/>
          <w:szCs w:val="20"/>
        </w:rPr>
      </w:pPr>
    </w:p>
    <w:p w14:paraId="2FB90B66" w14:textId="77777777" w:rsidR="00E21F02" w:rsidRPr="00E21F02" w:rsidRDefault="00E21F02" w:rsidP="00E21F02">
      <w:pPr>
        <w:rPr>
          <w:rFonts w:eastAsia="Calibri" w:cs="Arial"/>
          <w:b/>
          <w:smallCaps/>
          <w:color w:val="000000" w:themeColor="text1"/>
          <w:sz w:val="20"/>
          <w:szCs w:val="20"/>
        </w:rPr>
      </w:pPr>
      <w:r w:rsidRPr="00E21F02">
        <w:rPr>
          <w:rFonts w:eastAsia="Calibri" w:cs="Arial"/>
          <w:b/>
          <w:smallCaps/>
          <w:color w:val="000000" w:themeColor="text1"/>
          <w:sz w:val="20"/>
          <w:szCs w:val="20"/>
        </w:rPr>
        <w:t>Counsel for Duke energy Ohio, Inc.</w:t>
      </w:r>
    </w:p>
    <w:p w14:paraId="68F70A24" w14:textId="77777777" w:rsidR="00E21F02" w:rsidRPr="00E21F02" w:rsidRDefault="00E21F02" w:rsidP="00E21F02">
      <w:pPr>
        <w:rPr>
          <w:rFonts w:cs="Arial"/>
          <w:color w:val="000000" w:themeColor="text1"/>
          <w:sz w:val="20"/>
          <w:szCs w:val="20"/>
        </w:rPr>
      </w:pPr>
    </w:p>
    <w:p w14:paraId="684CE8DB"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 xml:space="preserve">Lisa </w:t>
      </w:r>
      <w:proofErr w:type="spellStart"/>
      <w:r w:rsidRPr="00E21F02">
        <w:rPr>
          <w:rFonts w:eastAsia="Calibri" w:cs="Arial"/>
          <w:color w:val="000000" w:themeColor="text1"/>
          <w:sz w:val="20"/>
          <w:szCs w:val="20"/>
        </w:rPr>
        <w:t>Hawrot</w:t>
      </w:r>
      <w:proofErr w:type="spellEnd"/>
    </w:p>
    <w:p w14:paraId="698E1B55" w14:textId="77777777" w:rsidR="00E21F02" w:rsidRPr="00E21F02" w:rsidRDefault="00E21F02" w:rsidP="00E21F02">
      <w:pPr>
        <w:rPr>
          <w:rFonts w:eastAsia="Calibri" w:cs="Arial"/>
          <w:color w:val="000000" w:themeColor="text1"/>
          <w:sz w:val="20"/>
          <w:szCs w:val="20"/>
        </w:rPr>
      </w:pPr>
      <w:proofErr w:type="spellStart"/>
      <w:r w:rsidRPr="00E21F02">
        <w:rPr>
          <w:rFonts w:eastAsia="Calibri" w:cs="Arial"/>
          <w:color w:val="000000" w:themeColor="text1"/>
          <w:sz w:val="20"/>
          <w:szCs w:val="20"/>
        </w:rPr>
        <w:t>Spilman</w:t>
      </w:r>
      <w:proofErr w:type="spellEnd"/>
      <w:r w:rsidRPr="00E21F02">
        <w:rPr>
          <w:rFonts w:eastAsia="Calibri" w:cs="Arial"/>
          <w:color w:val="000000" w:themeColor="text1"/>
          <w:sz w:val="20"/>
          <w:szCs w:val="20"/>
        </w:rPr>
        <w:t xml:space="preserve"> Thomas &amp; Battle, PLLC</w:t>
      </w:r>
    </w:p>
    <w:p w14:paraId="0BBB7CCD"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Century Centre Building</w:t>
      </w:r>
    </w:p>
    <w:p w14:paraId="32AF6DAF"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1233 Main Street, Suite 4000</w:t>
      </w:r>
    </w:p>
    <w:p w14:paraId="0F0FA8AC"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Wheeling, WV 26003</w:t>
      </w:r>
    </w:p>
    <w:p w14:paraId="66C676A5" w14:textId="7779A67A" w:rsidR="00E21F02" w:rsidRPr="00E21F02" w:rsidRDefault="00E21F02" w:rsidP="00E21F02">
      <w:pPr>
        <w:rPr>
          <w:rFonts w:eastAsia="Calibri" w:cs="Arial"/>
          <w:color w:val="000000" w:themeColor="text1"/>
          <w:sz w:val="20"/>
          <w:szCs w:val="20"/>
        </w:rPr>
      </w:pPr>
      <w:r w:rsidRPr="00FD5C46">
        <w:rPr>
          <w:rFonts w:eastAsia="Calibri" w:cs="Arial"/>
          <w:color w:val="000000" w:themeColor="text1"/>
          <w:sz w:val="20"/>
          <w:szCs w:val="20"/>
        </w:rPr>
        <w:t>lhawrot@spilmanlaw.com</w:t>
      </w:r>
    </w:p>
    <w:p w14:paraId="66C27F91" w14:textId="77777777" w:rsidR="00E21F02" w:rsidRPr="00E21F02" w:rsidRDefault="00E21F02" w:rsidP="00E21F02">
      <w:pPr>
        <w:rPr>
          <w:rFonts w:eastAsia="Calibri" w:cs="Arial"/>
          <w:b/>
          <w:smallCaps/>
          <w:color w:val="000000" w:themeColor="text1"/>
          <w:sz w:val="20"/>
          <w:szCs w:val="20"/>
        </w:rPr>
      </w:pPr>
    </w:p>
    <w:p w14:paraId="4EA4BF88" w14:textId="206828F3" w:rsidR="00E21F02" w:rsidRPr="00E21F02" w:rsidRDefault="00E21F02" w:rsidP="00E21F02">
      <w:pPr>
        <w:rPr>
          <w:rFonts w:eastAsia="Calibri" w:cs="Arial"/>
          <w:color w:val="000000" w:themeColor="text1"/>
          <w:sz w:val="20"/>
          <w:szCs w:val="20"/>
        </w:rPr>
      </w:pPr>
      <w:r>
        <w:rPr>
          <w:rFonts w:eastAsia="Calibri" w:cs="Arial"/>
          <w:color w:val="000000" w:themeColor="text1"/>
          <w:sz w:val="20"/>
          <w:szCs w:val="20"/>
        </w:rPr>
        <w:br w:type="column"/>
      </w:r>
      <w:r w:rsidRPr="00E21F02">
        <w:rPr>
          <w:rFonts w:eastAsia="Calibri" w:cs="Arial"/>
          <w:color w:val="000000" w:themeColor="text1"/>
          <w:sz w:val="20"/>
          <w:szCs w:val="20"/>
        </w:rPr>
        <w:t>Derrick Price Williamson</w:t>
      </w:r>
    </w:p>
    <w:p w14:paraId="2154A6CA" w14:textId="77777777" w:rsidR="00E21F02" w:rsidRPr="00E21F02" w:rsidRDefault="00E21F02" w:rsidP="00E21F02">
      <w:pPr>
        <w:rPr>
          <w:rFonts w:eastAsia="Calibri" w:cs="Arial"/>
          <w:color w:val="000000" w:themeColor="text1"/>
          <w:sz w:val="20"/>
          <w:szCs w:val="20"/>
        </w:rPr>
      </w:pPr>
      <w:proofErr w:type="spellStart"/>
      <w:r w:rsidRPr="00E21F02">
        <w:rPr>
          <w:rFonts w:eastAsia="Calibri" w:cs="Arial"/>
          <w:color w:val="000000" w:themeColor="text1"/>
          <w:sz w:val="20"/>
          <w:szCs w:val="20"/>
        </w:rPr>
        <w:t>Spilman</w:t>
      </w:r>
      <w:proofErr w:type="spellEnd"/>
      <w:r w:rsidRPr="00E21F02">
        <w:rPr>
          <w:rFonts w:eastAsia="Calibri" w:cs="Arial"/>
          <w:color w:val="000000" w:themeColor="text1"/>
          <w:sz w:val="20"/>
          <w:szCs w:val="20"/>
        </w:rPr>
        <w:t xml:space="preserve"> Thomas &amp; Battle, PLLC</w:t>
      </w:r>
    </w:p>
    <w:p w14:paraId="478F59D1"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1100 Bent Creek Blvd., Suite 101</w:t>
      </w:r>
    </w:p>
    <w:p w14:paraId="617576DF"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Mechanicsburg, PA  17050</w:t>
      </w:r>
    </w:p>
    <w:p w14:paraId="725E41F1" w14:textId="13B5139E" w:rsidR="00E21F02" w:rsidRPr="00E21F02" w:rsidRDefault="00E21F02" w:rsidP="00E21F02">
      <w:pPr>
        <w:rPr>
          <w:rFonts w:cs="Arial"/>
          <w:color w:val="000000" w:themeColor="text1"/>
          <w:sz w:val="20"/>
          <w:szCs w:val="20"/>
        </w:rPr>
      </w:pPr>
      <w:r w:rsidRPr="00FD5C46">
        <w:rPr>
          <w:rFonts w:cs="Arial"/>
          <w:color w:val="000000" w:themeColor="text1"/>
          <w:sz w:val="20"/>
          <w:szCs w:val="20"/>
        </w:rPr>
        <w:t>dwilliamson@spilmanlaw.com</w:t>
      </w:r>
    </w:p>
    <w:p w14:paraId="2514C133" w14:textId="77777777" w:rsidR="00E21F02" w:rsidRPr="00E21F02" w:rsidRDefault="00E21F02" w:rsidP="00E21F02">
      <w:pPr>
        <w:rPr>
          <w:rFonts w:cs="Arial"/>
          <w:color w:val="000000" w:themeColor="text1"/>
          <w:sz w:val="20"/>
          <w:szCs w:val="20"/>
        </w:rPr>
      </w:pPr>
    </w:p>
    <w:p w14:paraId="284484BD"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Carrie M. Harris</w:t>
      </w:r>
    </w:p>
    <w:p w14:paraId="67A51DE0" w14:textId="77777777" w:rsidR="00E21F02" w:rsidRPr="00E21F02" w:rsidRDefault="00E21F02" w:rsidP="00E21F02">
      <w:pPr>
        <w:rPr>
          <w:rFonts w:cs="Arial"/>
          <w:color w:val="000000" w:themeColor="text1"/>
          <w:sz w:val="20"/>
          <w:szCs w:val="20"/>
        </w:rPr>
      </w:pPr>
      <w:proofErr w:type="spellStart"/>
      <w:r w:rsidRPr="00E21F02">
        <w:rPr>
          <w:rFonts w:cs="Arial"/>
          <w:color w:val="000000" w:themeColor="text1"/>
          <w:sz w:val="20"/>
          <w:szCs w:val="20"/>
        </w:rPr>
        <w:t>Spilman</w:t>
      </w:r>
      <w:proofErr w:type="spellEnd"/>
      <w:r w:rsidRPr="00E21F02">
        <w:rPr>
          <w:rFonts w:cs="Arial"/>
          <w:color w:val="000000" w:themeColor="text1"/>
          <w:sz w:val="20"/>
          <w:szCs w:val="20"/>
        </w:rPr>
        <w:t xml:space="preserve"> Thomas &amp; Battle, PLLC</w:t>
      </w:r>
    </w:p>
    <w:p w14:paraId="447804B3"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310 First Street, Suite 1100</w:t>
      </w:r>
    </w:p>
    <w:p w14:paraId="4B591733"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PO Box 90</w:t>
      </w:r>
    </w:p>
    <w:p w14:paraId="33DBE701"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Roanoke, VA  24002-0090</w:t>
      </w:r>
    </w:p>
    <w:p w14:paraId="1639E549" w14:textId="34060078" w:rsidR="00E21F02" w:rsidRPr="00E21F02" w:rsidRDefault="00E21F02" w:rsidP="00E21F02">
      <w:pPr>
        <w:rPr>
          <w:rFonts w:cs="Arial"/>
          <w:color w:val="000000" w:themeColor="text1"/>
          <w:sz w:val="20"/>
          <w:szCs w:val="20"/>
        </w:rPr>
      </w:pPr>
      <w:r w:rsidRPr="00FD5C46">
        <w:rPr>
          <w:rFonts w:cs="Arial"/>
          <w:color w:val="000000" w:themeColor="text1"/>
          <w:sz w:val="20"/>
          <w:szCs w:val="20"/>
        </w:rPr>
        <w:t>charis@spilmanlaw.com</w:t>
      </w:r>
    </w:p>
    <w:p w14:paraId="461DE5C7" w14:textId="77777777" w:rsidR="00E21F02" w:rsidRPr="00E21F02" w:rsidRDefault="00E21F02" w:rsidP="00E21F02">
      <w:pPr>
        <w:rPr>
          <w:rFonts w:cs="Arial"/>
          <w:color w:val="000000" w:themeColor="text1"/>
          <w:sz w:val="20"/>
          <w:szCs w:val="20"/>
        </w:rPr>
      </w:pPr>
    </w:p>
    <w:p w14:paraId="0404EF58"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to Wal-Mart Stores East, LP and Sam’s East, Inc.</w:t>
      </w:r>
    </w:p>
    <w:p w14:paraId="4C5EB399" w14:textId="77777777" w:rsidR="00E21F02" w:rsidRPr="00E21F02" w:rsidRDefault="00E21F02" w:rsidP="00E21F02">
      <w:pPr>
        <w:rPr>
          <w:rFonts w:cs="Arial"/>
          <w:color w:val="000000" w:themeColor="text1"/>
          <w:sz w:val="20"/>
          <w:szCs w:val="20"/>
        </w:rPr>
      </w:pPr>
    </w:p>
    <w:p w14:paraId="681CCA00"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Terrence O’Donnell</w:t>
      </w:r>
    </w:p>
    <w:p w14:paraId="337E3E8A"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Raymond Seiler</w:t>
      </w:r>
    </w:p>
    <w:p w14:paraId="0D31F420"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Dickinson Wright PLLC</w:t>
      </w:r>
    </w:p>
    <w:p w14:paraId="506F27BF"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150 E. Gay Street, Suite 2400</w:t>
      </w:r>
    </w:p>
    <w:p w14:paraId="5354A619"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Columbus, OH  43215</w:t>
      </w:r>
    </w:p>
    <w:p w14:paraId="7174F382" w14:textId="4DF88844" w:rsidR="00E21F02" w:rsidRPr="00E21F02" w:rsidRDefault="00E21F02" w:rsidP="00E21F02">
      <w:pPr>
        <w:rPr>
          <w:rFonts w:cs="Arial"/>
          <w:color w:val="000000" w:themeColor="text1"/>
          <w:sz w:val="20"/>
          <w:szCs w:val="20"/>
        </w:rPr>
      </w:pPr>
      <w:r w:rsidRPr="00FD5C46">
        <w:rPr>
          <w:rFonts w:cs="Arial"/>
          <w:color w:val="000000" w:themeColor="text1"/>
          <w:sz w:val="20"/>
          <w:szCs w:val="20"/>
        </w:rPr>
        <w:t>todonnell@dickinsonwright.com</w:t>
      </w:r>
    </w:p>
    <w:p w14:paraId="2EAEA7AE" w14:textId="0A7E708F" w:rsidR="00E21F02" w:rsidRPr="00E21F02" w:rsidRDefault="00E21F02" w:rsidP="00E21F02">
      <w:pPr>
        <w:rPr>
          <w:rFonts w:cs="Arial"/>
          <w:color w:val="000000" w:themeColor="text1"/>
          <w:sz w:val="20"/>
          <w:szCs w:val="20"/>
        </w:rPr>
      </w:pPr>
      <w:r w:rsidRPr="00FD5C46">
        <w:rPr>
          <w:rFonts w:cs="Arial"/>
          <w:color w:val="000000" w:themeColor="text1"/>
          <w:sz w:val="20"/>
          <w:szCs w:val="20"/>
        </w:rPr>
        <w:t>rseiler@dickinsonwright.com</w:t>
      </w:r>
    </w:p>
    <w:p w14:paraId="7D6395F3" w14:textId="77777777" w:rsidR="00E21F02" w:rsidRPr="00E21F02" w:rsidRDefault="00E21F02" w:rsidP="00E21F02">
      <w:pPr>
        <w:rPr>
          <w:rFonts w:cs="Arial"/>
          <w:color w:val="000000" w:themeColor="text1"/>
          <w:sz w:val="20"/>
          <w:szCs w:val="20"/>
        </w:rPr>
      </w:pPr>
    </w:p>
    <w:p w14:paraId="707C8003"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to Mid-Atlantic Renewable Energy Coalition</w:t>
      </w:r>
    </w:p>
    <w:p w14:paraId="7347F34A" w14:textId="77777777" w:rsidR="00E21F02" w:rsidRPr="00E21F02" w:rsidRDefault="00E21F02" w:rsidP="00E21F02">
      <w:pPr>
        <w:rPr>
          <w:rFonts w:cs="Arial"/>
          <w:color w:val="000000" w:themeColor="text1"/>
          <w:sz w:val="20"/>
          <w:szCs w:val="20"/>
        </w:rPr>
      </w:pPr>
    </w:p>
    <w:p w14:paraId="2A4D55FF"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Ellis Jacobs</w:t>
      </w:r>
    </w:p>
    <w:p w14:paraId="73E8D1B4"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130 West Second Street, Suite 700 East</w:t>
      </w:r>
    </w:p>
    <w:p w14:paraId="45C1DDD4"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Dayton, OH  45402</w:t>
      </w:r>
    </w:p>
    <w:p w14:paraId="3967D62C" w14:textId="2F281FB5" w:rsidR="00E21F02" w:rsidRPr="00E21F02" w:rsidRDefault="00E21F02" w:rsidP="00E21F02">
      <w:pPr>
        <w:rPr>
          <w:rFonts w:cs="Arial"/>
          <w:color w:val="000000" w:themeColor="text1"/>
          <w:sz w:val="20"/>
          <w:szCs w:val="20"/>
        </w:rPr>
      </w:pPr>
      <w:r w:rsidRPr="00FD5C46">
        <w:rPr>
          <w:rFonts w:cs="Arial"/>
          <w:color w:val="000000" w:themeColor="text1"/>
          <w:sz w:val="20"/>
          <w:szCs w:val="20"/>
        </w:rPr>
        <w:t>ejacobs@ablelaw.org</w:t>
      </w:r>
    </w:p>
    <w:p w14:paraId="5F902CC0" w14:textId="77777777" w:rsidR="00E21F02" w:rsidRPr="00E21F02" w:rsidRDefault="00E21F02" w:rsidP="00E21F02">
      <w:pPr>
        <w:rPr>
          <w:rFonts w:cs="Arial"/>
          <w:color w:val="000000" w:themeColor="text1"/>
          <w:sz w:val="20"/>
          <w:szCs w:val="20"/>
        </w:rPr>
      </w:pPr>
    </w:p>
    <w:p w14:paraId="3911A8A1"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to Edgemont Neighborhood Coalition and Advocates for Basic Legal Equality</w:t>
      </w:r>
    </w:p>
    <w:p w14:paraId="757EEB06" w14:textId="77777777" w:rsidR="00E21F02" w:rsidRPr="00E21F02" w:rsidRDefault="00E21F02" w:rsidP="00E21F02">
      <w:pPr>
        <w:rPr>
          <w:rFonts w:cs="Arial"/>
          <w:color w:val="000000" w:themeColor="text1"/>
          <w:sz w:val="20"/>
          <w:szCs w:val="20"/>
        </w:rPr>
      </w:pPr>
    </w:p>
    <w:p w14:paraId="210B2A69" w14:textId="56F7A48E" w:rsidR="00E21F02" w:rsidRPr="00E21F02" w:rsidRDefault="00E21F02" w:rsidP="00E21F02">
      <w:pPr>
        <w:rPr>
          <w:rFonts w:cs="Arial"/>
          <w:color w:val="000000" w:themeColor="text1"/>
          <w:sz w:val="20"/>
          <w:szCs w:val="20"/>
        </w:rPr>
      </w:pPr>
      <w:r w:rsidRPr="00E21F02">
        <w:rPr>
          <w:rFonts w:cs="Arial"/>
          <w:color w:val="000000" w:themeColor="text1"/>
          <w:sz w:val="20"/>
          <w:szCs w:val="20"/>
        </w:rPr>
        <w:t>John R. Doll</w:t>
      </w:r>
    </w:p>
    <w:p w14:paraId="4466C0E8"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Matthew T. Crawford</w:t>
      </w:r>
    </w:p>
    <w:p w14:paraId="3503580D"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111 W. First Street, Suite 1100</w:t>
      </w:r>
    </w:p>
    <w:p w14:paraId="5C55C768"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Dayton, OH  45402-1156</w:t>
      </w:r>
    </w:p>
    <w:p w14:paraId="61CFD511" w14:textId="2D7B4AF8" w:rsidR="00E21F02" w:rsidRPr="00E21F02" w:rsidRDefault="00E21F02" w:rsidP="00E21F02">
      <w:pPr>
        <w:rPr>
          <w:rFonts w:cs="Arial"/>
          <w:color w:val="000000" w:themeColor="text1"/>
          <w:sz w:val="20"/>
          <w:szCs w:val="20"/>
        </w:rPr>
      </w:pPr>
      <w:r w:rsidRPr="00FD5C46">
        <w:rPr>
          <w:rFonts w:cs="Arial"/>
          <w:color w:val="000000" w:themeColor="text1"/>
          <w:sz w:val="20"/>
          <w:szCs w:val="20"/>
        </w:rPr>
        <w:t>jdoll@djflawfirm.com</w:t>
      </w:r>
    </w:p>
    <w:p w14:paraId="7D2DE9C7" w14:textId="5A73710A" w:rsidR="00E21F02" w:rsidRPr="00E21F02" w:rsidRDefault="00E21F02" w:rsidP="00E21F02">
      <w:pPr>
        <w:rPr>
          <w:rFonts w:cs="Arial"/>
          <w:color w:val="000000" w:themeColor="text1"/>
          <w:sz w:val="20"/>
          <w:szCs w:val="20"/>
        </w:rPr>
      </w:pPr>
      <w:r w:rsidRPr="00FD5C46">
        <w:rPr>
          <w:rFonts w:cs="Arial"/>
          <w:color w:val="000000" w:themeColor="text1"/>
          <w:sz w:val="20"/>
          <w:szCs w:val="20"/>
        </w:rPr>
        <w:t>mcrawcord@djflawfirm.com</w:t>
      </w:r>
    </w:p>
    <w:p w14:paraId="656E7A1E" w14:textId="77777777" w:rsidR="00E21F02" w:rsidRPr="00E21F02" w:rsidRDefault="00E21F02" w:rsidP="00E21F02">
      <w:pPr>
        <w:rPr>
          <w:rFonts w:cs="Arial"/>
          <w:color w:val="000000" w:themeColor="text1"/>
          <w:sz w:val="20"/>
          <w:szCs w:val="20"/>
        </w:rPr>
      </w:pPr>
    </w:p>
    <w:p w14:paraId="5A4FB06E"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Utility Workers of America, Local 175</w:t>
      </w:r>
    </w:p>
    <w:p w14:paraId="3E305C81" w14:textId="77777777" w:rsidR="00E21F02" w:rsidRPr="00E21F02" w:rsidRDefault="00E21F02" w:rsidP="00E21F02">
      <w:pPr>
        <w:rPr>
          <w:rFonts w:cs="Arial"/>
          <w:color w:val="000000" w:themeColor="text1"/>
          <w:sz w:val="20"/>
          <w:szCs w:val="20"/>
        </w:rPr>
      </w:pPr>
    </w:p>
    <w:p w14:paraId="605993F5"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Devin </w:t>
      </w:r>
      <w:proofErr w:type="spellStart"/>
      <w:r w:rsidRPr="00E21F02">
        <w:rPr>
          <w:rFonts w:cs="Arial"/>
          <w:color w:val="000000" w:themeColor="text1"/>
          <w:sz w:val="20"/>
          <w:szCs w:val="20"/>
        </w:rPr>
        <w:t>Parram</w:t>
      </w:r>
      <w:proofErr w:type="spellEnd"/>
    </w:p>
    <w:p w14:paraId="678E08B3"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 xml:space="preserve">Bricker and </w:t>
      </w:r>
      <w:proofErr w:type="spellStart"/>
      <w:r w:rsidRPr="00E21F02">
        <w:rPr>
          <w:rFonts w:cs="Arial"/>
          <w:color w:val="000000" w:themeColor="text1"/>
          <w:sz w:val="20"/>
          <w:szCs w:val="20"/>
        </w:rPr>
        <w:t>Eckler</w:t>
      </w:r>
      <w:proofErr w:type="spellEnd"/>
      <w:r w:rsidRPr="00E21F02">
        <w:rPr>
          <w:rFonts w:cs="Arial"/>
          <w:color w:val="000000" w:themeColor="text1"/>
          <w:sz w:val="20"/>
          <w:szCs w:val="20"/>
        </w:rPr>
        <w:t xml:space="preserve"> LLP</w:t>
      </w:r>
    </w:p>
    <w:p w14:paraId="4EF0AE0B"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100 South Third Street</w:t>
      </w:r>
    </w:p>
    <w:p w14:paraId="0251AEDF"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Columbus, OH  43215</w:t>
      </w:r>
    </w:p>
    <w:p w14:paraId="12AE5072" w14:textId="1E5144FE" w:rsidR="00E21F02" w:rsidRPr="00E21F02" w:rsidRDefault="00E21F02" w:rsidP="00E21F02">
      <w:pPr>
        <w:rPr>
          <w:rFonts w:cs="Arial"/>
          <w:color w:val="000000" w:themeColor="text1"/>
          <w:sz w:val="20"/>
          <w:szCs w:val="20"/>
        </w:rPr>
      </w:pPr>
      <w:r w:rsidRPr="00FD5C46">
        <w:rPr>
          <w:rFonts w:cs="Arial"/>
          <w:color w:val="000000" w:themeColor="text1"/>
          <w:sz w:val="20"/>
          <w:szCs w:val="20"/>
        </w:rPr>
        <w:t>dparram@bricker.com</w:t>
      </w:r>
    </w:p>
    <w:p w14:paraId="4450D811" w14:textId="77777777" w:rsidR="00E21F02" w:rsidRPr="00E21F02" w:rsidRDefault="00E21F02" w:rsidP="00E21F02">
      <w:pPr>
        <w:rPr>
          <w:rFonts w:cs="Arial"/>
          <w:color w:val="000000" w:themeColor="text1"/>
          <w:sz w:val="20"/>
          <w:szCs w:val="20"/>
        </w:rPr>
      </w:pPr>
    </w:p>
    <w:p w14:paraId="6C7DECEC"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Counsel for People Working Cooperatively, Inc.</w:t>
      </w:r>
    </w:p>
    <w:p w14:paraId="4B8D64C8" w14:textId="77777777" w:rsidR="00EE0061" w:rsidRDefault="00EE0061" w:rsidP="00E21F02">
      <w:pPr>
        <w:rPr>
          <w:rFonts w:cs="Arial"/>
          <w:color w:val="000000" w:themeColor="text1"/>
          <w:sz w:val="20"/>
          <w:szCs w:val="20"/>
        </w:rPr>
      </w:pPr>
    </w:p>
    <w:p w14:paraId="474A78C3" w14:textId="77777777" w:rsidR="00EE0061" w:rsidRDefault="00EE0061" w:rsidP="00E21F02">
      <w:pPr>
        <w:rPr>
          <w:rFonts w:cs="Arial"/>
          <w:color w:val="000000" w:themeColor="text1"/>
          <w:sz w:val="20"/>
          <w:szCs w:val="20"/>
        </w:rPr>
        <w:sectPr w:rsidR="00EE0061" w:rsidSect="00EE0061">
          <w:pgSz w:w="12240" w:h="15840" w:code="1"/>
          <w:pgMar w:top="1296" w:right="1440" w:bottom="1152" w:left="1440" w:header="720" w:footer="720" w:gutter="0"/>
          <w:cols w:num="2" w:space="720"/>
          <w:titlePg/>
          <w:docGrid w:linePitch="360"/>
        </w:sectPr>
      </w:pPr>
    </w:p>
    <w:p w14:paraId="63492254" w14:textId="0541C5B6" w:rsidR="00E21F02" w:rsidRPr="00E21F02" w:rsidRDefault="00E21F02" w:rsidP="00E21F02">
      <w:pPr>
        <w:rPr>
          <w:rFonts w:cs="Arial"/>
          <w:color w:val="000000" w:themeColor="text1"/>
          <w:sz w:val="20"/>
          <w:szCs w:val="20"/>
        </w:rPr>
      </w:pPr>
      <w:r w:rsidRPr="00E21F02">
        <w:rPr>
          <w:rFonts w:cs="Arial"/>
          <w:color w:val="000000" w:themeColor="text1"/>
          <w:sz w:val="20"/>
          <w:szCs w:val="20"/>
        </w:rPr>
        <w:lastRenderedPageBreak/>
        <w:t>Carl Tamm</w:t>
      </w:r>
    </w:p>
    <w:p w14:paraId="07B6E9E7"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Classic Connectors, Inc.</w:t>
      </w:r>
    </w:p>
    <w:p w14:paraId="0F38004A"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382 Park Avenue East</w:t>
      </w:r>
    </w:p>
    <w:p w14:paraId="726FC14A" w14:textId="77777777" w:rsidR="00E21F02" w:rsidRPr="00E21F02" w:rsidRDefault="00E21F02" w:rsidP="00E21F02">
      <w:pPr>
        <w:rPr>
          <w:rFonts w:cs="Arial"/>
          <w:color w:val="000000" w:themeColor="text1"/>
          <w:sz w:val="20"/>
          <w:szCs w:val="20"/>
        </w:rPr>
      </w:pPr>
      <w:r w:rsidRPr="00E21F02">
        <w:rPr>
          <w:rFonts w:cs="Arial"/>
          <w:color w:val="000000" w:themeColor="text1"/>
          <w:sz w:val="20"/>
          <w:szCs w:val="20"/>
        </w:rPr>
        <w:t>Mansfield, OH  44905</w:t>
      </w:r>
    </w:p>
    <w:p w14:paraId="44572CBE" w14:textId="77777777" w:rsidR="00E21F02" w:rsidRPr="00E21F02" w:rsidRDefault="00E21F02" w:rsidP="00E21F02">
      <w:pPr>
        <w:rPr>
          <w:rFonts w:cs="Arial"/>
          <w:color w:val="000000" w:themeColor="text1"/>
          <w:sz w:val="20"/>
          <w:szCs w:val="20"/>
        </w:rPr>
      </w:pPr>
    </w:p>
    <w:p w14:paraId="5F5C4E69" w14:textId="77777777" w:rsidR="00E21F02" w:rsidRPr="00E21F02" w:rsidRDefault="00E21F02" w:rsidP="00E21F02">
      <w:pPr>
        <w:rPr>
          <w:rFonts w:cs="Arial"/>
          <w:b/>
          <w:smallCaps/>
          <w:color w:val="000000" w:themeColor="text1"/>
          <w:sz w:val="20"/>
          <w:szCs w:val="20"/>
        </w:rPr>
      </w:pPr>
      <w:r w:rsidRPr="00E21F02">
        <w:rPr>
          <w:rFonts w:cs="Arial"/>
          <w:b/>
          <w:smallCaps/>
          <w:color w:val="000000" w:themeColor="text1"/>
          <w:sz w:val="20"/>
          <w:szCs w:val="20"/>
        </w:rPr>
        <w:t>On Behalf of Classic Connectors, Inc.</w:t>
      </w:r>
    </w:p>
    <w:p w14:paraId="733906BB" w14:textId="77777777" w:rsidR="00E21F02" w:rsidRPr="00E21F02" w:rsidRDefault="00E21F02" w:rsidP="00E21F02">
      <w:pPr>
        <w:rPr>
          <w:rFonts w:cs="Arial"/>
          <w:color w:val="000000" w:themeColor="text1"/>
          <w:sz w:val="20"/>
          <w:szCs w:val="20"/>
        </w:rPr>
      </w:pPr>
    </w:p>
    <w:p w14:paraId="75FF7DFB" w14:textId="77777777" w:rsidR="0031047E" w:rsidRPr="0031047E" w:rsidRDefault="0031047E" w:rsidP="0031047E">
      <w:pPr>
        <w:autoSpaceDE w:val="0"/>
        <w:autoSpaceDN w:val="0"/>
        <w:adjustRightInd w:val="0"/>
        <w:rPr>
          <w:rFonts w:cs="Arial"/>
          <w:color w:val="000000" w:themeColor="text1"/>
          <w:sz w:val="20"/>
          <w:szCs w:val="20"/>
        </w:rPr>
      </w:pPr>
      <w:r w:rsidRPr="0031047E">
        <w:rPr>
          <w:rFonts w:cs="Arial"/>
          <w:color w:val="000000" w:themeColor="text1"/>
          <w:sz w:val="20"/>
          <w:szCs w:val="20"/>
        </w:rPr>
        <w:t>Thomas McNamee</w:t>
      </w:r>
    </w:p>
    <w:p w14:paraId="09D3C783" w14:textId="6590FB38" w:rsidR="0031047E" w:rsidRPr="0031047E" w:rsidRDefault="0031047E" w:rsidP="0031047E">
      <w:pPr>
        <w:autoSpaceDE w:val="0"/>
        <w:autoSpaceDN w:val="0"/>
        <w:adjustRightInd w:val="0"/>
        <w:rPr>
          <w:rFonts w:cs="Arial"/>
          <w:color w:val="000000" w:themeColor="text1"/>
          <w:sz w:val="20"/>
          <w:szCs w:val="20"/>
        </w:rPr>
      </w:pPr>
      <w:r w:rsidRPr="0031047E">
        <w:rPr>
          <w:rFonts w:cs="Arial"/>
          <w:color w:val="000000" w:themeColor="text1"/>
          <w:sz w:val="20"/>
          <w:szCs w:val="20"/>
        </w:rPr>
        <w:t>Natalia Messenger</w:t>
      </w:r>
    </w:p>
    <w:p w14:paraId="4D3C96BC" w14:textId="77777777" w:rsidR="0031047E" w:rsidRDefault="0031047E" w:rsidP="0031047E">
      <w:pPr>
        <w:autoSpaceDE w:val="0"/>
        <w:autoSpaceDN w:val="0"/>
        <w:adjustRightInd w:val="0"/>
        <w:rPr>
          <w:rFonts w:cs="Arial"/>
          <w:color w:val="000000" w:themeColor="text1"/>
          <w:sz w:val="20"/>
          <w:szCs w:val="20"/>
        </w:rPr>
      </w:pPr>
      <w:r>
        <w:rPr>
          <w:rFonts w:cs="Arial"/>
          <w:color w:val="000000" w:themeColor="text1"/>
          <w:sz w:val="20"/>
          <w:szCs w:val="20"/>
        </w:rPr>
        <w:t xml:space="preserve">Assistant Attorneys General </w:t>
      </w:r>
    </w:p>
    <w:p w14:paraId="286F8736" w14:textId="77777777" w:rsidR="0031047E" w:rsidRPr="00217EF0" w:rsidRDefault="0031047E" w:rsidP="0031047E">
      <w:pPr>
        <w:autoSpaceDE w:val="0"/>
        <w:autoSpaceDN w:val="0"/>
        <w:adjustRightInd w:val="0"/>
        <w:rPr>
          <w:rFonts w:cs="Arial"/>
          <w:color w:val="000000" w:themeColor="text1"/>
          <w:sz w:val="20"/>
          <w:szCs w:val="20"/>
        </w:rPr>
      </w:pPr>
      <w:r w:rsidRPr="00217EF0">
        <w:rPr>
          <w:rFonts w:cs="Arial"/>
          <w:color w:val="000000" w:themeColor="text1"/>
          <w:sz w:val="20"/>
          <w:szCs w:val="20"/>
        </w:rPr>
        <w:t>Public Utilities Section</w:t>
      </w:r>
    </w:p>
    <w:p w14:paraId="59A2DF15" w14:textId="77777777" w:rsidR="0031047E" w:rsidRPr="00217EF0" w:rsidRDefault="0031047E" w:rsidP="0031047E">
      <w:pPr>
        <w:autoSpaceDE w:val="0"/>
        <w:autoSpaceDN w:val="0"/>
        <w:adjustRightInd w:val="0"/>
        <w:rPr>
          <w:rFonts w:cs="Arial"/>
          <w:color w:val="000000" w:themeColor="text1"/>
          <w:sz w:val="20"/>
          <w:szCs w:val="20"/>
        </w:rPr>
      </w:pPr>
      <w:r>
        <w:rPr>
          <w:rFonts w:cs="Arial"/>
          <w:color w:val="000000" w:themeColor="text1"/>
          <w:sz w:val="20"/>
          <w:szCs w:val="20"/>
        </w:rPr>
        <w:t xml:space="preserve">Office of the </w:t>
      </w:r>
      <w:r w:rsidRPr="00217EF0">
        <w:rPr>
          <w:rFonts w:cs="Arial"/>
          <w:color w:val="000000" w:themeColor="text1"/>
          <w:sz w:val="20"/>
          <w:szCs w:val="20"/>
        </w:rPr>
        <w:t>Attorney General</w:t>
      </w:r>
    </w:p>
    <w:p w14:paraId="585518DF" w14:textId="77777777" w:rsidR="0031047E" w:rsidRPr="00217EF0" w:rsidRDefault="0031047E" w:rsidP="0031047E">
      <w:pPr>
        <w:autoSpaceDE w:val="0"/>
        <w:autoSpaceDN w:val="0"/>
        <w:adjustRightInd w:val="0"/>
        <w:rPr>
          <w:rFonts w:cs="Arial"/>
          <w:color w:val="000000" w:themeColor="text1"/>
          <w:sz w:val="20"/>
          <w:szCs w:val="20"/>
        </w:rPr>
      </w:pPr>
      <w:r w:rsidRPr="00217EF0">
        <w:rPr>
          <w:rFonts w:cs="Arial"/>
          <w:color w:val="000000" w:themeColor="text1"/>
          <w:sz w:val="20"/>
          <w:szCs w:val="20"/>
        </w:rPr>
        <w:t>30 E. Broad St, 16th Floor</w:t>
      </w:r>
    </w:p>
    <w:p w14:paraId="53A80099" w14:textId="77777777" w:rsidR="0031047E" w:rsidRPr="00217EF0" w:rsidRDefault="0031047E" w:rsidP="0031047E">
      <w:pPr>
        <w:autoSpaceDE w:val="0"/>
        <w:autoSpaceDN w:val="0"/>
        <w:adjustRightInd w:val="0"/>
        <w:rPr>
          <w:rFonts w:cs="Arial"/>
          <w:color w:val="000000" w:themeColor="text1"/>
          <w:sz w:val="20"/>
          <w:szCs w:val="20"/>
        </w:rPr>
      </w:pPr>
      <w:r w:rsidRPr="00217EF0">
        <w:rPr>
          <w:rFonts w:cs="Arial"/>
          <w:color w:val="000000" w:themeColor="text1"/>
          <w:sz w:val="20"/>
          <w:szCs w:val="20"/>
        </w:rPr>
        <w:t>Columbus, Ohio 43215</w:t>
      </w:r>
    </w:p>
    <w:p w14:paraId="6F2BC266" w14:textId="0F54C6B7" w:rsidR="0031047E" w:rsidRPr="00217EF0" w:rsidRDefault="0031047E" w:rsidP="0031047E">
      <w:pPr>
        <w:autoSpaceDE w:val="0"/>
        <w:autoSpaceDN w:val="0"/>
        <w:adjustRightInd w:val="0"/>
        <w:rPr>
          <w:rFonts w:cs="Arial"/>
          <w:color w:val="000000" w:themeColor="text1"/>
          <w:sz w:val="20"/>
          <w:szCs w:val="20"/>
        </w:rPr>
      </w:pPr>
      <w:r>
        <w:rPr>
          <w:rFonts w:cs="Arial"/>
          <w:color w:val="000000" w:themeColor="text1"/>
          <w:sz w:val="20"/>
          <w:szCs w:val="20"/>
        </w:rPr>
        <w:t>Thomas.mcnamee</w:t>
      </w:r>
      <w:r w:rsidRPr="00217EF0">
        <w:rPr>
          <w:rFonts w:cs="Arial"/>
          <w:color w:val="000000" w:themeColor="text1"/>
          <w:sz w:val="20"/>
          <w:szCs w:val="20"/>
        </w:rPr>
        <w:t>@ohioattorneygeneral.gov</w:t>
      </w:r>
    </w:p>
    <w:p w14:paraId="7CCDB491" w14:textId="77777777" w:rsidR="0031047E" w:rsidRDefault="0031047E" w:rsidP="0031047E">
      <w:pPr>
        <w:autoSpaceDE w:val="0"/>
        <w:autoSpaceDN w:val="0"/>
        <w:adjustRightInd w:val="0"/>
        <w:rPr>
          <w:rFonts w:cs="Arial"/>
          <w:color w:val="000000" w:themeColor="text1"/>
          <w:sz w:val="20"/>
          <w:szCs w:val="20"/>
        </w:rPr>
      </w:pPr>
      <w:r>
        <w:rPr>
          <w:rFonts w:cs="Arial"/>
          <w:color w:val="000000" w:themeColor="text1"/>
          <w:sz w:val="20"/>
          <w:szCs w:val="20"/>
        </w:rPr>
        <w:t>Natalia.messenger@ohioattorneygeneral.gov</w:t>
      </w:r>
    </w:p>
    <w:p w14:paraId="7A952611" w14:textId="77777777" w:rsidR="0031047E" w:rsidRPr="00217EF0" w:rsidRDefault="0031047E" w:rsidP="0031047E">
      <w:pPr>
        <w:autoSpaceDE w:val="0"/>
        <w:autoSpaceDN w:val="0"/>
        <w:adjustRightInd w:val="0"/>
        <w:rPr>
          <w:rFonts w:cs="Arial"/>
          <w:color w:val="000000" w:themeColor="text1"/>
          <w:sz w:val="20"/>
          <w:szCs w:val="20"/>
        </w:rPr>
      </w:pPr>
    </w:p>
    <w:p w14:paraId="46E26312" w14:textId="77777777" w:rsidR="0031047E" w:rsidRDefault="0031047E" w:rsidP="0031047E">
      <w:pPr>
        <w:autoSpaceDE w:val="0"/>
        <w:autoSpaceDN w:val="0"/>
        <w:adjustRightInd w:val="0"/>
        <w:rPr>
          <w:rFonts w:ascii="Arial Bold" w:hAnsi="Arial Bold" w:cs="Arial"/>
          <w:b/>
          <w:smallCaps/>
          <w:color w:val="000000" w:themeColor="text1"/>
          <w:sz w:val="20"/>
          <w:szCs w:val="20"/>
        </w:rPr>
      </w:pPr>
      <w:r w:rsidRPr="00217EF0">
        <w:rPr>
          <w:rFonts w:ascii="Arial Bold" w:hAnsi="Arial Bold" w:cs="Arial"/>
          <w:b/>
          <w:smallCaps/>
          <w:color w:val="000000" w:themeColor="text1"/>
          <w:sz w:val="20"/>
          <w:szCs w:val="20"/>
        </w:rPr>
        <w:t>Counsel for the Staff of the Public Utilities Commission of Ohio (PUCO)</w:t>
      </w:r>
    </w:p>
    <w:p w14:paraId="42581B4B" w14:textId="77777777" w:rsidR="0031047E" w:rsidRPr="00217EF0" w:rsidRDefault="0031047E" w:rsidP="0031047E">
      <w:pPr>
        <w:autoSpaceDE w:val="0"/>
        <w:autoSpaceDN w:val="0"/>
        <w:adjustRightInd w:val="0"/>
        <w:rPr>
          <w:rFonts w:ascii="Arial Bold" w:hAnsi="Arial Bold" w:cs="Arial"/>
          <w:b/>
          <w:smallCaps/>
          <w:color w:val="000000" w:themeColor="text1"/>
          <w:sz w:val="20"/>
          <w:szCs w:val="20"/>
        </w:rPr>
      </w:pPr>
    </w:p>
    <w:p w14:paraId="077080ED"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 xml:space="preserve">Bryce </w:t>
      </w:r>
      <w:proofErr w:type="spellStart"/>
      <w:r w:rsidRPr="00E21F02">
        <w:rPr>
          <w:rFonts w:eastAsia="Calibri" w:cs="Arial"/>
          <w:color w:val="000000" w:themeColor="text1"/>
          <w:sz w:val="20"/>
          <w:szCs w:val="20"/>
        </w:rPr>
        <w:t>McKenney</w:t>
      </w:r>
      <w:proofErr w:type="spellEnd"/>
    </w:p>
    <w:p w14:paraId="020EBBA0"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Gregory Price</w:t>
      </w:r>
    </w:p>
    <w:p w14:paraId="0A408D18"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Attorney Examiners</w:t>
      </w:r>
    </w:p>
    <w:p w14:paraId="69718C63"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Legal Department</w:t>
      </w:r>
    </w:p>
    <w:p w14:paraId="4423AB6A"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Public Utilities Commission of Ohio</w:t>
      </w:r>
    </w:p>
    <w:p w14:paraId="2773DCEC"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180 East Broad Street, 12</w:t>
      </w:r>
      <w:r w:rsidRPr="00E21F02">
        <w:rPr>
          <w:rFonts w:eastAsia="Calibri" w:cs="Arial"/>
          <w:color w:val="000000" w:themeColor="text1"/>
          <w:sz w:val="20"/>
          <w:szCs w:val="20"/>
          <w:vertAlign w:val="superscript"/>
        </w:rPr>
        <w:t>th</w:t>
      </w:r>
      <w:r w:rsidRPr="00E21F02">
        <w:rPr>
          <w:rFonts w:eastAsia="Calibri" w:cs="Arial"/>
          <w:color w:val="000000" w:themeColor="text1"/>
          <w:sz w:val="20"/>
          <w:szCs w:val="20"/>
        </w:rPr>
        <w:t xml:space="preserve"> Floor</w:t>
      </w:r>
    </w:p>
    <w:p w14:paraId="22EF144A"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Columbus OH  43215</w:t>
      </w:r>
    </w:p>
    <w:p w14:paraId="48EA2A75"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bryce.mckenney@puc.state.oh.us</w:t>
      </w:r>
    </w:p>
    <w:p w14:paraId="5A6BA098" w14:textId="77777777" w:rsidR="00E21F02" w:rsidRPr="00E21F02" w:rsidRDefault="00E21F02" w:rsidP="00E21F02">
      <w:pPr>
        <w:rPr>
          <w:rFonts w:eastAsia="Calibri" w:cs="Arial"/>
          <w:color w:val="000000" w:themeColor="text1"/>
          <w:sz w:val="20"/>
          <w:szCs w:val="20"/>
        </w:rPr>
      </w:pPr>
      <w:r w:rsidRPr="00E21F02">
        <w:rPr>
          <w:rFonts w:eastAsia="Calibri" w:cs="Arial"/>
          <w:color w:val="000000" w:themeColor="text1"/>
          <w:sz w:val="20"/>
          <w:szCs w:val="20"/>
        </w:rPr>
        <w:t>gregory.price@puc.state.oh.us</w:t>
      </w:r>
    </w:p>
    <w:p w14:paraId="6DFCDC1B" w14:textId="77777777" w:rsidR="00E21F02" w:rsidRPr="00E21F02" w:rsidRDefault="00E21F02" w:rsidP="00E21F02">
      <w:pPr>
        <w:rPr>
          <w:rFonts w:eastAsia="Calibri" w:cs="Arial"/>
          <w:color w:val="000000" w:themeColor="text1"/>
          <w:sz w:val="20"/>
          <w:szCs w:val="20"/>
        </w:rPr>
      </w:pPr>
    </w:p>
    <w:p w14:paraId="1894DF70" w14:textId="77777777" w:rsidR="00E21F02" w:rsidRPr="00E21F02" w:rsidRDefault="00E21F02" w:rsidP="00E21F02">
      <w:pPr>
        <w:rPr>
          <w:rFonts w:eastAsia="Calibri" w:cs="Arial"/>
          <w:b/>
          <w:smallCaps/>
          <w:color w:val="000000" w:themeColor="text1"/>
          <w:sz w:val="20"/>
          <w:szCs w:val="20"/>
        </w:rPr>
      </w:pPr>
      <w:r w:rsidRPr="00E21F02">
        <w:rPr>
          <w:rFonts w:eastAsia="Calibri" w:cs="Arial"/>
          <w:b/>
          <w:smallCaps/>
          <w:color w:val="000000" w:themeColor="text1"/>
          <w:sz w:val="20"/>
          <w:szCs w:val="20"/>
        </w:rPr>
        <w:t>Attorney Examiners</w:t>
      </w:r>
    </w:p>
    <w:p w14:paraId="224C8742" w14:textId="77777777" w:rsidR="00E21F02" w:rsidRPr="00E21F02" w:rsidRDefault="00E21F02" w:rsidP="00E21F02">
      <w:pPr>
        <w:rPr>
          <w:rFonts w:eastAsia="Calibri" w:cs="Arial"/>
          <w:color w:val="000000" w:themeColor="text1"/>
          <w:sz w:val="20"/>
          <w:szCs w:val="20"/>
        </w:rPr>
      </w:pPr>
    </w:p>
    <w:p w14:paraId="4E416336" w14:textId="457D179C" w:rsidR="00C638E3" w:rsidRPr="00E21F02" w:rsidRDefault="00C638E3" w:rsidP="00C638E3">
      <w:pPr>
        <w:rPr>
          <w:rFonts w:cs="Arial"/>
          <w:color w:val="000000" w:themeColor="text1"/>
          <w:sz w:val="20"/>
          <w:szCs w:val="20"/>
        </w:rPr>
      </w:pPr>
    </w:p>
    <w:sectPr w:rsidR="00C638E3" w:rsidRPr="00E21F02" w:rsidSect="00EE0061">
      <w:pgSz w:w="12240" w:h="15840" w:code="1"/>
      <w:pgMar w:top="1296" w:right="1440" w:bottom="1152"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9BC63" w14:textId="77777777" w:rsidR="00254E57" w:rsidRDefault="00254E57" w:rsidP="004731A4">
      <w:r>
        <w:separator/>
      </w:r>
    </w:p>
  </w:endnote>
  <w:endnote w:type="continuationSeparator" w:id="0">
    <w:p w14:paraId="63E89D2E" w14:textId="77777777" w:rsidR="00254E57" w:rsidRDefault="00254E57" w:rsidP="0047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5BB28" w14:textId="77777777" w:rsidR="00FD5C46" w:rsidRDefault="00FD5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00B5" w14:textId="0FD48B30" w:rsidR="00254E57" w:rsidRPr="00747229" w:rsidRDefault="00747229" w:rsidP="00747229">
    <w:pPr>
      <w:pStyle w:val="Footer"/>
      <w:jc w:val="left"/>
    </w:pPr>
    <w:r w:rsidRPr="00747229">
      <w:rPr>
        <w:noProof/>
        <w:vanish/>
        <w:sz w:val="16"/>
      </w:rPr>
      <w:t>{</w:t>
    </w:r>
    <w:r w:rsidRPr="00747229">
      <w:rPr>
        <w:noProof/>
        <w:sz w:val="16"/>
      </w:rPr>
      <w:t>C0100178:2</w:t>
    </w:r>
    <w:r w:rsidRPr="00747229">
      <w:rPr>
        <w:noProof/>
        <w:vanish/>
        <w:sz w:val="16"/>
      </w:rPr>
      <w:t>}</w:t>
    </w:r>
    <w:r>
      <w:rPr>
        <w:noProof/>
        <w:sz w:val="16"/>
      </w:rPr>
      <w:tab/>
    </w:r>
    <w:r w:rsidR="00254E57" w:rsidRPr="00747229">
      <w:rPr>
        <w:sz w:val="22"/>
        <w:szCs w:val="22"/>
      </w:rPr>
      <w:fldChar w:fldCharType="begin"/>
    </w:r>
    <w:r w:rsidR="00254E57" w:rsidRPr="00747229">
      <w:rPr>
        <w:sz w:val="22"/>
        <w:szCs w:val="22"/>
      </w:rPr>
      <w:instrText xml:space="preserve"> PAGE   \* MERGEFORMAT </w:instrText>
    </w:r>
    <w:r w:rsidR="00254E57" w:rsidRPr="00747229">
      <w:rPr>
        <w:sz w:val="22"/>
        <w:szCs w:val="22"/>
      </w:rPr>
      <w:fldChar w:fldCharType="separate"/>
    </w:r>
    <w:r w:rsidR="00592356">
      <w:rPr>
        <w:noProof/>
        <w:sz w:val="22"/>
        <w:szCs w:val="22"/>
      </w:rPr>
      <w:t>4</w:t>
    </w:r>
    <w:r w:rsidR="00254E57" w:rsidRPr="00747229">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2536" w14:textId="72601E13" w:rsidR="00254E57" w:rsidRPr="00747229" w:rsidRDefault="00747229" w:rsidP="00747229">
    <w:pPr>
      <w:pStyle w:val="Footer"/>
      <w:jc w:val="left"/>
    </w:pPr>
    <w:r w:rsidRPr="00747229">
      <w:rPr>
        <w:noProof/>
        <w:vanish/>
        <w:sz w:val="16"/>
      </w:rPr>
      <w:t>{</w:t>
    </w:r>
    <w:r w:rsidRPr="00747229">
      <w:rPr>
        <w:noProof/>
        <w:sz w:val="16"/>
      </w:rPr>
      <w:t>C0100178:2</w:t>
    </w:r>
    <w:r w:rsidRPr="00747229">
      <w:rPr>
        <w:noProof/>
        <w:vanish/>
        <w:sz w:val="16"/>
      </w:rPr>
      <w:t>}</w:t>
    </w:r>
    <w:r w:rsidR="00254E57" w:rsidRPr="00747229">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0A9E" w14:textId="77777777" w:rsidR="00E21F02" w:rsidRDefault="00E21F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1702" w14:textId="6255CB10" w:rsidR="00E21F02" w:rsidRPr="000C3B01" w:rsidRDefault="00747229">
    <w:pPr>
      <w:pStyle w:val="Footer"/>
    </w:pPr>
    <w:r w:rsidRPr="00747229">
      <w:rPr>
        <w:noProof/>
        <w:vanish/>
        <w:sz w:val="16"/>
      </w:rPr>
      <w:t>{</w:t>
    </w:r>
    <w:r w:rsidRPr="00747229">
      <w:rPr>
        <w:noProof/>
        <w:sz w:val="16"/>
      </w:rPr>
      <w:t>C0100178:2</w:t>
    </w:r>
    <w:r w:rsidRPr="00747229">
      <w:rPr>
        <w:noProof/>
        <w:vanish/>
        <w:sz w:val="16"/>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83383" w14:textId="375E7AA6" w:rsidR="00E21F02" w:rsidRPr="000C3B01" w:rsidRDefault="00747229">
    <w:pPr>
      <w:pStyle w:val="Footer"/>
    </w:pPr>
    <w:r w:rsidRPr="00747229">
      <w:rPr>
        <w:noProof/>
        <w:vanish/>
        <w:sz w:val="16"/>
      </w:rPr>
      <w:t>{</w:t>
    </w:r>
    <w:r w:rsidRPr="00747229">
      <w:rPr>
        <w:noProof/>
        <w:sz w:val="16"/>
      </w:rPr>
      <w:t>C0100178:2</w:t>
    </w:r>
    <w:r w:rsidRPr="00747229">
      <w:rPr>
        <w:noProof/>
        <w:vanish/>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57F61" w14:textId="77777777" w:rsidR="00254E57" w:rsidRDefault="00254E57" w:rsidP="004731A4">
      <w:pPr>
        <w:rPr>
          <w:noProof/>
        </w:rPr>
      </w:pPr>
      <w:r>
        <w:rPr>
          <w:noProof/>
        </w:rPr>
        <w:separator/>
      </w:r>
    </w:p>
  </w:footnote>
  <w:footnote w:type="continuationSeparator" w:id="0">
    <w:p w14:paraId="0994D1D3" w14:textId="77777777" w:rsidR="00254E57" w:rsidRDefault="00254E57" w:rsidP="004731A4">
      <w:r>
        <w:continuationSeparator/>
      </w:r>
    </w:p>
  </w:footnote>
  <w:footnote w:id="1">
    <w:p w14:paraId="34F5FF41" w14:textId="7DFD9B21" w:rsidR="00254E57" w:rsidRDefault="00254E57" w:rsidP="00E820AA">
      <w:pPr>
        <w:pStyle w:val="FootnoteText"/>
        <w:spacing w:after="120"/>
      </w:pPr>
      <w:r>
        <w:rPr>
          <w:rStyle w:val="FootnoteReference"/>
        </w:rPr>
        <w:footnoteRef/>
      </w:r>
      <w:r>
        <w:t xml:space="preserve"> Industrial Energy Users-Ohio’s Motion to Dismiss the Distribution Modernization Rider and Memorandum in Support (Nov. 12, 2016) (“IEU-Ohio Motion to Dismiss”).</w:t>
      </w:r>
    </w:p>
  </w:footnote>
  <w:footnote w:id="2">
    <w:p w14:paraId="67BC5EFD" w14:textId="6F7CE208" w:rsidR="00254E57" w:rsidRDefault="00254E57" w:rsidP="00E820AA">
      <w:pPr>
        <w:pStyle w:val="FootnoteText"/>
        <w:spacing w:after="120"/>
      </w:pPr>
      <w:r>
        <w:rPr>
          <w:rStyle w:val="FootnoteReference"/>
        </w:rPr>
        <w:footnoteRef/>
      </w:r>
      <w:r>
        <w:t xml:space="preserve"> The Dayton Power and Light Company’s Memorandum in Opposition to Industrial Energy Users-Ohio’s Motion to Dismiss the Distribution Modernization Rider (Dec. 6, 2016) (“DP&amp;L Memo Contra”).</w:t>
      </w:r>
    </w:p>
  </w:footnote>
  <w:footnote w:id="3">
    <w:p w14:paraId="6FB180D3" w14:textId="12C4789A" w:rsidR="00E820AA" w:rsidRDefault="00E820AA" w:rsidP="00E820AA">
      <w:pPr>
        <w:pStyle w:val="FootnoteText"/>
        <w:spacing w:after="120"/>
      </w:pPr>
      <w:r>
        <w:rPr>
          <w:rStyle w:val="FootnoteReference"/>
        </w:rPr>
        <w:footnoteRef/>
      </w:r>
      <w:r>
        <w:t xml:space="preserve"> IEU-Ohio Motion to Dismiss at 12.  </w:t>
      </w:r>
    </w:p>
  </w:footnote>
  <w:footnote w:id="4">
    <w:p w14:paraId="3E5F686D" w14:textId="5175495D" w:rsidR="00254E57" w:rsidRDefault="00254E57" w:rsidP="00E820AA">
      <w:pPr>
        <w:pStyle w:val="FootnoteText"/>
        <w:spacing w:after="120"/>
      </w:pPr>
      <w:r>
        <w:rPr>
          <w:rStyle w:val="FootnoteReference"/>
        </w:rPr>
        <w:footnoteRef/>
      </w:r>
      <w:r>
        <w:t xml:space="preserve"> DP&amp;L Memo Contra at 3.</w:t>
      </w:r>
    </w:p>
  </w:footnote>
  <w:footnote w:id="5">
    <w:p w14:paraId="7DD95D57" w14:textId="7A84B3FC" w:rsidR="00254E57" w:rsidRDefault="00254E57" w:rsidP="00E820AA">
      <w:pPr>
        <w:pStyle w:val="FootnoteText"/>
        <w:spacing w:after="120"/>
      </w:pPr>
      <w:r>
        <w:rPr>
          <w:rStyle w:val="FootnoteReference"/>
        </w:rPr>
        <w:footnoteRef/>
      </w:r>
      <w:r>
        <w:t xml:space="preserve"> </w:t>
      </w:r>
      <w:r w:rsidRPr="00FE5B6E">
        <w:rPr>
          <w:i/>
        </w:rPr>
        <w:t>Id</w:t>
      </w:r>
      <w:r>
        <w:t>. at 4.</w:t>
      </w:r>
    </w:p>
  </w:footnote>
  <w:footnote w:id="6">
    <w:p w14:paraId="6FD6AB9F" w14:textId="0922521A" w:rsidR="00254E57" w:rsidRDefault="00254E57" w:rsidP="00E820AA">
      <w:pPr>
        <w:pStyle w:val="FootnoteText"/>
        <w:spacing w:after="120"/>
      </w:pPr>
      <w:r>
        <w:rPr>
          <w:rStyle w:val="FootnoteReference"/>
        </w:rPr>
        <w:footnoteRef/>
      </w:r>
      <w:r>
        <w:t xml:space="preserve"> </w:t>
      </w:r>
      <w:r w:rsidRPr="00176AB8">
        <w:rPr>
          <w:i/>
        </w:rPr>
        <w:t xml:space="preserve">Duff v. Pub. Util. </w:t>
      </w:r>
      <w:proofErr w:type="spellStart"/>
      <w:r w:rsidRPr="00176AB8">
        <w:rPr>
          <w:i/>
        </w:rPr>
        <w:t>Comm’n</w:t>
      </w:r>
      <w:proofErr w:type="spellEnd"/>
      <w:r w:rsidRPr="00176AB8">
        <w:rPr>
          <w:i/>
        </w:rPr>
        <w:t xml:space="preserve"> of Ohio</w:t>
      </w:r>
      <w:r>
        <w:t xml:space="preserve">, 56 Ohio St.2d 367, 379 </w:t>
      </w:r>
      <w:r w:rsidRPr="007F140B">
        <w:t>(1978)</w:t>
      </w:r>
      <w:r>
        <w:t>.</w:t>
      </w:r>
    </w:p>
  </w:footnote>
  <w:footnote w:id="7">
    <w:p w14:paraId="1A1828D2" w14:textId="4F9590D1" w:rsidR="00254E57" w:rsidRDefault="00254E57" w:rsidP="00E820AA">
      <w:pPr>
        <w:pStyle w:val="FootnoteText"/>
        <w:spacing w:after="120"/>
      </w:pPr>
      <w:r>
        <w:rPr>
          <w:rStyle w:val="FootnoteReference"/>
        </w:rPr>
        <w:footnoteRef/>
      </w:r>
      <w:r>
        <w:t xml:space="preserve"> </w:t>
      </w:r>
      <w:r w:rsidRPr="00176AB8">
        <w:rPr>
          <w:i/>
        </w:rPr>
        <w:t xml:space="preserve">Toledo Coalition for Safe Energy v. Pub. Util. </w:t>
      </w:r>
      <w:proofErr w:type="spellStart"/>
      <w:r w:rsidRPr="00176AB8">
        <w:rPr>
          <w:i/>
        </w:rPr>
        <w:t>Comm’n</w:t>
      </w:r>
      <w:proofErr w:type="spellEnd"/>
      <w:r w:rsidRPr="00176AB8">
        <w:rPr>
          <w:i/>
        </w:rPr>
        <w:t xml:space="preserve"> of Ohio</w:t>
      </w:r>
      <w:r>
        <w:t>,</w:t>
      </w:r>
      <w:r w:rsidRPr="007F140B">
        <w:t xml:space="preserve"> </w:t>
      </w:r>
      <w:r>
        <w:t>69 Ohio St.2d 559, 560 (1982) (internal citation omitted).</w:t>
      </w:r>
    </w:p>
  </w:footnote>
  <w:footnote w:id="8">
    <w:p w14:paraId="3B137B60" w14:textId="2252CA6C" w:rsidR="00254E57" w:rsidRDefault="00254E57" w:rsidP="00E820AA">
      <w:pPr>
        <w:pStyle w:val="FootnoteText"/>
        <w:spacing w:after="120"/>
      </w:pPr>
      <w:r>
        <w:rPr>
          <w:rStyle w:val="FootnoteReference"/>
        </w:rPr>
        <w:footnoteRef/>
      </w:r>
      <w:r>
        <w:t xml:space="preserve"> </w:t>
      </w:r>
      <w:r w:rsidRPr="00AB414A">
        <w:rPr>
          <w:i/>
        </w:rPr>
        <w:t xml:space="preserve">In the Matter of the Application of </w:t>
      </w:r>
      <w:r>
        <w:rPr>
          <w:i/>
        </w:rPr>
        <w:t xml:space="preserve">the </w:t>
      </w:r>
      <w:r w:rsidRPr="00AB414A">
        <w:rPr>
          <w:i/>
        </w:rPr>
        <w:t>Monongahela Power Company for Approval of a Market-Based Standard Service Offer and Competitive Bidding Process</w:t>
      </w:r>
      <w:r w:rsidRPr="00AB414A">
        <w:t xml:space="preserve">, Case No. 03-1104-EL-ATA, Finding and Order </w:t>
      </w:r>
      <w:r>
        <w:t xml:space="preserve">at 7-8 </w:t>
      </w:r>
      <w:r w:rsidRPr="00AB414A">
        <w:t>(Oct. 2</w:t>
      </w:r>
      <w:r>
        <w:t>2</w:t>
      </w:r>
      <w:r w:rsidRPr="00AB414A">
        <w:t>, 2003).</w:t>
      </w:r>
    </w:p>
  </w:footnote>
  <w:footnote w:id="9">
    <w:p w14:paraId="0A5136A7" w14:textId="1A5933C2" w:rsidR="00254E57" w:rsidRDefault="00254E57" w:rsidP="00E820AA">
      <w:pPr>
        <w:pStyle w:val="FootnoteText"/>
        <w:spacing w:after="120"/>
      </w:pPr>
      <w:r>
        <w:rPr>
          <w:rStyle w:val="FootnoteReference"/>
        </w:rPr>
        <w:footnoteRef/>
      </w:r>
      <w:r>
        <w:t xml:space="preserve"> </w:t>
      </w:r>
      <w:r w:rsidRPr="00F938FB">
        <w:rPr>
          <w:i/>
        </w:rPr>
        <w:t xml:space="preserve">In the Matter of the Energy Efficiency and Peak Demand Reduction Program Portfolio of Ohio Edison Company, </w:t>
      </w:r>
      <w:r>
        <w:rPr>
          <w:i/>
        </w:rPr>
        <w:t>T</w:t>
      </w:r>
      <w:r w:rsidRPr="00F938FB">
        <w:rPr>
          <w:i/>
        </w:rPr>
        <w:t xml:space="preserve">he Cleveland Electric Illuminating Company, and </w:t>
      </w:r>
      <w:r>
        <w:rPr>
          <w:i/>
        </w:rPr>
        <w:t>T</w:t>
      </w:r>
      <w:r w:rsidRPr="00F938FB">
        <w:rPr>
          <w:i/>
        </w:rPr>
        <w:t>he Toledo Edison Company</w:t>
      </w:r>
      <w:r w:rsidR="00E820AA">
        <w:t>, Case Nos. 09</w:t>
      </w:r>
      <w:r w:rsidR="00E820AA">
        <w:noBreakHyphen/>
      </w:r>
      <w:r>
        <w:t>384</w:t>
      </w:r>
      <w:r w:rsidR="00E820AA">
        <w:noBreakHyphen/>
      </w:r>
      <w:r>
        <w:t>EL</w:t>
      </w:r>
      <w:r w:rsidR="00E820AA">
        <w:noBreakHyphen/>
      </w:r>
      <w:r>
        <w:t xml:space="preserve">EEC, </w:t>
      </w:r>
      <w:r w:rsidRPr="00FE5B6E">
        <w:rPr>
          <w:i/>
        </w:rPr>
        <w:t>et al</w:t>
      </w:r>
      <w:r>
        <w:t>., Entry at 2-3 (Dec. 16, 2009).</w:t>
      </w:r>
    </w:p>
  </w:footnote>
  <w:footnote w:id="10">
    <w:p w14:paraId="25AE6966" w14:textId="29B09B23" w:rsidR="00254E57" w:rsidRDefault="00254E57" w:rsidP="00E820AA">
      <w:pPr>
        <w:pStyle w:val="FootnoteText"/>
        <w:spacing w:after="120"/>
      </w:pPr>
      <w:r>
        <w:rPr>
          <w:rStyle w:val="FootnoteReference"/>
        </w:rPr>
        <w:footnoteRef/>
      </w:r>
      <w:r>
        <w:t xml:space="preserve"> </w:t>
      </w:r>
      <w:r w:rsidRPr="00401325">
        <w:rPr>
          <w:i/>
        </w:rPr>
        <w:t>In the Matter of the Application of AT&amp;T Ohio for Approval of an Alternative Form of Regulation of Basic Local Exchange Service and Other Tier 1 Services Pursuant to Chapter 4901:1-4, Ohio Administrative Code</w:t>
      </w:r>
      <w:r>
        <w:t xml:space="preserve">, Case Nos. 06-1013-TP-BLS, </w:t>
      </w:r>
      <w:r w:rsidRPr="00FE5B6E">
        <w:rPr>
          <w:i/>
        </w:rPr>
        <w:t>et al</w:t>
      </w:r>
      <w:r>
        <w:t>., Entry at 4 (May 19, 2011).</w:t>
      </w:r>
    </w:p>
  </w:footnote>
  <w:footnote w:id="11">
    <w:p w14:paraId="638B8230" w14:textId="549BBCFB" w:rsidR="00254E57" w:rsidRDefault="00254E57" w:rsidP="00E820AA">
      <w:pPr>
        <w:pStyle w:val="FootnoteText"/>
        <w:spacing w:after="120"/>
      </w:pPr>
      <w:r>
        <w:rPr>
          <w:rStyle w:val="FootnoteReference"/>
        </w:rPr>
        <w:footnoteRef/>
      </w:r>
      <w:r>
        <w:t xml:space="preserve"> </w:t>
      </w:r>
      <w:r w:rsidRPr="00401325">
        <w:rPr>
          <w:i/>
        </w:rPr>
        <w:t>In the Matter of a Request for an Exemption from Stopping for School Buses and Other Motor Vehicles at the Highway/Railroad Grade Crossing Located at U.S. Route 6</w:t>
      </w:r>
      <w:r>
        <w:rPr>
          <w:i/>
        </w:rPr>
        <w:t xml:space="preserve"> (477-636E)</w:t>
      </w:r>
      <w:r w:rsidRPr="00401325">
        <w:rPr>
          <w:i/>
        </w:rPr>
        <w:t>, Village of Napoleon, Henry County</w:t>
      </w:r>
      <w:r>
        <w:t>, Case No. 03-2524-RR-RCP, Entry at 1 (June 2, 2004).</w:t>
      </w:r>
    </w:p>
  </w:footnote>
  <w:footnote w:id="12">
    <w:p w14:paraId="269E092A" w14:textId="78BC1D1B" w:rsidR="00254E57" w:rsidRDefault="00254E57" w:rsidP="00E820AA">
      <w:pPr>
        <w:pStyle w:val="FootnoteText"/>
        <w:spacing w:after="120"/>
      </w:pPr>
      <w:r>
        <w:rPr>
          <w:rStyle w:val="FootnoteReference"/>
        </w:rPr>
        <w:footnoteRef/>
      </w:r>
      <w:r>
        <w:t xml:space="preserve"> </w:t>
      </w:r>
      <w:r w:rsidRPr="00401325">
        <w:rPr>
          <w:i/>
        </w:rPr>
        <w:t xml:space="preserve">In the Matter of the Petition of Thelma </w:t>
      </w:r>
      <w:proofErr w:type="spellStart"/>
      <w:r w:rsidRPr="00401325">
        <w:rPr>
          <w:i/>
        </w:rPr>
        <w:t>Penwell</w:t>
      </w:r>
      <w:proofErr w:type="spellEnd"/>
      <w:r w:rsidRPr="00401325">
        <w:rPr>
          <w:i/>
        </w:rPr>
        <w:t xml:space="preserve"> and Other Subscribers of the Amanda Exchange of GTE North Inc., Requesting a Boundary Change</w:t>
      </w:r>
      <w:r>
        <w:t>, 1989 Ohio PUC LEXIS 818 (Aug. 9, 1989).</w:t>
      </w:r>
    </w:p>
  </w:footnote>
  <w:footnote w:id="13">
    <w:p w14:paraId="446F0363" w14:textId="74A7A304" w:rsidR="00254E57" w:rsidRDefault="00254E57" w:rsidP="00E820AA">
      <w:pPr>
        <w:pStyle w:val="FootnoteText"/>
        <w:spacing w:after="120"/>
      </w:pPr>
      <w:r>
        <w:rPr>
          <w:rStyle w:val="FootnoteReference"/>
        </w:rPr>
        <w:footnoteRef/>
      </w:r>
      <w:r>
        <w:t xml:space="preserve"> R.C. 4901.13;</w:t>
      </w:r>
      <w:r w:rsidRPr="006D04E6">
        <w:t xml:space="preserve"> </w:t>
      </w:r>
      <w:r w:rsidRPr="00C10477">
        <w:rPr>
          <w:i/>
        </w:rPr>
        <w:t xml:space="preserve">In the Matter of the Application of </w:t>
      </w:r>
      <w:r>
        <w:rPr>
          <w:i/>
        </w:rPr>
        <w:t xml:space="preserve">the </w:t>
      </w:r>
      <w:r w:rsidRPr="00C10477">
        <w:rPr>
          <w:i/>
        </w:rPr>
        <w:t>Monongahela Power Company for Approval of a Market-Based Standard Service Offer and Competitive Bidding Process</w:t>
      </w:r>
      <w:r>
        <w:t>, Case No. 03-1104-EL-ATA, Finding and Order (Oct. 22, 2003).</w:t>
      </w:r>
    </w:p>
  </w:footnote>
  <w:footnote w:id="14">
    <w:p w14:paraId="5559F5F1" w14:textId="77777777" w:rsidR="00E726B3" w:rsidRDefault="00E726B3" w:rsidP="00E726B3">
      <w:pPr>
        <w:pStyle w:val="FootnoteText"/>
        <w:spacing w:after="120"/>
      </w:pPr>
      <w:r>
        <w:rPr>
          <w:rStyle w:val="FootnoteReference"/>
        </w:rPr>
        <w:footnoteRef/>
      </w:r>
      <w:r>
        <w:t xml:space="preserve"> </w:t>
      </w:r>
      <w:r w:rsidRPr="005F03B4">
        <w:rPr>
          <w:i/>
        </w:rPr>
        <w:t>In re Application of Columbus S. Power Co.</w:t>
      </w:r>
      <w:r>
        <w:t xml:space="preserve">, Slip Opinion No. 2016-Ohio-1608, </w:t>
      </w:r>
      <w:r>
        <w:rPr>
          <w:rFonts w:cs="Arial"/>
        </w:rPr>
        <w:t>¶</w:t>
      </w:r>
      <w:r>
        <w:t xml:space="preserve"> 22 (“</w:t>
      </w:r>
      <w:r>
        <w:rPr>
          <w:i/>
        </w:rPr>
        <w:t>Columbus Southern</w:t>
      </w:r>
      <w:r>
        <w:t>”).</w:t>
      </w:r>
    </w:p>
  </w:footnote>
  <w:footnote w:id="15">
    <w:p w14:paraId="773D0A98" w14:textId="77777777" w:rsidR="00E726B3" w:rsidRPr="005F03B4" w:rsidRDefault="00E726B3" w:rsidP="00E726B3">
      <w:pPr>
        <w:pStyle w:val="FootnoteText"/>
        <w:spacing w:after="120"/>
        <w:rPr>
          <w:i/>
        </w:rPr>
      </w:pPr>
      <w:r>
        <w:rPr>
          <w:rStyle w:val="FootnoteReference"/>
        </w:rPr>
        <w:footnoteRef/>
      </w:r>
      <w:r>
        <w:t xml:space="preserve"> </w:t>
      </w:r>
      <w:r>
        <w:rPr>
          <w:i/>
        </w:rPr>
        <w:t>Id.</w:t>
      </w:r>
    </w:p>
  </w:footnote>
  <w:footnote w:id="16">
    <w:p w14:paraId="3D1CE8AB" w14:textId="6B4E24FD" w:rsidR="00254E57" w:rsidRPr="00307B19" w:rsidRDefault="00254E57" w:rsidP="00E820AA">
      <w:pPr>
        <w:pStyle w:val="FootnoteText"/>
        <w:spacing w:after="120"/>
      </w:pPr>
      <w:r>
        <w:rPr>
          <w:rStyle w:val="FootnoteReference"/>
        </w:rPr>
        <w:footnoteRef/>
      </w:r>
      <w:r>
        <w:t xml:space="preserve"> IEU-Ohio Motion to Dismiss </w:t>
      </w:r>
      <w:r w:rsidRPr="00307B19">
        <w:t>at 17-23.</w:t>
      </w:r>
    </w:p>
  </w:footnote>
  <w:footnote w:id="17">
    <w:p w14:paraId="6FDF5672" w14:textId="224F103D" w:rsidR="00CC39E4" w:rsidRDefault="00CC39E4" w:rsidP="00E820AA">
      <w:pPr>
        <w:pStyle w:val="FootnoteText"/>
        <w:spacing w:after="120"/>
      </w:pPr>
      <w:r>
        <w:rPr>
          <w:rStyle w:val="FootnoteReference"/>
        </w:rPr>
        <w:footnoteRef/>
      </w:r>
      <w:r>
        <w:t xml:space="preserve"> As to (B</w:t>
      </w:r>
      <w:proofErr w:type="gramStart"/>
      <w:r>
        <w:t>)(</w:t>
      </w:r>
      <w:proofErr w:type="gramEnd"/>
      <w:r>
        <w:t>2)(</w:t>
      </w:r>
      <w:proofErr w:type="spellStart"/>
      <w:r>
        <w:t>i</w:t>
      </w:r>
      <w:proofErr w:type="spellEnd"/>
      <w:r>
        <w:t>)</w:t>
      </w:r>
      <w:r w:rsidR="00E820AA">
        <w:t>,</w:t>
      </w:r>
      <w:r>
        <w:t xml:space="preserve"> DP&amp;L claims that the implementation of grid modernization initiatives </w:t>
      </w:r>
      <w:r w:rsidR="007531DB">
        <w:t xml:space="preserve">will result in the investment in “economic development, new jobs, and investment in human and physical capital.”  Memo Contra at 12.  Of course, </w:t>
      </w:r>
      <w:r w:rsidR="00545E56">
        <w:t>these claimed benefits assume that DP&amp;L will in fact implement grid modernization initiatives.  As DP&amp;L makes clear, it intends to use the DMR for debt repayment and not grid modernization initiatives.</w:t>
      </w:r>
    </w:p>
  </w:footnote>
  <w:footnote w:id="18">
    <w:p w14:paraId="70525986" w14:textId="4E2EC010" w:rsidR="00C32980" w:rsidRDefault="00C32980">
      <w:pPr>
        <w:pStyle w:val="FootnoteText"/>
      </w:pPr>
      <w:r>
        <w:rPr>
          <w:rStyle w:val="FootnoteReference"/>
        </w:rPr>
        <w:footnoteRef/>
      </w:r>
      <w:r>
        <w:t xml:space="preserve"> Direct Testimony of Craig </w:t>
      </w:r>
      <w:r w:rsidR="00E820AA">
        <w:t xml:space="preserve">L. </w:t>
      </w:r>
      <w:r>
        <w:t xml:space="preserve">Jackson at </w:t>
      </w:r>
      <w:r w:rsidR="00CC39E4">
        <w:t>17 (Oct. 11, 2016).</w:t>
      </w:r>
    </w:p>
  </w:footnote>
  <w:footnote w:id="19">
    <w:p w14:paraId="1B0755ED" w14:textId="728AFFB9" w:rsidR="00254E57" w:rsidRPr="00307B19" w:rsidRDefault="00254E57" w:rsidP="00E820AA">
      <w:pPr>
        <w:pStyle w:val="FootnoteText"/>
        <w:spacing w:after="120"/>
      </w:pPr>
      <w:r w:rsidRPr="00307B19">
        <w:rPr>
          <w:rStyle w:val="FootnoteReference"/>
        </w:rPr>
        <w:footnoteRef/>
      </w:r>
      <w:r w:rsidRPr="00307B19">
        <w:t xml:space="preserve"> </w:t>
      </w:r>
      <w:r w:rsidR="00E820AA">
        <w:t xml:space="preserve">DP&amp;L </w:t>
      </w:r>
      <w:r w:rsidRPr="00307B19">
        <w:t>Memo Contra at 13.</w:t>
      </w:r>
    </w:p>
  </w:footnote>
  <w:footnote w:id="20">
    <w:p w14:paraId="03783054" w14:textId="77777777" w:rsidR="00254E57" w:rsidRPr="00307B19" w:rsidRDefault="00254E57" w:rsidP="00E820AA">
      <w:pPr>
        <w:pStyle w:val="FootnoteText"/>
        <w:spacing w:after="120"/>
      </w:pPr>
      <w:r w:rsidRPr="00307B19">
        <w:rPr>
          <w:rStyle w:val="FootnoteReference"/>
        </w:rPr>
        <w:footnoteRef/>
      </w:r>
      <w:r w:rsidRPr="00307B19">
        <w:t xml:space="preserve"> </w:t>
      </w:r>
      <w:r w:rsidRPr="00307B19">
        <w:rPr>
          <w:i/>
        </w:rPr>
        <w:t>See id.</w:t>
      </w:r>
      <w:r w:rsidRPr="00307B19">
        <w:t xml:space="preserve"> </w:t>
      </w:r>
    </w:p>
  </w:footnote>
  <w:footnote w:id="21">
    <w:p w14:paraId="1F5E6CD9" w14:textId="3957EA1F" w:rsidR="00254E57" w:rsidRDefault="00254E57" w:rsidP="00E820AA">
      <w:pPr>
        <w:pStyle w:val="FootnoteText"/>
        <w:spacing w:after="120"/>
      </w:pPr>
      <w:r>
        <w:rPr>
          <w:rStyle w:val="FootnoteReference"/>
        </w:rPr>
        <w:footnoteRef/>
      </w:r>
      <w:r>
        <w:t xml:space="preserve"> </w:t>
      </w:r>
      <w:r w:rsidR="00E820AA" w:rsidRPr="00887485">
        <w:rPr>
          <w:bCs/>
          <w:i/>
        </w:rPr>
        <w:t xml:space="preserve">In the Matter of the Application of </w:t>
      </w:r>
      <w:proofErr w:type="gramStart"/>
      <w:r w:rsidR="00E820AA">
        <w:rPr>
          <w:bCs/>
          <w:i/>
        </w:rPr>
        <w:t>T</w:t>
      </w:r>
      <w:r w:rsidR="00E820AA" w:rsidRPr="00887485">
        <w:rPr>
          <w:bCs/>
          <w:i/>
        </w:rPr>
        <w:t>he</w:t>
      </w:r>
      <w:proofErr w:type="gramEnd"/>
      <w:r w:rsidR="00E820AA" w:rsidRPr="00887485">
        <w:rPr>
          <w:bCs/>
          <w:i/>
        </w:rPr>
        <w:t xml:space="preserve"> Dayton Power and Light Company for Approval of its Electric Security Plan</w:t>
      </w:r>
      <w:r w:rsidR="00E820AA" w:rsidRPr="00887485">
        <w:rPr>
          <w:bCs/>
        </w:rPr>
        <w:t xml:space="preserve">, Case Nos. 12-426-EL-SSO, </w:t>
      </w:r>
      <w:r w:rsidR="00E820AA" w:rsidRPr="00FE5B6E">
        <w:rPr>
          <w:bCs/>
          <w:i/>
        </w:rPr>
        <w:t>et al</w:t>
      </w:r>
      <w:r w:rsidR="00E820AA" w:rsidRPr="00887485">
        <w:rPr>
          <w:bCs/>
        </w:rPr>
        <w:t xml:space="preserve">., Opinion and Order at </w:t>
      </w:r>
      <w:r w:rsidR="00E820AA">
        <w:rPr>
          <w:bCs/>
        </w:rPr>
        <w:t>27-28</w:t>
      </w:r>
      <w:r w:rsidR="00E820AA" w:rsidRPr="00887485">
        <w:rPr>
          <w:bCs/>
        </w:rPr>
        <w:t xml:space="preserve"> (Sept. 4, 2013</w:t>
      </w:r>
      <w:r w:rsidR="00E820AA">
        <w:rPr>
          <w:bCs/>
        </w:rPr>
        <w:t>) (“</w:t>
      </w:r>
      <w:r w:rsidR="00E820AA" w:rsidRPr="00E820AA">
        <w:rPr>
          <w:bCs/>
          <w:i/>
        </w:rPr>
        <w:t>DP&amp;L ESP II Case</w:t>
      </w:r>
      <w:r w:rsidR="00E820AA">
        <w:rPr>
          <w:bCs/>
        </w:rPr>
        <w:t>”)</w:t>
      </w:r>
      <w:r w:rsidR="00E820AA" w:rsidRPr="00887485">
        <w:rPr>
          <w:bCs/>
        </w:rPr>
        <w:t>.</w:t>
      </w:r>
    </w:p>
  </w:footnote>
  <w:footnote w:id="22">
    <w:p w14:paraId="34E2C814" w14:textId="53832699" w:rsidR="00254E57" w:rsidRPr="00307B19" w:rsidRDefault="00254E57" w:rsidP="00E820AA">
      <w:pPr>
        <w:pStyle w:val="FootnoteText"/>
        <w:spacing w:after="120"/>
      </w:pPr>
      <w:r w:rsidRPr="00307B19">
        <w:rPr>
          <w:rStyle w:val="FootnoteReference"/>
        </w:rPr>
        <w:footnoteRef/>
      </w:r>
      <w:r w:rsidRPr="00307B19">
        <w:t xml:space="preserve"> IEU-Ohio Motion to Dismiss at 3</w:t>
      </w:r>
      <w:r>
        <w:t>, 20.</w:t>
      </w:r>
    </w:p>
  </w:footnote>
  <w:footnote w:id="23">
    <w:p w14:paraId="7B227EA1" w14:textId="30696899" w:rsidR="00254E57" w:rsidRPr="00307B19" w:rsidRDefault="00254E57" w:rsidP="00E820AA">
      <w:pPr>
        <w:pStyle w:val="FootnoteText"/>
        <w:spacing w:after="120"/>
      </w:pPr>
      <w:r w:rsidRPr="00307B19">
        <w:rPr>
          <w:rStyle w:val="FootnoteReference"/>
        </w:rPr>
        <w:footnoteRef/>
      </w:r>
      <w:r w:rsidRPr="00307B19">
        <w:t xml:space="preserve"> </w:t>
      </w:r>
      <w:r>
        <w:rPr>
          <w:i/>
        </w:rPr>
        <w:t xml:space="preserve">In The Matter of the Application of The AES Corporation, Dolphin Sub, Inc., DPL Inc. and The Dayton Power and Light Company for Consent and Approval for a Change of Control of The Dayton Power and Light </w:t>
      </w:r>
      <w:r w:rsidRPr="0023785E">
        <w:t>Company</w:t>
      </w:r>
      <w:r>
        <w:t>, Case No. 11</w:t>
      </w:r>
      <w:r>
        <w:noBreakHyphen/>
        <w:t>3002</w:t>
      </w:r>
      <w:r>
        <w:noBreakHyphen/>
        <w:t>EL</w:t>
      </w:r>
      <w:r>
        <w:noBreakHyphen/>
        <w:t xml:space="preserve">MER, </w:t>
      </w:r>
      <w:r w:rsidRPr="00307B19">
        <w:t xml:space="preserve">Finding and Order at </w:t>
      </w:r>
      <w:r>
        <w:t>9 (Nov. 22, 2011)</w:t>
      </w:r>
      <w:r w:rsidRPr="00307B19">
        <w:t>.</w:t>
      </w:r>
    </w:p>
  </w:footnote>
  <w:footnote w:id="24">
    <w:p w14:paraId="30EC1C99" w14:textId="15F258E6" w:rsidR="00254E57" w:rsidRDefault="00254E57" w:rsidP="00E820AA">
      <w:pPr>
        <w:pStyle w:val="FootnoteText"/>
        <w:spacing w:after="120"/>
      </w:pPr>
      <w:r>
        <w:rPr>
          <w:rStyle w:val="FootnoteReference"/>
        </w:rPr>
        <w:footnoteRef/>
      </w:r>
      <w:r>
        <w:t xml:space="preserve"> </w:t>
      </w:r>
      <w:r w:rsidRPr="00887485">
        <w:t>DP&amp;L Memo Contra at</w:t>
      </w:r>
      <w:r>
        <w:t xml:space="preserve"> 14-15</w:t>
      </w:r>
      <w:r w:rsidRPr="00887485">
        <w:t>.</w:t>
      </w:r>
    </w:p>
  </w:footnote>
  <w:footnote w:id="25">
    <w:p w14:paraId="6A1A1821" w14:textId="57FF0456" w:rsidR="00254E57" w:rsidRDefault="00254E57" w:rsidP="00E820AA">
      <w:pPr>
        <w:pStyle w:val="FootnoteText"/>
        <w:spacing w:after="120"/>
      </w:pPr>
      <w:r>
        <w:rPr>
          <w:rStyle w:val="FootnoteReference"/>
        </w:rPr>
        <w:footnoteRef/>
      </w:r>
      <w:r>
        <w:t xml:space="preserve"> </w:t>
      </w:r>
      <w:r w:rsidRPr="00520C53">
        <w:rPr>
          <w:i/>
        </w:rPr>
        <w:t xml:space="preserve">In re </w:t>
      </w:r>
      <w:r>
        <w:rPr>
          <w:i/>
        </w:rPr>
        <w:t xml:space="preserve">Application of </w:t>
      </w:r>
      <w:r w:rsidRPr="00520C53">
        <w:rPr>
          <w:i/>
        </w:rPr>
        <w:t>Columbus Southern Power</w:t>
      </w:r>
      <w:r>
        <w:rPr>
          <w:i/>
        </w:rPr>
        <w:t xml:space="preserve"> Company</w:t>
      </w:r>
      <w:r>
        <w:t xml:space="preserve">, 128 Ohio St.3d 512, 520 (2011); </w:t>
      </w:r>
      <w:r w:rsidRPr="00887485">
        <w:rPr>
          <w:i/>
        </w:rPr>
        <w:t>Columbus Southern</w:t>
      </w:r>
      <w:r w:rsidRPr="00887485">
        <w:t>, at ¶¶ 14-40.</w:t>
      </w:r>
    </w:p>
  </w:footnote>
  <w:footnote w:id="26">
    <w:p w14:paraId="492DE2F3" w14:textId="30ED88E9" w:rsidR="00254E57" w:rsidRDefault="00254E57" w:rsidP="00E820AA">
      <w:pPr>
        <w:pStyle w:val="FootnoteText"/>
        <w:spacing w:after="120"/>
      </w:pPr>
      <w:r>
        <w:rPr>
          <w:rStyle w:val="FootnoteReference"/>
        </w:rPr>
        <w:footnoteRef/>
      </w:r>
      <w:r>
        <w:t xml:space="preserve"> </w:t>
      </w:r>
      <w:r w:rsidRPr="00887485">
        <w:rPr>
          <w:i/>
        </w:rPr>
        <w:t>Ohio Neighborhood Finance, Inc. v. Scott</w:t>
      </w:r>
      <w:r w:rsidRPr="00887485">
        <w:t>, 139 Ohio St.3d 536, 2014-Ohio-2440, ¶ 22.</w:t>
      </w:r>
    </w:p>
  </w:footnote>
  <w:footnote w:id="27">
    <w:p w14:paraId="52E69DCE" w14:textId="56DE9484" w:rsidR="00254E57" w:rsidRDefault="00254E57" w:rsidP="00E820AA">
      <w:pPr>
        <w:pStyle w:val="FootnoteText"/>
        <w:spacing w:after="120"/>
      </w:pPr>
      <w:r>
        <w:rPr>
          <w:rStyle w:val="FootnoteReference"/>
        </w:rPr>
        <w:footnoteRef/>
      </w:r>
      <w:r>
        <w:t xml:space="preserve"> </w:t>
      </w:r>
      <w:r w:rsidRPr="00887485">
        <w:rPr>
          <w:i/>
        </w:rPr>
        <w:t>Id.</w:t>
      </w:r>
      <w:r w:rsidRPr="00887485">
        <w:t xml:space="preserve">; </w:t>
      </w:r>
      <w:r w:rsidRPr="00887485">
        <w:rPr>
          <w:i/>
        </w:rPr>
        <w:t>State v. Brown</w:t>
      </w:r>
      <w:r w:rsidRPr="00887485">
        <w:t>, 119 Ohio St.3d 447, 2008-Ohio-4569, ¶ 37 (</w:t>
      </w:r>
      <w:r w:rsidRPr="00887485">
        <w:rPr>
          <w:i/>
        </w:rPr>
        <w:t>quoting</w:t>
      </w:r>
      <w:r w:rsidRPr="00887485">
        <w:rPr>
          <w:i/>
          <w:iCs/>
        </w:rPr>
        <w:t xml:space="preserve"> State v. Cook</w:t>
      </w:r>
      <w:r w:rsidRPr="00887485">
        <w:t>, 83 Ohio St.3d 404, (1998)) (“A cardinal rule of statutory interpretation is that ‘[a] court must look to the language and purpose of the statute in order to determine legislative intent.’”);</w:t>
      </w:r>
      <w:r w:rsidRPr="00887485">
        <w:rPr>
          <w:i/>
        </w:rPr>
        <w:t xml:space="preserve"> </w:t>
      </w:r>
      <w:proofErr w:type="spellStart"/>
      <w:r w:rsidRPr="00887485">
        <w:rPr>
          <w:i/>
        </w:rPr>
        <w:t>Kewalo</w:t>
      </w:r>
      <w:proofErr w:type="spellEnd"/>
      <w:r w:rsidRPr="00887485">
        <w:rPr>
          <w:i/>
        </w:rPr>
        <w:t xml:space="preserve"> Ocean Activities and </w:t>
      </w:r>
      <w:proofErr w:type="spellStart"/>
      <w:r w:rsidRPr="00887485">
        <w:rPr>
          <w:i/>
        </w:rPr>
        <w:t>Kahala</w:t>
      </w:r>
      <w:proofErr w:type="spellEnd"/>
      <w:r w:rsidRPr="00887485">
        <w:rPr>
          <w:i/>
        </w:rPr>
        <w:t xml:space="preserve"> Catamarans v. Ching</w:t>
      </w:r>
      <w:r w:rsidRPr="00887485">
        <w:t xml:space="preserve">, 243 P.3d 273 (2010); </w:t>
      </w:r>
      <w:r w:rsidRPr="00887485">
        <w:rPr>
          <w:i/>
        </w:rPr>
        <w:t>Yates v. U.S.</w:t>
      </w:r>
      <w:r w:rsidRPr="00887485">
        <w:t>, 574 U.S. __, 2015 WL 773330 at *6 (</w:t>
      </w:r>
      <w:r w:rsidRPr="00887485">
        <w:rPr>
          <w:i/>
        </w:rPr>
        <w:t>quoting Robinson v. Shell Oil Co.</w:t>
      </w:r>
      <w:r w:rsidRPr="00887485">
        <w:t>, 519 U.S. 337, 341 (1997) (term “tangible object” in Sarbanes-Oxley Act did not include fish because “‘[t]he plainness or ambiguity of statutory language is determined [not only] by reference to the language itself, [but as well by] the specific context in which that language is used, and the broader context of the statute as a whole.’”).</w:t>
      </w:r>
    </w:p>
  </w:footnote>
  <w:footnote w:id="28">
    <w:p w14:paraId="7AB0F948" w14:textId="3E2CA8AD" w:rsidR="00254E57" w:rsidRDefault="00254E57" w:rsidP="00E820AA">
      <w:pPr>
        <w:pStyle w:val="FootnoteText"/>
        <w:spacing w:after="120"/>
      </w:pPr>
      <w:r>
        <w:rPr>
          <w:rStyle w:val="FootnoteReference"/>
        </w:rPr>
        <w:footnoteRef/>
      </w:r>
      <w:r>
        <w:t xml:space="preserve"> </w:t>
      </w:r>
      <w:r w:rsidRPr="00887485">
        <w:rPr>
          <w:bCs/>
          <w:i/>
        </w:rPr>
        <w:t>Columbus Southern</w:t>
      </w:r>
      <w:r w:rsidRPr="00887485">
        <w:rPr>
          <w:bCs/>
        </w:rPr>
        <w:t>, at ¶ 17.</w:t>
      </w:r>
    </w:p>
  </w:footnote>
  <w:footnote w:id="29">
    <w:p w14:paraId="7560DEBF" w14:textId="130C9EB2" w:rsidR="00254E57" w:rsidRPr="00E820AA" w:rsidRDefault="00254E57" w:rsidP="00E820AA">
      <w:pPr>
        <w:spacing w:after="120"/>
        <w:rPr>
          <w:rFonts w:cs="Times New Roman"/>
          <w:sz w:val="20"/>
          <w:szCs w:val="20"/>
        </w:rPr>
      </w:pPr>
      <w:r w:rsidRPr="00E820AA">
        <w:rPr>
          <w:rStyle w:val="FootnoteReference"/>
          <w:rFonts w:cs="Times New Roman"/>
          <w:sz w:val="20"/>
          <w:szCs w:val="20"/>
        </w:rPr>
        <w:footnoteRef/>
      </w:r>
      <w:r w:rsidRPr="00E820AA">
        <w:rPr>
          <w:rFonts w:cs="Times New Roman"/>
          <w:sz w:val="20"/>
          <w:szCs w:val="20"/>
        </w:rPr>
        <w:t xml:space="preserve"> Prior to SB 221, the statutory section was numbered as division (G) and provided that it is the State's policy to “[e]</w:t>
      </w:r>
      <w:proofErr w:type="spellStart"/>
      <w:r w:rsidRPr="00E820AA">
        <w:rPr>
          <w:rFonts w:cs="Times New Roman"/>
          <w:sz w:val="20"/>
          <w:szCs w:val="20"/>
        </w:rPr>
        <w:t>nsure</w:t>
      </w:r>
      <w:proofErr w:type="spellEnd"/>
      <w:r w:rsidRPr="00E820AA">
        <w:rPr>
          <w:rFonts w:cs="Times New Roman"/>
          <w:sz w:val="20"/>
          <w:szCs w:val="20"/>
        </w:rPr>
        <w:t xml:space="preserve"> effective competition in the provision of retail electric service by avoiding anticompetitive subsidies flowing from a noncompetitive retail electric service to a competitive retail electric service or to a product or service other than retail electric service, and vice versa.”  </w:t>
      </w:r>
      <w:r w:rsidRPr="00E820AA">
        <w:rPr>
          <w:rFonts w:cs="Times New Roman"/>
          <w:i/>
          <w:sz w:val="20"/>
          <w:szCs w:val="20"/>
        </w:rPr>
        <w:t>Elyria Foundry Co. v. Pub. Util. Comm.</w:t>
      </w:r>
      <w:r w:rsidRPr="00E820AA">
        <w:rPr>
          <w:rFonts w:cs="Times New Roman"/>
          <w:sz w:val="20"/>
          <w:szCs w:val="20"/>
        </w:rPr>
        <w:t xml:space="preserve">, 114 Ohio St.3d 305, 315, 2007-Ohio-4164, ¶ 48; </w:t>
      </w:r>
      <w:r w:rsidRPr="00E820AA">
        <w:rPr>
          <w:rFonts w:cs="Times New Roman"/>
          <w:i/>
          <w:sz w:val="20"/>
          <w:szCs w:val="20"/>
        </w:rPr>
        <w:t>see also</w:t>
      </w:r>
      <w:r w:rsidRPr="00E820AA">
        <w:rPr>
          <w:rFonts w:cs="Times New Roman"/>
          <w:sz w:val="20"/>
          <w:szCs w:val="20"/>
        </w:rPr>
        <w:t xml:space="preserve"> Ohio General Assembly Archives, SB 221, available at: </w:t>
      </w:r>
      <w:r w:rsidRPr="00FD5C46">
        <w:rPr>
          <w:sz w:val="20"/>
          <w:szCs w:val="20"/>
        </w:rPr>
        <w:t>http://archives.legislature.state.oh.us/bills.cfm?ID=127_SB_221</w:t>
      </w:r>
      <w:r w:rsidRPr="00E820AA">
        <w:rPr>
          <w:rFonts w:cs="Times New Roman"/>
          <w:sz w:val="20"/>
          <w:szCs w:val="20"/>
        </w:rPr>
        <w:t>.</w:t>
      </w:r>
      <w:r>
        <w:rPr>
          <w:rFonts w:cs="Times New Roman"/>
          <w:sz w:val="20"/>
          <w:szCs w:val="20"/>
        </w:rPr>
        <w:t xml:space="preserve"> </w:t>
      </w:r>
    </w:p>
  </w:footnote>
  <w:footnote w:id="30">
    <w:p w14:paraId="5B95FA92" w14:textId="3B761105" w:rsidR="00254E57" w:rsidRDefault="00254E57" w:rsidP="00E820AA">
      <w:pPr>
        <w:pStyle w:val="FootnoteText"/>
        <w:spacing w:after="120"/>
      </w:pPr>
      <w:r>
        <w:rPr>
          <w:rStyle w:val="FootnoteReference"/>
        </w:rPr>
        <w:footnoteRef/>
      </w:r>
      <w:r>
        <w:t xml:space="preserve"> </w:t>
      </w:r>
      <w:r w:rsidRPr="00887485">
        <w:rPr>
          <w:bCs/>
          <w:i/>
        </w:rPr>
        <w:t>Jones Metal Products Co. v. Walker</w:t>
      </w:r>
      <w:r w:rsidRPr="00887485">
        <w:rPr>
          <w:bCs/>
        </w:rPr>
        <w:t>, 29 Ohio St.2d 173, 181 (1972).</w:t>
      </w:r>
    </w:p>
  </w:footnote>
  <w:footnote w:id="31">
    <w:p w14:paraId="7CD92F07" w14:textId="00CEDCEA" w:rsidR="00254E57" w:rsidRDefault="00254E57" w:rsidP="00E820AA">
      <w:pPr>
        <w:pStyle w:val="FootnoteText"/>
        <w:spacing w:after="120"/>
      </w:pPr>
      <w:r>
        <w:rPr>
          <w:rStyle w:val="FootnoteReference"/>
        </w:rPr>
        <w:footnoteRef/>
      </w:r>
      <w:r>
        <w:t xml:space="preserve"> </w:t>
      </w:r>
      <w:r w:rsidR="00E820AA" w:rsidRPr="00E820AA">
        <w:rPr>
          <w:i/>
        </w:rPr>
        <w:t>DP&amp;L ESP II Case</w:t>
      </w:r>
      <w:r w:rsidR="00E820AA">
        <w:t>, Opinion and Order at 30 (Sept. 4, 2013).</w:t>
      </w:r>
    </w:p>
  </w:footnote>
  <w:footnote w:id="32">
    <w:p w14:paraId="5B4B61EE" w14:textId="07550B47" w:rsidR="00254E57" w:rsidRDefault="00254E57" w:rsidP="00E820AA">
      <w:pPr>
        <w:pStyle w:val="FootnoteText"/>
        <w:spacing w:after="120"/>
      </w:pPr>
      <w:r>
        <w:rPr>
          <w:rStyle w:val="FootnoteReference"/>
        </w:rPr>
        <w:footnoteRef/>
      </w:r>
      <w:r>
        <w:t xml:space="preserve"> </w:t>
      </w:r>
      <w:r w:rsidRPr="00887485">
        <w:rPr>
          <w:bCs/>
          <w:i/>
        </w:rPr>
        <w:t xml:space="preserve">In the Matter of the Application of Ohio Power Company for Approval of the Shutdown of Unit 5 of the Philip </w:t>
      </w:r>
      <w:proofErr w:type="spellStart"/>
      <w:r w:rsidRPr="00887485">
        <w:rPr>
          <w:bCs/>
          <w:i/>
        </w:rPr>
        <w:t>Sporn</w:t>
      </w:r>
      <w:proofErr w:type="spellEnd"/>
      <w:r w:rsidRPr="00887485">
        <w:rPr>
          <w:bCs/>
          <w:i/>
        </w:rPr>
        <w:t xml:space="preserve"> Generating Station and to Establish a Plant Shutdown Rider</w:t>
      </w:r>
      <w:r w:rsidRPr="00887485">
        <w:rPr>
          <w:bCs/>
        </w:rPr>
        <w:t>, Case No. 10-1454-EL-RDR, Finding and Order at 7, 17-1</w:t>
      </w:r>
      <w:r>
        <w:rPr>
          <w:bCs/>
        </w:rPr>
        <w:t>9</w:t>
      </w:r>
      <w:r w:rsidRPr="00887485">
        <w:rPr>
          <w:bCs/>
        </w:rPr>
        <w:t xml:space="preserve"> (Jan. 11, 2012) (“</w:t>
      </w:r>
      <w:proofErr w:type="spellStart"/>
      <w:r w:rsidRPr="00887485">
        <w:rPr>
          <w:bCs/>
        </w:rPr>
        <w:t>Sporn</w:t>
      </w:r>
      <w:proofErr w:type="spellEnd"/>
      <w:r w:rsidRPr="00887485">
        <w:rPr>
          <w:bCs/>
        </w:rPr>
        <w:t xml:space="preserve"> Order”).</w:t>
      </w:r>
    </w:p>
  </w:footnote>
  <w:footnote w:id="33">
    <w:p w14:paraId="26D3E419" w14:textId="18291665" w:rsidR="00254E57" w:rsidRDefault="00254E57" w:rsidP="00E820AA">
      <w:pPr>
        <w:pStyle w:val="FootnoteText"/>
        <w:spacing w:after="120"/>
      </w:pPr>
      <w:r>
        <w:rPr>
          <w:rStyle w:val="FootnoteReference"/>
        </w:rPr>
        <w:footnoteRef/>
      </w:r>
      <w:r>
        <w:t xml:space="preserve"> </w:t>
      </w:r>
      <w:r w:rsidRPr="00887485">
        <w:rPr>
          <w:bCs/>
          <w:i/>
        </w:rPr>
        <w:t>Id.</w:t>
      </w:r>
    </w:p>
  </w:footnote>
  <w:footnote w:id="34">
    <w:p w14:paraId="4FC46CA7" w14:textId="7FB4994B" w:rsidR="00254E57" w:rsidRDefault="00254E57" w:rsidP="00E820AA">
      <w:pPr>
        <w:pStyle w:val="FootnoteText"/>
        <w:spacing w:after="120"/>
      </w:pPr>
      <w:r>
        <w:rPr>
          <w:rStyle w:val="FootnoteReference"/>
        </w:rPr>
        <w:footnoteRef/>
      </w:r>
      <w:r>
        <w:t xml:space="preserve"> </w:t>
      </w:r>
      <w:r w:rsidRPr="00887485">
        <w:rPr>
          <w:bCs/>
          <w:i/>
        </w:rPr>
        <w:t>In the Matter of the Application of Ohio Power Company for Authority to Establish a Standard Service Offer Pursuant to R.C. 4928.143, in the Form of an Electric Security Plan</w:t>
      </w:r>
      <w:r w:rsidRPr="00887485">
        <w:rPr>
          <w:bCs/>
        </w:rPr>
        <w:t>, Case No</w:t>
      </w:r>
      <w:r>
        <w:rPr>
          <w:bCs/>
        </w:rPr>
        <w:t>s</w:t>
      </w:r>
      <w:r w:rsidRPr="00887485">
        <w:rPr>
          <w:bCs/>
        </w:rPr>
        <w:t xml:space="preserve">. 13-2385-EL-SSO, </w:t>
      </w:r>
      <w:r w:rsidRPr="00887485">
        <w:rPr>
          <w:bCs/>
          <w:i/>
        </w:rPr>
        <w:t>et al</w:t>
      </w:r>
      <w:r w:rsidRPr="00887485">
        <w:rPr>
          <w:bCs/>
        </w:rPr>
        <w:t>., Opinion and Order at 7, 26, 65, 69, 91, 95 (Feb. 25, 2015).</w:t>
      </w:r>
    </w:p>
  </w:footnote>
  <w:footnote w:id="35">
    <w:p w14:paraId="4C0EDF49" w14:textId="3B11AF0B" w:rsidR="00254E57" w:rsidRDefault="00254E57" w:rsidP="00E820AA">
      <w:pPr>
        <w:pStyle w:val="FootnoteText"/>
        <w:spacing w:after="120"/>
      </w:pPr>
      <w:r>
        <w:rPr>
          <w:rStyle w:val="FootnoteReference"/>
        </w:rPr>
        <w:footnoteRef/>
      </w:r>
      <w:r>
        <w:t xml:space="preserve"> </w:t>
      </w:r>
      <w:r w:rsidRPr="00887485">
        <w:rPr>
          <w:bCs/>
          <w:i/>
        </w:rPr>
        <w:t>Id.</w:t>
      </w:r>
      <w:r w:rsidRPr="00887485">
        <w:rPr>
          <w:bCs/>
        </w:rPr>
        <w:t xml:space="preserve"> at 81.</w:t>
      </w:r>
    </w:p>
  </w:footnote>
  <w:footnote w:id="36">
    <w:p w14:paraId="144F8537" w14:textId="267D526A" w:rsidR="00254E57" w:rsidRDefault="00254E57" w:rsidP="00E820AA">
      <w:pPr>
        <w:pStyle w:val="FootnoteText"/>
        <w:spacing w:after="120"/>
      </w:pPr>
      <w:r>
        <w:rPr>
          <w:rStyle w:val="FootnoteReference"/>
        </w:rPr>
        <w:footnoteRef/>
      </w:r>
      <w:r>
        <w:t xml:space="preserve"> </w:t>
      </w:r>
      <w:r w:rsidRPr="00887485">
        <w:rPr>
          <w:bCs/>
          <w:i/>
        </w:rPr>
        <w:t>Id.</w:t>
      </w:r>
      <w:r w:rsidRPr="00887485">
        <w:rPr>
          <w:bCs/>
        </w:rPr>
        <w:t xml:space="preserve"> at 82.</w:t>
      </w:r>
    </w:p>
  </w:footnote>
  <w:footnote w:id="37">
    <w:p w14:paraId="22177063" w14:textId="769B3FF7" w:rsidR="00254E57" w:rsidRDefault="00254E57" w:rsidP="00E820AA">
      <w:pPr>
        <w:pStyle w:val="FootnoteText"/>
        <w:spacing w:after="120"/>
      </w:pPr>
      <w:r>
        <w:rPr>
          <w:rStyle w:val="FootnoteReference"/>
        </w:rPr>
        <w:footnoteRef/>
      </w:r>
      <w:r>
        <w:t xml:space="preserve"> </w:t>
      </w:r>
      <w:proofErr w:type="spellStart"/>
      <w:r w:rsidRPr="00887485">
        <w:rPr>
          <w:i/>
        </w:rPr>
        <w:t>Wachendorf</w:t>
      </w:r>
      <w:proofErr w:type="spellEnd"/>
      <w:r w:rsidRPr="00887485">
        <w:rPr>
          <w:i/>
        </w:rPr>
        <w:t xml:space="preserve"> v. Shaver</w:t>
      </w:r>
      <w:r w:rsidRPr="00887485">
        <w:t xml:space="preserve">, 149 Ohio St. 231, 237, 78 N.E.2d 370, 374 (1948); </w:t>
      </w:r>
      <w:r w:rsidRPr="00887485">
        <w:rPr>
          <w:i/>
        </w:rPr>
        <w:t>Columbus-Suburban Coach Lines v. Pub. Util. Comm.</w:t>
      </w:r>
      <w:r w:rsidRPr="00887485">
        <w:t>, 20 Ohio St.2d 125, 127, 254 N.E. 2d 8 (1969) (</w:t>
      </w:r>
      <w:r w:rsidRPr="00887485">
        <w:rPr>
          <w:bCs/>
        </w:rPr>
        <w:t>In</w:t>
      </w:r>
      <w:r w:rsidRPr="00887485">
        <w:t xml:space="preserve"> matters of construction, “it is the duty of this court to give effect to the </w:t>
      </w:r>
      <w:r w:rsidRPr="00887485">
        <w:rPr>
          <w:bCs/>
        </w:rPr>
        <w:t>words</w:t>
      </w:r>
      <w:r w:rsidRPr="00887485">
        <w:t xml:space="preserve"> used, not to delete </w:t>
      </w:r>
      <w:r w:rsidRPr="00887485">
        <w:rPr>
          <w:bCs/>
        </w:rPr>
        <w:t>words</w:t>
      </w:r>
      <w:r w:rsidRPr="00887485">
        <w:t xml:space="preserve"> used or to insert </w:t>
      </w:r>
      <w:r w:rsidRPr="00887485">
        <w:rPr>
          <w:bCs/>
        </w:rPr>
        <w:t>words</w:t>
      </w:r>
      <w:r w:rsidRPr="00887485">
        <w:t xml:space="preserve"> not used.").</w:t>
      </w:r>
    </w:p>
  </w:footnote>
  <w:footnote w:id="38">
    <w:p w14:paraId="7C6E7D25" w14:textId="0945C2B2" w:rsidR="00254E57" w:rsidRPr="00307B19" w:rsidRDefault="00254E57" w:rsidP="00E820AA">
      <w:pPr>
        <w:pStyle w:val="FootnoteText"/>
        <w:spacing w:after="120"/>
      </w:pPr>
      <w:r w:rsidRPr="00307B19">
        <w:rPr>
          <w:rStyle w:val="FootnoteReference"/>
        </w:rPr>
        <w:footnoteRef/>
      </w:r>
      <w:r w:rsidRPr="00307B19">
        <w:t xml:space="preserve"> </w:t>
      </w:r>
      <w:r w:rsidRPr="00307B19">
        <w:rPr>
          <w:i/>
        </w:rPr>
        <w:t>See</w:t>
      </w:r>
      <w:r w:rsidRPr="00307B19">
        <w:t xml:space="preserve"> </w:t>
      </w:r>
      <w:r w:rsidR="00E820AA">
        <w:t xml:space="preserve">DP&amp;L </w:t>
      </w:r>
      <w:r w:rsidRPr="00307B19">
        <w:t>Memo Contra at 16.</w:t>
      </w:r>
    </w:p>
  </w:footnote>
  <w:footnote w:id="39">
    <w:p w14:paraId="6432E1FE" w14:textId="2ECF312A" w:rsidR="00254E57" w:rsidRDefault="00254E57" w:rsidP="00E820AA">
      <w:pPr>
        <w:pStyle w:val="FootnoteText"/>
        <w:spacing w:after="120"/>
      </w:pPr>
      <w:r>
        <w:rPr>
          <w:rStyle w:val="FootnoteReference"/>
        </w:rPr>
        <w:footnoteRef/>
      </w:r>
      <w:r>
        <w:t xml:space="preserve"> Rule 4901:1-37-02(C), O.A.C.</w:t>
      </w:r>
    </w:p>
  </w:footnote>
  <w:footnote w:id="40">
    <w:p w14:paraId="148B0524" w14:textId="517A421D" w:rsidR="002C4841" w:rsidRPr="00E820AA" w:rsidRDefault="002C4841" w:rsidP="00E820AA">
      <w:pPr>
        <w:pStyle w:val="FootnoteText"/>
        <w:spacing w:after="120"/>
        <w:rPr>
          <w:i/>
        </w:rPr>
      </w:pPr>
      <w:r>
        <w:rPr>
          <w:rStyle w:val="FootnoteReference"/>
        </w:rPr>
        <w:footnoteRef/>
      </w:r>
      <w:r>
        <w:t xml:space="preserve"> </w:t>
      </w:r>
      <w:r>
        <w:rPr>
          <w:i/>
        </w:rPr>
        <w:t>Id.</w:t>
      </w:r>
    </w:p>
  </w:footnote>
  <w:footnote w:id="41">
    <w:p w14:paraId="5F6A8B15" w14:textId="30597E6A" w:rsidR="00254E57" w:rsidRPr="00C93A68" w:rsidRDefault="00254E57" w:rsidP="00E820AA">
      <w:pPr>
        <w:pStyle w:val="FootnoteText"/>
        <w:spacing w:after="120"/>
      </w:pPr>
      <w:r>
        <w:rPr>
          <w:rStyle w:val="FootnoteReference"/>
        </w:rPr>
        <w:footnoteRef/>
      </w:r>
      <w:r>
        <w:t xml:space="preserve"> </w:t>
      </w:r>
      <w:r>
        <w:rPr>
          <w:i/>
        </w:rPr>
        <w:t xml:space="preserve">See </w:t>
      </w:r>
      <w:r>
        <w:t>Rule 4901:1-37-04(C), O.A.C.</w:t>
      </w:r>
    </w:p>
  </w:footnote>
  <w:footnote w:id="42">
    <w:p w14:paraId="6562492F" w14:textId="6064C28A" w:rsidR="00254E57" w:rsidRPr="00C93A68" w:rsidRDefault="00254E57" w:rsidP="00E820AA">
      <w:pPr>
        <w:pStyle w:val="FootnoteText"/>
        <w:spacing w:after="120"/>
      </w:pPr>
      <w:r>
        <w:rPr>
          <w:rStyle w:val="FootnoteReference"/>
        </w:rPr>
        <w:footnoteRef/>
      </w:r>
      <w:r>
        <w:t xml:space="preserve"> </w:t>
      </w:r>
      <w:r w:rsidR="00E820AA">
        <w:t xml:space="preserve">DP&amp;L </w:t>
      </w:r>
      <w:r w:rsidR="00EF49F0">
        <w:t>Memo Contra at 16; s</w:t>
      </w:r>
      <w:r>
        <w:rPr>
          <w:i/>
        </w:rPr>
        <w:t>ee</w:t>
      </w:r>
      <w:r>
        <w:t xml:space="preserve"> </w:t>
      </w:r>
      <w:r w:rsidR="00E820AA">
        <w:t xml:space="preserve">IEU-Ohio </w:t>
      </w:r>
      <w:r>
        <w:t xml:space="preserve">Motion to Dismiss at 3, 20; </w:t>
      </w:r>
      <w:r>
        <w:rPr>
          <w:i/>
        </w:rPr>
        <w:t xml:space="preserve">see also </w:t>
      </w:r>
      <w:r w:rsidR="00E820AA">
        <w:rPr>
          <w:i/>
        </w:rPr>
        <w:t xml:space="preserve">DP&amp;L </w:t>
      </w:r>
      <w:r>
        <w:t>Memo Contra at 17 (“the DMR will be used to pay down all debt at DP&amp;L and DPL Inc.”)</w:t>
      </w:r>
      <w:r w:rsidR="00C71A20">
        <w:t xml:space="preserve">; Direct Testimony of Craig </w:t>
      </w:r>
      <w:r w:rsidR="00E820AA">
        <w:t xml:space="preserve">L. </w:t>
      </w:r>
      <w:r w:rsidR="00C71A20">
        <w:t xml:space="preserve">Jackson </w:t>
      </w:r>
      <w:r w:rsidR="002D2D4F">
        <w:t xml:space="preserve">at 17 </w:t>
      </w:r>
      <w:r w:rsidR="00C71A20">
        <w:t>(Oct. 11, 2016).</w:t>
      </w:r>
      <w:r w:rsidR="002D2D4F">
        <w:t xml:space="preserve">  </w:t>
      </w:r>
    </w:p>
  </w:footnote>
  <w:footnote w:id="43">
    <w:p w14:paraId="40335619" w14:textId="326EA3E5" w:rsidR="00254E57" w:rsidRPr="00E820AA" w:rsidRDefault="00254E57" w:rsidP="00E820AA">
      <w:pPr>
        <w:pStyle w:val="FootnoteText"/>
        <w:spacing w:after="120"/>
        <w:rPr>
          <w:i/>
        </w:rPr>
      </w:pPr>
      <w:r>
        <w:rPr>
          <w:rStyle w:val="FootnoteReference"/>
        </w:rPr>
        <w:footnoteRef/>
      </w:r>
      <w:r>
        <w:t xml:space="preserve"> </w:t>
      </w:r>
      <w:r>
        <w:rPr>
          <w:i/>
        </w:rPr>
        <w:t>Id.</w:t>
      </w:r>
    </w:p>
  </w:footnote>
  <w:footnote w:id="44">
    <w:p w14:paraId="4D48E5E6" w14:textId="7E1619B1" w:rsidR="00254E57" w:rsidRPr="00847078" w:rsidRDefault="00254E57" w:rsidP="00E820AA">
      <w:pPr>
        <w:pStyle w:val="FootnoteText"/>
        <w:spacing w:after="120"/>
      </w:pPr>
      <w:r>
        <w:rPr>
          <w:rStyle w:val="FootnoteReference"/>
        </w:rPr>
        <w:footnoteRef/>
      </w:r>
      <w:r>
        <w:t xml:space="preserve"> </w:t>
      </w:r>
      <w:r>
        <w:rPr>
          <w:i/>
        </w:rPr>
        <w:t>See</w:t>
      </w:r>
      <w:r>
        <w:t xml:space="preserve"> R.C. 4928.17; Rule 4901:1-37-04(C), O.A.C.</w:t>
      </w:r>
    </w:p>
  </w:footnote>
  <w:footnote w:id="45">
    <w:p w14:paraId="48E9EE8C" w14:textId="43753FF6" w:rsidR="00254E57" w:rsidRPr="009049B8" w:rsidRDefault="00254E57" w:rsidP="00E820AA">
      <w:pPr>
        <w:pStyle w:val="FootnoteText"/>
        <w:spacing w:after="120"/>
      </w:pPr>
      <w:r>
        <w:rPr>
          <w:rStyle w:val="FootnoteReference"/>
        </w:rPr>
        <w:footnoteRef/>
      </w:r>
      <w:r>
        <w:t xml:space="preserve"> </w:t>
      </w:r>
      <w:r>
        <w:rPr>
          <w:i/>
        </w:rPr>
        <w:t>See</w:t>
      </w:r>
      <w:r>
        <w:t xml:space="preserve"> </w:t>
      </w:r>
      <w:r w:rsidR="00E820AA">
        <w:t xml:space="preserve">IEU-Ohio </w:t>
      </w:r>
      <w:r>
        <w:t>Motion to Dismiss at 24.</w:t>
      </w:r>
    </w:p>
  </w:footnote>
  <w:footnote w:id="46">
    <w:p w14:paraId="6BD93BCA" w14:textId="4D8CB922" w:rsidR="00254E57" w:rsidRDefault="00254E57" w:rsidP="00E820AA">
      <w:pPr>
        <w:pStyle w:val="FootnoteText"/>
        <w:spacing w:after="120"/>
      </w:pPr>
      <w:r>
        <w:rPr>
          <w:rStyle w:val="FootnoteReference"/>
        </w:rPr>
        <w:footnoteRef/>
      </w:r>
      <w:r>
        <w:t xml:space="preserve"> </w:t>
      </w:r>
      <w:r w:rsidR="00E820AA">
        <w:t xml:space="preserve">DP&amp;L </w:t>
      </w:r>
      <w:r>
        <w:t>Memo Contra at 17.</w:t>
      </w:r>
    </w:p>
  </w:footnote>
  <w:footnote w:id="47">
    <w:p w14:paraId="134F2C81" w14:textId="77777777" w:rsidR="00397E8A" w:rsidRPr="00A94390" w:rsidRDefault="00397E8A" w:rsidP="00397E8A">
      <w:pPr>
        <w:pStyle w:val="FootnoteText"/>
        <w:spacing w:after="120"/>
      </w:pPr>
      <w:r>
        <w:rPr>
          <w:rStyle w:val="FootnoteReference"/>
        </w:rPr>
        <w:footnoteRef/>
      </w:r>
      <w:r>
        <w:t xml:space="preserve"> </w:t>
      </w:r>
      <w:r>
        <w:rPr>
          <w:i/>
        </w:rPr>
        <w:t>Columbus Southern</w:t>
      </w:r>
      <w:r>
        <w:t xml:space="preserve">, </w:t>
      </w:r>
      <w:r>
        <w:rPr>
          <w:rFonts w:cs="Arial"/>
        </w:rPr>
        <w:t>¶</w:t>
      </w:r>
      <w:r>
        <w:t xml:space="preserve"> 21.</w:t>
      </w:r>
    </w:p>
  </w:footnote>
  <w:footnote w:id="48">
    <w:p w14:paraId="005BE971" w14:textId="63343F47" w:rsidR="00254E57" w:rsidRPr="00233AC0" w:rsidRDefault="00254E57" w:rsidP="00E820AA">
      <w:pPr>
        <w:pStyle w:val="FootnoteText"/>
        <w:spacing w:after="120"/>
      </w:pPr>
      <w:r>
        <w:rPr>
          <w:rStyle w:val="FootnoteReference"/>
        </w:rPr>
        <w:footnoteRef/>
      </w:r>
      <w:r>
        <w:t xml:space="preserve"> </w:t>
      </w:r>
      <w:r>
        <w:rPr>
          <w:i/>
        </w:rPr>
        <w:t>In re Dayton Power and Light Co.</w:t>
      </w:r>
      <w:r>
        <w:t xml:space="preserve">, Case No. 2014-1505, Supplemental Brief of Appellee The Public Utilities Commission of Ohio and Cross-Appellant The Dayton Power and Light Company Regarding </w:t>
      </w:r>
      <w:r w:rsidR="00E820AA">
        <w:t>R</w:t>
      </w:r>
      <w:r>
        <w:t xml:space="preserve">ecent Supreme Court Decisions (Jun 2, 2016); </w:t>
      </w:r>
      <w:r>
        <w:rPr>
          <w:i/>
        </w:rPr>
        <w:t>see also In re Dayton Power and Light Co.</w:t>
      </w:r>
      <w:r>
        <w:t>, Case No. 2014-1505, Second Merit Brief of DP&amp;L at 18-19 (Jan. 20, 2015).</w:t>
      </w:r>
    </w:p>
  </w:footnote>
  <w:footnote w:id="49">
    <w:p w14:paraId="52399F3D" w14:textId="5C7656D9" w:rsidR="00E713C1" w:rsidRDefault="00E713C1" w:rsidP="00E820AA">
      <w:pPr>
        <w:pStyle w:val="FootnoteText"/>
        <w:spacing w:after="120"/>
      </w:pPr>
      <w:r>
        <w:rPr>
          <w:rStyle w:val="FootnoteReference"/>
        </w:rPr>
        <w:footnoteRef/>
      </w:r>
      <w:r>
        <w:t xml:space="preserve"> </w:t>
      </w:r>
      <w:r w:rsidRPr="005F03B4">
        <w:rPr>
          <w:i/>
        </w:rPr>
        <w:t>In re Application of Dayton Power &amp; Light Co.</w:t>
      </w:r>
      <w:r w:rsidRPr="004F22FB">
        <w:t>, 147 Ohio St.3d 166, 2016-Ohio-3490</w:t>
      </w:r>
      <w:r>
        <w:t xml:space="preserve"> </w:t>
      </w:r>
      <w:r>
        <w:rPr>
          <w:rFonts w:cs="Arial"/>
        </w:rPr>
        <w:t>¶</w:t>
      </w:r>
      <w:r>
        <w:t xml:space="preserve"> 1.</w:t>
      </w:r>
    </w:p>
  </w:footnote>
  <w:footnote w:id="50">
    <w:p w14:paraId="52B4D601" w14:textId="255FD286" w:rsidR="00F00FE8" w:rsidRPr="00307B19" w:rsidRDefault="00F00FE8" w:rsidP="00F00FE8">
      <w:pPr>
        <w:pStyle w:val="FootnoteText"/>
        <w:spacing w:after="120"/>
      </w:pPr>
      <w:r w:rsidRPr="00307B19">
        <w:rPr>
          <w:rStyle w:val="FootnoteReference"/>
        </w:rPr>
        <w:footnoteRef/>
      </w:r>
      <w:r w:rsidRPr="00307B19">
        <w:t xml:space="preserve"> </w:t>
      </w:r>
      <w:r w:rsidR="00640258">
        <w:t xml:space="preserve">DP&amp;L </w:t>
      </w:r>
      <w:r w:rsidRPr="00307B19">
        <w:t>Memo Contra at 18.</w:t>
      </w:r>
    </w:p>
  </w:footnote>
  <w:footnote w:id="51">
    <w:p w14:paraId="6F923906" w14:textId="13DBD289" w:rsidR="00E713C1" w:rsidRPr="00E713C1" w:rsidRDefault="00E713C1" w:rsidP="00E820AA">
      <w:pPr>
        <w:pStyle w:val="FootnoteText"/>
        <w:spacing w:after="120"/>
      </w:pPr>
      <w:r>
        <w:rPr>
          <w:rStyle w:val="FootnoteReference"/>
        </w:rPr>
        <w:footnoteRef/>
      </w:r>
      <w:r>
        <w:t xml:space="preserve"> </w:t>
      </w:r>
      <w:r>
        <w:rPr>
          <w:i/>
        </w:rPr>
        <w:t>Columbus Southern</w:t>
      </w:r>
      <w:r>
        <w:t xml:space="preserve">, at </w:t>
      </w:r>
      <w:r>
        <w:rPr>
          <w:rFonts w:cs="Arial"/>
        </w:rPr>
        <w:t>¶</w:t>
      </w:r>
      <w:r>
        <w:t xml:space="preserve"> 21.</w:t>
      </w:r>
    </w:p>
  </w:footnote>
  <w:footnote w:id="52">
    <w:p w14:paraId="25772848" w14:textId="33CF2729" w:rsidR="005D726A" w:rsidRDefault="005D726A" w:rsidP="00640258">
      <w:pPr>
        <w:pStyle w:val="FootnoteText"/>
        <w:spacing w:after="120"/>
      </w:pPr>
      <w:r>
        <w:rPr>
          <w:rStyle w:val="FootnoteReference"/>
        </w:rPr>
        <w:footnoteRef/>
      </w:r>
      <w:r>
        <w:t xml:space="preserve"> Direct Testimony of </w:t>
      </w:r>
      <w:r w:rsidR="00640258">
        <w:t xml:space="preserve">Craig L. </w:t>
      </w:r>
      <w:r>
        <w:t>Jackson at 8 (Oct. 11, 2016).</w:t>
      </w:r>
    </w:p>
  </w:footnote>
  <w:footnote w:id="53">
    <w:p w14:paraId="696B36B8" w14:textId="1107966A" w:rsidR="005D726A" w:rsidRDefault="005D726A" w:rsidP="00640258">
      <w:pPr>
        <w:pStyle w:val="FootnoteText"/>
        <w:spacing w:after="120"/>
      </w:pPr>
      <w:r>
        <w:rPr>
          <w:rStyle w:val="FootnoteReference"/>
        </w:rPr>
        <w:footnoteRef/>
      </w:r>
      <w:r>
        <w:t xml:space="preserve"> Direct Testimony of </w:t>
      </w:r>
      <w:r w:rsidR="00640258">
        <w:t xml:space="preserve">R. Jeffrey </w:t>
      </w:r>
      <w:proofErr w:type="spellStart"/>
      <w:r>
        <w:t>Malinak</w:t>
      </w:r>
      <w:proofErr w:type="spellEnd"/>
      <w:r>
        <w:t xml:space="preserve"> at </w:t>
      </w:r>
      <w:r w:rsidR="00640258">
        <w:t xml:space="preserve">29-30 </w:t>
      </w:r>
      <w:r>
        <w:t>(Oct. 31, 2016).</w:t>
      </w:r>
    </w:p>
  </w:footnote>
  <w:footnote w:id="54">
    <w:p w14:paraId="17352FB6" w14:textId="53A0D752" w:rsidR="004637FE" w:rsidRDefault="004637FE" w:rsidP="00640258">
      <w:pPr>
        <w:pStyle w:val="FootnoteText"/>
        <w:spacing w:after="120"/>
      </w:pPr>
      <w:r>
        <w:rPr>
          <w:rStyle w:val="FootnoteReference"/>
        </w:rPr>
        <w:footnoteRef/>
      </w:r>
      <w:r>
        <w:t xml:space="preserve"> </w:t>
      </w:r>
      <w:r w:rsidRPr="00640258">
        <w:rPr>
          <w:i/>
        </w:rPr>
        <w:t>DP&amp;L ESP II Case</w:t>
      </w:r>
      <w:r>
        <w:t>, Opinion and Order at 17 (Sep. 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E374" w14:textId="77777777" w:rsidR="00FD5C46" w:rsidRDefault="00FD5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5C69" w14:textId="77777777" w:rsidR="00FD5C46" w:rsidRDefault="00FD5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732A" w14:textId="77777777" w:rsidR="00FD5C46" w:rsidRDefault="00FD5C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B1F6" w14:textId="77777777" w:rsidR="00E21F02" w:rsidRDefault="00E21F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5D64" w14:textId="77777777" w:rsidR="00E21F02" w:rsidRDefault="00E21F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79F4" w14:textId="77777777" w:rsidR="00E21F02" w:rsidRDefault="00E21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C2A4E"/>
    <w:multiLevelType w:val="multilevel"/>
    <w:tmpl w:val="E2C8A58A"/>
    <w:name w:val="PUCO Pl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15:restartNumberingAfterBreak="0">
    <w:nsid w:val="3E753DE4"/>
    <w:multiLevelType w:val="hybridMultilevel"/>
    <w:tmpl w:val="7862B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AB"/>
    <w:rsid w:val="00000974"/>
    <w:rsid w:val="00003491"/>
    <w:rsid w:val="00004551"/>
    <w:rsid w:val="00010107"/>
    <w:rsid w:val="00026BA2"/>
    <w:rsid w:val="00027E26"/>
    <w:rsid w:val="000318AB"/>
    <w:rsid w:val="0005105A"/>
    <w:rsid w:val="00055AEF"/>
    <w:rsid w:val="00061F69"/>
    <w:rsid w:val="00071EA4"/>
    <w:rsid w:val="000821F3"/>
    <w:rsid w:val="000836F1"/>
    <w:rsid w:val="00083DAD"/>
    <w:rsid w:val="00085F61"/>
    <w:rsid w:val="000908BE"/>
    <w:rsid w:val="000B0052"/>
    <w:rsid w:val="000B10EA"/>
    <w:rsid w:val="000B6071"/>
    <w:rsid w:val="000B6412"/>
    <w:rsid w:val="000B69C2"/>
    <w:rsid w:val="000B7FE9"/>
    <w:rsid w:val="000E1BEF"/>
    <w:rsid w:val="000E2C36"/>
    <w:rsid w:val="001062FA"/>
    <w:rsid w:val="00115F2F"/>
    <w:rsid w:val="00140D53"/>
    <w:rsid w:val="00162B99"/>
    <w:rsid w:val="001709F3"/>
    <w:rsid w:val="00171B55"/>
    <w:rsid w:val="00173D41"/>
    <w:rsid w:val="00176AB8"/>
    <w:rsid w:val="00180370"/>
    <w:rsid w:val="00180BCD"/>
    <w:rsid w:val="00187F3D"/>
    <w:rsid w:val="001908B0"/>
    <w:rsid w:val="001B36B1"/>
    <w:rsid w:val="001D22EF"/>
    <w:rsid w:val="001D7E96"/>
    <w:rsid w:val="001E574A"/>
    <w:rsid w:val="001E69A4"/>
    <w:rsid w:val="002105D6"/>
    <w:rsid w:val="00217E3F"/>
    <w:rsid w:val="0022414A"/>
    <w:rsid w:val="002330F2"/>
    <w:rsid w:val="00233AC0"/>
    <w:rsid w:val="002413E4"/>
    <w:rsid w:val="00243250"/>
    <w:rsid w:val="00245F4A"/>
    <w:rsid w:val="00246317"/>
    <w:rsid w:val="00246426"/>
    <w:rsid w:val="00254DA8"/>
    <w:rsid w:val="00254E57"/>
    <w:rsid w:val="00262A8C"/>
    <w:rsid w:val="00263153"/>
    <w:rsid w:val="00285FC8"/>
    <w:rsid w:val="00293165"/>
    <w:rsid w:val="002B4C7D"/>
    <w:rsid w:val="002C1016"/>
    <w:rsid w:val="002C4841"/>
    <w:rsid w:val="002D2D4F"/>
    <w:rsid w:val="002D30F5"/>
    <w:rsid w:val="002D35D7"/>
    <w:rsid w:val="002D633C"/>
    <w:rsid w:val="002E1D0F"/>
    <w:rsid w:val="003063D8"/>
    <w:rsid w:val="003066B5"/>
    <w:rsid w:val="00307B19"/>
    <w:rsid w:val="0031047E"/>
    <w:rsid w:val="00346C36"/>
    <w:rsid w:val="00360064"/>
    <w:rsid w:val="00397E8A"/>
    <w:rsid w:val="003A2B20"/>
    <w:rsid w:val="003B2C03"/>
    <w:rsid w:val="003C7C28"/>
    <w:rsid w:val="003D076A"/>
    <w:rsid w:val="003D7884"/>
    <w:rsid w:val="003F541E"/>
    <w:rsid w:val="004232B5"/>
    <w:rsid w:val="004637FE"/>
    <w:rsid w:val="004665AE"/>
    <w:rsid w:val="00466A06"/>
    <w:rsid w:val="004731A4"/>
    <w:rsid w:val="004756BD"/>
    <w:rsid w:val="004853FE"/>
    <w:rsid w:val="0049118D"/>
    <w:rsid w:val="004A0134"/>
    <w:rsid w:val="004B0B9F"/>
    <w:rsid w:val="004C1B2B"/>
    <w:rsid w:val="004F22FB"/>
    <w:rsid w:val="004F44A8"/>
    <w:rsid w:val="00504992"/>
    <w:rsid w:val="00520C53"/>
    <w:rsid w:val="00543326"/>
    <w:rsid w:val="00544824"/>
    <w:rsid w:val="005453B7"/>
    <w:rsid w:val="00545E56"/>
    <w:rsid w:val="00555377"/>
    <w:rsid w:val="005622CF"/>
    <w:rsid w:val="00570618"/>
    <w:rsid w:val="00592356"/>
    <w:rsid w:val="00593C9F"/>
    <w:rsid w:val="005B0C0B"/>
    <w:rsid w:val="005B15DC"/>
    <w:rsid w:val="005D726A"/>
    <w:rsid w:val="005E5B09"/>
    <w:rsid w:val="005F109D"/>
    <w:rsid w:val="00601DD1"/>
    <w:rsid w:val="00607A1F"/>
    <w:rsid w:val="0061309F"/>
    <w:rsid w:val="00616B74"/>
    <w:rsid w:val="00624527"/>
    <w:rsid w:val="0063199C"/>
    <w:rsid w:val="00640258"/>
    <w:rsid w:val="00642220"/>
    <w:rsid w:val="0064466C"/>
    <w:rsid w:val="00653D27"/>
    <w:rsid w:val="00675381"/>
    <w:rsid w:val="006910FA"/>
    <w:rsid w:val="006A5821"/>
    <w:rsid w:val="006B5054"/>
    <w:rsid w:val="006C0414"/>
    <w:rsid w:val="006D04E6"/>
    <w:rsid w:val="006E6508"/>
    <w:rsid w:val="006E6F34"/>
    <w:rsid w:val="006E7733"/>
    <w:rsid w:val="00701C75"/>
    <w:rsid w:val="00705B68"/>
    <w:rsid w:val="00711ACA"/>
    <w:rsid w:val="00716A19"/>
    <w:rsid w:val="0071769B"/>
    <w:rsid w:val="007261F5"/>
    <w:rsid w:val="00730565"/>
    <w:rsid w:val="00740706"/>
    <w:rsid w:val="00747229"/>
    <w:rsid w:val="007531DB"/>
    <w:rsid w:val="00760CC2"/>
    <w:rsid w:val="00774DC2"/>
    <w:rsid w:val="007A2AE6"/>
    <w:rsid w:val="007A48DB"/>
    <w:rsid w:val="007C188B"/>
    <w:rsid w:val="007C71B7"/>
    <w:rsid w:val="007D6DFC"/>
    <w:rsid w:val="007F140B"/>
    <w:rsid w:val="00800295"/>
    <w:rsid w:val="008018BD"/>
    <w:rsid w:val="00806F4D"/>
    <w:rsid w:val="00811313"/>
    <w:rsid w:val="00813C83"/>
    <w:rsid w:val="00817394"/>
    <w:rsid w:val="00821D85"/>
    <w:rsid w:val="0082271E"/>
    <w:rsid w:val="00825D31"/>
    <w:rsid w:val="00825F7C"/>
    <w:rsid w:val="008265D4"/>
    <w:rsid w:val="00847078"/>
    <w:rsid w:val="00852E42"/>
    <w:rsid w:val="00860135"/>
    <w:rsid w:val="00860791"/>
    <w:rsid w:val="00863830"/>
    <w:rsid w:val="00865126"/>
    <w:rsid w:val="008671DF"/>
    <w:rsid w:val="0087581B"/>
    <w:rsid w:val="00876DBB"/>
    <w:rsid w:val="00887485"/>
    <w:rsid w:val="008A3245"/>
    <w:rsid w:val="008A7852"/>
    <w:rsid w:val="008A7E56"/>
    <w:rsid w:val="008B4DA9"/>
    <w:rsid w:val="008C5331"/>
    <w:rsid w:val="008C7298"/>
    <w:rsid w:val="008D5F2C"/>
    <w:rsid w:val="008E3BF4"/>
    <w:rsid w:val="008E504A"/>
    <w:rsid w:val="0090248C"/>
    <w:rsid w:val="009049B8"/>
    <w:rsid w:val="009428FF"/>
    <w:rsid w:val="00961C00"/>
    <w:rsid w:val="00984B6C"/>
    <w:rsid w:val="009850FA"/>
    <w:rsid w:val="0098524D"/>
    <w:rsid w:val="00990125"/>
    <w:rsid w:val="00990B4D"/>
    <w:rsid w:val="009960CE"/>
    <w:rsid w:val="009C6AAF"/>
    <w:rsid w:val="009D4D89"/>
    <w:rsid w:val="009E2EAF"/>
    <w:rsid w:val="009E38F1"/>
    <w:rsid w:val="00A10BDC"/>
    <w:rsid w:val="00A1160E"/>
    <w:rsid w:val="00A11DA0"/>
    <w:rsid w:val="00A34D19"/>
    <w:rsid w:val="00A43B8F"/>
    <w:rsid w:val="00A515BA"/>
    <w:rsid w:val="00A66492"/>
    <w:rsid w:val="00A75C01"/>
    <w:rsid w:val="00A81746"/>
    <w:rsid w:val="00A82004"/>
    <w:rsid w:val="00A91A36"/>
    <w:rsid w:val="00A94390"/>
    <w:rsid w:val="00AA509C"/>
    <w:rsid w:val="00AB414A"/>
    <w:rsid w:val="00AB631D"/>
    <w:rsid w:val="00AB6BDE"/>
    <w:rsid w:val="00AD1CBF"/>
    <w:rsid w:val="00AD4DCB"/>
    <w:rsid w:val="00AD6C12"/>
    <w:rsid w:val="00AE1B90"/>
    <w:rsid w:val="00AE3E95"/>
    <w:rsid w:val="00AF0FC4"/>
    <w:rsid w:val="00B039C9"/>
    <w:rsid w:val="00B10D3A"/>
    <w:rsid w:val="00B1796F"/>
    <w:rsid w:val="00B17CAD"/>
    <w:rsid w:val="00B3605A"/>
    <w:rsid w:val="00B45650"/>
    <w:rsid w:val="00B466C7"/>
    <w:rsid w:val="00B5189A"/>
    <w:rsid w:val="00B631D3"/>
    <w:rsid w:val="00B80C2D"/>
    <w:rsid w:val="00B96F36"/>
    <w:rsid w:val="00BB47BC"/>
    <w:rsid w:val="00BC1550"/>
    <w:rsid w:val="00BD35C8"/>
    <w:rsid w:val="00C0405A"/>
    <w:rsid w:val="00C10477"/>
    <w:rsid w:val="00C16B96"/>
    <w:rsid w:val="00C32980"/>
    <w:rsid w:val="00C5217F"/>
    <w:rsid w:val="00C5221A"/>
    <w:rsid w:val="00C638E3"/>
    <w:rsid w:val="00C71A20"/>
    <w:rsid w:val="00C80090"/>
    <w:rsid w:val="00C81A15"/>
    <w:rsid w:val="00C82121"/>
    <w:rsid w:val="00C860AA"/>
    <w:rsid w:val="00C93A68"/>
    <w:rsid w:val="00CC248D"/>
    <w:rsid w:val="00CC39E4"/>
    <w:rsid w:val="00CC6423"/>
    <w:rsid w:val="00CC7D40"/>
    <w:rsid w:val="00CD0094"/>
    <w:rsid w:val="00CE23DC"/>
    <w:rsid w:val="00D03DCC"/>
    <w:rsid w:val="00D06955"/>
    <w:rsid w:val="00D306B1"/>
    <w:rsid w:val="00D404D2"/>
    <w:rsid w:val="00D65DA6"/>
    <w:rsid w:val="00D8642C"/>
    <w:rsid w:val="00D926A3"/>
    <w:rsid w:val="00D92FEC"/>
    <w:rsid w:val="00D94060"/>
    <w:rsid w:val="00D944E3"/>
    <w:rsid w:val="00D948DF"/>
    <w:rsid w:val="00DA48E9"/>
    <w:rsid w:val="00DD1E8B"/>
    <w:rsid w:val="00DE01AE"/>
    <w:rsid w:val="00DE7170"/>
    <w:rsid w:val="00DE7F78"/>
    <w:rsid w:val="00E00765"/>
    <w:rsid w:val="00E014B5"/>
    <w:rsid w:val="00E022A9"/>
    <w:rsid w:val="00E21F02"/>
    <w:rsid w:val="00E35B82"/>
    <w:rsid w:val="00E713C1"/>
    <w:rsid w:val="00E726B3"/>
    <w:rsid w:val="00E820AA"/>
    <w:rsid w:val="00E91060"/>
    <w:rsid w:val="00E925B2"/>
    <w:rsid w:val="00E9606D"/>
    <w:rsid w:val="00EA7008"/>
    <w:rsid w:val="00EC1E69"/>
    <w:rsid w:val="00ED3B49"/>
    <w:rsid w:val="00ED6756"/>
    <w:rsid w:val="00EE0061"/>
    <w:rsid w:val="00EE6B86"/>
    <w:rsid w:val="00EF49F0"/>
    <w:rsid w:val="00F00FE8"/>
    <w:rsid w:val="00F11C50"/>
    <w:rsid w:val="00F136CE"/>
    <w:rsid w:val="00F164D5"/>
    <w:rsid w:val="00F16920"/>
    <w:rsid w:val="00F17E4D"/>
    <w:rsid w:val="00F22355"/>
    <w:rsid w:val="00F231FE"/>
    <w:rsid w:val="00F329FE"/>
    <w:rsid w:val="00F354B7"/>
    <w:rsid w:val="00F360EF"/>
    <w:rsid w:val="00F47B4E"/>
    <w:rsid w:val="00F52252"/>
    <w:rsid w:val="00F65BA3"/>
    <w:rsid w:val="00F74395"/>
    <w:rsid w:val="00F776D1"/>
    <w:rsid w:val="00F82883"/>
    <w:rsid w:val="00F83E3A"/>
    <w:rsid w:val="00F86C9F"/>
    <w:rsid w:val="00FB3C76"/>
    <w:rsid w:val="00FB6EED"/>
    <w:rsid w:val="00FB7B8B"/>
    <w:rsid w:val="00FD5C46"/>
    <w:rsid w:val="00FD731C"/>
    <w:rsid w:val="00F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3F0DBD"/>
  <w15:chartTrackingRefBased/>
  <w15:docId w15:val="{C7A0A7F5-E2A0-4C67-98F2-FC22D17D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0B4D"/>
    <w:pPr>
      <w:numPr>
        <w:numId w:val="2"/>
      </w:numPr>
      <w:spacing w:before="180" w:after="240"/>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990B4D"/>
    <w:pPr>
      <w:numPr>
        <w:ilvl w:val="1"/>
        <w:numId w:val="2"/>
      </w:numPr>
      <w:tabs>
        <w:tab w:val="left" w:pos="1440"/>
      </w:tabs>
      <w:spacing w:after="240"/>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990B4D"/>
    <w:pPr>
      <w:numPr>
        <w:ilvl w:val="2"/>
        <w:numId w:val="2"/>
      </w:numPr>
      <w:tabs>
        <w:tab w:val="left" w:pos="2160"/>
      </w:tabs>
      <w:spacing w:after="240"/>
      <w:outlineLvl w:val="2"/>
    </w:pPr>
    <w:rPr>
      <w:rFonts w:eastAsiaTheme="majorEastAsia" w:cs="Arial"/>
      <w:b/>
    </w:rPr>
  </w:style>
  <w:style w:type="paragraph" w:styleId="Heading4">
    <w:name w:val="heading 4"/>
    <w:basedOn w:val="Normal"/>
    <w:next w:val="Normal"/>
    <w:link w:val="Heading4Char"/>
    <w:uiPriority w:val="9"/>
    <w:semiHidden/>
    <w:unhideWhenUsed/>
    <w:qFormat/>
    <w:rsid w:val="00990B4D"/>
    <w:pPr>
      <w:numPr>
        <w:ilvl w:val="3"/>
        <w:numId w:val="2"/>
      </w:numPr>
      <w:tabs>
        <w:tab w:val="left" w:pos="2880"/>
      </w:tabs>
      <w:spacing w:after="240"/>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990B4D"/>
    <w:pPr>
      <w:numPr>
        <w:ilvl w:val="4"/>
        <w:numId w:val="2"/>
      </w:numPr>
      <w:tabs>
        <w:tab w:val="left" w:pos="3600"/>
      </w:tabs>
      <w:spacing w:after="240"/>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990B4D"/>
    <w:pPr>
      <w:numPr>
        <w:ilvl w:val="5"/>
        <w:numId w:val="2"/>
      </w:numPr>
      <w:tabs>
        <w:tab w:val="left" w:pos="4320"/>
      </w:tabs>
      <w:spacing w:after="240"/>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990B4D"/>
    <w:pPr>
      <w:numPr>
        <w:ilvl w:val="6"/>
        <w:numId w:val="2"/>
      </w:numPr>
      <w:tabs>
        <w:tab w:val="left" w:pos="5040"/>
      </w:tabs>
      <w:spacing w:after="240"/>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990B4D"/>
    <w:pPr>
      <w:numPr>
        <w:ilvl w:val="7"/>
        <w:numId w:val="2"/>
      </w:numPr>
      <w:tabs>
        <w:tab w:val="left" w:pos="5760"/>
      </w:tabs>
      <w:spacing w:after="240"/>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990B4D"/>
    <w:pPr>
      <w:numPr>
        <w:ilvl w:val="8"/>
        <w:numId w:val="2"/>
      </w:numPr>
      <w:tabs>
        <w:tab w:val="left" w:pos="6480"/>
      </w:tabs>
      <w:spacing w:after="240"/>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31A4"/>
    <w:rPr>
      <w:sz w:val="20"/>
      <w:szCs w:val="20"/>
    </w:rPr>
  </w:style>
  <w:style w:type="character" w:customStyle="1" w:styleId="FootnoteTextChar">
    <w:name w:val="Footnote Text Char"/>
    <w:basedOn w:val="DefaultParagraphFont"/>
    <w:link w:val="FootnoteText"/>
    <w:uiPriority w:val="99"/>
    <w:semiHidden/>
    <w:rsid w:val="004731A4"/>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semiHidden/>
    <w:unhideWhenUsed/>
    <w:rsid w:val="004731A4"/>
    <w:rPr>
      <w:vertAlign w:val="superscript"/>
    </w:rPr>
  </w:style>
  <w:style w:type="paragraph" w:styleId="ListParagraph">
    <w:name w:val="List Paragraph"/>
    <w:basedOn w:val="Normal"/>
    <w:uiPriority w:val="34"/>
    <w:qFormat/>
    <w:rsid w:val="00AD6C12"/>
    <w:pPr>
      <w:ind w:left="720"/>
      <w:contextualSpacing/>
    </w:pPr>
  </w:style>
  <w:style w:type="character" w:customStyle="1" w:styleId="Heading1Char">
    <w:name w:val="Heading 1 Char"/>
    <w:basedOn w:val="DefaultParagraphFont"/>
    <w:link w:val="Heading1"/>
    <w:uiPriority w:val="9"/>
    <w:rsid w:val="00887485"/>
    <w:rPr>
      <w:rFonts w:eastAsiaTheme="majorEastAsia" w:cs="Arial"/>
      <w:b/>
      <w:caps/>
      <w:szCs w:val="32"/>
      <w:u w:val="single"/>
    </w:rPr>
  </w:style>
  <w:style w:type="character" w:customStyle="1" w:styleId="Heading2Char">
    <w:name w:val="Heading 2 Char"/>
    <w:basedOn w:val="DefaultParagraphFont"/>
    <w:link w:val="Heading2"/>
    <w:uiPriority w:val="9"/>
    <w:rsid w:val="00887485"/>
    <w:rPr>
      <w:rFonts w:eastAsiaTheme="majorEastAsia" w:cs="Arial"/>
      <w:b/>
      <w:szCs w:val="26"/>
    </w:rPr>
  </w:style>
  <w:style w:type="character" w:styleId="CommentReference">
    <w:name w:val="annotation reference"/>
    <w:basedOn w:val="DefaultParagraphFont"/>
    <w:uiPriority w:val="99"/>
    <w:semiHidden/>
    <w:unhideWhenUsed/>
    <w:rsid w:val="00B1796F"/>
    <w:rPr>
      <w:sz w:val="16"/>
      <w:szCs w:val="16"/>
    </w:rPr>
  </w:style>
  <w:style w:type="paragraph" w:styleId="CommentText">
    <w:name w:val="annotation text"/>
    <w:basedOn w:val="Normal"/>
    <w:link w:val="CommentTextChar"/>
    <w:uiPriority w:val="99"/>
    <w:semiHidden/>
    <w:unhideWhenUsed/>
    <w:rsid w:val="00B1796F"/>
    <w:rPr>
      <w:sz w:val="20"/>
      <w:szCs w:val="20"/>
    </w:rPr>
  </w:style>
  <w:style w:type="character" w:customStyle="1" w:styleId="CommentTextChar">
    <w:name w:val="Comment Text Char"/>
    <w:basedOn w:val="DefaultParagraphFont"/>
    <w:link w:val="CommentText"/>
    <w:uiPriority w:val="99"/>
    <w:semiHidden/>
    <w:rsid w:val="00B1796F"/>
    <w:rPr>
      <w:sz w:val="20"/>
      <w:szCs w:val="20"/>
    </w:rPr>
  </w:style>
  <w:style w:type="paragraph" w:styleId="CommentSubject">
    <w:name w:val="annotation subject"/>
    <w:basedOn w:val="CommentText"/>
    <w:next w:val="CommentText"/>
    <w:link w:val="CommentSubjectChar"/>
    <w:uiPriority w:val="99"/>
    <w:semiHidden/>
    <w:unhideWhenUsed/>
    <w:rsid w:val="00B1796F"/>
    <w:rPr>
      <w:b/>
      <w:bCs/>
    </w:rPr>
  </w:style>
  <w:style w:type="character" w:customStyle="1" w:styleId="CommentSubjectChar">
    <w:name w:val="Comment Subject Char"/>
    <w:basedOn w:val="CommentTextChar"/>
    <w:link w:val="CommentSubject"/>
    <w:uiPriority w:val="99"/>
    <w:semiHidden/>
    <w:rsid w:val="00B1796F"/>
    <w:rPr>
      <w:b/>
      <w:bCs/>
      <w:sz w:val="20"/>
      <w:szCs w:val="20"/>
    </w:rPr>
  </w:style>
  <w:style w:type="paragraph" w:styleId="BalloonText">
    <w:name w:val="Balloon Text"/>
    <w:basedOn w:val="Normal"/>
    <w:link w:val="BalloonTextChar"/>
    <w:uiPriority w:val="99"/>
    <w:semiHidden/>
    <w:unhideWhenUsed/>
    <w:rsid w:val="00B17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6F"/>
    <w:rPr>
      <w:rFonts w:ascii="Segoe UI" w:hAnsi="Segoe UI" w:cs="Segoe UI"/>
      <w:sz w:val="18"/>
      <w:szCs w:val="18"/>
    </w:rPr>
  </w:style>
  <w:style w:type="paragraph" w:styleId="Revision">
    <w:name w:val="Revision"/>
    <w:hidden/>
    <w:uiPriority w:val="99"/>
    <w:semiHidden/>
    <w:rsid w:val="00085F61"/>
    <w:pPr>
      <w:jc w:val="left"/>
    </w:pPr>
  </w:style>
  <w:style w:type="paragraph" w:styleId="Header">
    <w:name w:val="header"/>
    <w:basedOn w:val="Normal"/>
    <w:link w:val="HeaderChar"/>
    <w:unhideWhenUsed/>
    <w:rsid w:val="00C638E3"/>
    <w:pPr>
      <w:tabs>
        <w:tab w:val="center" w:pos="4680"/>
        <w:tab w:val="right" w:pos="9360"/>
      </w:tabs>
    </w:pPr>
  </w:style>
  <w:style w:type="character" w:customStyle="1" w:styleId="HeaderChar">
    <w:name w:val="Header Char"/>
    <w:basedOn w:val="DefaultParagraphFont"/>
    <w:link w:val="Header"/>
    <w:rsid w:val="00C638E3"/>
  </w:style>
  <w:style w:type="paragraph" w:styleId="Footer">
    <w:name w:val="footer"/>
    <w:basedOn w:val="Normal"/>
    <w:link w:val="FooterChar"/>
    <w:unhideWhenUsed/>
    <w:rsid w:val="00C638E3"/>
    <w:pPr>
      <w:tabs>
        <w:tab w:val="center" w:pos="4680"/>
        <w:tab w:val="right" w:pos="9360"/>
      </w:tabs>
    </w:pPr>
  </w:style>
  <w:style w:type="character" w:customStyle="1" w:styleId="FooterChar">
    <w:name w:val="Footer Char"/>
    <w:basedOn w:val="DefaultParagraphFont"/>
    <w:link w:val="Footer"/>
    <w:rsid w:val="00C638E3"/>
  </w:style>
  <w:style w:type="character" w:customStyle="1" w:styleId="Heading3Char">
    <w:name w:val="Heading 3 Char"/>
    <w:basedOn w:val="DefaultParagraphFont"/>
    <w:link w:val="Heading3"/>
    <w:uiPriority w:val="9"/>
    <w:semiHidden/>
    <w:rsid w:val="00990B4D"/>
    <w:rPr>
      <w:rFonts w:eastAsiaTheme="majorEastAsia" w:cs="Arial"/>
      <w:b/>
    </w:rPr>
  </w:style>
  <w:style w:type="character" w:customStyle="1" w:styleId="Heading4Char">
    <w:name w:val="Heading 4 Char"/>
    <w:basedOn w:val="DefaultParagraphFont"/>
    <w:link w:val="Heading4"/>
    <w:uiPriority w:val="9"/>
    <w:semiHidden/>
    <w:rsid w:val="00990B4D"/>
    <w:rPr>
      <w:rFonts w:eastAsiaTheme="majorEastAsia" w:cs="Arial"/>
      <w:b/>
      <w:i/>
      <w:iCs/>
    </w:rPr>
  </w:style>
  <w:style w:type="character" w:customStyle="1" w:styleId="Heading5Char">
    <w:name w:val="Heading 5 Char"/>
    <w:basedOn w:val="DefaultParagraphFont"/>
    <w:link w:val="Heading5"/>
    <w:uiPriority w:val="9"/>
    <w:semiHidden/>
    <w:rsid w:val="00990B4D"/>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990B4D"/>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990B4D"/>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990B4D"/>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990B4D"/>
    <w:rPr>
      <w:rFonts w:eastAsiaTheme="majorEastAsia" w:cs="Arial"/>
      <w:iCs/>
      <w:color w:val="404040" w:themeColor="text1" w:themeTint="BF"/>
      <w:szCs w:val="21"/>
    </w:rPr>
  </w:style>
  <w:style w:type="character" w:styleId="Hyperlink">
    <w:name w:val="Hyperlink"/>
    <w:basedOn w:val="DefaultParagraphFont"/>
    <w:uiPriority w:val="99"/>
    <w:unhideWhenUsed/>
    <w:rsid w:val="001D7E96"/>
    <w:rPr>
      <w:color w:val="0000FF" w:themeColor="hyperlink"/>
      <w:u w:val="single"/>
    </w:rPr>
  </w:style>
  <w:style w:type="character" w:styleId="FollowedHyperlink">
    <w:name w:val="FollowedHyperlink"/>
    <w:basedOn w:val="DefaultParagraphFont"/>
    <w:uiPriority w:val="99"/>
    <w:semiHidden/>
    <w:unhideWhenUsed/>
    <w:rsid w:val="001D7E96"/>
    <w:rPr>
      <w:color w:val="800080" w:themeColor="followedHyperlink"/>
      <w:u w:val="single"/>
    </w:rPr>
  </w:style>
  <w:style w:type="paragraph" w:styleId="TOC1">
    <w:name w:val="toc 1"/>
    <w:basedOn w:val="Normal"/>
    <w:next w:val="Normal"/>
    <w:autoRedefine/>
    <w:uiPriority w:val="39"/>
    <w:unhideWhenUsed/>
    <w:rsid w:val="00000974"/>
    <w:pPr>
      <w:spacing w:after="100"/>
      <w:ind w:left="720" w:right="360" w:hanging="720"/>
    </w:pPr>
  </w:style>
  <w:style w:type="paragraph" w:styleId="TOC2">
    <w:name w:val="toc 2"/>
    <w:basedOn w:val="Normal"/>
    <w:next w:val="Normal"/>
    <w:autoRedefine/>
    <w:uiPriority w:val="39"/>
    <w:unhideWhenUsed/>
    <w:rsid w:val="00000974"/>
    <w:pPr>
      <w:spacing w:after="100"/>
      <w:ind w:left="1440" w:right="360" w:hanging="720"/>
    </w:pPr>
  </w:style>
  <w:style w:type="paragraph" w:styleId="BodyText">
    <w:name w:val="Body Text"/>
    <w:basedOn w:val="Normal"/>
    <w:link w:val="BodyTextChar"/>
    <w:rsid w:val="00E21F02"/>
    <w:rPr>
      <w:rFonts w:eastAsia="Times New Roman" w:cs="Arial"/>
    </w:rPr>
  </w:style>
  <w:style w:type="character" w:customStyle="1" w:styleId="BodyTextChar">
    <w:name w:val="Body Text Char"/>
    <w:basedOn w:val="DefaultParagraphFont"/>
    <w:link w:val="BodyText"/>
    <w:rsid w:val="00E21F0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79611">
      <w:bodyDiv w:val="1"/>
      <w:marLeft w:val="0"/>
      <w:marRight w:val="0"/>
      <w:marTop w:val="0"/>
      <w:marBottom w:val="0"/>
      <w:divBdr>
        <w:top w:val="none" w:sz="0" w:space="0" w:color="auto"/>
        <w:left w:val="none" w:sz="0" w:space="0" w:color="auto"/>
        <w:bottom w:val="none" w:sz="0" w:space="0" w:color="auto"/>
        <w:right w:val="none" w:sz="0" w:space="0" w:color="auto"/>
      </w:divBdr>
      <w:divsChild>
        <w:div w:id="188177784">
          <w:marLeft w:val="0"/>
          <w:marRight w:val="0"/>
          <w:marTop w:val="0"/>
          <w:marBottom w:val="0"/>
          <w:divBdr>
            <w:top w:val="none" w:sz="0" w:space="0" w:color="auto"/>
            <w:left w:val="none" w:sz="0" w:space="0" w:color="auto"/>
            <w:bottom w:val="none" w:sz="0" w:space="0" w:color="auto"/>
            <w:right w:val="none" w:sz="0" w:space="0" w:color="auto"/>
          </w:divBdr>
        </w:div>
        <w:div w:id="1864709657">
          <w:marLeft w:val="0"/>
          <w:marRight w:val="0"/>
          <w:marTop w:val="0"/>
          <w:marBottom w:val="0"/>
          <w:divBdr>
            <w:top w:val="none" w:sz="0" w:space="0" w:color="auto"/>
            <w:left w:val="none" w:sz="0" w:space="0" w:color="auto"/>
            <w:bottom w:val="none" w:sz="0" w:space="0" w:color="auto"/>
            <w:right w:val="none" w:sz="0" w:space="0" w:color="auto"/>
          </w:divBdr>
        </w:div>
        <w:div w:id="2022974702">
          <w:marLeft w:val="0"/>
          <w:marRight w:val="0"/>
          <w:marTop w:val="0"/>
          <w:marBottom w:val="0"/>
          <w:divBdr>
            <w:top w:val="none" w:sz="0" w:space="0" w:color="auto"/>
            <w:left w:val="none" w:sz="0" w:space="0" w:color="auto"/>
            <w:bottom w:val="none" w:sz="0" w:space="0" w:color="auto"/>
            <w:right w:val="none" w:sz="0" w:space="0" w:color="auto"/>
          </w:divBdr>
        </w:div>
        <w:div w:id="1685086374">
          <w:marLeft w:val="0"/>
          <w:marRight w:val="0"/>
          <w:marTop w:val="0"/>
          <w:marBottom w:val="0"/>
          <w:divBdr>
            <w:top w:val="none" w:sz="0" w:space="0" w:color="auto"/>
            <w:left w:val="none" w:sz="0" w:space="0" w:color="auto"/>
            <w:bottom w:val="none" w:sz="0" w:space="0" w:color="auto"/>
            <w:right w:val="none" w:sz="0" w:space="0" w:color="auto"/>
          </w:divBdr>
        </w:div>
        <w:div w:id="1637761817">
          <w:marLeft w:val="0"/>
          <w:marRight w:val="0"/>
          <w:marTop w:val="0"/>
          <w:marBottom w:val="0"/>
          <w:divBdr>
            <w:top w:val="none" w:sz="0" w:space="0" w:color="auto"/>
            <w:left w:val="none" w:sz="0" w:space="0" w:color="auto"/>
            <w:bottom w:val="none" w:sz="0" w:space="0" w:color="auto"/>
            <w:right w:val="none" w:sz="0" w:space="0" w:color="auto"/>
          </w:divBdr>
        </w:div>
        <w:div w:id="707680873">
          <w:marLeft w:val="0"/>
          <w:marRight w:val="0"/>
          <w:marTop w:val="0"/>
          <w:marBottom w:val="0"/>
          <w:divBdr>
            <w:top w:val="none" w:sz="0" w:space="0" w:color="auto"/>
            <w:left w:val="none" w:sz="0" w:space="0" w:color="auto"/>
            <w:bottom w:val="none" w:sz="0" w:space="0" w:color="auto"/>
            <w:right w:val="none" w:sz="0" w:space="0" w:color="auto"/>
          </w:divBdr>
        </w:div>
        <w:div w:id="331639334">
          <w:marLeft w:val="0"/>
          <w:marRight w:val="0"/>
          <w:marTop w:val="0"/>
          <w:marBottom w:val="0"/>
          <w:divBdr>
            <w:top w:val="none" w:sz="0" w:space="0" w:color="auto"/>
            <w:left w:val="none" w:sz="0" w:space="0" w:color="auto"/>
            <w:bottom w:val="none" w:sz="0" w:space="0" w:color="auto"/>
            <w:right w:val="none" w:sz="0" w:space="0" w:color="auto"/>
          </w:divBdr>
        </w:div>
        <w:div w:id="1271015281">
          <w:marLeft w:val="0"/>
          <w:marRight w:val="0"/>
          <w:marTop w:val="0"/>
          <w:marBottom w:val="0"/>
          <w:divBdr>
            <w:top w:val="none" w:sz="0" w:space="0" w:color="auto"/>
            <w:left w:val="none" w:sz="0" w:space="0" w:color="auto"/>
            <w:bottom w:val="none" w:sz="0" w:space="0" w:color="auto"/>
            <w:right w:val="none" w:sz="0" w:space="0" w:color="auto"/>
          </w:divBdr>
        </w:div>
        <w:div w:id="682777741">
          <w:marLeft w:val="0"/>
          <w:marRight w:val="0"/>
          <w:marTop w:val="0"/>
          <w:marBottom w:val="0"/>
          <w:divBdr>
            <w:top w:val="none" w:sz="0" w:space="0" w:color="auto"/>
            <w:left w:val="none" w:sz="0" w:space="0" w:color="auto"/>
            <w:bottom w:val="none" w:sz="0" w:space="0" w:color="auto"/>
            <w:right w:val="none" w:sz="0" w:space="0" w:color="auto"/>
          </w:divBdr>
        </w:div>
        <w:div w:id="1027297823">
          <w:marLeft w:val="0"/>
          <w:marRight w:val="0"/>
          <w:marTop w:val="0"/>
          <w:marBottom w:val="0"/>
          <w:divBdr>
            <w:top w:val="none" w:sz="0" w:space="0" w:color="auto"/>
            <w:left w:val="none" w:sz="0" w:space="0" w:color="auto"/>
            <w:bottom w:val="none" w:sz="0" w:space="0" w:color="auto"/>
            <w:right w:val="none" w:sz="0" w:space="0" w:color="auto"/>
          </w:divBdr>
        </w:div>
        <w:div w:id="2120835418">
          <w:marLeft w:val="0"/>
          <w:marRight w:val="0"/>
          <w:marTop w:val="0"/>
          <w:marBottom w:val="0"/>
          <w:divBdr>
            <w:top w:val="none" w:sz="0" w:space="0" w:color="auto"/>
            <w:left w:val="none" w:sz="0" w:space="0" w:color="auto"/>
            <w:bottom w:val="none" w:sz="0" w:space="0" w:color="auto"/>
            <w:right w:val="none" w:sz="0" w:space="0" w:color="auto"/>
          </w:divBdr>
        </w:div>
        <w:div w:id="1360088389">
          <w:marLeft w:val="0"/>
          <w:marRight w:val="0"/>
          <w:marTop w:val="0"/>
          <w:marBottom w:val="0"/>
          <w:divBdr>
            <w:top w:val="none" w:sz="0" w:space="0" w:color="auto"/>
            <w:left w:val="none" w:sz="0" w:space="0" w:color="auto"/>
            <w:bottom w:val="none" w:sz="0" w:space="0" w:color="auto"/>
            <w:right w:val="none" w:sz="0" w:space="0" w:color="auto"/>
          </w:divBdr>
        </w:div>
        <w:div w:id="1754625580">
          <w:marLeft w:val="0"/>
          <w:marRight w:val="0"/>
          <w:marTop w:val="0"/>
          <w:marBottom w:val="0"/>
          <w:divBdr>
            <w:top w:val="none" w:sz="0" w:space="0" w:color="auto"/>
            <w:left w:val="none" w:sz="0" w:space="0" w:color="auto"/>
            <w:bottom w:val="none" w:sz="0" w:space="0" w:color="auto"/>
            <w:right w:val="none" w:sz="0" w:space="0" w:color="auto"/>
          </w:divBdr>
        </w:div>
        <w:div w:id="736123391">
          <w:marLeft w:val="0"/>
          <w:marRight w:val="0"/>
          <w:marTop w:val="0"/>
          <w:marBottom w:val="0"/>
          <w:divBdr>
            <w:top w:val="none" w:sz="0" w:space="0" w:color="auto"/>
            <w:left w:val="none" w:sz="0" w:space="0" w:color="auto"/>
            <w:bottom w:val="none" w:sz="0" w:space="0" w:color="auto"/>
            <w:right w:val="none" w:sz="0" w:space="0" w:color="auto"/>
          </w:divBdr>
        </w:div>
        <w:div w:id="741634398">
          <w:marLeft w:val="0"/>
          <w:marRight w:val="0"/>
          <w:marTop w:val="0"/>
          <w:marBottom w:val="0"/>
          <w:divBdr>
            <w:top w:val="none" w:sz="0" w:space="0" w:color="auto"/>
            <w:left w:val="none" w:sz="0" w:space="0" w:color="auto"/>
            <w:bottom w:val="none" w:sz="0" w:space="0" w:color="auto"/>
            <w:right w:val="none" w:sz="0" w:space="0" w:color="auto"/>
          </w:divBdr>
        </w:div>
        <w:div w:id="1325662328">
          <w:marLeft w:val="0"/>
          <w:marRight w:val="0"/>
          <w:marTop w:val="0"/>
          <w:marBottom w:val="0"/>
          <w:divBdr>
            <w:top w:val="none" w:sz="0" w:space="0" w:color="auto"/>
            <w:left w:val="none" w:sz="0" w:space="0" w:color="auto"/>
            <w:bottom w:val="none" w:sz="0" w:space="0" w:color="auto"/>
            <w:right w:val="none" w:sz="0" w:space="0" w:color="auto"/>
          </w:divBdr>
        </w:div>
        <w:div w:id="29109426">
          <w:marLeft w:val="0"/>
          <w:marRight w:val="0"/>
          <w:marTop w:val="0"/>
          <w:marBottom w:val="0"/>
          <w:divBdr>
            <w:top w:val="none" w:sz="0" w:space="0" w:color="auto"/>
            <w:left w:val="none" w:sz="0" w:space="0" w:color="auto"/>
            <w:bottom w:val="none" w:sz="0" w:space="0" w:color="auto"/>
            <w:right w:val="none" w:sz="0" w:space="0" w:color="auto"/>
          </w:divBdr>
        </w:div>
        <w:div w:id="888421030">
          <w:marLeft w:val="0"/>
          <w:marRight w:val="0"/>
          <w:marTop w:val="0"/>
          <w:marBottom w:val="0"/>
          <w:divBdr>
            <w:top w:val="none" w:sz="0" w:space="0" w:color="auto"/>
            <w:left w:val="none" w:sz="0" w:space="0" w:color="auto"/>
            <w:bottom w:val="none" w:sz="0" w:space="0" w:color="auto"/>
            <w:right w:val="none" w:sz="0" w:space="0" w:color="auto"/>
          </w:divBdr>
        </w:div>
        <w:div w:id="426195910">
          <w:marLeft w:val="0"/>
          <w:marRight w:val="0"/>
          <w:marTop w:val="0"/>
          <w:marBottom w:val="0"/>
          <w:divBdr>
            <w:top w:val="none" w:sz="0" w:space="0" w:color="auto"/>
            <w:left w:val="none" w:sz="0" w:space="0" w:color="auto"/>
            <w:bottom w:val="none" w:sz="0" w:space="0" w:color="auto"/>
            <w:right w:val="none" w:sz="0" w:space="0" w:color="auto"/>
          </w:divBdr>
        </w:div>
        <w:div w:id="701322313">
          <w:marLeft w:val="0"/>
          <w:marRight w:val="0"/>
          <w:marTop w:val="0"/>
          <w:marBottom w:val="0"/>
          <w:divBdr>
            <w:top w:val="none" w:sz="0" w:space="0" w:color="auto"/>
            <w:left w:val="none" w:sz="0" w:space="0" w:color="auto"/>
            <w:bottom w:val="none" w:sz="0" w:space="0" w:color="auto"/>
            <w:right w:val="none" w:sz="0" w:space="0" w:color="auto"/>
          </w:divBdr>
        </w:div>
        <w:div w:id="433206999">
          <w:marLeft w:val="0"/>
          <w:marRight w:val="0"/>
          <w:marTop w:val="0"/>
          <w:marBottom w:val="0"/>
          <w:divBdr>
            <w:top w:val="none" w:sz="0" w:space="0" w:color="auto"/>
            <w:left w:val="none" w:sz="0" w:space="0" w:color="auto"/>
            <w:bottom w:val="none" w:sz="0" w:space="0" w:color="auto"/>
            <w:right w:val="none" w:sz="0" w:space="0" w:color="auto"/>
          </w:divBdr>
        </w:div>
        <w:div w:id="1865438825">
          <w:marLeft w:val="0"/>
          <w:marRight w:val="0"/>
          <w:marTop w:val="0"/>
          <w:marBottom w:val="0"/>
          <w:divBdr>
            <w:top w:val="none" w:sz="0" w:space="0" w:color="auto"/>
            <w:left w:val="none" w:sz="0" w:space="0" w:color="auto"/>
            <w:bottom w:val="none" w:sz="0" w:space="0" w:color="auto"/>
            <w:right w:val="none" w:sz="0" w:space="0" w:color="auto"/>
          </w:divBdr>
        </w:div>
        <w:div w:id="222720535">
          <w:marLeft w:val="0"/>
          <w:marRight w:val="0"/>
          <w:marTop w:val="0"/>
          <w:marBottom w:val="0"/>
          <w:divBdr>
            <w:top w:val="none" w:sz="0" w:space="0" w:color="auto"/>
            <w:left w:val="none" w:sz="0" w:space="0" w:color="auto"/>
            <w:bottom w:val="none" w:sz="0" w:space="0" w:color="auto"/>
            <w:right w:val="none" w:sz="0" w:space="0" w:color="auto"/>
          </w:divBdr>
        </w:div>
        <w:div w:id="1980258722">
          <w:marLeft w:val="0"/>
          <w:marRight w:val="0"/>
          <w:marTop w:val="0"/>
          <w:marBottom w:val="0"/>
          <w:divBdr>
            <w:top w:val="none" w:sz="0" w:space="0" w:color="auto"/>
            <w:left w:val="none" w:sz="0" w:space="0" w:color="auto"/>
            <w:bottom w:val="none" w:sz="0" w:space="0" w:color="auto"/>
            <w:right w:val="none" w:sz="0" w:space="0" w:color="auto"/>
          </w:divBdr>
        </w:div>
        <w:div w:id="1151823834">
          <w:marLeft w:val="0"/>
          <w:marRight w:val="0"/>
          <w:marTop w:val="0"/>
          <w:marBottom w:val="0"/>
          <w:divBdr>
            <w:top w:val="none" w:sz="0" w:space="0" w:color="auto"/>
            <w:left w:val="none" w:sz="0" w:space="0" w:color="auto"/>
            <w:bottom w:val="none" w:sz="0" w:space="0" w:color="auto"/>
            <w:right w:val="none" w:sz="0" w:space="0" w:color="auto"/>
          </w:divBdr>
        </w:div>
        <w:div w:id="541744127">
          <w:marLeft w:val="0"/>
          <w:marRight w:val="0"/>
          <w:marTop w:val="0"/>
          <w:marBottom w:val="0"/>
          <w:divBdr>
            <w:top w:val="none" w:sz="0" w:space="0" w:color="auto"/>
            <w:left w:val="none" w:sz="0" w:space="0" w:color="auto"/>
            <w:bottom w:val="none" w:sz="0" w:space="0" w:color="auto"/>
            <w:right w:val="none" w:sz="0" w:space="0" w:color="auto"/>
          </w:divBdr>
        </w:div>
        <w:div w:id="1744914315">
          <w:marLeft w:val="0"/>
          <w:marRight w:val="0"/>
          <w:marTop w:val="0"/>
          <w:marBottom w:val="0"/>
          <w:divBdr>
            <w:top w:val="none" w:sz="0" w:space="0" w:color="auto"/>
            <w:left w:val="none" w:sz="0" w:space="0" w:color="auto"/>
            <w:bottom w:val="none" w:sz="0" w:space="0" w:color="auto"/>
            <w:right w:val="none" w:sz="0" w:space="0" w:color="auto"/>
          </w:divBdr>
        </w:div>
        <w:div w:id="1080979370">
          <w:marLeft w:val="0"/>
          <w:marRight w:val="0"/>
          <w:marTop w:val="0"/>
          <w:marBottom w:val="0"/>
          <w:divBdr>
            <w:top w:val="none" w:sz="0" w:space="0" w:color="auto"/>
            <w:left w:val="none" w:sz="0" w:space="0" w:color="auto"/>
            <w:bottom w:val="none" w:sz="0" w:space="0" w:color="auto"/>
            <w:right w:val="none" w:sz="0" w:space="0" w:color="auto"/>
          </w:divBdr>
        </w:div>
        <w:div w:id="1760717878">
          <w:marLeft w:val="0"/>
          <w:marRight w:val="0"/>
          <w:marTop w:val="0"/>
          <w:marBottom w:val="0"/>
          <w:divBdr>
            <w:top w:val="none" w:sz="0" w:space="0" w:color="auto"/>
            <w:left w:val="none" w:sz="0" w:space="0" w:color="auto"/>
            <w:bottom w:val="none" w:sz="0" w:space="0" w:color="auto"/>
            <w:right w:val="none" w:sz="0" w:space="0" w:color="auto"/>
          </w:divBdr>
        </w:div>
        <w:div w:id="1765496405">
          <w:marLeft w:val="0"/>
          <w:marRight w:val="0"/>
          <w:marTop w:val="0"/>
          <w:marBottom w:val="0"/>
          <w:divBdr>
            <w:top w:val="none" w:sz="0" w:space="0" w:color="auto"/>
            <w:left w:val="none" w:sz="0" w:space="0" w:color="auto"/>
            <w:bottom w:val="none" w:sz="0" w:space="0" w:color="auto"/>
            <w:right w:val="none" w:sz="0" w:space="0" w:color="auto"/>
          </w:divBdr>
        </w:div>
        <w:div w:id="687297918">
          <w:marLeft w:val="0"/>
          <w:marRight w:val="0"/>
          <w:marTop w:val="0"/>
          <w:marBottom w:val="0"/>
          <w:divBdr>
            <w:top w:val="none" w:sz="0" w:space="0" w:color="auto"/>
            <w:left w:val="none" w:sz="0" w:space="0" w:color="auto"/>
            <w:bottom w:val="none" w:sz="0" w:space="0" w:color="auto"/>
            <w:right w:val="none" w:sz="0" w:space="0" w:color="auto"/>
          </w:divBdr>
        </w:div>
        <w:div w:id="1806463471">
          <w:marLeft w:val="0"/>
          <w:marRight w:val="0"/>
          <w:marTop w:val="0"/>
          <w:marBottom w:val="0"/>
          <w:divBdr>
            <w:top w:val="none" w:sz="0" w:space="0" w:color="auto"/>
            <w:left w:val="none" w:sz="0" w:space="0" w:color="auto"/>
            <w:bottom w:val="none" w:sz="0" w:space="0" w:color="auto"/>
            <w:right w:val="none" w:sz="0" w:space="0" w:color="auto"/>
          </w:divBdr>
        </w:div>
        <w:div w:id="2099977059">
          <w:marLeft w:val="0"/>
          <w:marRight w:val="0"/>
          <w:marTop w:val="0"/>
          <w:marBottom w:val="0"/>
          <w:divBdr>
            <w:top w:val="none" w:sz="0" w:space="0" w:color="auto"/>
            <w:left w:val="none" w:sz="0" w:space="0" w:color="auto"/>
            <w:bottom w:val="none" w:sz="0" w:space="0" w:color="auto"/>
            <w:right w:val="none" w:sz="0" w:space="0" w:color="auto"/>
          </w:divBdr>
        </w:div>
        <w:div w:id="1104568001">
          <w:marLeft w:val="0"/>
          <w:marRight w:val="0"/>
          <w:marTop w:val="0"/>
          <w:marBottom w:val="0"/>
          <w:divBdr>
            <w:top w:val="none" w:sz="0" w:space="0" w:color="auto"/>
            <w:left w:val="none" w:sz="0" w:space="0" w:color="auto"/>
            <w:bottom w:val="none" w:sz="0" w:space="0" w:color="auto"/>
            <w:right w:val="none" w:sz="0" w:space="0" w:color="auto"/>
          </w:divBdr>
        </w:div>
        <w:div w:id="986784450">
          <w:marLeft w:val="0"/>
          <w:marRight w:val="0"/>
          <w:marTop w:val="0"/>
          <w:marBottom w:val="0"/>
          <w:divBdr>
            <w:top w:val="none" w:sz="0" w:space="0" w:color="auto"/>
            <w:left w:val="none" w:sz="0" w:space="0" w:color="auto"/>
            <w:bottom w:val="none" w:sz="0" w:space="0" w:color="auto"/>
            <w:right w:val="none" w:sz="0" w:space="0" w:color="auto"/>
          </w:divBdr>
        </w:div>
        <w:div w:id="1887250756">
          <w:marLeft w:val="0"/>
          <w:marRight w:val="0"/>
          <w:marTop w:val="0"/>
          <w:marBottom w:val="0"/>
          <w:divBdr>
            <w:top w:val="none" w:sz="0" w:space="0" w:color="auto"/>
            <w:left w:val="none" w:sz="0" w:space="0" w:color="auto"/>
            <w:bottom w:val="none" w:sz="0" w:space="0" w:color="auto"/>
            <w:right w:val="none" w:sz="0" w:space="0" w:color="auto"/>
          </w:divBdr>
        </w:div>
        <w:div w:id="475150519">
          <w:marLeft w:val="0"/>
          <w:marRight w:val="0"/>
          <w:marTop w:val="0"/>
          <w:marBottom w:val="0"/>
          <w:divBdr>
            <w:top w:val="none" w:sz="0" w:space="0" w:color="auto"/>
            <w:left w:val="none" w:sz="0" w:space="0" w:color="auto"/>
            <w:bottom w:val="none" w:sz="0" w:space="0" w:color="auto"/>
            <w:right w:val="none" w:sz="0" w:space="0" w:color="auto"/>
          </w:divBdr>
        </w:div>
        <w:div w:id="1281184401">
          <w:marLeft w:val="0"/>
          <w:marRight w:val="0"/>
          <w:marTop w:val="0"/>
          <w:marBottom w:val="0"/>
          <w:divBdr>
            <w:top w:val="none" w:sz="0" w:space="0" w:color="auto"/>
            <w:left w:val="none" w:sz="0" w:space="0" w:color="auto"/>
            <w:bottom w:val="none" w:sz="0" w:space="0" w:color="auto"/>
            <w:right w:val="none" w:sz="0" w:space="0" w:color="auto"/>
          </w:divBdr>
        </w:div>
        <w:div w:id="438570447">
          <w:marLeft w:val="0"/>
          <w:marRight w:val="0"/>
          <w:marTop w:val="0"/>
          <w:marBottom w:val="0"/>
          <w:divBdr>
            <w:top w:val="none" w:sz="0" w:space="0" w:color="auto"/>
            <w:left w:val="none" w:sz="0" w:space="0" w:color="auto"/>
            <w:bottom w:val="none" w:sz="0" w:space="0" w:color="auto"/>
            <w:right w:val="none" w:sz="0" w:space="0" w:color="auto"/>
          </w:divBdr>
        </w:div>
        <w:div w:id="1523591456">
          <w:marLeft w:val="0"/>
          <w:marRight w:val="0"/>
          <w:marTop w:val="0"/>
          <w:marBottom w:val="0"/>
          <w:divBdr>
            <w:top w:val="none" w:sz="0" w:space="0" w:color="auto"/>
            <w:left w:val="none" w:sz="0" w:space="0" w:color="auto"/>
            <w:bottom w:val="none" w:sz="0" w:space="0" w:color="auto"/>
            <w:right w:val="none" w:sz="0" w:space="0" w:color="auto"/>
          </w:divBdr>
        </w:div>
        <w:div w:id="1451164257">
          <w:marLeft w:val="0"/>
          <w:marRight w:val="0"/>
          <w:marTop w:val="0"/>
          <w:marBottom w:val="0"/>
          <w:divBdr>
            <w:top w:val="none" w:sz="0" w:space="0" w:color="auto"/>
            <w:left w:val="none" w:sz="0" w:space="0" w:color="auto"/>
            <w:bottom w:val="none" w:sz="0" w:space="0" w:color="auto"/>
            <w:right w:val="none" w:sz="0" w:space="0" w:color="auto"/>
          </w:divBdr>
        </w:div>
        <w:div w:id="1010793934">
          <w:marLeft w:val="0"/>
          <w:marRight w:val="0"/>
          <w:marTop w:val="0"/>
          <w:marBottom w:val="0"/>
          <w:divBdr>
            <w:top w:val="none" w:sz="0" w:space="0" w:color="auto"/>
            <w:left w:val="none" w:sz="0" w:space="0" w:color="auto"/>
            <w:bottom w:val="none" w:sz="0" w:space="0" w:color="auto"/>
            <w:right w:val="none" w:sz="0" w:space="0" w:color="auto"/>
          </w:divBdr>
        </w:div>
        <w:div w:id="211485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39C1-3FE0-4A96-A94A-79B2EE10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5905</Words>
  <Characters>32865</Characters>
  <Application>Microsoft Office Word</Application>
  <DocSecurity>0</DocSecurity>
  <PresentationFormat/>
  <Lines>823</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Reply to DPL Memo Contra Motion to Dismiss 16395.DOCX</dc:title>
  <dc:subject>C0100178:2</dc:subject>
  <dc:creator>Debbie Ryan</dc:creator>
  <cp:keywords/>
  <dc:description/>
  <cp:lastModifiedBy>Debbie Ryan</cp:lastModifiedBy>
  <cp:revision>3</cp:revision>
  <cp:lastPrinted>2016-12-22T17:37:00Z</cp:lastPrinted>
  <dcterms:created xsi:type="dcterms:W3CDTF">2016-12-22T17:37:00Z</dcterms:created>
  <dcterms:modified xsi:type="dcterms:W3CDTF">2016-12-22T17:38:00Z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12/22/2016 11:27:17 AM</vt:lpwstr>
  </property>
</Properties>
</file>