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96468" w:rsidRPr="00C80BFE" w:rsidP="00496468" w14:paraId="086764E7" w14:textId="77777777">
      <w:pPr>
        <w:pStyle w:val="Title"/>
        <w:rPr>
          <w:sz w:val="24"/>
          <w:szCs w:val="24"/>
        </w:rPr>
      </w:pPr>
      <w:r w:rsidRPr="00C80BFE">
        <w:rPr>
          <w:sz w:val="24"/>
          <w:szCs w:val="24"/>
        </w:rPr>
        <w:t>BEFORE</w:t>
      </w:r>
    </w:p>
    <w:p w:rsidR="00496468" w:rsidRPr="00C80BFE" w:rsidP="00326C85" w14:paraId="0196A506" w14:textId="77777777">
      <w:pPr>
        <w:spacing w:after="0"/>
        <w:jc w:val="center"/>
        <w:rPr>
          <w:rFonts w:cs="Times New Roman"/>
          <w:b/>
          <w:szCs w:val="24"/>
        </w:rPr>
      </w:pPr>
      <w:r w:rsidRPr="00C80BFE">
        <w:rPr>
          <w:rFonts w:cs="Times New Roman"/>
          <w:b/>
          <w:szCs w:val="24"/>
        </w:rPr>
        <w:t>THE PUBLIC UTILITIES COMMISSION OF OHIO</w:t>
      </w:r>
    </w:p>
    <w:p w:rsidR="00496468" w:rsidRPr="00C80BFE" w:rsidP="00496468" w14:paraId="0B458603" w14:textId="77777777">
      <w:pPr>
        <w:pStyle w:val="HTMLPreformatted"/>
        <w:rPr>
          <w:rFonts w:ascii="Times New Roman" w:hAnsi="Times New Roman" w:cs="Times New Roman"/>
          <w:sz w:val="24"/>
          <w:szCs w:val="24"/>
        </w:rPr>
      </w:pPr>
    </w:p>
    <w:tbl>
      <w:tblPr>
        <w:tblW w:w="8820" w:type="dxa"/>
        <w:tblLook w:val="01E0"/>
      </w:tblPr>
      <w:tblGrid>
        <w:gridCol w:w="4829"/>
        <w:gridCol w:w="301"/>
        <w:gridCol w:w="3690"/>
      </w:tblGrid>
      <w:tr w14:paraId="74D0C0BF" w14:textId="77777777" w:rsidTr="00E16426">
        <w:tblPrEx>
          <w:tblW w:w="8820" w:type="dxa"/>
          <w:tblLook w:val="01E0"/>
        </w:tblPrEx>
        <w:trPr>
          <w:trHeight w:val="807"/>
        </w:trPr>
        <w:tc>
          <w:tcPr>
            <w:tcW w:w="4829" w:type="dxa"/>
            <w:shd w:val="clear" w:color="auto" w:fill="auto"/>
          </w:tcPr>
          <w:p w:rsidR="00496468" w:rsidRPr="00C80BFE" w:rsidP="003C37F4" w14:paraId="0532E8B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496468" w:rsidRPr="00C80BFE" w:rsidP="003C37F4" w14:paraId="0D16D910" w14:textId="77777777">
            <w:pPr>
              <w:pStyle w:val="HTMLPreformatted"/>
              <w:rPr>
                <w:rFonts w:ascii="Times New Roman" w:hAnsi="Times New Roman" w:cs="Times New Roman"/>
                <w:sz w:val="24"/>
                <w:szCs w:val="24"/>
              </w:rPr>
            </w:pPr>
          </w:p>
          <w:p w:rsidR="00496468" w:rsidRPr="00C80BFE" w:rsidP="003C37F4" w14:paraId="40920075"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an Alternative Form of Regulation.</w:t>
            </w:r>
          </w:p>
          <w:p w:rsidR="00496468" w:rsidRPr="00C80BFE" w:rsidP="003C37F4" w14:paraId="3C286F32" w14:textId="77777777">
            <w:pPr>
              <w:pStyle w:val="HTMLPreformatted"/>
              <w:rPr>
                <w:rFonts w:ascii="Times New Roman" w:hAnsi="Times New Roman" w:cs="Times New Roman"/>
                <w:sz w:val="24"/>
                <w:szCs w:val="24"/>
              </w:rPr>
            </w:pPr>
          </w:p>
          <w:p w:rsidR="00496468" w:rsidRPr="00C80BFE" w:rsidP="003C37F4" w14:paraId="763E957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496468" w:rsidRPr="00C80BFE" w:rsidP="003C37F4" w14:paraId="59FA1C27" w14:textId="77777777">
            <w:pPr>
              <w:pStyle w:val="HTMLPreformatted"/>
              <w:rPr>
                <w:rFonts w:ascii="Times New Roman" w:hAnsi="Times New Roman" w:cs="Times New Roman"/>
                <w:sz w:val="24"/>
                <w:szCs w:val="24"/>
              </w:rPr>
            </w:pPr>
          </w:p>
          <w:p w:rsidR="00496468" w:rsidRPr="00C80BFE" w:rsidP="003C37F4" w14:paraId="6B16D71C"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to Change Accounting Methods.</w:t>
            </w:r>
          </w:p>
        </w:tc>
        <w:tc>
          <w:tcPr>
            <w:tcW w:w="301" w:type="dxa"/>
            <w:shd w:val="clear" w:color="auto" w:fill="auto"/>
          </w:tcPr>
          <w:p w:rsidR="00496468" w:rsidRPr="00C80BFE" w:rsidP="003C37F4" w14:paraId="6647504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8E048A7"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F500EB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5C589D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7646F6F7" w14:textId="77777777">
            <w:pPr>
              <w:pStyle w:val="HTMLPreformatted"/>
              <w:rPr>
                <w:rFonts w:ascii="Times New Roman" w:hAnsi="Times New Roman" w:cs="Times New Roman"/>
                <w:sz w:val="24"/>
                <w:szCs w:val="24"/>
              </w:rPr>
            </w:pPr>
          </w:p>
          <w:p w:rsidR="00496468" w:rsidRPr="00C80BFE" w:rsidP="003C37F4" w14:paraId="1B7D627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436FEB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CD78981"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3C2E278" w14:textId="77777777">
            <w:pPr>
              <w:pStyle w:val="HTMLPreformatted"/>
              <w:rPr>
                <w:rFonts w:ascii="Times New Roman" w:hAnsi="Times New Roman" w:cs="Times New Roman"/>
                <w:sz w:val="24"/>
                <w:szCs w:val="24"/>
              </w:rPr>
            </w:pPr>
          </w:p>
          <w:p w:rsidR="00496468" w:rsidRPr="00C80BFE" w:rsidP="003C37F4" w14:paraId="5676EFC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BDAA65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7E2C8F7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0E8931C9"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17C1512C" w14:textId="77777777">
            <w:pPr>
              <w:pStyle w:val="HTMLPreformatted"/>
              <w:rPr>
                <w:rFonts w:ascii="Times New Roman" w:hAnsi="Times New Roman" w:cs="Times New Roman"/>
                <w:sz w:val="24"/>
                <w:szCs w:val="24"/>
              </w:rPr>
            </w:pPr>
          </w:p>
          <w:p w:rsidR="00496468" w:rsidRPr="00C80BFE" w:rsidP="003C37F4" w14:paraId="6E53C4B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1EAFC355"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7E555BD"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tc>
        <w:tc>
          <w:tcPr>
            <w:tcW w:w="3690" w:type="dxa"/>
            <w:shd w:val="clear" w:color="auto" w:fill="auto"/>
          </w:tcPr>
          <w:p w:rsidR="00496468" w:rsidRPr="00C80BFE" w:rsidP="003C37F4" w14:paraId="3AA3DF4F"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21-637-GA-AIR</w:t>
            </w:r>
          </w:p>
          <w:p w:rsidR="00496468" w:rsidRPr="00C80BFE" w:rsidP="003C37F4" w14:paraId="3BBAB3D7" w14:textId="77777777">
            <w:pPr>
              <w:pStyle w:val="HTMLPreformatted"/>
              <w:rPr>
                <w:rFonts w:ascii="Times New Roman" w:hAnsi="Times New Roman" w:cs="Times New Roman"/>
                <w:sz w:val="24"/>
                <w:szCs w:val="24"/>
              </w:rPr>
            </w:pPr>
          </w:p>
          <w:p w:rsidR="00496468" w:rsidRPr="00C80BFE" w:rsidP="003C37F4" w14:paraId="5D05CE1B" w14:textId="2F52E554">
            <w:pPr>
              <w:pStyle w:val="HTMLPreformatted"/>
              <w:rPr>
                <w:rFonts w:ascii="Times New Roman" w:hAnsi="Times New Roman" w:cs="Times New Roman"/>
                <w:sz w:val="24"/>
                <w:szCs w:val="24"/>
              </w:rPr>
            </w:pPr>
          </w:p>
          <w:p w:rsidR="00E16426" w:rsidRPr="00C80BFE" w:rsidP="003C37F4" w14:paraId="1A34A1F5" w14:textId="7035F0B1">
            <w:pPr>
              <w:pStyle w:val="HTMLPreformatted"/>
              <w:rPr>
                <w:rFonts w:ascii="Times New Roman" w:hAnsi="Times New Roman" w:cs="Times New Roman"/>
                <w:sz w:val="24"/>
                <w:szCs w:val="24"/>
              </w:rPr>
            </w:pPr>
          </w:p>
          <w:p w:rsidR="00E16426" w:rsidRPr="00C80BFE" w:rsidP="003C37F4" w14:paraId="605FBB72" w14:textId="77777777">
            <w:pPr>
              <w:pStyle w:val="HTMLPreformatted"/>
              <w:rPr>
                <w:rFonts w:ascii="Times New Roman" w:hAnsi="Times New Roman" w:cs="Times New Roman"/>
                <w:sz w:val="24"/>
                <w:szCs w:val="24"/>
              </w:rPr>
            </w:pPr>
          </w:p>
          <w:p w:rsidR="00496468" w:rsidRPr="00C80BFE" w:rsidP="003C37F4" w14:paraId="42C0C5D7"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21-638-GA-ALT</w:t>
            </w:r>
          </w:p>
          <w:p w:rsidR="00496468" w:rsidRPr="00C80BFE" w:rsidP="003C37F4" w14:paraId="78728F63" w14:textId="31A80443">
            <w:pPr>
              <w:pStyle w:val="HTMLPreformatted"/>
              <w:rPr>
                <w:rFonts w:ascii="Times New Roman" w:hAnsi="Times New Roman" w:cs="Times New Roman"/>
                <w:sz w:val="24"/>
                <w:szCs w:val="24"/>
              </w:rPr>
            </w:pPr>
          </w:p>
          <w:p w:rsidR="00E16426" w:rsidRPr="00C80BFE" w:rsidP="003C37F4" w14:paraId="15B85E67" w14:textId="5D0A43A6">
            <w:pPr>
              <w:pStyle w:val="HTMLPreformatted"/>
              <w:rPr>
                <w:rFonts w:ascii="Times New Roman" w:hAnsi="Times New Roman" w:cs="Times New Roman"/>
                <w:sz w:val="24"/>
                <w:szCs w:val="24"/>
              </w:rPr>
            </w:pPr>
          </w:p>
          <w:p w:rsidR="00E16426" w:rsidRPr="00C80BFE" w:rsidP="003C37F4" w14:paraId="6DD213EA" w14:textId="77777777">
            <w:pPr>
              <w:pStyle w:val="HTMLPreformatted"/>
              <w:rPr>
                <w:rFonts w:ascii="Times New Roman" w:hAnsi="Times New Roman" w:cs="Times New Roman"/>
                <w:sz w:val="24"/>
                <w:szCs w:val="24"/>
              </w:rPr>
            </w:pPr>
          </w:p>
          <w:p w:rsidR="00496468" w:rsidRPr="00C80BFE" w:rsidP="003C37F4" w14:paraId="49058ADA"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21-639-GA-UNC</w:t>
            </w:r>
          </w:p>
          <w:p w:rsidR="00496468" w:rsidRPr="00C80BFE" w:rsidP="003C37F4" w14:paraId="74ACA0AA" w14:textId="0825A04D">
            <w:pPr>
              <w:pStyle w:val="HTMLPreformatted"/>
              <w:rPr>
                <w:rFonts w:ascii="Times New Roman" w:hAnsi="Times New Roman" w:cs="Times New Roman"/>
                <w:sz w:val="24"/>
                <w:szCs w:val="24"/>
              </w:rPr>
            </w:pPr>
          </w:p>
          <w:p w:rsidR="00E16426" w:rsidRPr="00C80BFE" w:rsidP="003C37F4" w14:paraId="268350DD" w14:textId="16C1EC2E">
            <w:pPr>
              <w:pStyle w:val="HTMLPreformatted"/>
              <w:rPr>
                <w:rFonts w:ascii="Times New Roman" w:hAnsi="Times New Roman" w:cs="Times New Roman"/>
                <w:sz w:val="24"/>
                <w:szCs w:val="24"/>
              </w:rPr>
            </w:pPr>
          </w:p>
          <w:p w:rsidR="00E16426" w:rsidRPr="00C80BFE" w:rsidP="003C37F4" w14:paraId="288E558A" w14:textId="777444C7">
            <w:pPr>
              <w:pStyle w:val="HTMLPreformatted"/>
              <w:rPr>
                <w:rFonts w:ascii="Times New Roman" w:hAnsi="Times New Roman" w:cs="Times New Roman"/>
                <w:sz w:val="24"/>
                <w:szCs w:val="24"/>
              </w:rPr>
            </w:pPr>
          </w:p>
          <w:p w:rsidR="00E16426" w:rsidRPr="00C80BFE" w:rsidP="003C37F4" w14:paraId="427F8898" w14:textId="77777777">
            <w:pPr>
              <w:pStyle w:val="HTMLPreformatted"/>
              <w:rPr>
                <w:rFonts w:ascii="Times New Roman" w:hAnsi="Times New Roman" w:cs="Times New Roman"/>
                <w:sz w:val="24"/>
                <w:szCs w:val="24"/>
              </w:rPr>
            </w:pPr>
          </w:p>
          <w:p w:rsidR="00496468" w:rsidRPr="00C80BFE" w:rsidP="003C37F4" w14:paraId="50FC339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21-640-GA-AAM</w:t>
            </w:r>
          </w:p>
          <w:p w:rsidR="00496468" w:rsidRPr="00C80BFE" w:rsidP="003C37F4" w14:paraId="76534D7E" w14:textId="77777777">
            <w:pPr>
              <w:pStyle w:val="HTMLPreformatted"/>
              <w:rPr>
                <w:rFonts w:ascii="Times New Roman" w:hAnsi="Times New Roman" w:cs="Times New Roman"/>
                <w:sz w:val="24"/>
                <w:szCs w:val="24"/>
              </w:rPr>
            </w:pPr>
          </w:p>
        </w:tc>
      </w:tr>
    </w:tbl>
    <w:p w:rsidR="00496468" w:rsidRPr="00C80BFE" w:rsidP="00E16426" w14:paraId="077F67D6" w14:textId="77777777">
      <w:pPr>
        <w:spacing w:after="0"/>
        <w:rPr>
          <w:rFonts w:cs="Times New Roman"/>
          <w:szCs w:val="24"/>
        </w:rPr>
      </w:pPr>
    </w:p>
    <w:p w:rsidR="00496468" w:rsidRPr="00C80BFE" w:rsidP="00E16426" w14:paraId="3DBF2760" w14:textId="77777777">
      <w:pPr>
        <w:pBdr>
          <w:top w:val="single" w:sz="12" w:space="1" w:color="auto"/>
        </w:pBdr>
        <w:spacing w:after="0" w:line="240" w:lineRule="auto"/>
        <w:rPr>
          <w:rFonts w:cs="Times New Roman"/>
          <w:szCs w:val="24"/>
        </w:rPr>
      </w:pPr>
    </w:p>
    <w:p w:rsidR="00496468" w:rsidRPr="00C80BFE" w:rsidP="00496468" w14:paraId="69567546" w14:textId="7F0E4196">
      <w:pPr>
        <w:spacing w:after="0"/>
        <w:jc w:val="center"/>
        <w:rPr>
          <w:rFonts w:cs="Times New Roman"/>
          <w:b/>
          <w:szCs w:val="24"/>
        </w:rPr>
      </w:pPr>
      <w:r w:rsidRPr="00C80BFE">
        <w:rPr>
          <w:rFonts w:cs="Times New Roman"/>
          <w:b/>
          <w:szCs w:val="24"/>
        </w:rPr>
        <w:t>REPLY</w:t>
      </w:r>
      <w:r w:rsidRPr="00C80BFE">
        <w:rPr>
          <w:rFonts w:cs="Times New Roman"/>
          <w:b/>
          <w:szCs w:val="24"/>
        </w:rPr>
        <w:t xml:space="preserve"> BRIEF</w:t>
      </w:r>
    </w:p>
    <w:p w:rsidR="00496468" w:rsidRPr="00C80BFE" w:rsidP="00496468" w14:paraId="34DDF1BF" w14:textId="77777777">
      <w:pPr>
        <w:spacing w:after="0"/>
        <w:jc w:val="center"/>
        <w:rPr>
          <w:rFonts w:cs="Times New Roman"/>
          <w:b/>
          <w:szCs w:val="24"/>
        </w:rPr>
      </w:pPr>
      <w:r w:rsidRPr="00C80BFE">
        <w:rPr>
          <w:rFonts w:cs="Times New Roman"/>
          <w:b/>
          <w:szCs w:val="24"/>
        </w:rPr>
        <w:t>BY</w:t>
      </w:r>
    </w:p>
    <w:p w:rsidR="00496468" w:rsidRPr="00C80BFE" w:rsidP="00496468" w14:paraId="418FF4C5" w14:textId="77777777">
      <w:pPr>
        <w:spacing w:after="0"/>
        <w:jc w:val="center"/>
        <w:rPr>
          <w:rFonts w:cs="Times New Roman"/>
          <w:b/>
          <w:szCs w:val="24"/>
        </w:rPr>
      </w:pPr>
      <w:r w:rsidRPr="00C80BFE">
        <w:rPr>
          <w:rFonts w:cs="Times New Roman"/>
          <w:b/>
          <w:szCs w:val="24"/>
        </w:rPr>
        <w:t>OFFICE OF THE OHIO CONSUMERS’ COUNSEL</w:t>
      </w:r>
    </w:p>
    <w:p w:rsidR="00496468" w:rsidRPr="00C80BFE" w:rsidP="00496468" w14:paraId="4AADEEE0" w14:textId="77777777">
      <w:pPr>
        <w:pBdr>
          <w:bottom w:val="single" w:sz="12" w:space="1" w:color="auto"/>
        </w:pBdr>
        <w:rPr>
          <w:rFonts w:cs="Times New Roman"/>
          <w:szCs w:val="24"/>
        </w:rPr>
      </w:pPr>
    </w:p>
    <w:p w:rsidR="00326C85" w:rsidRPr="00C80BFE" w:rsidP="00326C85" w14:paraId="41700742" w14:textId="77777777">
      <w:pPr>
        <w:tabs>
          <w:tab w:val="right" w:pos="8640"/>
        </w:tabs>
        <w:spacing w:after="0" w:line="240" w:lineRule="auto"/>
        <w:ind w:left="4320"/>
        <w:rPr>
          <w:rFonts w:cs="Times New Roman"/>
          <w:szCs w:val="24"/>
        </w:rPr>
      </w:pPr>
      <w:r w:rsidRPr="00C80BFE">
        <w:rPr>
          <w:rFonts w:cs="Times New Roman"/>
          <w:szCs w:val="24"/>
        </w:rPr>
        <w:t>Bruce Weston (0016973)</w:t>
      </w:r>
    </w:p>
    <w:p w:rsidR="00326C85" w:rsidRPr="00C80BFE" w:rsidP="00326C85" w14:paraId="01D339FC" w14:textId="77777777">
      <w:pPr>
        <w:spacing w:after="0" w:line="240" w:lineRule="auto"/>
        <w:ind w:left="4320"/>
        <w:contextualSpacing/>
        <w:rPr>
          <w:rFonts w:eastAsia="Calibri" w:cs="Times New Roman"/>
          <w:szCs w:val="24"/>
        </w:rPr>
      </w:pPr>
      <w:r w:rsidRPr="00C80BFE">
        <w:rPr>
          <w:rFonts w:eastAsia="Calibri" w:cs="Times New Roman"/>
          <w:szCs w:val="24"/>
        </w:rPr>
        <w:t>Ohio Consumers’ Counsel</w:t>
      </w:r>
    </w:p>
    <w:p w:rsidR="00326C85" w:rsidRPr="00C80BFE" w:rsidP="00326C85" w14:paraId="1F642535" w14:textId="77777777">
      <w:pPr>
        <w:spacing w:after="0" w:line="240" w:lineRule="auto"/>
        <w:ind w:left="4320"/>
        <w:contextualSpacing/>
        <w:rPr>
          <w:rFonts w:eastAsia="Calibri" w:cs="Times New Roman"/>
          <w:szCs w:val="24"/>
        </w:rPr>
      </w:pPr>
    </w:p>
    <w:p w:rsidR="00326C85" w:rsidRPr="00C80BFE" w:rsidP="00326C85" w14:paraId="336DFE8A" w14:textId="77777777">
      <w:pPr>
        <w:spacing w:after="0" w:line="240" w:lineRule="auto"/>
        <w:ind w:left="4320"/>
        <w:rPr>
          <w:rFonts w:cs="Times New Roman"/>
          <w:szCs w:val="24"/>
        </w:rPr>
      </w:pPr>
      <w:r w:rsidRPr="00C80BFE">
        <w:rPr>
          <w:rFonts w:cs="Times New Roman"/>
          <w:szCs w:val="24"/>
        </w:rPr>
        <w:t>Angela D. O’Brien (0097579)</w:t>
      </w:r>
    </w:p>
    <w:p w:rsidR="00326C85" w:rsidRPr="00C80BFE" w:rsidP="00326C85" w14:paraId="1DCABD91" w14:textId="77777777">
      <w:pPr>
        <w:spacing w:after="0" w:line="240" w:lineRule="auto"/>
        <w:ind w:left="4320"/>
        <w:rPr>
          <w:rFonts w:cs="Times New Roman"/>
          <w:szCs w:val="24"/>
        </w:rPr>
      </w:pPr>
      <w:r w:rsidRPr="00C80BFE">
        <w:rPr>
          <w:rFonts w:cs="Times New Roman"/>
          <w:szCs w:val="24"/>
        </w:rPr>
        <w:t xml:space="preserve">Counsel of Record </w:t>
      </w:r>
    </w:p>
    <w:p w:rsidR="00326C85" w:rsidRPr="00C80BFE" w:rsidP="00326C85" w14:paraId="05D71775" w14:textId="77777777">
      <w:pPr>
        <w:tabs>
          <w:tab w:val="left" w:pos="4320"/>
        </w:tabs>
        <w:spacing w:after="0" w:line="240" w:lineRule="auto"/>
        <w:ind w:left="4320"/>
        <w:rPr>
          <w:rFonts w:cs="Times New Roman"/>
          <w:szCs w:val="24"/>
        </w:rPr>
      </w:pPr>
      <w:r w:rsidRPr="00C80BFE">
        <w:rPr>
          <w:rFonts w:cs="Times New Roman"/>
          <w:szCs w:val="24"/>
        </w:rPr>
        <w:t>William J. Michael (0070921)</w:t>
      </w:r>
    </w:p>
    <w:p w:rsidR="00326C85" w:rsidRPr="00C80BFE" w:rsidP="00326C85" w14:paraId="27AB8453" w14:textId="77777777">
      <w:pPr>
        <w:tabs>
          <w:tab w:val="left" w:pos="4320"/>
        </w:tabs>
        <w:spacing w:after="0" w:line="240" w:lineRule="auto"/>
        <w:ind w:left="4320"/>
        <w:rPr>
          <w:rFonts w:cs="Times New Roman"/>
          <w:szCs w:val="24"/>
        </w:rPr>
      </w:pPr>
      <w:r w:rsidRPr="00C80BFE">
        <w:rPr>
          <w:rFonts w:cs="Times New Roman"/>
          <w:szCs w:val="24"/>
        </w:rPr>
        <w:t>Connor D. Semple (0101102)</w:t>
      </w:r>
    </w:p>
    <w:p w:rsidR="00326C85" w:rsidRPr="00C80BFE" w:rsidP="00326C85" w14:paraId="7A002D0E" w14:textId="02CB99C2">
      <w:pPr>
        <w:spacing w:after="0" w:line="240" w:lineRule="auto"/>
        <w:ind w:left="4320"/>
        <w:rPr>
          <w:rFonts w:cs="Times New Roman"/>
          <w:szCs w:val="24"/>
        </w:rPr>
      </w:pPr>
      <w:r w:rsidRPr="00C80BFE">
        <w:rPr>
          <w:rFonts w:cs="Times New Roman"/>
          <w:szCs w:val="24"/>
        </w:rPr>
        <w:t>Assistant Consumers’ Counsel</w:t>
      </w:r>
    </w:p>
    <w:p w:rsidR="00326C85" w:rsidRPr="00C80BFE" w:rsidP="00326C85" w14:paraId="2A224404" w14:textId="77777777">
      <w:pPr>
        <w:spacing w:after="0" w:line="240" w:lineRule="auto"/>
        <w:ind w:left="4320"/>
        <w:rPr>
          <w:rFonts w:cs="Times New Roman"/>
          <w:b/>
          <w:szCs w:val="24"/>
        </w:rPr>
      </w:pPr>
      <w:r w:rsidRPr="00C80BFE">
        <w:rPr>
          <w:rFonts w:cs="Times New Roman"/>
          <w:b/>
          <w:szCs w:val="24"/>
        </w:rPr>
        <w:t>Office of the Ohio Consumers’ Counsel</w:t>
      </w:r>
    </w:p>
    <w:p w:rsidR="00326C85" w:rsidRPr="00C80BFE" w:rsidP="00326C85" w14:paraId="7F9813CF" w14:textId="77777777">
      <w:pPr>
        <w:spacing w:after="0" w:line="240" w:lineRule="auto"/>
        <w:ind w:left="4320"/>
        <w:rPr>
          <w:rFonts w:cs="Times New Roman"/>
          <w:szCs w:val="24"/>
        </w:rPr>
      </w:pPr>
      <w:r w:rsidRPr="00C80BFE">
        <w:rPr>
          <w:rFonts w:cs="Times New Roman"/>
          <w:szCs w:val="24"/>
        </w:rPr>
        <w:t>65 East State Street, Suite 700</w:t>
      </w:r>
    </w:p>
    <w:p w:rsidR="00326C85" w:rsidRPr="00C80BFE" w:rsidP="00326C85" w14:paraId="083CDB8C" w14:textId="77777777">
      <w:pPr>
        <w:spacing w:after="0" w:line="240" w:lineRule="auto"/>
        <w:ind w:left="4320"/>
        <w:rPr>
          <w:rFonts w:cs="Times New Roman"/>
          <w:szCs w:val="24"/>
        </w:rPr>
      </w:pPr>
      <w:r w:rsidRPr="00C80BFE">
        <w:rPr>
          <w:rFonts w:cs="Times New Roman"/>
          <w:szCs w:val="24"/>
        </w:rPr>
        <w:t>Columbus, Ohio 43215</w:t>
      </w:r>
    </w:p>
    <w:p w:rsidR="00326C85" w:rsidRPr="00C80BFE" w:rsidP="00326C85" w14:paraId="21BF3A57" w14:textId="77777777">
      <w:pPr>
        <w:spacing w:after="0" w:line="240" w:lineRule="auto"/>
        <w:ind w:left="4320"/>
        <w:rPr>
          <w:rFonts w:cs="Times New Roman"/>
          <w:szCs w:val="24"/>
        </w:rPr>
      </w:pPr>
      <w:r w:rsidRPr="00C80BFE">
        <w:rPr>
          <w:rFonts w:cs="Times New Roman"/>
          <w:color w:val="000000"/>
          <w:szCs w:val="24"/>
        </w:rPr>
        <w:t>Telephone [O’Brien]: (614) 499-9531</w:t>
      </w:r>
      <w:r w:rsidRPr="00C80BFE">
        <w:rPr>
          <w:rFonts w:cs="Times New Roman"/>
          <w:szCs w:val="24"/>
        </w:rPr>
        <w:tab/>
      </w:r>
    </w:p>
    <w:p w:rsidR="00326C85" w:rsidRPr="00C80BFE" w:rsidP="00326C85" w14:paraId="402DE316" w14:textId="77777777">
      <w:pPr>
        <w:spacing w:after="0" w:line="240" w:lineRule="auto"/>
        <w:ind w:left="4320"/>
        <w:rPr>
          <w:rFonts w:cs="Times New Roman"/>
          <w:color w:val="000000"/>
          <w:szCs w:val="24"/>
        </w:rPr>
      </w:pPr>
      <w:r w:rsidRPr="00C80BFE">
        <w:rPr>
          <w:rFonts w:cs="Times New Roman"/>
          <w:szCs w:val="24"/>
        </w:rPr>
        <w:t>Telephone [Michael]: (</w:t>
      </w:r>
      <w:r w:rsidRPr="00C80BFE">
        <w:rPr>
          <w:rFonts w:cs="Times New Roman"/>
          <w:color w:val="000000"/>
          <w:szCs w:val="24"/>
        </w:rPr>
        <w:t>614) 466-1291</w:t>
      </w:r>
    </w:p>
    <w:p w:rsidR="00326C85" w:rsidRPr="00C80BFE" w:rsidP="00326C85" w14:paraId="3B6DA7C5" w14:textId="77777777">
      <w:pPr>
        <w:spacing w:after="0" w:line="240" w:lineRule="auto"/>
        <w:ind w:left="4320"/>
        <w:rPr>
          <w:rFonts w:cs="Times New Roman"/>
          <w:color w:val="000000"/>
          <w:szCs w:val="24"/>
        </w:rPr>
      </w:pPr>
      <w:r w:rsidRPr="00C80BFE">
        <w:rPr>
          <w:rFonts w:cs="Times New Roman"/>
          <w:color w:val="000000"/>
          <w:szCs w:val="24"/>
        </w:rPr>
        <w:t>Telephone [Semple]:</w:t>
      </w:r>
      <w:r w:rsidRPr="00C80BFE">
        <w:rPr>
          <w:rFonts w:cs="Times New Roman"/>
          <w:color w:val="000000"/>
          <w:szCs w:val="24"/>
        </w:rPr>
        <w:tab/>
        <w:t>(614) 466-9565</w:t>
      </w:r>
    </w:p>
    <w:p w:rsidR="00326C85" w:rsidRPr="00C80BFE" w:rsidP="00326C85" w14:paraId="78CA162B" w14:textId="77777777">
      <w:pPr>
        <w:spacing w:after="0" w:line="240" w:lineRule="auto"/>
        <w:ind w:left="4320"/>
        <w:rPr>
          <w:rFonts w:cs="Times New Roman"/>
          <w:szCs w:val="24"/>
        </w:rPr>
      </w:pPr>
      <w:hyperlink r:id="rId6" w:history="1">
        <w:r w:rsidRPr="00C80BFE">
          <w:rPr>
            <w:rStyle w:val="Hyperlink"/>
            <w:rFonts w:cs="Times New Roman"/>
            <w:szCs w:val="24"/>
          </w:rPr>
          <w:t>angela.obrien@occ.ohio.gov</w:t>
        </w:r>
      </w:hyperlink>
    </w:p>
    <w:p w:rsidR="00326C85" w:rsidRPr="00C80BFE" w:rsidP="00326C85" w14:paraId="7BC15525" w14:textId="77777777">
      <w:pPr>
        <w:spacing w:after="0" w:line="240" w:lineRule="auto"/>
        <w:ind w:left="4320"/>
        <w:rPr>
          <w:rStyle w:val="Hyperlink"/>
          <w:rFonts w:eastAsia="Courier New" w:cs="Times New Roman"/>
          <w:szCs w:val="24"/>
        </w:rPr>
      </w:pPr>
      <w:hyperlink r:id="rId7" w:history="1">
        <w:r w:rsidRPr="00C80BFE">
          <w:rPr>
            <w:rStyle w:val="Hyperlink"/>
            <w:rFonts w:eastAsia="Courier New" w:cs="Times New Roman"/>
            <w:szCs w:val="24"/>
          </w:rPr>
          <w:t>william.michael@occ.ohio.gov</w:t>
        </w:r>
      </w:hyperlink>
    </w:p>
    <w:p w:rsidR="00326C85" w:rsidRPr="00C80BFE" w:rsidP="00326C85" w14:paraId="42EC7170" w14:textId="77777777">
      <w:pPr>
        <w:spacing w:after="0" w:line="240" w:lineRule="auto"/>
        <w:ind w:left="4320"/>
        <w:rPr>
          <w:rFonts w:eastAsia="Courier New" w:cs="Times New Roman"/>
          <w:szCs w:val="24"/>
        </w:rPr>
      </w:pPr>
      <w:r w:rsidRPr="00C80BFE">
        <w:rPr>
          <w:rStyle w:val="Hyperlink"/>
          <w:rFonts w:eastAsia="Courier New" w:cs="Times New Roman"/>
          <w:szCs w:val="24"/>
        </w:rPr>
        <w:t>connor.semple@occ.ohio.gov</w:t>
      </w:r>
    </w:p>
    <w:p w:rsidR="00746981" w:rsidRPr="00C80BFE" w:rsidP="00E16426" w14:paraId="3C5B4CB2" w14:textId="7EAE3007">
      <w:pPr>
        <w:spacing w:after="0" w:line="240" w:lineRule="auto"/>
        <w:rPr>
          <w:rFonts w:cs="Times New Roman"/>
          <w:bCs/>
          <w:szCs w:val="24"/>
        </w:rPr>
      </w:pPr>
      <w:r w:rsidRPr="00C80BFE">
        <w:rPr>
          <w:rFonts w:cs="Times New Roman"/>
          <w:szCs w:val="24"/>
        </w:rPr>
        <w:t xml:space="preserve">December </w:t>
      </w:r>
      <w:r w:rsidRPr="00C80BFE" w:rsidR="00750821">
        <w:rPr>
          <w:rFonts w:cs="Times New Roman"/>
          <w:szCs w:val="24"/>
        </w:rPr>
        <w:t>2</w:t>
      </w:r>
      <w:r w:rsidRPr="00C80BFE" w:rsidR="00E96C6B">
        <w:rPr>
          <w:rFonts w:cs="Times New Roman"/>
          <w:szCs w:val="24"/>
        </w:rPr>
        <w:t>7</w:t>
      </w:r>
      <w:r w:rsidRPr="00C80BFE" w:rsidR="00350FE0">
        <w:rPr>
          <w:rFonts w:cs="Times New Roman"/>
          <w:szCs w:val="24"/>
        </w:rPr>
        <w:t>,</w:t>
      </w:r>
      <w:r w:rsidRPr="00C80BFE">
        <w:rPr>
          <w:rFonts w:cs="Times New Roman"/>
          <w:szCs w:val="24"/>
        </w:rPr>
        <w:t xml:space="preserve"> 2022</w:t>
      </w:r>
      <w:r w:rsidRPr="00C80BFE">
        <w:rPr>
          <w:rFonts w:cs="Times New Roman"/>
          <w:szCs w:val="24"/>
        </w:rPr>
        <w:tab/>
      </w:r>
      <w:r w:rsidRPr="00C80BFE">
        <w:rPr>
          <w:rFonts w:cs="Times New Roman"/>
          <w:szCs w:val="24"/>
        </w:rPr>
        <w:tab/>
      </w:r>
      <w:r w:rsidRPr="00C80BFE">
        <w:rPr>
          <w:rFonts w:cs="Times New Roman"/>
          <w:szCs w:val="24"/>
        </w:rPr>
        <w:tab/>
      </w:r>
      <w:r w:rsidRPr="00C80BFE">
        <w:rPr>
          <w:rFonts w:cs="Times New Roman"/>
          <w:szCs w:val="24"/>
        </w:rPr>
        <w:tab/>
        <w:t>(willing to accept service by e-mail)</w:t>
      </w:r>
    </w:p>
    <w:p w:rsidR="00746981" w:rsidRPr="00C80BFE" w:rsidP="000C76D8" w14:paraId="542D8BEA" w14:textId="77777777">
      <w:pPr>
        <w:spacing w:after="0" w:line="240" w:lineRule="auto"/>
        <w:jc w:val="center"/>
        <w:rPr>
          <w:rFonts w:cs="Times New Roman"/>
          <w:bCs/>
          <w:szCs w:val="24"/>
        </w:rPr>
        <w:sectPr w:rsidSect="009B419A">
          <w:footerReference w:type="default" r:id="rId8"/>
          <w:pgSz w:w="12240" w:h="15840"/>
          <w:pgMar w:top="1440" w:right="1800" w:bottom="1440" w:left="1800" w:header="720" w:footer="720" w:gutter="0"/>
          <w:pgNumType w:start="2"/>
          <w:cols w:space="720"/>
          <w:docGrid w:linePitch="360"/>
        </w:sectPr>
      </w:pPr>
    </w:p>
    <w:p w:rsidR="00746981" w:rsidP="00746981" w14:paraId="0B68C5D6" w14:textId="645A8ED2">
      <w:pPr>
        <w:spacing w:after="0" w:line="240" w:lineRule="auto"/>
        <w:jc w:val="center"/>
        <w:rPr>
          <w:rFonts w:cs="Times New Roman"/>
          <w:b/>
          <w:szCs w:val="24"/>
          <w:u w:val="single"/>
        </w:rPr>
      </w:pPr>
      <w:r w:rsidRPr="00C80BFE">
        <w:rPr>
          <w:rFonts w:cs="Times New Roman"/>
          <w:b/>
          <w:szCs w:val="24"/>
          <w:u w:val="single"/>
        </w:rPr>
        <w:t>TABLE OF CONTENTS</w:t>
      </w:r>
    </w:p>
    <w:p w:rsidR="00C41026" w:rsidRPr="00C80BFE" w:rsidP="00746981" w14:paraId="0125EA3B" w14:textId="77777777">
      <w:pPr>
        <w:spacing w:after="0" w:line="240" w:lineRule="auto"/>
        <w:jc w:val="center"/>
        <w:rPr>
          <w:rFonts w:cs="Times New Roman"/>
          <w:b/>
          <w:szCs w:val="24"/>
          <w:u w:val="single"/>
        </w:rPr>
      </w:pPr>
    </w:p>
    <w:p w:rsidR="00746981" w:rsidP="00746981" w14:paraId="29A5B399" w14:textId="26E022E8">
      <w:pPr>
        <w:spacing w:after="0" w:line="240" w:lineRule="auto"/>
        <w:jc w:val="center"/>
        <w:rPr>
          <w:rFonts w:cs="Times New Roman"/>
          <w:b/>
          <w:szCs w:val="24"/>
        </w:rPr>
      </w:pP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r>
      <w:r w:rsidRPr="00C80BFE">
        <w:rPr>
          <w:rFonts w:cs="Times New Roman"/>
          <w:b/>
          <w:szCs w:val="24"/>
        </w:rPr>
        <w:tab/>
        <w:t>PAGE</w:t>
      </w:r>
    </w:p>
    <w:p w:rsidR="00C41026" w:rsidRPr="00C80BFE" w:rsidP="00746981" w14:paraId="7FA7D31A" w14:textId="77777777">
      <w:pPr>
        <w:spacing w:after="0" w:line="240" w:lineRule="auto"/>
        <w:jc w:val="center"/>
        <w:rPr>
          <w:rFonts w:cs="Times New Roman"/>
          <w:b/>
          <w:szCs w:val="24"/>
        </w:rPr>
      </w:pPr>
    </w:p>
    <w:p w:rsidR="00CB6B31" w14:paraId="3612ACD8" w14:textId="53138ACD">
      <w:pPr>
        <w:pStyle w:val="TOC1"/>
        <w:rPr>
          <w:rFonts w:asciiTheme="minorHAnsi" w:eastAsiaTheme="minorEastAsia" w:hAnsiTheme="minorHAnsi"/>
          <w:caps w:val="0"/>
          <w:noProof/>
          <w:sz w:val="22"/>
        </w:rPr>
      </w:pPr>
      <w:r w:rsidRPr="00C80BFE">
        <w:rPr>
          <w:rFonts w:cs="Times New Roman"/>
          <w:b/>
          <w:caps w:val="0"/>
          <w:szCs w:val="24"/>
        </w:rPr>
        <w:fldChar w:fldCharType="begin"/>
      </w:r>
      <w:r w:rsidRPr="00C80BFE">
        <w:rPr>
          <w:rFonts w:cs="Times New Roman"/>
          <w:b/>
          <w:caps w:val="0"/>
          <w:szCs w:val="24"/>
        </w:rPr>
        <w:instrText xml:space="preserve"> TOC \o "1-3" \h \z \u </w:instrText>
      </w:r>
      <w:r w:rsidRPr="00C80BFE">
        <w:rPr>
          <w:rFonts w:cs="Times New Roman"/>
          <w:b/>
          <w:caps w:val="0"/>
          <w:szCs w:val="24"/>
        </w:rPr>
        <w:fldChar w:fldCharType="separate"/>
      </w:r>
      <w:hyperlink w:anchor="_Toc123050539" w:history="1">
        <w:r w:rsidRPr="00EE18E5">
          <w:rPr>
            <w:rStyle w:val="Hyperlink"/>
            <w:noProof/>
          </w:rPr>
          <w:t>I.</w:t>
        </w:r>
        <w:r>
          <w:rPr>
            <w:rFonts w:asciiTheme="minorHAnsi" w:eastAsiaTheme="minorEastAsia" w:hAnsiTheme="minorHAnsi"/>
            <w:caps w:val="0"/>
            <w:noProof/>
            <w:sz w:val="22"/>
          </w:rPr>
          <w:tab/>
        </w:r>
        <w:r w:rsidRPr="00EE18E5">
          <w:rPr>
            <w:rStyle w:val="Hyperlink"/>
            <w:noProof/>
          </w:rPr>
          <w:t>INTRODUCTION</w:t>
        </w:r>
        <w:r>
          <w:rPr>
            <w:noProof/>
            <w:webHidden/>
          </w:rPr>
          <w:tab/>
        </w:r>
        <w:r>
          <w:rPr>
            <w:noProof/>
            <w:webHidden/>
          </w:rPr>
          <w:fldChar w:fldCharType="begin"/>
        </w:r>
        <w:r>
          <w:rPr>
            <w:noProof/>
            <w:webHidden/>
          </w:rPr>
          <w:instrText xml:space="preserve"> PAGEREF _Toc123050539 \h </w:instrText>
        </w:r>
        <w:r>
          <w:rPr>
            <w:noProof/>
            <w:webHidden/>
          </w:rPr>
          <w:fldChar w:fldCharType="separate"/>
        </w:r>
        <w:r>
          <w:rPr>
            <w:noProof/>
            <w:webHidden/>
          </w:rPr>
          <w:t>1</w:t>
        </w:r>
        <w:r>
          <w:rPr>
            <w:noProof/>
            <w:webHidden/>
          </w:rPr>
          <w:fldChar w:fldCharType="end"/>
        </w:r>
      </w:hyperlink>
    </w:p>
    <w:p w:rsidR="00CB6B31" w14:paraId="057DAAB9" w14:textId="3480BD9A">
      <w:pPr>
        <w:pStyle w:val="TOC1"/>
        <w:rPr>
          <w:rFonts w:asciiTheme="minorHAnsi" w:eastAsiaTheme="minorEastAsia" w:hAnsiTheme="minorHAnsi"/>
          <w:caps w:val="0"/>
          <w:noProof/>
          <w:sz w:val="22"/>
        </w:rPr>
      </w:pPr>
      <w:hyperlink w:anchor="_Toc123050540" w:history="1">
        <w:r w:rsidRPr="00EE18E5">
          <w:rPr>
            <w:rStyle w:val="Hyperlink"/>
            <w:noProof/>
          </w:rPr>
          <w:t>II.</w:t>
        </w:r>
        <w:r>
          <w:rPr>
            <w:rFonts w:asciiTheme="minorHAnsi" w:eastAsiaTheme="minorEastAsia" w:hAnsiTheme="minorHAnsi"/>
            <w:caps w:val="0"/>
            <w:noProof/>
            <w:sz w:val="22"/>
          </w:rPr>
          <w:tab/>
        </w:r>
        <w:r w:rsidRPr="00EE18E5">
          <w:rPr>
            <w:rStyle w:val="Hyperlink"/>
            <w:noProof/>
          </w:rPr>
          <w:t>ARGUMENT</w:t>
        </w:r>
        <w:r>
          <w:rPr>
            <w:noProof/>
            <w:webHidden/>
          </w:rPr>
          <w:tab/>
        </w:r>
        <w:r>
          <w:rPr>
            <w:noProof/>
            <w:webHidden/>
          </w:rPr>
          <w:fldChar w:fldCharType="begin"/>
        </w:r>
        <w:r>
          <w:rPr>
            <w:noProof/>
            <w:webHidden/>
          </w:rPr>
          <w:instrText xml:space="preserve"> PAGEREF _Toc123050540 \h </w:instrText>
        </w:r>
        <w:r>
          <w:rPr>
            <w:noProof/>
            <w:webHidden/>
          </w:rPr>
          <w:fldChar w:fldCharType="separate"/>
        </w:r>
        <w:r>
          <w:rPr>
            <w:noProof/>
            <w:webHidden/>
          </w:rPr>
          <w:t>6</w:t>
        </w:r>
        <w:r>
          <w:rPr>
            <w:noProof/>
            <w:webHidden/>
          </w:rPr>
          <w:fldChar w:fldCharType="end"/>
        </w:r>
      </w:hyperlink>
    </w:p>
    <w:p w:rsidR="00CB6B31" w14:paraId="410B1CED" w14:textId="4FDCDB63">
      <w:pPr>
        <w:pStyle w:val="TOC2"/>
        <w:tabs>
          <w:tab w:val="left" w:pos="1440"/>
        </w:tabs>
        <w:rPr>
          <w:rFonts w:asciiTheme="minorHAnsi" w:eastAsiaTheme="minorEastAsia" w:hAnsiTheme="minorHAnsi"/>
          <w:noProof/>
          <w:sz w:val="22"/>
        </w:rPr>
      </w:pPr>
      <w:hyperlink w:anchor="_Toc123050541" w:history="1">
        <w:r w:rsidRPr="00EE18E5">
          <w:rPr>
            <w:rStyle w:val="Hyperlink"/>
            <w:noProof/>
          </w:rPr>
          <w:t>A.</w:t>
        </w:r>
        <w:r>
          <w:rPr>
            <w:rFonts w:asciiTheme="minorHAnsi" w:eastAsiaTheme="minorEastAsia" w:hAnsiTheme="minorHAnsi"/>
            <w:noProof/>
            <w:sz w:val="22"/>
          </w:rPr>
          <w:tab/>
        </w:r>
        <w:r w:rsidRPr="00EE18E5">
          <w:rPr>
            <w:rStyle w:val="Hyperlink"/>
            <w:noProof/>
          </w:rPr>
          <w:t xml:space="preserve">The PUCO should reject ELPC’s and CUB Ohio’s claims that the Settlement was not the product of serious bargaining. Evidence demonstrates that knowledgeable and diverse parties worked for </w:t>
        </w:r>
        <w:r>
          <w:rPr>
            <w:rStyle w:val="Hyperlink"/>
            <w:noProof/>
          </w:rPr>
          <w:br/>
        </w:r>
        <w:r w:rsidRPr="00EE18E5">
          <w:rPr>
            <w:rStyle w:val="Hyperlink"/>
            <w:noProof/>
          </w:rPr>
          <w:t>months to reach a comprehensive settlement package.</w:t>
        </w:r>
        <w:r>
          <w:rPr>
            <w:noProof/>
            <w:webHidden/>
          </w:rPr>
          <w:tab/>
        </w:r>
        <w:r>
          <w:rPr>
            <w:noProof/>
            <w:webHidden/>
          </w:rPr>
          <w:fldChar w:fldCharType="begin"/>
        </w:r>
        <w:r>
          <w:rPr>
            <w:noProof/>
            <w:webHidden/>
          </w:rPr>
          <w:instrText xml:space="preserve"> PAGEREF _Toc123050541 \h </w:instrText>
        </w:r>
        <w:r>
          <w:rPr>
            <w:noProof/>
            <w:webHidden/>
          </w:rPr>
          <w:fldChar w:fldCharType="separate"/>
        </w:r>
        <w:r>
          <w:rPr>
            <w:noProof/>
            <w:webHidden/>
          </w:rPr>
          <w:t>6</w:t>
        </w:r>
        <w:r>
          <w:rPr>
            <w:noProof/>
            <w:webHidden/>
          </w:rPr>
          <w:fldChar w:fldCharType="end"/>
        </w:r>
      </w:hyperlink>
    </w:p>
    <w:p w:rsidR="00CB6B31" w14:paraId="62617FE5" w14:textId="24251203">
      <w:pPr>
        <w:pStyle w:val="TOC3"/>
        <w:tabs>
          <w:tab w:val="left" w:pos="2160"/>
        </w:tabs>
        <w:rPr>
          <w:rFonts w:asciiTheme="minorHAnsi" w:eastAsiaTheme="minorEastAsia" w:hAnsiTheme="minorHAnsi"/>
          <w:noProof/>
          <w:sz w:val="22"/>
        </w:rPr>
      </w:pPr>
      <w:hyperlink w:anchor="_Toc123050542" w:history="1">
        <w:r w:rsidRPr="00EE18E5">
          <w:rPr>
            <w:rStyle w:val="Hyperlink"/>
            <w:noProof/>
          </w:rPr>
          <w:t>1.</w:t>
        </w:r>
        <w:r>
          <w:rPr>
            <w:rFonts w:asciiTheme="minorHAnsi" w:eastAsiaTheme="minorEastAsia" w:hAnsiTheme="minorHAnsi"/>
            <w:noProof/>
            <w:sz w:val="22"/>
          </w:rPr>
          <w:tab/>
        </w:r>
        <w:r w:rsidRPr="00EE18E5">
          <w:rPr>
            <w:rStyle w:val="Hyperlink"/>
            <w:noProof/>
          </w:rPr>
          <w:t xml:space="preserve">ELPC and CUB Ohio assert that Columbia proposed an unreasonable rate increase in the application to begin with, </w:t>
        </w:r>
        <w:r>
          <w:rPr>
            <w:rStyle w:val="Hyperlink"/>
            <w:noProof/>
          </w:rPr>
          <w:br/>
        </w:r>
        <w:r w:rsidRPr="00EE18E5">
          <w:rPr>
            <w:rStyle w:val="Hyperlink"/>
            <w:noProof/>
          </w:rPr>
          <w:t xml:space="preserve">and thus, compromises in the Settlement package are not </w:t>
        </w:r>
        <w:r>
          <w:rPr>
            <w:rStyle w:val="Hyperlink"/>
            <w:noProof/>
          </w:rPr>
          <w:br/>
        </w:r>
        <w:r w:rsidRPr="00EE18E5">
          <w:rPr>
            <w:rStyle w:val="Hyperlink"/>
            <w:noProof/>
          </w:rPr>
          <w:t xml:space="preserve">the result of serious bargaining. These arguments should </w:t>
        </w:r>
        <w:r>
          <w:rPr>
            <w:rStyle w:val="Hyperlink"/>
            <w:noProof/>
          </w:rPr>
          <w:br/>
        </w:r>
        <w:r w:rsidRPr="00EE18E5">
          <w:rPr>
            <w:rStyle w:val="Hyperlink"/>
            <w:noProof/>
          </w:rPr>
          <w:t>be rejected.</w:t>
        </w:r>
        <w:r>
          <w:rPr>
            <w:noProof/>
            <w:webHidden/>
          </w:rPr>
          <w:tab/>
        </w:r>
        <w:r>
          <w:rPr>
            <w:noProof/>
            <w:webHidden/>
          </w:rPr>
          <w:fldChar w:fldCharType="begin"/>
        </w:r>
        <w:r>
          <w:rPr>
            <w:noProof/>
            <w:webHidden/>
          </w:rPr>
          <w:instrText xml:space="preserve"> PAGEREF _Toc123050542 \h </w:instrText>
        </w:r>
        <w:r>
          <w:rPr>
            <w:noProof/>
            <w:webHidden/>
          </w:rPr>
          <w:fldChar w:fldCharType="separate"/>
        </w:r>
        <w:r>
          <w:rPr>
            <w:noProof/>
            <w:webHidden/>
          </w:rPr>
          <w:t>7</w:t>
        </w:r>
        <w:r>
          <w:rPr>
            <w:noProof/>
            <w:webHidden/>
          </w:rPr>
          <w:fldChar w:fldCharType="end"/>
        </w:r>
      </w:hyperlink>
    </w:p>
    <w:p w:rsidR="00CB6B31" w14:paraId="51745F30" w14:textId="13A711AC">
      <w:pPr>
        <w:pStyle w:val="TOC3"/>
        <w:tabs>
          <w:tab w:val="left" w:pos="2160"/>
        </w:tabs>
        <w:rPr>
          <w:rFonts w:asciiTheme="minorHAnsi" w:eastAsiaTheme="minorEastAsia" w:hAnsiTheme="minorHAnsi"/>
          <w:noProof/>
          <w:sz w:val="22"/>
        </w:rPr>
      </w:pPr>
      <w:hyperlink w:anchor="_Toc123050543" w:history="1">
        <w:r w:rsidRPr="00EE18E5">
          <w:rPr>
            <w:rStyle w:val="Hyperlink"/>
            <w:noProof/>
          </w:rPr>
          <w:t>2.</w:t>
        </w:r>
        <w:r>
          <w:rPr>
            <w:rFonts w:asciiTheme="minorHAnsi" w:eastAsiaTheme="minorEastAsia" w:hAnsiTheme="minorHAnsi"/>
            <w:noProof/>
            <w:sz w:val="22"/>
          </w:rPr>
          <w:tab/>
        </w:r>
        <w:r w:rsidRPr="00EE18E5">
          <w:rPr>
            <w:rStyle w:val="Hyperlink"/>
            <w:noProof/>
          </w:rPr>
          <w:t xml:space="preserve">Claims by ELPC and CUB Ohio that footnotes in the </w:t>
        </w:r>
        <w:r>
          <w:rPr>
            <w:rStyle w:val="Hyperlink"/>
            <w:noProof/>
          </w:rPr>
          <w:br/>
        </w:r>
        <w:r w:rsidRPr="00EE18E5">
          <w:rPr>
            <w:rStyle w:val="Hyperlink"/>
            <w:noProof/>
          </w:rPr>
          <w:t xml:space="preserve">Settlement package demonstrate a lack of serious </w:t>
        </w:r>
        <w:r>
          <w:rPr>
            <w:rStyle w:val="Hyperlink"/>
            <w:noProof/>
          </w:rPr>
          <w:br/>
        </w:r>
        <w:r w:rsidRPr="00EE18E5">
          <w:rPr>
            <w:rStyle w:val="Hyperlink"/>
            <w:noProof/>
          </w:rPr>
          <w:t>bargaining should be rejected.</w:t>
        </w:r>
        <w:r>
          <w:rPr>
            <w:noProof/>
            <w:webHidden/>
          </w:rPr>
          <w:tab/>
        </w:r>
        <w:r>
          <w:rPr>
            <w:noProof/>
            <w:webHidden/>
          </w:rPr>
          <w:fldChar w:fldCharType="begin"/>
        </w:r>
        <w:r>
          <w:rPr>
            <w:noProof/>
            <w:webHidden/>
          </w:rPr>
          <w:instrText xml:space="preserve"> PAGEREF _Toc123050543 \h </w:instrText>
        </w:r>
        <w:r>
          <w:rPr>
            <w:noProof/>
            <w:webHidden/>
          </w:rPr>
          <w:fldChar w:fldCharType="separate"/>
        </w:r>
        <w:r>
          <w:rPr>
            <w:noProof/>
            <w:webHidden/>
          </w:rPr>
          <w:t>9</w:t>
        </w:r>
        <w:r>
          <w:rPr>
            <w:noProof/>
            <w:webHidden/>
          </w:rPr>
          <w:fldChar w:fldCharType="end"/>
        </w:r>
      </w:hyperlink>
    </w:p>
    <w:p w:rsidR="00CB6B31" w14:paraId="78749CF6" w14:textId="0B5DBBA5">
      <w:pPr>
        <w:pStyle w:val="TOC2"/>
        <w:tabs>
          <w:tab w:val="left" w:pos="1440"/>
        </w:tabs>
        <w:rPr>
          <w:rFonts w:asciiTheme="minorHAnsi" w:eastAsiaTheme="minorEastAsia" w:hAnsiTheme="minorHAnsi"/>
          <w:noProof/>
          <w:sz w:val="22"/>
        </w:rPr>
      </w:pPr>
      <w:hyperlink w:anchor="_Toc123050544" w:history="1">
        <w:r w:rsidRPr="00EE18E5">
          <w:rPr>
            <w:rStyle w:val="Hyperlink"/>
            <w:noProof/>
          </w:rPr>
          <w:t>B.</w:t>
        </w:r>
        <w:r>
          <w:rPr>
            <w:rFonts w:asciiTheme="minorHAnsi" w:eastAsiaTheme="minorEastAsia" w:hAnsiTheme="minorHAnsi"/>
            <w:noProof/>
            <w:sz w:val="22"/>
          </w:rPr>
          <w:tab/>
        </w:r>
        <w:r w:rsidRPr="00EE18E5">
          <w:rPr>
            <w:rStyle w:val="Hyperlink"/>
            <w:noProof/>
          </w:rPr>
          <w:t xml:space="preserve">The Settlement benefits consumers and the public interest, as </w:t>
        </w:r>
        <w:r>
          <w:rPr>
            <w:rStyle w:val="Hyperlink"/>
            <w:noProof/>
          </w:rPr>
          <w:br/>
        </w:r>
        <w:r w:rsidRPr="00EE18E5">
          <w:rPr>
            <w:rStyle w:val="Hyperlink"/>
            <w:noProof/>
          </w:rPr>
          <w:t>a package. The PUCO should approve the Settlement without modification.</w:t>
        </w:r>
        <w:r>
          <w:rPr>
            <w:noProof/>
            <w:webHidden/>
          </w:rPr>
          <w:tab/>
        </w:r>
        <w:r>
          <w:rPr>
            <w:noProof/>
            <w:webHidden/>
          </w:rPr>
          <w:fldChar w:fldCharType="begin"/>
        </w:r>
        <w:r>
          <w:rPr>
            <w:noProof/>
            <w:webHidden/>
          </w:rPr>
          <w:instrText xml:space="preserve"> PAGEREF _Toc123050544 \h </w:instrText>
        </w:r>
        <w:r>
          <w:rPr>
            <w:noProof/>
            <w:webHidden/>
          </w:rPr>
          <w:fldChar w:fldCharType="separate"/>
        </w:r>
        <w:r>
          <w:rPr>
            <w:noProof/>
            <w:webHidden/>
          </w:rPr>
          <w:t>11</w:t>
        </w:r>
        <w:r>
          <w:rPr>
            <w:noProof/>
            <w:webHidden/>
          </w:rPr>
          <w:fldChar w:fldCharType="end"/>
        </w:r>
      </w:hyperlink>
    </w:p>
    <w:p w:rsidR="00CB6B31" w14:paraId="2CB6721E" w14:textId="251EC961">
      <w:pPr>
        <w:pStyle w:val="TOC3"/>
        <w:tabs>
          <w:tab w:val="left" w:pos="2160"/>
        </w:tabs>
        <w:rPr>
          <w:rFonts w:asciiTheme="minorHAnsi" w:eastAsiaTheme="minorEastAsia" w:hAnsiTheme="minorHAnsi"/>
          <w:noProof/>
          <w:sz w:val="22"/>
        </w:rPr>
      </w:pPr>
      <w:hyperlink w:anchor="_Toc123050545" w:history="1">
        <w:r w:rsidRPr="00EE18E5">
          <w:rPr>
            <w:rStyle w:val="Hyperlink"/>
            <w:iCs/>
            <w:noProof/>
          </w:rPr>
          <w:t>1.</w:t>
        </w:r>
        <w:r>
          <w:rPr>
            <w:rFonts w:asciiTheme="minorHAnsi" w:eastAsiaTheme="minorEastAsia" w:hAnsiTheme="minorHAnsi"/>
            <w:noProof/>
            <w:sz w:val="22"/>
          </w:rPr>
          <w:tab/>
        </w:r>
        <w:r w:rsidRPr="00EE18E5">
          <w:rPr>
            <w:rStyle w:val="Hyperlink"/>
            <w:noProof/>
          </w:rPr>
          <w:t xml:space="preserve">The Settlement package benefits consumers by reducing </w:t>
        </w:r>
        <w:r>
          <w:rPr>
            <w:rStyle w:val="Hyperlink"/>
            <w:noProof/>
          </w:rPr>
          <w:br/>
        </w:r>
        <w:r w:rsidRPr="00EE18E5">
          <w:rPr>
            <w:rStyle w:val="Hyperlink"/>
            <w:noProof/>
          </w:rPr>
          <w:t xml:space="preserve">the charges consumers will pay as compared to the </w:t>
        </w:r>
        <w:r>
          <w:rPr>
            <w:rStyle w:val="Hyperlink"/>
            <w:noProof/>
          </w:rPr>
          <w:br/>
        </w:r>
        <w:r w:rsidRPr="00EE18E5">
          <w:rPr>
            <w:rStyle w:val="Hyperlink"/>
            <w:noProof/>
          </w:rPr>
          <w:t xml:space="preserve">$221.4 million rate increase Columbia initially requested. </w:t>
        </w:r>
        <w:r>
          <w:rPr>
            <w:rStyle w:val="Hyperlink"/>
            <w:noProof/>
          </w:rPr>
          <w:br/>
        </w:r>
        <w:r w:rsidRPr="00EE18E5">
          <w:rPr>
            <w:rStyle w:val="Hyperlink"/>
            <w:noProof/>
          </w:rPr>
          <w:t xml:space="preserve">The PUCO should reject Environmental Groups’ </w:t>
        </w:r>
        <w:r>
          <w:rPr>
            <w:rStyle w:val="Hyperlink"/>
            <w:noProof/>
          </w:rPr>
          <w:br/>
        </w:r>
        <w:r w:rsidRPr="00EE18E5">
          <w:rPr>
            <w:rStyle w:val="Hyperlink"/>
            <w:noProof/>
          </w:rPr>
          <w:t>arguments to the contrary.</w:t>
        </w:r>
        <w:r>
          <w:rPr>
            <w:noProof/>
            <w:webHidden/>
          </w:rPr>
          <w:tab/>
        </w:r>
        <w:r>
          <w:rPr>
            <w:noProof/>
            <w:webHidden/>
          </w:rPr>
          <w:fldChar w:fldCharType="begin"/>
        </w:r>
        <w:r>
          <w:rPr>
            <w:noProof/>
            <w:webHidden/>
          </w:rPr>
          <w:instrText xml:space="preserve"> PAGEREF _Toc123050545 \h </w:instrText>
        </w:r>
        <w:r>
          <w:rPr>
            <w:noProof/>
            <w:webHidden/>
          </w:rPr>
          <w:fldChar w:fldCharType="separate"/>
        </w:r>
        <w:r>
          <w:rPr>
            <w:noProof/>
            <w:webHidden/>
          </w:rPr>
          <w:t>11</w:t>
        </w:r>
        <w:r>
          <w:rPr>
            <w:noProof/>
            <w:webHidden/>
          </w:rPr>
          <w:fldChar w:fldCharType="end"/>
        </w:r>
      </w:hyperlink>
    </w:p>
    <w:p w:rsidR="00CB6B31" w14:paraId="6E44C056" w14:textId="30A63560">
      <w:pPr>
        <w:pStyle w:val="TOC3"/>
        <w:tabs>
          <w:tab w:val="left" w:pos="2160"/>
        </w:tabs>
        <w:rPr>
          <w:rFonts w:asciiTheme="minorHAnsi" w:eastAsiaTheme="minorEastAsia" w:hAnsiTheme="minorHAnsi"/>
          <w:noProof/>
          <w:sz w:val="22"/>
        </w:rPr>
      </w:pPr>
      <w:hyperlink w:anchor="_Toc123050546" w:history="1">
        <w:r w:rsidRPr="00EE18E5">
          <w:rPr>
            <w:rStyle w:val="Hyperlink"/>
            <w:iCs/>
            <w:noProof/>
          </w:rPr>
          <w:t>2.</w:t>
        </w:r>
        <w:r>
          <w:rPr>
            <w:rFonts w:asciiTheme="minorHAnsi" w:eastAsiaTheme="minorEastAsia" w:hAnsiTheme="minorHAnsi"/>
            <w:noProof/>
            <w:sz w:val="22"/>
          </w:rPr>
          <w:tab/>
        </w:r>
        <w:r w:rsidRPr="00EE18E5">
          <w:rPr>
            <w:rStyle w:val="Hyperlink"/>
            <w:noProof/>
          </w:rPr>
          <w:t xml:space="preserve">The Settlement package has benefits for low-income </w:t>
        </w:r>
        <w:r>
          <w:rPr>
            <w:rStyle w:val="Hyperlink"/>
            <w:noProof/>
          </w:rPr>
          <w:br/>
        </w:r>
        <w:r w:rsidRPr="00EE18E5">
          <w:rPr>
            <w:rStyle w:val="Hyperlink"/>
            <w:noProof/>
          </w:rPr>
          <w:t xml:space="preserve">consumers. There is a $70 million demand side </w:t>
        </w:r>
        <w:r>
          <w:rPr>
            <w:rStyle w:val="Hyperlink"/>
            <w:noProof/>
          </w:rPr>
          <w:br/>
        </w:r>
        <w:r w:rsidRPr="00EE18E5">
          <w:rPr>
            <w:rStyle w:val="Hyperlink"/>
            <w:noProof/>
          </w:rPr>
          <w:t xml:space="preserve">management (“DSM”) program and $3.5 million of </w:t>
        </w:r>
        <w:r>
          <w:rPr>
            <w:rStyle w:val="Hyperlink"/>
            <w:noProof/>
          </w:rPr>
          <w:br/>
        </w:r>
        <w:r w:rsidRPr="00EE18E5">
          <w:rPr>
            <w:rStyle w:val="Hyperlink"/>
            <w:noProof/>
          </w:rPr>
          <w:t xml:space="preserve">additional bill payment assistance to low-income </w:t>
        </w:r>
        <w:r>
          <w:rPr>
            <w:rStyle w:val="Hyperlink"/>
            <w:noProof/>
          </w:rPr>
          <w:br/>
        </w:r>
        <w:r w:rsidRPr="00EE18E5">
          <w:rPr>
            <w:rStyle w:val="Hyperlink"/>
            <w:noProof/>
          </w:rPr>
          <w:t xml:space="preserve">consumers who need it the most. The Settlement </w:t>
        </w:r>
        <w:r>
          <w:rPr>
            <w:rStyle w:val="Hyperlink"/>
            <w:noProof/>
          </w:rPr>
          <w:br/>
        </w:r>
        <w:r w:rsidRPr="00EE18E5">
          <w:rPr>
            <w:rStyle w:val="Hyperlink"/>
            <w:noProof/>
          </w:rPr>
          <w:t>package should be approved without modification.</w:t>
        </w:r>
        <w:r>
          <w:rPr>
            <w:noProof/>
            <w:webHidden/>
          </w:rPr>
          <w:tab/>
        </w:r>
        <w:r>
          <w:rPr>
            <w:noProof/>
            <w:webHidden/>
          </w:rPr>
          <w:fldChar w:fldCharType="begin"/>
        </w:r>
        <w:r>
          <w:rPr>
            <w:noProof/>
            <w:webHidden/>
          </w:rPr>
          <w:instrText xml:space="preserve"> PAGEREF _Toc123050546 \h </w:instrText>
        </w:r>
        <w:r>
          <w:rPr>
            <w:noProof/>
            <w:webHidden/>
          </w:rPr>
          <w:fldChar w:fldCharType="separate"/>
        </w:r>
        <w:r>
          <w:rPr>
            <w:noProof/>
            <w:webHidden/>
          </w:rPr>
          <w:t>13</w:t>
        </w:r>
        <w:r>
          <w:rPr>
            <w:noProof/>
            <w:webHidden/>
          </w:rPr>
          <w:fldChar w:fldCharType="end"/>
        </w:r>
      </w:hyperlink>
    </w:p>
    <w:p w:rsidR="00CB6B31" w14:paraId="5E93A278" w14:textId="71FA42A0">
      <w:pPr>
        <w:pStyle w:val="TOC3"/>
        <w:tabs>
          <w:tab w:val="left" w:pos="2160"/>
        </w:tabs>
        <w:rPr>
          <w:rFonts w:asciiTheme="minorHAnsi" w:eastAsiaTheme="minorEastAsia" w:hAnsiTheme="minorHAnsi"/>
          <w:noProof/>
          <w:sz w:val="22"/>
        </w:rPr>
      </w:pPr>
      <w:hyperlink w:anchor="_Toc123050547" w:history="1">
        <w:r w:rsidRPr="00EE18E5">
          <w:rPr>
            <w:rStyle w:val="Hyperlink"/>
            <w:noProof/>
          </w:rPr>
          <w:t>3.</w:t>
        </w:r>
        <w:r>
          <w:rPr>
            <w:rFonts w:asciiTheme="minorHAnsi" w:eastAsiaTheme="minorEastAsia" w:hAnsiTheme="minorHAnsi"/>
            <w:noProof/>
            <w:sz w:val="22"/>
          </w:rPr>
          <w:tab/>
        </w:r>
        <w:r w:rsidRPr="00EE18E5">
          <w:rPr>
            <w:rStyle w:val="Hyperlink"/>
            <w:noProof/>
          </w:rPr>
          <w:t xml:space="preserve">The PUCO should reject OPAE’s criticism that the </w:t>
        </w:r>
        <w:r>
          <w:rPr>
            <w:rStyle w:val="Hyperlink"/>
            <w:noProof/>
          </w:rPr>
          <w:br/>
        </w:r>
        <w:r w:rsidRPr="00EE18E5">
          <w:rPr>
            <w:rStyle w:val="Hyperlink"/>
            <w:noProof/>
          </w:rPr>
          <w:t xml:space="preserve">Settlement’s funding (from consumers) of over $70 </w:t>
        </w:r>
        <w:r>
          <w:rPr>
            <w:rStyle w:val="Hyperlink"/>
            <w:noProof/>
          </w:rPr>
          <w:br/>
        </w:r>
        <w:r w:rsidRPr="00EE18E5">
          <w:rPr>
            <w:rStyle w:val="Hyperlink"/>
            <w:noProof/>
          </w:rPr>
          <w:t>million for the WarmChoice® program is not enough.</w:t>
        </w:r>
        <w:r>
          <w:rPr>
            <w:noProof/>
            <w:webHidden/>
          </w:rPr>
          <w:tab/>
        </w:r>
        <w:r>
          <w:rPr>
            <w:noProof/>
            <w:webHidden/>
          </w:rPr>
          <w:fldChar w:fldCharType="begin"/>
        </w:r>
        <w:r>
          <w:rPr>
            <w:noProof/>
            <w:webHidden/>
          </w:rPr>
          <w:instrText xml:space="preserve"> PAGEREF _Toc123050547 \h </w:instrText>
        </w:r>
        <w:r>
          <w:rPr>
            <w:noProof/>
            <w:webHidden/>
          </w:rPr>
          <w:fldChar w:fldCharType="separate"/>
        </w:r>
        <w:r>
          <w:rPr>
            <w:noProof/>
            <w:webHidden/>
          </w:rPr>
          <w:t>15</w:t>
        </w:r>
        <w:r>
          <w:rPr>
            <w:noProof/>
            <w:webHidden/>
          </w:rPr>
          <w:fldChar w:fldCharType="end"/>
        </w:r>
      </w:hyperlink>
    </w:p>
    <w:p w:rsidR="00CB6B31" w14:paraId="60CCBFEA" w14:textId="46704DC7">
      <w:pPr>
        <w:pStyle w:val="TOC3"/>
        <w:tabs>
          <w:tab w:val="left" w:pos="2160"/>
        </w:tabs>
        <w:rPr>
          <w:rFonts w:asciiTheme="minorHAnsi" w:eastAsiaTheme="minorEastAsia" w:hAnsiTheme="minorHAnsi"/>
          <w:noProof/>
          <w:sz w:val="22"/>
        </w:rPr>
      </w:pPr>
      <w:hyperlink w:anchor="_Toc123050548" w:history="1">
        <w:r w:rsidRPr="00EE18E5">
          <w:rPr>
            <w:rStyle w:val="Hyperlink"/>
            <w:noProof/>
          </w:rPr>
          <w:t>4.</w:t>
        </w:r>
        <w:r>
          <w:rPr>
            <w:rFonts w:asciiTheme="minorHAnsi" w:eastAsiaTheme="minorEastAsia" w:hAnsiTheme="minorHAnsi"/>
            <w:noProof/>
            <w:sz w:val="22"/>
          </w:rPr>
          <w:tab/>
        </w:r>
        <w:r w:rsidRPr="00EE18E5">
          <w:rPr>
            <w:rStyle w:val="Hyperlink"/>
            <w:noProof/>
          </w:rPr>
          <w:t xml:space="preserve">The Settlement’s bill payment assistance program, as </w:t>
        </w:r>
        <w:r>
          <w:rPr>
            <w:rStyle w:val="Hyperlink"/>
            <w:noProof/>
          </w:rPr>
          <w:br/>
        </w:r>
        <w:r w:rsidRPr="00EE18E5">
          <w:rPr>
            <w:rStyle w:val="Hyperlink"/>
            <w:noProof/>
          </w:rPr>
          <w:t xml:space="preserve">part of the package, will benefit low-income consumers </w:t>
        </w:r>
        <w:r>
          <w:rPr>
            <w:rStyle w:val="Hyperlink"/>
            <w:noProof/>
          </w:rPr>
          <w:br/>
        </w:r>
        <w:r w:rsidRPr="00EE18E5">
          <w:rPr>
            <w:rStyle w:val="Hyperlink"/>
            <w:noProof/>
          </w:rPr>
          <w:t xml:space="preserve">who struggle to stay connected to their essential natural </w:t>
        </w:r>
        <w:r>
          <w:rPr>
            <w:rStyle w:val="Hyperlink"/>
            <w:noProof/>
          </w:rPr>
          <w:br/>
        </w:r>
        <w:r w:rsidRPr="00EE18E5">
          <w:rPr>
            <w:rStyle w:val="Hyperlink"/>
            <w:noProof/>
          </w:rPr>
          <w:t>gas distribution service.</w:t>
        </w:r>
        <w:r>
          <w:rPr>
            <w:noProof/>
            <w:webHidden/>
          </w:rPr>
          <w:tab/>
        </w:r>
        <w:r>
          <w:rPr>
            <w:noProof/>
            <w:webHidden/>
          </w:rPr>
          <w:fldChar w:fldCharType="begin"/>
        </w:r>
        <w:r>
          <w:rPr>
            <w:noProof/>
            <w:webHidden/>
          </w:rPr>
          <w:instrText xml:space="preserve"> PAGEREF _Toc123050548 \h </w:instrText>
        </w:r>
        <w:r>
          <w:rPr>
            <w:noProof/>
            <w:webHidden/>
          </w:rPr>
          <w:fldChar w:fldCharType="separate"/>
        </w:r>
        <w:r>
          <w:rPr>
            <w:noProof/>
            <w:webHidden/>
          </w:rPr>
          <w:t>19</w:t>
        </w:r>
        <w:r>
          <w:rPr>
            <w:noProof/>
            <w:webHidden/>
          </w:rPr>
          <w:fldChar w:fldCharType="end"/>
        </w:r>
      </w:hyperlink>
    </w:p>
    <w:p w:rsidR="00CB6B31" w14:paraId="29EB6A8C" w14:textId="35789798">
      <w:pPr>
        <w:pStyle w:val="TOC3"/>
        <w:tabs>
          <w:tab w:val="left" w:pos="2160"/>
        </w:tabs>
        <w:rPr>
          <w:rFonts w:asciiTheme="minorHAnsi" w:eastAsiaTheme="minorEastAsia" w:hAnsiTheme="minorHAnsi"/>
          <w:noProof/>
          <w:sz w:val="22"/>
        </w:rPr>
      </w:pPr>
      <w:hyperlink w:anchor="_Toc123050549" w:history="1">
        <w:r w:rsidRPr="00EE18E5">
          <w:rPr>
            <w:rStyle w:val="Hyperlink"/>
            <w:noProof/>
          </w:rPr>
          <w:t>5.</w:t>
        </w:r>
        <w:r>
          <w:rPr>
            <w:rFonts w:asciiTheme="minorHAnsi" w:eastAsiaTheme="minorEastAsia" w:hAnsiTheme="minorHAnsi"/>
            <w:noProof/>
            <w:sz w:val="22"/>
          </w:rPr>
          <w:tab/>
        </w:r>
        <w:r w:rsidRPr="00EE18E5">
          <w:rPr>
            <w:rStyle w:val="Hyperlink"/>
            <w:noProof/>
          </w:rPr>
          <w:t xml:space="preserve">The PUCO should reject ELPC’s reliance on OCC’s </w:t>
        </w:r>
        <w:r w:rsidR="00D249D3">
          <w:rPr>
            <w:rStyle w:val="Hyperlink"/>
            <w:noProof/>
          </w:rPr>
          <w:br/>
        </w:r>
        <w:r w:rsidRPr="00EE18E5">
          <w:rPr>
            <w:rStyle w:val="Hyperlink"/>
            <w:noProof/>
          </w:rPr>
          <w:t xml:space="preserve">litigation testimony to demonstrate that the Settlement </w:t>
        </w:r>
        <w:r w:rsidR="00D249D3">
          <w:rPr>
            <w:rStyle w:val="Hyperlink"/>
            <w:noProof/>
          </w:rPr>
          <w:br/>
        </w:r>
        <w:r w:rsidRPr="00EE18E5">
          <w:rPr>
            <w:rStyle w:val="Hyperlink"/>
            <w:noProof/>
          </w:rPr>
          <w:t>package does not benefit consumers or the public interest.</w:t>
        </w:r>
        <w:r>
          <w:rPr>
            <w:noProof/>
            <w:webHidden/>
          </w:rPr>
          <w:tab/>
        </w:r>
        <w:r>
          <w:rPr>
            <w:noProof/>
            <w:webHidden/>
          </w:rPr>
          <w:fldChar w:fldCharType="begin"/>
        </w:r>
        <w:r>
          <w:rPr>
            <w:noProof/>
            <w:webHidden/>
          </w:rPr>
          <w:instrText xml:space="preserve"> PAGEREF _Toc123050549 \h </w:instrText>
        </w:r>
        <w:r>
          <w:rPr>
            <w:noProof/>
            <w:webHidden/>
          </w:rPr>
          <w:fldChar w:fldCharType="separate"/>
        </w:r>
        <w:r>
          <w:rPr>
            <w:noProof/>
            <w:webHidden/>
          </w:rPr>
          <w:t>22</w:t>
        </w:r>
        <w:r>
          <w:rPr>
            <w:noProof/>
            <w:webHidden/>
          </w:rPr>
          <w:fldChar w:fldCharType="end"/>
        </w:r>
      </w:hyperlink>
    </w:p>
    <w:p w:rsidR="00CB6B31" w14:paraId="47633DF9" w14:textId="6E5C6E45">
      <w:pPr>
        <w:pStyle w:val="TOC2"/>
        <w:tabs>
          <w:tab w:val="left" w:pos="1440"/>
        </w:tabs>
        <w:rPr>
          <w:rFonts w:asciiTheme="minorHAnsi" w:eastAsiaTheme="minorEastAsia" w:hAnsiTheme="minorHAnsi"/>
          <w:noProof/>
          <w:sz w:val="22"/>
        </w:rPr>
      </w:pPr>
      <w:hyperlink w:anchor="_Toc123050550" w:history="1">
        <w:r w:rsidRPr="00EE18E5">
          <w:rPr>
            <w:rStyle w:val="Hyperlink"/>
            <w:noProof/>
          </w:rPr>
          <w:t>C.</w:t>
        </w:r>
        <w:r>
          <w:rPr>
            <w:rFonts w:asciiTheme="minorHAnsi" w:eastAsiaTheme="minorEastAsia" w:hAnsiTheme="minorHAnsi"/>
            <w:noProof/>
            <w:sz w:val="22"/>
          </w:rPr>
          <w:tab/>
        </w:r>
        <w:r w:rsidRPr="00EE18E5">
          <w:rPr>
            <w:rStyle w:val="Hyperlink"/>
            <w:noProof/>
          </w:rPr>
          <w:t xml:space="preserve">The Settlement as a package does not violate any regulatory </w:t>
        </w:r>
        <w:r w:rsidR="00D249D3">
          <w:rPr>
            <w:rStyle w:val="Hyperlink"/>
            <w:noProof/>
          </w:rPr>
          <w:br/>
        </w:r>
        <w:r w:rsidRPr="00EE18E5">
          <w:rPr>
            <w:rStyle w:val="Hyperlink"/>
            <w:noProof/>
          </w:rPr>
          <w:t>principles or practices.</w:t>
        </w:r>
        <w:r>
          <w:rPr>
            <w:noProof/>
            <w:webHidden/>
          </w:rPr>
          <w:tab/>
        </w:r>
        <w:r>
          <w:rPr>
            <w:noProof/>
            <w:webHidden/>
          </w:rPr>
          <w:fldChar w:fldCharType="begin"/>
        </w:r>
        <w:r>
          <w:rPr>
            <w:noProof/>
            <w:webHidden/>
          </w:rPr>
          <w:instrText xml:space="preserve"> PAGEREF _Toc123050550 \h </w:instrText>
        </w:r>
        <w:r>
          <w:rPr>
            <w:noProof/>
            <w:webHidden/>
          </w:rPr>
          <w:fldChar w:fldCharType="separate"/>
        </w:r>
        <w:r>
          <w:rPr>
            <w:noProof/>
            <w:webHidden/>
          </w:rPr>
          <w:t>23</w:t>
        </w:r>
        <w:r>
          <w:rPr>
            <w:noProof/>
            <w:webHidden/>
          </w:rPr>
          <w:fldChar w:fldCharType="end"/>
        </w:r>
      </w:hyperlink>
    </w:p>
    <w:p w:rsidR="00CB6B31" w14:paraId="454D4D60" w14:textId="6AFF34EA">
      <w:pPr>
        <w:pStyle w:val="TOC3"/>
        <w:tabs>
          <w:tab w:val="left" w:pos="2160"/>
        </w:tabs>
        <w:rPr>
          <w:rFonts w:asciiTheme="minorHAnsi" w:eastAsiaTheme="minorEastAsia" w:hAnsiTheme="minorHAnsi"/>
          <w:noProof/>
          <w:sz w:val="22"/>
        </w:rPr>
      </w:pPr>
      <w:hyperlink w:anchor="_Toc123050551" w:history="1">
        <w:r w:rsidRPr="00EE18E5">
          <w:rPr>
            <w:rStyle w:val="Hyperlink"/>
            <w:noProof/>
          </w:rPr>
          <w:t>1.</w:t>
        </w:r>
        <w:r>
          <w:rPr>
            <w:rFonts w:asciiTheme="minorHAnsi" w:eastAsiaTheme="minorEastAsia" w:hAnsiTheme="minorHAnsi"/>
            <w:noProof/>
            <w:sz w:val="22"/>
          </w:rPr>
          <w:tab/>
        </w:r>
        <w:r w:rsidRPr="00EE18E5">
          <w:rPr>
            <w:rStyle w:val="Hyperlink"/>
            <w:noProof/>
          </w:rPr>
          <w:t xml:space="preserve">The Settlement’s DSM provisions do not violate R.C. </w:t>
        </w:r>
        <w:r w:rsidR="00D249D3">
          <w:rPr>
            <w:rStyle w:val="Hyperlink"/>
            <w:noProof/>
          </w:rPr>
          <w:br/>
        </w:r>
        <w:r w:rsidRPr="00EE18E5">
          <w:rPr>
            <w:rStyle w:val="Hyperlink"/>
            <w:noProof/>
          </w:rPr>
          <w:t>4905.70 or R.C. 4929.02.</w:t>
        </w:r>
        <w:r>
          <w:rPr>
            <w:noProof/>
            <w:webHidden/>
          </w:rPr>
          <w:tab/>
        </w:r>
        <w:r>
          <w:rPr>
            <w:noProof/>
            <w:webHidden/>
          </w:rPr>
          <w:fldChar w:fldCharType="begin"/>
        </w:r>
        <w:r>
          <w:rPr>
            <w:noProof/>
            <w:webHidden/>
          </w:rPr>
          <w:instrText xml:space="preserve"> PAGEREF _Toc123050551 \h </w:instrText>
        </w:r>
        <w:r>
          <w:rPr>
            <w:noProof/>
            <w:webHidden/>
          </w:rPr>
          <w:fldChar w:fldCharType="separate"/>
        </w:r>
        <w:r>
          <w:rPr>
            <w:noProof/>
            <w:webHidden/>
          </w:rPr>
          <w:t>23</w:t>
        </w:r>
        <w:r>
          <w:rPr>
            <w:noProof/>
            <w:webHidden/>
          </w:rPr>
          <w:fldChar w:fldCharType="end"/>
        </w:r>
      </w:hyperlink>
    </w:p>
    <w:p w:rsidR="00CB6B31" w14:paraId="419E4680" w14:textId="7A1487B3">
      <w:pPr>
        <w:pStyle w:val="TOC3"/>
        <w:tabs>
          <w:tab w:val="left" w:pos="2160"/>
        </w:tabs>
        <w:rPr>
          <w:rFonts w:asciiTheme="minorHAnsi" w:eastAsiaTheme="minorEastAsia" w:hAnsiTheme="minorHAnsi"/>
          <w:noProof/>
          <w:sz w:val="22"/>
        </w:rPr>
      </w:pPr>
      <w:hyperlink w:anchor="_Toc123050552" w:history="1">
        <w:r w:rsidRPr="00EE18E5">
          <w:rPr>
            <w:rStyle w:val="Hyperlink"/>
            <w:noProof/>
          </w:rPr>
          <w:t>2.</w:t>
        </w:r>
        <w:r>
          <w:rPr>
            <w:rFonts w:asciiTheme="minorHAnsi" w:eastAsiaTheme="minorEastAsia" w:hAnsiTheme="minorHAnsi"/>
            <w:noProof/>
            <w:sz w:val="22"/>
          </w:rPr>
          <w:tab/>
        </w:r>
        <w:r w:rsidRPr="00EE18E5">
          <w:rPr>
            <w:rStyle w:val="Hyperlink"/>
            <w:noProof/>
          </w:rPr>
          <w:t xml:space="preserve">Certain of the Settlement’s DSM provisions preserve </w:t>
        </w:r>
        <w:r w:rsidR="00D249D3">
          <w:rPr>
            <w:rStyle w:val="Hyperlink"/>
            <w:noProof/>
          </w:rPr>
          <w:br/>
        </w:r>
        <w:r w:rsidRPr="00EE18E5">
          <w:rPr>
            <w:rStyle w:val="Hyperlink"/>
            <w:noProof/>
          </w:rPr>
          <w:t xml:space="preserve">the integrity of the bargained-for result and do not </w:t>
        </w:r>
        <w:r w:rsidR="00D249D3">
          <w:rPr>
            <w:rStyle w:val="Hyperlink"/>
            <w:noProof/>
          </w:rPr>
          <w:br/>
        </w:r>
        <w:r w:rsidRPr="00EE18E5">
          <w:rPr>
            <w:rStyle w:val="Hyperlink"/>
            <w:noProof/>
          </w:rPr>
          <w:t xml:space="preserve">improperly “silence” Columbia in violation of public </w:t>
        </w:r>
        <w:r w:rsidR="00D249D3">
          <w:rPr>
            <w:rStyle w:val="Hyperlink"/>
            <w:noProof/>
          </w:rPr>
          <w:br/>
        </w:r>
        <w:r w:rsidRPr="00EE18E5">
          <w:rPr>
            <w:rStyle w:val="Hyperlink"/>
            <w:noProof/>
          </w:rPr>
          <w:t>policy as claimed by CUB Ohio.</w:t>
        </w:r>
        <w:r>
          <w:rPr>
            <w:noProof/>
            <w:webHidden/>
          </w:rPr>
          <w:tab/>
        </w:r>
        <w:r>
          <w:rPr>
            <w:noProof/>
            <w:webHidden/>
          </w:rPr>
          <w:fldChar w:fldCharType="begin"/>
        </w:r>
        <w:r>
          <w:rPr>
            <w:noProof/>
            <w:webHidden/>
          </w:rPr>
          <w:instrText xml:space="preserve"> PAGEREF _Toc123050552 \h </w:instrText>
        </w:r>
        <w:r>
          <w:rPr>
            <w:noProof/>
            <w:webHidden/>
          </w:rPr>
          <w:fldChar w:fldCharType="separate"/>
        </w:r>
        <w:r>
          <w:rPr>
            <w:noProof/>
            <w:webHidden/>
          </w:rPr>
          <w:t>26</w:t>
        </w:r>
        <w:r>
          <w:rPr>
            <w:noProof/>
            <w:webHidden/>
          </w:rPr>
          <w:fldChar w:fldCharType="end"/>
        </w:r>
      </w:hyperlink>
    </w:p>
    <w:p w:rsidR="00CB6B31" w14:paraId="7003622E" w14:textId="047AEED8">
      <w:pPr>
        <w:pStyle w:val="TOC3"/>
        <w:tabs>
          <w:tab w:val="left" w:pos="2160"/>
        </w:tabs>
        <w:rPr>
          <w:rFonts w:asciiTheme="minorHAnsi" w:eastAsiaTheme="minorEastAsia" w:hAnsiTheme="minorHAnsi"/>
          <w:noProof/>
          <w:sz w:val="22"/>
        </w:rPr>
      </w:pPr>
      <w:hyperlink w:anchor="_Toc123050553" w:history="1">
        <w:r w:rsidRPr="00EE18E5">
          <w:rPr>
            <w:rStyle w:val="Hyperlink"/>
            <w:noProof/>
          </w:rPr>
          <w:t>3.</w:t>
        </w:r>
        <w:r>
          <w:rPr>
            <w:rFonts w:asciiTheme="minorHAnsi" w:eastAsiaTheme="minorEastAsia" w:hAnsiTheme="minorHAnsi"/>
            <w:noProof/>
            <w:sz w:val="22"/>
          </w:rPr>
          <w:tab/>
        </w:r>
        <w:r w:rsidRPr="00EE18E5">
          <w:rPr>
            <w:rStyle w:val="Hyperlink"/>
            <w:noProof/>
          </w:rPr>
          <w:t xml:space="preserve">ELPC and CUB Ohio improperly rely on OCC’s </w:t>
        </w:r>
        <w:r w:rsidR="00D249D3">
          <w:rPr>
            <w:rStyle w:val="Hyperlink"/>
            <w:noProof/>
          </w:rPr>
          <w:br/>
        </w:r>
        <w:r w:rsidRPr="00EE18E5">
          <w:rPr>
            <w:rStyle w:val="Hyperlink"/>
            <w:noProof/>
          </w:rPr>
          <w:t xml:space="preserve">litigation testimony to argue that the Settlement </w:t>
        </w:r>
        <w:r w:rsidR="00D249D3">
          <w:rPr>
            <w:rStyle w:val="Hyperlink"/>
            <w:noProof/>
          </w:rPr>
          <w:br/>
        </w:r>
        <w:r w:rsidRPr="00EE18E5">
          <w:rPr>
            <w:rStyle w:val="Hyperlink"/>
            <w:noProof/>
          </w:rPr>
          <w:t xml:space="preserve">violates regulatory principles. Their arguments should </w:t>
        </w:r>
        <w:r w:rsidR="00D249D3">
          <w:rPr>
            <w:rStyle w:val="Hyperlink"/>
            <w:noProof/>
          </w:rPr>
          <w:br/>
        </w:r>
        <w:r w:rsidRPr="00EE18E5">
          <w:rPr>
            <w:rStyle w:val="Hyperlink"/>
            <w:noProof/>
          </w:rPr>
          <w:t>be rejected.</w:t>
        </w:r>
        <w:r>
          <w:rPr>
            <w:noProof/>
            <w:webHidden/>
          </w:rPr>
          <w:tab/>
        </w:r>
        <w:r>
          <w:rPr>
            <w:noProof/>
            <w:webHidden/>
          </w:rPr>
          <w:fldChar w:fldCharType="begin"/>
        </w:r>
        <w:r>
          <w:rPr>
            <w:noProof/>
            <w:webHidden/>
          </w:rPr>
          <w:instrText xml:space="preserve"> PAGEREF _Toc123050553 \h </w:instrText>
        </w:r>
        <w:r>
          <w:rPr>
            <w:noProof/>
            <w:webHidden/>
          </w:rPr>
          <w:fldChar w:fldCharType="separate"/>
        </w:r>
        <w:r>
          <w:rPr>
            <w:noProof/>
            <w:webHidden/>
          </w:rPr>
          <w:t>27</w:t>
        </w:r>
        <w:r>
          <w:rPr>
            <w:noProof/>
            <w:webHidden/>
          </w:rPr>
          <w:fldChar w:fldCharType="end"/>
        </w:r>
      </w:hyperlink>
    </w:p>
    <w:p w:rsidR="00CB6B31" w14:paraId="4CDA7C11" w14:textId="2833374A">
      <w:pPr>
        <w:pStyle w:val="TOC1"/>
        <w:rPr>
          <w:rFonts w:asciiTheme="minorHAnsi" w:eastAsiaTheme="minorEastAsia" w:hAnsiTheme="minorHAnsi"/>
          <w:caps w:val="0"/>
          <w:noProof/>
          <w:sz w:val="22"/>
        </w:rPr>
      </w:pPr>
      <w:hyperlink w:anchor="_Toc123050554" w:history="1">
        <w:r w:rsidRPr="00EE18E5">
          <w:rPr>
            <w:rStyle w:val="Hyperlink"/>
            <w:noProof/>
          </w:rPr>
          <w:t>III.</w:t>
        </w:r>
        <w:r>
          <w:rPr>
            <w:rFonts w:asciiTheme="minorHAnsi" w:eastAsiaTheme="minorEastAsia" w:hAnsiTheme="minorHAnsi"/>
            <w:caps w:val="0"/>
            <w:noProof/>
            <w:sz w:val="22"/>
          </w:rPr>
          <w:tab/>
        </w:r>
        <w:r w:rsidRPr="00EE18E5">
          <w:rPr>
            <w:rStyle w:val="Hyperlink"/>
            <w:noProof/>
          </w:rPr>
          <w:t>CONCLUSION</w:t>
        </w:r>
        <w:r>
          <w:rPr>
            <w:noProof/>
            <w:webHidden/>
          </w:rPr>
          <w:tab/>
        </w:r>
        <w:r>
          <w:rPr>
            <w:noProof/>
            <w:webHidden/>
          </w:rPr>
          <w:fldChar w:fldCharType="begin"/>
        </w:r>
        <w:r>
          <w:rPr>
            <w:noProof/>
            <w:webHidden/>
          </w:rPr>
          <w:instrText xml:space="preserve"> PAGEREF _Toc123050554 \h </w:instrText>
        </w:r>
        <w:r>
          <w:rPr>
            <w:noProof/>
            <w:webHidden/>
          </w:rPr>
          <w:fldChar w:fldCharType="separate"/>
        </w:r>
        <w:r>
          <w:rPr>
            <w:noProof/>
            <w:webHidden/>
          </w:rPr>
          <w:t>29</w:t>
        </w:r>
        <w:r>
          <w:rPr>
            <w:noProof/>
            <w:webHidden/>
          </w:rPr>
          <w:fldChar w:fldCharType="end"/>
        </w:r>
      </w:hyperlink>
    </w:p>
    <w:p w:rsidR="00746981" w:rsidRPr="00C80BFE" w:rsidP="00746981" w14:paraId="60DD0CE4" w14:textId="74D66DAB">
      <w:pPr>
        <w:spacing w:after="0" w:line="240" w:lineRule="auto"/>
        <w:jc w:val="center"/>
        <w:rPr>
          <w:rFonts w:cs="Times New Roman"/>
          <w:b/>
          <w:szCs w:val="24"/>
        </w:rPr>
      </w:pPr>
      <w:r w:rsidRPr="00C80BFE">
        <w:rPr>
          <w:rFonts w:cs="Times New Roman"/>
          <w:b/>
          <w:caps/>
          <w:szCs w:val="24"/>
        </w:rPr>
        <w:fldChar w:fldCharType="end"/>
      </w:r>
    </w:p>
    <w:p w:rsidR="00746981" w:rsidRPr="00C80BFE" w:rsidP="00746981" w14:paraId="476A1D69" w14:textId="77777777">
      <w:pPr>
        <w:spacing w:after="0" w:line="240" w:lineRule="auto"/>
        <w:rPr>
          <w:rFonts w:cs="Times New Roman"/>
          <w:bCs/>
          <w:szCs w:val="24"/>
        </w:rPr>
      </w:pPr>
    </w:p>
    <w:p w:rsidR="00746981" w:rsidRPr="00C80BFE" w:rsidP="00746981" w14:paraId="3A7C4EC8" w14:textId="77777777">
      <w:pPr>
        <w:spacing w:after="0" w:line="240" w:lineRule="auto"/>
        <w:rPr>
          <w:rFonts w:cs="Times New Roman"/>
          <w:bCs/>
          <w:szCs w:val="24"/>
        </w:rPr>
        <w:sectPr w:rsidSect="00746981">
          <w:footerReference w:type="default" r:id="rId9"/>
          <w:pgSz w:w="12240" w:h="15840"/>
          <w:pgMar w:top="1440" w:right="1800" w:bottom="1440" w:left="1800" w:header="720" w:footer="720" w:gutter="0"/>
          <w:pgNumType w:fmt="lowerRoman" w:start="1"/>
          <w:cols w:space="720"/>
          <w:docGrid w:linePitch="360"/>
        </w:sectPr>
      </w:pPr>
    </w:p>
    <w:p w:rsidR="00496468" w:rsidRPr="00C80BFE" w:rsidP="00496468" w14:paraId="6DD4C409" w14:textId="77777777">
      <w:pPr>
        <w:pStyle w:val="Title"/>
        <w:rPr>
          <w:sz w:val="24"/>
          <w:szCs w:val="24"/>
        </w:rPr>
      </w:pPr>
      <w:r w:rsidRPr="00C80BFE">
        <w:rPr>
          <w:sz w:val="24"/>
          <w:szCs w:val="24"/>
        </w:rPr>
        <w:t>BEFORE</w:t>
      </w:r>
    </w:p>
    <w:p w:rsidR="00496468" w:rsidRPr="00C80BFE" w:rsidP="00E16426" w14:paraId="16718036" w14:textId="77777777">
      <w:pPr>
        <w:spacing w:after="0"/>
        <w:jc w:val="center"/>
        <w:rPr>
          <w:rFonts w:cs="Times New Roman"/>
          <w:b/>
          <w:szCs w:val="24"/>
        </w:rPr>
      </w:pPr>
      <w:r w:rsidRPr="00C80BFE">
        <w:rPr>
          <w:rFonts w:cs="Times New Roman"/>
          <w:b/>
          <w:szCs w:val="24"/>
        </w:rPr>
        <w:t>THE PUBLIC UTILITIES COMMISSION OF OHIO</w:t>
      </w:r>
    </w:p>
    <w:p w:rsidR="00496468" w:rsidRPr="00C80BFE" w:rsidP="00496468" w14:paraId="1B5063AC"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3AD33358" w14:textId="77777777" w:rsidTr="003C37F4">
        <w:tblPrEx>
          <w:tblW w:w="9092" w:type="dxa"/>
          <w:tblLook w:val="01E0"/>
        </w:tblPrEx>
        <w:trPr>
          <w:trHeight w:val="807"/>
        </w:trPr>
        <w:tc>
          <w:tcPr>
            <w:tcW w:w="4332" w:type="dxa"/>
            <w:shd w:val="clear" w:color="auto" w:fill="auto"/>
          </w:tcPr>
          <w:p w:rsidR="00496468" w:rsidRPr="00C80BFE" w:rsidP="003C37F4" w14:paraId="760C7EF8"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496468" w:rsidRPr="00C80BFE" w:rsidP="003C37F4" w14:paraId="586FE6DB" w14:textId="77777777">
            <w:pPr>
              <w:pStyle w:val="HTMLPreformatted"/>
              <w:rPr>
                <w:rFonts w:ascii="Times New Roman" w:hAnsi="Times New Roman" w:cs="Times New Roman"/>
                <w:sz w:val="24"/>
                <w:szCs w:val="24"/>
              </w:rPr>
            </w:pPr>
          </w:p>
          <w:p w:rsidR="00496468" w:rsidRPr="00C80BFE" w:rsidP="003C37F4" w14:paraId="57F835A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an Alternative Form of Regulation.</w:t>
            </w:r>
          </w:p>
          <w:p w:rsidR="00496468" w:rsidRPr="00C80BFE" w:rsidP="003C37F4" w14:paraId="682F1631" w14:textId="77777777">
            <w:pPr>
              <w:pStyle w:val="HTMLPreformatted"/>
              <w:rPr>
                <w:rFonts w:ascii="Times New Roman" w:hAnsi="Times New Roman" w:cs="Times New Roman"/>
                <w:sz w:val="24"/>
                <w:szCs w:val="24"/>
              </w:rPr>
            </w:pPr>
          </w:p>
          <w:p w:rsidR="00496468" w:rsidRPr="00C80BFE" w:rsidP="003C37F4" w14:paraId="71733D6D"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496468" w:rsidRPr="00C80BFE" w:rsidP="003C37F4" w14:paraId="6D086074" w14:textId="77777777">
            <w:pPr>
              <w:pStyle w:val="HTMLPreformatted"/>
              <w:rPr>
                <w:rFonts w:ascii="Times New Roman" w:hAnsi="Times New Roman" w:cs="Times New Roman"/>
                <w:sz w:val="24"/>
                <w:szCs w:val="24"/>
              </w:rPr>
            </w:pPr>
          </w:p>
          <w:p w:rsidR="00496468" w:rsidRPr="00C80BFE" w:rsidP="003C37F4" w14:paraId="756924A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In the Matter of the Application of Columbia Gas of Ohio, Inc. for Approval to Change Accounting Methods.</w:t>
            </w:r>
          </w:p>
        </w:tc>
        <w:tc>
          <w:tcPr>
            <w:tcW w:w="360" w:type="dxa"/>
            <w:shd w:val="clear" w:color="auto" w:fill="auto"/>
          </w:tcPr>
          <w:p w:rsidR="00496468" w:rsidRPr="00C80BFE" w:rsidP="003C37F4" w14:paraId="5DB0AEED"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E33AF3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7FD580C8"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CBA7483"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814A92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BAABFD2" w14:textId="77777777">
            <w:pPr>
              <w:pStyle w:val="HTMLPreformatted"/>
              <w:rPr>
                <w:rFonts w:ascii="Times New Roman" w:hAnsi="Times New Roman" w:cs="Times New Roman"/>
                <w:sz w:val="24"/>
                <w:szCs w:val="24"/>
              </w:rPr>
            </w:pPr>
          </w:p>
          <w:p w:rsidR="00496468" w:rsidRPr="00C80BFE" w:rsidP="003C37F4" w14:paraId="508DB607"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678D031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27BD1779"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1C3A4FAE" w14:textId="77777777">
            <w:pPr>
              <w:pStyle w:val="HTMLPreformatted"/>
              <w:rPr>
                <w:rFonts w:ascii="Times New Roman" w:hAnsi="Times New Roman" w:cs="Times New Roman"/>
                <w:sz w:val="24"/>
                <w:szCs w:val="24"/>
              </w:rPr>
            </w:pPr>
          </w:p>
          <w:p w:rsidR="00496468" w:rsidRPr="00C80BFE" w:rsidP="003C37F4" w14:paraId="040F8E1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63CA036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57F28A5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0EB1533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43D14BC1"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4F53F37E" w14:textId="77777777">
            <w:pPr>
              <w:pStyle w:val="HTMLPreformatted"/>
              <w:rPr>
                <w:rFonts w:ascii="Times New Roman" w:hAnsi="Times New Roman" w:cs="Times New Roman"/>
                <w:sz w:val="24"/>
                <w:szCs w:val="24"/>
              </w:rPr>
            </w:pPr>
          </w:p>
          <w:p w:rsidR="00496468" w:rsidRPr="00C80BFE" w:rsidP="003C37F4" w14:paraId="62B1147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3E6A33EE"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p w:rsidR="00496468" w:rsidRPr="00C80BFE" w:rsidP="003C37F4" w14:paraId="0B56F520"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w:t>
            </w:r>
          </w:p>
        </w:tc>
        <w:tc>
          <w:tcPr>
            <w:tcW w:w="4400" w:type="dxa"/>
            <w:shd w:val="clear" w:color="auto" w:fill="auto"/>
          </w:tcPr>
          <w:p w:rsidR="00496468" w:rsidRPr="00C80BFE" w:rsidP="003C37F4" w14:paraId="220680ED" w14:textId="77777777">
            <w:pPr>
              <w:pStyle w:val="HTMLPreformatted"/>
              <w:rPr>
                <w:rFonts w:ascii="Times New Roman" w:hAnsi="Times New Roman" w:cs="Times New Roman"/>
                <w:sz w:val="24"/>
                <w:szCs w:val="24"/>
              </w:rPr>
            </w:pPr>
          </w:p>
          <w:p w:rsidR="00496468" w:rsidRPr="00C80BFE" w:rsidP="003C37F4" w14:paraId="6E8CD5B1" w14:textId="77777777">
            <w:pPr>
              <w:pStyle w:val="HTMLPreformatted"/>
              <w:rPr>
                <w:rFonts w:ascii="Times New Roman" w:hAnsi="Times New Roman" w:cs="Times New Roman"/>
                <w:sz w:val="24"/>
                <w:szCs w:val="24"/>
              </w:rPr>
            </w:pPr>
          </w:p>
          <w:p w:rsidR="00496468" w:rsidRPr="00C80BFE" w:rsidP="003C37F4" w14:paraId="2BEEE016"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21-637-GA-AIR</w:t>
            </w:r>
          </w:p>
          <w:p w:rsidR="00496468" w:rsidRPr="00C80BFE" w:rsidP="003C37F4" w14:paraId="06177E58" w14:textId="77777777">
            <w:pPr>
              <w:pStyle w:val="HTMLPreformatted"/>
              <w:rPr>
                <w:rFonts w:ascii="Times New Roman" w:hAnsi="Times New Roman" w:cs="Times New Roman"/>
                <w:sz w:val="24"/>
                <w:szCs w:val="24"/>
              </w:rPr>
            </w:pPr>
          </w:p>
          <w:p w:rsidR="00496468" w:rsidRPr="00C80BFE" w:rsidP="003C37F4" w14:paraId="4E569AFC" w14:textId="77777777">
            <w:pPr>
              <w:pStyle w:val="HTMLPreformatted"/>
              <w:rPr>
                <w:rFonts w:ascii="Times New Roman" w:hAnsi="Times New Roman" w:cs="Times New Roman"/>
                <w:sz w:val="24"/>
                <w:szCs w:val="24"/>
              </w:rPr>
            </w:pPr>
          </w:p>
          <w:p w:rsidR="00496468" w:rsidRPr="00C80BFE" w:rsidP="003C37F4" w14:paraId="6B84850B" w14:textId="77777777">
            <w:pPr>
              <w:pStyle w:val="HTMLPreformatted"/>
              <w:rPr>
                <w:rFonts w:ascii="Times New Roman" w:hAnsi="Times New Roman" w:cs="Times New Roman"/>
                <w:sz w:val="24"/>
                <w:szCs w:val="24"/>
              </w:rPr>
            </w:pPr>
          </w:p>
          <w:p w:rsidR="00496468" w:rsidRPr="00C80BFE" w:rsidP="003C37F4" w14:paraId="55F0EC7C" w14:textId="77777777">
            <w:pPr>
              <w:pStyle w:val="HTMLPreformatted"/>
              <w:rPr>
                <w:rFonts w:ascii="Times New Roman" w:hAnsi="Times New Roman" w:cs="Times New Roman"/>
                <w:sz w:val="24"/>
                <w:szCs w:val="24"/>
              </w:rPr>
            </w:pPr>
          </w:p>
          <w:p w:rsidR="00496468" w:rsidRPr="00C80BFE" w:rsidP="003C37F4" w14:paraId="16AD23B2"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21-638-GA-ALT</w:t>
            </w:r>
          </w:p>
          <w:p w:rsidR="00496468" w:rsidRPr="00C80BFE" w:rsidP="003C37F4" w14:paraId="0B3F248E" w14:textId="77777777">
            <w:pPr>
              <w:pStyle w:val="HTMLPreformatted"/>
              <w:rPr>
                <w:rFonts w:ascii="Times New Roman" w:hAnsi="Times New Roman" w:cs="Times New Roman"/>
                <w:sz w:val="24"/>
                <w:szCs w:val="24"/>
              </w:rPr>
            </w:pPr>
          </w:p>
          <w:p w:rsidR="00496468" w:rsidRPr="00C80BFE" w:rsidP="003C37F4" w14:paraId="106A1A9B" w14:textId="77777777">
            <w:pPr>
              <w:pStyle w:val="HTMLPreformatted"/>
              <w:rPr>
                <w:rFonts w:ascii="Times New Roman" w:hAnsi="Times New Roman" w:cs="Times New Roman"/>
                <w:sz w:val="24"/>
                <w:szCs w:val="24"/>
              </w:rPr>
            </w:pPr>
          </w:p>
          <w:p w:rsidR="00496468" w:rsidRPr="00C80BFE" w:rsidP="003C37F4" w14:paraId="518B5691" w14:textId="77777777">
            <w:pPr>
              <w:pStyle w:val="HTMLPreformatted"/>
              <w:rPr>
                <w:rFonts w:ascii="Times New Roman" w:hAnsi="Times New Roman" w:cs="Times New Roman"/>
                <w:sz w:val="24"/>
                <w:szCs w:val="24"/>
              </w:rPr>
            </w:pPr>
          </w:p>
          <w:p w:rsidR="00496468" w:rsidRPr="00C80BFE" w:rsidP="003C37F4" w14:paraId="6984E399" w14:textId="77777777">
            <w:pPr>
              <w:pStyle w:val="HTMLPreformatted"/>
              <w:rPr>
                <w:rFonts w:ascii="Times New Roman" w:hAnsi="Times New Roman" w:cs="Times New Roman"/>
                <w:sz w:val="24"/>
                <w:szCs w:val="24"/>
              </w:rPr>
            </w:pPr>
          </w:p>
          <w:p w:rsidR="00496468" w:rsidRPr="00C80BFE" w:rsidP="003C37F4" w14:paraId="2A1C4624"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21-639-GA-UNC</w:t>
            </w:r>
          </w:p>
          <w:p w:rsidR="00496468" w:rsidRPr="00C80BFE" w:rsidP="003C37F4" w14:paraId="19BB9997" w14:textId="77777777">
            <w:pPr>
              <w:pStyle w:val="HTMLPreformatted"/>
              <w:rPr>
                <w:rFonts w:ascii="Times New Roman" w:hAnsi="Times New Roman" w:cs="Times New Roman"/>
                <w:sz w:val="24"/>
                <w:szCs w:val="24"/>
              </w:rPr>
            </w:pPr>
          </w:p>
          <w:p w:rsidR="00496468" w:rsidRPr="00C80BFE" w:rsidP="003C37F4" w14:paraId="4CFFE669" w14:textId="77777777">
            <w:pPr>
              <w:pStyle w:val="HTMLPreformatted"/>
              <w:rPr>
                <w:rFonts w:ascii="Times New Roman" w:hAnsi="Times New Roman" w:cs="Times New Roman"/>
                <w:sz w:val="24"/>
                <w:szCs w:val="24"/>
              </w:rPr>
            </w:pPr>
          </w:p>
          <w:p w:rsidR="00496468" w:rsidRPr="00C80BFE" w:rsidP="003C37F4" w14:paraId="10371899" w14:textId="77777777">
            <w:pPr>
              <w:pStyle w:val="HTMLPreformatted"/>
              <w:rPr>
                <w:rFonts w:ascii="Times New Roman" w:hAnsi="Times New Roman" w:cs="Times New Roman"/>
                <w:sz w:val="24"/>
                <w:szCs w:val="24"/>
              </w:rPr>
            </w:pPr>
          </w:p>
          <w:p w:rsidR="00496468" w:rsidRPr="00C80BFE" w:rsidP="003C37F4" w14:paraId="2CB75FE1" w14:textId="77777777">
            <w:pPr>
              <w:pStyle w:val="HTMLPreformatted"/>
              <w:rPr>
                <w:rFonts w:ascii="Times New Roman" w:hAnsi="Times New Roman" w:cs="Times New Roman"/>
                <w:sz w:val="24"/>
                <w:szCs w:val="24"/>
              </w:rPr>
            </w:pPr>
          </w:p>
          <w:p w:rsidR="00496468" w:rsidRPr="00C80BFE" w:rsidP="003C37F4" w14:paraId="11E5FA5B" w14:textId="77777777">
            <w:pPr>
              <w:pStyle w:val="HTMLPreformatted"/>
              <w:rPr>
                <w:rFonts w:ascii="Times New Roman" w:hAnsi="Times New Roman" w:cs="Times New Roman"/>
                <w:sz w:val="24"/>
                <w:szCs w:val="24"/>
              </w:rPr>
            </w:pPr>
            <w:r w:rsidRPr="00C80BFE">
              <w:rPr>
                <w:rFonts w:ascii="Times New Roman" w:hAnsi="Times New Roman" w:cs="Times New Roman"/>
                <w:sz w:val="24"/>
                <w:szCs w:val="24"/>
              </w:rPr>
              <w:t>Case No. 21-640-GA-AAM</w:t>
            </w:r>
          </w:p>
          <w:p w:rsidR="00496468" w:rsidRPr="00C80BFE" w:rsidP="003C37F4" w14:paraId="3EC230B4" w14:textId="77777777">
            <w:pPr>
              <w:pStyle w:val="HTMLPreformatted"/>
              <w:rPr>
                <w:rFonts w:ascii="Times New Roman" w:hAnsi="Times New Roman" w:cs="Times New Roman"/>
                <w:sz w:val="24"/>
                <w:szCs w:val="24"/>
              </w:rPr>
            </w:pPr>
          </w:p>
        </w:tc>
      </w:tr>
    </w:tbl>
    <w:p w:rsidR="00496468" w:rsidRPr="00C80BFE" w:rsidP="00E16426" w14:paraId="53659B86" w14:textId="77777777">
      <w:pPr>
        <w:spacing w:after="0"/>
        <w:rPr>
          <w:rFonts w:cs="Times New Roman"/>
          <w:szCs w:val="24"/>
        </w:rPr>
      </w:pPr>
    </w:p>
    <w:p w:rsidR="00496468" w:rsidRPr="00C80BFE" w:rsidP="00496468" w14:paraId="7C0C3460" w14:textId="77777777">
      <w:pPr>
        <w:pBdr>
          <w:top w:val="single" w:sz="12" w:space="1" w:color="auto"/>
        </w:pBdr>
        <w:spacing w:after="0"/>
        <w:rPr>
          <w:rFonts w:cs="Times New Roman"/>
          <w:szCs w:val="24"/>
        </w:rPr>
      </w:pPr>
    </w:p>
    <w:p w:rsidR="00496468" w:rsidRPr="00C80BFE" w:rsidP="00496468" w14:paraId="7B4238C3" w14:textId="5AE1B25E">
      <w:pPr>
        <w:spacing w:after="0"/>
        <w:jc w:val="center"/>
        <w:rPr>
          <w:rFonts w:cs="Times New Roman"/>
          <w:b/>
          <w:szCs w:val="24"/>
        </w:rPr>
      </w:pPr>
      <w:r w:rsidRPr="00C80BFE">
        <w:rPr>
          <w:rFonts w:cs="Times New Roman"/>
          <w:b/>
          <w:szCs w:val="24"/>
        </w:rPr>
        <w:t xml:space="preserve">REPLY </w:t>
      </w:r>
      <w:r w:rsidRPr="00C80BFE">
        <w:rPr>
          <w:rFonts w:cs="Times New Roman"/>
          <w:b/>
          <w:szCs w:val="24"/>
        </w:rPr>
        <w:t>BRIEF</w:t>
      </w:r>
    </w:p>
    <w:p w:rsidR="00496468" w:rsidRPr="00C80BFE" w:rsidP="00496468" w14:paraId="368894A4" w14:textId="77777777">
      <w:pPr>
        <w:spacing w:after="0"/>
        <w:jc w:val="center"/>
        <w:rPr>
          <w:rFonts w:cs="Times New Roman"/>
          <w:b/>
          <w:szCs w:val="24"/>
        </w:rPr>
      </w:pPr>
      <w:r w:rsidRPr="00C80BFE">
        <w:rPr>
          <w:rFonts w:cs="Times New Roman"/>
          <w:b/>
          <w:szCs w:val="24"/>
        </w:rPr>
        <w:t>BY</w:t>
      </w:r>
    </w:p>
    <w:p w:rsidR="00496468" w:rsidRPr="00C80BFE" w:rsidP="00496468" w14:paraId="30BB1E89" w14:textId="77777777">
      <w:pPr>
        <w:spacing w:after="0"/>
        <w:jc w:val="center"/>
        <w:rPr>
          <w:rFonts w:cs="Times New Roman"/>
          <w:b/>
          <w:szCs w:val="24"/>
        </w:rPr>
      </w:pPr>
      <w:r w:rsidRPr="00C80BFE">
        <w:rPr>
          <w:rFonts w:cs="Times New Roman"/>
          <w:b/>
          <w:szCs w:val="24"/>
        </w:rPr>
        <w:t>OFFICE OF THE OHIO CONSUMERS’ COUNSEL</w:t>
      </w:r>
    </w:p>
    <w:p w:rsidR="00496468" w:rsidRPr="00C80BFE" w:rsidP="00496468" w14:paraId="158F4823" w14:textId="77777777">
      <w:pPr>
        <w:pBdr>
          <w:bottom w:val="single" w:sz="12" w:space="1" w:color="auto"/>
        </w:pBdr>
        <w:rPr>
          <w:rFonts w:cs="Times New Roman"/>
          <w:szCs w:val="24"/>
        </w:rPr>
      </w:pPr>
    </w:p>
    <w:p w:rsidR="00CB0EBA" w:rsidRPr="00C80BFE" w:rsidP="00165096" w14:paraId="35414BB6" w14:textId="2602D144">
      <w:pPr>
        <w:pStyle w:val="Heading1"/>
        <w:rPr>
          <w:rStyle w:val="Heading1Char"/>
          <w:b/>
          <w:bCs/>
        </w:rPr>
      </w:pPr>
      <w:bookmarkStart w:id="0" w:name="_Toc123050539"/>
      <w:r w:rsidRPr="00C80BFE">
        <w:rPr>
          <w:rStyle w:val="Heading1Char"/>
          <w:b/>
          <w:bCs/>
        </w:rPr>
        <w:t>INTRODUCTION</w:t>
      </w:r>
      <w:bookmarkEnd w:id="0"/>
    </w:p>
    <w:p w:rsidR="00A94EF4" w:rsidRPr="00C80BFE" w:rsidP="006D5296" w14:paraId="005B1EFF" w14:textId="7494F95B">
      <w:pPr>
        <w:spacing w:before="240" w:after="0" w:line="480" w:lineRule="auto"/>
        <w:ind w:firstLine="720"/>
        <w:rPr>
          <w:rFonts w:cs="Times New Roman"/>
          <w:szCs w:val="24"/>
        </w:rPr>
      </w:pPr>
      <w:r w:rsidRPr="00C80BFE">
        <w:rPr>
          <w:rFonts w:cs="Times New Roman"/>
          <w:szCs w:val="24"/>
        </w:rPr>
        <w:t>A d</w:t>
      </w:r>
      <w:r w:rsidRPr="00C80BFE" w:rsidR="0037271E">
        <w:rPr>
          <w:rFonts w:cs="Times New Roman"/>
          <w:szCs w:val="24"/>
        </w:rPr>
        <w:t>iverse</w:t>
      </w:r>
      <w:r w:rsidRPr="00C80BFE">
        <w:rPr>
          <w:rFonts w:cs="Times New Roman"/>
          <w:szCs w:val="24"/>
        </w:rPr>
        <w:t xml:space="preserve"> group of</w:t>
      </w:r>
      <w:r w:rsidRPr="00C80BFE" w:rsidR="0037271E">
        <w:rPr>
          <w:rFonts w:cs="Times New Roman"/>
          <w:szCs w:val="24"/>
        </w:rPr>
        <w:t xml:space="preserve"> parties, including t</w:t>
      </w:r>
      <w:r w:rsidRPr="00C80BFE" w:rsidR="00E430F3">
        <w:rPr>
          <w:rFonts w:cs="Times New Roman"/>
          <w:szCs w:val="24"/>
        </w:rPr>
        <w:t xml:space="preserve">he Office of the Ohio Consumers’ Counsel (“OCC”), the </w:t>
      </w:r>
      <w:r w:rsidRPr="00C80BFE" w:rsidR="006D5296">
        <w:rPr>
          <w:rFonts w:cs="Times New Roman"/>
          <w:szCs w:val="24"/>
        </w:rPr>
        <w:t>Staff of the Public Utilities Commission of Ohio (“PUCO”), Columbia</w:t>
      </w:r>
      <w:r w:rsidRPr="00C80BFE" w:rsidR="00CF4E3A">
        <w:rPr>
          <w:rFonts w:cs="Times New Roman"/>
          <w:szCs w:val="24"/>
        </w:rPr>
        <w:t xml:space="preserve"> Gas</w:t>
      </w:r>
      <w:r w:rsidRPr="00C80BFE" w:rsidR="006D5296">
        <w:rPr>
          <w:rFonts w:cs="Times New Roman"/>
          <w:szCs w:val="24"/>
        </w:rPr>
        <w:t>, and other</w:t>
      </w:r>
      <w:r w:rsidRPr="00C80BFE">
        <w:rPr>
          <w:rFonts w:cs="Times New Roman"/>
          <w:szCs w:val="24"/>
        </w:rPr>
        <w:t>s</w:t>
      </w:r>
      <w:r w:rsidRPr="00C80BFE" w:rsidR="0037271E">
        <w:rPr>
          <w:rFonts w:cs="Times New Roman"/>
          <w:szCs w:val="24"/>
        </w:rPr>
        <w:t>,</w:t>
      </w:r>
      <w:r w:rsidRPr="00C80BFE" w:rsidR="006D5296">
        <w:rPr>
          <w:rFonts w:cs="Times New Roman"/>
          <w:szCs w:val="24"/>
        </w:rPr>
        <w:t xml:space="preserve"> reached a</w:t>
      </w:r>
      <w:r w:rsidRPr="00C80BFE" w:rsidR="00131952">
        <w:rPr>
          <w:rFonts w:cs="Times New Roman"/>
          <w:szCs w:val="24"/>
        </w:rPr>
        <w:t xml:space="preserve"> settlement </w:t>
      </w:r>
      <w:r w:rsidRPr="00C80BFE" w:rsidR="00DB5FDD">
        <w:rPr>
          <w:rFonts w:cs="Times New Roman"/>
          <w:szCs w:val="24"/>
        </w:rPr>
        <w:t xml:space="preserve">in several ratemaking cases </w:t>
      </w:r>
      <w:r w:rsidRPr="00C80BFE" w:rsidR="006D5296">
        <w:rPr>
          <w:rFonts w:cs="Times New Roman"/>
          <w:szCs w:val="24"/>
        </w:rPr>
        <w:t>after negotiati</w:t>
      </w:r>
      <w:r w:rsidRPr="00C80BFE" w:rsidR="006442CD">
        <w:rPr>
          <w:rFonts w:cs="Times New Roman"/>
          <w:szCs w:val="24"/>
        </w:rPr>
        <w:t xml:space="preserve">ng for </w:t>
      </w:r>
      <w:r w:rsidRPr="00C80BFE" w:rsidR="006D5296">
        <w:rPr>
          <w:rFonts w:cs="Times New Roman"/>
          <w:szCs w:val="24"/>
        </w:rPr>
        <w:t>more than five months</w:t>
      </w:r>
      <w:r w:rsidRPr="00C80BFE" w:rsidR="006442CD">
        <w:rPr>
          <w:rFonts w:cs="Times New Roman"/>
          <w:szCs w:val="24"/>
        </w:rPr>
        <w:t xml:space="preserve">. </w:t>
      </w:r>
      <w:r w:rsidRPr="00C80BFE" w:rsidR="00112CC9">
        <w:rPr>
          <w:rFonts w:cs="Times New Roman"/>
          <w:szCs w:val="24"/>
        </w:rPr>
        <w:t>The Settlement</w:t>
      </w:r>
      <w:r w:rsidRPr="00C80BFE" w:rsidR="006442CD">
        <w:rPr>
          <w:rFonts w:cs="Times New Roman"/>
          <w:szCs w:val="24"/>
        </w:rPr>
        <w:t xml:space="preserve"> was </w:t>
      </w:r>
      <w:r w:rsidRPr="00C80BFE" w:rsidR="0037271E">
        <w:rPr>
          <w:rFonts w:cs="Times New Roman"/>
          <w:szCs w:val="24"/>
        </w:rPr>
        <w:t xml:space="preserve">reached </w:t>
      </w:r>
      <w:r w:rsidRPr="00C80BFE" w:rsidR="005C650C">
        <w:rPr>
          <w:rFonts w:cs="Times New Roman"/>
          <w:szCs w:val="24"/>
        </w:rPr>
        <w:t>after</w:t>
      </w:r>
      <w:r w:rsidRPr="00C80BFE" w:rsidR="006442CD">
        <w:rPr>
          <w:rFonts w:cs="Times New Roman"/>
          <w:szCs w:val="24"/>
        </w:rPr>
        <w:t xml:space="preserve"> </w:t>
      </w:r>
      <w:r w:rsidRPr="00C80BFE" w:rsidR="0037271E">
        <w:rPr>
          <w:rFonts w:cs="Times New Roman"/>
          <w:szCs w:val="24"/>
        </w:rPr>
        <w:t xml:space="preserve">case </w:t>
      </w:r>
      <w:r w:rsidRPr="00C80BFE" w:rsidR="006442CD">
        <w:rPr>
          <w:rFonts w:cs="Times New Roman"/>
          <w:szCs w:val="24"/>
        </w:rPr>
        <w:t>preparation</w:t>
      </w:r>
      <w:r w:rsidRPr="00C80BFE" w:rsidR="0037271E">
        <w:rPr>
          <w:rFonts w:cs="Times New Roman"/>
          <w:szCs w:val="24"/>
        </w:rPr>
        <w:t xml:space="preserve"> (which included the opportunity for extensive discovery</w:t>
      </w:r>
      <w:r w:rsidRPr="00C80BFE" w:rsidR="008F3F49">
        <w:rPr>
          <w:rFonts w:cs="Times New Roman"/>
          <w:szCs w:val="24"/>
        </w:rPr>
        <w:t xml:space="preserve"> of Columbia</w:t>
      </w:r>
      <w:r w:rsidRPr="00C80BFE">
        <w:rPr>
          <w:rFonts w:cs="Times New Roman"/>
          <w:szCs w:val="24"/>
        </w:rPr>
        <w:t>’s case</w:t>
      </w:r>
      <w:r w:rsidRPr="00C80BFE" w:rsidR="0037271E">
        <w:rPr>
          <w:rFonts w:cs="Times New Roman"/>
          <w:szCs w:val="24"/>
        </w:rPr>
        <w:t>)</w:t>
      </w:r>
      <w:r w:rsidRPr="00C80BFE" w:rsidR="006442CD">
        <w:rPr>
          <w:rFonts w:cs="Times New Roman"/>
          <w:szCs w:val="24"/>
        </w:rPr>
        <w:t xml:space="preserve"> had been ongoing</w:t>
      </w:r>
      <w:r w:rsidRPr="00C80BFE" w:rsidR="0037271E">
        <w:rPr>
          <w:rFonts w:cs="Times New Roman"/>
          <w:szCs w:val="24"/>
        </w:rPr>
        <w:t xml:space="preserve"> </w:t>
      </w:r>
      <w:r w:rsidRPr="00C80BFE" w:rsidR="006442CD">
        <w:rPr>
          <w:rFonts w:cs="Times New Roman"/>
          <w:szCs w:val="24"/>
        </w:rPr>
        <w:t>for</w:t>
      </w:r>
      <w:r w:rsidRPr="00C80BFE" w:rsidR="0037271E">
        <w:rPr>
          <w:rFonts w:cs="Times New Roman"/>
          <w:szCs w:val="24"/>
        </w:rPr>
        <w:t xml:space="preserve"> </w:t>
      </w:r>
      <w:r w:rsidRPr="00C80BFE" w:rsidR="006554B3">
        <w:rPr>
          <w:rFonts w:cs="Times New Roman"/>
          <w:szCs w:val="24"/>
        </w:rPr>
        <w:t>more than</w:t>
      </w:r>
      <w:r w:rsidRPr="00C80BFE" w:rsidR="006442CD">
        <w:rPr>
          <w:rFonts w:cs="Times New Roman"/>
          <w:szCs w:val="24"/>
        </w:rPr>
        <w:t xml:space="preserve"> a year</w:t>
      </w:r>
      <w:r w:rsidRPr="00C80BFE" w:rsidR="006D5296">
        <w:rPr>
          <w:rFonts w:cs="Times New Roman"/>
          <w:szCs w:val="24"/>
        </w:rPr>
        <w:t xml:space="preserve">. </w:t>
      </w:r>
    </w:p>
    <w:p w:rsidR="008A3396" w:rsidRPr="00C80BFE" w:rsidP="004938CB" w14:paraId="6E711654" w14:textId="21F47CD4">
      <w:pPr>
        <w:spacing w:after="0" w:line="480" w:lineRule="auto"/>
        <w:ind w:firstLine="720"/>
        <w:rPr>
          <w:rFonts w:eastAsia="Times New Roman" w:cs="Times New Roman"/>
          <w:szCs w:val="24"/>
        </w:rPr>
      </w:pPr>
      <w:r w:rsidRPr="00C80BFE">
        <w:rPr>
          <w:rFonts w:cs="Times New Roman"/>
          <w:szCs w:val="24"/>
        </w:rPr>
        <w:t xml:space="preserve">Three environmental </w:t>
      </w:r>
      <w:r w:rsidRPr="00C80BFE" w:rsidR="00D150A6">
        <w:rPr>
          <w:rFonts w:cs="Times New Roman"/>
          <w:szCs w:val="24"/>
        </w:rPr>
        <w:t>groups</w:t>
      </w:r>
      <w:r w:rsidRPr="00C80BFE" w:rsidR="006554B3">
        <w:rPr>
          <w:rFonts w:cs="Times New Roman"/>
          <w:szCs w:val="24"/>
        </w:rPr>
        <w:t xml:space="preserve"> </w:t>
      </w:r>
      <w:r w:rsidRPr="00C80BFE">
        <w:rPr>
          <w:rFonts w:cs="Times New Roman"/>
          <w:szCs w:val="24"/>
        </w:rPr>
        <w:t>oppose the Settlement</w:t>
      </w:r>
      <w:r w:rsidRPr="00C80BFE" w:rsidR="006554B3">
        <w:rPr>
          <w:rFonts w:cs="Times New Roman"/>
          <w:szCs w:val="24"/>
        </w:rPr>
        <w:t>.</w:t>
      </w:r>
      <w:r w:rsidRPr="00C80BFE">
        <w:rPr>
          <w:rFonts w:cs="Times New Roman"/>
          <w:szCs w:val="24"/>
        </w:rPr>
        <w:t xml:space="preserve"> </w:t>
      </w:r>
      <w:r w:rsidRPr="00C80BFE" w:rsidR="00794720">
        <w:rPr>
          <w:rFonts w:cs="Times New Roman"/>
          <w:szCs w:val="24"/>
        </w:rPr>
        <w:t xml:space="preserve">They are Environmental Law and Policy Center (“ELPC”), Ohio Partners for Affordable Energy (“OPAE”) and the Citizens Utility Board of Ohio (“CUB Ohio”) (collectively “Environmental Groups”). </w:t>
      </w:r>
      <w:r w:rsidRPr="00C80BFE" w:rsidR="00AC4054">
        <w:rPr>
          <w:rFonts w:cs="Times New Roman"/>
          <w:szCs w:val="24"/>
        </w:rPr>
        <w:t>They especially oppose the</w:t>
      </w:r>
      <w:r w:rsidRPr="00C80BFE" w:rsidR="009B1DFA">
        <w:rPr>
          <w:rFonts w:cs="Times New Roman"/>
          <w:szCs w:val="24"/>
        </w:rPr>
        <w:t xml:space="preserve"> Settlement’s</w:t>
      </w:r>
      <w:r w:rsidRPr="00C80BFE" w:rsidR="00AC4054">
        <w:rPr>
          <w:rFonts w:cs="Times New Roman"/>
          <w:szCs w:val="24"/>
        </w:rPr>
        <w:t xml:space="preserve"> rate design of high fixed charges</w:t>
      </w:r>
      <w:r w:rsidRPr="00C80BFE" w:rsidR="009B1DFA">
        <w:rPr>
          <w:rFonts w:cs="Times New Roman"/>
          <w:szCs w:val="24"/>
        </w:rPr>
        <w:t xml:space="preserve"> – </w:t>
      </w:r>
      <w:r w:rsidRPr="00C80BFE" w:rsidR="009B1DFA">
        <w:rPr>
          <w:rFonts w:cs="Times New Roman"/>
          <w:i/>
          <w:iCs/>
          <w:szCs w:val="24"/>
        </w:rPr>
        <w:t xml:space="preserve">an issue on which OCC and NOPEC did not </w:t>
      </w:r>
      <w:r w:rsidRPr="00C80BFE" w:rsidR="005171F8">
        <w:rPr>
          <w:rFonts w:cs="Times New Roman"/>
          <w:i/>
          <w:iCs/>
          <w:szCs w:val="24"/>
        </w:rPr>
        <w:t>take a position</w:t>
      </w:r>
      <w:r w:rsidRPr="00C80BFE" w:rsidR="00DB5FDD">
        <w:rPr>
          <w:rFonts w:cs="Times New Roman"/>
          <w:i/>
          <w:iCs/>
          <w:szCs w:val="24"/>
        </w:rPr>
        <w:t xml:space="preserve"> and reserved </w:t>
      </w:r>
      <w:r w:rsidRPr="00C80BFE" w:rsidR="00574093">
        <w:rPr>
          <w:rFonts w:cs="Times New Roman"/>
          <w:i/>
          <w:iCs/>
          <w:szCs w:val="24"/>
        </w:rPr>
        <w:t>our</w:t>
      </w:r>
      <w:r w:rsidRPr="00C80BFE" w:rsidR="00DB5FDD">
        <w:rPr>
          <w:rFonts w:cs="Times New Roman"/>
          <w:i/>
          <w:iCs/>
          <w:szCs w:val="24"/>
        </w:rPr>
        <w:t xml:space="preserve"> rights for the future</w:t>
      </w:r>
      <w:r w:rsidRPr="00C80BFE" w:rsidR="00AC4054">
        <w:rPr>
          <w:rFonts w:cs="Times New Roman"/>
          <w:szCs w:val="24"/>
        </w:rPr>
        <w:t>.</w:t>
      </w:r>
      <w:r>
        <w:rPr>
          <w:rStyle w:val="FootnoteReference"/>
          <w:rFonts w:cs="Times New Roman"/>
          <w:szCs w:val="24"/>
        </w:rPr>
        <w:footnoteReference w:id="2"/>
      </w:r>
      <w:r w:rsidRPr="00C80BFE" w:rsidR="00AC4054">
        <w:rPr>
          <w:rFonts w:cs="Times New Roman"/>
          <w:szCs w:val="24"/>
        </w:rPr>
        <w:t xml:space="preserve"> </w:t>
      </w:r>
      <w:r w:rsidRPr="00C80BFE" w:rsidR="0054631F">
        <w:rPr>
          <w:rFonts w:cs="Times New Roman"/>
          <w:szCs w:val="24"/>
        </w:rPr>
        <w:t xml:space="preserve">The Environmental Groups seem unwilling or unable to recognize the reality that OCC and others have been unable generally to make progress against high fixed charges in recent years at the PUCO. </w:t>
      </w:r>
    </w:p>
    <w:p w:rsidR="00B250C0" w:rsidRPr="00C80BFE" w:rsidP="004938CB" w14:paraId="76DA0050" w14:textId="24E75178">
      <w:pPr>
        <w:spacing w:after="0" w:line="480" w:lineRule="auto"/>
        <w:ind w:firstLine="720"/>
        <w:rPr>
          <w:rFonts w:cs="Times New Roman"/>
          <w:szCs w:val="24"/>
        </w:rPr>
      </w:pPr>
      <w:r w:rsidRPr="00C80BFE">
        <w:rPr>
          <w:rFonts w:cs="Times New Roman"/>
          <w:szCs w:val="24"/>
        </w:rPr>
        <w:t>But the</w:t>
      </w:r>
      <w:r w:rsidRPr="00C80BFE" w:rsidR="008E486D">
        <w:rPr>
          <w:rFonts w:cs="Times New Roman"/>
          <w:szCs w:val="24"/>
        </w:rPr>
        <w:t xml:space="preserve"> Environmental Groups</w:t>
      </w:r>
      <w:r w:rsidRPr="00C80BFE">
        <w:rPr>
          <w:rFonts w:cs="Times New Roman"/>
          <w:szCs w:val="24"/>
        </w:rPr>
        <w:t xml:space="preserve"> largely conceded to the revenue increases in the Settlement that are a key driver of high</w:t>
      </w:r>
      <w:r w:rsidRPr="00C80BFE" w:rsidR="00130FDB">
        <w:rPr>
          <w:rFonts w:cs="Times New Roman"/>
          <w:szCs w:val="24"/>
        </w:rPr>
        <w:t>er</w:t>
      </w:r>
      <w:r w:rsidRPr="00C80BFE">
        <w:rPr>
          <w:rFonts w:cs="Times New Roman"/>
          <w:szCs w:val="24"/>
        </w:rPr>
        <w:t xml:space="preserve"> fixed charges. Indeed, </w:t>
      </w:r>
      <w:r w:rsidRPr="00C80BFE" w:rsidR="00563B4E">
        <w:rPr>
          <w:rFonts w:cs="Times New Roman"/>
          <w:szCs w:val="24"/>
        </w:rPr>
        <w:t xml:space="preserve">ELPC </w:t>
      </w:r>
      <w:r w:rsidRPr="00C80BFE" w:rsidR="006554B3">
        <w:rPr>
          <w:rFonts w:cs="Times New Roman"/>
          <w:szCs w:val="24"/>
        </w:rPr>
        <w:t xml:space="preserve">expressly </w:t>
      </w:r>
      <w:r w:rsidRPr="00C80BFE" w:rsidR="00563B4E">
        <w:rPr>
          <w:rFonts w:cs="Times New Roman"/>
          <w:szCs w:val="24"/>
        </w:rPr>
        <w:t xml:space="preserve">stated in its brief that </w:t>
      </w:r>
      <w:r w:rsidRPr="00C80BFE" w:rsidR="005A7D12">
        <w:rPr>
          <w:rFonts w:cs="Times New Roman"/>
          <w:szCs w:val="24"/>
        </w:rPr>
        <w:t>it “does not question the amount of the rate increase….”</w:t>
      </w:r>
      <w:r w:rsidRPr="00C80BFE" w:rsidR="005A7D12">
        <w:rPr>
          <w:rStyle w:val="FootnoteReference"/>
          <w:rFonts w:cs="Times New Roman"/>
          <w:szCs w:val="24"/>
        </w:rPr>
        <w:t xml:space="preserve"> </w:t>
      </w:r>
      <w:r>
        <w:rPr>
          <w:rStyle w:val="FootnoteReference"/>
          <w:rFonts w:cs="Times New Roman"/>
          <w:szCs w:val="24"/>
        </w:rPr>
        <w:footnoteReference w:id="3"/>
      </w:r>
      <w:r w:rsidRPr="00C80BFE" w:rsidR="005460DC">
        <w:rPr>
          <w:rFonts w:cs="Times New Roman"/>
          <w:szCs w:val="24"/>
        </w:rPr>
        <w:t xml:space="preserve"> </w:t>
      </w:r>
      <w:r w:rsidRPr="00C80BFE" w:rsidR="00A94EF4">
        <w:rPr>
          <w:rFonts w:cs="Times New Roman"/>
          <w:szCs w:val="24"/>
        </w:rPr>
        <w:t>Similarly,</w:t>
      </w:r>
      <w:r w:rsidRPr="00C80BFE" w:rsidR="006554B3">
        <w:rPr>
          <w:rFonts w:cs="Times New Roman"/>
          <w:szCs w:val="24"/>
        </w:rPr>
        <w:t xml:space="preserve"> CUB Ohio and OPAE seem not to object </w:t>
      </w:r>
      <w:r w:rsidRPr="00C80BFE" w:rsidR="00A36059">
        <w:rPr>
          <w:rFonts w:cs="Times New Roman"/>
          <w:szCs w:val="24"/>
        </w:rPr>
        <w:t xml:space="preserve">with a specific proposal </w:t>
      </w:r>
      <w:r w:rsidRPr="00C80BFE" w:rsidR="00A94EF4">
        <w:rPr>
          <w:rFonts w:cs="Times New Roman"/>
          <w:szCs w:val="24"/>
        </w:rPr>
        <w:t xml:space="preserve">in their briefs </w:t>
      </w:r>
      <w:r w:rsidRPr="00C80BFE" w:rsidR="006554B3">
        <w:rPr>
          <w:rFonts w:cs="Times New Roman"/>
          <w:szCs w:val="24"/>
        </w:rPr>
        <w:t xml:space="preserve">to </w:t>
      </w:r>
      <w:r w:rsidRPr="00C80BFE" w:rsidR="00A36059">
        <w:rPr>
          <w:rFonts w:cs="Times New Roman"/>
          <w:szCs w:val="24"/>
        </w:rPr>
        <w:t>reduce the amount</w:t>
      </w:r>
      <w:r w:rsidRPr="00C80BFE" w:rsidR="006554B3">
        <w:rPr>
          <w:rFonts w:cs="Times New Roman"/>
          <w:szCs w:val="24"/>
        </w:rPr>
        <w:t xml:space="preserve"> of the</w:t>
      </w:r>
      <w:r w:rsidRPr="00C80BFE" w:rsidR="00A36059">
        <w:rPr>
          <w:rFonts w:cs="Times New Roman"/>
          <w:szCs w:val="24"/>
        </w:rPr>
        <w:t xml:space="preserve"> rate</w:t>
      </w:r>
      <w:r w:rsidRPr="00C80BFE" w:rsidR="006554B3">
        <w:rPr>
          <w:rFonts w:cs="Times New Roman"/>
          <w:szCs w:val="24"/>
        </w:rPr>
        <w:t xml:space="preserve"> inc</w:t>
      </w:r>
      <w:r w:rsidRPr="00C80BFE" w:rsidR="00A94EF4">
        <w:rPr>
          <w:rFonts w:cs="Times New Roman"/>
          <w:szCs w:val="24"/>
        </w:rPr>
        <w:t>r</w:t>
      </w:r>
      <w:r w:rsidRPr="00C80BFE" w:rsidR="006554B3">
        <w:rPr>
          <w:rFonts w:cs="Times New Roman"/>
          <w:szCs w:val="24"/>
        </w:rPr>
        <w:t>ease</w:t>
      </w:r>
      <w:r w:rsidRPr="00C80BFE" w:rsidR="003B1E01">
        <w:rPr>
          <w:rFonts w:cs="Times New Roman"/>
          <w:szCs w:val="24"/>
        </w:rPr>
        <w:t>.</w:t>
      </w:r>
      <w:r w:rsidRPr="00C80BFE" w:rsidR="00A94EF4">
        <w:rPr>
          <w:rFonts w:cs="Times New Roman"/>
          <w:szCs w:val="24"/>
        </w:rPr>
        <w:t xml:space="preserve"> </w:t>
      </w:r>
      <w:r w:rsidRPr="00C80BFE" w:rsidR="00C93594">
        <w:rPr>
          <w:rFonts w:cs="Times New Roman"/>
          <w:szCs w:val="24"/>
        </w:rPr>
        <w:t>Apparently</w:t>
      </w:r>
      <w:r w:rsidRPr="00C80BFE" w:rsidR="00427EB0">
        <w:rPr>
          <w:rFonts w:cs="Times New Roman"/>
          <w:szCs w:val="24"/>
        </w:rPr>
        <w:t xml:space="preserve">, despite </w:t>
      </w:r>
      <w:r w:rsidRPr="00C80BFE" w:rsidR="00FC28B1">
        <w:rPr>
          <w:rFonts w:cs="Times New Roman"/>
          <w:szCs w:val="24"/>
        </w:rPr>
        <w:t xml:space="preserve">their </w:t>
      </w:r>
      <w:r w:rsidRPr="00C80BFE" w:rsidR="00427EB0">
        <w:rPr>
          <w:rFonts w:cs="Times New Roman"/>
          <w:szCs w:val="24"/>
        </w:rPr>
        <w:t>complaining</w:t>
      </w:r>
      <w:r w:rsidRPr="00C80BFE" w:rsidR="00500F36">
        <w:rPr>
          <w:rFonts w:cs="Times New Roman"/>
          <w:szCs w:val="24"/>
        </w:rPr>
        <w:t xml:space="preserve"> about comparisons between the Settlement and Columbia’s original proposal</w:t>
      </w:r>
      <w:r w:rsidRPr="00C80BFE" w:rsidR="00427EB0">
        <w:rPr>
          <w:rFonts w:cs="Times New Roman"/>
          <w:szCs w:val="24"/>
        </w:rPr>
        <w:t>,</w:t>
      </w:r>
      <w:r w:rsidRPr="00C80BFE" w:rsidR="00C93594">
        <w:rPr>
          <w:rFonts w:cs="Times New Roman"/>
          <w:szCs w:val="24"/>
        </w:rPr>
        <w:t xml:space="preserve"> the </w:t>
      </w:r>
      <w:r w:rsidRPr="00C80BFE" w:rsidR="00794720">
        <w:rPr>
          <w:rFonts w:cs="Times New Roman"/>
          <w:szCs w:val="24"/>
        </w:rPr>
        <w:t>E</w:t>
      </w:r>
      <w:r w:rsidRPr="00C80BFE" w:rsidR="00C93594">
        <w:rPr>
          <w:rFonts w:cs="Times New Roman"/>
          <w:szCs w:val="24"/>
        </w:rPr>
        <w:t xml:space="preserve">nvironmental </w:t>
      </w:r>
      <w:r w:rsidRPr="00C80BFE" w:rsidR="00794720">
        <w:rPr>
          <w:rFonts w:cs="Times New Roman"/>
          <w:szCs w:val="24"/>
        </w:rPr>
        <w:t>G</w:t>
      </w:r>
      <w:r w:rsidRPr="00C80BFE" w:rsidR="00C93594">
        <w:rPr>
          <w:rFonts w:cs="Times New Roman"/>
          <w:szCs w:val="24"/>
        </w:rPr>
        <w:t xml:space="preserve">roups could not improve on the Settlement’s hefty cuts in Columbia’s </w:t>
      </w:r>
      <w:r w:rsidRPr="00C80BFE" w:rsidR="00794720">
        <w:rPr>
          <w:rFonts w:cs="Times New Roman"/>
          <w:szCs w:val="24"/>
        </w:rPr>
        <w:t>original</w:t>
      </w:r>
      <w:r w:rsidRPr="00C80BFE" w:rsidR="00460139">
        <w:rPr>
          <w:rFonts w:cs="Times New Roman"/>
          <w:szCs w:val="24"/>
        </w:rPr>
        <w:t>,</w:t>
      </w:r>
      <w:r w:rsidRPr="00C80BFE" w:rsidR="00794720">
        <w:rPr>
          <w:rFonts w:cs="Times New Roman"/>
          <w:szCs w:val="24"/>
        </w:rPr>
        <w:t xml:space="preserve"> </w:t>
      </w:r>
      <w:r w:rsidRPr="00C80BFE" w:rsidR="00C93594">
        <w:rPr>
          <w:rFonts w:cs="Times New Roman"/>
          <w:szCs w:val="24"/>
        </w:rPr>
        <w:t>proposed revenue increases.</w:t>
      </w:r>
    </w:p>
    <w:p w:rsidR="0074220B" w:rsidRPr="00C80BFE" w:rsidP="00CB00E4" w14:paraId="38EF4168" w14:textId="24179791">
      <w:pPr>
        <w:spacing w:after="0" w:line="480" w:lineRule="auto"/>
        <w:rPr>
          <w:rFonts w:cs="Times New Roman"/>
          <w:szCs w:val="24"/>
        </w:rPr>
      </w:pPr>
      <w:r w:rsidRPr="00C80BFE">
        <w:rPr>
          <w:rFonts w:cs="Times New Roman"/>
          <w:szCs w:val="24"/>
        </w:rPr>
        <w:tab/>
      </w:r>
      <w:r w:rsidRPr="00C80BFE" w:rsidR="00E44F88">
        <w:rPr>
          <w:rFonts w:cs="Times New Roman"/>
          <w:szCs w:val="24"/>
        </w:rPr>
        <w:t>Further</w:t>
      </w:r>
      <w:r w:rsidRPr="00C80BFE">
        <w:rPr>
          <w:rFonts w:cs="Times New Roman"/>
          <w:szCs w:val="24"/>
        </w:rPr>
        <w:t>, for all their opposition to high fixed charges, the Environmental Groups seem not to be making an actual proposal. It is clear that they favor volumetric charges instead of fixed charges</w:t>
      </w:r>
      <w:r w:rsidRPr="00C80BFE" w:rsidR="007C1FC5">
        <w:rPr>
          <w:rFonts w:cs="Times New Roman"/>
          <w:szCs w:val="24"/>
        </w:rPr>
        <w:t xml:space="preserve"> for billing consumers</w:t>
      </w:r>
      <w:r w:rsidRPr="00C80BFE">
        <w:rPr>
          <w:rFonts w:cs="Times New Roman"/>
          <w:szCs w:val="24"/>
        </w:rPr>
        <w:t xml:space="preserve">. </w:t>
      </w:r>
      <w:r w:rsidRPr="00C80BFE" w:rsidR="00856EB5">
        <w:rPr>
          <w:rFonts w:cs="Times New Roman"/>
          <w:szCs w:val="24"/>
        </w:rPr>
        <w:t>I</w:t>
      </w:r>
      <w:r w:rsidRPr="00C80BFE">
        <w:rPr>
          <w:rFonts w:cs="Times New Roman"/>
          <w:szCs w:val="24"/>
        </w:rPr>
        <w:t>t’s not clear what split</w:t>
      </w:r>
      <w:r w:rsidRPr="00C80BFE" w:rsidR="0081526D">
        <w:rPr>
          <w:rFonts w:cs="Times New Roman"/>
          <w:szCs w:val="24"/>
        </w:rPr>
        <w:t xml:space="preserve"> (if any)</w:t>
      </w:r>
      <w:r w:rsidRPr="00C80BFE">
        <w:rPr>
          <w:rFonts w:cs="Times New Roman"/>
          <w:szCs w:val="24"/>
        </w:rPr>
        <w:t xml:space="preserve"> between fixed and volumetric charges they are recommending that the PUCO adopt.</w:t>
      </w:r>
      <w:r w:rsidRPr="00C80BFE" w:rsidR="00856EB5">
        <w:rPr>
          <w:rFonts w:cs="Times New Roman"/>
          <w:szCs w:val="24"/>
        </w:rPr>
        <w:t xml:space="preserve"> </w:t>
      </w:r>
      <w:r w:rsidRPr="00C80BFE" w:rsidR="00E44F88">
        <w:rPr>
          <w:rFonts w:cs="Times New Roman"/>
          <w:szCs w:val="24"/>
        </w:rPr>
        <w:t>Maybe</w:t>
      </w:r>
      <w:r w:rsidRPr="00C80BFE" w:rsidR="001D365C">
        <w:rPr>
          <w:rFonts w:cs="Times New Roman"/>
          <w:szCs w:val="24"/>
        </w:rPr>
        <w:t xml:space="preserve"> in </w:t>
      </w:r>
      <w:r w:rsidRPr="00C80BFE" w:rsidR="001D365C">
        <w:rPr>
          <w:rFonts w:cs="Times New Roman"/>
          <w:szCs w:val="24"/>
        </w:rPr>
        <w:t xml:space="preserve">their </w:t>
      </w:r>
      <w:r w:rsidRPr="00C80BFE" w:rsidR="001D365C">
        <w:rPr>
          <w:rFonts w:cs="Times New Roman"/>
          <w:i/>
          <w:iCs/>
          <w:szCs w:val="24"/>
        </w:rPr>
        <w:t>environmental advocacy</w:t>
      </w:r>
      <w:r w:rsidRPr="00C80BFE" w:rsidR="00E44F88">
        <w:rPr>
          <w:rFonts w:cs="Times New Roman"/>
          <w:szCs w:val="24"/>
        </w:rPr>
        <w:t xml:space="preserve"> they are seeking the elimination of fixed charges altogether, to be replaced by volumetric charges.</w:t>
      </w:r>
    </w:p>
    <w:p w:rsidR="00460139" w:rsidRPr="00C80BFE" w:rsidP="00CB00E4" w14:paraId="359E8625" w14:textId="1025B379">
      <w:pPr>
        <w:spacing w:after="0" w:line="480" w:lineRule="auto"/>
        <w:rPr>
          <w:rFonts w:cs="Times New Roman"/>
          <w:szCs w:val="24"/>
        </w:rPr>
      </w:pPr>
      <w:r w:rsidRPr="00C80BFE">
        <w:rPr>
          <w:rFonts w:cs="Times New Roman"/>
          <w:szCs w:val="24"/>
        </w:rPr>
        <w:tab/>
        <w:t xml:space="preserve">Moreover, the Environmental Groups write as if the Settlement would not have moving parts if </w:t>
      </w:r>
      <w:r w:rsidRPr="00C80BFE" w:rsidR="009261E1">
        <w:rPr>
          <w:rFonts w:cs="Times New Roman"/>
          <w:szCs w:val="24"/>
        </w:rPr>
        <w:t>a term such as fixed</w:t>
      </w:r>
      <w:r w:rsidRPr="00C80BFE" w:rsidR="0081526D">
        <w:rPr>
          <w:rFonts w:cs="Times New Roman"/>
          <w:szCs w:val="24"/>
        </w:rPr>
        <w:t xml:space="preserve"> </w:t>
      </w:r>
      <w:r w:rsidRPr="00C80BFE" w:rsidR="009261E1">
        <w:rPr>
          <w:rFonts w:cs="Times New Roman"/>
          <w:szCs w:val="24"/>
        </w:rPr>
        <w:t>charges w</w:t>
      </w:r>
      <w:r w:rsidRPr="00C80BFE" w:rsidR="007C1FC5">
        <w:rPr>
          <w:rFonts w:cs="Times New Roman"/>
          <w:szCs w:val="24"/>
        </w:rPr>
        <w:t>ere</w:t>
      </w:r>
      <w:r w:rsidRPr="00C80BFE" w:rsidR="009261E1">
        <w:rPr>
          <w:rFonts w:cs="Times New Roman"/>
          <w:szCs w:val="24"/>
        </w:rPr>
        <w:t xml:space="preserve"> changed to volumetric charges. </w:t>
      </w:r>
      <w:r w:rsidRPr="00C80BFE" w:rsidR="0081526D">
        <w:rPr>
          <w:rFonts w:cs="Times New Roman"/>
          <w:szCs w:val="24"/>
        </w:rPr>
        <w:t>For example,</w:t>
      </w:r>
      <w:r w:rsidRPr="00C80BFE" w:rsidR="009261E1">
        <w:rPr>
          <w:rFonts w:cs="Times New Roman"/>
          <w:szCs w:val="24"/>
        </w:rPr>
        <w:t xml:space="preserve"> if </w:t>
      </w:r>
      <w:r w:rsidRPr="00C80BFE" w:rsidR="007C1FC5">
        <w:rPr>
          <w:rFonts w:cs="Times New Roman"/>
          <w:szCs w:val="24"/>
        </w:rPr>
        <w:t>the Settlement had been changed from fixed charges to volumetric charges</w:t>
      </w:r>
      <w:r w:rsidRPr="00C80BFE" w:rsidR="009261E1">
        <w:rPr>
          <w:rFonts w:cs="Times New Roman"/>
          <w:szCs w:val="24"/>
        </w:rPr>
        <w:t xml:space="preserve">, would Columbia </w:t>
      </w:r>
      <w:r w:rsidRPr="00C80BFE" w:rsidR="007C1FC5">
        <w:rPr>
          <w:rFonts w:cs="Times New Roman"/>
          <w:szCs w:val="24"/>
        </w:rPr>
        <w:t xml:space="preserve">then </w:t>
      </w:r>
      <w:r w:rsidRPr="00C80BFE" w:rsidR="009261E1">
        <w:rPr>
          <w:rFonts w:cs="Times New Roman"/>
          <w:szCs w:val="24"/>
        </w:rPr>
        <w:t xml:space="preserve">have sought a costly decoupling charge for all consumers to pay? </w:t>
      </w:r>
      <w:r w:rsidRPr="00C80BFE" w:rsidR="0081526D">
        <w:rPr>
          <w:rFonts w:cs="Times New Roman"/>
          <w:szCs w:val="24"/>
        </w:rPr>
        <w:t>Maybe that’s not an issue for the</w:t>
      </w:r>
      <w:r w:rsidRPr="00C80BFE" w:rsidR="009261E1">
        <w:rPr>
          <w:rFonts w:cs="Times New Roman"/>
          <w:szCs w:val="24"/>
        </w:rPr>
        <w:t xml:space="preserve"> </w:t>
      </w:r>
      <w:r w:rsidRPr="00C80BFE" w:rsidR="0081526D">
        <w:rPr>
          <w:rFonts w:cs="Times New Roman"/>
          <w:szCs w:val="24"/>
        </w:rPr>
        <w:t>E</w:t>
      </w:r>
      <w:r w:rsidRPr="00C80BFE" w:rsidR="009261E1">
        <w:rPr>
          <w:rFonts w:cs="Times New Roman"/>
          <w:szCs w:val="24"/>
        </w:rPr>
        <w:t xml:space="preserve">nvironmental </w:t>
      </w:r>
      <w:r w:rsidRPr="00C80BFE" w:rsidR="0081526D">
        <w:rPr>
          <w:rFonts w:cs="Times New Roman"/>
          <w:szCs w:val="24"/>
        </w:rPr>
        <w:t>G</w:t>
      </w:r>
      <w:r w:rsidRPr="00C80BFE" w:rsidR="009261E1">
        <w:rPr>
          <w:rFonts w:cs="Times New Roman"/>
          <w:szCs w:val="24"/>
        </w:rPr>
        <w:t xml:space="preserve">roups </w:t>
      </w:r>
      <w:r w:rsidRPr="00C80BFE" w:rsidR="0081526D">
        <w:rPr>
          <w:rFonts w:cs="Times New Roman"/>
          <w:szCs w:val="24"/>
        </w:rPr>
        <w:t xml:space="preserve">as environmental groups </w:t>
      </w:r>
      <w:r w:rsidRPr="00C80BFE" w:rsidR="009261E1">
        <w:rPr>
          <w:rFonts w:cs="Times New Roman"/>
          <w:szCs w:val="24"/>
        </w:rPr>
        <w:t xml:space="preserve">tend to support </w:t>
      </w:r>
      <w:r w:rsidRPr="00C80BFE" w:rsidR="000B2DF1">
        <w:rPr>
          <w:rFonts w:cs="Times New Roman"/>
          <w:szCs w:val="24"/>
        </w:rPr>
        <w:t xml:space="preserve">making consumers pay </w:t>
      </w:r>
      <w:r w:rsidRPr="00C80BFE" w:rsidR="009261E1">
        <w:rPr>
          <w:rFonts w:cs="Times New Roman"/>
          <w:szCs w:val="24"/>
        </w:rPr>
        <w:t>decoupling charges as a way to justify utility energy efficiency programs.</w:t>
      </w:r>
      <w:r w:rsidRPr="00C80BFE" w:rsidR="00E30655">
        <w:rPr>
          <w:rFonts w:cs="Times New Roman"/>
          <w:szCs w:val="24"/>
        </w:rPr>
        <w:t xml:space="preserve"> But it would have been an issue for consumer advocates</w:t>
      </w:r>
      <w:r w:rsidRPr="00C80BFE" w:rsidR="00B256D8">
        <w:rPr>
          <w:rFonts w:cs="Times New Roman"/>
          <w:szCs w:val="24"/>
        </w:rPr>
        <w:t xml:space="preserve"> like OCC</w:t>
      </w:r>
      <w:r w:rsidRPr="00C80BFE" w:rsidR="00E30655">
        <w:rPr>
          <w:rFonts w:cs="Times New Roman"/>
          <w:szCs w:val="24"/>
        </w:rPr>
        <w:t>.</w:t>
      </w:r>
    </w:p>
    <w:p w:rsidR="004711A8" w:rsidRPr="00C80BFE" w:rsidP="00CB00E4" w14:paraId="17EEB0FD" w14:textId="179FC3C9">
      <w:pPr>
        <w:spacing w:after="0" w:line="480" w:lineRule="auto"/>
        <w:ind w:firstLine="720"/>
        <w:rPr>
          <w:rFonts w:cs="Times New Roman"/>
          <w:szCs w:val="24"/>
        </w:rPr>
      </w:pPr>
      <w:r w:rsidRPr="00C80BFE">
        <w:rPr>
          <w:rFonts w:cs="Times New Roman"/>
          <w:szCs w:val="24"/>
        </w:rPr>
        <w:t>One thing</w:t>
      </w:r>
      <w:r w:rsidRPr="00C80BFE" w:rsidR="00AA1A20">
        <w:rPr>
          <w:rFonts w:cs="Times New Roman"/>
          <w:szCs w:val="24"/>
        </w:rPr>
        <w:t xml:space="preserve"> the </w:t>
      </w:r>
      <w:r w:rsidRPr="00C80BFE" w:rsidR="00800147">
        <w:rPr>
          <w:rFonts w:cs="Times New Roman"/>
          <w:szCs w:val="24"/>
        </w:rPr>
        <w:t>E</w:t>
      </w:r>
      <w:r w:rsidRPr="00C80BFE" w:rsidR="00AA1A20">
        <w:rPr>
          <w:rFonts w:cs="Times New Roman"/>
          <w:szCs w:val="24"/>
        </w:rPr>
        <w:t xml:space="preserve">nvironmental </w:t>
      </w:r>
      <w:r w:rsidRPr="00C80BFE" w:rsidR="00800147">
        <w:rPr>
          <w:rFonts w:cs="Times New Roman"/>
          <w:szCs w:val="24"/>
        </w:rPr>
        <w:t>G</w:t>
      </w:r>
      <w:r w:rsidRPr="00C80BFE" w:rsidR="00AA1A20">
        <w:rPr>
          <w:rFonts w:cs="Times New Roman"/>
          <w:szCs w:val="24"/>
        </w:rPr>
        <w:t xml:space="preserve">roups are </w:t>
      </w:r>
      <w:r w:rsidRPr="00C80BFE" w:rsidR="00FD4666">
        <w:rPr>
          <w:rFonts w:cs="Times New Roman"/>
          <w:szCs w:val="24"/>
        </w:rPr>
        <w:t>seeking</w:t>
      </w:r>
      <w:r w:rsidRPr="00C80BFE" w:rsidR="00AA1A20">
        <w:rPr>
          <w:rFonts w:cs="Times New Roman"/>
          <w:szCs w:val="24"/>
        </w:rPr>
        <w:t xml:space="preserve"> to increas</w:t>
      </w:r>
      <w:r w:rsidRPr="00C80BFE" w:rsidR="00FD4666">
        <w:rPr>
          <w:rFonts w:cs="Times New Roman"/>
          <w:szCs w:val="24"/>
        </w:rPr>
        <w:t>e</w:t>
      </w:r>
      <w:r w:rsidRPr="00C80BFE" w:rsidR="00CB00E4">
        <w:rPr>
          <w:rFonts w:cs="Times New Roman"/>
          <w:szCs w:val="24"/>
        </w:rPr>
        <w:t xml:space="preserve"> is</w:t>
      </w:r>
      <w:r w:rsidRPr="00C80BFE" w:rsidR="00AA1A20">
        <w:rPr>
          <w:rFonts w:cs="Times New Roman"/>
          <w:szCs w:val="24"/>
        </w:rPr>
        <w:t xml:space="preserve"> </w:t>
      </w:r>
      <w:r w:rsidRPr="00C80BFE" w:rsidR="00FD4666">
        <w:rPr>
          <w:rFonts w:cs="Times New Roman"/>
          <w:szCs w:val="24"/>
        </w:rPr>
        <w:t>Columbia</w:t>
      </w:r>
      <w:r w:rsidRPr="00C80BFE" w:rsidR="00AA1A20">
        <w:rPr>
          <w:rFonts w:cs="Times New Roman"/>
          <w:szCs w:val="24"/>
        </w:rPr>
        <w:t xml:space="preserve"> consumers’ gas bills</w:t>
      </w:r>
      <w:r w:rsidRPr="00C80BFE" w:rsidR="00F775CC">
        <w:rPr>
          <w:rFonts w:cs="Times New Roman"/>
          <w:szCs w:val="24"/>
        </w:rPr>
        <w:t xml:space="preserve"> to</w:t>
      </w:r>
      <w:r w:rsidRPr="00C80BFE" w:rsidR="00AA1A20">
        <w:rPr>
          <w:rFonts w:cs="Times New Roman"/>
          <w:szCs w:val="24"/>
        </w:rPr>
        <w:t xml:space="preserve"> </w:t>
      </w:r>
      <w:r w:rsidRPr="00C80BFE" w:rsidR="00F775CC">
        <w:rPr>
          <w:rFonts w:cs="Times New Roman"/>
          <w:szCs w:val="24"/>
        </w:rPr>
        <w:t>subsidize</w:t>
      </w:r>
      <w:r w:rsidRPr="00C80BFE" w:rsidR="00AA1A20">
        <w:rPr>
          <w:rFonts w:cs="Times New Roman"/>
          <w:szCs w:val="24"/>
        </w:rPr>
        <w:t xml:space="preserve"> nearly </w:t>
      </w:r>
      <w:r w:rsidRPr="00C80BFE" w:rsidR="00AA1A20">
        <w:rPr>
          <w:rFonts w:cs="Times New Roman"/>
          <w:i/>
          <w:iCs/>
          <w:szCs w:val="24"/>
        </w:rPr>
        <w:t>$120 million</w:t>
      </w:r>
      <w:r>
        <w:rPr>
          <w:rStyle w:val="FootnoteReference"/>
          <w:rFonts w:cs="Times New Roman"/>
          <w:szCs w:val="24"/>
        </w:rPr>
        <w:footnoteReference w:id="4"/>
      </w:r>
      <w:r w:rsidRPr="00C80BFE" w:rsidR="00AA1A20">
        <w:rPr>
          <w:rFonts w:cs="Times New Roman"/>
          <w:szCs w:val="24"/>
        </w:rPr>
        <w:t xml:space="preserve"> </w:t>
      </w:r>
      <w:r w:rsidRPr="00C80BFE" w:rsidR="00F775CC">
        <w:rPr>
          <w:rFonts w:cs="Times New Roman"/>
          <w:szCs w:val="24"/>
        </w:rPr>
        <w:t>over five years for demand-side management</w:t>
      </w:r>
      <w:r w:rsidRPr="00C80BFE" w:rsidR="00153B4C">
        <w:rPr>
          <w:rFonts w:cs="Times New Roman"/>
          <w:szCs w:val="24"/>
        </w:rPr>
        <w:t xml:space="preserve"> (“DSM”)</w:t>
      </w:r>
      <w:r w:rsidRPr="00C80BFE" w:rsidR="00F775CC">
        <w:rPr>
          <w:rFonts w:cs="Times New Roman"/>
          <w:szCs w:val="24"/>
        </w:rPr>
        <w:t>.</w:t>
      </w:r>
      <w:r w:rsidRPr="00C80BFE" w:rsidR="005B0453">
        <w:rPr>
          <w:rFonts w:cs="Times New Roman"/>
          <w:szCs w:val="24"/>
        </w:rPr>
        <w:t xml:space="preserve"> Their proposal is to </w:t>
      </w:r>
      <w:r w:rsidRPr="00C80BFE" w:rsidR="003558A8">
        <w:rPr>
          <w:rFonts w:cs="Times New Roman"/>
          <w:szCs w:val="24"/>
        </w:rPr>
        <w:t xml:space="preserve">have Columbia </w:t>
      </w:r>
      <w:r w:rsidRPr="00C80BFE" w:rsidR="005B0453">
        <w:rPr>
          <w:rFonts w:cs="Times New Roman"/>
          <w:szCs w:val="24"/>
        </w:rPr>
        <w:t xml:space="preserve">use </w:t>
      </w:r>
      <w:r w:rsidRPr="00C80BFE" w:rsidR="005B0453">
        <w:rPr>
          <w:rFonts w:cs="Times New Roman"/>
          <w:i/>
          <w:iCs/>
          <w:szCs w:val="24"/>
        </w:rPr>
        <w:t>other people’s money</w:t>
      </w:r>
      <w:r w:rsidRPr="00C80BFE" w:rsidR="00796BA4">
        <w:rPr>
          <w:rFonts w:cs="Times New Roman"/>
          <w:i/>
          <w:iCs/>
          <w:szCs w:val="24"/>
        </w:rPr>
        <w:t xml:space="preserve"> (consumers’ money)</w:t>
      </w:r>
      <w:r w:rsidRPr="00C80BFE" w:rsidR="005B0453">
        <w:rPr>
          <w:rFonts w:cs="Times New Roman"/>
          <w:szCs w:val="24"/>
        </w:rPr>
        <w:t xml:space="preserve"> to </w:t>
      </w:r>
      <w:r w:rsidRPr="00C80BFE">
        <w:rPr>
          <w:rFonts w:cs="Times New Roman"/>
          <w:szCs w:val="24"/>
        </w:rPr>
        <w:t>discount or buy</w:t>
      </w:r>
      <w:r w:rsidRPr="00C80BFE" w:rsidR="005B0453">
        <w:rPr>
          <w:rFonts w:cs="Times New Roman"/>
          <w:szCs w:val="24"/>
        </w:rPr>
        <w:t xml:space="preserve"> </w:t>
      </w:r>
      <w:r w:rsidRPr="00C80BFE">
        <w:rPr>
          <w:rFonts w:cs="Times New Roman"/>
          <w:szCs w:val="24"/>
        </w:rPr>
        <w:t xml:space="preserve">for </w:t>
      </w:r>
      <w:r w:rsidRPr="00C80BFE" w:rsidR="005B0453">
        <w:rPr>
          <w:rFonts w:cs="Times New Roman"/>
          <w:szCs w:val="24"/>
        </w:rPr>
        <w:t xml:space="preserve">a subset of consumers </w:t>
      </w:r>
      <w:r w:rsidRPr="00C80BFE">
        <w:rPr>
          <w:rFonts w:cs="Times New Roman"/>
          <w:szCs w:val="24"/>
        </w:rPr>
        <w:t xml:space="preserve">the DSM </w:t>
      </w:r>
      <w:r w:rsidRPr="00C80BFE" w:rsidR="005B0453">
        <w:rPr>
          <w:rFonts w:cs="Times New Roman"/>
          <w:szCs w:val="24"/>
        </w:rPr>
        <w:t xml:space="preserve">products and services that mostly can be bought online or </w:t>
      </w:r>
      <w:r w:rsidRPr="00C80BFE" w:rsidR="00B26ADA">
        <w:rPr>
          <w:rFonts w:cs="Times New Roman"/>
          <w:szCs w:val="24"/>
        </w:rPr>
        <w:t>at a store in the competitive market</w:t>
      </w:r>
      <w:r w:rsidRPr="00C80BFE" w:rsidR="005B0453">
        <w:rPr>
          <w:rFonts w:cs="Times New Roman"/>
          <w:szCs w:val="24"/>
        </w:rPr>
        <w:t>.</w:t>
      </w:r>
      <w:r w:rsidRPr="00C80BFE" w:rsidR="00324750">
        <w:rPr>
          <w:rFonts w:cs="Times New Roman"/>
          <w:szCs w:val="24"/>
        </w:rPr>
        <w:t xml:space="preserve"> </w:t>
      </w:r>
      <w:r w:rsidRPr="00C80BFE" w:rsidR="000613F2">
        <w:rPr>
          <w:rFonts w:cs="Times New Roman"/>
          <w:szCs w:val="24"/>
        </w:rPr>
        <w:t>And the Environmental Groups apparently would make consumers pay more profits</w:t>
      </w:r>
      <w:r w:rsidRPr="00C80BFE" w:rsidR="00B73132">
        <w:rPr>
          <w:rFonts w:cs="Times New Roman"/>
          <w:szCs w:val="24"/>
        </w:rPr>
        <w:t xml:space="preserve"> to Columbia</w:t>
      </w:r>
      <w:r w:rsidRPr="00C80BFE" w:rsidR="000613F2">
        <w:rPr>
          <w:rFonts w:cs="Times New Roman"/>
          <w:szCs w:val="24"/>
        </w:rPr>
        <w:t xml:space="preserve"> (the controversial shared savings</w:t>
      </w:r>
      <w:r w:rsidRPr="00C80BFE" w:rsidR="00B73132">
        <w:rPr>
          <w:rFonts w:cs="Times New Roman"/>
          <w:szCs w:val="24"/>
        </w:rPr>
        <w:t xml:space="preserve"> for energy efficiency</w:t>
      </w:r>
      <w:r w:rsidRPr="00C80BFE" w:rsidR="000613F2">
        <w:rPr>
          <w:rFonts w:cs="Times New Roman"/>
          <w:szCs w:val="24"/>
        </w:rPr>
        <w:t>) that the Settlement eliminated</w:t>
      </w:r>
      <w:r>
        <w:rPr>
          <w:rStyle w:val="FootnoteReference"/>
          <w:rFonts w:cs="Times New Roman"/>
          <w:szCs w:val="24"/>
        </w:rPr>
        <w:footnoteReference w:id="5"/>
      </w:r>
      <w:r w:rsidRPr="00C80BFE" w:rsidR="000613F2">
        <w:rPr>
          <w:rFonts w:cs="Times New Roman"/>
          <w:szCs w:val="24"/>
        </w:rPr>
        <w:t xml:space="preserve"> as a consumer protection.</w:t>
      </w:r>
    </w:p>
    <w:p w:rsidR="004711A8" w:rsidRPr="00C80BFE" w:rsidP="00CB00E4" w14:paraId="63457E5D" w14:textId="3AA8CB59">
      <w:pPr>
        <w:spacing w:after="0" w:line="480" w:lineRule="auto"/>
        <w:ind w:firstLine="720"/>
        <w:rPr>
          <w:rFonts w:cs="Times New Roman"/>
          <w:szCs w:val="24"/>
        </w:rPr>
      </w:pPr>
      <w:r w:rsidRPr="00C80BFE">
        <w:rPr>
          <w:rFonts w:cs="Times New Roman"/>
          <w:szCs w:val="24"/>
        </w:rPr>
        <w:t xml:space="preserve">If this seems like déjà vu, it is. The PUCO rejected environmental opposition to a recent rate case settlement </w:t>
      </w:r>
      <w:r w:rsidRPr="00C80BFE" w:rsidR="00DD76C2">
        <w:rPr>
          <w:rFonts w:cs="Times New Roman"/>
          <w:szCs w:val="24"/>
        </w:rPr>
        <w:t>achieved by</w:t>
      </w:r>
      <w:r w:rsidRPr="00C80BFE" w:rsidR="009D7166">
        <w:rPr>
          <w:rFonts w:cs="Times New Roman"/>
          <w:szCs w:val="24"/>
        </w:rPr>
        <w:t xml:space="preserve"> </w:t>
      </w:r>
      <w:r w:rsidRPr="00C80BFE">
        <w:rPr>
          <w:rFonts w:cs="Times New Roman"/>
          <w:szCs w:val="24"/>
        </w:rPr>
        <w:t>AEP</w:t>
      </w:r>
      <w:r w:rsidRPr="00C80BFE" w:rsidR="009D7166">
        <w:rPr>
          <w:rFonts w:cs="Times New Roman"/>
          <w:szCs w:val="24"/>
        </w:rPr>
        <w:t>,</w:t>
      </w:r>
      <w:r w:rsidRPr="00C80BFE" w:rsidR="00DD76C2">
        <w:rPr>
          <w:rFonts w:cs="Times New Roman"/>
          <w:szCs w:val="24"/>
        </w:rPr>
        <w:t xml:space="preserve"> OCC,</w:t>
      </w:r>
      <w:r w:rsidRPr="00C80BFE" w:rsidR="009D7166">
        <w:rPr>
          <w:rFonts w:cs="Times New Roman"/>
          <w:szCs w:val="24"/>
        </w:rPr>
        <w:t xml:space="preserve"> the PUCO Staff,</w:t>
      </w:r>
      <w:r w:rsidRPr="00C80BFE">
        <w:rPr>
          <w:rFonts w:cs="Times New Roman"/>
          <w:szCs w:val="24"/>
        </w:rPr>
        <w:t xml:space="preserve"> and </w:t>
      </w:r>
      <w:r w:rsidRPr="00C80BFE" w:rsidR="009D7166">
        <w:rPr>
          <w:rFonts w:cs="Times New Roman"/>
          <w:szCs w:val="24"/>
        </w:rPr>
        <w:t>others</w:t>
      </w:r>
      <w:r w:rsidRPr="00C80BFE">
        <w:rPr>
          <w:rFonts w:cs="Times New Roman"/>
          <w:szCs w:val="24"/>
        </w:rPr>
        <w:t>. There, the utility similarly withdrew its proposed energy efficiency program that would have been funded</w:t>
      </w:r>
      <w:r w:rsidRPr="00C80BFE" w:rsidR="0081526D">
        <w:rPr>
          <w:rFonts w:cs="Times New Roman"/>
          <w:szCs w:val="24"/>
        </w:rPr>
        <w:t xml:space="preserve"> (subsidized)</w:t>
      </w:r>
      <w:r w:rsidRPr="00C80BFE">
        <w:rPr>
          <w:rFonts w:cs="Times New Roman"/>
          <w:szCs w:val="24"/>
        </w:rPr>
        <w:t xml:space="preserve"> by </w:t>
      </w:r>
      <w:r w:rsidRPr="00C80BFE" w:rsidR="003753E9">
        <w:rPr>
          <w:rFonts w:cs="Times New Roman"/>
          <w:szCs w:val="24"/>
        </w:rPr>
        <w:t xml:space="preserve">all </w:t>
      </w:r>
      <w:r w:rsidRPr="00C80BFE">
        <w:rPr>
          <w:rFonts w:cs="Times New Roman"/>
          <w:szCs w:val="24"/>
        </w:rPr>
        <w:t>consumers. The PUCO wrote: “On the other hand, the Commission may view the differences between an application and a filed stipulation as evidence of the seriousness of negotiations and bargaining between the parties.”</w:t>
      </w:r>
      <w:r>
        <w:rPr>
          <w:rStyle w:val="FootnoteReference"/>
          <w:rFonts w:cs="Times New Roman"/>
          <w:szCs w:val="24"/>
        </w:rPr>
        <w:footnoteReference w:id="6"/>
      </w:r>
      <w:r w:rsidRPr="00C80BFE">
        <w:rPr>
          <w:rFonts w:cs="Times New Roman"/>
          <w:szCs w:val="24"/>
        </w:rPr>
        <w:t xml:space="preserve"> </w:t>
      </w:r>
      <w:r w:rsidRPr="00C80BFE" w:rsidR="0020434A">
        <w:rPr>
          <w:rFonts w:cs="Times New Roman"/>
          <w:szCs w:val="24"/>
        </w:rPr>
        <w:t>In its brief</w:t>
      </w:r>
      <w:r w:rsidRPr="00C80BFE" w:rsidR="007B3CD1">
        <w:rPr>
          <w:rFonts w:cs="Times New Roman"/>
          <w:szCs w:val="24"/>
        </w:rPr>
        <w:t xml:space="preserve"> </w:t>
      </w:r>
      <w:r w:rsidRPr="00C80BFE" w:rsidR="00BC1BF4">
        <w:rPr>
          <w:rFonts w:cs="Times New Roman"/>
          <w:szCs w:val="24"/>
        </w:rPr>
        <w:t>ELPC</w:t>
      </w:r>
      <w:r>
        <w:rPr>
          <w:rStyle w:val="FootnoteReference"/>
          <w:rFonts w:cs="Times New Roman"/>
          <w:szCs w:val="24"/>
        </w:rPr>
        <w:footnoteReference w:id="7"/>
      </w:r>
      <w:r w:rsidRPr="00C80BFE" w:rsidR="0020434A">
        <w:rPr>
          <w:rFonts w:cs="Times New Roman"/>
          <w:szCs w:val="24"/>
        </w:rPr>
        <w:t xml:space="preserve"> </w:t>
      </w:r>
      <w:r w:rsidRPr="00C80BFE" w:rsidR="007B3CD1">
        <w:rPr>
          <w:rFonts w:cs="Times New Roman"/>
          <w:szCs w:val="24"/>
        </w:rPr>
        <w:t>tried to distinguish the AEP-related precedent, but the precedent is on point.</w:t>
      </w:r>
    </w:p>
    <w:p w:rsidR="00AA1A20" w:rsidRPr="00C80BFE" w:rsidP="00CB00E4" w14:paraId="57B77967" w14:textId="3DCE8EDF">
      <w:pPr>
        <w:spacing w:after="0" w:line="480" w:lineRule="auto"/>
        <w:ind w:firstLine="720"/>
        <w:rPr>
          <w:rFonts w:cs="Times New Roman"/>
          <w:szCs w:val="24"/>
        </w:rPr>
      </w:pPr>
      <w:r w:rsidRPr="00C80BFE">
        <w:rPr>
          <w:rFonts w:cs="Times New Roman"/>
          <w:szCs w:val="24"/>
        </w:rPr>
        <w:t>O</w:t>
      </w:r>
      <w:r w:rsidRPr="00C80BFE" w:rsidR="00324750">
        <w:rPr>
          <w:rFonts w:cs="Times New Roman"/>
          <w:szCs w:val="24"/>
        </w:rPr>
        <w:t>ne of the</w:t>
      </w:r>
      <w:r w:rsidRPr="00C80BFE" w:rsidR="009A5BF2">
        <w:rPr>
          <w:rFonts w:cs="Times New Roman"/>
          <w:szCs w:val="24"/>
        </w:rPr>
        <w:t xml:space="preserve"> Environmental Groups</w:t>
      </w:r>
      <w:r w:rsidRPr="00C80BFE" w:rsidR="00AE3478">
        <w:rPr>
          <w:rFonts w:cs="Times New Roman"/>
          <w:szCs w:val="24"/>
        </w:rPr>
        <w:t xml:space="preserve"> </w:t>
      </w:r>
      <w:r w:rsidRPr="00C80BFE" w:rsidR="00AC54CE">
        <w:rPr>
          <w:rFonts w:cs="Times New Roman"/>
          <w:szCs w:val="24"/>
        </w:rPr>
        <w:t>(CUB</w:t>
      </w:r>
      <w:r w:rsidRPr="00C80BFE" w:rsidR="00CB00E4">
        <w:rPr>
          <w:rFonts w:cs="Times New Roman"/>
          <w:szCs w:val="24"/>
        </w:rPr>
        <w:t xml:space="preserve"> Ohio</w:t>
      </w:r>
      <w:r w:rsidRPr="00C80BFE" w:rsidR="00AC54CE">
        <w:rPr>
          <w:rFonts w:cs="Times New Roman"/>
          <w:szCs w:val="24"/>
        </w:rPr>
        <w:t xml:space="preserve">) </w:t>
      </w:r>
      <w:r w:rsidRPr="00C80BFE" w:rsidR="00AE3478">
        <w:rPr>
          <w:rFonts w:cs="Times New Roman"/>
          <w:szCs w:val="24"/>
        </w:rPr>
        <w:t xml:space="preserve">even </w:t>
      </w:r>
      <w:r w:rsidRPr="00C80BFE" w:rsidR="00324750">
        <w:rPr>
          <w:rFonts w:cs="Times New Roman"/>
          <w:szCs w:val="24"/>
        </w:rPr>
        <w:t>opposes</w:t>
      </w:r>
      <w:r w:rsidRPr="00C80BFE" w:rsidR="00AE3478">
        <w:rPr>
          <w:rFonts w:cs="Times New Roman"/>
          <w:szCs w:val="24"/>
        </w:rPr>
        <w:t xml:space="preserve"> </w:t>
      </w:r>
      <w:r w:rsidRPr="00C80BFE" w:rsidR="00AC54CE">
        <w:rPr>
          <w:rFonts w:cs="Times New Roman"/>
          <w:szCs w:val="24"/>
        </w:rPr>
        <w:t>the</w:t>
      </w:r>
      <w:r w:rsidRPr="00C80BFE" w:rsidR="00AE3478">
        <w:rPr>
          <w:rFonts w:cs="Times New Roman"/>
          <w:szCs w:val="24"/>
        </w:rPr>
        <w:t xml:space="preserve"> agreement</w:t>
      </w:r>
      <w:r w:rsidRPr="00C80BFE" w:rsidR="004C0534">
        <w:rPr>
          <w:rFonts w:cs="Times New Roman"/>
          <w:szCs w:val="24"/>
        </w:rPr>
        <w:t xml:space="preserve"> term that</w:t>
      </w:r>
      <w:r w:rsidRPr="00C80BFE" w:rsidR="00AC54CE">
        <w:rPr>
          <w:rFonts w:cs="Times New Roman"/>
          <w:szCs w:val="24"/>
        </w:rPr>
        <w:t xml:space="preserve"> </w:t>
      </w:r>
      <w:r w:rsidRPr="00C80BFE" w:rsidR="008E486D">
        <w:rPr>
          <w:rFonts w:cs="Times New Roman"/>
          <w:szCs w:val="24"/>
        </w:rPr>
        <w:t>prevent</w:t>
      </w:r>
      <w:r w:rsidRPr="00C80BFE" w:rsidR="004C0534">
        <w:rPr>
          <w:rFonts w:cs="Times New Roman"/>
          <w:szCs w:val="24"/>
        </w:rPr>
        <w:t>s</w:t>
      </w:r>
      <w:r w:rsidRPr="00C80BFE" w:rsidR="00AC54CE">
        <w:rPr>
          <w:rFonts w:cs="Times New Roman"/>
          <w:szCs w:val="24"/>
        </w:rPr>
        <w:t xml:space="preserve"> Columbia</w:t>
      </w:r>
      <w:r w:rsidRPr="00C80BFE" w:rsidR="00AE3478">
        <w:rPr>
          <w:rFonts w:cs="Times New Roman"/>
          <w:szCs w:val="24"/>
        </w:rPr>
        <w:t xml:space="preserve"> </w:t>
      </w:r>
      <w:r w:rsidRPr="00C80BFE" w:rsidR="008E486D">
        <w:rPr>
          <w:rFonts w:cs="Times New Roman"/>
          <w:szCs w:val="24"/>
        </w:rPr>
        <w:t xml:space="preserve">from </w:t>
      </w:r>
      <w:r w:rsidRPr="00C80BFE" w:rsidR="000B5F4E">
        <w:rPr>
          <w:rFonts w:cs="Times New Roman"/>
          <w:szCs w:val="24"/>
        </w:rPr>
        <w:t>undercut</w:t>
      </w:r>
      <w:r w:rsidRPr="00C80BFE" w:rsidR="008E486D">
        <w:rPr>
          <w:rFonts w:cs="Times New Roman"/>
          <w:szCs w:val="24"/>
        </w:rPr>
        <w:t>ting</w:t>
      </w:r>
      <w:r w:rsidRPr="00C80BFE" w:rsidR="000B5F4E">
        <w:rPr>
          <w:rFonts w:cs="Times New Roman"/>
          <w:szCs w:val="24"/>
        </w:rPr>
        <w:t xml:space="preserve"> the Settlement</w:t>
      </w:r>
      <w:r w:rsidRPr="00C80BFE" w:rsidR="00324750">
        <w:rPr>
          <w:rFonts w:cs="Times New Roman"/>
          <w:szCs w:val="24"/>
        </w:rPr>
        <w:t xml:space="preserve"> by seeking legislation to require demand-side management.</w:t>
      </w:r>
      <w:r>
        <w:rPr>
          <w:rStyle w:val="FootnoteReference"/>
          <w:rFonts w:cs="Times New Roman"/>
          <w:szCs w:val="24"/>
        </w:rPr>
        <w:footnoteReference w:id="8"/>
      </w:r>
      <w:r w:rsidRPr="00C80BFE" w:rsidR="00324750">
        <w:rPr>
          <w:rFonts w:cs="Times New Roman"/>
          <w:szCs w:val="24"/>
        </w:rPr>
        <w:t xml:space="preserve"> </w:t>
      </w:r>
      <w:r w:rsidRPr="00C80BFE" w:rsidR="004C0534">
        <w:rPr>
          <w:rFonts w:cs="Times New Roman"/>
          <w:szCs w:val="24"/>
        </w:rPr>
        <w:t>But t</w:t>
      </w:r>
      <w:r w:rsidRPr="00C80BFE" w:rsidR="00324750">
        <w:rPr>
          <w:rFonts w:cs="Times New Roman"/>
          <w:szCs w:val="24"/>
        </w:rPr>
        <w:t xml:space="preserve">hat </w:t>
      </w:r>
      <w:r w:rsidRPr="00C80BFE" w:rsidR="008E486D">
        <w:rPr>
          <w:rFonts w:cs="Times New Roman"/>
          <w:szCs w:val="24"/>
        </w:rPr>
        <w:t>agreement</w:t>
      </w:r>
      <w:r w:rsidRPr="00C80BFE" w:rsidR="00324750">
        <w:rPr>
          <w:rFonts w:cs="Times New Roman"/>
          <w:szCs w:val="24"/>
        </w:rPr>
        <w:t xml:space="preserve"> is an </w:t>
      </w:r>
      <w:r w:rsidRPr="00C80BFE" w:rsidR="009A5BF2">
        <w:rPr>
          <w:rFonts w:cs="Times New Roman"/>
          <w:szCs w:val="24"/>
        </w:rPr>
        <w:t>integral</w:t>
      </w:r>
      <w:r w:rsidRPr="00C80BFE" w:rsidR="00324750">
        <w:rPr>
          <w:rFonts w:cs="Times New Roman"/>
          <w:szCs w:val="24"/>
        </w:rPr>
        <w:t xml:space="preserve"> part of ensuring good faith </w:t>
      </w:r>
      <w:r w:rsidRPr="00C80BFE">
        <w:rPr>
          <w:rFonts w:cs="Times New Roman"/>
          <w:szCs w:val="24"/>
        </w:rPr>
        <w:t xml:space="preserve">and the integrity of </w:t>
      </w:r>
      <w:r w:rsidRPr="00C80BFE" w:rsidR="00324750">
        <w:rPr>
          <w:rFonts w:cs="Times New Roman"/>
          <w:szCs w:val="24"/>
        </w:rPr>
        <w:t>the negotiations to protect the benefit of the bargain for interests such as OCC</w:t>
      </w:r>
      <w:r w:rsidRPr="00C80BFE" w:rsidR="00D40899">
        <w:rPr>
          <w:rFonts w:cs="Times New Roman"/>
          <w:szCs w:val="24"/>
        </w:rPr>
        <w:t xml:space="preserve"> and the consumers it represents</w:t>
      </w:r>
      <w:r w:rsidRPr="00C80BFE" w:rsidR="00324750">
        <w:rPr>
          <w:rFonts w:cs="Times New Roman"/>
          <w:szCs w:val="24"/>
        </w:rPr>
        <w:t>.</w:t>
      </w:r>
      <w:r w:rsidR="00C80BFE">
        <w:rPr>
          <w:rFonts w:cs="Times New Roman"/>
          <w:szCs w:val="24"/>
        </w:rPr>
        <w:t xml:space="preserve"> </w:t>
      </w:r>
    </w:p>
    <w:p w:rsidR="00A642CC" w:rsidRPr="00C80BFE" w:rsidP="00CB00E4" w14:paraId="6ECE7CFF" w14:textId="643F2D69">
      <w:pPr>
        <w:spacing w:after="0" w:line="480" w:lineRule="auto"/>
        <w:ind w:firstLine="720"/>
        <w:rPr>
          <w:rFonts w:cs="Times New Roman"/>
          <w:szCs w:val="24"/>
        </w:rPr>
      </w:pPr>
      <w:r w:rsidRPr="00C80BFE">
        <w:rPr>
          <w:rFonts w:cs="Times New Roman"/>
          <w:szCs w:val="24"/>
        </w:rPr>
        <w:t>The Settlement OCC negotiated with others does contain</w:t>
      </w:r>
      <w:r w:rsidRPr="00C80BFE">
        <w:rPr>
          <w:rFonts w:cs="Times New Roman"/>
          <w:szCs w:val="24"/>
        </w:rPr>
        <w:t xml:space="preserve"> for low-income consumers</w:t>
      </w:r>
      <w:r w:rsidRPr="00C80BFE">
        <w:rPr>
          <w:rFonts w:cs="Times New Roman"/>
          <w:szCs w:val="24"/>
        </w:rPr>
        <w:t xml:space="preserve"> a sizeable funding (subsidy) of demand-side management (weatherization) programs, at consumers’ expense. </w:t>
      </w:r>
      <w:r w:rsidRPr="00C80BFE" w:rsidR="0045752C">
        <w:rPr>
          <w:rFonts w:cs="Times New Roman"/>
          <w:szCs w:val="24"/>
        </w:rPr>
        <w:t>The subsidy</w:t>
      </w:r>
      <w:r w:rsidRPr="00C80BFE">
        <w:rPr>
          <w:rFonts w:cs="Times New Roman"/>
          <w:szCs w:val="24"/>
        </w:rPr>
        <w:t xml:space="preserve"> to help Ohioans in need</w:t>
      </w:r>
      <w:r w:rsidRPr="00C80BFE" w:rsidR="0045752C">
        <w:rPr>
          <w:rFonts w:cs="Times New Roman"/>
          <w:szCs w:val="24"/>
        </w:rPr>
        <w:t xml:space="preserve"> would be</w:t>
      </w:r>
      <w:r w:rsidRPr="00C80BFE">
        <w:rPr>
          <w:rFonts w:cs="Times New Roman"/>
          <w:szCs w:val="24"/>
        </w:rPr>
        <w:t xml:space="preserve"> significant at</w:t>
      </w:r>
      <w:r w:rsidRPr="00C80BFE" w:rsidR="0045752C">
        <w:rPr>
          <w:rFonts w:cs="Times New Roman"/>
          <w:i/>
          <w:iCs/>
          <w:szCs w:val="24"/>
        </w:rPr>
        <w:t xml:space="preserve"> more than $70 million over five years</w:t>
      </w:r>
      <w:r w:rsidRPr="00C80BFE" w:rsidR="0045752C">
        <w:rPr>
          <w:rFonts w:cs="Times New Roman"/>
          <w:szCs w:val="24"/>
        </w:rPr>
        <w:t xml:space="preserve">. </w:t>
      </w:r>
    </w:p>
    <w:p w:rsidR="006E608F" w:rsidRPr="00C80BFE" w:rsidP="00CB00E4" w14:paraId="40E247B8" w14:textId="7578DBCB">
      <w:pPr>
        <w:spacing w:after="0" w:line="480" w:lineRule="auto"/>
        <w:ind w:firstLine="720"/>
        <w:rPr>
          <w:rFonts w:cs="Times New Roman"/>
          <w:szCs w:val="24"/>
        </w:rPr>
      </w:pPr>
      <w:r w:rsidRPr="00C80BFE">
        <w:rPr>
          <w:rFonts w:cs="Times New Roman"/>
          <w:szCs w:val="24"/>
        </w:rPr>
        <w:t>But</w:t>
      </w:r>
      <w:r w:rsidRPr="00C80BFE" w:rsidR="0045752C">
        <w:rPr>
          <w:rFonts w:cs="Times New Roman"/>
          <w:szCs w:val="24"/>
        </w:rPr>
        <w:t>,</w:t>
      </w:r>
      <w:r w:rsidRPr="00C80BFE">
        <w:rPr>
          <w:rFonts w:cs="Times New Roman"/>
          <w:szCs w:val="24"/>
        </w:rPr>
        <w:t xml:space="preserve"> even here</w:t>
      </w:r>
      <w:r w:rsidRPr="00C80BFE" w:rsidR="0045752C">
        <w:rPr>
          <w:rFonts w:cs="Times New Roman"/>
          <w:szCs w:val="24"/>
        </w:rPr>
        <w:t>,</w:t>
      </w:r>
      <w:r w:rsidRPr="00C80BFE">
        <w:rPr>
          <w:rFonts w:cs="Times New Roman"/>
          <w:szCs w:val="24"/>
        </w:rPr>
        <w:t xml:space="preserve"> OPAE (which is an association of weatherization providers, not consumers) </w:t>
      </w:r>
      <w:r w:rsidRPr="00C80BFE" w:rsidR="0045752C">
        <w:rPr>
          <w:rFonts w:cs="Times New Roman"/>
          <w:szCs w:val="24"/>
        </w:rPr>
        <w:t>expresses</w:t>
      </w:r>
      <w:r w:rsidRPr="00C80BFE">
        <w:rPr>
          <w:rFonts w:cs="Times New Roman"/>
          <w:szCs w:val="24"/>
        </w:rPr>
        <w:t xml:space="preserve"> dissatis</w:t>
      </w:r>
      <w:r w:rsidRPr="00C80BFE" w:rsidR="0045752C">
        <w:rPr>
          <w:rFonts w:cs="Times New Roman"/>
          <w:szCs w:val="24"/>
        </w:rPr>
        <w:t>fact</w:t>
      </w:r>
      <w:r w:rsidRPr="00C80BFE">
        <w:rPr>
          <w:rFonts w:cs="Times New Roman"/>
          <w:szCs w:val="24"/>
        </w:rPr>
        <w:t>i</w:t>
      </w:r>
      <w:r w:rsidRPr="00C80BFE" w:rsidR="0045752C">
        <w:rPr>
          <w:rFonts w:cs="Times New Roman"/>
          <w:szCs w:val="24"/>
        </w:rPr>
        <w:t>on and not gratitude</w:t>
      </w:r>
      <w:r w:rsidRPr="00C80BFE">
        <w:rPr>
          <w:rFonts w:cs="Times New Roman"/>
          <w:szCs w:val="24"/>
        </w:rPr>
        <w:t xml:space="preserve"> with the Settlement</w:t>
      </w:r>
      <w:r w:rsidRPr="00C80BFE" w:rsidR="00A642CC">
        <w:rPr>
          <w:rFonts w:cs="Times New Roman"/>
          <w:szCs w:val="24"/>
        </w:rPr>
        <w:t>’s</w:t>
      </w:r>
      <w:r w:rsidRPr="00C80BFE">
        <w:rPr>
          <w:rFonts w:cs="Times New Roman"/>
          <w:szCs w:val="24"/>
        </w:rPr>
        <w:t xml:space="preserve"> considerable </w:t>
      </w:r>
      <w:r w:rsidRPr="00C80BFE" w:rsidR="00A642CC">
        <w:rPr>
          <w:rFonts w:cs="Times New Roman"/>
          <w:szCs w:val="24"/>
        </w:rPr>
        <w:t>consumer funding</w:t>
      </w:r>
      <w:r w:rsidRPr="00C80BFE">
        <w:rPr>
          <w:rFonts w:cs="Times New Roman"/>
          <w:szCs w:val="24"/>
        </w:rPr>
        <w:t xml:space="preserve"> </w:t>
      </w:r>
      <w:r w:rsidRPr="00C80BFE" w:rsidR="00A642CC">
        <w:rPr>
          <w:rFonts w:cs="Times New Roman"/>
          <w:szCs w:val="24"/>
        </w:rPr>
        <w:t xml:space="preserve">of weatherization. </w:t>
      </w:r>
      <w:r w:rsidRPr="00C80BFE">
        <w:rPr>
          <w:rFonts w:cs="Times New Roman"/>
          <w:szCs w:val="24"/>
        </w:rPr>
        <w:t>OPAE</w:t>
      </w:r>
      <w:r w:rsidRPr="00C80BFE" w:rsidR="00A642CC">
        <w:rPr>
          <w:rFonts w:cs="Times New Roman"/>
          <w:szCs w:val="24"/>
        </w:rPr>
        <w:t xml:space="preserve"> wants more weatherization funding. Well, OCC’s preference is for </w:t>
      </w:r>
      <w:r w:rsidRPr="00C80BFE">
        <w:rPr>
          <w:rFonts w:cs="Times New Roman"/>
          <w:szCs w:val="24"/>
        </w:rPr>
        <w:t xml:space="preserve">relatively </w:t>
      </w:r>
      <w:r w:rsidRPr="00C80BFE" w:rsidR="00A642CC">
        <w:rPr>
          <w:rFonts w:cs="Times New Roman"/>
          <w:szCs w:val="24"/>
        </w:rPr>
        <w:t xml:space="preserve">more money to be dedicated to consumers for bill payment assistance, where more at-risk Ohioans can be </w:t>
      </w:r>
      <w:r w:rsidRPr="00C80BFE" w:rsidR="0082604F">
        <w:rPr>
          <w:rFonts w:cs="Times New Roman"/>
          <w:szCs w:val="24"/>
        </w:rPr>
        <w:t>protected</w:t>
      </w:r>
      <w:r w:rsidRPr="00C80BFE" w:rsidR="00A642CC">
        <w:rPr>
          <w:rFonts w:cs="Times New Roman"/>
          <w:szCs w:val="24"/>
        </w:rPr>
        <w:t xml:space="preserve"> than the costly per-consumer</w:t>
      </w:r>
      <w:r w:rsidRPr="00C80BFE" w:rsidR="00053D02">
        <w:rPr>
          <w:rFonts w:cs="Times New Roman"/>
          <w:szCs w:val="24"/>
        </w:rPr>
        <w:t xml:space="preserve"> funding of weatherization</w:t>
      </w:r>
      <w:r w:rsidRPr="00C80BFE" w:rsidR="00A642CC">
        <w:rPr>
          <w:rFonts w:cs="Times New Roman"/>
          <w:szCs w:val="24"/>
        </w:rPr>
        <w:t>.</w:t>
      </w:r>
      <w:r w:rsidRPr="00C80BFE" w:rsidR="00053D02">
        <w:rPr>
          <w:rFonts w:cs="Times New Roman"/>
          <w:szCs w:val="24"/>
        </w:rPr>
        <w:t xml:space="preserve"> But OCC compromised</w:t>
      </w:r>
      <w:r w:rsidRPr="00C80BFE">
        <w:rPr>
          <w:rFonts w:cs="Times New Roman"/>
          <w:szCs w:val="24"/>
        </w:rPr>
        <w:t xml:space="preserve"> to reach a Settlement</w:t>
      </w:r>
      <w:r w:rsidRPr="00C80BFE" w:rsidR="00053D02">
        <w:rPr>
          <w:rFonts w:cs="Times New Roman"/>
          <w:szCs w:val="24"/>
        </w:rPr>
        <w:t>.</w:t>
      </w:r>
      <w:r w:rsidRPr="00C80BFE">
        <w:rPr>
          <w:rFonts w:cs="Times New Roman"/>
          <w:szCs w:val="24"/>
        </w:rPr>
        <w:t xml:space="preserve"> </w:t>
      </w:r>
    </w:p>
    <w:p w:rsidR="00F45AB2" w:rsidRPr="00C80BFE" w:rsidP="00C439CB" w14:paraId="736A4C74" w14:textId="00CF1221">
      <w:pPr>
        <w:spacing w:after="0" w:line="480" w:lineRule="auto"/>
        <w:ind w:firstLine="720"/>
        <w:rPr>
          <w:rFonts w:cs="Times New Roman"/>
          <w:szCs w:val="24"/>
        </w:rPr>
      </w:pPr>
      <w:r w:rsidRPr="00C80BFE">
        <w:rPr>
          <w:rFonts w:cs="Times New Roman"/>
          <w:szCs w:val="24"/>
        </w:rPr>
        <w:t xml:space="preserve">OPAE </w:t>
      </w:r>
      <w:r w:rsidRPr="00C80BFE">
        <w:rPr>
          <w:rFonts w:cs="Times New Roman"/>
          <w:szCs w:val="24"/>
        </w:rPr>
        <w:t xml:space="preserve">even objects to the Settlement’s guardrails against multiple benefits for the same property owner. That </w:t>
      </w:r>
      <w:r w:rsidRPr="00C80BFE" w:rsidR="0045752C">
        <w:rPr>
          <w:rFonts w:cs="Times New Roman"/>
          <w:szCs w:val="24"/>
        </w:rPr>
        <w:t xml:space="preserve">term is important for </w:t>
      </w:r>
      <w:r w:rsidRPr="00C80BFE">
        <w:rPr>
          <w:rFonts w:cs="Times New Roman"/>
          <w:szCs w:val="24"/>
        </w:rPr>
        <w:t>avoid</w:t>
      </w:r>
      <w:r w:rsidRPr="00C80BFE" w:rsidR="0045752C">
        <w:rPr>
          <w:rFonts w:cs="Times New Roman"/>
          <w:szCs w:val="24"/>
        </w:rPr>
        <w:t>ing</w:t>
      </w:r>
      <w:r w:rsidRPr="00C80BFE">
        <w:rPr>
          <w:rFonts w:cs="Times New Roman"/>
          <w:szCs w:val="24"/>
        </w:rPr>
        <w:t xml:space="preserve"> enrichment of individual property owners at public expense. It is </w:t>
      </w:r>
      <w:r w:rsidRPr="00C80BFE">
        <w:rPr>
          <w:rFonts w:cs="Times New Roman"/>
          <w:szCs w:val="24"/>
        </w:rPr>
        <w:t xml:space="preserve">the </w:t>
      </w:r>
      <w:r w:rsidRPr="00C80BFE">
        <w:rPr>
          <w:rFonts w:cs="Times New Roman"/>
          <w:szCs w:val="24"/>
        </w:rPr>
        <w:t>public</w:t>
      </w:r>
      <w:r w:rsidRPr="00C80BFE">
        <w:rPr>
          <w:rFonts w:cs="Times New Roman"/>
          <w:szCs w:val="24"/>
        </w:rPr>
        <w:t>’s</w:t>
      </w:r>
      <w:r w:rsidRPr="00C80BFE">
        <w:rPr>
          <w:rFonts w:cs="Times New Roman"/>
          <w:szCs w:val="24"/>
        </w:rPr>
        <w:t xml:space="preserve"> (consumers</w:t>
      </w:r>
      <w:r w:rsidRPr="00C80BFE">
        <w:rPr>
          <w:rFonts w:cs="Times New Roman"/>
          <w:szCs w:val="24"/>
        </w:rPr>
        <w:t>’</w:t>
      </w:r>
      <w:r w:rsidRPr="00C80BFE">
        <w:rPr>
          <w:rFonts w:cs="Times New Roman"/>
          <w:szCs w:val="24"/>
        </w:rPr>
        <w:t>) money</w:t>
      </w:r>
      <w:r w:rsidRPr="00C80BFE" w:rsidR="004711A8">
        <w:rPr>
          <w:rFonts w:cs="Times New Roman"/>
          <w:szCs w:val="24"/>
        </w:rPr>
        <w:t>, let’s remember.</w:t>
      </w:r>
    </w:p>
    <w:p w:rsidR="00AC54CE" w:rsidRPr="00C80BFE" w:rsidP="00C439CB" w14:paraId="5A1D7585" w14:textId="1C15A7BB">
      <w:pPr>
        <w:spacing w:after="0" w:line="480" w:lineRule="auto"/>
        <w:ind w:firstLine="720"/>
        <w:rPr>
          <w:rFonts w:cs="Times New Roman"/>
          <w:szCs w:val="24"/>
        </w:rPr>
      </w:pPr>
      <w:r w:rsidRPr="00C80BFE">
        <w:rPr>
          <w:rFonts w:cs="Times New Roman"/>
          <w:szCs w:val="24"/>
        </w:rPr>
        <w:t xml:space="preserve">The Settlement provides </w:t>
      </w:r>
      <w:r w:rsidRPr="00C80BFE" w:rsidR="00131952">
        <w:rPr>
          <w:rFonts w:cs="Times New Roman"/>
          <w:szCs w:val="24"/>
        </w:rPr>
        <w:t>numerous</w:t>
      </w:r>
      <w:r w:rsidRPr="00C80BFE">
        <w:rPr>
          <w:rFonts w:cs="Times New Roman"/>
          <w:szCs w:val="24"/>
        </w:rPr>
        <w:t xml:space="preserve"> benefits to consumers</w:t>
      </w:r>
      <w:r w:rsidRPr="00C80BFE" w:rsidR="00823AC8">
        <w:rPr>
          <w:rFonts w:cs="Times New Roman"/>
          <w:szCs w:val="24"/>
        </w:rPr>
        <w:t xml:space="preserve"> including a significantly reduced revenue </w:t>
      </w:r>
      <w:r w:rsidRPr="00C80BFE" w:rsidR="00F146FD">
        <w:rPr>
          <w:rFonts w:cs="Times New Roman"/>
          <w:szCs w:val="24"/>
        </w:rPr>
        <w:t xml:space="preserve">increase </w:t>
      </w:r>
      <w:r w:rsidRPr="00C80BFE" w:rsidR="00823AC8">
        <w:rPr>
          <w:rFonts w:cs="Times New Roman"/>
          <w:szCs w:val="24"/>
        </w:rPr>
        <w:t>for Columbia</w:t>
      </w:r>
      <w:r w:rsidRPr="00C80BFE">
        <w:rPr>
          <w:rFonts w:cs="Times New Roman"/>
          <w:szCs w:val="24"/>
        </w:rPr>
        <w:t xml:space="preserve"> in its rate case</w:t>
      </w:r>
      <w:r w:rsidRPr="00C80BFE" w:rsidR="00823AC8">
        <w:rPr>
          <w:rFonts w:cs="Times New Roman"/>
          <w:szCs w:val="24"/>
        </w:rPr>
        <w:t xml:space="preserve">, limits on how much Columbia can charge consumers </w:t>
      </w:r>
      <w:r w:rsidRPr="00C80BFE" w:rsidR="00F146FD">
        <w:rPr>
          <w:rFonts w:cs="Times New Roman"/>
          <w:szCs w:val="24"/>
        </w:rPr>
        <w:t>for its massive pipeline replacement program and for other capital expenditures</w:t>
      </w:r>
      <w:r w:rsidRPr="00C80BFE">
        <w:rPr>
          <w:rFonts w:cs="Times New Roman"/>
          <w:szCs w:val="24"/>
        </w:rPr>
        <w:t xml:space="preserve"> in its rider cases,</w:t>
      </w:r>
      <w:r w:rsidRPr="00C80BFE" w:rsidR="00823AC8">
        <w:rPr>
          <w:rFonts w:cs="Times New Roman"/>
          <w:szCs w:val="24"/>
        </w:rPr>
        <w:t xml:space="preserve"> and the elimination of other riders altogether. </w:t>
      </w:r>
      <w:r w:rsidRPr="00C80BFE" w:rsidR="00CB24E5">
        <w:rPr>
          <w:rFonts w:cs="Times New Roman"/>
          <w:szCs w:val="24"/>
        </w:rPr>
        <w:t>These benefits are important given the numerous</w:t>
      </w:r>
      <w:r w:rsidRPr="00C80BFE" w:rsidR="009B73D1">
        <w:rPr>
          <w:rFonts w:cs="Times New Roman"/>
          <w:szCs w:val="24"/>
        </w:rPr>
        <w:t xml:space="preserve"> </w:t>
      </w:r>
      <w:r w:rsidRPr="00C80BFE" w:rsidR="00CB24E5">
        <w:rPr>
          <w:rFonts w:cs="Times New Roman"/>
          <w:szCs w:val="24"/>
        </w:rPr>
        <w:t xml:space="preserve">public comments filed in this case </w:t>
      </w:r>
      <w:r w:rsidRPr="00C80BFE" w:rsidR="009B73D1">
        <w:rPr>
          <w:rFonts w:cs="Times New Roman"/>
          <w:szCs w:val="24"/>
        </w:rPr>
        <w:t>requesting rate relief</w:t>
      </w:r>
      <w:r w:rsidRPr="00C80BFE" w:rsidR="006E608F">
        <w:rPr>
          <w:rFonts w:cs="Times New Roman"/>
          <w:szCs w:val="24"/>
        </w:rPr>
        <w:t xml:space="preserve"> and consumer testimony at local hearings</w:t>
      </w:r>
      <w:r w:rsidRPr="00C80BFE" w:rsidR="009B73D1">
        <w:rPr>
          <w:rFonts w:cs="Times New Roman"/>
          <w:szCs w:val="24"/>
        </w:rPr>
        <w:t>.</w:t>
      </w:r>
      <w:r>
        <w:rPr>
          <w:rStyle w:val="FootnoteReference"/>
          <w:rFonts w:cs="Times New Roman"/>
          <w:szCs w:val="24"/>
        </w:rPr>
        <w:footnoteReference w:id="9"/>
      </w:r>
    </w:p>
    <w:p w:rsidR="006D5296" w:rsidRPr="00C80BFE" w:rsidP="00C439CB" w14:paraId="102EE85B" w14:textId="3D420CC5">
      <w:pPr>
        <w:spacing w:after="0" w:line="480" w:lineRule="auto"/>
        <w:ind w:firstLine="720"/>
        <w:rPr>
          <w:rFonts w:cs="Times New Roman"/>
          <w:iCs/>
          <w:szCs w:val="24"/>
        </w:rPr>
      </w:pPr>
      <w:r w:rsidRPr="00C80BFE">
        <w:rPr>
          <w:rFonts w:cs="Times New Roman"/>
          <w:szCs w:val="24"/>
        </w:rPr>
        <w:t xml:space="preserve">In these times of </w:t>
      </w:r>
      <w:r w:rsidRPr="00C80BFE" w:rsidR="00AC54CE">
        <w:rPr>
          <w:rFonts w:cs="Times New Roman"/>
          <w:szCs w:val="24"/>
        </w:rPr>
        <w:t xml:space="preserve">soaring energy prices and </w:t>
      </w:r>
      <w:r w:rsidRPr="00C80BFE">
        <w:rPr>
          <w:rFonts w:cs="Times New Roman"/>
          <w:szCs w:val="24"/>
        </w:rPr>
        <w:t>inflation</w:t>
      </w:r>
      <w:r w:rsidRPr="00C80BFE" w:rsidR="00AC54CE">
        <w:rPr>
          <w:rFonts w:cs="Times New Roman"/>
          <w:szCs w:val="24"/>
        </w:rPr>
        <w:t>,</w:t>
      </w:r>
      <w:r w:rsidRPr="00C80BFE">
        <w:rPr>
          <w:rFonts w:cs="Times New Roman"/>
          <w:szCs w:val="24"/>
        </w:rPr>
        <w:t xml:space="preserve"> </w:t>
      </w:r>
      <w:r w:rsidRPr="00C80BFE" w:rsidR="00A35A37">
        <w:rPr>
          <w:rFonts w:cs="Times New Roman"/>
          <w:szCs w:val="24"/>
        </w:rPr>
        <w:t xml:space="preserve">the Settlement </w:t>
      </w:r>
      <w:r w:rsidRPr="00C80BFE">
        <w:rPr>
          <w:rFonts w:cs="Times New Roman"/>
          <w:szCs w:val="24"/>
        </w:rPr>
        <w:t xml:space="preserve">helps protect </w:t>
      </w:r>
      <w:r w:rsidRPr="00C80BFE" w:rsidR="00131952">
        <w:rPr>
          <w:rFonts w:cs="Times New Roman"/>
          <w:szCs w:val="24"/>
        </w:rPr>
        <w:t xml:space="preserve">vulnerable </w:t>
      </w:r>
      <w:r w:rsidRPr="00C80BFE">
        <w:rPr>
          <w:rFonts w:cs="Times New Roman"/>
          <w:szCs w:val="24"/>
        </w:rPr>
        <w:t>low-income</w:t>
      </w:r>
      <w:r w:rsidRPr="00C80BFE" w:rsidR="00A35A37">
        <w:rPr>
          <w:rFonts w:cs="Times New Roman"/>
          <w:szCs w:val="24"/>
        </w:rPr>
        <w:t xml:space="preserve"> </w:t>
      </w:r>
      <w:r w:rsidRPr="00C80BFE">
        <w:rPr>
          <w:rFonts w:cs="Times New Roman"/>
          <w:szCs w:val="24"/>
        </w:rPr>
        <w:t>consumers</w:t>
      </w:r>
      <w:r w:rsidRPr="00C80BFE" w:rsidR="00AC54CE">
        <w:rPr>
          <w:rFonts w:cs="Times New Roman"/>
          <w:szCs w:val="24"/>
        </w:rPr>
        <w:t xml:space="preserve"> in two ways.</w:t>
      </w:r>
      <w:r w:rsidRPr="00C80BFE">
        <w:rPr>
          <w:rFonts w:cs="Times New Roman"/>
          <w:szCs w:val="24"/>
        </w:rPr>
        <w:t xml:space="preserve"> </w:t>
      </w:r>
      <w:r w:rsidRPr="00C80BFE" w:rsidR="00D37FCE">
        <w:rPr>
          <w:rFonts w:cs="Times New Roman"/>
          <w:szCs w:val="24"/>
        </w:rPr>
        <w:t>As stated, o</w:t>
      </w:r>
      <w:r w:rsidRPr="00C80BFE" w:rsidR="00AC54CE">
        <w:rPr>
          <w:rFonts w:cs="Times New Roman"/>
          <w:szCs w:val="24"/>
        </w:rPr>
        <w:t xml:space="preserve">ne way is the agreement for all consumers to fund (subsidize) </w:t>
      </w:r>
      <w:r w:rsidRPr="00C80BFE">
        <w:rPr>
          <w:rFonts w:cs="Times New Roman"/>
          <w:szCs w:val="24"/>
        </w:rPr>
        <w:t xml:space="preserve">over $70 million in </w:t>
      </w:r>
      <w:r w:rsidRPr="00C80BFE">
        <w:rPr>
          <w:rFonts w:cs="Times New Roman"/>
          <w:iCs/>
          <w:szCs w:val="24"/>
        </w:rPr>
        <w:t>weatherization services</w:t>
      </w:r>
      <w:r w:rsidRPr="00C80BFE" w:rsidR="007F57AE">
        <w:rPr>
          <w:rFonts w:cs="Times New Roman"/>
          <w:iCs/>
          <w:szCs w:val="24"/>
        </w:rPr>
        <w:t xml:space="preserve"> for low-income consumers</w:t>
      </w:r>
      <w:r w:rsidRPr="00C80BFE" w:rsidR="00AC54CE">
        <w:rPr>
          <w:rFonts w:cs="Times New Roman"/>
          <w:iCs/>
          <w:szCs w:val="24"/>
        </w:rPr>
        <w:t>.</w:t>
      </w:r>
      <w:r w:rsidRPr="00C80BFE">
        <w:rPr>
          <w:rFonts w:cs="Times New Roman"/>
          <w:iCs/>
          <w:szCs w:val="24"/>
        </w:rPr>
        <w:t xml:space="preserve"> </w:t>
      </w:r>
      <w:r w:rsidRPr="00C80BFE" w:rsidR="00AC54CE">
        <w:rPr>
          <w:rFonts w:cs="Times New Roman"/>
          <w:iCs/>
          <w:szCs w:val="24"/>
        </w:rPr>
        <w:t xml:space="preserve">The other way is to </w:t>
      </w:r>
      <w:r w:rsidRPr="00C80BFE">
        <w:rPr>
          <w:rFonts w:cs="Times New Roman"/>
          <w:iCs/>
          <w:szCs w:val="24"/>
        </w:rPr>
        <w:t>provid</w:t>
      </w:r>
      <w:r w:rsidRPr="00C80BFE" w:rsidR="00AC54CE">
        <w:rPr>
          <w:rFonts w:cs="Times New Roman"/>
          <w:iCs/>
          <w:szCs w:val="24"/>
        </w:rPr>
        <w:t>e</w:t>
      </w:r>
      <w:r w:rsidRPr="00C80BFE">
        <w:rPr>
          <w:rFonts w:cs="Times New Roman"/>
          <w:iCs/>
          <w:szCs w:val="24"/>
        </w:rPr>
        <w:t xml:space="preserve"> $3.5 million for bill-payment assistance</w:t>
      </w:r>
      <w:r w:rsidRPr="00C80BFE" w:rsidR="007F57AE">
        <w:rPr>
          <w:rFonts w:cs="Times New Roman"/>
          <w:iCs/>
          <w:szCs w:val="24"/>
        </w:rPr>
        <w:t xml:space="preserve">, mostly </w:t>
      </w:r>
      <w:r w:rsidRPr="00C80BFE" w:rsidR="00131952">
        <w:rPr>
          <w:rFonts w:cs="Times New Roman"/>
          <w:iCs/>
          <w:szCs w:val="24"/>
        </w:rPr>
        <w:t xml:space="preserve">at the expense of </w:t>
      </w:r>
      <w:r w:rsidRPr="00C80BFE" w:rsidR="003E36B1">
        <w:rPr>
          <w:rFonts w:cs="Times New Roman"/>
          <w:iCs/>
          <w:szCs w:val="24"/>
        </w:rPr>
        <w:t xml:space="preserve">Columbia’s </w:t>
      </w:r>
      <w:r w:rsidRPr="00C80BFE">
        <w:rPr>
          <w:rFonts w:cs="Times New Roman"/>
          <w:iCs/>
          <w:szCs w:val="24"/>
        </w:rPr>
        <w:t>shareholder</w:t>
      </w:r>
      <w:r w:rsidRPr="00C80BFE" w:rsidR="00131952">
        <w:rPr>
          <w:rFonts w:cs="Times New Roman"/>
          <w:iCs/>
          <w:szCs w:val="24"/>
        </w:rPr>
        <w:t>s</w:t>
      </w:r>
      <w:r w:rsidRPr="00C80BFE" w:rsidR="003E36B1">
        <w:rPr>
          <w:rFonts w:cs="Times New Roman"/>
          <w:iCs/>
          <w:szCs w:val="24"/>
        </w:rPr>
        <w:t xml:space="preserve">. </w:t>
      </w:r>
      <w:r w:rsidRPr="00C80BFE" w:rsidR="007F57AE">
        <w:rPr>
          <w:rFonts w:cs="Times New Roman"/>
          <w:iCs/>
          <w:szCs w:val="24"/>
        </w:rPr>
        <w:t>That’s up to $450 per year for at-risk Ohioans and their families “to avoid disconnection or to get service reconnected.”</w:t>
      </w:r>
      <w:r>
        <w:rPr>
          <w:rStyle w:val="FootnoteReference"/>
          <w:rFonts w:cs="Times New Roman"/>
          <w:iCs/>
          <w:szCs w:val="24"/>
        </w:rPr>
        <w:footnoteReference w:id="10"/>
      </w:r>
    </w:p>
    <w:p w:rsidR="00925361" w:rsidRPr="00C80BFE" w:rsidP="00BA03B6" w14:paraId="3871DEFB" w14:textId="7EE7D6CB">
      <w:pPr>
        <w:spacing w:after="0" w:line="480" w:lineRule="auto"/>
        <w:ind w:firstLine="720"/>
        <w:rPr>
          <w:rFonts w:cs="Times New Roman"/>
          <w:iCs/>
          <w:szCs w:val="24"/>
        </w:rPr>
      </w:pPr>
      <w:r w:rsidRPr="00C80BFE">
        <w:rPr>
          <w:rFonts w:cs="Times New Roman"/>
          <w:szCs w:val="24"/>
        </w:rPr>
        <w:t xml:space="preserve">The </w:t>
      </w:r>
      <w:r w:rsidRPr="00C80BFE" w:rsidR="00AD4FD7">
        <w:rPr>
          <w:rFonts w:cs="Times New Roman"/>
          <w:szCs w:val="24"/>
        </w:rPr>
        <w:t>Environmental Groups</w:t>
      </w:r>
      <w:r w:rsidRPr="00C80BFE" w:rsidR="00AF5284">
        <w:rPr>
          <w:rFonts w:cs="Times New Roman"/>
          <w:szCs w:val="24"/>
        </w:rPr>
        <w:t>’ arguments should be rej</w:t>
      </w:r>
      <w:r w:rsidRPr="00C80BFE" w:rsidR="007A5FD8">
        <w:rPr>
          <w:rFonts w:cs="Times New Roman"/>
          <w:szCs w:val="24"/>
        </w:rPr>
        <w:t>e</w:t>
      </w:r>
      <w:r w:rsidRPr="00C80BFE" w:rsidR="00AF5284">
        <w:rPr>
          <w:rFonts w:cs="Times New Roman"/>
          <w:szCs w:val="24"/>
        </w:rPr>
        <w:t>cted</w:t>
      </w:r>
      <w:r w:rsidRPr="00C80BFE">
        <w:rPr>
          <w:rFonts w:cs="Times New Roman"/>
          <w:szCs w:val="24"/>
        </w:rPr>
        <w:t xml:space="preserve">. </w:t>
      </w:r>
      <w:r w:rsidRPr="00C80BFE">
        <w:rPr>
          <w:rFonts w:cs="Times New Roman"/>
          <w:iCs/>
          <w:szCs w:val="24"/>
        </w:rPr>
        <w:t xml:space="preserve">The evidence shows that the Settlement is the product of serious bargaining among </w:t>
      </w:r>
      <w:r w:rsidRPr="00C80BFE" w:rsidR="00AF5284">
        <w:rPr>
          <w:rFonts w:cs="Times New Roman"/>
          <w:iCs/>
          <w:szCs w:val="24"/>
        </w:rPr>
        <w:t xml:space="preserve">diverse and knowledgeable parties. The Settlement </w:t>
      </w:r>
      <w:r w:rsidRPr="00C80BFE" w:rsidR="004935F4">
        <w:rPr>
          <w:rFonts w:cs="Times New Roman"/>
          <w:iCs/>
          <w:szCs w:val="24"/>
        </w:rPr>
        <w:t xml:space="preserve">as a package </w:t>
      </w:r>
      <w:r w:rsidRPr="00C80BFE" w:rsidR="007A5FD8">
        <w:rPr>
          <w:rFonts w:cs="Times New Roman"/>
          <w:iCs/>
          <w:szCs w:val="24"/>
        </w:rPr>
        <w:t>benefits consumers and the public interest and does not violate regulatory principles.</w:t>
      </w:r>
      <w:r w:rsidRPr="00C80BFE">
        <w:rPr>
          <w:rFonts w:cs="Times New Roman"/>
          <w:iCs/>
          <w:szCs w:val="24"/>
        </w:rPr>
        <w:t xml:space="preserve"> The PUCO should approve the Settlement without modification.</w:t>
      </w:r>
      <w:r w:rsidRPr="00C80BFE">
        <w:rPr>
          <w:rFonts w:cs="Times New Roman"/>
          <w:iCs/>
          <w:szCs w:val="24"/>
        </w:rPr>
        <w:br w:type="page"/>
      </w:r>
    </w:p>
    <w:p w:rsidR="00EC2336" w:rsidRPr="00C80BFE" w:rsidP="00165096" w14:paraId="31728D8C" w14:textId="5EA68AD8">
      <w:pPr>
        <w:pStyle w:val="Heading1"/>
      </w:pPr>
      <w:bookmarkStart w:id="1" w:name="_Toc123050540"/>
      <w:r w:rsidRPr="00C80BFE">
        <w:t>ARGUMENT</w:t>
      </w:r>
      <w:bookmarkEnd w:id="1"/>
    </w:p>
    <w:p w:rsidR="00EC2336" w:rsidRPr="00C80BFE" w:rsidP="00925361" w14:paraId="36296F83" w14:textId="19F87380">
      <w:pPr>
        <w:pStyle w:val="ListParagraph"/>
        <w:numPr>
          <w:ilvl w:val="0"/>
          <w:numId w:val="23"/>
        </w:numPr>
        <w:spacing w:line="240" w:lineRule="auto"/>
        <w:ind w:left="1440" w:hanging="720"/>
        <w:rPr>
          <w:rFonts w:ascii="Times New Roman" w:hAnsi="Times New Roman" w:cs="Times New Roman"/>
          <w:b/>
          <w:bCs/>
          <w:sz w:val="24"/>
          <w:szCs w:val="24"/>
        </w:rPr>
      </w:pPr>
      <w:bookmarkStart w:id="2" w:name="_Toc123050541"/>
      <w:r w:rsidRPr="00C80BFE">
        <w:rPr>
          <w:rStyle w:val="Heading2Char"/>
        </w:rPr>
        <w:t xml:space="preserve">The PUCO should reject </w:t>
      </w:r>
      <w:r w:rsidRPr="00C80BFE" w:rsidR="00740C56">
        <w:rPr>
          <w:rStyle w:val="Heading2Char"/>
        </w:rPr>
        <w:t>ELPC’s and CUB Ohio’s</w:t>
      </w:r>
      <w:r w:rsidRPr="00C80BFE">
        <w:rPr>
          <w:rStyle w:val="Heading2Char"/>
        </w:rPr>
        <w:t xml:space="preserve"> claims that the Settlement was not the product of serious bargaining. </w:t>
      </w:r>
      <w:r w:rsidRPr="00C80BFE">
        <w:rPr>
          <w:rStyle w:val="Heading2Char"/>
        </w:rPr>
        <w:t>E</w:t>
      </w:r>
      <w:r w:rsidRPr="00C80BFE">
        <w:rPr>
          <w:rStyle w:val="Heading2Char"/>
        </w:rPr>
        <w:t>vidence demonstrates that</w:t>
      </w:r>
      <w:r w:rsidRPr="00C80BFE" w:rsidR="00D210AB">
        <w:rPr>
          <w:rStyle w:val="Heading2Char"/>
        </w:rPr>
        <w:t xml:space="preserve"> knowledgeable</w:t>
      </w:r>
      <w:r w:rsidRPr="00C80BFE" w:rsidR="00C14ADB">
        <w:rPr>
          <w:rStyle w:val="Heading2Char"/>
        </w:rPr>
        <w:t xml:space="preserve"> and diverse</w:t>
      </w:r>
      <w:r w:rsidRPr="00C80BFE">
        <w:rPr>
          <w:rStyle w:val="Heading2Char"/>
        </w:rPr>
        <w:t xml:space="preserve"> parties worked for months to </w:t>
      </w:r>
      <w:r w:rsidRPr="00C80BFE">
        <w:rPr>
          <w:rStyle w:val="Heading2Char"/>
        </w:rPr>
        <w:t>reach</w:t>
      </w:r>
      <w:r w:rsidRPr="00C80BFE">
        <w:rPr>
          <w:rStyle w:val="Heading2Char"/>
        </w:rPr>
        <w:t xml:space="preserve"> a </w:t>
      </w:r>
      <w:r w:rsidRPr="00C80BFE" w:rsidR="00131952">
        <w:rPr>
          <w:rStyle w:val="Heading2Char"/>
        </w:rPr>
        <w:t xml:space="preserve">comprehensive </w:t>
      </w:r>
      <w:r w:rsidRPr="00C80BFE">
        <w:rPr>
          <w:rStyle w:val="Heading2Char"/>
        </w:rPr>
        <w:t>settlement package</w:t>
      </w:r>
      <w:r w:rsidRPr="00C80BFE">
        <w:rPr>
          <w:rStyle w:val="Heading2Char"/>
        </w:rPr>
        <w:t>.</w:t>
      </w:r>
      <w:bookmarkEnd w:id="2"/>
      <w:r w:rsidRPr="00C80BFE">
        <w:rPr>
          <w:rFonts w:ascii="Times New Roman" w:hAnsi="Times New Roman" w:cs="Times New Roman"/>
          <w:b/>
          <w:bCs/>
          <w:sz w:val="24"/>
          <w:szCs w:val="24"/>
        </w:rPr>
        <w:t xml:space="preserve"> </w:t>
      </w:r>
    </w:p>
    <w:p w:rsidR="00DE6586" w:rsidRPr="00C80BFE" w:rsidP="00131952" w14:paraId="1034E214" w14:textId="2AE989B4">
      <w:pPr>
        <w:spacing w:before="240" w:after="0" w:line="480" w:lineRule="auto"/>
        <w:ind w:firstLine="720"/>
        <w:rPr>
          <w:rFonts w:cs="Times New Roman"/>
          <w:szCs w:val="24"/>
        </w:rPr>
      </w:pPr>
      <w:r w:rsidRPr="00C80BFE">
        <w:rPr>
          <w:rFonts w:cs="Times New Roman"/>
          <w:szCs w:val="24"/>
        </w:rPr>
        <w:t>ELPC and CUB Ohio claim that the Settlement is not the product of serious bargaining</w:t>
      </w:r>
      <w:r w:rsidRPr="00C80BFE" w:rsidR="002C6BDA">
        <w:rPr>
          <w:rFonts w:cs="Times New Roman"/>
          <w:szCs w:val="24"/>
        </w:rPr>
        <w:t xml:space="preserve"> as required by the first prong of the PUCO’s three-part </w:t>
      </w:r>
      <w:r w:rsidRPr="00C80BFE" w:rsidR="00D210AB">
        <w:rPr>
          <w:rFonts w:cs="Times New Roman"/>
          <w:szCs w:val="24"/>
        </w:rPr>
        <w:t xml:space="preserve">settlement </w:t>
      </w:r>
      <w:r w:rsidRPr="00C80BFE" w:rsidR="002C6BDA">
        <w:rPr>
          <w:rFonts w:cs="Times New Roman"/>
          <w:szCs w:val="24"/>
        </w:rPr>
        <w:t>test</w:t>
      </w:r>
      <w:r w:rsidRPr="00C80BFE">
        <w:rPr>
          <w:rFonts w:cs="Times New Roman"/>
          <w:szCs w:val="24"/>
        </w:rPr>
        <w:t>.</w:t>
      </w:r>
      <w:r>
        <w:rPr>
          <w:rStyle w:val="FootnoteReference"/>
          <w:rFonts w:cs="Times New Roman"/>
          <w:szCs w:val="24"/>
        </w:rPr>
        <w:footnoteReference w:id="11"/>
      </w:r>
      <w:r w:rsidRPr="00C80BFE" w:rsidR="00A947CC">
        <w:rPr>
          <w:rFonts w:cs="Times New Roman"/>
          <w:szCs w:val="24"/>
        </w:rPr>
        <w:t xml:space="preserve"> Those</w:t>
      </w:r>
      <w:r w:rsidRPr="00C80BFE" w:rsidR="00A0006C">
        <w:rPr>
          <w:rFonts w:cs="Times New Roman"/>
          <w:szCs w:val="24"/>
        </w:rPr>
        <w:t xml:space="preserve"> arguments</w:t>
      </w:r>
      <w:r w:rsidRPr="00C80BFE" w:rsidR="00A947CC">
        <w:rPr>
          <w:rFonts w:cs="Times New Roman"/>
          <w:szCs w:val="24"/>
        </w:rPr>
        <w:t xml:space="preserve"> </w:t>
      </w:r>
      <w:r w:rsidRPr="00C80BFE" w:rsidR="006E0625">
        <w:rPr>
          <w:rFonts w:cs="Times New Roman"/>
          <w:szCs w:val="24"/>
        </w:rPr>
        <w:t>lack</w:t>
      </w:r>
      <w:r w:rsidRPr="00C80BFE" w:rsidR="0008755E">
        <w:rPr>
          <w:rFonts w:cs="Times New Roman"/>
          <w:szCs w:val="24"/>
        </w:rPr>
        <w:t xml:space="preserve"> merit</w:t>
      </w:r>
      <w:r w:rsidRPr="00C80BFE" w:rsidR="00A0006C">
        <w:rPr>
          <w:rFonts w:cs="Times New Roman"/>
          <w:szCs w:val="24"/>
        </w:rPr>
        <w:t xml:space="preserve">. </w:t>
      </w:r>
      <w:r w:rsidRPr="00C80BFE" w:rsidR="001D599C">
        <w:rPr>
          <w:rFonts w:cs="Times New Roman"/>
          <w:szCs w:val="24"/>
        </w:rPr>
        <w:t xml:space="preserve">OPAE does not argue that the Settlement violates prong one. </w:t>
      </w:r>
    </w:p>
    <w:p w:rsidR="002508A8" w:rsidRPr="00C80BFE" w:rsidP="001D599C" w14:paraId="3775499F" w14:textId="705B368B">
      <w:pPr>
        <w:spacing w:after="0" w:line="480" w:lineRule="auto"/>
        <w:ind w:firstLine="720"/>
        <w:rPr>
          <w:rFonts w:cs="Times New Roman"/>
          <w:szCs w:val="24"/>
        </w:rPr>
      </w:pPr>
      <w:r w:rsidRPr="00C80BFE">
        <w:rPr>
          <w:rFonts w:cs="Times New Roman"/>
          <w:szCs w:val="24"/>
        </w:rPr>
        <w:t>ELPC</w:t>
      </w:r>
      <w:r w:rsidRPr="00C80BFE" w:rsidR="008050D2">
        <w:rPr>
          <w:rFonts w:cs="Times New Roman"/>
          <w:szCs w:val="24"/>
        </w:rPr>
        <w:t xml:space="preserve"> claims that</w:t>
      </w:r>
      <w:r w:rsidRPr="00C80BFE" w:rsidR="00F77486">
        <w:rPr>
          <w:rFonts w:cs="Times New Roman"/>
          <w:szCs w:val="24"/>
        </w:rPr>
        <w:t xml:space="preserve"> </w:t>
      </w:r>
      <w:r w:rsidRPr="00C80BFE" w:rsidR="00AD4FD7">
        <w:rPr>
          <w:rFonts w:cs="Times New Roman"/>
          <w:szCs w:val="24"/>
        </w:rPr>
        <w:t>Environmental Groups</w:t>
      </w:r>
      <w:r w:rsidRPr="00C80BFE" w:rsidR="000237A9">
        <w:rPr>
          <w:rFonts w:cs="Times New Roman"/>
          <w:szCs w:val="24"/>
        </w:rPr>
        <w:t xml:space="preserve"> </w:t>
      </w:r>
      <w:r w:rsidRPr="00C80BFE" w:rsidR="004E7FCE">
        <w:rPr>
          <w:rFonts w:cs="Times New Roman"/>
          <w:szCs w:val="24"/>
        </w:rPr>
        <w:t xml:space="preserve">were “excluded” </w:t>
      </w:r>
      <w:r w:rsidRPr="00C80BFE" w:rsidR="000237A9">
        <w:rPr>
          <w:rFonts w:cs="Times New Roman"/>
          <w:szCs w:val="24"/>
        </w:rPr>
        <w:t>from</w:t>
      </w:r>
      <w:r w:rsidRPr="00C80BFE">
        <w:rPr>
          <w:rFonts w:cs="Times New Roman"/>
          <w:szCs w:val="24"/>
        </w:rPr>
        <w:t xml:space="preserve"> negotiations regarding DSM</w:t>
      </w:r>
      <w:r w:rsidRPr="00C80BFE" w:rsidR="000237A9">
        <w:rPr>
          <w:rFonts w:cs="Times New Roman"/>
          <w:szCs w:val="24"/>
        </w:rPr>
        <w:t xml:space="preserve"> and the monthly fixed charges</w:t>
      </w:r>
      <w:r w:rsidRPr="00C80BFE" w:rsidR="009604DE">
        <w:rPr>
          <w:rFonts w:cs="Times New Roman"/>
          <w:szCs w:val="24"/>
        </w:rPr>
        <w:t xml:space="preserve"> and that thei</w:t>
      </w:r>
      <w:r w:rsidRPr="00C80BFE" w:rsidR="0008755E">
        <w:rPr>
          <w:rFonts w:cs="Times New Roman"/>
          <w:szCs w:val="24"/>
        </w:rPr>
        <w:t>r</w:t>
      </w:r>
      <w:r w:rsidRPr="00C80BFE" w:rsidR="009604DE">
        <w:rPr>
          <w:rFonts w:cs="Times New Roman"/>
          <w:szCs w:val="24"/>
        </w:rPr>
        <w:t xml:space="preserve"> positions</w:t>
      </w:r>
      <w:r w:rsidRPr="00C80BFE" w:rsidR="0008755E">
        <w:rPr>
          <w:rFonts w:cs="Times New Roman"/>
          <w:szCs w:val="24"/>
        </w:rPr>
        <w:t xml:space="preserve"> on these topic</w:t>
      </w:r>
      <w:r w:rsidRPr="00C80BFE" w:rsidR="00C439CB">
        <w:rPr>
          <w:rFonts w:cs="Times New Roman"/>
          <w:szCs w:val="24"/>
        </w:rPr>
        <w:t>s</w:t>
      </w:r>
      <w:r w:rsidRPr="00C80BFE" w:rsidR="009604DE">
        <w:rPr>
          <w:rFonts w:cs="Times New Roman"/>
          <w:szCs w:val="24"/>
        </w:rPr>
        <w:t xml:space="preserve"> were “ignored</w:t>
      </w:r>
      <w:r w:rsidRPr="00C80BFE">
        <w:rPr>
          <w:rFonts w:cs="Times New Roman"/>
          <w:szCs w:val="24"/>
        </w:rPr>
        <w:t>.</w:t>
      </w:r>
      <w:r w:rsidRPr="00C80BFE" w:rsidR="009604DE">
        <w:rPr>
          <w:rFonts w:cs="Times New Roman"/>
          <w:szCs w:val="24"/>
        </w:rPr>
        <w:t>”</w:t>
      </w:r>
      <w:r>
        <w:rPr>
          <w:rStyle w:val="FootnoteReference"/>
          <w:rFonts w:cs="Times New Roman"/>
          <w:szCs w:val="24"/>
        </w:rPr>
        <w:footnoteReference w:id="12"/>
      </w:r>
      <w:r w:rsidRPr="00C80BFE">
        <w:rPr>
          <w:rFonts w:cs="Times New Roman"/>
          <w:szCs w:val="24"/>
        </w:rPr>
        <w:t xml:space="preserve"> </w:t>
      </w:r>
      <w:r w:rsidRPr="00C80BFE">
        <w:rPr>
          <w:rFonts w:cs="Times New Roman"/>
          <w:szCs w:val="24"/>
        </w:rPr>
        <w:t xml:space="preserve">But </w:t>
      </w:r>
      <w:r w:rsidRPr="00C80BFE" w:rsidR="001D599C">
        <w:rPr>
          <w:rFonts w:cs="Times New Roman"/>
          <w:szCs w:val="24"/>
        </w:rPr>
        <w:t>ELPC’s claim</w:t>
      </w:r>
      <w:r w:rsidRPr="00C80BFE">
        <w:rPr>
          <w:rFonts w:cs="Times New Roman"/>
          <w:szCs w:val="24"/>
        </w:rPr>
        <w:t xml:space="preserve"> is not supported by evidence</w:t>
      </w:r>
      <w:r w:rsidRPr="00C80BFE">
        <w:rPr>
          <w:rFonts w:cs="Times New Roman"/>
          <w:szCs w:val="24"/>
        </w:rPr>
        <w:t>.</w:t>
      </w:r>
      <w:r w:rsidRPr="00C80BFE" w:rsidR="004E7FCE">
        <w:rPr>
          <w:rFonts w:cs="Times New Roman"/>
          <w:szCs w:val="24"/>
        </w:rPr>
        <w:t xml:space="preserve"> </w:t>
      </w:r>
    </w:p>
    <w:p w:rsidR="00C27A8C" w:rsidRPr="00C80BFE" w:rsidP="00C439CB" w14:paraId="4E1ACD18" w14:textId="7648589F">
      <w:pPr>
        <w:spacing w:after="0" w:line="480" w:lineRule="auto"/>
        <w:ind w:firstLine="720"/>
        <w:rPr>
          <w:rFonts w:cs="Times New Roman"/>
          <w:szCs w:val="24"/>
        </w:rPr>
      </w:pPr>
      <w:r w:rsidRPr="00C80BFE">
        <w:rPr>
          <w:rFonts w:cs="Times New Roman"/>
          <w:szCs w:val="24"/>
        </w:rPr>
        <w:t>Indeed</w:t>
      </w:r>
      <w:r w:rsidRPr="00C80BFE" w:rsidR="00A47FCA">
        <w:rPr>
          <w:rFonts w:cs="Times New Roman"/>
          <w:szCs w:val="24"/>
        </w:rPr>
        <w:t>,</w:t>
      </w:r>
      <w:r w:rsidRPr="00C80BFE">
        <w:rPr>
          <w:rFonts w:cs="Times New Roman"/>
          <w:szCs w:val="24"/>
        </w:rPr>
        <w:t xml:space="preserve"> the evidence adduced at hearing and through testimony shows </w:t>
      </w:r>
      <w:r w:rsidRPr="00C80BFE" w:rsidR="00834B98">
        <w:rPr>
          <w:rFonts w:cs="Times New Roman"/>
          <w:szCs w:val="24"/>
        </w:rPr>
        <w:t>that p</w:t>
      </w:r>
      <w:r w:rsidRPr="00C80BFE" w:rsidR="004E7FCE">
        <w:rPr>
          <w:rFonts w:cs="Times New Roman"/>
          <w:szCs w:val="24"/>
        </w:rPr>
        <w:t>arties worked on a weekly basis for over five months to reach a comprehensive settlement package.</w:t>
      </w:r>
      <w:r>
        <w:rPr>
          <w:rStyle w:val="FootnoteReference"/>
          <w:rFonts w:cs="Times New Roman"/>
          <w:szCs w:val="24"/>
        </w:rPr>
        <w:footnoteReference w:id="13"/>
      </w:r>
      <w:r w:rsidRPr="00C80BFE" w:rsidR="004E7FCE">
        <w:rPr>
          <w:rFonts w:cs="Times New Roman"/>
          <w:szCs w:val="24"/>
        </w:rPr>
        <w:t xml:space="preserve"> All parties had the opportunity to participate in settlement negotiations</w:t>
      </w:r>
      <w:r w:rsidRPr="00C80BFE" w:rsidR="00DE6A1F">
        <w:rPr>
          <w:rFonts w:cs="Times New Roman"/>
          <w:szCs w:val="24"/>
        </w:rPr>
        <w:t>.</w:t>
      </w:r>
      <w:r w:rsidRPr="00C80BFE" w:rsidR="004E7FCE">
        <w:rPr>
          <w:rFonts w:cs="Times New Roman"/>
          <w:szCs w:val="24"/>
        </w:rPr>
        <w:t xml:space="preserve"> </w:t>
      </w:r>
      <w:r w:rsidRPr="00C80BFE" w:rsidR="00DE6A1F">
        <w:rPr>
          <w:rFonts w:cs="Times New Roman"/>
          <w:szCs w:val="24"/>
        </w:rPr>
        <w:t>D</w:t>
      </w:r>
      <w:r w:rsidRPr="00C80BFE" w:rsidR="004E7FCE">
        <w:rPr>
          <w:rFonts w:cs="Times New Roman"/>
          <w:szCs w:val="24"/>
        </w:rPr>
        <w:t xml:space="preserve">rafts of the </w:t>
      </w:r>
      <w:r w:rsidRPr="00C80BFE" w:rsidR="006C0D8B">
        <w:rPr>
          <w:rFonts w:cs="Times New Roman"/>
          <w:szCs w:val="24"/>
        </w:rPr>
        <w:t>S</w:t>
      </w:r>
      <w:r w:rsidRPr="00C80BFE" w:rsidR="004E7FCE">
        <w:rPr>
          <w:rFonts w:cs="Times New Roman"/>
          <w:szCs w:val="24"/>
        </w:rPr>
        <w:t>ettlement</w:t>
      </w:r>
      <w:r w:rsidRPr="00C80BFE" w:rsidR="006C0D8B">
        <w:rPr>
          <w:rFonts w:cs="Times New Roman"/>
          <w:szCs w:val="24"/>
        </w:rPr>
        <w:t xml:space="preserve">, including the provisions regarding </w:t>
      </w:r>
      <w:r w:rsidRPr="00C80BFE" w:rsidR="00DE6A1F">
        <w:rPr>
          <w:rFonts w:cs="Times New Roman"/>
          <w:szCs w:val="24"/>
        </w:rPr>
        <w:t>demand-side management</w:t>
      </w:r>
      <w:r w:rsidRPr="00C80BFE" w:rsidR="006C0D8B">
        <w:rPr>
          <w:rFonts w:cs="Times New Roman"/>
          <w:szCs w:val="24"/>
        </w:rPr>
        <w:t xml:space="preserve"> and monthly fixed charges,</w:t>
      </w:r>
      <w:r w:rsidRPr="00C80BFE" w:rsidR="004E7FCE">
        <w:rPr>
          <w:rFonts w:cs="Times New Roman"/>
          <w:szCs w:val="24"/>
        </w:rPr>
        <w:t xml:space="preserve"> were circulated among </w:t>
      </w:r>
      <w:r w:rsidRPr="00C80BFE" w:rsidR="006E0625">
        <w:rPr>
          <w:rFonts w:cs="Times New Roman"/>
          <w:szCs w:val="24"/>
        </w:rPr>
        <w:t xml:space="preserve">the </w:t>
      </w:r>
      <w:r w:rsidRPr="00C80BFE" w:rsidR="004E7FCE">
        <w:rPr>
          <w:rFonts w:cs="Times New Roman"/>
          <w:szCs w:val="24"/>
        </w:rPr>
        <w:t>parties for review</w:t>
      </w:r>
      <w:r w:rsidRPr="00C80BFE" w:rsidR="006C0D8B">
        <w:rPr>
          <w:rFonts w:cs="Times New Roman"/>
          <w:szCs w:val="24"/>
        </w:rPr>
        <w:t>.</w:t>
      </w:r>
      <w:r>
        <w:rPr>
          <w:rStyle w:val="FootnoteReference"/>
          <w:rFonts w:cs="Times New Roman"/>
          <w:szCs w:val="24"/>
        </w:rPr>
        <w:footnoteReference w:id="14"/>
      </w:r>
      <w:r w:rsidRPr="00C80BFE" w:rsidR="00165096">
        <w:rPr>
          <w:rFonts w:cs="Times New Roman"/>
          <w:szCs w:val="24"/>
        </w:rPr>
        <w:t xml:space="preserve"> </w:t>
      </w:r>
      <w:r w:rsidRPr="00C80BFE" w:rsidR="00C435CC">
        <w:rPr>
          <w:rFonts w:cs="Times New Roman"/>
          <w:szCs w:val="24"/>
        </w:rPr>
        <w:t>The</w:t>
      </w:r>
      <w:r w:rsidRPr="00C80BFE" w:rsidR="00475F00">
        <w:rPr>
          <w:rFonts w:cs="Times New Roman"/>
          <w:szCs w:val="24"/>
        </w:rPr>
        <w:t xml:space="preserve"> Settlement involved serious bargaining among diverse and knowledgeable parties. The</w:t>
      </w:r>
      <w:r w:rsidRPr="00C80BFE" w:rsidR="00CE43AB">
        <w:rPr>
          <w:rFonts w:cs="Times New Roman"/>
          <w:szCs w:val="24"/>
        </w:rPr>
        <w:t xml:space="preserve"> PUCO should summarily reject</w:t>
      </w:r>
      <w:r w:rsidRPr="00C80BFE" w:rsidR="00C435CC">
        <w:rPr>
          <w:rFonts w:cs="Times New Roman"/>
          <w:szCs w:val="24"/>
        </w:rPr>
        <w:t xml:space="preserve"> claims that the Settlement violates prong one.</w:t>
      </w:r>
      <w:r w:rsidRPr="00C80BFE">
        <w:rPr>
          <w:rFonts w:cs="Times New Roman"/>
          <w:szCs w:val="24"/>
        </w:rPr>
        <w:br w:type="page"/>
      </w:r>
    </w:p>
    <w:p w:rsidR="00AD16D2" w:rsidRPr="00C80BFE" w:rsidP="00C27A8C" w14:paraId="114DBBC8" w14:textId="1ECAD557">
      <w:pPr>
        <w:pStyle w:val="Heading3"/>
      </w:pPr>
      <w:bookmarkStart w:id="3" w:name="_Toc123050542"/>
      <w:r w:rsidRPr="00C80BFE">
        <w:rPr>
          <w:rStyle w:val="Heading3Char"/>
          <w:b/>
          <w:bCs/>
        </w:rPr>
        <w:t>ELPC and CUB Ohio</w:t>
      </w:r>
      <w:r w:rsidRPr="00C80BFE" w:rsidR="001A4FC4">
        <w:rPr>
          <w:rStyle w:val="Heading3Char"/>
          <w:b/>
          <w:bCs/>
        </w:rPr>
        <w:t xml:space="preserve"> assert </w:t>
      </w:r>
      <w:r w:rsidRPr="00C80BFE">
        <w:rPr>
          <w:rStyle w:val="Heading3Char"/>
          <w:b/>
          <w:bCs/>
        </w:rPr>
        <w:t>that Columbia proposed an</w:t>
      </w:r>
      <w:r w:rsidRPr="00C80BFE">
        <w:t xml:space="preserve"> unreasonable rate increase </w:t>
      </w:r>
      <w:r w:rsidRPr="00C80BFE" w:rsidR="001A4FC4">
        <w:t>in the application to begin with, and thus, compromises in the Settlement</w:t>
      </w:r>
      <w:r w:rsidRPr="00C80BFE" w:rsidR="00AB27DC">
        <w:t xml:space="preserve"> package</w:t>
      </w:r>
      <w:r w:rsidRPr="00C80BFE" w:rsidR="001A4FC4">
        <w:t xml:space="preserve"> are not the result of </w:t>
      </w:r>
      <w:r w:rsidRPr="00C80BFE">
        <w:t xml:space="preserve">serious bargaining. </w:t>
      </w:r>
      <w:r w:rsidRPr="00C80BFE" w:rsidR="001A4FC4">
        <w:t>These arguments should be rejected.</w:t>
      </w:r>
      <w:bookmarkEnd w:id="3"/>
      <w:r w:rsidRPr="00C80BFE">
        <w:t xml:space="preserve"> </w:t>
      </w:r>
    </w:p>
    <w:p w:rsidR="00DE6A1F" w:rsidRPr="00C80BFE" w:rsidP="00BA66A5" w14:paraId="769718FE" w14:textId="776107AC">
      <w:pPr>
        <w:spacing w:after="0" w:line="480" w:lineRule="auto"/>
        <w:ind w:firstLine="720"/>
        <w:rPr>
          <w:rFonts w:cs="Times New Roman"/>
          <w:szCs w:val="24"/>
        </w:rPr>
      </w:pPr>
      <w:r w:rsidRPr="00C80BFE">
        <w:rPr>
          <w:rFonts w:cs="Times New Roman"/>
          <w:szCs w:val="24"/>
        </w:rPr>
        <w:t>ELPC witness Mr. Rábago testified that there was no serious bargaining because, in his view, Columbia’s proposed rate increase in the application was “outrageous” to begin with.</w:t>
      </w:r>
      <w:r>
        <w:rPr>
          <w:rStyle w:val="FootnoteReference"/>
          <w:rFonts w:cs="Times New Roman"/>
          <w:szCs w:val="24"/>
        </w:rPr>
        <w:footnoteReference w:id="15"/>
      </w:r>
      <w:r w:rsidRPr="00C80BFE">
        <w:rPr>
          <w:rFonts w:cs="Times New Roman"/>
          <w:szCs w:val="24"/>
        </w:rPr>
        <w:t xml:space="preserve"> </w:t>
      </w:r>
      <w:r w:rsidRPr="00C80BFE" w:rsidR="005B795E">
        <w:rPr>
          <w:rFonts w:cs="Times New Roman"/>
          <w:szCs w:val="24"/>
        </w:rPr>
        <w:t xml:space="preserve">Notably, ELPC and CUB Ohio did not file litigation testimony prior to the Settlement to express their claimed outrage about Columbia’s original proposal. </w:t>
      </w:r>
      <w:r w:rsidRPr="00C80BFE">
        <w:rPr>
          <w:rFonts w:cs="Times New Roman"/>
          <w:szCs w:val="24"/>
        </w:rPr>
        <w:t>Th</w:t>
      </w:r>
      <w:r w:rsidRPr="00C80BFE" w:rsidR="00430981">
        <w:rPr>
          <w:rFonts w:cs="Times New Roman"/>
          <w:szCs w:val="24"/>
        </w:rPr>
        <w:t>eir</w:t>
      </w:r>
      <w:r w:rsidRPr="00C80BFE">
        <w:rPr>
          <w:rFonts w:cs="Times New Roman"/>
          <w:szCs w:val="24"/>
        </w:rPr>
        <w:t xml:space="preserve"> argument should be rejected. </w:t>
      </w:r>
    </w:p>
    <w:p w:rsidR="00AD16D2" w:rsidRPr="00C80BFE" w:rsidP="00BA66A5" w14:paraId="05614712" w14:textId="6EE42C44">
      <w:pPr>
        <w:spacing w:after="0" w:line="480" w:lineRule="auto"/>
        <w:ind w:firstLine="720"/>
        <w:rPr>
          <w:rFonts w:cs="Times New Roman"/>
          <w:szCs w:val="24"/>
        </w:rPr>
      </w:pPr>
      <w:r w:rsidRPr="00C80BFE">
        <w:rPr>
          <w:rFonts w:cs="Times New Roman"/>
          <w:szCs w:val="24"/>
        </w:rPr>
        <w:t>Mr. Rábago d</w:t>
      </w:r>
      <w:r w:rsidRPr="00C80BFE" w:rsidR="00DE6A1F">
        <w:rPr>
          <w:rFonts w:cs="Times New Roman"/>
          <w:szCs w:val="24"/>
        </w:rPr>
        <w:t>id</w:t>
      </w:r>
      <w:r w:rsidRPr="00C80BFE">
        <w:rPr>
          <w:rFonts w:cs="Times New Roman"/>
          <w:szCs w:val="24"/>
        </w:rPr>
        <w:t xml:space="preserve"> not testify in support of ELPC’s claim that </w:t>
      </w:r>
      <w:r w:rsidRPr="00C80BFE" w:rsidR="00AD4FD7">
        <w:rPr>
          <w:rFonts w:cs="Times New Roman"/>
          <w:szCs w:val="24"/>
        </w:rPr>
        <w:t>Environmental Groups</w:t>
      </w:r>
      <w:r w:rsidRPr="00C80BFE" w:rsidR="000B28B7">
        <w:rPr>
          <w:rFonts w:cs="Times New Roman"/>
          <w:szCs w:val="24"/>
        </w:rPr>
        <w:t xml:space="preserve"> were “excluded” from the settlement negotiations.</w:t>
      </w:r>
      <w:r w:rsidRPr="00C80BFE" w:rsidR="00BA66A5">
        <w:rPr>
          <w:rFonts w:cs="Times New Roman"/>
          <w:szCs w:val="24"/>
        </w:rPr>
        <w:t xml:space="preserve"> Nor does Mr. Rábago dispute that parties negotiated for over five months.</w:t>
      </w:r>
      <w:r w:rsidRPr="00C80BFE" w:rsidR="000B28B7">
        <w:rPr>
          <w:rFonts w:cs="Times New Roman"/>
          <w:szCs w:val="24"/>
        </w:rPr>
        <w:t xml:space="preserve"> </w:t>
      </w:r>
      <w:r w:rsidRPr="00C80BFE" w:rsidR="00695567">
        <w:rPr>
          <w:rFonts w:cs="Times New Roman"/>
          <w:szCs w:val="24"/>
        </w:rPr>
        <w:t>N</w:t>
      </w:r>
      <w:r w:rsidRPr="00C80BFE" w:rsidR="000B28B7">
        <w:rPr>
          <w:rFonts w:cs="Times New Roman"/>
          <w:szCs w:val="24"/>
        </w:rPr>
        <w:t>othing in Mr. Rábago’s</w:t>
      </w:r>
      <w:r w:rsidRPr="00C80BFE">
        <w:rPr>
          <w:rFonts w:cs="Times New Roman"/>
          <w:szCs w:val="24"/>
        </w:rPr>
        <w:t xml:space="preserve"> testimony </w:t>
      </w:r>
      <w:r w:rsidRPr="00C80BFE" w:rsidR="000B28B7">
        <w:rPr>
          <w:rFonts w:cs="Times New Roman"/>
          <w:szCs w:val="24"/>
        </w:rPr>
        <w:t xml:space="preserve">indicates that he even participated </w:t>
      </w:r>
      <w:r w:rsidRPr="00C80BFE" w:rsidR="00E86E4E">
        <w:rPr>
          <w:rFonts w:cs="Times New Roman"/>
          <w:szCs w:val="24"/>
        </w:rPr>
        <w:t xml:space="preserve">in </w:t>
      </w:r>
      <w:r w:rsidRPr="00C80BFE" w:rsidR="002508A8">
        <w:rPr>
          <w:rFonts w:cs="Times New Roman"/>
          <w:szCs w:val="24"/>
        </w:rPr>
        <w:t xml:space="preserve">or was aware of </w:t>
      </w:r>
      <w:r w:rsidRPr="00C80BFE" w:rsidR="000B28B7">
        <w:rPr>
          <w:rFonts w:cs="Times New Roman"/>
          <w:szCs w:val="24"/>
        </w:rPr>
        <w:t xml:space="preserve">the settlement negotiations. </w:t>
      </w:r>
    </w:p>
    <w:p w:rsidR="00012862" w:rsidRPr="00C80BFE" w:rsidP="00BA66A5" w14:paraId="4093FB66" w14:textId="60704CE4">
      <w:pPr>
        <w:spacing w:after="0" w:line="480" w:lineRule="auto"/>
        <w:ind w:firstLine="720"/>
        <w:rPr>
          <w:rFonts w:cs="Times New Roman"/>
          <w:szCs w:val="24"/>
        </w:rPr>
      </w:pPr>
      <w:r w:rsidRPr="00C80BFE">
        <w:rPr>
          <w:rFonts w:cs="Times New Roman"/>
          <w:szCs w:val="24"/>
        </w:rPr>
        <w:t>To</w:t>
      </w:r>
      <w:r w:rsidRPr="00C80BFE" w:rsidR="00BA66A5">
        <w:rPr>
          <w:rFonts w:cs="Times New Roman"/>
          <w:szCs w:val="24"/>
        </w:rPr>
        <w:t xml:space="preserve"> support claim</w:t>
      </w:r>
      <w:r w:rsidRPr="00C80BFE" w:rsidR="006F4280">
        <w:rPr>
          <w:rFonts w:cs="Times New Roman"/>
          <w:szCs w:val="24"/>
        </w:rPr>
        <w:t>s</w:t>
      </w:r>
      <w:r w:rsidRPr="00C80BFE">
        <w:rPr>
          <w:rFonts w:cs="Times New Roman"/>
          <w:szCs w:val="24"/>
        </w:rPr>
        <w:t xml:space="preserve"> that Columbia’s application was unreasonable to begin with</w:t>
      </w:r>
      <w:r w:rsidRPr="00C80BFE" w:rsidR="00CB2FA0">
        <w:rPr>
          <w:rFonts w:cs="Times New Roman"/>
          <w:szCs w:val="24"/>
        </w:rPr>
        <w:t xml:space="preserve">, </w:t>
      </w:r>
      <w:r w:rsidRPr="00C80BFE" w:rsidR="00CB386A">
        <w:rPr>
          <w:rFonts w:cs="Times New Roman"/>
          <w:szCs w:val="24"/>
        </w:rPr>
        <w:t xml:space="preserve">ELPC </w:t>
      </w:r>
      <w:r w:rsidRPr="00C80BFE">
        <w:rPr>
          <w:rFonts w:cs="Times New Roman"/>
          <w:szCs w:val="24"/>
        </w:rPr>
        <w:t xml:space="preserve">witness Rábago </w:t>
      </w:r>
      <w:r w:rsidRPr="00C80BFE" w:rsidR="00454D42">
        <w:rPr>
          <w:rFonts w:cs="Times New Roman"/>
          <w:szCs w:val="24"/>
        </w:rPr>
        <w:t>used</w:t>
      </w:r>
      <w:r w:rsidRPr="00C80BFE" w:rsidR="00AD16D2">
        <w:rPr>
          <w:rFonts w:cs="Times New Roman"/>
          <w:szCs w:val="24"/>
        </w:rPr>
        <w:t xml:space="preserve"> </w:t>
      </w:r>
      <w:r w:rsidRPr="00C80BFE" w:rsidR="00CB2FA0">
        <w:rPr>
          <w:rFonts w:cs="Times New Roman"/>
          <w:szCs w:val="24"/>
        </w:rPr>
        <w:t>the</w:t>
      </w:r>
      <w:r w:rsidRPr="00C80BFE" w:rsidR="00AD16D2">
        <w:rPr>
          <w:rFonts w:cs="Times New Roman"/>
          <w:szCs w:val="24"/>
        </w:rPr>
        <w:t xml:space="preserve"> testimon</w:t>
      </w:r>
      <w:r w:rsidRPr="00C80BFE" w:rsidR="00C7231A">
        <w:rPr>
          <w:rFonts w:cs="Times New Roman"/>
          <w:szCs w:val="24"/>
        </w:rPr>
        <w:t>ies</w:t>
      </w:r>
      <w:r w:rsidRPr="00C80BFE" w:rsidR="00CB2FA0">
        <w:rPr>
          <w:rFonts w:cs="Times New Roman"/>
          <w:szCs w:val="24"/>
        </w:rPr>
        <w:t xml:space="preserve"> of OCC witnesses Fortney, Colton, and Zhu</w:t>
      </w:r>
      <w:r w:rsidRPr="00C80BFE" w:rsidR="006777AC">
        <w:rPr>
          <w:rFonts w:cs="Times New Roman"/>
          <w:szCs w:val="24"/>
        </w:rPr>
        <w:t>. But that testimony was</w:t>
      </w:r>
      <w:r w:rsidRPr="00C80BFE" w:rsidR="00AD16D2">
        <w:rPr>
          <w:rFonts w:cs="Times New Roman"/>
          <w:szCs w:val="24"/>
        </w:rPr>
        <w:t xml:space="preserve"> </w:t>
      </w:r>
      <w:r w:rsidRPr="00C80BFE" w:rsidR="00CB2FA0">
        <w:rPr>
          <w:rFonts w:cs="Times New Roman"/>
          <w:szCs w:val="24"/>
        </w:rPr>
        <w:t>regarding OCC’s</w:t>
      </w:r>
      <w:r w:rsidRPr="00C80BFE" w:rsidR="00AD16D2">
        <w:rPr>
          <w:rFonts w:cs="Times New Roman"/>
          <w:szCs w:val="24"/>
        </w:rPr>
        <w:t xml:space="preserve"> </w:t>
      </w:r>
      <w:r w:rsidRPr="00C80BFE" w:rsidR="00AD16D2">
        <w:rPr>
          <w:rFonts w:cs="Times New Roman"/>
          <w:i/>
          <w:iCs/>
          <w:szCs w:val="24"/>
        </w:rPr>
        <w:t>litigation</w:t>
      </w:r>
      <w:r w:rsidRPr="00C80BFE" w:rsidR="00AD16D2">
        <w:rPr>
          <w:rFonts w:cs="Times New Roman"/>
          <w:szCs w:val="24"/>
        </w:rPr>
        <w:t xml:space="preserve"> position</w:t>
      </w:r>
      <w:r w:rsidRPr="00C80BFE" w:rsidR="00CB2FA0">
        <w:rPr>
          <w:rFonts w:cs="Times New Roman"/>
          <w:szCs w:val="24"/>
        </w:rPr>
        <w:t>s</w:t>
      </w:r>
      <w:r w:rsidRPr="00C80BFE" w:rsidR="00D00029">
        <w:rPr>
          <w:rFonts w:cs="Times New Roman"/>
          <w:szCs w:val="24"/>
        </w:rPr>
        <w:t xml:space="preserve"> </w:t>
      </w:r>
      <w:r w:rsidRPr="00C80BFE" w:rsidR="00113098">
        <w:rPr>
          <w:rFonts w:cs="Times New Roman"/>
          <w:szCs w:val="24"/>
        </w:rPr>
        <w:t>before the S</w:t>
      </w:r>
      <w:r w:rsidRPr="00C80BFE" w:rsidR="00D00029">
        <w:rPr>
          <w:rFonts w:cs="Times New Roman"/>
          <w:szCs w:val="24"/>
        </w:rPr>
        <w:t>ettlement</w:t>
      </w:r>
      <w:r w:rsidRPr="00C80BFE" w:rsidR="00CB2FA0">
        <w:rPr>
          <w:rFonts w:cs="Times New Roman"/>
          <w:szCs w:val="24"/>
        </w:rPr>
        <w:t>.</w:t>
      </w:r>
      <w:r>
        <w:rPr>
          <w:rStyle w:val="FootnoteReference"/>
          <w:rFonts w:cs="Times New Roman"/>
          <w:szCs w:val="24"/>
        </w:rPr>
        <w:footnoteReference w:id="16"/>
      </w:r>
      <w:r w:rsidRPr="00C80BFE" w:rsidR="00CB2FA0">
        <w:rPr>
          <w:rFonts w:cs="Times New Roman"/>
          <w:szCs w:val="24"/>
        </w:rPr>
        <w:t xml:space="preserve"> </w:t>
      </w:r>
      <w:r w:rsidRPr="00C80BFE" w:rsidR="00126549">
        <w:rPr>
          <w:rFonts w:cs="Times New Roman"/>
          <w:szCs w:val="24"/>
        </w:rPr>
        <w:t xml:space="preserve">ELPC did not even have its own litigation testimony pre-settlement. </w:t>
      </w:r>
    </w:p>
    <w:p w:rsidR="00AD16D2" w:rsidRPr="00C80BFE" w:rsidP="007521D1" w14:paraId="7FF0270C" w14:textId="4420753C">
      <w:pPr>
        <w:spacing w:after="0" w:line="480" w:lineRule="auto"/>
        <w:ind w:firstLine="720"/>
        <w:rPr>
          <w:rFonts w:eastAsia="Times New Roman" w:cs="Times New Roman"/>
          <w:szCs w:val="24"/>
        </w:rPr>
      </w:pPr>
      <w:r w:rsidRPr="00C80BFE">
        <w:rPr>
          <w:rFonts w:cs="Times New Roman"/>
          <w:szCs w:val="24"/>
        </w:rPr>
        <w:t>As the Environmental Groups note, it is well known that OCC is on record as opposing high fixed charges. OCC has been a leader in opposing high fixed charges.</w:t>
      </w:r>
      <w:r w:rsidRPr="00C80BFE" w:rsidR="00012862">
        <w:rPr>
          <w:rFonts w:cs="Times New Roman"/>
          <w:szCs w:val="24"/>
        </w:rPr>
        <w:t xml:space="preserve"> That OCC leadership for consumer protection included OCC’s several appeals of fixed charges to the Ohio Supreme Court, where unfortunately the Court did not overturn the PUCO’s fixed-charge orders.</w:t>
      </w:r>
      <w:r>
        <w:rPr>
          <w:rStyle w:val="FootnoteReference"/>
          <w:rFonts w:cs="Times New Roman"/>
          <w:szCs w:val="24"/>
        </w:rPr>
        <w:footnoteReference w:id="17"/>
      </w:r>
      <w:r w:rsidRPr="00C80BFE">
        <w:rPr>
          <w:rFonts w:cs="Times New Roman"/>
          <w:szCs w:val="24"/>
        </w:rPr>
        <w:t xml:space="preserve"> </w:t>
      </w:r>
      <w:r w:rsidRPr="00C80BFE" w:rsidR="007521D1">
        <w:rPr>
          <w:rFonts w:cs="Times New Roman"/>
          <w:szCs w:val="24"/>
        </w:rPr>
        <w:t xml:space="preserve">The Environmental Groups seem unwilling or unable to recognize the reality that OCC and others have been unable generally to make progress against high fixed charges in recent years at the PUCO. </w:t>
      </w:r>
      <w:r w:rsidRPr="00C80BFE" w:rsidR="00012862">
        <w:rPr>
          <w:rFonts w:cs="Times New Roman"/>
          <w:szCs w:val="24"/>
        </w:rPr>
        <w:t xml:space="preserve">Contrary to the Environmental Groups’ simplistic characterizations of </w:t>
      </w:r>
      <w:r w:rsidRPr="00C80BFE" w:rsidR="009513FB">
        <w:rPr>
          <w:rFonts w:cs="Times New Roman"/>
          <w:szCs w:val="24"/>
        </w:rPr>
        <w:t>negotiation</w:t>
      </w:r>
      <w:r w:rsidRPr="00C80BFE" w:rsidR="00012862">
        <w:rPr>
          <w:rFonts w:cs="Times New Roman"/>
          <w:szCs w:val="24"/>
        </w:rPr>
        <w:t xml:space="preserve"> versus litigation, </w:t>
      </w:r>
      <w:r w:rsidRPr="00C80BFE" w:rsidR="00126549">
        <w:rPr>
          <w:rFonts w:cs="Times New Roman"/>
          <w:szCs w:val="24"/>
        </w:rPr>
        <w:t>OCC makes decisions in settlement negotiations for consumer protection</w:t>
      </w:r>
      <w:r w:rsidRPr="00C80BFE" w:rsidR="00012862">
        <w:rPr>
          <w:rFonts w:cs="Times New Roman"/>
          <w:szCs w:val="24"/>
        </w:rPr>
        <w:t>s</w:t>
      </w:r>
      <w:r w:rsidRPr="00C80BFE" w:rsidR="00126549">
        <w:rPr>
          <w:rFonts w:cs="Times New Roman"/>
          <w:szCs w:val="24"/>
        </w:rPr>
        <w:t xml:space="preserve"> against a backdrop of</w:t>
      </w:r>
      <w:r w:rsidRPr="00C80BFE" w:rsidR="00012862">
        <w:rPr>
          <w:rFonts w:cs="Times New Roman"/>
          <w:szCs w:val="24"/>
        </w:rPr>
        <w:t>, among other things,</w:t>
      </w:r>
      <w:r w:rsidRPr="00C80BFE" w:rsidR="00126549">
        <w:rPr>
          <w:rFonts w:cs="Times New Roman"/>
          <w:szCs w:val="24"/>
        </w:rPr>
        <w:t xml:space="preserve"> PUCO and court precedent on issues.</w:t>
      </w:r>
      <w:r w:rsidRPr="00C80BFE" w:rsidR="003B27A4">
        <w:rPr>
          <w:rFonts w:cs="Times New Roman"/>
          <w:szCs w:val="24"/>
        </w:rPr>
        <w:t xml:space="preserve"> That’s what happened in this case.</w:t>
      </w:r>
    </w:p>
    <w:p w:rsidR="00AC70E9" w:rsidRPr="00C80BFE" w:rsidP="007C6C8C" w14:paraId="561DD9CC" w14:textId="06C18C0F">
      <w:pPr>
        <w:spacing w:after="0" w:line="480" w:lineRule="auto"/>
        <w:ind w:firstLine="720"/>
        <w:rPr>
          <w:rFonts w:cs="Times New Roman"/>
          <w:szCs w:val="24"/>
        </w:rPr>
      </w:pPr>
      <w:r w:rsidRPr="00C80BFE">
        <w:rPr>
          <w:rFonts w:cs="Times New Roman"/>
          <w:szCs w:val="24"/>
        </w:rPr>
        <w:t>ELPC argues that “[u]sing [Columbia’s] initial proposal as the measuring stick for serious bargaining is flawed when [Columbia’s] initial proposal has not been vetted for reasonableness in the first place.”</w:t>
      </w:r>
      <w:r>
        <w:rPr>
          <w:rStyle w:val="FootnoteReference"/>
          <w:rFonts w:cs="Times New Roman"/>
          <w:szCs w:val="24"/>
        </w:rPr>
        <w:footnoteReference w:id="18"/>
      </w:r>
      <w:r w:rsidRPr="00C80BFE">
        <w:rPr>
          <w:rFonts w:cs="Times New Roman"/>
          <w:szCs w:val="24"/>
        </w:rPr>
        <w:t xml:space="preserve"> </w:t>
      </w:r>
      <w:r w:rsidRPr="00C80BFE" w:rsidR="00680FCB">
        <w:rPr>
          <w:rFonts w:cs="Times New Roman"/>
          <w:szCs w:val="24"/>
        </w:rPr>
        <w:t xml:space="preserve">Maybe ELPC did not use </w:t>
      </w:r>
      <w:r w:rsidRPr="00C80BFE" w:rsidR="006D3490">
        <w:rPr>
          <w:rFonts w:cs="Times New Roman"/>
          <w:szCs w:val="24"/>
        </w:rPr>
        <w:t xml:space="preserve">the </w:t>
      </w:r>
      <w:r w:rsidRPr="00C80BFE" w:rsidR="00680FCB">
        <w:rPr>
          <w:rFonts w:cs="Times New Roman"/>
          <w:szCs w:val="24"/>
        </w:rPr>
        <w:t>year or more of the case timeline for discovery and other case preparation. But Columbia’s proposal was being vetted</w:t>
      </w:r>
      <w:r w:rsidRPr="00C80BFE" w:rsidR="0050748E">
        <w:rPr>
          <w:rFonts w:cs="Times New Roman"/>
          <w:szCs w:val="24"/>
        </w:rPr>
        <w:t xml:space="preserve"> by some parties</w:t>
      </w:r>
      <w:r w:rsidRPr="00C80BFE">
        <w:rPr>
          <w:rFonts w:cs="Times New Roman"/>
          <w:szCs w:val="24"/>
        </w:rPr>
        <w:t xml:space="preserve"> including OCC</w:t>
      </w:r>
      <w:r w:rsidRPr="00C80BFE" w:rsidR="00447EB6">
        <w:rPr>
          <w:rFonts w:cs="Times New Roman"/>
          <w:szCs w:val="24"/>
        </w:rPr>
        <w:t>.</w:t>
      </w:r>
      <w:r w:rsidRPr="00C80BFE" w:rsidR="009513FB">
        <w:rPr>
          <w:rFonts w:cs="Times New Roman"/>
          <w:szCs w:val="24"/>
        </w:rPr>
        <w:t xml:space="preserve"> </w:t>
      </w:r>
    </w:p>
    <w:p w:rsidR="007C6C8C" w:rsidRPr="00C80BFE" w:rsidP="007C6C8C" w14:paraId="3B16E953" w14:textId="4F06C6AA">
      <w:pPr>
        <w:spacing w:after="0" w:line="480" w:lineRule="auto"/>
        <w:ind w:firstLine="720"/>
        <w:rPr>
          <w:rFonts w:cs="Times New Roman"/>
          <w:szCs w:val="24"/>
        </w:rPr>
      </w:pPr>
      <w:r w:rsidRPr="00C80BFE">
        <w:rPr>
          <w:rFonts w:cs="Times New Roman"/>
          <w:szCs w:val="24"/>
        </w:rPr>
        <w:t xml:space="preserve">And </w:t>
      </w:r>
      <w:r w:rsidRPr="00C80BFE">
        <w:rPr>
          <w:rFonts w:cs="Times New Roman"/>
          <w:szCs w:val="24"/>
        </w:rPr>
        <w:t xml:space="preserve">ELPC ignores the process in rate cases where the PUCO Staff </w:t>
      </w:r>
      <w:r w:rsidRPr="00C80BFE" w:rsidR="002508A8">
        <w:rPr>
          <w:rFonts w:cs="Times New Roman"/>
          <w:szCs w:val="24"/>
        </w:rPr>
        <w:t>investigates the utility</w:t>
      </w:r>
      <w:r w:rsidRPr="00C80BFE" w:rsidR="001C13F0">
        <w:rPr>
          <w:rFonts w:cs="Times New Roman"/>
          <w:szCs w:val="24"/>
        </w:rPr>
        <w:t>’</w:t>
      </w:r>
      <w:r w:rsidRPr="00C80BFE" w:rsidR="002508A8">
        <w:rPr>
          <w:rFonts w:cs="Times New Roman"/>
          <w:szCs w:val="24"/>
        </w:rPr>
        <w:t xml:space="preserve">s application and </w:t>
      </w:r>
      <w:r w:rsidRPr="00C80BFE">
        <w:rPr>
          <w:rFonts w:cs="Times New Roman"/>
          <w:szCs w:val="24"/>
        </w:rPr>
        <w:t xml:space="preserve">issues </w:t>
      </w:r>
      <w:r w:rsidRPr="00C80BFE">
        <w:rPr>
          <w:rFonts w:cs="Times New Roman"/>
          <w:szCs w:val="24"/>
        </w:rPr>
        <w:t xml:space="preserve">its </w:t>
      </w:r>
      <w:r w:rsidRPr="00C80BFE">
        <w:rPr>
          <w:rFonts w:cs="Times New Roman"/>
          <w:szCs w:val="24"/>
        </w:rPr>
        <w:t>Staff Report</w:t>
      </w:r>
      <w:r w:rsidRPr="00C80BFE">
        <w:rPr>
          <w:rFonts w:cs="Times New Roman"/>
          <w:szCs w:val="24"/>
        </w:rPr>
        <w:t>.</w:t>
      </w:r>
      <w:r w:rsidRPr="00C80BFE">
        <w:rPr>
          <w:rFonts w:cs="Times New Roman"/>
          <w:szCs w:val="24"/>
        </w:rPr>
        <w:t xml:space="preserve"> </w:t>
      </w:r>
      <w:r w:rsidRPr="00C80BFE" w:rsidR="00447EB6">
        <w:rPr>
          <w:rFonts w:cs="Times New Roman"/>
          <w:szCs w:val="24"/>
        </w:rPr>
        <w:t>Under R.C. 4909.19, p</w:t>
      </w:r>
      <w:r w:rsidRPr="00C80BFE">
        <w:rPr>
          <w:rFonts w:cs="Times New Roman"/>
          <w:szCs w:val="24"/>
        </w:rPr>
        <w:t>arties then file objections to the Staff Report and testimony in support of objections. From there, parties work toward</w:t>
      </w:r>
      <w:r w:rsidRPr="00C80BFE" w:rsidR="00695567">
        <w:rPr>
          <w:rFonts w:cs="Times New Roman"/>
          <w:szCs w:val="24"/>
        </w:rPr>
        <w:t xml:space="preserve"> compromise and</w:t>
      </w:r>
      <w:r w:rsidRPr="00C80BFE">
        <w:rPr>
          <w:rFonts w:cs="Times New Roman"/>
          <w:szCs w:val="24"/>
        </w:rPr>
        <w:t xml:space="preserve"> settlement</w:t>
      </w:r>
      <w:r w:rsidRPr="00C80BFE" w:rsidR="002508A8">
        <w:rPr>
          <w:rFonts w:cs="Times New Roman"/>
          <w:szCs w:val="24"/>
        </w:rPr>
        <w:t>, along with pursuing the parallel litigation trac</w:t>
      </w:r>
      <w:r w:rsidRPr="00C80BFE">
        <w:rPr>
          <w:rFonts w:cs="Times New Roman"/>
          <w:szCs w:val="24"/>
        </w:rPr>
        <w:t>k</w:t>
      </w:r>
      <w:r w:rsidRPr="00C80BFE" w:rsidR="002508A8">
        <w:rPr>
          <w:rFonts w:cs="Times New Roman"/>
          <w:szCs w:val="24"/>
        </w:rPr>
        <w:t>.</w:t>
      </w:r>
      <w:r w:rsidRPr="00C80BFE">
        <w:rPr>
          <w:rFonts w:cs="Times New Roman"/>
          <w:szCs w:val="24"/>
        </w:rPr>
        <w:t xml:space="preserve"> </w:t>
      </w:r>
      <w:r w:rsidRPr="00C80BFE" w:rsidR="008919AB">
        <w:rPr>
          <w:rFonts w:cs="Times New Roman"/>
          <w:szCs w:val="24"/>
        </w:rPr>
        <w:t>This was the process</w:t>
      </w:r>
      <w:r w:rsidRPr="00C80BFE" w:rsidR="002508A8">
        <w:rPr>
          <w:rFonts w:cs="Times New Roman"/>
          <w:szCs w:val="24"/>
        </w:rPr>
        <w:t xml:space="preserve"> followed </w:t>
      </w:r>
      <w:r w:rsidRPr="00C80BFE" w:rsidR="008919AB">
        <w:rPr>
          <w:rFonts w:cs="Times New Roman"/>
          <w:szCs w:val="24"/>
        </w:rPr>
        <w:t>in this case</w:t>
      </w:r>
      <w:r w:rsidRPr="00C80BFE" w:rsidR="00FA78F8">
        <w:rPr>
          <w:rFonts w:cs="Times New Roman"/>
          <w:szCs w:val="24"/>
        </w:rPr>
        <w:t xml:space="preserve"> to achieve a mutually beneficial outcome </w:t>
      </w:r>
      <w:r w:rsidRPr="00C80BFE">
        <w:rPr>
          <w:rFonts w:cs="Times New Roman"/>
          <w:szCs w:val="24"/>
        </w:rPr>
        <w:t>that</w:t>
      </w:r>
      <w:r w:rsidRPr="00C80BFE" w:rsidR="00FA78F8">
        <w:rPr>
          <w:rFonts w:cs="Times New Roman"/>
          <w:szCs w:val="24"/>
        </w:rPr>
        <w:t xml:space="preserve"> benefit</w:t>
      </w:r>
      <w:r w:rsidRPr="00C80BFE">
        <w:rPr>
          <w:rFonts w:cs="Times New Roman"/>
          <w:szCs w:val="24"/>
        </w:rPr>
        <w:t>ed</w:t>
      </w:r>
      <w:r w:rsidRPr="00C80BFE" w:rsidR="00FA78F8">
        <w:rPr>
          <w:rFonts w:cs="Times New Roman"/>
          <w:szCs w:val="24"/>
        </w:rPr>
        <w:t xml:space="preserve"> consumers</w:t>
      </w:r>
      <w:r w:rsidRPr="00C80BFE" w:rsidR="008919AB">
        <w:rPr>
          <w:rFonts w:cs="Times New Roman"/>
          <w:szCs w:val="24"/>
        </w:rPr>
        <w:t xml:space="preserve">. </w:t>
      </w:r>
      <w:r w:rsidRPr="00C80BFE" w:rsidR="00447EB6">
        <w:rPr>
          <w:rFonts w:cs="Times New Roman"/>
          <w:szCs w:val="24"/>
        </w:rPr>
        <w:t xml:space="preserve">OCC had </w:t>
      </w:r>
      <w:r w:rsidRPr="00C80BFE" w:rsidR="005F0C73">
        <w:rPr>
          <w:rFonts w:cs="Times New Roman"/>
          <w:szCs w:val="24"/>
        </w:rPr>
        <w:t>39</w:t>
      </w:r>
      <w:r w:rsidRPr="00C80BFE" w:rsidR="00447EB6">
        <w:rPr>
          <w:rFonts w:cs="Times New Roman"/>
          <w:szCs w:val="24"/>
        </w:rPr>
        <w:t xml:space="preserve"> objections to the PUCO Staff’s Report of Investigation.</w:t>
      </w:r>
      <w:r w:rsidR="00C80BFE">
        <w:rPr>
          <w:rFonts w:cs="Times New Roman"/>
          <w:szCs w:val="24"/>
        </w:rPr>
        <w:t xml:space="preserve"> </w:t>
      </w:r>
      <w:r w:rsidRPr="00C80BFE" w:rsidR="00447EB6">
        <w:rPr>
          <w:rFonts w:cs="Times New Roman"/>
          <w:szCs w:val="24"/>
        </w:rPr>
        <w:t xml:space="preserve">ELPC had a grand total of merely </w:t>
      </w:r>
      <w:r w:rsidRPr="00C80BFE" w:rsidR="00447EB6">
        <w:rPr>
          <w:rFonts w:cs="Times New Roman"/>
          <w:i/>
          <w:iCs/>
          <w:szCs w:val="24"/>
        </w:rPr>
        <w:t>two objections</w:t>
      </w:r>
      <w:r w:rsidRPr="00C80BFE" w:rsidR="00447EB6">
        <w:rPr>
          <w:rFonts w:cs="Times New Roman"/>
          <w:szCs w:val="24"/>
        </w:rPr>
        <w:t xml:space="preserve"> to the PUCO’s Staff Report.</w:t>
      </w:r>
      <w:r>
        <w:rPr>
          <w:rStyle w:val="FootnoteReference"/>
          <w:rFonts w:cs="Times New Roman"/>
          <w:szCs w:val="24"/>
        </w:rPr>
        <w:footnoteReference w:id="19"/>
      </w:r>
    </w:p>
    <w:p w:rsidR="00AD16D2" w:rsidRPr="00C80BFE" w:rsidP="00A25F6D" w14:paraId="1DD17F37" w14:textId="3E022C77">
      <w:pPr>
        <w:spacing w:after="0" w:line="480" w:lineRule="auto"/>
        <w:ind w:firstLine="720"/>
        <w:rPr>
          <w:rFonts w:cs="Times New Roman"/>
          <w:szCs w:val="24"/>
        </w:rPr>
      </w:pPr>
      <w:r w:rsidRPr="00C80BFE">
        <w:rPr>
          <w:rFonts w:cs="Times New Roman"/>
          <w:szCs w:val="24"/>
        </w:rPr>
        <w:t>OCC’s</w:t>
      </w:r>
      <w:r w:rsidRPr="00C80BFE" w:rsidR="00AF43E0">
        <w:rPr>
          <w:rFonts w:cs="Times New Roman"/>
          <w:szCs w:val="24"/>
        </w:rPr>
        <w:t xml:space="preserve"> pre-settlement</w:t>
      </w:r>
      <w:r w:rsidRPr="00C80BFE">
        <w:rPr>
          <w:rFonts w:cs="Times New Roman"/>
          <w:szCs w:val="24"/>
        </w:rPr>
        <w:t xml:space="preserve"> </w:t>
      </w:r>
      <w:r w:rsidRPr="00C80BFE" w:rsidR="00A25F6D">
        <w:rPr>
          <w:rFonts w:cs="Times New Roman"/>
          <w:szCs w:val="24"/>
        </w:rPr>
        <w:t>litigation</w:t>
      </w:r>
      <w:r w:rsidRPr="00C80BFE">
        <w:rPr>
          <w:rFonts w:cs="Times New Roman"/>
          <w:szCs w:val="24"/>
        </w:rPr>
        <w:t xml:space="preserve"> testimony </w:t>
      </w:r>
      <w:r w:rsidRPr="00C80BFE" w:rsidR="00E3274E">
        <w:rPr>
          <w:rFonts w:cs="Times New Roman"/>
          <w:szCs w:val="24"/>
        </w:rPr>
        <w:t>does not demonstrate that the Settlement fails any part of the PUCO’s three-part test</w:t>
      </w:r>
      <w:r w:rsidRPr="00C80BFE" w:rsidR="00A25F6D">
        <w:rPr>
          <w:rFonts w:cs="Times New Roman"/>
          <w:szCs w:val="24"/>
        </w:rPr>
        <w:t>.</w:t>
      </w:r>
      <w:r w:rsidRPr="00C80BFE">
        <w:rPr>
          <w:rFonts w:cs="Times New Roman"/>
          <w:szCs w:val="24"/>
        </w:rPr>
        <w:t xml:space="preserve"> </w:t>
      </w:r>
      <w:r w:rsidRPr="00C80BFE" w:rsidR="00E3274E">
        <w:rPr>
          <w:rFonts w:cs="Times New Roman"/>
          <w:szCs w:val="24"/>
        </w:rPr>
        <w:t xml:space="preserve">It demonstrates the exact opposite. </w:t>
      </w:r>
      <w:r w:rsidRPr="00C80BFE">
        <w:rPr>
          <w:rFonts w:cs="Times New Roman"/>
          <w:szCs w:val="24"/>
        </w:rPr>
        <w:t>Given the myriad complex issues in this case, parties worked diligently for over five months to reach a settlement package to avoid the uncertainty of litigation.</w:t>
      </w:r>
      <w:r w:rsidRPr="00C80BFE" w:rsidR="00A25F6D">
        <w:rPr>
          <w:rFonts w:cs="Times New Roman"/>
          <w:szCs w:val="24"/>
        </w:rPr>
        <w:t xml:space="preserve"> </w:t>
      </w:r>
      <w:r w:rsidRPr="00C80BFE" w:rsidR="00E3274E">
        <w:rPr>
          <w:rFonts w:cs="Times New Roman"/>
          <w:szCs w:val="24"/>
        </w:rPr>
        <w:t>OCC’s litigation testimony</w:t>
      </w:r>
      <w:r w:rsidRPr="00C80BFE" w:rsidR="00AF1EF5">
        <w:rPr>
          <w:rFonts w:cs="Times New Roman"/>
          <w:szCs w:val="24"/>
        </w:rPr>
        <w:t>,</w:t>
      </w:r>
      <w:r w:rsidRPr="00C80BFE" w:rsidR="00E3274E">
        <w:rPr>
          <w:rFonts w:cs="Times New Roman"/>
          <w:szCs w:val="24"/>
        </w:rPr>
        <w:t xml:space="preserve"> </w:t>
      </w:r>
      <w:r w:rsidRPr="00C80BFE" w:rsidR="002F6152">
        <w:rPr>
          <w:rFonts w:cs="Times New Roman"/>
          <w:szCs w:val="24"/>
        </w:rPr>
        <w:t>filed prior</w:t>
      </w:r>
      <w:r w:rsidRPr="00C80BFE" w:rsidR="00E3274E">
        <w:rPr>
          <w:rFonts w:cs="Times New Roman"/>
          <w:szCs w:val="24"/>
        </w:rPr>
        <w:t xml:space="preserve"> to the testimony of</w:t>
      </w:r>
      <w:r w:rsidRPr="00C80BFE" w:rsidR="00AF1EF5">
        <w:rPr>
          <w:rFonts w:cs="Times New Roman"/>
          <w:szCs w:val="24"/>
        </w:rPr>
        <w:t xml:space="preserve"> OCC witness</w:t>
      </w:r>
      <w:r w:rsidRPr="00C80BFE" w:rsidR="00E3274E">
        <w:rPr>
          <w:rFonts w:cs="Times New Roman"/>
          <w:szCs w:val="24"/>
        </w:rPr>
        <w:t xml:space="preserve"> Kerry Adkins in support of the Settlement</w:t>
      </w:r>
      <w:r w:rsidRPr="00C80BFE" w:rsidR="00AF1EF5">
        <w:rPr>
          <w:rFonts w:cs="Times New Roman"/>
          <w:szCs w:val="24"/>
        </w:rPr>
        <w:t>,</w:t>
      </w:r>
      <w:r w:rsidRPr="00C80BFE" w:rsidR="00E3274E">
        <w:rPr>
          <w:rFonts w:cs="Times New Roman"/>
          <w:szCs w:val="24"/>
        </w:rPr>
        <w:t xml:space="preserve"> </w:t>
      </w:r>
      <w:r w:rsidRPr="00C80BFE" w:rsidR="00AF43E0">
        <w:rPr>
          <w:rFonts w:cs="Times New Roman"/>
          <w:szCs w:val="24"/>
        </w:rPr>
        <w:t xml:space="preserve">reflects </w:t>
      </w:r>
      <w:r w:rsidRPr="00C80BFE" w:rsidR="00E3274E">
        <w:rPr>
          <w:rFonts w:cs="Times New Roman"/>
          <w:szCs w:val="24"/>
        </w:rPr>
        <w:t>th</w:t>
      </w:r>
      <w:r w:rsidRPr="00C80BFE" w:rsidR="00447EB6">
        <w:rPr>
          <w:rFonts w:cs="Times New Roman"/>
          <w:szCs w:val="24"/>
        </w:rPr>
        <w:t>at</w:t>
      </w:r>
      <w:r w:rsidRPr="00C80BFE" w:rsidR="00E3274E">
        <w:rPr>
          <w:rFonts w:cs="Times New Roman"/>
          <w:szCs w:val="24"/>
        </w:rPr>
        <w:t xml:space="preserve"> serious bargaining occurred</w:t>
      </w:r>
      <w:r w:rsidRPr="00C80BFE" w:rsidR="002508A8">
        <w:rPr>
          <w:rFonts w:cs="Times New Roman"/>
          <w:szCs w:val="24"/>
        </w:rPr>
        <w:t xml:space="preserve"> and that the settlement was </w:t>
      </w:r>
      <w:r w:rsidRPr="00C80BFE" w:rsidR="009D27A6">
        <w:rPr>
          <w:rFonts w:cs="Times New Roman"/>
          <w:szCs w:val="24"/>
        </w:rPr>
        <w:t xml:space="preserve">truly </w:t>
      </w:r>
      <w:r w:rsidRPr="00C80BFE" w:rsidR="002508A8">
        <w:rPr>
          <w:rFonts w:cs="Times New Roman"/>
          <w:szCs w:val="24"/>
        </w:rPr>
        <w:t>a compromise</w:t>
      </w:r>
      <w:r w:rsidRPr="00C80BFE" w:rsidR="002B1018">
        <w:rPr>
          <w:rFonts w:cs="Times New Roman"/>
          <w:szCs w:val="24"/>
        </w:rPr>
        <w:t xml:space="preserve"> by </w:t>
      </w:r>
      <w:r w:rsidRPr="00C80BFE" w:rsidR="00447EB6">
        <w:rPr>
          <w:rFonts w:cs="Times New Roman"/>
          <w:szCs w:val="24"/>
        </w:rPr>
        <w:t xml:space="preserve">diverse </w:t>
      </w:r>
      <w:r w:rsidRPr="00C80BFE" w:rsidR="002B1018">
        <w:rPr>
          <w:rFonts w:cs="Times New Roman"/>
          <w:szCs w:val="24"/>
        </w:rPr>
        <w:t>interests</w:t>
      </w:r>
      <w:r w:rsidRPr="00C80BFE" w:rsidR="002508A8">
        <w:rPr>
          <w:rFonts w:cs="Times New Roman"/>
          <w:szCs w:val="24"/>
        </w:rPr>
        <w:t>.</w:t>
      </w:r>
      <w:r w:rsidR="00C80BFE">
        <w:rPr>
          <w:rFonts w:cs="Times New Roman"/>
          <w:szCs w:val="24"/>
        </w:rPr>
        <w:t xml:space="preserve"> </w:t>
      </w:r>
    </w:p>
    <w:p w:rsidR="00CA59F9" w:rsidRPr="00C80BFE" w:rsidP="00C27A8C" w14:paraId="5F48C2C5" w14:textId="3EA4D192">
      <w:pPr>
        <w:pStyle w:val="Heading3"/>
      </w:pPr>
      <w:bookmarkStart w:id="4" w:name="_Toc123050543"/>
      <w:r w:rsidRPr="00C80BFE">
        <w:rPr>
          <w:rStyle w:val="Heading3Char"/>
          <w:b/>
          <w:bCs/>
        </w:rPr>
        <w:t>Claims</w:t>
      </w:r>
      <w:r w:rsidRPr="00C80BFE" w:rsidR="001C16FF">
        <w:rPr>
          <w:rStyle w:val="Heading3Char"/>
          <w:b/>
          <w:bCs/>
        </w:rPr>
        <w:t xml:space="preserve"> by ELPC and CUB Ohio</w:t>
      </w:r>
      <w:r w:rsidRPr="00C80BFE">
        <w:rPr>
          <w:rStyle w:val="Heading3Char"/>
          <w:b/>
          <w:bCs/>
        </w:rPr>
        <w:t xml:space="preserve"> that footnotes in the Settlement </w:t>
      </w:r>
      <w:r w:rsidRPr="00C80BFE" w:rsidR="00AB27DC">
        <w:rPr>
          <w:rStyle w:val="Heading3Char"/>
          <w:b/>
          <w:bCs/>
        </w:rPr>
        <w:t xml:space="preserve">package </w:t>
      </w:r>
      <w:r w:rsidRPr="00C80BFE">
        <w:rPr>
          <w:rStyle w:val="Heading3Char"/>
          <w:b/>
          <w:bCs/>
        </w:rPr>
        <w:t>demonstrate a lack of</w:t>
      </w:r>
      <w:r w:rsidRPr="00C80BFE">
        <w:t xml:space="preserve"> serious bargaining should be rejected.</w:t>
      </w:r>
      <w:bookmarkEnd w:id="4"/>
    </w:p>
    <w:p w:rsidR="004D5706" w:rsidRPr="00C80BFE" w:rsidP="00A25F6D" w14:paraId="40BC9E26" w14:textId="29482C05">
      <w:pPr>
        <w:spacing w:after="0" w:line="480" w:lineRule="auto"/>
        <w:ind w:firstLine="720"/>
        <w:rPr>
          <w:rFonts w:cs="Times New Roman"/>
          <w:szCs w:val="24"/>
        </w:rPr>
      </w:pPr>
      <w:r w:rsidRPr="00C80BFE">
        <w:rPr>
          <w:rFonts w:cs="Times New Roman"/>
          <w:szCs w:val="24"/>
        </w:rPr>
        <w:t xml:space="preserve">ELPC and </w:t>
      </w:r>
      <w:r w:rsidRPr="00C80BFE" w:rsidR="00AD16D2">
        <w:rPr>
          <w:rFonts w:cs="Times New Roman"/>
          <w:szCs w:val="24"/>
        </w:rPr>
        <w:t>CUB Ohio</w:t>
      </w:r>
      <w:r w:rsidRPr="00C80BFE" w:rsidR="00A25F6D">
        <w:rPr>
          <w:rFonts w:cs="Times New Roman"/>
          <w:szCs w:val="24"/>
        </w:rPr>
        <w:t xml:space="preserve"> </w:t>
      </w:r>
      <w:r w:rsidRPr="00C80BFE" w:rsidR="00AD16D2">
        <w:rPr>
          <w:rFonts w:cs="Times New Roman"/>
          <w:szCs w:val="24"/>
        </w:rPr>
        <w:t>claim that the</w:t>
      </w:r>
      <w:r w:rsidRPr="00C80BFE" w:rsidR="001049E4">
        <w:rPr>
          <w:rFonts w:cs="Times New Roman"/>
          <w:szCs w:val="24"/>
        </w:rPr>
        <w:t xml:space="preserve"> Settlement’s footnotes show that there </w:t>
      </w:r>
      <w:r w:rsidRPr="00C80BFE" w:rsidR="00AD16D2">
        <w:rPr>
          <w:rFonts w:cs="Times New Roman"/>
          <w:szCs w:val="24"/>
        </w:rPr>
        <w:t>was no serious bargaining</w:t>
      </w:r>
      <w:r w:rsidRPr="00C80BFE" w:rsidR="001049E4">
        <w:rPr>
          <w:rFonts w:cs="Times New Roman"/>
          <w:szCs w:val="24"/>
        </w:rPr>
        <w:t>.</w:t>
      </w:r>
      <w:r>
        <w:rPr>
          <w:rStyle w:val="FootnoteReference"/>
          <w:rFonts w:cs="Times New Roman"/>
          <w:szCs w:val="24"/>
        </w:rPr>
        <w:footnoteReference w:id="20"/>
      </w:r>
      <w:r w:rsidRPr="00C80BFE">
        <w:rPr>
          <w:rFonts w:cs="Times New Roman"/>
          <w:szCs w:val="24"/>
        </w:rPr>
        <w:t xml:space="preserve"> The PUCO should reject </w:t>
      </w:r>
      <w:r w:rsidRPr="00C80BFE">
        <w:rPr>
          <w:rFonts w:cs="Times New Roman"/>
          <w:szCs w:val="24"/>
        </w:rPr>
        <w:t>those</w:t>
      </w:r>
      <w:r w:rsidRPr="00C80BFE">
        <w:rPr>
          <w:rFonts w:cs="Times New Roman"/>
          <w:szCs w:val="24"/>
        </w:rPr>
        <w:t xml:space="preserve"> claims. Where settlements involve numerous complex issues and diverse stakeholders, </w:t>
      </w:r>
      <w:r w:rsidRPr="00C80BFE">
        <w:rPr>
          <w:rFonts w:cs="Times New Roman"/>
          <w:szCs w:val="24"/>
        </w:rPr>
        <w:t>parties sometimes</w:t>
      </w:r>
      <w:r w:rsidRPr="00C80BFE">
        <w:rPr>
          <w:rFonts w:cs="Times New Roman"/>
          <w:szCs w:val="24"/>
        </w:rPr>
        <w:t xml:space="preserve"> “footnote out” of certain terms that may not apply to them</w:t>
      </w:r>
      <w:r w:rsidRPr="00C80BFE" w:rsidR="0042065F">
        <w:rPr>
          <w:rFonts w:cs="Times New Roman"/>
          <w:szCs w:val="24"/>
        </w:rPr>
        <w:t>.</w:t>
      </w:r>
      <w:r>
        <w:rPr>
          <w:rStyle w:val="FootnoteReference"/>
          <w:rFonts w:cs="Times New Roman"/>
          <w:szCs w:val="24"/>
        </w:rPr>
        <w:footnoteReference w:id="21"/>
      </w:r>
      <w:r w:rsidRPr="00C80BFE" w:rsidR="0042065F">
        <w:rPr>
          <w:rFonts w:cs="Times New Roman"/>
          <w:szCs w:val="24"/>
        </w:rPr>
        <w:t xml:space="preserve"> Parties may also footnote out of provisions to </w:t>
      </w:r>
      <w:r w:rsidRPr="00C80BFE">
        <w:rPr>
          <w:rFonts w:cs="Times New Roman"/>
          <w:szCs w:val="24"/>
        </w:rPr>
        <w:t>indicate the</w:t>
      </w:r>
      <w:r w:rsidRPr="00C80BFE" w:rsidR="00881B03">
        <w:rPr>
          <w:rFonts w:cs="Times New Roman"/>
          <w:szCs w:val="24"/>
        </w:rPr>
        <w:t xml:space="preserve"> limits of their</w:t>
      </w:r>
      <w:r w:rsidRPr="00C80BFE">
        <w:rPr>
          <w:rFonts w:cs="Times New Roman"/>
          <w:szCs w:val="24"/>
        </w:rPr>
        <w:t xml:space="preserve"> compromis</w:t>
      </w:r>
      <w:r w:rsidRPr="00C80BFE" w:rsidR="00881B03">
        <w:rPr>
          <w:rFonts w:cs="Times New Roman"/>
          <w:szCs w:val="24"/>
        </w:rPr>
        <w:t>e</w:t>
      </w:r>
      <w:r w:rsidRPr="00C80BFE">
        <w:rPr>
          <w:rFonts w:cs="Times New Roman"/>
          <w:szCs w:val="24"/>
        </w:rPr>
        <w:t>.</w:t>
      </w:r>
      <w:r>
        <w:rPr>
          <w:rStyle w:val="FootnoteReference"/>
          <w:rFonts w:cs="Times New Roman"/>
          <w:szCs w:val="24"/>
        </w:rPr>
        <w:footnoteReference w:id="22"/>
      </w:r>
      <w:r w:rsidRPr="00C80BFE" w:rsidR="0042065F">
        <w:rPr>
          <w:rFonts w:cs="Times New Roman"/>
          <w:szCs w:val="24"/>
        </w:rPr>
        <w:t xml:space="preserve"> </w:t>
      </w:r>
    </w:p>
    <w:p w:rsidR="00AD16D2" w:rsidRPr="00C80BFE" w:rsidP="00A25F6D" w14:paraId="090A29AA" w14:textId="4AA03563">
      <w:pPr>
        <w:spacing w:after="0" w:line="480" w:lineRule="auto"/>
        <w:ind w:firstLine="720"/>
        <w:rPr>
          <w:rFonts w:cs="Times New Roman"/>
          <w:szCs w:val="24"/>
        </w:rPr>
      </w:pPr>
      <w:r w:rsidRPr="00C80BFE">
        <w:rPr>
          <w:rFonts w:cs="Times New Roman"/>
          <w:szCs w:val="24"/>
        </w:rPr>
        <w:t xml:space="preserve">CUB Ohio </w:t>
      </w:r>
      <w:r w:rsidRPr="00C80BFE" w:rsidR="00AF1EF5">
        <w:rPr>
          <w:rFonts w:cs="Times New Roman"/>
          <w:szCs w:val="24"/>
        </w:rPr>
        <w:t>focuses on</w:t>
      </w:r>
      <w:r w:rsidRPr="00C80BFE">
        <w:rPr>
          <w:rFonts w:cs="Times New Roman"/>
          <w:szCs w:val="24"/>
        </w:rPr>
        <w:t xml:space="preserve"> language agreed to in Section II.A.1 </w:t>
      </w:r>
      <w:r w:rsidRPr="00C80BFE">
        <w:rPr>
          <w:rFonts w:cs="Times New Roman"/>
          <w:szCs w:val="24"/>
        </w:rPr>
        <w:t xml:space="preserve">and footnote 3 </w:t>
      </w:r>
      <w:r w:rsidRPr="00C80BFE">
        <w:rPr>
          <w:rFonts w:cs="Times New Roman"/>
          <w:szCs w:val="24"/>
        </w:rPr>
        <w:t>of the Settlement.</w:t>
      </w:r>
      <w:r>
        <w:rPr>
          <w:rStyle w:val="FootnoteReference"/>
          <w:rFonts w:cs="Times New Roman"/>
          <w:szCs w:val="24"/>
        </w:rPr>
        <w:footnoteReference w:id="23"/>
      </w:r>
      <w:r w:rsidRPr="00C80BFE">
        <w:rPr>
          <w:rFonts w:cs="Times New Roman"/>
          <w:szCs w:val="24"/>
        </w:rPr>
        <w:t xml:space="preserve"> In </w:t>
      </w:r>
      <w:r w:rsidRPr="00C80BFE" w:rsidR="005E0557">
        <w:rPr>
          <w:rFonts w:cs="Times New Roman"/>
          <w:szCs w:val="24"/>
        </w:rPr>
        <w:t>Section II.A.1</w:t>
      </w:r>
      <w:r w:rsidRPr="00C80BFE">
        <w:rPr>
          <w:rFonts w:cs="Times New Roman"/>
          <w:szCs w:val="24"/>
        </w:rPr>
        <w:t>, parties agreed that residential and small business consumers should be allocated “no more than $64,507,241” of Columbia’s total base rate increase.</w:t>
      </w:r>
      <w:r>
        <w:rPr>
          <w:rStyle w:val="FootnoteReference"/>
          <w:rFonts w:cs="Times New Roman"/>
          <w:szCs w:val="24"/>
        </w:rPr>
        <w:footnoteReference w:id="24"/>
      </w:r>
      <w:r w:rsidRPr="00C80BFE">
        <w:rPr>
          <w:rFonts w:cs="Times New Roman"/>
          <w:szCs w:val="24"/>
        </w:rPr>
        <w:t xml:space="preserve"> The provision further protects OCC and NOPEC</w:t>
      </w:r>
      <w:r w:rsidRPr="00C80BFE" w:rsidR="008419F3">
        <w:rPr>
          <w:rFonts w:cs="Times New Roman"/>
          <w:szCs w:val="24"/>
        </w:rPr>
        <w:t xml:space="preserve"> by our not taking a position on the fixed charges</w:t>
      </w:r>
      <w:r w:rsidRPr="00C80BFE">
        <w:rPr>
          <w:rFonts w:cs="Times New Roman"/>
          <w:szCs w:val="24"/>
        </w:rPr>
        <w:t xml:space="preserve"> </w:t>
      </w:r>
      <w:r w:rsidRPr="00C80BFE" w:rsidR="008419F3">
        <w:rPr>
          <w:rFonts w:cs="Times New Roman"/>
          <w:szCs w:val="24"/>
        </w:rPr>
        <w:t xml:space="preserve">and by confirming </w:t>
      </w:r>
      <w:r w:rsidRPr="00C80BFE">
        <w:rPr>
          <w:rFonts w:cs="Times New Roman"/>
          <w:szCs w:val="24"/>
        </w:rPr>
        <w:t>rights to argue “against the straight fixed variable rate design and the use of fixed charges in any future proceeding.”</w:t>
      </w:r>
      <w:r>
        <w:rPr>
          <w:rStyle w:val="FootnoteReference"/>
          <w:rFonts w:cs="Times New Roman"/>
          <w:szCs w:val="24"/>
        </w:rPr>
        <w:footnoteReference w:id="25"/>
      </w:r>
      <w:r w:rsidRPr="00C80BFE">
        <w:rPr>
          <w:rFonts w:cs="Times New Roman"/>
          <w:szCs w:val="24"/>
        </w:rPr>
        <w:t xml:space="preserve"> As an organization that </w:t>
      </w:r>
      <w:r w:rsidRPr="00C80BFE" w:rsidR="005E0557">
        <w:rPr>
          <w:rFonts w:cs="Times New Roman"/>
          <w:szCs w:val="24"/>
        </w:rPr>
        <w:t xml:space="preserve">claims to </w:t>
      </w:r>
      <w:r w:rsidRPr="00C80BFE">
        <w:rPr>
          <w:rFonts w:cs="Times New Roman"/>
          <w:szCs w:val="24"/>
        </w:rPr>
        <w:t xml:space="preserve">advocate for </w:t>
      </w:r>
      <w:r w:rsidRPr="00C80BFE" w:rsidR="005E0557">
        <w:rPr>
          <w:rFonts w:cs="Times New Roman"/>
          <w:szCs w:val="24"/>
        </w:rPr>
        <w:t xml:space="preserve">the </w:t>
      </w:r>
      <w:r w:rsidRPr="00C80BFE">
        <w:rPr>
          <w:rFonts w:cs="Times New Roman"/>
          <w:szCs w:val="24"/>
        </w:rPr>
        <w:t>interests of residential and small business consumers,</w:t>
      </w:r>
      <w:r>
        <w:rPr>
          <w:rStyle w:val="FootnoteReference"/>
          <w:rFonts w:cs="Times New Roman"/>
          <w:szCs w:val="24"/>
        </w:rPr>
        <w:footnoteReference w:id="26"/>
      </w:r>
      <w:r w:rsidRPr="00C80BFE">
        <w:rPr>
          <w:rFonts w:cs="Times New Roman"/>
          <w:szCs w:val="24"/>
        </w:rPr>
        <w:t xml:space="preserve"> </w:t>
      </w:r>
      <w:r w:rsidRPr="00C80BFE" w:rsidR="003B3DCF">
        <w:rPr>
          <w:rFonts w:cs="Times New Roman"/>
          <w:szCs w:val="24"/>
        </w:rPr>
        <w:t xml:space="preserve">it is </w:t>
      </w:r>
      <w:r w:rsidRPr="00C80BFE" w:rsidR="005E0557">
        <w:rPr>
          <w:rFonts w:cs="Times New Roman"/>
          <w:szCs w:val="24"/>
        </w:rPr>
        <w:t xml:space="preserve">questionable </w:t>
      </w:r>
      <w:r w:rsidRPr="00C80BFE" w:rsidR="003B3DCF">
        <w:rPr>
          <w:rFonts w:cs="Times New Roman"/>
          <w:szCs w:val="24"/>
        </w:rPr>
        <w:t xml:space="preserve">why CUB Ohio would </w:t>
      </w:r>
      <w:r w:rsidRPr="00C80BFE" w:rsidR="005E0557">
        <w:rPr>
          <w:rFonts w:cs="Times New Roman"/>
          <w:szCs w:val="24"/>
        </w:rPr>
        <w:t xml:space="preserve">challenge </w:t>
      </w:r>
      <w:r w:rsidRPr="00C80BFE" w:rsidR="003B3DCF">
        <w:rPr>
          <w:rFonts w:cs="Times New Roman"/>
          <w:szCs w:val="24"/>
        </w:rPr>
        <w:t>this language</w:t>
      </w:r>
      <w:r w:rsidRPr="00C80BFE">
        <w:rPr>
          <w:rFonts w:cs="Times New Roman"/>
          <w:szCs w:val="24"/>
        </w:rPr>
        <w:t xml:space="preserve">. </w:t>
      </w:r>
    </w:p>
    <w:p w:rsidR="00AD16D2" w:rsidRPr="00C80BFE" w:rsidP="003B3DCF" w14:paraId="65ED1993" w14:textId="3C796291">
      <w:pPr>
        <w:spacing w:after="0" w:line="480" w:lineRule="auto"/>
        <w:ind w:firstLine="720"/>
        <w:rPr>
          <w:rFonts w:cs="Times New Roman"/>
          <w:szCs w:val="24"/>
        </w:rPr>
      </w:pPr>
      <w:r w:rsidRPr="00C80BFE">
        <w:rPr>
          <w:rFonts w:cs="Times New Roman"/>
          <w:szCs w:val="24"/>
        </w:rPr>
        <w:t xml:space="preserve">ELPC and </w:t>
      </w:r>
      <w:r w:rsidRPr="00C80BFE">
        <w:rPr>
          <w:rFonts w:cs="Times New Roman"/>
          <w:szCs w:val="24"/>
        </w:rPr>
        <w:t xml:space="preserve">CUB Ohio </w:t>
      </w:r>
      <w:r w:rsidRPr="00C80BFE">
        <w:rPr>
          <w:rFonts w:cs="Times New Roman"/>
          <w:szCs w:val="24"/>
        </w:rPr>
        <w:t xml:space="preserve">also </w:t>
      </w:r>
      <w:r w:rsidRPr="00C80BFE">
        <w:rPr>
          <w:rFonts w:cs="Times New Roman"/>
          <w:szCs w:val="24"/>
        </w:rPr>
        <w:t>take issue with footnote 3 of the Settlement, which states the following:</w:t>
      </w:r>
    </w:p>
    <w:p w:rsidR="00AD16D2" w:rsidRPr="00C80BFE" w:rsidP="003B3DCF" w14:paraId="53FB0CCB" w14:textId="77777777">
      <w:pPr>
        <w:spacing w:after="0" w:line="240" w:lineRule="auto"/>
        <w:ind w:left="720" w:right="720"/>
        <w:rPr>
          <w:rFonts w:cs="Times New Roman"/>
          <w:szCs w:val="24"/>
        </w:rPr>
      </w:pPr>
      <w:r w:rsidRPr="00C80BFE">
        <w:rPr>
          <w:rFonts w:cs="Times New Roman"/>
          <w:szCs w:val="24"/>
        </w:rPr>
        <w:t>OCC and NOPEC are not taking a position with regard to the use of fixed charges and the lack of volumetric charges for the Small General Service class base rates and rider rates. Also, nothing in this Stipulation precludes OCC, NOPEC, and other Signatory Parties from taking any position on inter-class allocations in Columbia’s next base rate case.</w:t>
      </w:r>
      <w:r>
        <w:rPr>
          <w:rStyle w:val="FootnoteReference"/>
          <w:rFonts w:cs="Times New Roman"/>
          <w:szCs w:val="24"/>
        </w:rPr>
        <w:footnoteReference w:id="27"/>
      </w:r>
    </w:p>
    <w:p w:rsidR="00AD16D2" w:rsidRPr="00C80BFE" w:rsidP="00AD16D2" w14:paraId="6126B344" w14:textId="517B54AB">
      <w:pPr>
        <w:spacing w:before="240" w:after="0" w:line="480" w:lineRule="auto"/>
        <w:rPr>
          <w:rFonts w:cs="Times New Roman"/>
          <w:szCs w:val="24"/>
        </w:rPr>
      </w:pPr>
      <w:r w:rsidRPr="00C80BFE">
        <w:rPr>
          <w:rFonts w:cs="Times New Roman"/>
          <w:szCs w:val="24"/>
        </w:rPr>
        <w:t>According to ELPC witness Rábago, this footnote somehow demonstrates that OCC and NOPEC “were not engaged on the full range of issues during the course of settlement negotiations.”</w:t>
      </w:r>
      <w:r>
        <w:rPr>
          <w:rStyle w:val="FootnoteReference"/>
          <w:rFonts w:cs="Times New Roman"/>
          <w:szCs w:val="24"/>
        </w:rPr>
        <w:footnoteReference w:id="28"/>
      </w:r>
      <w:r w:rsidRPr="00C80BFE">
        <w:rPr>
          <w:rFonts w:cs="Times New Roman"/>
          <w:szCs w:val="24"/>
        </w:rPr>
        <w:t xml:space="preserve"> That argument </w:t>
      </w:r>
      <w:r w:rsidRPr="00C80BFE" w:rsidR="003B3DCF">
        <w:rPr>
          <w:rFonts w:cs="Times New Roman"/>
          <w:szCs w:val="24"/>
        </w:rPr>
        <w:t xml:space="preserve">is baseless and </w:t>
      </w:r>
      <w:r w:rsidRPr="00C80BFE">
        <w:rPr>
          <w:rFonts w:cs="Times New Roman"/>
          <w:szCs w:val="24"/>
        </w:rPr>
        <w:t xml:space="preserve">should be rejected for two reasons. </w:t>
      </w:r>
    </w:p>
    <w:p w:rsidR="00AD16D2" w:rsidRPr="00C80BFE" w:rsidP="00AD16D2" w14:paraId="24B82AA5" w14:textId="5CB5FE34">
      <w:pPr>
        <w:spacing w:after="0" w:line="480" w:lineRule="auto"/>
        <w:ind w:firstLine="720"/>
        <w:rPr>
          <w:rFonts w:cs="Times New Roman"/>
          <w:szCs w:val="24"/>
        </w:rPr>
      </w:pPr>
      <w:r w:rsidRPr="00C80BFE">
        <w:rPr>
          <w:rFonts w:cs="Times New Roman"/>
          <w:szCs w:val="24"/>
        </w:rPr>
        <w:t>First, there is no basis for Mr. R</w:t>
      </w:r>
      <w:bookmarkStart w:id="5" w:name="_Hlk123050467"/>
      <w:r w:rsidRPr="00C80BFE">
        <w:rPr>
          <w:rFonts w:cs="Times New Roman"/>
          <w:szCs w:val="24"/>
        </w:rPr>
        <w:t>á</w:t>
      </w:r>
      <w:bookmarkEnd w:id="5"/>
      <w:r w:rsidRPr="00C80BFE">
        <w:rPr>
          <w:rFonts w:cs="Times New Roman"/>
          <w:szCs w:val="24"/>
        </w:rPr>
        <w:t xml:space="preserve">bago’s </w:t>
      </w:r>
      <w:r w:rsidRPr="00C80BFE" w:rsidR="009B0FF1">
        <w:rPr>
          <w:rFonts w:cs="Times New Roman"/>
          <w:szCs w:val="24"/>
        </w:rPr>
        <w:t xml:space="preserve">unsubstantiated </w:t>
      </w:r>
      <w:r w:rsidRPr="00C80BFE">
        <w:rPr>
          <w:rFonts w:cs="Times New Roman"/>
          <w:szCs w:val="24"/>
        </w:rPr>
        <w:t xml:space="preserve">testimony regarding OCC’s engagement in settlement negotiations. </w:t>
      </w:r>
      <w:r w:rsidRPr="00C80BFE" w:rsidR="003B3DCF">
        <w:rPr>
          <w:rFonts w:cs="Times New Roman"/>
          <w:szCs w:val="24"/>
        </w:rPr>
        <w:t>As noted, there is no</w:t>
      </w:r>
      <w:r w:rsidRPr="00C80BFE">
        <w:rPr>
          <w:rFonts w:cs="Times New Roman"/>
          <w:szCs w:val="24"/>
        </w:rPr>
        <w:t xml:space="preserve"> evidence that Mr. Rábago</w:t>
      </w:r>
      <w:r w:rsidRPr="00C80BFE" w:rsidR="00AF1EF5">
        <w:rPr>
          <w:rFonts w:cs="Times New Roman"/>
          <w:szCs w:val="24"/>
        </w:rPr>
        <w:t xml:space="preserve"> even</w:t>
      </w:r>
      <w:r w:rsidRPr="00C80BFE">
        <w:rPr>
          <w:rFonts w:cs="Times New Roman"/>
          <w:szCs w:val="24"/>
        </w:rPr>
        <w:t xml:space="preserve"> participated in the settlement negotiations or interacted in any way with OCC throughout this proceeding. OCC witness Adkins, by contrast, testified that he </w:t>
      </w:r>
      <w:r w:rsidRPr="00C80BFE">
        <w:rPr>
          <w:rFonts w:cs="Times New Roman"/>
          <w:i/>
          <w:iCs/>
          <w:szCs w:val="24"/>
        </w:rPr>
        <w:t>was</w:t>
      </w:r>
      <w:r w:rsidRPr="00C80BFE">
        <w:rPr>
          <w:rFonts w:cs="Times New Roman"/>
          <w:szCs w:val="24"/>
        </w:rPr>
        <w:t xml:space="preserve"> a part of the settlement negotiations on behalf of OCC for over five months and that the Settlement is the result of serious bargaining.</w:t>
      </w:r>
      <w:r>
        <w:rPr>
          <w:rStyle w:val="FootnoteReference"/>
          <w:rFonts w:cs="Times New Roman"/>
          <w:szCs w:val="24"/>
        </w:rPr>
        <w:footnoteReference w:id="29"/>
      </w:r>
      <w:r w:rsidRPr="00C80BFE">
        <w:rPr>
          <w:rFonts w:cs="Times New Roman"/>
          <w:szCs w:val="24"/>
        </w:rPr>
        <w:t xml:space="preserve"> </w:t>
      </w:r>
    </w:p>
    <w:p w:rsidR="00C87218" w:rsidRPr="0054318D" w:rsidP="0054318D" w14:paraId="6B0E5F79" w14:textId="6A5E0902">
      <w:pPr>
        <w:spacing w:after="0" w:line="480" w:lineRule="auto"/>
        <w:ind w:firstLine="720"/>
        <w:rPr>
          <w:rFonts w:cs="Times New Roman"/>
          <w:szCs w:val="24"/>
        </w:rPr>
      </w:pPr>
      <w:r w:rsidRPr="00C80BFE">
        <w:rPr>
          <w:rFonts w:cs="Times New Roman"/>
          <w:szCs w:val="24"/>
        </w:rPr>
        <w:t xml:space="preserve">Second, the settlement process </w:t>
      </w:r>
      <w:r w:rsidRPr="00C80BFE" w:rsidR="003B3DCF">
        <w:rPr>
          <w:rFonts w:cs="Times New Roman"/>
          <w:szCs w:val="24"/>
        </w:rPr>
        <w:t>(</w:t>
      </w:r>
      <w:r w:rsidRPr="00C80BFE">
        <w:rPr>
          <w:rFonts w:cs="Times New Roman"/>
          <w:szCs w:val="24"/>
        </w:rPr>
        <w:t>as ELPC and CUB Ohio should know</w:t>
      </w:r>
      <w:r w:rsidRPr="00C80BFE" w:rsidR="003B3DCF">
        <w:rPr>
          <w:rFonts w:cs="Times New Roman"/>
          <w:szCs w:val="24"/>
        </w:rPr>
        <w:t>)</w:t>
      </w:r>
      <w:r w:rsidRPr="00C80BFE">
        <w:rPr>
          <w:rFonts w:cs="Times New Roman"/>
          <w:szCs w:val="24"/>
        </w:rPr>
        <w:t xml:space="preserve"> involves give and take. It is axiomatic that settling parties compromise their litigation positions to reach an overall settlement package. No party (usually) gets everything they want. </w:t>
      </w:r>
      <w:r w:rsidRPr="00C80BFE" w:rsidR="00C65493">
        <w:rPr>
          <w:rFonts w:cs="Times New Roman"/>
          <w:szCs w:val="24"/>
        </w:rPr>
        <w:t>F</w:t>
      </w:r>
      <w:r w:rsidRPr="00C80BFE">
        <w:rPr>
          <w:rFonts w:cs="Times New Roman"/>
          <w:szCs w:val="24"/>
        </w:rPr>
        <w:t xml:space="preserve">ootnote 3 </w:t>
      </w:r>
      <w:r w:rsidRPr="00C80BFE" w:rsidR="00C65493">
        <w:rPr>
          <w:rFonts w:cs="Times New Roman"/>
          <w:szCs w:val="24"/>
        </w:rPr>
        <w:t xml:space="preserve">reflects that reality and provides further assurance to </w:t>
      </w:r>
      <w:r w:rsidRPr="00C80BFE">
        <w:rPr>
          <w:rFonts w:cs="Times New Roman"/>
          <w:szCs w:val="24"/>
        </w:rPr>
        <w:t xml:space="preserve">preserve </w:t>
      </w:r>
      <w:r w:rsidRPr="00C80BFE" w:rsidR="00C65493">
        <w:rPr>
          <w:rFonts w:cs="Times New Roman"/>
          <w:szCs w:val="24"/>
        </w:rPr>
        <w:t xml:space="preserve">OCC’s and NOPEC’s </w:t>
      </w:r>
      <w:r w:rsidRPr="00C80BFE">
        <w:rPr>
          <w:rFonts w:cs="Times New Roman"/>
          <w:szCs w:val="24"/>
        </w:rPr>
        <w:t>rights</w:t>
      </w:r>
      <w:r w:rsidRPr="00C80BFE" w:rsidR="00C65493">
        <w:rPr>
          <w:rFonts w:cs="Times New Roman"/>
          <w:szCs w:val="24"/>
        </w:rPr>
        <w:t xml:space="preserve"> regarding fixed charges </w:t>
      </w:r>
      <w:r w:rsidRPr="00C80BFE">
        <w:rPr>
          <w:rFonts w:cs="Times New Roman"/>
          <w:szCs w:val="24"/>
        </w:rPr>
        <w:t>in future proceedings. It is not an indicator of a lack of serious bargaining as ELPC and CUB Ohio claim</w:t>
      </w:r>
      <w:r w:rsidRPr="00C80BFE" w:rsidR="00C65493">
        <w:rPr>
          <w:rFonts w:cs="Times New Roman"/>
          <w:szCs w:val="24"/>
        </w:rPr>
        <w:t>; it reflects serious bargaining as a way to compromise</w:t>
      </w:r>
      <w:r w:rsidRPr="00C80BFE">
        <w:rPr>
          <w:rFonts w:cs="Times New Roman"/>
          <w:szCs w:val="24"/>
        </w:rPr>
        <w:t>.</w:t>
      </w:r>
      <w:r w:rsidR="00C80BFE">
        <w:rPr>
          <w:rFonts w:cs="Times New Roman"/>
          <w:szCs w:val="24"/>
        </w:rPr>
        <w:t xml:space="preserve"> </w:t>
      </w:r>
    </w:p>
    <w:p w:rsidR="002C6BDA" w:rsidRPr="00C80BFE" w:rsidP="00C27A8C" w14:paraId="2105C003" w14:textId="7B6FA0BE">
      <w:pPr>
        <w:pStyle w:val="ListParagraph"/>
        <w:numPr>
          <w:ilvl w:val="0"/>
          <w:numId w:val="23"/>
        </w:numPr>
        <w:spacing w:line="240" w:lineRule="auto"/>
        <w:ind w:left="1440" w:hanging="720"/>
        <w:rPr>
          <w:rStyle w:val="Heading2Char"/>
        </w:rPr>
      </w:pPr>
      <w:bookmarkStart w:id="6" w:name="_Toc123050544"/>
      <w:r w:rsidRPr="00C80BFE">
        <w:rPr>
          <w:rStyle w:val="Heading2Char"/>
        </w:rPr>
        <w:t>The Settlement benefits consumers and the public interest</w:t>
      </w:r>
      <w:r w:rsidRPr="00C80BFE" w:rsidR="008B20F2">
        <w:rPr>
          <w:rStyle w:val="Heading2Char"/>
        </w:rPr>
        <w:t>, as a package</w:t>
      </w:r>
      <w:r w:rsidRPr="00C80BFE">
        <w:rPr>
          <w:rStyle w:val="Heading2Char"/>
        </w:rPr>
        <w:t xml:space="preserve">. The PUCO should </w:t>
      </w:r>
      <w:r w:rsidRPr="00C80BFE" w:rsidR="00BB561F">
        <w:rPr>
          <w:rStyle w:val="Heading2Char"/>
        </w:rPr>
        <w:t>approve the Settlement without modification</w:t>
      </w:r>
      <w:r w:rsidRPr="00C80BFE">
        <w:rPr>
          <w:rStyle w:val="Heading2Char"/>
        </w:rPr>
        <w:t>.</w:t>
      </w:r>
      <w:bookmarkEnd w:id="6"/>
    </w:p>
    <w:p w:rsidR="00C27A8C" w:rsidRPr="00C80BFE" w:rsidP="00516EAF" w14:paraId="08E3FEF4" w14:textId="64C4FC32">
      <w:pPr>
        <w:spacing w:after="0" w:line="480" w:lineRule="auto"/>
        <w:ind w:firstLine="720"/>
        <w:rPr>
          <w:rFonts w:cs="Times New Roman"/>
          <w:b/>
          <w:bCs/>
          <w:iCs/>
          <w:szCs w:val="24"/>
        </w:rPr>
      </w:pPr>
      <w:r w:rsidRPr="00C80BFE">
        <w:rPr>
          <w:rFonts w:cs="Times New Roman"/>
          <w:szCs w:val="24"/>
        </w:rPr>
        <w:t>OCC witness Adkins, Columbia witness Thompson, and PUCO Staff witness Lipth</w:t>
      </w:r>
      <w:r w:rsidRPr="00C80BFE" w:rsidR="00165096">
        <w:rPr>
          <w:rFonts w:cs="Times New Roman"/>
          <w:szCs w:val="24"/>
        </w:rPr>
        <w:t>r</w:t>
      </w:r>
      <w:r w:rsidRPr="00C80BFE">
        <w:rPr>
          <w:rFonts w:cs="Times New Roman"/>
          <w:szCs w:val="24"/>
        </w:rPr>
        <w:t xml:space="preserve">att identified </w:t>
      </w:r>
      <w:r w:rsidRPr="00C80BFE" w:rsidR="00BB561F">
        <w:rPr>
          <w:rFonts w:cs="Times New Roman"/>
          <w:szCs w:val="24"/>
        </w:rPr>
        <w:t>the many</w:t>
      </w:r>
      <w:r w:rsidRPr="00C80BFE">
        <w:rPr>
          <w:rFonts w:cs="Times New Roman"/>
          <w:szCs w:val="24"/>
        </w:rPr>
        <w:t xml:space="preserve"> ways in which the Settlement benefits c</w:t>
      </w:r>
      <w:r w:rsidRPr="00C80BFE" w:rsidR="005A20F7">
        <w:rPr>
          <w:rFonts w:cs="Times New Roman"/>
          <w:szCs w:val="24"/>
        </w:rPr>
        <w:t xml:space="preserve">onsumers </w:t>
      </w:r>
      <w:r w:rsidRPr="00C80BFE">
        <w:rPr>
          <w:rFonts w:cs="Times New Roman"/>
          <w:szCs w:val="24"/>
        </w:rPr>
        <w:t>and the public interest</w:t>
      </w:r>
      <w:r w:rsidRPr="00C80BFE" w:rsidR="008B20F2">
        <w:rPr>
          <w:rFonts w:cs="Times New Roman"/>
          <w:szCs w:val="24"/>
        </w:rPr>
        <w:t>, as a package</w:t>
      </w:r>
      <w:r w:rsidRPr="00C80BFE">
        <w:rPr>
          <w:rFonts w:cs="Times New Roman"/>
          <w:szCs w:val="24"/>
        </w:rPr>
        <w:t>.</w:t>
      </w:r>
      <w:r>
        <w:rPr>
          <w:rStyle w:val="FootnoteReference"/>
          <w:rFonts w:cs="Times New Roman"/>
          <w:szCs w:val="24"/>
        </w:rPr>
        <w:footnoteReference w:id="30"/>
      </w:r>
      <w:r w:rsidRPr="00C80BFE">
        <w:rPr>
          <w:rFonts w:cs="Times New Roman"/>
          <w:szCs w:val="24"/>
        </w:rPr>
        <w:t xml:space="preserve"> </w:t>
      </w:r>
      <w:r w:rsidRPr="00C80BFE" w:rsidR="00AD4FD7">
        <w:rPr>
          <w:rFonts w:cs="Times New Roman"/>
          <w:iCs/>
          <w:szCs w:val="24"/>
        </w:rPr>
        <w:t>Environmental Groups</w:t>
      </w:r>
      <w:r w:rsidRPr="00C80BFE" w:rsidR="0008560E">
        <w:rPr>
          <w:rFonts w:cs="Times New Roman"/>
          <w:iCs/>
          <w:szCs w:val="24"/>
        </w:rPr>
        <w:t xml:space="preserve"> </w:t>
      </w:r>
      <w:r w:rsidRPr="00C80BFE" w:rsidR="005A20F7">
        <w:rPr>
          <w:rFonts w:cs="Times New Roman"/>
          <w:iCs/>
          <w:szCs w:val="24"/>
        </w:rPr>
        <w:t>argue that</w:t>
      </w:r>
      <w:r w:rsidRPr="00C80BFE" w:rsidR="007929A4">
        <w:rPr>
          <w:rFonts w:cs="Times New Roman"/>
          <w:iCs/>
          <w:szCs w:val="24"/>
        </w:rPr>
        <w:t xml:space="preserve"> the PUCO</w:t>
      </w:r>
      <w:r w:rsidRPr="00C80BFE" w:rsidR="005A20F7">
        <w:rPr>
          <w:rFonts w:cs="Times New Roman"/>
          <w:iCs/>
          <w:szCs w:val="24"/>
        </w:rPr>
        <w:t xml:space="preserve"> should ignore these </w:t>
      </w:r>
      <w:r w:rsidRPr="00C80BFE" w:rsidR="0008560E">
        <w:rPr>
          <w:rFonts w:cs="Times New Roman"/>
          <w:iCs/>
          <w:szCs w:val="24"/>
        </w:rPr>
        <w:t>benefits to consumers</w:t>
      </w:r>
      <w:r w:rsidRPr="00C80BFE" w:rsidR="005A20F7">
        <w:rPr>
          <w:rFonts w:cs="Times New Roman"/>
          <w:iCs/>
          <w:szCs w:val="24"/>
        </w:rPr>
        <w:t xml:space="preserve"> and reject the Settlement</w:t>
      </w:r>
      <w:r w:rsidRPr="00C80BFE" w:rsidR="0008560E">
        <w:rPr>
          <w:rFonts w:cs="Times New Roman"/>
          <w:iCs/>
          <w:szCs w:val="24"/>
        </w:rPr>
        <w:t>.</w:t>
      </w:r>
      <w:r>
        <w:rPr>
          <w:rStyle w:val="FootnoteReference"/>
          <w:rFonts w:cs="Times New Roman"/>
          <w:iCs/>
          <w:szCs w:val="24"/>
        </w:rPr>
        <w:footnoteReference w:id="31"/>
      </w:r>
      <w:r w:rsidRPr="00C80BFE" w:rsidR="00037EC9">
        <w:rPr>
          <w:rFonts w:cs="Times New Roman"/>
          <w:iCs/>
          <w:szCs w:val="24"/>
        </w:rPr>
        <w:t xml:space="preserve"> </w:t>
      </w:r>
      <w:r w:rsidRPr="00C80BFE" w:rsidR="00AD4FD7">
        <w:rPr>
          <w:rFonts w:cs="Times New Roman"/>
          <w:iCs/>
          <w:szCs w:val="24"/>
        </w:rPr>
        <w:t>Environmental Groups</w:t>
      </w:r>
      <w:r w:rsidRPr="00C80BFE" w:rsidR="00E45843">
        <w:rPr>
          <w:rFonts w:cs="Times New Roman"/>
          <w:iCs/>
          <w:szCs w:val="24"/>
        </w:rPr>
        <w:t>’</w:t>
      </w:r>
      <w:r w:rsidRPr="00C80BFE" w:rsidR="00BB561F">
        <w:rPr>
          <w:rFonts w:cs="Times New Roman"/>
          <w:iCs/>
          <w:szCs w:val="24"/>
        </w:rPr>
        <w:t xml:space="preserve"> </w:t>
      </w:r>
      <w:r w:rsidRPr="00C80BFE" w:rsidR="005A20F7">
        <w:rPr>
          <w:rFonts w:cs="Times New Roman"/>
          <w:iCs/>
          <w:szCs w:val="24"/>
        </w:rPr>
        <w:t>argument</w:t>
      </w:r>
      <w:r w:rsidRPr="00C80BFE" w:rsidR="00037EC9">
        <w:rPr>
          <w:rFonts w:cs="Times New Roman"/>
          <w:iCs/>
          <w:szCs w:val="24"/>
        </w:rPr>
        <w:t>s</w:t>
      </w:r>
      <w:r w:rsidRPr="00C80BFE" w:rsidR="005A20F7">
        <w:rPr>
          <w:rFonts w:cs="Times New Roman"/>
          <w:iCs/>
          <w:szCs w:val="24"/>
        </w:rPr>
        <w:t xml:space="preserve"> </w:t>
      </w:r>
      <w:r w:rsidRPr="00C80BFE" w:rsidR="00037EC9">
        <w:rPr>
          <w:rFonts w:cs="Times New Roman"/>
          <w:iCs/>
          <w:szCs w:val="24"/>
        </w:rPr>
        <w:t xml:space="preserve">should be </w:t>
      </w:r>
      <w:r w:rsidRPr="00C80BFE" w:rsidR="005A20F7">
        <w:rPr>
          <w:rFonts w:cs="Times New Roman"/>
          <w:iCs/>
          <w:szCs w:val="24"/>
        </w:rPr>
        <w:t>rejected</w:t>
      </w:r>
      <w:r w:rsidRPr="00C80BFE" w:rsidR="00037EC9">
        <w:rPr>
          <w:rFonts w:cs="Times New Roman"/>
          <w:iCs/>
          <w:szCs w:val="24"/>
        </w:rPr>
        <w:t xml:space="preserve"> instead</w:t>
      </w:r>
      <w:r w:rsidRPr="00C80BFE" w:rsidR="005A20F7">
        <w:rPr>
          <w:rFonts w:cs="Times New Roman"/>
          <w:iCs/>
          <w:szCs w:val="24"/>
        </w:rPr>
        <w:t>.</w:t>
      </w:r>
      <w:r w:rsidRPr="00C80BFE" w:rsidR="00497E56">
        <w:rPr>
          <w:rFonts w:cs="Times New Roman"/>
          <w:b/>
          <w:bCs/>
          <w:iCs/>
          <w:szCs w:val="24"/>
        </w:rPr>
        <w:t xml:space="preserve"> </w:t>
      </w:r>
    </w:p>
    <w:p w:rsidR="00516EAF" w:rsidRPr="00C80BFE" w:rsidP="00C27A8C" w14:paraId="282E1CAA" w14:textId="6660FB82">
      <w:pPr>
        <w:pStyle w:val="ListParagraph"/>
        <w:numPr>
          <w:ilvl w:val="0"/>
          <w:numId w:val="28"/>
        </w:numPr>
        <w:spacing w:after="0" w:line="240" w:lineRule="auto"/>
        <w:ind w:left="2160" w:hanging="720"/>
        <w:rPr>
          <w:rFonts w:ascii="Times New Roman" w:hAnsi="Times New Roman" w:cs="Times New Roman"/>
          <w:iCs/>
          <w:sz w:val="24"/>
          <w:szCs w:val="24"/>
        </w:rPr>
      </w:pPr>
      <w:bookmarkStart w:id="7" w:name="_Toc123050545"/>
      <w:r w:rsidRPr="00C80BFE">
        <w:rPr>
          <w:rStyle w:val="Heading3Char"/>
        </w:rPr>
        <w:t>The Settlement</w:t>
      </w:r>
      <w:r w:rsidRPr="00C80BFE" w:rsidR="008B20F2">
        <w:rPr>
          <w:rStyle w:val="Heading3Char"/>
        </w:rPr>
        <w:t xml:space="preserve"> package</w:t>
      </w:r>
      <w:r w:rsidRPr="00C80BFE">
        <w:rPr>
          <w:rStyle w:val="Heading3Char"/>
        </w:rPr>
        <w:t xml:space="preserve"> benefits consumers by reducing the charges consumers will pay as compared to</w:t>
      </w:r>
      <w:r w:rsidRPr="00C80BFE" w:rsidR="00280EB1">
        <w:rPr>
          <w:rStyle w:val="Heading3Char"/>
        </w:rPr>
        <w:t xml:space="preserve"> the $221.4 million rate increase</w:t>
      </w:r>
      <w:r w:rsidRPr="00C80BFE">
        <w:rPr>
          <w:rStyle w:val="Heading3Char"/>
        </w:rPr>
        <w:t xml:space="preserve"> Columbia </w:t>
      </w:r>
      <w:r w:rsidRPr="00C80BFE" w:rsidR="00C9598E">
        <w:rPr>
          <w:rStyle w:val="Heading3Char"/>
        </w:rPr>
        <w:t>initial</w:t>
      </w:r>
      <w:r w:rsidRPr="00C80BFE" w:rsidR="00280EB1">
        <w:rPr>
          <w:rStyle w:val="Heading3Char"/>
        </w:rPr>
        <w:t>ly</w:t>
      </w:r>
      <w:r w:rsidRPr="00C80BFE" w:rsidR="00C9598E">
        <w:rPr>
          <w:rStyle w:val="Heading3Char"/>
        </w:rPr>
        <w:t xml:space="preserve"> request</w:t>
      </w:r>
      <w:r w:rsidRPr="00C80BFE" w:rsidR="00280EB1">
        <w:rPr>
          <w:rStyle w:val="Heading3Char"/>
        </w:rPr>
        <w:t>ed</w:t>
      </w:r>
      <w:r w:rsidRPr="00C80BFE" w:rsidR="00C9598E">
        <w:rPr>
          <w:rStyle w:val="Heading3Char"/>
        </w:rPr>
        <w:t xml:space="preserve">. </w:t>
      </w:r>
      <w:r w:rsidRPr="00C80BFE" w:rsidR="00280EB1">
        <w:rPr>
          <w:rStyle w:val="Heading3Char"/>
        </w:rPr>
        <w:t xml:space="preserve">The PUCO should reject </w:t>
      </w:r>
      <w:r w:rsidRPr="00C80BFE" w:rsidR="00AD4FD7">
        <w:rPr>
          <w:rStyle w:val="Heading3Char"/>
        </w:rPr>
        <w:t>Environmental Groups</w:t>
      </w:r>
      <w:r w:rsidRPr="00C80BFE" w:rsidR="00280EB1">
        <w:rPr>
          <w:rStyle w:val="Heading3Char"/>
        </w:rPr>
        <w:t>’ arguments to the contrary.</w:t>
      </w:r>
      <w:bookmarkEnd w:id="7"/>
    </w:p>
    <w:p w:rsidR="00516EAF" w:rsidRPr="00C80BFE" w:rsidP="00516EAF" w14:paraId="22A359E6" w14:textId="683FDB40">
      <w:pPr>
        <w:pStyle w:val="ListParagraph"/>
        <w:spacing w:after="0" w:line="240" w:lineRule="auto"/>
        <w:ind w:left="1080"/>
        <w:rPr>
          <w:rFonts w:ascii="Times New Roman" w:hAnsi="Times New Roman" w:cs="Times New Roman"/>
          <w:iCs/>
          <w:sz w:val="24"/>
          <w:szCs w:val="24"/>
        </w:rPr>
      </w:pPr>
      <w:r w:rsidRPr="00C80BFE">
        <w:rPr>
          <w:rFonts w:ascii="Times New Roman" w:hAnsi="Times New Roman" w:cs="Times New Roman"/>
          <w:b/>
          <w:bCs/>
          <w:iCs/>
          <w:sz w:val="24"/>
          <w:szCs w:val="24"/>
        </w:rPr>
        <w:t xml:space="preserve"> </w:t>
      </w:r>
    </w:p>
    <w:p w:rsidR="002F38EE" w:rsidRPr="00C80BFE" w:rsidP="002F38EE" w14:paraId="022F0E8F" w14:textId="32B48754">
      <w:pPr>
        <w:spacing w:after="0" w:line="480" w:lineRule="auto"/>
        <w:ind w:firstLine="720"/>
        <w:rPr>
          <w:rFonts w:cs="Times New Roman"/>
          <w:iCs/>
          <w:szCs w:val="24"/>
        </w:rPr>
      </w:pPr>
      <w:r w:rsidRPr="00C80BFE">
        <w:rPr>
          <w:rFonts w:cs="Times New Roman"/>
          <w:szCs w:val="24"/>
        </w:rPr>
        <w:t>OCC witness Adkins testified that the Settlement</w:t>
      </w:r>
      <w:r w:rsidRPr="00C80BFE">
        <w:rPr>
          <w:rFonts w:cs="Times New Roman"/>
          <w:iCs/>
          <w:szCs w:val="24"/>
        </w:rPr>
        <w:t xml:space="preserve"> reflects nearly $1.7 billion in reductions from Columbia’s initial proposal for charges to consumers in base rates, fixed charges, riders, and DSM charges.</w:t>
      </w:r>
      <w:r>
        <w:rPr>
          <w:rStyle w:val="FootnoteReference"/>
          <w:rFonts w:cs="Times New Roman"/>
          <w:iCs/>
          <w:szCs w:val="24"/>
        </w:rPr>
        <w:footnoteReference w:id="32"/>
      </w:r>
      <w:r w:rsidRPr="00C80BFE">
        <w:rPr>
          <w:rFonts w:cs="Times New Roman"/>
          <w:iCs/>
          <w:szCs w:val="24"/>
        </w:rPr>
        <w:t xml:space="preserve"> </w:t>
      </w:r>
      <w:r w:rsidRPr="00C80BFE" w:rsidR="00280EB1">
        <w:rPr>
          <w:rFonts w:cs="Times New Roman"/>
          <w:iCs/>
          <w:szCs w:val="24"/>
        </w:rPr>
        <w:t xml:space="preserve">The </w:t>
      </w:r>
      <w:r w:rsidRPr="00C80BFE" w:rsidR="00AD4FD7">
        <w:rPr>
          <w:rFonts w:cs="Times New Roman"/>
          <w:iCs/>
          <w:szCs w:val="24"/>
        </w:rPr>
        <w:t>Environmental Groups</w:t>
      </w:r>
      <w:r w:rsidRPr="00C80BFE" w:rsidR="00BB561F">
        <w:rPr>
          <w:rFonts w:cs="Times New Roman"/>
          <w:iCs/>
          <w:szCs w:val="24"/>
        </w:rPr>
        <w:t xml:space="preserve"> ask</w:t>
      </w:r>
      <w:r w:rsidRPr="00C80BFE" w:rsidR="00280EB1">
        <w:rPr>
          <w:rFonts w:cs="Times New Roman"/>
          <w:iCs/>
          <w:szCs w:val="24"/>
        </w:rPr>
        <w:t xml:space="preserve"> the PUCO to ignore this evidence.</w:t>
      </w:r>
      <w:r>
        <w:rPr>
          <w:rStyle w:val="FootnoteReference"/>
          <w:rFonts w:cs="Times New Roman"/>
          <w:iCs/>
          <w:szCs w:val="24"/>
        </w:rPr>
        <w:footnoteReference w:id="33"/>
      </w:r>
      <w:r w:rsidRPr="00C80BFE" w:rsidR="005A20F7">
        <w:rPr>
          <w:rFonts w:cs="Times New Roman"/>
          <w:iCs/>
          <w:szCs w:val="24"/>
        </w:rPr>
        <w:t xml:space="preserve"> </w:t>
      </w:r>
      <w:r w:rsidRPr="00C80BFE" w:rsidR="00AD4FD7">
        <w:rPr>
          <w:rFonts w:cs="Times New Roman"/>
          <w:iCs/>
          <w:szCs w:val="24"/>
        </w:rPr>
        <w:t>Environmental Groups</w:t>
      </w:r>
      <w:r w:rsidRPr="00C80BFE" w:rsidR="00B23864">
        <w:rPr>
          <w:rFonts w:cs="Times New Roman"/>
          <w:iCs/>
          <w:szCs w:val="24"/>
        </w:rPr>
        <w:t xml:space="preserve"> claim</w:t>
      </w:r>
      <w:r w:rsidRPr="00C80BFE" w:rsidR="00536DCD">
        <w:rPr>
          <w:rFonts w:cs="Times New Roman"/>
          <w:iCs/>
          <w:szCs w:val="24"/>
        </w:rPr>
        <w:t xml:space="preserve"> that</w:t>
      </w:r>
      <w:r w:rsidRPr="00C80BFE" w:rsidR="003B0BCF">
        <w:rPr>
          <w:rFonts w:cs="Times New Roman"/>
          <w:iCs/>
          <w:szCs w:val="24"/>
        </w:rPr>
        <w:t xml:space="preserve"> reductions in the Settlement </w:t>
      </w:r>
      <w:r w:rsidRPr="00C80BFE" w:rsidR="00536DCD">
        <w:rPr>
          <w:rFonts w:cs="Times New Roman"/>
          <w:iCs/>
          <w:szCs w:val="24"/>
        </w:rPr>
        <w:t xml:space="preserve">are </w:t>
      </w:r>
      <w:r w:rsidRPr="00C80BFE" w:rsidR="00536DCD">
        <w:rPr>
          <w:rFonts w:cs="Times New Roman"/>
          <w:i/>
          <w:szCs w:val="24"/>
        </w:rPr>
        <w:t>not</w:t>
      </w:r>
      <w:r w:rsidRPr="00C80BFE" w:rsidR="00536DCD">
        <w:rPr>
          <w:rFonts w:cs="Times New Roman"/>
          <w:iCs/>
          <w:szCs w:val="24"/>
        </w:rPr>
        <w:t xml:space="preserve"> benefits</w:t>
      </w:r>
      <w:r w:rsidRPr="00C80BFE" w:rsidR="003B0BCF">
        <w:rPr>
          <w:rFonts w:cs="Times New Roman"/>
          <w:iCs/>
          <w:szCs w:val="24"/>
        </w:rPr>
        <w:t xml:space="preserve"> because</w:t>
      </w:r>
      <w:r w:rsidRPr="00C80BFE" w:rsidR="00536DCD">
        <w:rPr>
          <w:rFonts w:cs="Times New Roman"/>
          <w:iCs/>
          <w:szCs w:val="24"/>
        </w:rPr>
        <w:t xml:space="preserve"> </w:t>
      </w:r>
      <w:r w:rsidRPr="00C80BFE" w:rsidR="003B0BCF">
        <w:rPr>
          <w:rFonts w:cs="Times New Roman"/>
          <w:iCs/>
          <w:szCs w:val="24"/>
        </w:rPr>
        <w:t xml:space="preserve">there is no evidence that </w:t>
      </w:r>
      <w:r w:rsidRPr="00C80BFE" w:rsidR="00FD0D3D">
        <w:rPr>
          <w:rFonts w:cs="Times New Roman"/>
          <w:iCs/>
          <w:szCs w:val="24"/>
        </w:rPr>
        <w:t>Columbia’s initially proposed rate increase</w:t>
      </w:r>
      <w:r w:rsidRPr="00C80BFE" w:rsidR="003B0BCF">
        <w:rPr>
          <w:rFonts w:cs="Times New Roman"/>
          <w:iCs/>
          <w:szCs w:val="24"/>
        </w:rPr>
        <w:t xml:space="preserve"> would be approved</w:t>
      </w:r>
      <w:r w:rsidRPr="00C80BFE" w:rsidR="00FD0D3D">
        <w:rPr>
          <w:rFonts w:cs="Times New Roman"/>
          <w:iCs/>
          <w:szCs w:val="24"/>
        </w:rPr>
        <w:t xml:space="preserve"> by the PUCO</w:t>
      </w:r>
      <w:r w:rsidRPr="00C80BFE" w:rsidR="003B0BCF">
        <w:rPr>
          <w:rFonts w:cs="Times New Roman"/>
          <w:iCs/>
          <w:szCs w:val="24"/>
        </w:rPr>
        <w:t>.</w:t>
      </w:r>
      <w:r>
        <w:rPr>
          <w:rStyle w:val="FootnoteReference"/>
          <w:rFonts w:cs="Times New Roman"/>
          <w:iCs/>
          <w:szCs w:val="24"/>
        </w:rPr>
        <w:footnoteReference w:id="34"/>
      </w:r>
      <w:r w:rsidRPr="00C80BFE" w:rsidR="00FD0D3D">
        <w:rPr>
          <w:rFonts w:cs="Times New Roman"/>
          <w:iCs/>
          <w:szCs w:val="24"/>
        </w:rPr>
        <w:t xml:space="preserve"> </w:t>
      </w:r>
      <w:r w:rsidRPr="00C80BFE" w:rsidR="00AD4FD7">
        <w:rPr>
          <w:rFonts w:cs="Times New Roman"/>
          <w:iCs/>
          <w:szCs w:val="24"/>
        </w:rPr>
        <w:t>Environmental Groups</w:t>
      </w:r>
      <w:r w:rsidRPr="00C80BFE" w:rsidR="00B23864">
        <w:rPr>
          <w:rFonts w:cs="Times New Roman"/>
          <w:iCs/>
          <w:szCs w:val="24"/>
        </w:rPr>
        <w:t>’ argument</w:t>
      </w:r>
      <w:r w:rsidRPr="00C80BFE" w:rsidR="00974CE3">
        <w:rPr>
          <w:rFonts w:cs="Times New Roman"/>
          <w:iCs/>
          <w:szCs w:val="24"/>
        </w:rPr>
        <w:t>s</w:t>
      </w:r>
      <w:r w:rsidRPr="00C80BFE" w:rsidR="00B23864">
        <w:rPr>
          <w:rFonts w:cs="Times New Roman"/>
          <w:iCs/>
          <w:szCs w:val="24"/>
        </w:rPr>
        <w:t xml:space="preserve"> should be rejected</w:t>
      </w:r>
      <w:r w:rsidRPr="00C80BFE">
        <w:rPr>
          <w:rFonts w:cs="Times New Roman"/>
          <w:iCs/>
          <w:szCs w:val="24"/>
        </w:rPr>
        <w:t>.</w:t>
      </w:r>
      <w:r w:rsidR="00C80BFE">
        <w:rPr>
          <w:rFonts w:cs="Times New Roman"/>
          <w:iCs/>
          <w:szCs w:val="24"/>
        </w:rPr>
        <w:t xml:space="preserve"> </w:t>
      </w:r>
    </w:p>
    <w:p w:rsidR="00B23864" w:rsidRPr="00C80BFE" w:rsidP="00655CCD" w14:paraId="2122F589" w14:textId="0775C93E">
      <w:pPr>
        <w:spacing w:after="0" w:line="480" w:lineRule="auto"/>
        <w:ind w:firstLine="720"/>
        <w:rPr>
          <w:rFonts w:cs="Times New Roman"/>
          <w:iCs/>
          <w:szCs w:val="24"/>
        </w:rPr>
      </w:pPr>
      <w:r w:rsidRPr="00C80BFE">
        <w:rPr>
          <w:rFonts w:cs="Times New Roman"/>
          <w:iCs/>
          <w:szCs w:val="24"/>
        </w:rPr>
        <w:t>W</w:t>
      </w:r>
      <w:r w:rsidRPr="00C80BFE" w:rsidR="005E6B1C">
        <w:rPr>
          <w:rFonts w:cs="Times New Roman"/>
          <w:iCs/>
          <w:szCs w:val="24"/>
        </w:rPr>
        <w:t xml:space="preserve">hile OPAE claims </w:t>
      </w:r>
      <w:r w:rsidRPr="00C80BFE">
        <w:rPr>
          <w:rFonts w:cs="Times New Roman"/>
          <w:iCs/>
          <w:szCs w:val="24"/>
        </w:rPr>
        <w:t>that there is no evidence that the PUCO wou</w:t>
      </w:r>
      <w:r w:rsidRPr="00C80BFE" w:rsidR="009D6307">
        <w:rPr>
          <w:rFonts w:cs="Times New Roman"/>
          <w:iCs/>
          <w:szCs w:val="24"/>
        </w:rPr>
        <w:t>ld</w:t>
      </w:r>
      <w:r w:rsidRPr="00C80BFE">
        <w:rPr>
          <w:rFonts w:cs="Times New Roman"/>
          <w:iCs/>
          <w:szCs w:val="24"/>
        </w:rPr>
        <w:t xml:space="preserve"> </w:t>
      </w:r>
      <w:r w:rsidRPr="00C80BFE">
        <w:rPr>
          <w:rFonts w:cs="Times New Roman"/>
          <w:iCs/>
          <w:szCs w:val="24"/>
        </w:rPr>
        <w:t xml:space="preserve">ever </w:t>
      </w:r>
      <w:r w:rsidRPr="00C80BFE">
        <w:rPr>
          <w:rFonts w:cs="Times New Roman"/>
          <w:i/>
          <w:szCs w:val="24"/>
        </w:rPr>
        <w:t>approve</w:t>
      </w:r>
      <w:r w:rsidRPr="00C80BFE" w:rsidR="00CA54FD">
        <w:rPr>
          <w:rFonts w:cs="Times New Roman"/>
          <w:iCs/>
          <w:szCs w:val="24"/>
        </w:rPr>
        <w:t xml:space="preserve"> </w:t>
      </w:r>
      <w:r w:rsidRPr="00C80BFE" w:rsidR="005E6B1C">
        <w:rPr>
          <w:rFonts w:cs="Times New Roman"/>
          <w:iCs/>
          <w:szCs w:val="24"/>
        </w:rPr>
        <w:t>Columbia’s “Christmas list” of requests</w:t>
      </w:r>
      <w:r w:rsidRPr="00C80BFE">
        <w:rPr>
          <w:rFonts w:cs="Times New Roman"/>
          <w:iCs/>
          <w:szCs w:val="24"/>
        </w:rPr>
        <w:t>,</w:t>
      </w:r>
      <w:r>
        <w:rPr>
          <w:rStyle w:val="FootnoteReference"/>
          <w:rFonts w:cs="Times New Roman"/>
          <w:iCs/>
          <w:szCs w:val="24"/>
        </w:rPr>
        <w:footnoteReference w:id="35"/>
      </w:r>
      <w:r w:rsidRPr="00C80BFE">
        <w:rPr>
          <w:rFonts w:cs="Times New Roman"/>
          <w:iCs/>
          <w:szCs w:val="24"/>
        </w:rPr>
        <w:t xml:space="preserve"> </w:t>
      </w:r>
      <w:r w:rsidRPr="00C80BFE" w:rsidR="009D6307">
        <w:rPr>
          <w:rFonts w:cs="Times New Roman"/>
          <w:iCs/>
          <w:szCs w:val="24"/>
        </w:rPr>
        <w:t xml:space="preserve">Columbia nevertheless presented </w:t>
      </w:r>
      <w:r w:rsidRPr="00C80BFE" w:rsidR="00BB561F">
        <w:rPr>
          <w:rFonts w:cs="Times New Roman"/>
          <w:iCs/>
          <w:szCs w:val="24"/>
        </w:rPr>
        <w:t xml:space="preserve">a case to support its application </w:t>
      </w:r>
      <w:r w:rsidRPr="00C80BFE" w:rsidR="00E45843">
        <w:rPr>
          <w:rFonts w:cs="Times New Roman"/>
          <w:iCs/>
          <w:szCs w:val="24"/>
        </w:rPr>
        <w:t>with</w:t>
      </w:r>
      <w:r w:rsidRPr="00C80BFE" w:rsidR="00BB561F">
        <w:rPr>
          <w:rFonts w:cs="Times New Roman"/>
          <w:iCs/>
          <w:szCs w:val="24"/>
        </w:rPr>
        <w:t xml:space="preserve"> </w:t>
      </w:r>
      <w:r w:rsidRPr="00C80BFE" w:rsidR="009D6307">
        <w:rPr>
          <w:rFonts w:cs="Times New Roman"/>
          <w:iCs/>
          <w:szCs w:val="24"/>
        </w:rPr>
        <w:t xml:space="preserve">evidence </w:t>
      </w:r>
      <w:r w:rsidRPr="00C80BFE" w:rsidR="00BB561F">
        <w:rPr>
          <w:rFonts w:cs="Times New Roman"/>
          <w:iCs/>
          <w:szCs w:val="24"/>
        </w:rPr>
        <w:t>in</w:t>
      </w:r>
      <w:r w:rsidRPr="00C80BFE" w:rsidR="009D6307">
        <w:rPr>
          <w:rFonts w:cs="Times New Roman"/>
          <w:iCs/>
          <w:szCs w:val="24"/>
        </w:rPr>
        <w:t xml:space="preserve"> support</w:t>
      </w:r>
      <w:r w:rsidRPr="00C80BFE" w:rsidR="00BB561F">
        <w:rPr>
          <w:rFonts w:cs="Times New Roman"/>
          <w:iCs/>
          <w:szCs w:val="24"/>
        </w:rPr>
        <w:t xml:space="preserve"> of</w:t>
      </w:r>
      <w:r w:rsidRPr="00C80BFE" w:rsidR="009D6307">
        <w:rPr>
          <w:rFonts w:cs="Times New Roman"/>
          <w:iCs/>
          <w:szCs w:val="24"/>
        </w:rPr>
        <w:t xml:space="preserve"> </w:t>
      </w:r>
      <w:r w:rsidRPr="00C80BFE" w:rsidR="00C012ED">
        <w:rPr>
          <w:rFonts w:cs="Times New Roman"/>
          <w:iCs/>
          <w:szCs w:val="24"/>
        </w:rPr>
        <w:t xml:space="preserve">the application </w:t>
      </w:r>
      <w:r w:rsidRPr="00C80BFE" w:rsidR="007D7A9B">
        <w:rPr>
          <w:rFonts w:cs="Times New Roman"/>
          <w:iCs/>
          <w:szCs w:val="24"/>
        </w:rPr>
        <w:t>and objections to the Staff Report</w:t>
      </w:r>
      <w:r w:rsidRPr="00C80BFE" w:rsidR="009D6307">
        <w:rPr>
          <w:rFonts w:cs="Times New Roman"/>
          <w:iCs/>
          <w:szCs w:val="24"/>
        </w:rPr>
        <w:t>.</w:t>
      </w:r>
      <w:r w:rsidRPr="00C80BFE" w:rsidR="00BB561F">
        <w:rPr>
          <w:rFonts w:cs="Times New Roman"/>
          <w:iCs/>
          <w:szCs w:val="24"/>
        </w:rPr>
        <w:t xml:space="preserve"> </w:t>
      </w:r>
      <w:r w:rsidRPr="00C80BFE">
        <w:rPr>
          <w:rFonts w:cs="Times New Roman"/>
          <w:iCs/>
          <w:szCs w:val="24"/>
        </w:rPr>
        <w:t xml:space="preserve">Thus, </w:t>
      </w:r>
      <w:r w:rsidRPr="00C80BFE" w:rsidR="00BB561F">
        <w:rPr>
          <w:rFonts w:cs="Times New Roman"/>
          <w:iCs/>
          <w:szCs w:val="24"/>
        </w:rPr>
        <w:t xml:space="preserve">the </w:t>
      </w:r>
      <w:r w:rsidRPr="00C80BFE" w:rsidR="00AD4FD7">
        <w:rPr>
          <w:rFonts w:cs="Times New Roman"/>
          <w:iCs/>
          <w:szCs w:val="24"/>
        </w:rPr>
        <w:t>Environmental Groups</w:t>
      </w:r>
      <w:r w:rsidRPr="00C80BFE" w:rsidR="00E45843">
        <w:rPr>
          <w:rFonts w:cs="Times New Roman"/>
          <w:iCs/>
          <w:szCs w:val="24"/>
        </w:rPr>
        <w:t xml:space="preserve"> are speculating about how</w:t>
      </w:r>
      <w:r w:rsidRPr="00C80BFE" w:rsidR="00BB561F">
        <w:rPr>
          <w:rFonts w:cs="Times New Roman"/>
          <w:iCs/>
          <w:szCs w:val="24"/>
        </w:rPr>
        <w:t xml:space="preserve"> the PUCO would</w:t>
      </w:r>
      <w:r w:rsidRPr="00C80BFE">
        <w:rPr>
          <w:rFonts w:cs="Times New Roman"/>
          <w:iCs/>
          <w:szCs w:val="24"/>
        </w:rPr>
        <w:t xml:space="preserve"> </w:t>
      </w:r>
      <w:r w:rsidRPr="00C80BFE" w:rsidR="00E45843">
        <w:rPr>
          <w:rFonts w:cs="Times New Roman"/>
          <w:iCs/>
          <w:szCs w:val="24"/>
        </w:rPr>
        <w:t xml:space="preserve">rule on </w:t>
      </w:r>
      <w:r w:rsidRPr="00C80BFE" w:rsidR="007D7A9B">
        <w:rPr>
          <w:rFonts w:cs="Times New Roman"/>
          <w:iCs/>
          <w:szCs w:val="24"/>
        </w:rPr>
        <w:t>Columbia’s</w:t>
      </w:r>
      <w:r w:rsidRPr="00C80BFE">
        <w:rPr>
          <w:rFonts w:cs="Times New Roman"/>
          <w:iCs/>
          <w:szCs w:val="24"/>
        </w:rPr>
        <w:t xml:space="preserve"> requests</w:t>
      </w:r>
      <w:r w:rsidRPr="00C80BFE" w:rsidR="00A53C8F">
        <w:rPr>
          <w:rFonts w:cs="Times New Roman"/>
          <w:iCs/>
          <w:szCs w:val="24"/>
        </w:rPr>
        <w:t>. Of course, the</w:t>
      </w:r>
      <w:r w:rsidRPr="00C80BFE">
        <w:rPr>
          <w:rFonts w:cs="Times New Roman"/>
          <w:iCs/>
          <w:szCs w:val="24"/>
        </w:rPr>
        <w:t xml:space="preserve"> uncer</w:t>
      </w:r>
      <w:r w:rsidRPr="00C80BFE" w:rsidR="005106FF">
        <w:rPr>
          <w:rFonts w:cs="Times New Roman"/>
          <w:iCs/>
          <w:szCs w:val="24"/>
        </w:rPr>
        <w:t>tainty of how the PUCO will rule with respect to a</w:t>
      </w:r>
      <w:r w:rsidRPr="00C80BFE" w:rsidR="00A53C8F">
        <w:rPr>
          <w:rFonts w:cs="Times New Roman"/>
          <w:iCs/>
          <w:szCs w:val="24"/>
        </w:rPr>
        <w:t>ny</w:t>
      </w:r>
      <w:r w:rsidRPr="00C80BFE" w:rsidR="005106FF">
        <w:rPr>
          <w:rFonts w:cs="Times New Roman"/>
          <w:iCs/>
          <w:szCs w:val="24"/>
        </w:rPr>
        <w:t xml:space="preserve"> utility application is present in </w:t>
      </w:r>
      <w:r w:rsidRPr="00C80BFE" w:rsidR="00A53C8F">
        <w:rPr>
          <w:rFonts w:cs="Times New Roman"/>
          <w:iCs/>
          <w:szCs w:val="24"/>
        </w:rPr>
        <w:t>every</w:t>
      </w:r>
      <w:r w:rsidRPr="00C80BFE" w:rsidR="005106FF">
        <w:rPr>
          <w:rFonts w:cs="Times New Roman"/>
          <w:iCs/>
          <w:szCs w:val="24"/>
        </w:rPr>
        <w:t xml:space="preserve"> case</w:t>
      </w:r>
      <w:r w:rsidRPr="00C80BFE" w:rsidR="00A53C8F">
        <w:rPr>
          <w:rFonts w:cs="Times New Roman"/>
          <w:iCs/>
          <w:szCs w:val="24"/>
        </w:rPr>
        <w:t>. And</w:t>
      </w:r>
      <w:r w:rsidRPr="00C80BFE" w:rsidR="005106FF">
        <w:rPr>
          <w:rFonts w:cs="Times New Roman"/>
          <w:iCs/>
          <w:szCs w:val="24"/>
        </w:rPr>
        <w:t xml:space="preserve"> it </w:t>
      </w:r>
      <w:r w:rsidRPr="00C80BFE">
        <w:rPr>
          <w:rFonts w:cs="Times New Roman"/>
          <w:iCs/>
          <w:szCs w:val="24"/>
        </w:rPr>
        <w:t xml:space="preserve">is the reason why parties </w:t>
      </w:r>
      <w:r w:rsidRPr="00C80BFE" w:rsidR="005106FF">
        <w:rPr>
          <w:rFonts w:cs="Times New Roman"/>
          <w:iCs/>
          <w:szCs w:val="24"/>
        </w:rPr>
        <w:t xml:space="preserve">work to </w:t>
      </w:r>
      <w:r w:rsidRPr="00C80BFE">
        <w:rPr>
          <w:rFonts w:cs="Times New Roman"/>
          <w:iCs/>
          <w:szCs w:val="24"/>
        </w:rPr>
        <w:t>settle</w:t>
      </w:r>
      <w:r w:rsidRPr="00C80BFE" w:rsidR="005106FF">
        <w:rPr>
          <w:rFonts w:cs="Times New Roman"/>
          <w:iCs/>
          <w:szCs w:val="24"/>
        </w:rPr>
        <w:t xml:space="preserve"> matters</w:t>
      </w:r>
      <w:r w:rsidRPr="00C80BFE">
        <w:rPr>
          <w:rFonts w:cs="Times New Roman"/>
          <w:iCs/>
          <w:szCs w:val="24"/>
        </w:rPr>
        <w:t xml:space="preserve"> in the first place.</w:t>
      </w:r>
      <w:r w:rsidRPr="00C80BFE" w:rsidR="00A53C8F">
        <w:rPr>
          <w:rFonts w:cs="Times New Roman"/>
          <w:iCs/>
          <w:szCs w:val="24"/>
        </w:rPr>
        <w:t xml:space="preserve"> </w:t>
      </w:r>
      <w:r w:rsidRPr="00C80BFE" w:rsidR="00655CCD">
        <w:rPr>
          <w:rFonts w:cs="Times New Roman"/>
          <w:iCs/>
          <w:szCs w:val="24"/>
        </w:rPr>
        <w:t xml:space="preserve">Under </w:t>
      </w:r>
      <w:r w:rsidRPr="00C80BFE" w:rsidR="00AD4FD7">
        <w:rPr>
          <w:rFonts w:cs="Times New Roman"/>
          <w:iCs/>
          <w:szCs w:val="24"/>
        </w:rPr>
        <w:t>Environmental Groups</w:t>
      </w:r>
      <w:r w:rsidRPr="00C80BFE" w:rsidR="00655CCD">
        <w:rPr>
          <w:rFonts w:cs="Times New Roman"/>
          <w:iCs/>
          <w:szCs w:val="24"/>
        </w:rPr>
        <w:t xml:space="preserve">’ claims, one could never show benefits unless and until there was a ruling on the utility’s originally filed application. </w:t>
      </w:r>
      <w:r w:rsidRPr="00C80BFE" w:rsidR="00BA205B">
        <w:rPr>
          <w:rFonts w:cs="Times New Roman"/>
          <w:iCs/>
          <w:szCs w:val="24"/>
        </w:rPr>
        <w:t>That’s not how the process works.</w:t>
      </w:r>
      <w:r w:rsidRPr="00C80BFE" w:rsidR="00655CCD">
        <w:rPr>
          <w:rFonts w:cs="Times New Roman"/>
          <w:iCs/>
          <w:szCs w:val="24"/>
        </w:rPr>
        <w:t xml:space="preserve"> </w:t>
      </w:r>
      <w:r w:rsidRPr="00C80BFE" w:rsidR="00A53C8F">
        <w:rPr>
          <w:rFonts w:cs="Times New Roman"/>
          <w:iCs/>
          <w:szCs w:val="24"/>
        </w:rPr>
        <w:t xml:space="preserve">Accordingly, </w:t>
      </w:r>
      <w:r w:rsidRPr="00C80BFE" w:rsidR="00AD4FD7">
        <w:rPr>
          <w:rFonts w:cs="Times New Roman"/>
          <w:iCs/>
          <w:szCs w:val="24"/>
        </w:rPr>
        <w:t>Environmental Groups</w:t>
      </w:r>
      <w:r w:rsidRPr="00C80BFE" w:rsidR="00BB561F">
        <w:rPr>
          <w:rFonts w:cs="Times New Roman"/>
          <w:iCs/>
          <w:szCs w:val="24"/>
        </w:rPr>
        <w:t xml:space="preserve"> are wrong to say that </w:t>
      </w:r>
      <w:r w:rsidRPr="00C80BFE" w:rsidR="00A53C8F">
        <w:rPr>
          <w:rFonts w:cs="Times New Roman"/>
          <w:iCs/>
          <w:szCs w:val="24"/>
        </w:rPr>
        <w:t>the reductions in rates and charges in the Settlement do</w:t>
      </w:r>
      <w:r w:rsidRPr="00C80BFE" w:rsidR="00BB561F">
        <w:rPr>
          <w:rFonts w:cs="Times New Roman"/>
          <w:iCs/>
          <w:szCs w:val="24"/>
        </w:rPr>
        <w:t xml:space="preserve"> not</w:t>
      </w:r>
      <w:r w:rsidRPr="00C80BFE" w:rsidR="00A53C8F">
        <w:rPr>
          <w:rFonts w:cs="Times New Roman"/>
          <w:iCs/>
          <w:szCs w:val="24"/>
        </w:rPr>
        <w:t xml:space="preserve"> benefit consumers and the public interest.</w:t>
      </w:r>
    </w:p>
    <w:p w:rsidR="005106FF" w:rsidRPr="00C80BFE" w:rsidP="00E16FEB" w14:paraId="7FD4F51B" w14:textId="2AFF564A">
      <w:pPr>
        <w:spacing w:after="0" w:line="480" w:lineRule="auto"/>
        <w:ind w:firstLine="720"/>
        <w:rPr>
          <w:rFonts w:cs="Times New Roman"/>
          <w:iCs/>
          <w:szCs w:val="24"/>
        </w:rPr>
      </w:pPr>
      <w:r w:rsidRPr="00C80BFE">
        <w:rPr>
          <w:rFonts w:cs="Times New Roman"/>
          <w:iCs/>
          <w:szCs w:val="24"/>
        </w:rPr>
        <w:t>OPAE and ELPC</w:t>
      </w:r>
      <w:r w:rsidRPr="00C80BFE" w:rsidR="00CA54FD">
        <w:rPr>
          <w:rFonts w:cs="Times New Roman"/>
          <w:iCs/>
          <w:szCs w:val="24"/>
        </w:rPr>
        <w:t xml:space="preserve"> </w:t>
      </w:r>
      <w:r w:rsidRPr="00C80BFE" w:rsidR="007D7A9B">
        <w:rPr>
          <w:rFonts w:cs="Times New Roman"/>
          <w:iCs/>
          <w:szCs w:val="24"/>
        </w:rPr>
        <w:t xml:space="preserve">assert that </w:t>
      </w:r>
      <w:r w:rsidRPr="00C80BFE" w:rsidR="00CA54FD">
        <w:rPr>
          <w:rFonts w:cs="Times New Roman"/>
          <w:iCs/>
          <w:szCs w:val="24"/>
        </w:rPr>
        <w:t>the</w:t>
      </w:r>
      <w:r w:rsidRPr="00C80BFE">
        <w:rPr>
          <w:rFonts w:cs="Times New Roman"/>
          <w:iCs/>
          <w:szCs w:val="24"/>
        </w:rPr>
        <w:t xml:space="preserve"> PUCO must evaluate the merits of each settlement provision in order to determine whether the Settlement benefits consumers.</w:t>
      </w:r>
      <w:r>
        <w:rPr>
          <w:rStyle w:val="FootnoteReference"/>
          <w:rFonts w:cs="Times New Roman"/>
          <w:iCs/>
          <w:szCs w:val="24"/>
        </w:rPr>
        <w:footnoteReference w:id="36"/>
      </w:r>
      <w:r w:rsidRPr="00C80BFE">
        <w:rPr>
          <w:rFonts w:cs="Times New Roman"/>
          <w:iCs/>
          <w:szCs w:val="24"/>
        </w:rPr>
        <w:t xml:space="preserve"> </w:t>
      </w:r>
      <w:r w:rsidRPr="00C80BFE" w:rsidR="00BB561F">
        <w:rPr>
          <w:rFonts w:cs="Times New Roman"/>
          <w:iCs/>
          <w:szCs w:val="24"/>
        </w:rPr>
        <w:t>E</w:t>
      </w:r>
      <w:r w:rsidRPr="00C80BFE" w:rsidR="002F38EE">
        <w:rPr>
          <w:rFonts w:cs="Times New Roman"/>
          <w:iCs/>
          <w:szCs w:val="24"/>
        </w:rPr>
        <w:t xml:space="preserve">valuating the merits of each </w:t>
      </w:r>
      <w:r w:rsidRPr="00C80BFE" w:rsidR="00FC4D36">
        <w:rPr>
          <w:rFonts w:cs="Times New Roman"/>
          <w:iCs/>
          <w:szCs w:val="24"/>
        </w:rPr>
        <w:t xml:space="preserve">particular </w:t>
      </w:r>
      <w:r w:rsidRPr="00C80BFE" w:rsidR="002F38EE">
        <w:rPr>
          <w:rFonts w:cs="Times New Roman"/>
          <w:iCs/>
          <w:szCs w:val="24"/>
        </w:rPr>
        <w:t xml:space="preserve">settlement </w:t>
      </w:r>
      <w:r w:rsidRPr="00C80BFE" w:rsidR="00BB561F">
        <w:rPr>
          <w:rFonts w:cs="Times New Roman"/>
          <w:iCs/>
          <w:szCs w:val="24"/>
        </w:rPr>
        <w:t>term is contrary</w:t>
      </w:r>
      <w:r w:rsidRPr="00C80BFE" w:rsidR="002F38EE">
        <w:rPr>
          <w:rFonts w:cs="Times New Roman"/>
          <w:iCs/>
          <w:szCs w:val="24"/>
        </w:rPr>
        <w:t xml:space="preserve"> to the PUCO’s </w:t>
      </w:r>
      <w:r w:rsidRPr="00C80BFE" w:rsidR="00924F0E">
        <w:rPr>
          <w:rFonts w:cs="Times New Roman"/>
          <w:iCs/>
          <w:szCs w:val="24"/>
        </w:rPr>
        <w:t xml:space="preserve">practice of determining whether the Settlement </w:t>
      </w:r>
      <w:r w:rsidRPr="00C80BFE" w:rsidR="00924F0E">
        <w:rPr>
          <w:rFonts w:cs="Times New Roman"/>
          <w:i/>
          <w:szCs w:val="24"/>
        </w:rPr>
        <w:t xml:space="preserve">as a package </w:t>
      </w:r>
      <w:r w:rsidRPr="00C80BFE" w:rsidR="00924F0E">
        <w:rPr>
          <w:rFonts w:cs="Times New Roman"/>
          <w:iCs/>
          <w:szCs w:val="24"/>
        </w:rPr>
        <w:t>benefits consumers and the public interest.</w:t>
      </w:r>
      <w:r>
        <w:rPr>
          <w:rStyle w:val="FootnoteReference"/>
          <w:rFonts w:cs="Times New Roman"/>
          <w:iCs/>
          <w:szCs w:val="24"/>
        </w:rPr>
        <w:footnoteReference w:id="37"/>
      </w:r>
      <w:r w:rsidRPr="00C80BFE" w:rsidR="0063003F">
        <w:rPr>
          <w:rFonts w:cs="Times New Roman"/>
          <w:iCs/>
          <w:szCs w:val="24"/>
        </w:rPr>
        <w:t xml:space="preserve"> </w:t>
      </w:r>
      <w:r w:rsidRPr="00C80BFE" w:rsidR="00536DCD">
        <w:rPr>
          <w:rFonts w:cs="Times New Roman"/>
          <w:iCs/>
          <w:szCs w:val="24"/>
        </w:rPr>
        <w:t xml:space="preserve">The PUCO has held that </w:t>
      </w:r>
      <w:r w:rsidRPr="00C80BFE" w:rsidR="00536DCD">
        <w:rPr>
          <w:rFonts w:cs="Times New Roman"/>
          <w:szCs w:val="24"/>
        </w:rPr>
        <w:t xml:space="preserve">“the second part of the three-part test is not whether there are different or additional provisions that would better benefit ratepayers and the public interest but whether the Stipulation, </w:t>
      </w:r>
      <w:r w:rsidRPr="00C80BFE" w:rsidR="00536DCD">
        <w:rPr>
          <w:rFonts w:cs="Times New Roman"/>
          <w:i/>
          <w:iCs/>
          <w:szCs w:val="24"/>
        </w:rPr>
        <w:t>as a package</w:t>
      </w:r>
      <w:r w:rsidRPr="00C80BFE" w:rsidR="00536DCD">
        <w:rPr>
          <w:rFonts w:cs="Times New Roman"/>
          <w:szCs w:val="24"/>
        </w:rPr>
        <w:t>, benefits ratepayers and the public interest.”</w:t>
      </w:r>
      <w:r>
        <w:rPr>
          <w:rStyle w:val="FootnoteReference"/>
          <w:rFonts w:cs="Times New Roman"/>
          <w:szCs w:val="24"/>
        </w:rPr>
        <w:footnoteReference w:id="38"/>
      </w:r>
      <w:r w:rsidRPr="00C80BFE" w:rsidR="00536DCD">
        <w:rPr>
          <w:rFonts w:cs="Times New Roman"/>
          <w:iCs/>
          <w:szCs w:val="24"/>
        </w:rPr>
        <w:t xml:space="preserve"> </w:t>
      </w:r>
    </w:p>
    <w:p w:rsidR="00E16FEB" w:rsidRPr="00C80BFE" w:rsidP="00E16FEB" w14:paraId="61214391" w14:textId="40F272CE">
      <w:pPr>
        <w:spacing w:after="0" w:line="480" w:lineRule="auto"/>
        <w:ind w:firstLine="720"/>
        <w:rPr>
          <w:rFonts w:cs="Times New Roman"/>
          <w:iCs/>
          <w:szCs w:val="24"/>
        </w:rPr>
      </w:pPr>
      <w:r w:rsidRPr="00C80BFE">
        <w:rPr>
          <w:rFonts w:cs="Times New Roman"/>
          <w:iCs/>
          <w:szCs w:val="24"/>
        </w:rPr>
        <w:t>In short, the Settlement provides significant reductions in rates and charges</w:t>
      </w:r>
      <w:r w:rsidRPr="00C80BFE" w:rsidR="00655CCD">
        <w:rPr>
          <w:rFonts w:cs="Times New Roman"/>
          <w:iCs/>
          <w:szCs w:val="24"/>
        </w:rPr>
        <w:t xml:space="preserve"> that consumers will pay </w:t>
      </w:r>
      <w:r w:rsidRPr="00C80BFE">
        <w:rPr>
          <w:rFonts w:cs="Times New Roman"/>
          <w:iCs/>
          <w:szCs w:val="24"/>
        </w:rPr>
        <w:t>compared to what Columbia initially requested in the application.</w:t>
      </w:r>
      <w:r w:rsidRPr="00C80BFE" w:rsidR="00A53C8F">
        <w:rPr>
          <w:rFonts w:cs="Times New Roman"/>
          <w:iCs/>
          <w:szCs w:val="24"/>
        </w:rPr>
        <w:t xml:space="preserve"> These reductions will benefit consumers and the public interest</w:t>
      </w:r>
      <w:r w:rsidRPr="00C80BFE" w:rsidR="00BA205B">
        <w:rPr>
          <w:rFonts w:cs="Times New Roman"/>
          <w:iCs/>
          <w:szCs w:val="24"/>
        </w:rPr>
        <w:t>, as a package</w:t>
      </w:r>
      <w:r w:rsidRPr="00C80BFE" w:rsidR="00E45843">
        <w:rPr>
          <w:rFonts w:cs="Times New Roman"/>
          <w:iCs/>
          <w:szCs w:val="24"/>
        </w:rPr>
        <w:t>, which is how the PUCO has chosen to evaluate settlements</w:t>
      </w:r>
      <w:r w:rsidRPr="00C80BFE" w:rsidR="00A53C8F">
        <w:rPr>
          <w:rFonts w:cs="Times New Roman"/>
          <w:iCs/>
          <w:szCs w:val="24"/>
        </w:rPr>
        <w:t>. The PUCO should approve the Settlement without modification.</w:t>
      </w:r>
    </w:p>
    <w:p w:rsidR="00D210AB" w:rsidRPr="00C80BFE" w:rsidP="00C27A8C" w14:paraId="1E599AC2" w14:textId="1905C2A0">
      <w:pPr>
        <w:pStyle w:val="ListParagraph"/>
        <w:numPr>
          <w:ilvl w:val="0"/>
          <w:numId w:val="28"/>
        </w:numPr>
        <w:spacing w:after="0" w:line="240" w:lineRule="auto"/>
        <w:ind w:left="2160" w:hanging="720"/>
        <w:rPr>
          <w:rFonts w:ascii="Times New Roman" w:hAnsi="Times New Roman" w:cs="Times New Roman"/>
          <w:b/>
          <w:bCs/>
          <w:iCs/>
          <w:sz w:val="24"/>
          <w:szCs w:val="24"/>
        </w:rPr>
      </w:pPr>
      <w:bookmarkStart w:id="8" w:name="_Toc123050546"/>
      <w:r w:rsidRPr="00C80BFE">
        <w:rPr>
          <w:rStyle w:val="Heading3Char"/>
        </w:rPr>
        <w:t>The Settlement</w:t>
      </w:r>
      <w:r w:rsidRPr="00C80BFE" w:rsidR="00BA205B">
        <w:rPr>
          <w:rStyle w:val="Heading3Char"/>
        </w:rPr>
        <w:t xml:space="preserve"> </w:t>
      </w:r>
      <w:r w:rsidRPr="00C80BFE" w:rsidR="00826506">
        <w:rPr>
          <w:rStyle w:val="Heading3Char"/>
        </w:rPr>
        <w:t xml:space="preserve">package </w:t>
      </w:r>
      <w:r w:rsidRPr="00C80BFE" w:rsidR="00BA205B">
        <w:rPr>
          <w:rStyle w:val="Heading3Char"/>
        </w:rPr>
        <w:t xml:space="preserve">has benefits for low-income consumers. There is a $70 million </w:t>
      </w:r>
      <w:r w:rsidRPr="00C80BFE" w:rsidR="00DB0348">
        <w:rPr>
          <w:rStyle w:val="Heading3Char"/>
        </w:rPr>
        <w:t xml:space="preserve">demand side management </w:t>
      </w:r>
      <w:r w:rsidRPr="00C80BFE" w:rsidR="00974CE3">
        <w:rPr>
          <w:rStyle w:val="Heading3Char"/>
        </w:rPr>
        <w:t xml:space="preserve">(“DSM”) </w:t>
      </w:r>
      <w:r w:rsidRPr="00C80BFE" w:rsidR="00BA205B">
        <w:rPr>
          <w:rStyle w:val="Heading3Char"/>
        </w:rPr>
        <w:t xml:space="preserve">program </w:t>
      </w:r>
      <w:r w:rsidRPr="00C80BFE">
        <w:rPr>
          <w:rStyle w:val="Heading3Char"/>
        </w:rPr>
        <w:t xml:space="preserve">and </w:t>
      </w:r>
      <w:r w:rsidRPr="00C80BFE" w:rsidR="00BA205B">
        <w:rPr>
          <w:rStyle w:val="Heading3Char"/>
        </w:rPr>
        <w:t xml:space="preserve">$3.5 million of </w:t>
      </w:r>
      <w:r w:rsidRPr="00C80BFE" w:rsidR="00516EAF">
        <w:rPr>
          <w:rStyle w:val="Heading3Char"/>
        </w:rPr>
        <w:t xml:space="preserve">additional bill payment </w:t>
      </w:r>
      <w:r w:rsidRPr="00C80BFE">
        <w:rPr>
          <w:rStyle w:val="Heading3Char"/>
        </w:rPr>
        <w:t>assistance to</w:t>
      </w:r>
      <w:r w:rsidRPr="00C80BFE" w:rsidR="00516EAF">
        <w:rPr>
          <w:rStyle w:val="Heading3Char"/>
        </w:rPr>
        <w:t xml:space="preserve"> low-income </w:t>
      </w:r>
      <w:r w:rsidRPr="00C80BFE">
        <w:rPr>
          <w:rStyle w:val="Heading3Char"/>
        </w:rPr>
        <w:t xml:space="preserve">consumers </w:t>
      </w:r>
      <w:r w:rsidRPr="00C80BFE" w:rsidR="00516EAF">
        <w:rPr>
          <w:rStyle w:val="Heading3Char"/>
        </w:rPr>
        <w:t>who need it the most</w:t>
      </w:r>
      <w:r w:rsidRPr="00C80BFE">
        <w:rPr>
          <w:rStyle w:val="Heading3Char"/>
        </w:rPr>
        <w:t>.</w:t>
      </w:r>
      <w:r w:rsidRPr="00C80BFE" w:rsidR="007D7A9B">
        <w:rPr>
          <w:rStyle w:val="Heading3Char"/>
        </w:rPr>
        <w:t xml:space="preserve"> The Settlement</w:t>
      </w:r>
      <w:r w:rsidRPr="00C80BFE" w:rsidR="00826506">
        <w:rPr>
          <w:rStyle w:val="Heading3Char"/>
        </w:rPr>
        <w:t xml:space="preserve"> package</w:t>
      </w:r>
      <w:r w:rsidRPr="00C80BFE" w:rsidR="007D7A9B">
        <w:rPr>
          <w:rStyle w:val="Heading3Char"/>
        </w:rPr>
        <w:t xml:space="preserve"> should be approved without modification.</w:t>
      </w:r>
      <w:bookmarkEnd w:id="8"/>
    </w:p>
    <w:p w:rsidR="00BF615F" w:rsidRPr="00C80BFE" w:rsidP="006640AF" w14:paraId="7C288CC2" w14:textId="0A9D8105">
      <w:pPr>
        <w:spacing w:before="240" w:after="0" w:line="480" w:lineRule="auto"/>
        <w:ind w:firstLine="720"/>
        <w:rPr>
          <w:rFonts w:cs="Times New Roman"/>
          <w:szCs w:val="24"/>
        </w:rPr>
      </w:pPr>
      <w:r w:rsidRPr="00C80BFE">
        <w:rPr>
          <w:rFonts w:cs="Times New Roman"/>
          <w:szCs w:val="24"/>
        </w:rPr>
        <w:t>Environmental Groups</w:t>
      </w:r>
      <w:r w:rsidRPr="00C80BFE" w:rsidR="003D3400">
        <w:rPr>
          <w:rFonts w:cs="Times New Roman"/>
          <w:szCs w:val="24"/>
        </w:rPr>
        <w:t xml:space="preserve"> object to the Settlement </w:t>
      </w:r>
      <w:r w:rsidRPr="00C80BFE" w:rsidR="00AB27DC">
        <w:rPr>
          <w:rFonts w:cs="Times New Roman"/>
          <w:szCs w:val="24"/>
        </w:rPr>
        <w:t xml:space="preserve">package </w:t>
      </w:r>
      <w:r w:rsidRPr="00C80BFE" w:rsidR="003D3400">
        <w:rPr>
          <w:rFonts w:cs="Times New Roman"/>
          <w:szCs w:val="24"/>
        </w:rPr>
        <w:t xml:space="preserve">because it does not include (and expand) </w:t>
      </w:r>
      <w:r w:rsidRPr="00C80BFE" w:rsidR="00E45843">
        <w:rPr>
          <w:rFonts w:cs="Times New Roman"/>
          <w:szCs w:val="24"/>
        </w:rPr>
        <w:t xml:space="preserve">a subsidy for a </w:t>
      </w:r>
      <w:r w:rsidRPr="00C80BFE" w:rsidR="003D3400">
        <w:rPr>
          <w:rFonts w:cs="Times New Roman"/>
          <w:szCs w:val="24"/>
        </w:rPr>
        <w:t>non-low-income DSM program that Columbia initially proposed in this case. However, the Settlement’s DSM provisions benefit all consumers</w:t>
      </w:r>
      <w:r w:rsidRPr="00C80BFE" w:rsidR="00BA205B">
        <w:rPr>
          <w:rFonts w:cs="Times New Roman"/>
          <w:szCs w:val="24"/>
        </w:rPr>
        <w:t>. There is</w:t>
      </w:r>
      <w:r w:rsidRPr="00C80BFE" w:rsidR="003D3400">
        <w:rPr>
          <w:rFonts w:cs="Times New Roman"/>
          <w:szCs w:val="24"/>
        </w:rPr>
        <w:t xml:space="preserve"> a reduction in charges</w:t>
      </w:r>
      <w:r w:rsidRPr="00C80BFE" w:rsidR="00BA205B">
        <w:rPr>
          <w:rFonts w:cs="Times New Roman"/>
          <w:szCs w:val="24"/>
        </w:rPr>
        <w:t xml:space="preserve"> to consumers,</w:t>
      </w:r>
      <w:r w:rsidRPr="00C80BFE" w:rsidR="003D3400">
        <w:rPr>
          <w:rFonts w:cs="Times New Roman"/>
          <w:szCs w:val="24"/>
        </w:rPr>
        <w:t xml:space="preserve"> </w:t>
      </w:r>
      <w:r w:rsidRPr="00C80BFE" w:rsidR="00DB0348">
        <w:rPr>
          <w:rFonts w:cs="Times New Roman"/>
          <w:szCs w:val="24"/>
        </w:rPr>
        <w:t>under</w:t>
      </w:r>
      <w:r w:rsidRPr="00C80BFE" w:rsidR="003D3400">
        <w:rPr>
          <w:rFonts w:cs="Times New Roman"/>
          <w:szCs w:val="24"/>
        </w:rPr>
        <w:t xml:space="preserve"> the DSM Rider</w:t>
      </w:r>
      <w:r w:rsidRPr="00C80BFE" w:rsidR="00E45843">
        <w:rPr>
          <w:rFonts w:cs="Times New Roman"/>
          <w:szCs w:val="24"/>
        </w:rPr>
        <w:t>, given the nearly $120 million that will not be charged to consumers for a non-low-income DSM program</w:t>
      </w:r>
      <w:r w:rsidRPr="00C80BFE" w:rsidR="00BA205B">
        <w:rPr>
          <w:rFonts w:cs="Times New Roman"/>
          <w:szCs w:val="24"/>
        </w:rPr>
        <w:t xml:space="preserve">. </w:t>
      </w:r>
      <w:r w:rsidRPr="00C80BFE" w:rsidR="00E45843">
        <w:rPr>
          <w:rFonts w:cs="Times New Roman"/>
          <w:szCs w:val="24"/>
        </w:rPr>
        <w:t xml:space="preserve">Also, </w:t>
      </w:r>
      <w:r w:rsidRPr="00C80BFE" w:rsidR="003D3400">
        <w:rPr>
          <w:rFonts w:cs="Times New Roman"/>
          <w:szCs w:val="24"/>
        </w:rPr>
        <w:t xml:space="preserve">Columbia </w:t>
      </w:r>
      <w:r w:rsidRPr="00C80BFE" w:rsidR="00BA205B">
        <w:rPr>
          <w:rFonts w:cs="Times New Roman"/>
          <w:szCs w:val="24"/>
        </w:rPr>
        <w:t xml:space="preserve">will </w:t>
      </w:r>
      <w:r w:rsidRPr="00C80BFE" w:rsidR="003D3400">
        <w:rPr>
          <w:rFonts w:cs="Times New Roman"/>
          <w:szCs w:val="24"/>
        </w:rPr>
        <w:t xml:space="preserve">not charge consumers for </w:t>
      </w:r>
      <w:r w:rsidRPr="00C80BFE" w:rsidR="00E45843">
        <w:rPr>
          <w:rFonts w:cs="Times New Roman"/>
          <w:szCs w:val="24"/>
        </w:rPr>
        <w:t xml:space="preserve">controversial </w:t>
      </w:r>
      <w:r w:rsidRPr="00C80BFE" w:rsidR="00562D10">
        <w:rPr>
          <w:rFonts w:cs="Times New Roman"/>
          <w:szCs w:val="24"/>
        </w:rPr>
        <w:t>shared savings (profits) in the funding of the programs.</w:t>
      </w:r>
      <w:r>
        <w:rPr>
          <w:rStyle w:val="FootnoteReference"/>
          <w:rFonts w:cs="Times New Roman"/>
          <w:szCs w:val="24"/>
        </w:rPr>
        <w:footnoteReference w:id="39"/>
      </w:r>
      <w:r w:rsidR="00C80BFE">
        <w:rPr>
          <w:rFonts w:cs="Times New Roman"/>
          <w:szCs w:val="24"/>
        </w:rPr>
        <w:t xml:space="preserve"> </w:t>
      </w:r>
      <w:r w:rsidRPr="00C80BFE" w:rsidR="00BA205B">
        <w:rPr>
          <w:rFonts w:cs="Times New Roman"/>
          <w:szCs w:val="24"/>
        </w:rPr>
        <w:t xml:space="preserve">OCC has been </w:t>
      </w:r>
      <w:r w:rsidRPr="00C80BFE" w:rsidR="00C0657B">
        <w:rPr>
          <w:rFonts w:cs="Times New Roman"/>
          <w:szCs w:val="24"/>
        </w:rPr>
        <w:t>pursuing</w:t>
      </w:r>
      <w:r w:rsidRPr="00C80BFE" w:rsidR="00BA205B">
        <w:rPr>
          <w:rFonts w:cs="Times New Roman"/>
          <w:szCs w:val="24"/>
        </w:rPr>
        <w:t xml:space="preserve"> this issue for years, to protect consumers</w:t>
      </w:r>
      <w:r w:rsidRPr="00C80BFE" w:rsidR="00C0657B">
        <w:rPr>
          <w:rFonts w:cs="Times New Roman"/>
          <w:szCs w:val="24"/>
        </w:rPr>
        <w:t xml:space="preserve"> from paying even more profit to utilities.</w:t>
      </w:r>
      <w:r w:rsidRPr="00C80BFE" w:rsidR="00BA205B">
        <w:rPr>
          <w:rFonts w:cs="Times New Roman"/>
          <w:szCs w:val="24"/>
        </w:rPr>
        <w:t xml:space="preserve"> </w:t>
      </w:r>
      <w:r w:rsidRPr="00C80BFE" w:rsidR="00E45843">
        <w:rPr>
          <w:rFonts w:cs="Times New Roman"/>
          <w:szCs w:val="24"/>
        </w:rPr>
        <w:t xml:space="preserve">Environmental Groups tend to be </w:t>
      </w:r>
      <w:r w:rsidRPr="00C80BFE" w:rsidR="0049756D">
        <w:rPr>
          <w:rFonts w:cs="Times New Roman"/>
          <w:szCs w:val="24"/>
        </w:rPr>
        <w:t xml:space="preserve">OK with utilities charging consumers for more profits, regarding energy efficiency. </w:t>
      </w:r>
    </w:p>
    <w:p w:rsidR="00151165" w:rsidRPr="00C80BFE" w:rsidP="006640AF" w14:paraId="4711F3D1" w14:textId="23352423">
      <w:pPr>
        <w:spacing w:before="240" w:after="0" w:line="480" w:lineRule="auto"/>
        <w:ind w:firstLine="720"/>
        <w:rPr>
          <w:rFonts w:cs="Times New Roman"/>
          <w:szCs w:val="24"/>
        </w:rPr>
      </w:pPr>
      <w:r w:rsidRPr="00C80BFE">
        <w:rPr>
          <w:rFonts w:cs="Times New Roman"/>
          <w:szCs w:val="24"/>
        </w:rPr>
        <w:t xml:space="preserve">The Settlement also </w:t>
      </w:r>
      <w:r w:rsidRPr="00C80BFE" w:rsidR="00655CCD">
        <w:rPr>
          <w:rFonts w:cs="Times New Roman"/>
          <w:szCs w:val="24"/>
        </w:rPr>
        <w:t>guarantees</w:t>
      </w:r>
      <w:r w:rsidRPr="00C80BFE" w:rsidR="009F6446">
        <w:rPr>
          <w:rFonts w:cs="Times New Roman"/>
          <w:szCs w:val="24"/>
        </w:rPr>
        <w:t xml:space="preserve"> an</w:t>
      </w:r>
      <w:r w:rsidRPr="00C80BFE" w:rsidR="00655CCD">
        <w:rPr>
          <w:rFonts w:cs="Times New Roman"/>
          <w:szCs w:val="24"/>
        </w:rPr>
        <w:t xml:space="preserve"> </w:t>
      </w:r>
      <w:r w:rsidRPr="00C80BFE">
        <w:rPr>
          <w:rFonts w:cs="Times New Roman"/>
          <w:szCs w:val="24"/>
        </w:rPr>
        <w:t>important DSM program</w:t>
      </w:r>
      <w:r w:rsidRPr="00C80BFE" w:rsidR="00D522D9">
        <w:rPr>
          <w:rFonts w:cs="Times New Roman"/>
          <w:szCs w:val="24"/>
        </w:rPr>
        <w:t xml:space="preserve"> (WarmChoice®)</w:t>
      </w:r>
      <w:r w:rsidRPr="00C80BFE">
        <w:rPr>
          <w:rFonts w:cs="Times New Roman"/>
          <w:szCs w:val="24"/>
        </w:rPr>
        <w:t xml:space="preserve"> for low-income consumers</w:t>
      </w:r>
      <w:r w:rsidRPr="00C80BFE" w:rsidR="00BF615F">
        <w:rPr>
          <w:rFonts w:cs="Times New Roman"/>
          <w:szCs w:val="24"/>
        </w:rPr>
        <w:t xml:space="preserve">. </w:t>
      </w:r>
      <w:r w:rsidRPr="00C80BFE" w:rsidR="007A21ED">
        <w:rPr>
          <w:rFonts w:cs="Times New Roman"/>
          <w:szCs w:val="24"/>
        </w:rPr>
        <w:t>As stated, t</w:t>
      </w:r>
      <w:r w:rsidRPr="00C80BFE" w:rsidR="00BF615F">
        <w:rPr>
          <w:rFonts w:cs="Times New Roman"/>
          <w:szCs w:val="24"/>
        </w:rPr>
        <w:t>hat amounts to more than $70 million</w:t>
      </w:r>
      <w:r w:rsidRPr="00C80BFE" w:rsidR="007A21ED">
        <w:rPr>
          <w:rFonts w:cs="Times New Roman"/>
          <w:szCs w:val="24"/>
        </w:rPr>
        <w:t xml:space="preserve"> to be</w:t>
      </w:r>
      <w:r w:rsidRPr="00C80BFE" w:rsidR="00BF615F">
        <w:rPr>
          <w:rFonts w:cs="Times New Roman"/>
          <w:szCs w:val="24"/>
        </w:rPr>
        <w:t xml:space="preserve"> </w:t>
      </w:r>
      <w:r w:rsidRPr="00C80BFE" w:rsidR="007A21ED">
        <w:rPr>
          <w:rFonts w:cs="Times New Roman"/>
          <w:szCs w:val="24"/>
        </w:rPr>
        <w:t>funded (</w:t>
      </w:r>
      <w:r w:rsidRPr="00C80BFE" w:rsidR="001C6CE9">
        <w:rPr>
          <w:rFonts w:cs="Times New Roman"/>
          <w:szCs w:val="24"/>
        </w:rPr>
        <w:t>subsidized</w:t>
      </w:r>
      <w:r w:rsidRPr="00C80BFE" w:rsidR="007A21ED">
        <w:rPr>
          <w:rFonts w:cs="Times New Roman"/>
          <w:szCs w:val="24"/>
        </w:rPr>
        <w:t>)</w:t>
      </w:r>
      <w:r w:rsidRPr="00C80BFE" w:rsidR="00BF615F">
        <w:rPr>
          <w:rFonts w:cs="Times New Roman"/>
          <w:szCs w:val="24"/>
        </w:rPr>
        <w:t xml:space="preserve"> by all consumers over five years. Th</w:t>
      </w:r>
      <w:r w:rsidRPr="00C80BFE" w:rsidR="007A21ED">
        <w:rPr>
          <w:rFonts w:cs="Times New Roman"/>
          <w:szCs w:val="24"/>
        </w:rPr>
        <w:t>is considerable</w:t>
      </w:r>
      <w:r w:rsidRPr="00C80BFE" w:rsidR="009F6446">
        <w:rPr>
          <w:rFonts w:cs="Times New Roman"/>
          <w:szCs w:val="24"/>
        </w:rPr>
        <w:t xml:space="preserve"> program</w:t>
      </w:r>
      <w:r w:rsidRPr="00C80BFE" w:rsidR="00BF615F">
        <w:rPr>
          <w:rFonts w:cs="Times New Roman"/>
          <w:szCs w:val="24"/>
        </w:rPr>
        <w:t xml:space="preserve"> should be appreciated by the Environmental Groups. But apparently </w:t>
      </w:r>
      <w:r w:rsidRPr="00C80BFE" w:rsidR="007A21ED">
        <w:rPr>
          <w:rFonts w:cs="Times New Roman"/>
          <w:szCs w:val="24"/>
        </w:rPr>
        <w:t xml:space="preserve">it is </w:t>
      </w:r>
      <w:r w:rsidRPr="00C80BFE" w:rsidR="00BF615F">
        <w:rPr>
          <w:rFonts w:cs="Times New Roman"/>
          <w:szCs w:val="24"/>
        </w:rPr>
        <w:t xml:space="preserve">not. </w:t>
      </w:r>
      <w:r w:rsidRPr="00C80BFE">
        <w:rPr>
          <w:rFonts w:cs="Times New Roman"/>
          <w:szCs w:val="24"/>
        </w:rPr>
        <w:t>The Settlement should be approved without modification.</w:t>
      </w:r>
    </w:p>
    <w:p w:rsidR="005E54F0" w:rsidRPr="00C80BFE" w:rsidP="00F02A9D" w14:paraId="2B314CF4" w14:textId="03163DCC">
      <w:pPr>
        <w:spacing w:after="0" w:line="480" w:lineRule="auto"/>
        <w:ind w:firstLine="720"/>
        <w:rPr>
          <w:rFonts w:cs="Times New Roman"/>
          <w:szCs w:val="24"/>
        </w:rPr>
      </w:pPr>
      <w:r w:rsidRPr="00C80BFE">
        <w:rPr>
          <w:rFonts w:cs="Times New Roman"/>
          <w:szCs w:val="24"/>
        </w:rPr>
        <w:t>The Settlement</w:t>
      </w:r>
      <w:r w:rsidRPr="00C80BFE" w:rsidR="00AB27DC">
        <w:rPr>
          <w:rFonts w:cs="Times New Roman"/>
          <w:szCs w:val="24"/>
        </w:rPr>
        <w:t xml:space="preserve"> package</w:t>
      </w:r>
      <w:r w:rsidRPr="00C80BFE">
        <w:rPr>
          <w:rFonts w:cs="Times New Roman"/>
          <w:szCs w:val="24"/>
        </w:rPr>
        <w:t xml:space="preserve"> benefits consumers by </w:t>
      </w:r>
      <w:r w:rsidRPr="00C80BFE" w:rsidR="00C524CC">
        <w:rPr>
          <w:rFonts w:cs="Times New Roman"/>
          <w:szCs w:val="24"/>
        </w:rPr>
        <w:t xml:space="preserve">ending </w:t>
      </w:r>
      <w:r w:rsidRPr="00C80BFE">
        <w:rPr>
          <w:rFonts w:cs="Times New Roman"/>
          <w:szCs w:val="24"/>
        </w:rPr>
        <w:t xml:space="preserve">the </w:t>
      </w:r>
      <w:r w:rsidRPr="00C80BFE" w:rsidR="00B804EE">
        <w:rPr>
          <w:rFonts w:cs="Times New Roman"/>
          <w:szCs w:val="24"/>
        </w:rPr>
        <w:t>non-low-income DSM program</w:t>
      </w:r>
      <w:r w:rsidRPr="00C80BFE" w:rsidR="00F02A9D">
        <w:rPr>
          <w:rFonts w:cs="Times New Roman"/>
          <w:szCs w:val="24"/>
        </w:rPr>
        <w:t>s</w:t>
      </w:r>
      <w:r w:rsidRPr="00C80BFE" w:rsidR="00B804EE">
        <w:rPr>
          <w:rFonts w:cs="Times New Roman"/>
          <w:szCs w:val="24"/>
        </w:rPr>
        <w:t xml:space="preserve"> initially proposed by Columbia</w:t>
      </w:r>
      <w:r w:rsidRPr="00C80BFE" w:rsidR="00161568">
        <w:rPr>
          <w:rFonts w:cs="Times New Roman"/>
          <w:szCs w:val="24"/>
        </w:rPr>
        <w:t>. Columbia propose</w:t>
      </w:r>
      <w:r w:rsidRPr="00C80BFE" w:rsidR="00AB27DC">
        <w:rPr>
          <w:rFonts w:cs="Times New Roman"/>
          <w:szCs w:val="24"/>
        </w:rPr>
        <w:t>d</w:t>
      </w:r>
      <w:r w:rsidRPr="00C80BFE" w:rsidR="00161568">
        <w:rPr>
          <w:rFonts w:cs="Times New Roman"/>
          <w:szCs w:val="24"/>
        </w:rPr>
        <w:t xml:space="preserve"> </w:t>
      </w:r>
      <w:r w:rsidRPr="00C80BFE" w:rsidR="00C524CC">
        <w:rPr>
          <w:rFonts w:cs="Times New Roman"/>
          <w:szCs w:val="24"/>
        </w:rPr>
        <w:t xml:space="preserve">a cost of </w:t>
      </w:r>
      <w:r w:rsidRPr="00C80BFE" w:rsidR="0016063C">
        <w:rPr>
          <w:rFonts w:cs="Times New Roman"/>
          <w:szCs w:val="24"/>
        </w:rPr>
        <w:t>“at least $102 million for five years beginning January 1, 2023, plus inflationary increases and shared savings.”</w:t>
      </w:r>
      <w:r>
        <w:rPr>
          <w:rStyle w:val="FootnoteReference"/>
          <w:rFonts w:cs="Times New Roman"/>
          <w:szCs w:val="24"/>
        </w:rPr>
        <w:footnoteReference w:id="40"/>
      </w:r>
      <w:r w:rsidRPr="00C80BFE" w:rsidR="0016063C">
        <w:rPr>
          <w:rFonts w:cs="Times New Roman"/>
          <w:szCs w:val="24"/>
        </w:rPr>
        <w:t xml:space="preserve"> </w:t>
      </w:r>
      <w:r w:rsidRPr="00C80BFE" w:rsidR="007A21ED">
        <w:rPr>
          <w:rFonts w:cs="Times New Roman"/>
          <w:szCs w:val="24"/>
        </w:rPr>
        <w:t xml:space="preserve">OCC witness Adkins put the cost at nearly $120 million that consumers will be spared from paying. </w:t>
      </w:r>
      <w:r w:rsidRPr="00C80BFE" w:rsidR="00F02A9D">
        <w:rPr>
          <w:rFonts w:cs="Times New Roman"/>
          <w:szCs w:val="24"/>
        </w:rPr>
        <w:t>These</w:t>
      </w:r>
      <w:r w:rsidRPr="00C80BFE" w:rsidR="00DE272B">
        <w:rPr>
          <w:rFonts w:cs="Times New Roman"/>
          <w:szCs w:val="24"/>
        </w:rPr>
        <w:t xml:space="preserve"> non-low-income</w:t>
      </w:r>
      <w:r w:rsidRPr="00C80BFE" w:rsidR="00C4534F">
        <w:rPr>
          <w:rFonts w:cs="Times New Roman"/>
          <w:szCs w:val="24"/>
        </w:rPr>
        <w:t xml:space="preserve"> programs </w:t>
      </w:r>
      <w:r w:rsidRPr="00C80BFE" w:rsidR="00AB27DC">
        <w:rPr>
          <w:rFonts w:cs="Times New Roman"/>
          <w:szCs w:val="24"/>
        </w:rPr>
        <w:t xml:space="preserve">could </w:t>
      </w:r>
      <w:r w:rsidRPr="00C80BFE" w:rsidR="00C4534F">
        <w:rPr>
          <w:rFonts w:cs="Times New Roman"/>
          <w:szCs w:val="24"/>
        </w:rPr>
        <w:t>include home weatherization services, rebates for the purchase of smart thermostats, programmable thermostats, energy efficient shower heads and faucets, and rebates for energy efficient appliances.</w:t>
      </w:r>
      <w:r>
        <w:rPr>
          <w:rStyle w:val="FootnoteReference"/>
          <w:rFonts w:cs="Times New Roman"/>
          <w:szCs w:val="24"/>
        </w:rPr>
        <w:footnoteReference w:id="41"/>
      </w:r>
      <w:r w:rsidRPr="00C80BFE" w:rsidR="00C4534F">
        <w:rPr>
          <w:rFonts w:cs="Times New Roman"/>
          <w:szCs w:val="24"/>
        </w:rPr>
        <w:t xml:space="preserve"> </w:t>
      </w:r>
    </w:p>
    <w:p w:rsidR="00AB27DC" w:rsidRPr="00C80BFE" w:rsidP="00F02A9D" w14:paraId="28C6C015" w14:textId="1D01BF52">
      <w:pPr>
        <w:spacing w:after="0" w:line="480" w:lineRule="auto"/>
        <w:ind w:firstLine="720"/>
        <w:rPr>
          <w:rFonts w:cs="Times New Roman"/>
          <w:szCs w:val="24"/>
        </w:rPr>
      </w:pPr>
      <w:r w:rsidRPr="00C80BFE">
        <w:rPr>
          <w:rFonts w:cs="Times New Roman"/>
          <w:szCs w:val="24"/>
        </w:rPr>
        <w:t xml:space="preserve">These </w:t>
      </w:r>
      <w:r w:rsidRPr="00C80BFE" w:rsidR="00DE272B">
        <w:rPr>
          <w:rFonts w:cs="Times New Roman"/>
          <w:szCs w:val="24"/>
        </w:rPr>
        <w:t>measures</w:t>
      </w:r>
      <w:r w:rsidRPr="00C80BFE">
        <w:rPr>
          <w:rFonts w:cs="Times New Roman"/>
          <w:szCs w:val="24"/>
        </w:rPr>
        <w:t xml:space="preserve"> are</w:t>
      </w:r>
      <w:r w:rsidRPr="00C80BFE" w:rsidR="00F02A9D">
        <w:rPr>
          <w:rFonts w:cs="Times New Roman"/>
          <w:szCs w:val="24"/>
        </w:rPr>
        <w:t xml:space="preserve"> </w:t>
      </w:r>
      <w:r w:rsidRPr="00C80BFE">
        <w:rPr>
          <w:rFonts w:cs="Times New Roman"/>
          <w:szCs w:val="24"/>
        </w:rPr>
        <w:t>available to consumers in the competitive marketplace</w:t>
      </w:r>
      <w:r w:rsidRPr="00C80BFE">
        <w:rPr>
          <w:rFonts w:cs="Times New Roman"/>
          <w:szCs w:val="24"/>
        </w:rPr>
        <w:t>. They can be found at</w:t>
      </w:r>
      <w:r w:rsidRPr="00C80BFE">
        <w:rPr>
          <w:rFonts w:cs="Times New Roman"/>
          <w:szCs w:val="24"/>
        </w:rPr>
        <w:t xml:space="preserve"> </w:t>
      </w:r>
      <w:r w:rsidRPr="00C80BFE">
        <w:rPr>
          <w:rFonts w:cs="Times New Roman"/>
          <w:szCs w:val="24"/>
        </w:rPr>
        <w:t xml:space="preserve">big-box </w:t>
      </w:r>
      <w:r w:rsidRPr="00C80BFE" w:rsidR="005E54F0">
        <w:rPr>
          <w:rFonts w:cs="Times New Roman"/>
          <w:szCs w:val="24"/>
        </w:rPr>
        <w:t>stores</w:t>
      </w:r>
      <w:r w:rsidRPr="00C80BFE">
        <w:rPr>
          <w:rFonts w:cs="Times New Roman"/>
          <w:szCs w:val="24"/>
        </w:rPr>
        <w:t>, smaller stores</w:t>
      </w:r>
      <w:r w:rsidRPr="00C80BFE" w:rsidR="005E54F0">
        <w:rPr>
          <w:rFonts w:cs="Times New Roman"/>
          <w:szCs w:val="24"/>
        </w:rPr>
        <w:t xml:space="preserve"> and through </w:t>
      </w:r>
      <w:r w:rsidRPr="00C80BFE" w:rsidR="007A21ED">
        <w:rPr>
          <w:rFonts w:cs="Times New Roman"/>
          <w:szCs w:val="24"/>
        </w:rPr>
        <w:t xml:space="preserve">some </w:t>
      </w:r>
      <w:r w:rsidRPr="00C80BFE">
        <w:rPr>
          <w:rFonts w:cs="Times New Roman"/>
          <w:szCs w:val="24"/>
        </w:rPr>
        <w:t>natural gas marketers</w:t>
      </w:r>
      <w:r w:rsidRPr="00C80BFE">
        <w:rPr>
          <w:rFonts w:cs="Times New Roman"/>
          <w:szCs w:val="24"/>
        </w:rPr>
        <w:t>, among other sources.</w:t>
      </w:r>
      <w:r>
        <w:rPr>
          <w:rStyle w:val="FootnoteReference"/>
          <w:rFonts w:cs="Times New Roman"/>
          <w:szCs w:val="24"/>
        </w:rPr>
        <w:footnoteReference w:id="42"/>
      </w:r>
      <w:r w:rsidRPr="00C80BFE" w:rsidR="00F02A9D">
        <w:rPr>
          <w:rFonts w:cs="Times New Roman"/>
          <w:szCs w:val="24"/>
        </w:rPr>
        <w:t xml:space="preserve"> </w:t>
      </w:r>
    </w:p>
    <w:p w:rsidR="00B804EE" w:rsidRPr="00C80BFE" w:rsidP="00F02A9D" w14:paraId="178E7981" w14:textId="642271D0">
      <w:pPr>
        <w:spacing w:after="0" w:line="480" w:lineRule="auto"/>
        <w:ind w:firstLine="720"/>
        <w:rPr>
          <w:rFonts w:cs="Times New Roman"/>
          <w:szCs w:val="24"/>
        </w:rPr>
      </w:pPr>
      <w:r w:rsidRPr="00C80BFE">
        <w:rPr>
          <w:rFonts w:cs="Times New Roman"/>
          <w:szCs w:val="24"/>
        </w:rPr>
        <w:t>The Settlement</w:t>
      </w:r>
      <w:r w:rsidRPr="00C80BFE" w:rsidR="00AB27DC">
        <w:rPr>
          <w:rFonts w:cs="Times New Roman"/>
          <w:szCs w:val="24"/>
        </w:rPr>
        <w:t xml:space="preserve"> package</w:t>
      </w:r>
      <w:r w:rsidRPr="00C80BFE">
        <w:rPr>
          <w:rFonts w:cs="Times New Roman"/>
          <w:szCs w:val="24"/>
        </w:rPr>
        <w:t xml:space="preserve"> also prevents Columbia from charging consumers its initially proposed $10 million in shared savings (profits) from the DSM program.</w:t>
      </w:r>
      <w:r>
        <w:rPr>
          <w:rStyle w:val="FootnoteReference"/>
          <w:rFonts w:cs="Times New Roman"/>
          <w:szCs w:val="24"/>
        </w:rPr>
        <w:footnoteReference w:id="43"/>
      </w:r>
      <w:r w:rsidRPr="00C80BFE" w:rsidR="00C578FA">
        <w:rPr>
          <w:rFonts w:cs="Times New Roman"/>
          <w:szCs w:val="24"/>
        </w:rPr>
        <w:t xml:space="preserve"> The elimination of these non-low-income programs</w:t>
      </w:r>
      <w:r w:rsidRPr="00C80BFE" w:rsidR="00655CCD">
        <w:rPr>
          <w:rFonts w:cs="Times New Roman"/>
          <w:szCs w:val="24"/>
        </w:rPr>
        <w:t xml:space="preserve">, that would otherwise be charged to Columbia consumers, </w:t>
      </w:r>
      <w:r w:rsidRPr="00C80BFE" w:rsidR="00C578FA">
        <w:rPr>
          <w:rFonts w:cs="Times New Roman"/>
          <w:szCs w:val="24"/>
        </w:rPr>
        <w:t xml:space="preserve">benefits consumers. </w:t>
      </w:r>
    </w:p>
    <w:p w:rsidR="004B1425" w:rsidRPr="00C80BFE" w:rsidP="00C4534F" w14:paraId="2DB1816E" w14:textId="496A50A3">
      <w:pPr>
        <w:spacing w:after="0" w:line="480" w:lineRule="auto"/>
        <w:ind w:firstLine="720"/>
        <w:rPr>
          <w:rFonts w:cs="Times New Roman"/>
          <w:szCs w:val="24"/>
        </w:rPr>
      </w:pPr>
      <w:r w:rsidRPr="00C80BFE">
        <w:rPr>
          <w:rFonts w:cs="Times New Roman"/>
          <w:szCs w:val="24"/>
        </w:rPr>
        <w:t>The Settlement also</w:t>
      </w:r>
      <w:r w:rsidRPr="00C80BFE" w:rsidR="00747FAC">
        <w:rPr>
          <w:rFonts w:cs="Times New Roman"/>
          <w:iCs/>
          <w:szCs w:val="24"/>
        </w:rPr>
        <w:t xml:space="preserve"> provides $3.5 million for bill-payment assistance for Columbia’s low-income consumers including at-risk populations (mostly at shareholder expense)</w:t>
      </w:r>
      <w:r w:rsidRPr="00C80BFE">
        <w:rPr>
          <w:rFonts w:cs="Times New Roman"/>
          <w:iCs/>
          <w:szCs w:val="24"/>
        </w:rPr>
        <w:t xml:space="preserve">. </w:t>
      </w:r>
      <w:r w:rsidRPr="00C80BFE" w:rsidR="008104CE">
        <w:rPr>
          <w:rFonts w:cs="Times New Roman"/>
          <w:iCs/>
          <w:szCs w:val="24"/>
        </w:rPr>
        <w:t>This will help Columbia’s most vulnerable and at-risk consumers</w:t>
      </w:r>
      <w:r w:rsidRPr="00C80BFE" w:rsidR="00DE272B">
        <w:rPr>
          <w:rFonts w:cs="Times New Roman"/>
          <w:iCs/>
          <w:szCs w:val="24"/>
        </w:rPr>
        <w:t>, with up to $450 annually for consumers to avoid disconnection or obtain reconnection</w:t>
      </w:r>
      <w:r w:rsidRPr="00C80BFE" w:rsidR="008104CE">
        <w:rPr>
          <w:rFonts w:cs="Times New Roman"/>
          <w:iCs/>
          <w:szCs w:val="24"/>
        </w:rPr>
        <w:t xml:space="preserve">. </w:t>
      </w:r>
      <w:r w:rsidRPr="00C80BFE" w:rsidR="009954C6">
        <w:rPr>
          <w:rFonts w:cs="Times New Roman"/>
          <w:iCs/>
          <w:szCs w:val="24"/>
        </w:rPr>
        <w:t>This b</w:t>
      </w:r>
      <w:r w:rsidRPr="00C80BFE" w:rsidR="00655CCD">
        <w:rPr>
          <w:rFonts w:cs="Times New Roman"/>
          <w:iCs/>
          <w:szCs w:val="24"/>
        </w:rPr>
        <w:t>ill payment assistance was not a part of Columbia’s filed application.</w:t>
      </w:r>
      <w:r w:rsidR="00C80BFE">
        <w:rPr>
          <w:rFonts w:cs="Times New Roman"/>
          <w:iCs/>
          <w:szCs w:val="24"/>
        </w:rPr>
        <w:t xml:space="preserve"> </w:t>
      </w:r>
    </w:p>
    <w:p w:rsidR="00974CE3" w:rsidRPr="00C80BFE" w:rsidP="00E10133" w14:paraId="7661389F" w14:textId="6E7F826D">
      <w:pPr>
        <w:spacing w:after="0" w:line="480" w:lineRule="auto"/>
        <w:ind w:firstLine="720"/>
        <w:rPr>
          <w:rFonts w:cs="Times New Roman"/>
          <w:szCs w:val="24"/>
        </w:rPr>
      </w:pPr>
      <w:r w:rsidRPr="00C80BFE">
        <w:rPr>
          <w:rFonts w:cs="Times New Roman"/>
          <w:szCs w:val="24"/>
        </w:rPr>
        <w:t>Environmental Groups</w:t>
      </w:r>
      <w:r w:rsidRPr="00C80BFE" w:rsidR="008104CE">
        <w:rPr>
          <w:rFonts w:cs="Times New Roman"/>
          <w:szCs w:val="24"/>
        </w:rPr>
        <w:t xml:space="preserve"> claim</w:t>
      </w:r>
      <w:r w:rsidRPr="00C80BFE" w:rsidR="006640AF">
        <w:rPr>
          <w:rFonts w:cs="Times New Roman"/>
          <w:szCs w:val="24"/>
        </w:rPr>
        <w:t xml:space="preserve"> that the Columbia’s non-low-income DSM program is necessary given the monthly fixed charges and straight fixed variable rate design agreed to in the Settlement.</w:t>
      </w:r>
      <w:r>
        <w:rPr>
          <w:rStyle w:val="FootnoteReference"/>
          <w:rFonts w:cs="Times New Roman"/>
          <w:szCs w:val="24"/>
        </w:rPr>
        <w:footnoteReference w:id="44"/>
      </w:r>
      <w:r w:rsidRPr="00C80BFE" w:rsidR="006640AF">
        <w:rPr>
          <w:rFonts w:cs="Times New Roman"/>
          <w:szCs w:val="24"/>
        </w:rPr>
        <w:t xml:space="preserve"> </w:t>
      </w:r>
      <w:r w:rsidRPr="00C80BFE" w:rsidR="00E407E3">
        <w:rPr>
          <w:rFonts w:cs="Times New Roman"/>
          <w:szCs w:val="24"/>
        </w:rPr>
        <w:t>However, t</w:t>
      </w:r>
      <w:r w:rsidRPr="00C80BFE" w:rsidR="00D210AB">
        <w:rPr>
          <w:rFonts w:cs="Times New Roman"/>
          <w:szCs w:val="24"/>
        </w:rPr>
        <w:t xml:space="preserve">he DSM program </w:t>
      </w:r>
      <w:r w:rsidRPr="00C80BFE">
        <w:rPr>
          <w:rFonts w:cs="Times New Roman"/>
          <w:szCs w:val="24"/>
        </w:rPr>
        <w:t>Environmental Groups</w:t>
      </w:r>
      <w:r w:rsidRPr="00C80BFE" w:rsidR="00D210AB">
        <w:rPr>
          <w:rFonts w:cs="Times New Roman"/>
          <w:szCs w:val="24"/>
        </w:rPr>
        <w:t xml:space="preserve"> want would include expensive programs for non-low-income consumers that residential and small business consumers would pay </w:t>
      </w:r>
      <w:r w:rsidRPr="00C80BFE" w:rsidR="005E54F0">
        <w:rPr>
          <w:rFonts w:cs="Times New Roman"/>
          <w:szCs w:val="24"/>
        </w:rPr>
        <w:t xml:space="preserve">(subsidize) </w:t>
      </w:r>
      <w:r w:rsidRPr="00C80BFE" w:rsidR="00D210AB">
        <w:rPr>
          <w:rFonts w:cs="Times New Roman"/>
          <w:szCs w:val="24"/>
        </w:rPr>
        <w:t xml:space="preserve">through </w:t>
      </w:r>
      <w:r w:rsidRPr="00C80BFE" w:rsidR="009529F9">
        <w:rPr>
          <w:rFonts w:cs="Times New Roman"/>
          <w:szCs w:val="24"/>
        </w:rPr>
        <w:t>charges under</w:t>
      </w:r>
      <w:r w:rsidRPr="00C80BFE" w:rsidR="00832437">
        <w:rPr>
          <w:rFonts w:cs="Times New Roman"/>
          <w:szCs w:val="24"/>
        </w:rPr>
        <w:t xml:space="preserve"> the</w:t>
      </w:r>
      <w:r w:rsidRPr="00C80BFE" w:rsidR="009529F9">
        <w:rPr>
          <w:rFonts w:cs="Times New Roman"/>
          <w:szCs w:val="24"/>
        </w:rPr>
        <w:t xml:space="preserve"> </w:t>
      </w:r>
      <w:r w:rsidRPr="00C80BFE" w:rsidR="00D210AB">
        <w:rPr>
          <w:rFonts w:cs="Times New Roman"/>
          <w:szCs w:val="24"/>
        </w:rPr>
        <w:t>DSM rider</w:t>
      </w:r>
      <w:r w:rsidRPr="00C80BFE" w:rsidR="008104CE">
        <w:rPr>
          <w:rFonts w:cs="Times New Roman"/>
          <w:szCs w:val="24"/>
        </w:rPr>
        <w:t xml:space="preserve">. </w:t>
      </w:r>
    </w:p>
    <w:p w:rsidR="001A3305" w:rsidRPr="00C80BFE" w:rsidP="00E10133" w14:paraId="2119C586" w14:textId="37C7495E">
      <w:pPr>
        <w:spacing w:after="0" w:line="480" w:lineRule="auto"/>
        <w:ind w:firstLine="720"/>
        <w:rPr>
          <w:rFonts w:cs="Times New Roman"/>
          <w:szCs w:val="24"/>
        </w:rPr>
      </w:pPr>
      <w:r w:rsidRPr="00C80BFE">
        <w:rPr>
          <w:rFonts w:cs="Times New Roman"/>
          <w:szCs w:val="24"/>
        </w:rPr>
        <w:t xml:space="preserve">Moreover, </w:t>
      </w:r>
      <w:r w:rsidRPr="00C80BFE" w:rsidR="00356D39">
        <w:rPr>
          <w:rFonts w:cs="Times New Roman"/>
          <w:szCs w:val="24"/>
        </w:rPr>
        <w:t>ELPC’s claim that elimination of the non-low-income DSM program “take[s] away customer’s [sic] ability to manage their bills”</w:t>
      </w:r>
      <w:r>
        <w:rPr>
          <w:rStyle w:val="FootnoteReference"/>
          <w:rFonts w:cs="Times New Roman"/>
          <w:szCs w:val="24"/>
        </w:rPr>
        <w:footnoteReference w:id="45"/>
      </w:r>
      <w:r w:rsidRPr="00C80BFE" w:rsidR="00356D39">
        <w:rPr>
          <w:rFonts w:cs="Times New Roman"/>
          <w:szCs w:val="24"/>
        </w:rPr>
        <w:t xml:space="preserve"> </w:t>
      </w:r>
      <w:r w:rsidRPr="00C80BFE" w:rsidR="005E54F0">
        <w:rPr>
          <w:rFonts w:cs="Times New Roman"/>
          <w:szCs w:val="24"/>
        </w:rPr>
        <w:t>lacks</w:t>
      </w:r>
      <w:r w:rsidRPr="00C80BFE" w:rsidR="00356D39">
        <w:rPr>
          <w:rFonts w:cs="Times New Roman"/>
          <w:szCs w:val="24"/>
        </w:rPr>
        <w:t xml:space="preserve"> merit. </w:t>
      </w:r>
      <w:r w:rsidRPr="00C80BFE" w:rsidR="008104CE">
        <w:rPr>
          <w:rFonts w:cs="Times New Roman"/>
          <w:szCs w:val="24"/>
        </w:rPr>
        <w:t>As noted,</w:t>
      </w:r>
      <w:r w:rsidRPr="00C80BFE" w:rsidR="009529F9">
        <w:rPr>
          <w:rFonts w:cs="Times New Roman"/>
          <w:szCs w:val="24"/>
        </w:rPr>
        <w:t xml:space="preserve"> all </w:t>
      </w:r>
      <w:r w:rsidRPr="00C80BFE" w:rsidR="008104CE">
        <w:rPr>
          <w:rFonts w:cs="Times New Roman"/>
          <w:szCs w:val="24"/>
        </w:rPr>
        <w:t xml:space="preserve">consumers will continue to have access to energy efficiency </w:t>
      </w:r>
      <w:r w:rsidRPr="00C80BFE" w:rsidR="009954C6">
        <w:rPr>
          <w:rFonts w:cs="Times New Roman"/>
          <w:szCs w:val="24"/>
        </w:rPr>
        <w:t xml:space="preserve">measures </w:t>
      </w:r>
      <w:r w:rsidRPr="00C80BFE" w:rsidR="009529F9">
        <w:rPr>
          <w:rFonts w:cs="Times New Roman"/>
          <w:szCs w:val="24"/>
        </w:rPr>
        <w:t xml:space="preserve">if they want them </w:t>
      </w:r>
      <w:r w:rsidRPr="00C80BFE" w:rsidR="008104CE">
        <w:rPr>
          <w:rFonts w:cs="Times New Roman"/>
          <w:szCs w:val="24"/>
        </w:rPr>
        <w:t>through the</w:t>
      </w:r>
      <w:r w:rsidRPr="00C80BFE" w:rsidR="00D210AB">
        <w:rPr>
          <w:rFonts w:cs="Times New Roman"/>
          <w:szCs w:val="24"/>
        </w:rPr>
        <w:t xml:space="preserve"> competitive marketplace. </w:t>
      </w:r>
      <w:r w:rsidRPr="00C80BFE" w:rsidR="009529F9">
        <w:rPr>
          <w:rFonts w:cs="Times New Roman"/>
          <w:szCs w:val="24"/>
        </w:rPr>
        <w:t>Furthermore</w:t>
      </w:r>
      <w:r w:rsidRPr="00C80BFE" w:rsidR="002F0E3B">
        <w:rPr>
          <w:rFonts w:cs="Times New Roman"/>
          <w:szCs w:val="24"/>
        </w:rPr>
        <w:t xml:space="preserve">, nothing in the </w:t>
      </w:r>
      <w:r w:rsidRPr="00C80BFE" w:rsidR="00AB27DC">
        <w:rPr>
          <w:rFonts w:cs="Times New Roman"/>
          <w:szCs w:val="24"/>
        </w:rPr>
        <w:t>S</w:t>
      </w:r>
      <w:r w:rsidRPr="00C80BFE" w:rsidR="002F0E3B">
        <w:rPr>
          <w:rFonts w:cs="Times New Roman"/>
          <w:szCs w:val="24"/>
        </w:rPr>
        <w:t xml:space="preserve">ettlement prevents Columbia from establishing </w:t>
      </w:r>
      <w:r w:rsidRPr="00C80BFE" w:rsidR="004074BB">
        <w:rPr>
          <w:rFonts w:cs="Times New Roman"/>
          <w:szCs w:val="24"/>
        </w:rPr>
        <w:t>non-consumer-funded</w:t>
      </w:r>
      <w:r w:rsidRPr="00C80BFE" w:rsidR="002F0E3B">
        <w:rPr>
          <w:rFonts w:cs="Times New Roman"/>
          <w:szCs w:val="24"/>
        </w:rPr>
        <w:t xml:space="preserve"> </w:t>
      </w:r>
      <w:r w:rsidRPr="00C80BFE" w:rsidR="004074BB">
        <w:rPr>
          <w:rFonts w:cs="Times New Roman"/>
          <w:szCs w:val="24"/>
        </w:rPr>
        <w:t xml:space="preserve">DSM </w:t>
      </w:r>
      <w:r w:rsidRPr="00C80BFE" w:rsidR="002F0E3B">
        <w:rPr>
          <w:rFonts w:cs="Times New Roman"/>
          <w:szCs w:val="24"/>
        </w:rPr>
        <w:t>program</w:t>
      </w:r>
      <w:r w:rsidRPr="00C80BFE" w:rsidR="00356D39">
        <w:rPr>
          <w:rFonts w:cs="Times New Roman"/>
          <w:szCs w:val="24"/>
        </w:rPr>
        <w:t>s</w:t>
      </w:r>
      <w:r w:rsidRPr="00C80BFE" w:rsidR="004074BB">
        <w:rPr>
          <w:rFonts w:cs="Times New Roman"/>
          <w:szCs w:val="24"/>
        </w:rPr>
        <w:t xml:space="preserve">, </w:t>
      </w:r>
      <w:r w:rsidRPr="00C80BFE" w:rsidR="004074BB">
        <w:rPr>
          <w:rFonts w:cs="Times New Roman"/>
          <w:i/>
          <w:iCs/>
          <w:szCs w:val="24"/>
        </w:rPr>
        <w:t xml:space="preserve">i.e. </w:t>
      </w:r>
      <w:r w:rsidRPr="00C80BFE" w:rsidR="004074BB">
        <w:rPr>
          <w:rFonts w:cs="Times New Roman"/>
          <w:szCs w:val="24"/>
        </w:rPr>
        <w:t xml:space="preserve">programs </w:t>
      </w:r>
      <w:r w:rsidRPr="00C80BFE" w:rsidR="00356D39">
        <w:rPr>
          <w:rFonts w:cs="Times New Roman"/>
          <w:szCs w:val="24"/>
        </w:rPr>
        <w:t>paid by Columbia’s</w:t>
      </w:r>
      <w:r w:rsidRPr="00C80BFE" w:rsidR="002F0E3B">
        <w:rPr>
          <w:rFonts w:cs="Times New Roman"/>
          <w:szCs w:val="24"/>
        </w:rPr>
        <w:t xml:space="preserve"> shareholder</w:t>
      </w:r>
      <w:r w:rsidRPr="00C80BFE" w:rsidR="00356D39">
        <w:rPr>
          <w:rFonts w:cs="Times New Roman"/>
          <w:szCs w:val="24"/>
        </w:rPr>
        <w:t>s</w:t>
      </w:r>
      <w:r w:rsidRPr="00C80BFE" w:rsidR="002F0E3B">
        <w:rPr>
          <w:rFonts w:cs="Times New Roman"/>
          <w:szCs w:val="24"/>
        </w:rPr>
        <w:t xml:space="preserve">. </w:t>
      </w:r>
      <w:r w:rsidRPr="00C80BFE" w:rsidR="00AD4FD7">
        <w:rPr>
          <w:rFonts w:cs="Times New Roman"/>
          <w:szCs w:val="24"/>
        </w:rPr>
        <w:t>Environmental Groups</w:t>
      </w:r>
      <w:r w:rsidRPr="00C80BFE" w:rsidR="004074BB">
        <w:rPr>
          <w:rFonts w:cs="Times New Roman"/>
          <w:szCs w:val="24"/>
        </w:rPr>
        <w:t>’ arguments should be rejected</w:t>
      </w:r>
      <w:r w:rsidRPr="00C80BFE" w:rsidR="00974CE3">
        <w:rPr>
          <w:rFonts w:cs="Times New Roman"/>
          <w:szCs w:val="24"/>
        </w:rPr>
        <w:t>,</w:t>
      </w:r>
      <w:r w:rsidRPr="00C80BFE" w:rsidR="004074BB">
        <w:rPr>
          <w:rFonts w:cs="Times New Roman"/>
          <w:szCs w:val="24"/>
        </w:rPr>
        <w:t xml:space="preserve"> and the Settlement should be approved without modification.</w:t>
      </w:r>
    </w:p>
    <w:p w:rsidR="00546324" w:rsidRPr="00C80BFE" w:rsidP="00C27A8C" w14:paraId="61556275" w14:textId="2778FA6F">
      <w:pPr>
        <w:pStyle w:val="ListParagraph"/>
        <w:numPr>
          <w:ilvl w:val="0"/>
          <w:numId w:val="28"/>
        </w:numPr>
        <w:spacing w:after="0" w:line="240" w:lineRule="auto"/>
        <w:ind w:left="2160" w:hanging="720"/>
        <w:rPr>
          <w:rFonts w:ascii="Times New Roman" w:hAnsi="Times New Roman" w:cs="Times New Roman"/>
          <w:b/>
          <w:bCs/>
          <w:sz w:val="24"/>
          <w:szCs w:val="24"/>
        </w:rPr>
      </w:pPr>
      <w:bookmarkStart w:id="9" w:name="_Toc123050547"/>
      <w:r w:rsidRPr="00C80BFE">
        <w:rPr>
          <w:rStyle w:val="Heading3Char"/>
        </w:rPr>
        <w:t xml:space="preserve">The PUCO should reject OPAE’s criticism </w:t>
      </w:r>
      <w:r w:rsidRPr="00C80BFE" w:rsidR="009954C6">
        <w:rPr>
          <w:rStyle w:val="Heading3Char"/>
        </w:rPr>
        <w:t>that the</w:t>
      </w:r>
      <w:r w:rsidRPr="00C80BFE">
        <w:rPr>
          <w:rStyle w:val="Heading3Char"/>
        </w:rPr>
        <w:t xml:space="preserve"> Settlement’s </w:t>
      </w:r>
      <w:r w:rsidRPr="00C80BFE" w:rsidR="000754BB">
        <w:rPr>
          <w:rStyle w:val="Heading3Char"/>
        </w:rPr>
        <w:t xml:space="preserve">funding (from consumers) </w:t>
      </w:r>
      <w:r w:rsidRPr="00C80BFE">
        <w:rPr>
          <w:rStyle w:val="Heading3Char"/>
        </w:rPr>
        <w:t>of</w:t>
      </w:r>
      <w:r w:rsidRPr="00C80BFE" w:rsidR="000044FD">
        <w:rPr>
          <w:rStyle w:val="Heading3Char"/>
        </w:rPr>
        <w:t xml:space="preserve"> over</w:t>
      </w:r>
      <w:r w:rsidRPr="00C80BFE">
        <w:rPr>
          <w:rStyle w:val="Heading3Char"/>
        </w:rPr>
        <w:t xml:space="preserve"> $70 million for the WarmChoice® </w:t>
      </w:r>
      <w:r w:rsidRPr="00C80BFE" w:rsidR="003D4FE7">
        <w:rPr>
          <w:rStyle w:val="Heading3Char"/>
        </w:rPr>
        <w:t>p</w:t>
      </w:r>
      <w:r w:rsidRPr="00C80BFE">
        <w:rPr>
          <w:rStyle w:val="Heading3Char"/>
        </w:rPr>
        <w:t>rogram</w:t>
      </w:r>
      <w:r w:rsidRPr="00C80BFE" w:rsidR="009954C6">
        <w:rPr>
          <w:rStyle w:val="Heading3Char"/>
        </w:rPr>
        <w:t xml:space="preserve"> is not enough</w:t>
      </w:r>
      <w:r w:rsidRPr="00C80BFE">
        <w:rPr>
          <w:rStyle w:val="Heading3Char"/>
        </w:rPr>
        <w:t>.</w:t>
      </w:r>
      <w:bookmarkEnd w:id="9"/>
    </w:p>
    <w:p w:rsidR="00356D39" w:rsidRPr="00C80BFE" w:rsidP="00356D39" w14:paraId="20A49DD2" w14:textId="3E5DBB25">
      <w:pPr>
        <w:spacing w:after="0" w:line="240" w:lineRule="auto"/>
        <w:rPr>
          <w:rFonts w:cs="Times New Roman"/>
          <w:b/>
          <w:bCs/>
          <w:szCs w:val="24"/>
        </w:rPr>
      </w:pPr>
    </w:p>
    <w:p w:rsidR="00D147A1" w:rsidRPr="00C80BFE" w:rsidP="00D147A1" w14:paraId="1DCA3894" w14:textId="5ABC9158">
      <w:pPr>
        <w:spacing w:after="0" w:line="480" w:lineRule="auto"/>
        <w:ind w:firstLine="720"/>
        <w:rPr>
          <w:rFonts w:cs="Times New Roman"/>
          <w:szCs w:val="24"/>
        </w:rPr>
      </w:pPr>
      <w:r w:rsidRPr="00C80BFE">
        <w:rPr>
          <w:rFonts w:cs="Times New Roman"/>
          <w:szCs w:val="24"/>
        </w:rPr>
        <w:t xml:space="preserve">The Settlement’s WarmChoice® provisions are tailored to provide energy saving weatherization services to low-income consumers most vulnerable to increasing costs </w:t>
      </w:r>
      <w:r w:rsidRPr="00C80BFE" w:rsidR="00357DEC">
        <w:rPr>
          <w:rFonts w:cs="Times New Roman"/>
          <w:szCs w:val="24"/>
        </w:rPr>
        <w:t xml:space="preserve">for </w:t>
      </w:r>
      <w:r w:rsidRPr="00C80BFE">
        <w:rPr>
          <w:rFonts w:cs="Times New Roman"/>
          <w:szCs w:val="24"/>
        </w:rPr>
        <w:t xml:space="preserve">utility services. </w:t>
      </w:r>
      <w:r w:rsidRPr="00C80BFE" w:rsidR="000044FD">
        <w:rPr>
          <w:rFonts w:cs="Times New Roman"/>
          <w:szCs w:val="24"/>
        </w:rPr>
        <w:t xml:space="preserve">To protect consumers, the Settlement </w:t>
      </w:r>
      <w:r w:rsidRPr="00C80BFE" w:rsidR="00AB27DC">
        <w:rPr>
          <w:rFonts w:cs="Times New Roman"/>
          <w:szCs w:val="24"/>
        </w:rPr>
        <w:t xml:space="preserve">package provides </w:t>
      </w:r>
      <w:r w:rsidRPr="00C80BFE" w:rsidR="006C149F">
        <w:rPr>
          <w:rFonts w:cs="Times New Roman"/>
          <w:szCs w:val="24"/>
        </w:rPr>
        <w:t>over $70 million for weatherization services for low-income consumers through Columbia’s WarmChoice® program</w:t>
      </w:r>
      <w:r w:rsidRPr="00C80BFE">
        <w:rPr>
          <w:rFonts w:cs="Times New Roman"/>
          <w:szCs w:val="24"/>
        </w:rPr>
        <w:t xml:space="preserve"> – a considerable amount of money at consumer expense</w:t>
      </w:r>
      <w:r w:rsidRPr="00C80BFE" w:rsidR="006C149F">
        <w:rPr>
          <w:rFonts w:cs="Times New Roman"/>
          <w:szCs w:val="24"/>
        </w:rPr>
        <w:t>.</w:t>
      </w:r>
      <w:r>
        <w:rPr>
          <w:rStyle w:val="FootnoteReference"/>
          <w:rFonts w:cs="Times New Roman"/>
          <w:szCs w:val="24"/>
        </w:rPr>
        <w:footnoteReference w:id="46"/>
      </w:r>
      <w:r w:rsidRPr="00C80BFE">
        <w:rPr>
          <w:rFonts w:cs="Times New Roman"/>
          <w:szCs w:val="24"/>
        </w:rPr>
        <w:t xml:space="preserve"> The Settlement also expands eligibility criteria for consumers with incomes 200% of the federal poverty level.</w:t>
      </w:r>
      <w:r>
        <w:rPr>
          <w:rStyle w:val="FootnoteReference"/>
          <w:rFonts w:cs="Times New Roman"/>
          <w:szCs w:val="24"/>
        </w:rPr>
        <w:footnoteReference w:id="47"/>
      </w:r>
      <w:r w:rsidRPr="00C80BFE">
        <w:rPr>
          <w:rFonts w:cs="Times New Roman"/>
          <w:szCs w:val="24"/>
        </w:rPr>
        <w:t xml:space="preserve"> </w:t>
      </w:r>
    </w:p>
    <w:p w:rsidR="00275F81" w:rsidRPr="00C80BFE" w:rsidP="00D147A1" w14:paraId="2743BE9A" w14:textId="3FD085DC">
      <w:pPr>
        <w:spacing w:after="0" w:line="480" w:lineRule="auto"/>
        <w:ind w:firstLine="720"/>
        <w:rPr>
          <w:rFonts w:cs="Times New Roman"/>
          <w:szCs w:val="24"/>
        </w:rPr>
      </w:pPr>
      <w:r w:rsidRPr="00C80BFE">
        <w:rPr>
          <w:rFonts w:cs="Times New Roman"/>
          <w:szCs w:val="24"/>
        </w:rPr>
        <w:t>OPAE</w:t>
      </w:r>
      <w:r w:rsidRPr="00C80BFE" w:rsidR="00D147A1">
        <w:rPr>
          <w:rFonts w:cs="Times New Roman"/>
          <w:szCs w:val="24"/>
        </w:rPr>
        <w:t xml:space="preserve"> (</w:t>
      </w:r>
      <w:r w:rsidRPr="00C80BFE" w:rsidR="0083124F">
        <w:rPr>
          <w:rFonts w:cs="Times New Roman"/>
          <w:szCs w:val="24"/>
        </w:rPr>
        <w:t>which is a group of weatherization providers)</w:t>
      </w:r>
      <w:r w:rsidRPr="00C80BFE">
        <w:rPr>
          <w:rFonts w:cs="Times New Roman"/>
          <w:szCs w:val="24"/>
        </w:rPr>
        <w:t xml:space="preserve"> does not oppose an expansion in the income eligibility requirements</w:t>
      </w:r>
      <w:r w:rsidRPr="00C80BFE" w:rsidR="0083124F">
        <w:rPr>
          <w:rFonts w:cs="Times New Roman"/>
          <w:szCs w:val="24"/>
        </w:rPr>
        <w:t>. But OPAE</w:t>
      </w:r>
      <w:r w:rsidRPr="00C80BFE">
        <w:rPr>
          <w:rFonts w:cs="Times New Roman"/>
          <w:szCs w:val="24"/>
        </w:rPr>
        <w:t xml:space="preserve"> argues that the budget for WarmChoice® is insufficient and</w:t>
      </w:r>
      <w:r w:rsidRPr="00C80BFE" w:rsidR="00D147A1">
        <w:rPr>
          <w:rFonts w:cs="Times New Roman"/>
          <w:szCs w:val="24"/>
        </w:rPr>
        <w:t xml:space="preserve"> it</w:t>
      </w:r>
      <w:r w:rsidRPr="00C80BFE">
        <w:rPr>
          <w:rFonts w:cs="Times New Roman"/>
          <w:szCs w:val="24"/>
        </w:rPr>
        <w:t xml:space="preserve"> criticizes other consumer protection provisions.</w:t>
      </w:r>
      <w:r>
        <w:rPr>
          <w:rStyle w:val="FootnoteReference"/>
          <w:rFonts w:cs="Times New Roman"/>
          <w:szCs w:val="24"/>
        </w:rPr>
        <w:footnoteReference w:id="48"/>
      </w:r>
      <w:r w:rsidRPr="00C80BFE" w:rsidR="006C149F">
        <w:rPr>
          <w:rFonts w:cs="Times New Roman"/>
          <w:szCs w:val="24"/>
        </w:rPr>
        <w:t xml:space="preserve"> </w:t>
      </w:r>
      <w:r w:rsidRPr="00C80BFE" w:rsidR="00E10133">
        <w:rPr>
          <w:rFonts w:cs="Times New Roman"/>
          <w:szCs w:val="24"/>
        </w:rPr>
        <w:t xml:space="preserve">OPAE’s </w:t>
      </w:r>
      <w:r w:rsidRPr="00C80BFE">
        <w:rPr>
          <w:rFonts w:cs="Times New Roman"/>
          <w:szCs w:val="24"/>
        </w:rPr>
        <w:t>arguments should be rejected</w:t>
      </w:r>
      <w:r w:rsidRPr="00C80BFE" w:rsidR="00E10133">
        <w:rPr>
          <w:rFonts w:cs="Times New Roman"/>
          <w:szCs w:val="24"/>
        </w:rPr>
        <w:t>, and the Settlement</w:t>
      </w:r>
      <w:r w:rsidRPr="00C80BFE" w:rsidR="00AB27DC">
        <w:rPr>
          <w:rFonts w:cs="Times New Roman"/>
          <w:szCs w:val="24"/>
        </w:rPr>
        <w:t xml:space="preserve"> package</w:t>
      </w:r>
      <w:r w:rsidRPr="00C80BFE" w:rsidR="00E10133">
        <w:rPr>
          <w:rFonts w:cs="Times New Roman"/>
          <w:szCs w:val="24"/>
        </w:rPr>
        <w:t xml:space="preserve"> </w:t>
      </w:r>
      <w:r w:rsidRPr="00C80BFE">
        <w:rPr>
          <w:rFonts w:cs="Times New Roman"/>
          <w:szCs w:val="24"/>
        </w:rPr>
        <w:t>should</w:t>
      </w:r>
      <w:r w:rsidRPr="00C80BFE" w:rsidR="00E10133">
        <w:rPr>
          <w:rFonts w:cs="Times New Roman"/>
          <w:szCs w:val="24"/>
        </w:rPr>
        <w:t xml:space="preserve"> be</w:t>
      </w:r>
      <w:r w:rsidRPr="00C80BFE">
        <w:rPr>
          <w:rFonts w:cs="Times New Roman"/>
          <w:szCs w:val="24"/>
        </w:rPr>
        <w:t xml:space="preserve"> approve</w:t>
      </w:r>
      <w:r w:rsidRPr="00C80BFE" w:rsidR="00E10133">
        <w:rPr>
          <w:rFonts w:cs="Times New Roman"/>
          <w:szCs w:val="24"/>
        </w:rPr>
        <w:t>d</w:t>
      </w:r>
      <w:r w:rsidRPr="00C80BFE">
        <w:rPr>
          <w:rFonts w:cs="Times New Roman"/>
          <w:szCs w:val="24"/>
        </w:rPr>
        <w:t xml:space="preserve"> without modification.</w:t>
      </w:r>
    </w:p>
    <w:p w:rsidR="00EC5B3A" w:rsidRPr="00C80BFE" w:rsidP="006C149F" w14:paraId="0D7183B3" w14:textId="2B4EF0ED">
      <w:pPr>
        <w:spacing w:after="0" w:line="480" w:lineRule="auto"/>
        <w:ind w:firstLine="720"/>
        <w:rPr>
          <w:rFonts w:cs="Times New Roman"/>
          <w:szCs w:val="24"/>
        </w:rPr>
      </w:pPr>
      <w:r w:rsidRPr="00C80BFE">
        <w:rPr>
          <w:rFonts w:cs="Times New Roman"/>
          <w:szCs w:val="24"/>
        </w:rPr>
        <w:t xml:space="preserve">As an initial matter, it is important to note that </w:t>
      </w:r>
      <w:r w:rsidRPr="00C80BFE" w:rsidR="00862C5C">
        <w:rPr>
          <w:rFonts w:cs="Times New Roman"/>
          <w:szCs w:val="24"/>
        </w:rPr>
        <w:t xml:space="preserve">WarmChoice® is not the only </w:t>
      </w:r>
      <w:r w:rsidRPr="00C80BFE" w:rsidR="00634491">
        <w:rPr>
          <w:rFonts w:cs="Times New Roman"/>
          <w:szCs w:val="24"/>
        </w:rPr>
        <w:t>weatherization</w:t>
      </w:r>
      <w:r w:rsidRPr="00C80BFE" w:rsidR="00862C5C">
        <w:rPr>
          <w:rFonts w:cs="Times New Roman"/>
          <w:szCs w:val="24"/>
        </w:rPr>
        <w:t xml:space="preserve"> funding source available to consumers. OPAE witness Peoples testified that:</w:t>
      </w:r>
    </w:p>
    <w:p w:rsidR="00862C5C" w:rsidRPr="00C80BFE" w:rsidP="00862C5C" w14:paraId="54FB938D" w14:textId="69CBDA44">
      <w:pPr>
        <w:spacing w:after="0" w:line="240" w:lineRule="auto"/>
        <w:ind w:left="720" w:right="720"/>
        <w:rPr>
          <w:rFonts w:cs="Times New Roman"/>
          <w:szCs w:val="24"/>
        </w:rPr>
      </w:pPr>
      <w:r w:rsidRPr="00C80BFE">
        <w:rPr>
          <w:rFonts w:cs="Times New Roman"/>
          <w:szCs w:val="24"/>
        </w:rPr>
        <w:t>WarmChoice providers in the state also operate the United States Department of Energy’s Home Weatherization assistance program which is coupled with the HWAP Enhancement program, the HWAP Weatherization Readiness Program and the USF Electric Partnership program.</w:t>
      </w:r>
      <w:r w:rsidRPr="00C80BFE" w:rsidR="003A386D">
        <w:rPr>
          <w:rFonts w:cs="Times New Roman"/>
          <w:szCs w:val="24"/>
        </w:rPr>
        <w:t xml:space="preserve"> Some of which operate to prevent deferral situations in a home to allow weatherization measures to take place. Another program that assists is the Housing Trust Fund/HAGP and CHIP programs.</w:t>
      </w:r>
      <w:r>
        <w:rPr>
          <w:rStyle w:val="FootnoteReference"/>
          <w:rFonts w:cs="Times New Roman"/>
          <w:szCs w:val="24"/>
        </w:rPr>
        <w:footnoteReference w:id="49"/>
      </w:r>
    </w:p>
    <w:p w:rsidR="003A386D" w:rsidRPr="00C80BFE" w:rsidP="00862C5C" w14:paraId="4C815FE8" w14:textId="1A493521">
      <w:pPr>
        <w:spacing w:after="0" w:line="240" w:lineRule="auto"/>
        <w:ind w:left="720" w:right="720"/>
        <w:rPr>
          <w:rFonts w:cs="Times New Roman"/>
          <w:szCs w:val="24"/>
        </w:rPr>
      </w:pPr>
    </w:p>
    <w:p w:rsidR="00634491" w:rsidRPr="00C80BFE" w:rsidP="003A386D" w14:paraId="6C63F352" w14:textId="16E35BEF">
      <w:pPr>
        <w:spacing w:after="0" w:line="240" w:lineRule="auto"/>
        <w:ind w:right="720"/>
        <w:rPr>
          <w:rFonts w:cs="Times New Roman"/>
          <w:szCs w:val="24"/>
        </w:rPr>
      </w:pPr>
      <w:r w:rsidRPr="00C80BFE">
        <w:rPr>
          <w:rFonts w:cs="Times New Roman"/>
          <w:szCs w:val="24"/>
        </w:rPr>
        <w:t>OPAE witness</w:t>
      </w:r>
      <w:r w:rsidRPr="00C80BFE" w:rsidR="003A386D">
        <w:rPr>
          <w:rFonts w:cs="Times New Roman"/>
          <w:szCs w:val="24"/>
        </w:rPr>
        <w:t xml:space="preserve"> Peoples further testified that:</w:t>
      </w:r>
    </w:p>
    <w:p w:rsidR="003A386D" w:rsidRPr="00C80BFE" w:rsidP="003A386D" w14:paraId="49DCE895" w14:textId="300AC7C3">
      <w:pPr>
        <w:spacing w:after="0" w:line="240" w:lineRule="auto"/>
        <w:ind w:right="720"/>
        <w:rPr>
          <w:rFonts w:cs="Times New Roman"/>
          <w:szCs w:val="24"/>
        </w:rPr>
      </w:pPr>
      <w:r w:rsidRPr="00C80BFE">
        <w:rPr>
          <w:rFonts w:cs="Times New Roman"/>
          <w:szCs w:val="24"/>
        </w:rPr>
        <w:t xml:space="preserve"> </w:t>
      </w:r>
    </w:p>
    <w:p w:rsidR="00634491" w:rsidRPr="00C80BFE" w:rsidP="00634491" w14:paraId="26E6EBB6" w14:textId="59FDF425">
      <w:pPr>
        <w:spacing w:after="0" w:line="240" w:lineRule="auto"/>
        <w:ind w:left="720" w:right="720"/>
        <w:rPr>
          <w:rFonts w:cs="Times New Roman"/>
          <w:szCs w:val="24"/>
        </w:rPr>
      </w:pPr>
      <w:r w:rsidRPr="00C80BFE">
        <w:rPr>
          <w:rFonts w:cs="Times New Roman"/>
          <w:szCs w:val="24"/>
        </w:rPr>
        <w:t>Most, if not all, WarmChoice administrators coordinate their weatherization efforts with other available funding sources upon intake as they bring new clients</w:t>
      </w:r>
      <w:r w:rsidRPr="00C80BFE">
        <w:rPr>
          <w:rFonts w:cs="Times New Roman"/>
          <w:szCs w:val="24"/>
        </w:rPr>
        <w:t xml:space="preserve"> </w:t>
      </w:r>
      <w:r w:rsidRPr="00C80BFE">
        <w:rPr>
          <w:rFonts w:cs="Times New Roman"/>
          <w:szCs w:val="24"/>
        </w:rPr>
        <w:t>into the WarmChoice program. This can, and often is, done as the home is inspected and evaluated to determine the measures needed to safely weatherize</w:t>
      </w:r>
      <w:r w:rsidRPr="00C80BFE">
        <w:rPr>
          <w:rFonts w:cs="Times New Roman"/>
          <w:szCs w:val="24"/>
        </w:rPr>
        <w:t xml:space="preserve"> </w:t>
      </w:r>
      <w:r w:rsidRPr="00C80BFE">
        <w:rPr>
          <w:rFonts w:cs="Times New Roman"/>
          <w:szCs w:val="24"/>
        </w:rPr>
        <w:t>the home and provide safe appliances.</w:t>
      </w:r>
      <w:r>
        <w:rPr>
          <w:rStyle w:val="FootnoteReference"/>
          <w:rFonts w:cs="Times New Roman"/>
          <w:szCs w:val="24"/>
        </w:rPr>
        <w:footnoteReference w:id="50"/>
      </w:r>
    </w:p>
    <w:p w:rsidR="00634491" w:rsidRPr="00C80BFE" w:rsidP="00634491" w14:paraId="191872EF" w14:textId="77777777">
      <w:pPr>
        <w:spacing w:after="0" w:line="240" w:lineRule="auto"/>
        <w:ind w:left="720" w:right="720"/>
        <w:rPr>
          <w:rFonts w:cs="Times New Roman"/>
          <w:szCs w:val="24"/>
        </w:rPr>
      </w:pPr>
    </w:p>
    <w:p w:rsidR="00634491" w:rsidRPr="00C80BFE" w:rsidP="00330D90" w14:paraId="45C275FE" w14:textId="5E10656A">
      <w:pPr>
        <w:spacing w:after="0" w:line="480" w:lineRule="auto"/>
        <w:ind w:firstLine="720"/>
        <w:rPr>
          <w:rFonts w:cs="Times New Roman"/>
          <w:szCs w:val="24"/>
        </w:rPr>
      </w:pPr>
      <w:r w:rsidRPr="00C80BFE">
        <w:rPr>
          <w:rFonts w:cs="Times New Roman"/>
          <w:szCs w:val="24"/>
        </w:rPr>
        <w:t>According to OPAE’s own testimony</w:t>
      </w:r>
      <w:r w:rsidRPr="00C80BFE" w:rsidR="0001493D">
        <w:rPr>
          <w:rFonts w:cs="Times New Roman"/>
          <w:szCs w:val="24"/>
        </w:rPr>
        <w:t>,</w:t>
      </w:r>
      <w:r w:rsidRPr="00C80BFE">
        <w:rPr>
          <w:rFonts w:cs="Times New Roman"/>
          <w:szCs w:val="24"/>
        </w:rPr>
        <w:t xml:space="preserve"> these additional sources of funding are available for weatherization services on top of the more than $70 million provided through WarmChoice® under the Settlement.</w:t>
      </w:r>
      <w:r w:rsidRPr="00C80BFE" w:rsidR="0001493D">
        <w:rPr>
          <w:rFonts w:cs="Times New Roman"/>
          <w:szCs w:val="24"/>
        </w:rPr>
        <w:t xml:space="preserve"> In light of the available funding sources for weatherization, it is difficult to </w:t>
      </w:r>
      <w:r w:rsidRPr="00C80BFE" w:rsidR="005E54F0">
        <w:rPr>
          <w:rFonts w:cs="Times New Roman"/>
          <w:szCs w:val="24"/>
        </w:rPr>
        <w:t xml:space="preserve">understand </w:t>
      </w:r>
      <w:r w:rsidRPr="00C80BFE" w:rsidR="0001493D">
        <w:rPr>
          <w:rFonts w:cs="Times New Roman"/>
          <w:szCs w:val="24"/>
        </w:rPr>
        <w:t xml:space="preserve">how the </w:t>
      </w:r>
      <w:r w:rsidRPr="00C80BFE" w:rsidR="0098225F">
        <w:rPr>
          <w:rFonts w:cs="Times New Roman"/>
          <w:szCs w:val="24"/>
        </w:rPr>
        <w:t>Settlement’s</w:t>
      </w:r>
      <w:r w:rsidRPr="00C80BFE" w:rsidR="0001493D">
        <w:rPr>
          <w:rFonts w:cs="Times New Roman"/>
          <w:szCs w:val="24"/>
        </w:rPr>
        <w:t xml:space="preserve"> WarmChoice®</w:t>
      </w:r>
      <w:r w:rsidRPr="00C80BFE" w:rsidR="0098225F">
        <w:rPr>
          <w:rFonts w:cs="Times New Roman"/>
          <w:szCs w:val="24"/>
        </w:rPr>
        <w:t xml:space="preserve"> provisions</w:t>
      </w:r>
      <w:r w:rsidRPr="00C80BFE" w:rsidR="00660806">
        <w:rPr>
          <w:rFonts w:cs="Times New Roman"/>
          <w:szCs w:val="24"/>
        </w:rPr>
        <w:t>, as part of a package,</w:t>
      </w:r>
      <w:r w:rsidRPr="00C80BFE" w:rsidR="0098225F">
        <w:rPr>
          <w:rFonts w:cs="Times New Roman"/>
          <w:szCs w:val="24"/>
        </w:rPr>
        <w:t xml:space="preserve"> </w:t>
      </w:r>
      <w:r w:rsidRPr="00C80BFE" w:rsidR="005E54F0">
        <w:rPr>
          <w:rFonts w:cs="Times New Roman"/>
          <w:szCs w:val="24"/>
        </w:rPr>
        <w:t xml:space="preserve">could not benefit </w:t>
      </w:r>
      <w:r w:rsidRPr="00C80BFE" w:rsidR="0098225F">
        <w:rPr>
          <w:rFonts w:cs="Times New Roman"/>
          <w:szCs w:val="24"/>
        </w:rPr>
        <w:t>consumers as OPAE claims.</w:t>
      </w:r>
      <w:r w:rsidRPr="00C80BFE" w:rsidR="00660806">
        <w:rPr>
          <w:rFonts w:cs="Times New Roman"/>
          <w:szCs w:val="24"/>
        </w:rPr>
        <w:t xml:space="preserve"> It does benefit consumers. </w:t>
      </w:r>
    </w:p>
    <w:p w:rsidR="007C5287" w:rsidRPr="00C80BFE" w:rsidP="00283A0D" w14:paraId="7301E544" w14:textId="67E4AF0D">
      <w:pPr>
        <w:spacing w:after="0" w:line="480" w:lineRule="auto"/>
        <w:ind w:firstLine="720"/>
        <w:rPr>
          <w:rFonts w:cs="Times New Roman"/>
          <w:szCs w:val="24"/>
        </w:rPr>
      </w:pPr>
      <w:r w:rsidRPr="00C80BFE">
        <w:rPr>
          <w:rFonts w:cs="Times New Roman"/>
          <w:szCs w:val="24"/>
        </w:rPr>
        <w:t xml:space="preserve">OPAE </w:t>
      </w:r>
      <w:r w:rsidRPr="00C80BFE" w:rsidR="00283A0D">
        <w:rPr>
          <w:rFonts w:cs="Times New Roman"/>
          <w:szCs w:val="24"/>
        </w:rPr>
        <w:t xml:space="preserve">also </w:t>
      </w:r>
      <w:r w:rsidRPr="00C80BFE">
        <w:rPr>
          <w:rFonts w:cs="Times New Roman"/>
          <w:szCs w:val="24"/>
        </w:rPr>
        <w:t xml:space="preserve">opposes the Settlement’s </w:t>
      </w:r>
      <w:r w:rsidRPr="00C80BFE" w:rsidR="00190933">
        <w:rPr>
          <w:rFonts w:cs="Times New Roman"/>
          <w:szCs w:val="24"/>
        </w:rPr>
        <w:t>provision that limits property owners to “receiving weatherization assistance for one rental premise per calendar year for the five-year term of the DSM program.”</w:t>
      </w:r>
      <w:r>
        <w:rPr>
          <w:rStyle w:val="FootnoteReference"/>
          <w:rFonts w:cs="Times New Roman"/>
          <w:szCs w:val="24"/>
        </w:rPr>
        <w:footnoteReference w:id="51"/>
      </w:r>
      <w:r w:rsidRPr="00C80BFE" w:rsidR="00190933">
        <w:rPr>
          <w:rFonts w:cs="Times New Roman"/>
          <w:szCs w:val="24"/>
        </w:rPr>
        <w:t xml:space="preserve"> </w:t>
      </w:r>
      <w:r w:rsidRPr="00C80BFE" w:rsidR="00D1584D">
        <w:rPr>
          <w:rFonts w:cs="Times New Roman"/>
          <w:szCs w:val="24"/>
        </w:rPr>
        <w:t>OPAE claims that t</w:t>
      </w:r>
      <w:r w:rsidRPr="00C80BFE" w:rsidR="00AA08F4">
        <w:rPr>
          <w:rFonts w:cs="Times New Roman"/>
          <w:szCs w:val="24"/>
        </w:rPr>
        <w:t>his provision is “discriminatory”</w:t>
      </w:r>
      <w:r w:rsidRPr="00C80BFE" w:rsidR="00F65873">
        <w:rPr>
          <w:rFonts w:cs="Times New Roman"/>
          <w:szCs w:val="24"/>
        </w:rPr>
        <w:t xml:space="preserve"> against renters because</w:t>
      </w:r>
      <w:r w:rsidRPr="00C80BFE">
        <w:rPr>
          <w:rFonts w:cs="Times New Roman"/>
          <w:szCs w:val="24"/>
        </w:rPr>
        <w:t>,</w:t>
      </w:r>
      <w:r w:rsidRPr="00C80BFE" w:rsidR="00F65873">
        <w:rPr>
          <w:rFonts w:cs="Times New Roman"/>
          <w:szCs w:val="24"/>
        </w:rPr>
        <w:t xml:space="preserve"> if a </w:t>
      </w:r>
      <w:r w:rsidRPr="00C80BFE">
        <w:rPr>
          <w:rFonts w:cs="Times New Roman"/>
          <w:szCs w:val="24"/>
        </w:rPr>
        <w:t xml:space="preserve">property </w:t>
      </w:r>
      <w:r w:rsidRPr="00C80BFE" w:rsidR="00F65873">
        <w:rPr>
          <w:rFonts w:cs="Times New Roman"/>
          <w:szCs w:val="24"/>
        </w:rPr>
        <w:t>has been weatherized under WarmChoice® within a year, then another renter would not also be able to receive weatherization.</w:t>
      </w:r>
      <w:r>
        <w:rPr>
          <w:rStyle w:val="FootnoteReference"/>
          <w:rFonts w:cs="Times New Roman"/>
          <w:szCs w:val="24"/>
        </w:rPr>
        <w:footnoteReference w:id="52"/>
      </w:r>
      <w:r w:rsidRPr="00C80BFE" w:rsidR="00D1584D">
        <w:rPr>
          <w:rFonts w:cs="Times New Roman"/>
          <w:szCs w:val="24"/>
        </w:rPr>
        <w:t xml:space="preserve"> </w:t>
      </w:r>
    </w:p>
    <w:p w:rsidR="00EE6452" w:rsidRPr="00C80BFE" w:rsidP="00283A0D" w14:paraId="4BD93883" w14:textId="7C0B8540">
      <w:pPr>
        <w:spacing w:after="0" w:line="480" w:lineRule="auto"/>
        <w:ind w:firstLine="720"/>
        <w:rPr>
          <w:rFonts w:cs="Times New Roman"/>
          <w:szCs w:val="24"/>
        </w:rPr>
      </w:pPr>
      <w:r w:rsidRPr="00C80BFE">
        <w:rPr>
          <w:rFonts w:cs="Times New Roman"/>
          <w:szCs w:val="24"/>
        </w:rPr>
        <w:t>However</w:t>
      </w:r>
      <w:r w:rsidRPr="00C80BFE" w:rsidR="00CE15E7">
        <w:rPr>
          <w:rFonts w:cs="Times New Roman"/>
          <w:szCs w:val="24"/>
        </w:rPr>
        <w:t xml:space="preserve">, </w:t>
      </w:r>
      <w:r w:rsidRPr="00C80BFE" w:rsidR="00F65873">
        <w:rPr>
          <w:rFonts w:cs="Times New Roman"/>
          <w:szCs w:val="24"/>
        </w:rPr>
        <w:t>once a</w:t>
      </w:r>
      <w:r w:rsidRPr="00C80BFE" w:rsidR="00CE15E7">
        <w:rPr>
          <w:rFonts w:cs="Times New Roman"/>
          <w:szCs w:val="24"/>
        </w:rPr>
        <w:t xml:space="preserve"> premise is weatherized, the benefits of that weatherization should </w:t>
      </w:r>
      <w:r w:rsidRPr="00C80BFE">
        <w:rPr>
          <w:rFonts w:cs="Times New Roman"/>
          <w:szCs w:val="24"/>
        </w:rPr>
        <w:t>continue for</w:t>
      </w:r>
      <w:r w:rsidRPr="00C80BFE" w:rsidR="00CE15E7">
        <w:rPr>
          <w:rFonts w:cs="Times New Roman"/>
          <w:szCs w:val="24"/>
        </w:rPr>
        <w:t xml:space="preserve"> </w:t>
      </w:r>
      <w:r w:rsidRPr="00C80BFE" w:rsidR="00906823">
        <w:rPr>
          <w:rFonts w:cs="Times New Roman"/>
          <w:szCs w:val="24"/>
        </w:rPr>
        <w:t>subsequent</w:t>
      </w:r>
      <w:r w:rsidRPr="00C80BFE" w:rsidR="00CE15E7">
        <w:rPr>
          <w:rFonts w:cs="Times New Roman"/>
          <w:szCs w:val="24"/>
        </w:rPr>
        <w:t xml:space="preserve"> renters as well.</w:t>
      </w:r>
      <w:r w:rsidRPr="00C80BFE" w:rsidR="00621A28">
        <w:rPr>
          <w:rFonts w:cs="Times New Roman"/>
          <w:szCs w:val="24"/>
        </w:rPr>
        <w:t xml:space="preserve"> OPAE witness Peoples testified that while the tenant is the beneficiary of the WarmChoice® program (because the tenant pays the utility bills), “[w]e are not seeing a high turnover in renters. Folks are not moving around as much as they used to.”</w:t>
      </w:r>
      <w:r>
        <w:rPr>
          <w:rStyle w:val="FootnoteReference"/>
          <w:rFonts w:cs="Times New Roman"/>
          <w:szCs w:val="24"/>
        </w:rPr>
        <w:footnoteReference w:id="53"/>
      </w:r>
      <w:r w:rsidRPr="00C80BFE" w:rsidR="00F65873">
        <w:rPr>
          <w:rFonts w:cs="Times New Roman"/>
          <w:szCs w:val="24"/>
        </w:rPr>
        <w:t xml:space="preserve"> </w:t>
      </w:r>
    </w:p>
    <w:p w:rsidR="0083124F" w:rsidRPr="00C80BFE" w:rsidP="00283A0D" w14:paraId="22506A7D" w14:textId="1DAD69A2">
      <w:pPr>
        <w:spacing w:after="0" w:line="480" w:lineRule="auto"/>
        <w:ind w:firstLine="720"/>
        <w:rPr>
          <w:rFonts w:cs="Times New Roman"/>
          <w:szCs w:val="24"/>
        </w:rPr>
      </w:pPr>
      <w:r w:rsidRPr="00C80BFE">
        <w:rPr>
          <w:rFonts w:cs="Times New Roman"/>
          <w:szCs w:val="24"/>
        </w:rPr>
        <w:t xml:space="preserve">But </w:t>
      </w:r>
      <w:r w:rsidRPr="00C80BFE" w:rsidR="00CE15E7">
        <w:rPr>
          <w:rFonts w:cs="Times New Roman"/>
          <w:szCs w:val="24"/>
        </w:rPr>
        <w:t>th</w:t>
      </w:r>
      <w:r w:rsidRPr="00C80BFE">
        <w:rPr>
          <w:rFonts w:cs="Times New Roman"/>
          <w:szCs w:val="24"/>
        </w:rPr>
        <w:t>is</w:t>
      </w:r>
      <w:r w:rsidRPr="00C80BFE" w:rsidR="004F13A2">
        <w:rPr>
          <w:rFonts w:cs="Times New Roman"/>
          <w:szCs w:val="24"/>
        </w:rPr>
        <w:t xml:space="preserve"> guardrail</w:t>
      </w:r>
      <w:r w:rsidRPr="00C80BFE" w:rsidR="00CE15E7">
        <w:rPr>
          <w:rFonts w:cs="Times New Roman"/>
          <w:szCs w:val="24"/>
        </w:rPr>
        <w:t xml:space="preserve"> </w:t>
      </w:r>
      <w:r w:rsidRPr="00C80BFE" w:rsidR="00BA5DA6">
        <w:rPr>
          <w:rFonts w:cs="Times New Roman"/>
          <w:szCs w:val="24"/>
        </w:rPr>
        <w:t>in the Settlement</w:t>
      </w:r>
      <w:r w:rsidRPr="00C80BFE" w:rsidR="00CE15E7">
        <w:rPr>
          <w:rFonts w:cs="Times New Roman"/>
          <w:szCs w:val="24"/>
        </w:rPr>
        <w:t xml:space="preserve"> </w:t>
      </w:r>
      <w:r w:rsidRPr="00C80BFE" w:rsidR="007C5287">
        <w:rPr>
          <w:rFonts w:cs="Times New Roman"/>
          <w:szCs w:val="24"/>
        </w:rPr>
        <w:t>avoid</w:t>
      </w:r>
      <w:r w:rsidRPr="00C80BFE">
        <w:rPr>
          <w:rFonts w:cs="Times New Roman"/>
          <w:szCs w:val="24"/>
        </w:rPr>
        <w:t>s</w:t>
      </w:r>
      <w:r w:rsidRPr="00C80BFE" w:rsidR="007C5287">
        <w:rPr>
          <w:rFonts w:cs="Times New Roman"/>
          <w:szCs w:val="24"/>
        </w:rPr>
        <w:t xml:space="preserve"> concentrating multiple program benefits in</w:t>
      </w:r>
      <w:r w:rsidRPr="00C80BFE">
        <w:rPr>
          <w:rFonts w:cs="Times New Roman"/>
          <w:szCs w:val="24"/>
        </w:rPr>
        <w:t xml:space="preserve"> individual</w:t>
      </w:r>
      <w:r w:rsidRPr="00C80BFE" w:rsidR="007C5287">
        <w:rPr>
          <w:rFonts w:cs="Times New Roman"/>
          <w:szCs w:val="24"/>
        </w:rPr>
        <w:t xml:space="preserve"> property owners. It should be prohibited that these public funds</w:t>
      </w:r>
      <w:r w:rsidRPr="00C80BFE">
        <w:rPr>
          <w:rFonts w:cs="Times New Roman"/>
          <w:szCs w:val="24"/>
        </w:rPr>
        <w:t xml:space="preserve"> could be used in reality or in appearance to enrich </w:t>
      </w:r>
      <w:r w:rsidRPr="00C80BFE">
        <w:rPr>
          <w:rFonts w:cs="Times New Roman"/>
          <w:szCs w:val="24"/>
        </w:rPr>
        <w:t xml:space="preserve">fewer </w:t>
      </w:r>
      <w:r w:rsidRPr="00C80BFE">
        <w:rPr>
          <w:rFonts w:cs="Times New Roman"/>
          <w:szCs w:val="24"/>
        </w:rPr>
        <w:t>property owners</w:t>
      </w:r>
      <w:r w:rsidRPr="00C80BFE">
        <w:rPr>
          <w:rFonts w:cs="Times New Roman"/>
          <w:szCs w:val="24"/>
        </w:rPr>
        <w:t xml:space="preserve"> rather than more property owners</w:t>
      </w:r>
      <w:r w:rsidRPr="00C80BFE">
        <w:rPr>
          <w:rFonts w:cs="Times New Roman"/>
          <w:szCs w:val="24"/>
        </w:rPr>
        <w:t xml:space="preserve">. </w:t>
      </w:r>
      <w:r w:rsidRPr="00C80BFE">
        <w:rPr>
          <w:rFonts w:cs="Times New Roman"/>
          <w:szCs w:val="24"/>
        </w:rPr>
        <w:t>T</w:t>
      </w:r>
      <w:r w:rsidRPr="00C80BFE">
        <w:rPr>
          <w:rFonts w:cs="Times New Roman"/>
          <w:szCs w:val="24"/>
        </w:rPr>
        <w:t>his Settlement term would help diversify benefits to more rather than fewer property owners.</w:t>
      </w:r>
      <w:r w:rsidRPr="00C80BFE" w:rsidR="007C5287">
        <w:rPr>
          <w:rFonts w:cs="Times New Roman"/>
          <w:szCs w:val="24"/>
        </w:rPr>
        <w:t xml:space="preserve"> </w:t>
      </w:r>
    </w:p>
    <w:p w:rsidR="00AA08F4" w:rsidRPr="00C80BFE" w:rsidP="00283A0D" w14:paraId="4A2CFA19" w14:textId="415FD0E7">
      <w:pPr>
        <w:spacing w:after="0" w:line="480" w:lineRule="auto"/>
        <w:ind w:firstLine="720"/>
        <w:rPr>
          <w:rFonts w:cs="Times New Roman"/>
          <w:szCs w:val="24"/>
        </w:rPr>
      </w:pPr>
      <w:r w:rsidRPr="00C80BFE">
        <w:rPr>
          <w:rFonts w:cs="Times New Roman"/>
          <w:szCs w:val="24"/>
        </w:rPr>
        <w:t>It’s the public’s money that is funding this program. There should be guardrails, including the Settlement’s terms, protecting how the public’s money is spent.</w:t>
      </w:r>
    </w:p>
    <w:p w:rsidR="004F13A2" w:rsidRPr="00C80BFE" w:rsidP="00412178" w14:paraId="1D3FA74D" w14:textId="6EC0DC58">
      <w:pPr>
        <w:spacing w:after="0" w:line="480" w:lineRule="auto"/>
        <w:ind w:firstLine="720"/>
        <w:rPr>
          <w:rFonts w:cs="Times New Roman"/>
          <w:szCs w:val="24"/>
        </w:rPr>
      </w:pPr>
      <w:r w:rsidRPr="00C80BFE">
        <w:rPr>
          <w:rFonts w:cs="Times New Roman"/>
          <w:szCs w:val="24"/>
        </w:rPr>
        <w:t>OPAE further</w:t>
      </w:r>
      <w:r w:rsidRPr="00C80BFE" w:rsidR="00283A0D">
        <w:rPr>
          <w:rFonts w:cs="Times New Roman"/>
          <w:szCs w:val="24"/>
        </w:rPr>
        <w:t xml:space="preserve"> claims</w:t>
      </w:r>
      <w:r w:rsidRPr="00C80BFE">
        <w:rPr>
          <w:rFonts w:cs="Times New Roman"/>
          <w:szCs w:val="24"/>
        </w:rPr>
        <w:t xml:space="preserve"> the Settlement’s audit provisions for the WarmChoice® program</w:t>
      </w:r>
      <w:r w:rsidRPr="00C80BFE" w:rsidR="00283A0D">
        <w:rPr>
          <w:rFonts w:cs="Times New Roman"/>
          <w:szCs w:val="24"/>
        </w:rPr>
        <w:t xml:space="preserve"> are an unnecessary expense to the WarmChoice® budget</w:t>
      </w:r>
      <w:r w:rsidRPr="00C80BFE">
        <w:rPr>
          <w:rFonts w:cs="Times New Roman"/>
          <w:szCs w:val="24"/>
        </w:rPr>
        <w:t>.</w:t>
      </w:r>
      <w:r>
        <w:rPr>
          <w:rStyle w:val="FootnoteReference"/>
          <w:rFonts w:cs="Times New Roman"/>
          <w:szCs w:val="24"/>
        </w:rPr>
        <w:footnoteReference w:id="54"/>
      </w:r>
      <w:r w:rsidRPr="00C80BFE">
        <w:rPr>
          <w:rFonts w:cs="Times New Roman"/>
          <w:szCs w:val="24"/>
        </w:rPr>
        <w:t xml:space="preserve"> Those arguments should be rejected too. </w:t>
      </w:r>
      <w:r w:rsidRPr="00C80BFE" w:rsidR="00E63FCA">
        <w:rPr>
          <w:rFonts w:cs="Times New Roman"/>
          <w:szCs w:val="24"/>
        </w:rPr>
        <w:t xml:space="preserve">Specifically, the Settlement requires annual audits to ensure the accuracy </w:t>
      </w:r>
      <w:r w:rsidRPr="00C80BFE" w:rsidR="006A68CF">
        <w:rPr>
          <w:rFonts w:cs="Times New Roman"/>
          <w:szCs w:val="24"/>
        </w:rPr>
        <w:t>and reasonableness of WarmChoice® expenses.</w:t>
      </w:r>
      <w:r>
        <w:rPr>
          <w:rStyle w:val="FootnoteReference"/>
          <w:rFonts w:cs="Times New Roman"/>
          <w:szCs w:val="24"/>
        </w:rPr>
        <w:footnoteReference w:id="55"/>
      </w:r>
      <w:r w:rsidRPr="00C80BFE" w:rsidR="006A68CF">
        <w:rPr>
          <w:rFonts w:cs="Times New Roman"/>
          <w:szCs w:val="24"/>
        </w:rPr>
        <w:t xml:space="preserve"> </w:t>
      </w:r>
      <w:r w:rsidRPr="00C80BFE" w:rsidR="0005385D">
        <w:rPr>
          <w:rFonts w:cs="Times New Roman"/>
          <w:szCs w:val="24"/>
        </w:rPr>
        <w:t>In addition, the Settlement requires a management audit at the mid-point and end of the five</w:t>
      </w:r>
      <w:r w:rsidRPr="00C80BFE" w:rsidR="007B69EC">
        <w:rPr>
          <w:rFonts w:cs="Times New Roman"/>
          <w:szCs w:val="24"/>
        </w:rPr>
        <w:t>-</w:t>
      </w:r>
      <w:r w:rsidRPr="00C80BFE" w:rsidR="0005385D">
        <w:rPr>
          <w:rFonts w:cs="Times New Roman"/>
          <w:szCs w:val="24"/>
        </w:rPr>
        <w:t>year term.</w:t>
      </w:r>
      <w:r>
        <w:rPr>
          <w:rStyle w:val="FootnoteReference"/>
          <w:rFonts w:cs="Times New Roman"/>
          <w:szCs w:val="24"/>
        </w:rPr>
        <w:footnoteReference w:id="56"/>
      </w:r>
      <w:r w:rsidRPr="00C80BFE">
        <w:rPr>
          <w:rFonts w:cs="Times New Roman"/>
          <w:szCs w:val="24"/>
        </w:rPr>
        <w:t xml:space="preserve"> </w:t>
      </w:r>
    </w:p>
    <w:p w:rsidR="00283A0D" w:rsidRPr="00C80BFE" w:rsidP="00412178" w14:paraId="6548E294" w14:textId="52FA5312">
      <w:pPr>
        <w:spacing w:after="0" w:line="480" w:lineRule="auto"/>
        <w:ind w:firstLine="720"/>
        <w:rPr>
          <w:rFonts w:cs="Times New Roman"/>
          <w:szCs w:val="24"/>
        </w:rPr>
      </w:pPr>
      <w:r w:rsidRPr="00C80BFE">
        <w:rPr>
          <w:rFonts w:cs="Times New Roman"/>
          <w:szCs w:val="24"/>
        </w:rPr>
        <w:t>These a</w:t>
      </w:r>
      <w:r w:rsidRPr="00C80BFE">
        <w:rPr>
          <w:rFonts w:cs="Times New Roman"/>
          <w:szCs w:val="24"/>
        </w:rPr>
        <w:t xml:space="preserve">udits are </w:t>
      </w:r>
      <w:r w:rsidRPr="00C80BFE" w:rsidR="004F13A2">
        <w:rPr>
          <w:rFonts w:cs="Times New Roman"/>
          <w:szCs w:val="24"/>
        </w:rPr>
        <w:t xml:space="preserve">appropriate as guardrails </w:t>
      </w:r>
      <w:r w:rsidRPr="00C80BFE">
        <w:rPr>
          <w:rFonts w:cs="Times New Roman"/>
          <w:szCs w:val="24"/>
        </w:rPr>
        <w:t xml:space="preserve">to ensure that the </w:t>
      </w:r>
      <w:r w:rsidRPr="00C80BFE" w:rsidR="004F13A2">
        <w:rPr>
          <w:rFonts w:cs="Times New Roman"/>
          <w:szCs w:val="24"/>
        </w:rPr>
        <w:t xml:space="preserve">use of public funds for the </w:t>
      </w:r>
      <w:r w:rsidRPr="00C80BFE">
        <w:rPr>
          <w:rFonts w:cs="Times New Roman"/>
          <w:szCs w:val="24"/>
        </w:rPr>
        <w:t xml:space="preserve">WarmChoice® program </w:t>
      </w:r>
      <w:r w:rsidRPr="00C80BFE" w:rsidR="004F13A2">
        <w:rPr>
          <w:rFonts w:cs="Times New Roman"/>
          <w:szCs w:val="24"/>
        </w:rPr>
        <w:t>is</w:t>
      </w:r>
      <w:r w:rsidRPr="00C80BFE">
        <w:rPr>
          <w:rFonts w:cs="Times New Roman"/>
          <w:szCs w:val="24"/>
        </w:rPr>
        <w:t xml:space="preserve"> reasonable and that </w:t>
      </w:r>
      <w:r w:rsidRPr="00C80BFE" w:rsidR="004F13A2">
        <w:rPr>
          <w:rFonts w:cs="Times New Roman"/>
          <w:szCs w:val="24"/>
        </w:rPr>
        <w:t xml:space="preserve">the </w:t>
      </w:r>
      <w:r w:rsidRPr="00C80BFE">
        <w:rPr>
          <w:rFonts w:cs="Times New Roman"/>
          <w:szCs w:val="24"/>
        </w:rPr>
        <w:t xml:space="preserve">program is operated prudently. The audit provisions </w:t>
      </w:r>
      <w:r w:rsidRPr="00C80BFE" w:rsidR="0083124F">
        <w:rPr>
          <w:rFonts w:cs="Times New Roman"/>
          <w:szCs w:val="24"/>
        </w:rPr>
        <w:t>protect</w:t>
      </w:r>
      <w:r w:rsidRPr="00C80BFE">
        <w:rPr>
          <w:rFonts w:cs="Times New Roman"/>
          <w:szCs w:val="24"/>
        </w:rPr>
        <w:t xml:space="preserve"> consumers</w:t>
      </w:r>
      <w:r w:rsidRPr="00C80BFE" w:rsidR="0083124F">
        <w:rPr>
          <w:rFonts w:cs="Times New Roman"/>
          <w:szCs w:val="24"/>
        </w:rPr>
        <w:t>. T</w:t>
      </w:r>
      <w:r w:rsidRPr="00C80BFE" w:rsidR="001E2855">
        <w:rPr>
          <w:rFonts w:cs="Times New Roman"/>
          <w:szCs w:val="24"/>
        </w:rPr>
        <w:t xml:space="preserve">hey </w:t>
      </w:r>
      <w:r w:rsidRPr="00C80BFE" w:rsidR="002F4CA0">
        <w:rPr>
          <w:rFonts w:cs="Times New Roman"/>
          <w:szCs w:val="24"/>
        </w:rPr>
        <w:t xml:space="preserve">act as a safeguard for consumers to help assure that </w:t>
      </w:r>
      <w:r w:rsidRPr="00C80BFE" w:rsidR="001E2855">
        <w:rPr>
          <w:rFonts w:cs="Times New Roman"/>
          <w:szCs w:val="24"/>
        </w:rPr>
        <w:t>the</w:t>
      </w:r>
      <w:r w:rsidRPr="00C80BFE" w:rsidR="004F13A2">
        <w:rPr>
          <w:rFonts w:cs="Times New Roman"/>
          <w:szCs w:val="24"/>
        </w:rPr>
        <w:t xml:space="preserve"> public’s</w:t>
      </w:r>
      <w:r w:rsidRPr="00C80BFE" w:rsidR="001E2855">
        <w:rPr>
          <w:rFonts w:cs="Times New Roman"/>
          <w:szCs w:val="24"/>
        </w:rPr>
        <w:t xml:space="preserve"> funds are being</w:t>
      </w:r>
      <w:r w:rsidRPr="00C80BFE" w:rsidR="00DD0529">
        <w:rPr>
          <w:rFonts w:cs="Times New Roman"/>
          <w:szCs w:val="24"/>
        </w:rPr>
        <w:t xml:space="preserve"> expended prudently</w:t>
      </w:r>
      <w:r w:rsidRPr="00C80BFE">
        <w:rPr>
          <w:rFonts w:cs="Times New Roman"/>
          <w:szCs w:val="24"/>
        </w:rPr>
        <w:t>.</w:t>
      </w:r>
      <w:r w:rsidRPr="00C80BFE" w:rsidR="0083124F">
        <w:rPr>
          <w:rFonts w:cs="Times New Roman"/>
          <w:szCs w:val="24"/>
        </w:rPr>
        <w:t xml:space="preserve"> Audits are a typical regulatory practice. This program that is funded with public money should be transparent, as furthered by the Settlement with the audits.</w:t>
      </w:r>
    </w:p>
    <w:p w:rsidR="00594916" w:rsidRPr="00C80BFE" w:rsidP="00EC5B3A" w14:paraId="0F3AC649" w14:textId="1B2C2E7A">
      <w:pPr>
        <w:spacing w:after="0" w:line="480" w:lineRule="auto"/>
        <w:ind w:firstLine="720"/>
        <w:rPr>
          <w:rFonts w:cs="Times New Roman"/>
          <w:szCs w:val="24"/>
        </w:rPr>
      </w:pPr>
      <w:r w:rsidRPr="00C80BFE">
        <w:rPr>
          <w:rFonts w:cs="Times New Roman"/>
          <w:szCs w:val="24"/>
        </w:rPr>
        <w:t xml:space="preserve">In short, </w:t>
      </w:r>
      <w:r w:rsidRPr="00C80BFE" w:rsidR="00EC5B3A">
        <w:rPr>
          <w:rFonts w:cs="Times New Roman"/>
          <w:szCs w:val="24"/>
        </w:rPr>
        <w:t xml:space="preserve">OPAE’s </w:t>
      </w:r>
      <w:r w:rsidRPr="00C80BFE" w:rsidR="0083124F">
        <w:rPr>
          <w:rFonts w:cs="Times New Roman"/>
          <w:szCs w:val="24"/>
        </w:rPr>
        <w:t xml:space="preserve">lack of gratitude and its </w:t>
      </w:r>
      <w:r w:rsidRPr="00C80BFE" w:rsidR="00EC5B3A">
        <w:rPr>
          <w:rFonts w:cs="Times New Roman"/>
          <w:szCs w:val="24"/>
        </w:rPr>
        <w:t xml:space="preserve">criticisms of the Settlement’s </w:t>
      </w:r>
      <w:r w:rsidRPr="00C80BFE" w:rsidR="004F13A2">
        <w:rPr>
          <w:rFonts w:cs="Times New Roman"/>
          <w:szCs w:val="24"/>
        </w:rPr>
        <w:t>term for</w:t>
      </w:r>
      <w:r w:rsidRPr="00C80BFE" w:rsidR="00E203DE">
        <w:rPr>
          <w:rFonts w:cs="Times New Roman"/>
          <w:szCs w:val="24"/>
        </w:rPr>
        <w:t xml:space="preserve"> </w:t>
      </w:r>
      <w:r w:rsidRPr="00C80BFE" w:rsidR="004F13A2">
        <w:rPr>
          <w:rFonts w:cs="Times New Roman"/>
          <w:szCs w:val="24"/>
        </w:rPr>
        <w:t xml:space="preserve">more than $70 million in </w:t>
      </w:r>
      <w:r w:rsidRPr="00C80BFE" w:rsidR="00EC5B3A">
        <w:rPr>
          <w:rFonts w:cs="Times New Roman"/>
          <w:szCs w:val="24"/>
        </w:rPr>
        <w:t>WarmChoice®</w:t>
      </w:r>
      <w:r w:rsidRPr="00C80BFE">
        <w:rPr>
          <w:rFonts w:cs="Times New Roman"/>
          <w:szCs w:val="24"/>
        </w:rPr>
        <w:t xml:space="preserve"> </w:t>
      </w:r>
      <w:r w:rsidRPr="00C80BFE" w:rsidR="004F13A2">
        <w:rPr>
          <w:rFonts w:cs="Times New Roman"/>
          <w:szCs w:val="24"/>
        </w:rPr>
        <w:t xml:space="preserve">funding </w:t>
      </w:r>
      <w:r w:rsidRPr="00C80BFE">
        <w:rPr>
          <w:rFonts w:cs="Times New Roman"/>
          <w:szCs w:val="24"/>
        </w:rPr>
        <w:t>are</w:t>
      </w:r>
      <w:r w:rsidRPr="00C80BFE" w:rsidR="00EC5B3A">
        <w:rPr>
          <w:rFonts w:cs="Times New Roman"/>
          <w:szCs w:val="24"/>
        </w:rPr>
        <w:t xml:space="preserve"> </w:t>
      </w:r>
      <w:r w:rsidRPr="00C80BFE" w:rsidR="004F13A2">
        <w:rPr>
          <w:rFonts w:cs="Times New Roman"/>
          <w:szCs w:val="24"/>
        </w:rPr>
        <w:t xml:space="preserve">out of line and are </w:t>
      </w:r>
      <w:r w:rsidRPr="00C80BFE" w:rsidR="00EC5B3A">
        <w:rPr>
          <w:rFonts w:cs="Times New Roman"/>
          <w:szCs w:val="24"/>
        </w:rPr>
        <w:t>no</w:t>
      </w:r>
      <w:r w:rsidRPr="00C80BFE" w:rsidR="004F13A2">
        <w:rPr>
          <w:rFonts w:cs="Times New Roman"/>
          <w:szCs w:val="24"/>
        </w:rPr>
        <w:t>t a</w:t>
      </w:r>
      <w:r w:rsidRPr="00C80BFE" w:rsidR="00EC5B3A">
        <w:rPr>
          <w:rFonts w:cs="Times New Roman"/>
          <w:szCs w:val="24"/>
        </w:rPr>
        <w:t xml:space="preserve"> reason to reject the Settlement.</w:t>
      </w:r>
      <w:r w:rsidRPr="00C80BFE" w:rsidR="004F13A2">
        <w:rPr>
          <w:rFonts w:cs="Times New Roman"/>
          <w:szCs w:val="24"/>
        </w:rPr>
        <w:t xml:space="preserve"> If anything, the </w:t>
      </w:r>
      <w:r w:rsidRPr="00C80BFE">
        <w:rPr>
          <w:rFonts w:cs="Times New Roman"/>
          <w:szCs w:val="24"/>
        </w:rPr>
        <w:t xml:space="preserve">significant </w:t>
      </w:r>
      <w:r w:rsidRPr="00C80BFE" w:rsidR="004F13A2">
        <w:rPr>
          <w:rFonts w:cs="Times New Roman"/>
          <w:szCs w:val="24"/>
        </w:rPr>
        <w:t>program funding for low-income consumers is another reason to approve the Settlement.</w:t>
      </w:r>
      <w:r w:rsidRPr="00C80BFE" w:rsidR="00EC5B3A">
        <w:rPr>
          <w:rFonts w:cs="Times New Roman"/>
          <w:szCs w:val="24"/>
        </w:rPr>
        <w:t xml:space="preserve"> </w:t>
      </w:r>
    </w:p>
    <w:p w:rsidR="00EC5B3A" w:rsidRPr="00C80BFE" w:rsidP="00EC5B3A" w14:paraId="1EC0A263" w14:textId="7C77E743">
      <w:pPr>
        <w:spacing w:after="0" w:line="480" w:lineRule="auto"/>
        <w:ind w:firstLine="720"/>
        <w:rPr>
          <w:rFonts w:cs="Times New Roman"/>
          <w:szCs w:val="24"/>
        </w:rPr>
      </w:pPr>
      <w:r w:rsidRPr="00C80BFE">
        <w:rPr>
          <w:rFonts w:cs="Times New Roman"/>
          <w:szCs w:val="24"/>
        </w:rPr>
        <w:t>As noted, the</w:t>
      </w:r>
      <w:r w:rsidRPr="00C80BFE">
        <w:rPr>
          <w:rFonts w:cs="Times New Roman"/>
          <w:szCs w:val="24"/>
        </w:rPr>
        <w:t xml:space="preserve"> PUCO has held “the second part of the three-part test is not whether there are different or additional provisions that would better benefit ratepayers and the public interest but whether the Stipulation, as a package, benefits ratepayers and the public interest.”</w:t>
      </w:r>
      <w:r>
        <w:rPr>
          <w:rStyle w:val="FootnoteReference"/>
          <w:rFonts w:cs="Times New Roman"/>
          <w:szCs w:val="24"/>
        </w:rPr>
        <w:footnoteReference w:id="57"/>
      </w:r>
      <w:r w:rsidRPr="00C80BFE">
        <w:rPr>
          <w:rFonts w:cs="Times New Roman"/>
          <w:szCs w:val="24"/>
        </w:rPr>
        <w:t xml:space="preserve"> The Settlement, including the WarmChoice® provisions, benefits consumers</w:t>
      </w:r>
      <w:r w:rsidRPr="00C80BFE" w:rsidR="002F4CA0">
        <w:rPr>
          <w:rFonts w:cs="Times New Roman"/>
          <w:szCs w:val="24"/>
        </w:rPr>
        <w:t xml:space="preserve"> as a package </w:t>
      </w:r>
      <w:r w:rsidRPr="00C80BFE">
        <w:rPr>
          <w:rFonts w:cs="Times New Roman"/>
          <w:szCs w:val="24"/>
        </w:rPr>
        <w:t>and should be approved.</w:t>
      </w:r>
    </w:p>
    <w:p w:rsidR="00412178" w:rsidRPr="00C80BFE" w:rsidP="0076385F" w14:paraId="09823C20" w14:textId="0E043B71">
      <w:pPr>
        <w:pStyle w:val="ListParagraph"/>
        <w:numPr>
          <w:ilvl w:val="0"/>
          <w:numId w:val="28"/>
        </w:numPr>
        <w:spacing w:after="0" w:line="240" w:lineRule="auto"/>
        <w:ind w:left="2160" w:hanging="720"/>
        <w:rPr>
          <w:rFonts w:ascii="Times New Roman" w:hAnsi="Times New Roman" w:cs="Times New Roman"/>
          <w:b/>
          <w:bCs/>
          <w:sz w:val="24"/>
          <w:szCs w:val="24"/>
        </w:rPr>
      </w:pPr>
      <w:bookmarkStart w:id="10" w:name="_Toc123050548"/>
      <w:r w:rsidRPr="00C80BFE">
        <w:rPr>
          <w:rStyle w:val="Heading3Char"/>
        </w:rPr>
        <w:t>The Settlement’s bill payment assistance program</w:t>
      </w:r>
      <w:r w:rsidRPr="00C80BFE" w:rsidR="00DD7AB5">
        <w:rPr>
          <w:rStyle w:val="Heading3Char"/>
        </w:rPr>
        <w:t>, as part of the package,</w:t>
      </w:r>
      <w:r w:rsidRPr="00C80BFE">
        <w:rPr>
          <w:rStyle w:val="Heading3Char"/>
        </w:rPr>
        <w:t xml:space="preserve"> will benefit </w:t>
      </w:r>
      <w:r w:rsidRPr="00C80BFE" w:rsidR="00594916">
        <w:rPr>
          <w:rStyle w:val="Heading3Char"/>
        </w:rPr>
        <w:t xml:space="preserve">low-income </w:t>
      </w:r>
      <w:r w:rsidRPr="00C80BFE">
        <w:rPr>
          <w:rStyle w:val="Heading3Char"/>
        </w:rPr>
        <w:t xml:space="preserve">consumers who struggle to </w:t>
      </w:r>
      <w:r w:rsidRPr="00C80BFE" w:rsidR="0083124F">
        <w:rPr>
          <w:rStyle w:val="Heading3Char"/>
        </w:rPr>
        <w:t>stay connected to</w:t>
      </w:r>
      <w:r w:rsidRPr="00C80BFE">
        <w:rPr>
          <w:rStyle w:val="Heading3Char"/>
        </w:rPr>
        <w:t xml:space="preserve"> their essential natural gas distribution service.</w:t>
      </w:r>
      <w:bookmarkEnd w:id="10"/>
      <w:r w:rsidRPr="00C80BFE">
        <w:rPr>
          <w:rFonts w:ascii="Times New Roman" w:hAnsi="Times New Roman" w:cs="Times New Roman"/>
          <w:b/>
          <w:bCs/>
          <w:sz w:val="24"/>
          <w:szCs w:val="24"/>
        </w:rPr>
        <w:t xml:space="preserve"> </w:t>
      </w:r>
    </w:p>
    <w:p w:rsidR="00051971" w:rsidRPr="00C80BFE" w:rsidP="00CB0EBA" w14:paraId="7EC4F9C8" w14:textId="4FFA7949">
      <w:pPr>
        <w:spacing w:before="240" w:after="0" w:line="480" w:lineRule="auto"/>
        <w:ind w:firstLine="720"/>
        <w:rPr>
          <w:rFonts w:cs="Times New Roman"/>
          <w:szCs w:val="24"/>
        </w:rPr>
      </w:pPr>
      <w:r w:rsidRPr="00C80BFE">
        <w:rPr>
          <w:rFonts w:cs="Times New Roman"/>
          <w:szCs w:val="24"/>
        </w:rPr>
        <w:t xml:space="preserve">The Settlement </w:t>
      </w:r>
      <w:r w:rsidRPr="00C80BFE" w:rsidR="005C16AA">
        <w:rPr>
          <w:rFonts w:cs="Times New Roman"/>
          <w:szCs w:val="24"/>
        </w:rPr>
        <w:t>provides for a</w:t>
      </w:r>
      <w:r w:rsidRPr="00C80BFE">
        <w:rPr>
          <w:rFonts w:cs="Times New Roman"/>
          <w:szCs w:val="24"/>
        </w:rPr>
        <w:t xml:space="preserve"> $3.5 million bill payment assistance program</w:t>
      </w:r>
      <w:r w:rsidRPr="00C80BFE" w:rsidR="00320FE8">
        <w:rPr>
          <w:rFonts w:cs="Times New Roman"/>
          <w:szCs w:val="24"/>
        </w:rPr>
        <w:t xml:space="preserve"> for qualifying low-income residential natural gas consumers</w:t>
      </w:r>
      <w:r w:rsidRPr="00C80BFE" w:rsidR="000001DA">
        <w:rPr>
          <w:rFonts w:cs="Times New Roman"/>
          <w:szCs w:val="24"/>
        </w:rPr>
        <w:t>, a program not in Columbia’s original application</w:t>
      </w:r>
      <w:r w:rsidRPr="00C80BFE" w:rsidR="00320FE8">
        <w:rPr>
          <w:rFonts w:cs="Times New Roman"/>
          <w:szCs w:val="24"/>
        </w:rPr>
        <w:t>.</w:t>
      </w:r>
      <w:r>
        <w:rPr>
          <w:rStyle w:val="FootnoteReference"/>
          <w:rFonts w:cs="Times New Roman"/>
          <w:szCs w:val="24"/>
        </w:rPr>
        <w:footnoteReference w:id="58"/>
      </w:r>
      <w:r w:rsidRPr="00C80BFE" w:rsidR="00320FE8">
        <w:rPr>
          <w:rFonts w:cs="Times New Roman"/>
          <w:szCs w:val="24"/>
        </w:rPr>
        <w:t xml:space="preserve"> Of the $3.5 million, $2.3 million will be paid for by Columbia’s shareholders. The other $1.2 million will be paid </w:t>
      </w:r>
      <w:r w:rsidRPr="00C80BFE" w:rsidR="000C66A9">
        <w:rPr>
          <w:rFonts w:cs="Times New Roman"/>
          <w:szCs w:val="24"/>
        </w:rPr>
        <w:t>by consumers and absorbed</w:t>
      </w:r>
      <w:r w:rsidRPr="00C80BFE" w:rsidR="00320FE8">
        <w:rPr>
          <w:rFonts w:cs="Times New Roman"/>
          <w:szCs w:val="24"/>
        </w:rPr>
        <w:t xml:space="preserve"> </w:t>
      </w:r>
      <w:r w:rsidRPr="00C80BFE" w:rsidR="000C66A9">
        <w:rPr>
          <w:rFonts w:cs="Times New Roman"/>
          <w:szCs w:val="24"/>
        </w:rPr>
        <w:t>by</w:t>
      </w:r>
      <w:r w:rsidRPr="00C80BFE" w:rsidR="00320FE8">
        <w:rPr>
          <w:rFonts w:cs="Times New Roman"/>
          <w:szCs w:val="24"/>
        </w:rPr>
        <w:t xml:space="preserve"> the WarmChoice® program ($700,000 in 2023 and $500,000 in 2024).</w:t>
      </w:r>
      <w:r>
        <w:rPr>
          <w:rStyle w:val="FootnoteReference"/>
          <w:rFonts w:cs="Times New Roman"/>
          <w:szCs w:val="24"/>
        </w:rPr>
        <w:footnoteReference w:id="59"/>
      </w:r>
      <w:r w:rsidRPr="00C80BFE" w:rsidR="00320FE8">
        <w:rPr>
          <w:rFonts w:cs="Times New Roman"/>
          <w:szCs w:val="24"/>
        </w:rPr>
        <w:t xml:space="preserve"> O</w:t>
      </w:r>
      <w:r w:rsidRPr="00C80BFE" w:rsidR="00023D06">
        <w:rPr>
          <w:rFonts w:cs="Times New Roman"/>
          <w:szCs w:val="24"/>
        </w:rPr>
        <w:t>PAE</w:t>
      </w:r>
      <w:r w:rsidRPr="00C80BFE" w:rsidR="000C66A9">
        <w:rPr>
          <w:rFonts w:cs="Times New Roman"/>
          <w:szCs w:val="24"/>
        </w:rPr>
        <w:t xml:space="preserve"> (the weatherization group)</w:t>
      </w:r>
      <w:r w:rsidRPr="00C80BFE" w:rsidR="00023D06">
        <w:rPr>
          <w:rFonts w:cs="Times New Roman"/>
          <w:szCs w:val="24"/>
        </w:rPr>
        <w:t xml:space="preserve"> and CUB Ohio </w:t>
      </w:r>
      <w:r w:rsidRPr="00C80BFE" w:rsidR="00320FE8">
        <w:rPr>
          <w:rFonts w:cs="Times New Roman"/>
          <w:szCs w:val="24"/>
        </w:rPr>
        <w:t>oppose the Settlement’s bill payment assistance program</w:t>
      </w:r>
      <w:r w:rsidRPr="00C80BFE" w:rsidR="000C66A9">
        <w:rPr>
          <w:rFonts w:cs="Times New Roman"/>
          <w:szCs w:val="24"/>
        </w:rPr>
        <w:t xml:space="preserve"> for Ohioans in need</w:t>
      </w:r>
      <w:r w:rsidRPr="00C80BFE" w:rsidR="00320FE8">
        <w:rPr>
          <w:rFonts w:cs="Times New Roman"/>
          <w:szCs w:val="24"/>
        </w:rPr>
        <w:t xml:space="preserve"> because </w:t>
      </w:r>
      <w:r w:rsidRPr="00C80BFE" w:rsidR="000C66A9">
        <w:rPr>
          <w:rFonts w:cs="Times New Roman"/>
          <w:szCs w:val="24"/>
        </w:rPr>
        <w:t>OPAE/CUB don’t want</w:t>
      </w:r>
      <w:r w:rsidRPr="00C80BFE" w:rsidR="00320FE8">
        <w:rPr>
          <w:rFonts w:cs="Times New Roman"/>
          <w:szCs w:val="24"/>
        </w:rPr>
        <w:t xml:space="preserve"> </w:t>
      </w:r>
      <w:r w:rsidRPr="00C80BFE" w:rsidR="000C66A9">
        <w:rPr>
          <w:rFonts w:cs="Times New Roman"/>
          <w:szCs w:val="24"/>
        </w:rPr>
        <w:t xml:space="preserve">the more than $70 million program to absorb </w:t>
      </w:r>
      <w:r w:rsidRPr="00C80BFE" w:rsidR="000001DA">
        <w:rPr>
          <w:rFonts w:cs="Times New Roman"/>
          <w:szCs w:val="24"/>
        </w:rPr>
        <w:t xml:space="preserve">a small amount </w:t>
      </w:r>
      <w:r w:rsidRPr="00C80BFE" w:rsidR="000C66A9">
        <w:rPr>
          <w:rFonts w:cs="Times New Roman"/>
          <w:szCs w:val="24"/>
        </w:rPr>
        <w:t>for bill payment assistance.</w:t>
      </w:r>
      <w:r>
        <w:rPr>
          <w:rStyle w:val="FootnoteReference"/>
          <w:rFonts w:cs="Times New Roman"/>
          <w:szCs w:val="24"/>
        </w:rPr>
        <w:footnoteReference w:id="60"/>
      </w:r>
      <w:r w:rsidRPr="00C80BFE" w:rsidR="00320FE8">
        <w:rPr>
          <w:rFonts w:cs="Times New Roman"/>
          <w:szCs w:val="24"/>
        </w:rPr>
        <w:t xml:space="preserve"> </w:t>
      </w:r>
      <w:r w:rsidRPr="00C80BFE" w:rsidR="000C66A9">
        <w:rPr>
          <w:rFonts w:cs="Times New Roman"/>
          <w:szCs w:val="24"/>
        </w:rPr>
        <w:t>But t</w:t>
      </w:r>
      <w:r w:rsidRPr="00C80BFE" w:rsidR="00320FE8">
        <w:rPr>
          <w:rFonts w:cs="Times New Roman"/>
          <w:szCs w:val="24"/>
        </w:rPr>
        <w:t>he bill payment assistance program</w:t>
      </w:r>
      <w:r w:rsidRPr="00C80BFE" w:rsidR="000001DA">
        <w:rPr>
          <w:rFonts w:cs="Times New Roman"/>
          <w:szCs w:val="24"/>
        </w:rPr>
        <w:t xml:space="preserve"> compromise</w:t>
      </w:r>
      <w:r w:rsidRPr="00C80BFE" w:rsidR="00320FE8">
        <w:rPr>
          <w:rFonts w:cs="Times New Roman"/>
          <w:szCs w:val="24"/>
        </w:rPr>
        <w:t xml:space="preserve"> in the Settlement benefits consumers</w:t>
      </w:r>
      <w:r w:rsidRPr="00C80BFE" w:rsidR="00DD7AB5">
        <w:rPr>
          <w:rFonts w:cs="Times New Roman"/>
          <w:szCs w:val="24"/>
        </w:rPr>
        <w:t xml:space="preserve"> as part of the package</w:t>
      </w:r>
      <w:r w:rsidRPr="00C80BFE" w:rsidR="000C66A9">
        <w:rPr>
          <w:rFonts w:cs="Times New Roman"/>
          <w:szCs w:val="24"/>
        </w:rPr>
        <w:t xml:space="preserve"> – and will help keep them connected to utility service.</w:t>
      </w:r>
      <w:r w:rsidR="00C80BFE">
        <w:rPr>
          <w:rFonts w:cs="Times New Roman"/>
          <w:szCs w:val="24"/>
        </w:rPr>
        <w:t xml:space="preserve"> </w:t>
      </w:r>
      <w:r w:rsidRPr="00C80BFE" w:rsidR="000C66A9">
        <w:rPr>
          <w:rFonts w:cs="Times New Roman"/>
          <w:szCs w:val="24"/>
        </w:rPr>
        <w:t xml:space="preserve">The Settlement </w:t>
      </w:r>
      <w:r w:rsidRPr="00C80BFE" w:rsidR="00320FE8">
        <w:rPr>
          <w:rFonts w:cs="Times New Roman"/>
          <w:szCs w:val="24"/>
        </w:rPr>
        <w:t>should be approved.</w:t>
      </w:r>
    </w:p>
    <w:p w:rsidR="00320FE8" w:rsidRPr="00C80BFE" w:rsidP="00023D06" w14:paraId="17B327D6" w14:textId="639A0D62">
      <w:pPr>
        <w:spacing w:after="0" w:line="480" w:lineRule="auto"/>
        <w:ind w:firstLine="720"/>
        <w:rPr>
          <w:rFonts w:cs="Times New Roman"/>
          <w:szCs w:val="24"/>
        </w:rPr>
      </w:pPr>
      <w:r w:rsidRPr="00C80BFE">
        <w:rPr>
          <w:rFonts w:cs="Times New Roman"/>
          <w:szCs w:val="24"/>
        </w:rPr>
        <w:t>OPAE claims that there is no evidence that a bill payment assistance program is necessary.</w:t>
      </w:r>
      <w:r>
        <w:rPr>
          <w:rStyle w:val="FootnoteReference"/>
          <w:rFonts w:cs="Times New Roman"/>
          <w:szCs w:val="24"/>
        </w:rPr>
        <w:footnoteReference w:id="61"/>
      </w:r>
      <w:r w:rsidRPr="00C80BFE">
        <w:rPr>
          <w:rFonts w:cs="Times New Roman"/>
          <w:szCs w:val="24"/>
        </w:rPr>
        <w:t xml:space="preserve"> That is not true. OPAE witness Sarver </w:t>
      </w:r>
      <w:r w:rsidRPr="00C80BFE" w:rsidR="00C60172">
        <w:rPr>
          <w:rFonts w:cs="Times New Roman"/>
          <w:szCs w:val="24"/>
        </w:rPr>
        <w:t>testified that “[b]ill payment assistance is a useful and necessary tool” that should be reserved for “emergency situations.”</w:t>
      </w:r>
      <w:r>
        <w:rPr>
          <w:rStyle w:val="FootnoteReference"/>
          <w:rFonts w:cs="Times New Roman"/>
          <w:szCs w:val="24"/>
        </w:rPr>
        <w:footnoteReference w:id="62"/>
      </w:r>
      <w:r w:rsidRPr="00C80BFE" w:rsidR="0065099E">
        <w:rPr>
          <w:rFonts w:cs="Times New Roman"/>
          <w:szCs w:val="24"/>
        </w:rPr>
        <w:t xml:space="preserve"> At the evidentiary hearing, Mr. Sarver testified unequivocally that OPAE does not oppose Columbia consumers receiving $3.5 million in bill payment assistance.</w:t>
      </w:r>
      <w:r>
        <w:rPr>
          <w:rStyle w:val="FootnoteReference"/>
          <w:rFonts w:cs="Times New Roman"/>
          <w:szCs w:val="24"/>
        </w:rPr>
        <w:footnoteReference w:id="63"/>
      </w:r>
      <w:r w:rsidRPr="00C80BFE" w:rsidR="00764A96">
        <w:rPr>
          <w:rFonts w:cs="Times New Roman"/>
          <w:szCs w:val="24"/>
        </w:rPr>
        <w:t xml:space="preserve"> Mr. Sarver further testified that </w:t>
      </w:r>
      <w:r w:rsidRPr="00C80BFE" w:rsidR="00A37329">
        <w:rPr>
          <w:rFonts w:cs="Times New Roman"/>
          <w:szCs w:val="24"/>
        </w:rPr>
        <w:t xml:space="preserve">the </w:t>
      </w:r>
      <w:r w:rsidRPr="00C80BFE" w:rsidR="00764A96">
        <w:rPr>
          <w:rFonts w:cs="Times New Roman"/>
          <w:szCs w:val="24"/>
        </w:rPr>
        <w:t>coronavirus pandemic that has plagued Ohioans for the past couple of years constitutes an “emergency situation.”</w:t>
      </w:r>
      <w:r>
        <w:rPr>
          <w:rStyle w:val="FootnoteReference"/>
          <w:rFonts w:cs="Times New Roman"/>
          <w:szCs w:val="24"/>
        </w:rPr>
        <w:footnoteReference w:id="64"/>
      </w:r>
      <w:r w:rsidRPr="00C80BFE" w:rsidR="00F647C8">
        <w:rPr>
          <w:rFonts w:cs="Times New Roman"/>
          <w:szCs w:val="24"/>
        </w:rPr>
        <w:t xml:space="preserve"> Mr. Sarver further conceded that energy prices and inflation have increased.</w:t>
      </w:r>
      <w:r>
        <w:rPr>
          <w:rStyle w:val="FootnoteReference"/>
          <w:rFonts w:cs="Times New Roman"/>
          <w:szCs w:val="24"/>
        </w:rPr>
        <w:footnoteReference w:id="65"/>
      </w:r>
      <w:r w:rsidRPr="00C80BFE" w:rsidR="004A1CA4">
        <w:rPr>
          <w:rFonts w:cs="Times New Roman"/>
          <w:szCs w:val="24"/>
        </w:rPr>
        <w:t xml:space="preserve"> Bill payment assistance will benefit consumers.</w:t>
      </w:r>
      <w:r w:rsidRPr="00C80BFE" w:rsidR="00F647C8">
        <w:rPr>
          <w:rFonts w:cs="Times New Roman"/>
          <w:szCs w:val="24"/>
        </w:rPr>
        <w:t xml:space="preserve"> </w:t>
      </w:r>
    </w:p>
    <w:p w:rsidR="0009058C" w:rsidRPr="00C80BFE" w:rsidP="00023D06" w14:paraId="5CB1C9D7" w14:textId="5E153289">
      <w:pPr>
        <w:spacing w:after="0" w:line="480" w:lineRule="auto"/>
        <w:ind w:firstLine="720"/>
        <w:rPr>
          <w:rFonts w:cs="Times New Roman"/>
          <w:szCs w:val="24"/>
        </w:rPr>
      </w:pPr>
      <w:r w:rsidRPr="00C80BFE">
        <w:rPr>
          <w:rFonts w:cs="Times New Roman"/>
          <w:szCs w:val="24"/>
        </w:rPr>
        <w:t>OPAE further claims that the bill payment program in the Sett</w:t>
      </w:r>
      <w:r w:rsidRPr="00C80BFE" w:rsidR="005C1257">
        <w:rPr>
          <w:rFonts w:cs="Times New Roman"/>
          <w:szCs w:val="24"/>
        </w:rPr>
        <w:t>lement should be rejected because it lacks details.</w:t>
      </w:r>
      <w:r>
        <w:rPr>
          <w:rStyle w:val="FootnoteReference"/>
          <w:rFonts w:cs="Times New Roman"/>
          <w:szCs w:val="24"/>
        </w:rPr>
        <w:footnoteReference w:id="66"/>
      </w:r>
      <w:r w:rsidRPr="00C80BFE" w:rsidR="001B021D">
        <w:rPr>
          <w:rFonts w:cs="Times New Roman"/>
          <w:szCs w:val="24"/>
        </w:rPr>
        <w:t xml:space="preserve"> That is also incorrect. The Settlement lists specific criteria</w:t>
      </w:r>
      <w:r w:rsidRPr="00C80BFE">
        <w:rPr>
          <w:rFonts w:cs="Times New Roman"/>
          <w:szCs w:val="24"/>
        </w:rPr>
        <w:t xml:space="preserve"> including:</w:t>
      </w:r>
      <w:r w:rsidRPr="00C80BFE" w:rsidR="00165096">
        <w:rPr>
          <w:rFonts w:cs="Times New Roman"/>
          <w:szCs w:val="24"/>
        </w:rPr>
        <w:t xml:space="preserve"> </w:t>
      </w:r>
    </w:p>
    <w:p w:rsidR="00A37329" w:rsidRPr="00C80BFE" w:rsidP="0054318D" w14:paraId="4265D9EC" w14:textId="5BBED5D7">
      <w:pPr>
        <w:spacing w:after="0" w:line="240" w:lineRule="auto"/>
        <w:ind w:left="720" w:right="720"/>
        <w:rPr>
          <w:rFonts w:cs="Times New Roman"/>
          <w:szCs w:val="24"/>
        </w:rPr>
      </w:pPr>
      <w:r w:rsidRPr="00C80BFE">
        <w:rPr>
          <w:rFonts w:cs="Times New Roman"/>
          <w:szCs w:val="24"/>
        </w:rPr>
        <w:t>1) Availability for all residential low-income customers with delinquent Columbia bills; 2) Household income eligibility at or below 200 percent of the federal poverty guidelines; 3) Benefits available once per year per eligible customer; 4) Benefits available on a first-come-first-served basis until funds are annually depleted; 5) Assistance limited to up to $450.00 per consumer annually to avoid disconnection or get services reconnected; and 6) Participation does not limit access to any other state or federal assistance program.</w:t>
      </w:r>
      <w:r>
        <w:rPr>
          <w:rStyle w:val="FootnoteReference"/>
          <w:rFonts w:cs="Times New Roman"/>
          <w:szCs w:val="24"/>
        </w:rPr>
        <w:footnoteReference w:id="67"/>
      </w:r>
    </w:p>
    <w:p w:rsidR="00A10599" w:rsidRPr="00C80BFE" w:rsidP="0009058C" w14:paraId="1184D8A1" w14:textId="2FC207BE">
      <w:pPr>
        <w:spacing w:before="240" w:after="0" w:line="480" w:lineRule="auto"/>
        <w:rPr>
          <w:rFonts w:cs="Times New Roman"/>
          <w:szCs w:val="24"/>
        </w:rPr>
      </w:pPr>
      <w:r w:rsidRPr="00C80BFE">
        <w:rPr>
          <w:rFonts w:cs="Times New Roman"/>
          <w:szCs w:val="24"/>
        </w:rPr>
        <w:t xml:space="preserve">The Settlement also provides for yearly audits and oversight of the bill payment assistance program by the PUCO. </w:t>
      </w:r>
      <w:r w:rsidRPr="00C80BFE" w:rsidR="00773226">
        <w:rPr>
          <w:rFonts w:cs="Times New Roman"/>
          <w:szCs w:val="24"/>
        </w:rPr>
        <w:t>OPAE witness Sarver conceded that the PUCO and Columbia are capable of implementing and overseeing the bill payment assistance plan.</w:t>
      </w:r>
      <w:r>
        <w:rPr>
          <w:rStyle w:val="FootnoteReference"/>
          <w:rFonts w:cs="Times New Roman"/>
          <w:szCs w:val="24"/>
        </w:rPr>
        <w:footnoteReference w:id="68"/>
      </w:r>
    </w:p>
    <w:p w:rsidR="00FA42FC" w:rsidRPr="00C80BFE" w:rsidP="00374C74" w14:paraId="397328B8" w14:textId="77777777">
      <w:pPr>
        <w:spacing w:after="0" w:line="480" w:lineRule="auto"/>
        <w:rPr>
          <w:rFonts w:cs="Times New Roman"/>
          <w:szCs w:val="24"/>
        </w:rPr>
      </w:pPr>
      <w:r w:rsidRPr="00C80BFE">
        <w:rPr>
          <w:rFonts w:cs="Times New Roman"/>
          <w:szCs w:val="24"/>
        </w:rPr>
        <w:tab/>
        <w:t>Finally, OPAE claims that the PUCO has in the past rejected OCC’s requests to shift funds from weatherization service to bill-payment assistance and that the PUCO should do so here as well.</w:t>
      </w:r>
      <w:r>
        <w:rPr>
          <w:rStyle w:val="FootnoteReference"/>
          <w:rFonts w:cs="Times New Roman"/>
          <w:szCs w:val="24"/>
        </w:rPr>
        <w:footnoteReference w:id="69"/>
      </w:r>
      <w:r w:rsidRPr="00C80BFE" w:rsidR="00CF5E8D">
        <w:rPr>
          <w:rFonts w:cs="Times New Roman"/>
          <w:szCs w:val="24"/>
        </w:rPr>
        <w:t xml:space="preserve"> OPAE cites several PUCO orders that purportedly support OPAE’s argument.</w:t>
      </w:r>
      <w:r>
        <w:rPr>
          <w:rStyle w:val="FootnoteReference"/>
          <w:rFonts w:cs="Times New Roman"/>
          <w:szCs w:val="24"/>
        </w:rPr>
        <w:footnoteReference w:id="70"/>
      </w:r>
      <w:r w:rsidRPr="00C80BFE" w:rsidR="00CF5E8D">
        <w:rPr>
          <w:rFonts w:cs="Times New Roman"/>
          <w:szCs w:val="24"/>
        </w:rPr>
        <w:t xml:space="preserve"> However </w:t>
      </w:r>
      <w:r w:rsidRPr="00C80BFE" w:rsidR="00122B02">
        <w:rPr>
          <w:rFonts w:cs="Times New Roman"/>
          <w:szCs w:val="24"/>
        </w:rPr>
        <w:t xml:space="preserve">in </w:t>
      </w:r>
      <w:r w:rsidRPr="00C80BFE" w:rsidR="00CF5E8D">
        <w:rPr>
          <w:rFonts w:cs="Times New Roman"/>
          <w:szCs w:val="24"/>
        </w:rPr>
        <w:t>two of order</w:t>
      </w:r>
      <w:r w:rsidRPr="00C80BFE" w:rsidR="00122B02">
        <w:rPr>
          <w:rFonts w:cs="Times New Roman"/>
          <w:szCs w:val="24"/>
        </w:rPr>
        <w:t xml:space="preserve">s </w:t>
      </w:r>
      <w:r w:rsidRPr="00C80BFE" w:rsidR="00CF5E8D">
        <w:rPr>
          <w:rFonts w:cs="Times New Roman"/>
          <w:szCs w:val="24"/>
        </w:rPr>
        <w:t xml:space="preserve">cited by OPAE, in Case Nos. 20-637-GA-UNC and 20-649-GA-UNC </w:t>
      </w:r>
      <w:r w:rsidRPr="00C80BFE" w:rsidR="00122B02">
        <w:rPr>
          <w:rFonts w:cs="Times New Roman"/>
          <w:szCs w:val="24"/>
        </w:rPr>
        <w:t xml:space="preserve">(which </w:t>
      </w:r>
      <w:r w:rsidRPr="00C80BFE" w:rsidR="00CF5E8D">
        <w:rPr>
          <w:rFonts w:cs="Times New Roman"/>
          <w:szCs w:val="24"/>
        </w:rPr>
        <w:t>involv</w:t>
      </w:r>
      <w:r w:rsidRPr="00C80BFE" w:rsidR="00122B02">
        <w:rPr>
          <w:rFonts w:cs="Times New Roman"/>
          <w:szCs w:val="24"/>
        </w:rPr>
        <w:t>ed</w:t>
      </w:r>
      <w:r w:rsidRPr="00C80BFE" w:rsidR="00CF5E8D">
        <w:rPr>
          <w:rFonts w:cs="Times New Roman"/>
          <w:szCs w:val="24"/>
        </w:rPr>
        <w:t xml:space="preserve"> the COVID-19 emergency plans of Columbia and Vectren respectively</w:t>
      </w:r>
      <w:r w:rsidRPr="00C80BFE" w:rsidR="00122B02">
        <w:rPr>
          <w:rFonts w:cs="Times New Roman"/>
          <w:szCs w:val="24"/>
        </w:rPr>
        <w:t>)</w:t>
      </w:r>
      <w:r w:rsidRPr="00C80BFE" w:rsidR="00CF5E8D">
        <w:rPr>
          <w:rFonts w:cs="Times New Roman"/>
          <w:szCs w:val="24"/>
        </w:rPr>
        <w:t>,</w:t>
      </w:r>
      <w:r w:rsidRPr="00C80BFE" w:rsidR="00122B02">
        <w:rPr>
          <w:rFonts w:cs="Times New Roman"/>
          <w:szCs w:val="24"/>
        </w:rPr>
        <w:t xml:space="preserve"> the PUCO</w:t>
      </w:r>
      <w:r w:rsidRPr="00C80BFE" w:rsidR="00CF5E8D">
        <w:rPr>
          <w:rFonts w:cs="Times New Roman"/>
          <w:szCs w:val="24"/>
        </w:rPr>
        <w:t xml:space="preserve"> </w:t>
      </w:r>
      <w:r w:rsidRPr="00C80BFE" w:rsidR="00CF5E8D">
        <w:rPr>
          <w:rFonts w:cs="Times New Roman"/>
          <w:i/>
          <w:iCs/>
          <w:szCs w:val="24"/>
        </w:rPr>
        <w:t>expressly declined to rule on the issue</w:t>
      </w:r>
      <w:r w:rsidRPr="00C80BFE" w:rsidR="00CF5E8D">
        <w:rPr>
          <w:rFonts w:cs="Times New Roman"/>
          <w:szCs w:val="24"/>
        </w:rPr>
        <w:t>.</w:t>
      </w:r>
      <w:r>
        <w:rPr>
          <w:rStyle w:val="FootnoteReference"/>
          <w:rFonts w:cs="Times New Roman"/>
          <w:szCs w:val="24"/>
        </w:rPr>
        <w:footnoteReference w:id="71"/>
      </w:r>
      <w:r w:rsidRPr="00C80BFE" w:rsidR="00CF5E8D">
        <w:rPr>
          <w:rFonts w:cs="Times New Roman"/>
          <w:szCs w:val="24"/>
        </w:rPr>
        <w:t xml:space="preserve"> </w:t>
      </w:r>
    </w:p>
    <w:p w:rsidR="0012371A" w:rsidRPr="00C80BFE" w:rsidP="00FA42FC" w14:paraId="4638D0DF" w14:textId="77777777">
      <w:pPr>
        <w:spacing w:after="0" w:line="480" w:lineRule="auto"/>
        <w:ind w:firstLine="720"/>
        <w:rPr>
          <w:rFonts w:cs="Times New Roman"/>
          <w:szCs w:val="24"/>
        </w:rPr>
      </w:pPr>
      <w:r w:rsidRPr="00C80BFE">
        <w:rPr>
          <w:rFonts w:cs="Times New Roman"/>
          <w:szCs w:val="24"/>
        </w:rPr>
        <w:t xml:space="preserve">The other two </w:t>
      </w:r>
      <w:r w:rsidRPr="00C80BFE" w:rsidR="007545F0">
        <w:rPr>
          <w:rFonts w:cs="Times New Roman"/>
          <w:szCs w:val="24"/>
        </w:rPr>
        <w:t>orders</w:t>
      </w:r>
      <w:r w:rsidRPr="00C80BFE">
        <w:rPr>
          <w:rFonts w:cs="Times New Roman"/>
          <w:szCs w:val="24"/>
        </w:rPr>
        <w:t xml:space="preserve"> cited by OPAE in Case Nos. </w:t>
      </w:r>
      <w:r w:rsidRPr="00C80BFE" w:rsidR="00C13474">
        <w:rPr>
          <w:rFonts w:cs="Times New Roman"/>
          <w:szCs w:val="24"/>
        </w:rPr>
        <w:t>19-1940-GA-RDR and 19-2084-GA-UNC</w:t>
      </w:r>
      <w:r w:rsidRPr="00C80BFE" w:rsidR="00EF17FD">
        <w:rPr>
          <w:rFonts w:cs="Times New Roman"/>
          <w:szCs w:val="24"/>
        </w:rPr>
        <w:t xml:space="preserve"> also do not </w:t>
      </w:r>
      <w:r w:rsidRPr="00C80BFE" w:rsidR="007545F0">
        <w:rPr>
          <w:rFonts w:cs="Times New Roman"/>
          <w:szCs w:val="24"/>
        </w:rPr>
        <w:t>preclude the PUCO from approving the bill payment program provisions in the Settlement. Case No. 19-1940-GA-RDR involved the annual audit of Columbia’s DSM rider, which the PUCO found was “not the appropriate forum for such considerations.”</w:t>
      </w:r>
      <w:r>
        <w:rPr>
          <w:rStyle w:val="FootnoteReference"/>
          <w:rFonts w:cs="Times New Roman"/>
          <w:szCs w:val="24"/>
        </w:rPr>
        <w:footnoteReference w:id="72"/>
      </w:r>
      <w:r w:rsidRPr="00C80BFE" w:rsidR="007545F0">
        <w:rPr>
          <w:rFonts w:cs="Times New Roman"/>
          <w:szCs w:val="24"/>
        </w:rPr>
        <w:t xml:space="preserve"> </w:t>
      </w:r>
      <w:r w:rsidRPr="00C80BFE" w:rsidR="009B43D7">
        <w:rPr>
          <w:rFonts w:cs="Times New Roman"/>
          <w:szCs w:val="24"/>
        </w:rPr>
        <w:t>In Case No. 19-2082-GA-UNC the PUCO approved a settlement regarding Vectren’s DSM program</w:t>
      </w:r>
      <w:r w:rsidRPr="00C80BFE" w:rsidR="00026DB2">
        <w:rPr>
          <w:rFonts w:cs="Times New Roman"/>
          <w:szCs w:val="24"/>
        </w:rPr>
        <w:t>, which OCC opposed.</w:t>
      </w:r>
      <w:r>
        <w:rPr>
          <w:rStyle w:val="FootnoteReference"/>
          <w:rFonts w:cs="Times New Roman"/>
          <w:szCs w:val="24"/>
        </w:rPr>
        <w:footnoteReference w:id="73"/>
      </w:r>
      <w:r w:rsidRPr="00C80BFE" w:rsidR="00026DB2">
        <w:rPr>
          <w:rFonts w:cs="Times New Roman"/>
          <w:szCs w:val="24"/>
        </w:rPr>
        <w:t xml:space="preserve"> </w:t>
      </w:r>
      <w:r w:rsidRPr="00C80BFE" w:rsidR="00C44245">
        <w:rPr>
          <w:rFonts w:cs="Times New Roman"/>
          <w:szCs w:val="24"/>
        </w:rPr>
        <w:t>But nothing in the PUCO’s order in that case precludes the PUCO from approving the Settlement</w:t>
      </w:r>
      <w:r w:rsidRPr="00C80BFE" w:rsidR="00374C74">
        <w:rPr>
          <w:rFonts w:cs="Times New Roman"/>
          <w:szCs w:val="24"/>
        </w:rPr>
        <w:t xml:space="preserve"> </w:t>
      </w:r>
      <w:r w:rsidRPr="00C80BFE" w:rsidR="001507B4">
        <w:rPr>
          <w:rFonts w:cs="Times New Roman"/>
          <w:szCs w:val="24"/>
        </w:rPr>
        <w:t>here</w:t>
      </w:r>
      <w:r w:rsidRPr="00C80BFE" w:rsidR="00374C74">
        <w:rPr>
          <w:rFonts w:cs="Times New Roman"/>
          <w:szCs w:val="24"/>
        </w:rPr>
        <w:t>, including the bill payment program for consumers.</w:t>
      </w:r>
      <w:r w:rsidRPr="00C80BFE" w:rsidR="000001DA">
        <w:rPr>
          <w:rFonts w:cs="Times New Roman"/>
          <w:szCs w:val="24"/>
        </w:rPr>
        <w:t xml:space="preserve"> </w:t>
      </w:r>
    </w:p>
    <w:p w:rsidR="0012371A" w:rsidRPr="00C80BFE" w:rsidP="00FA42FC" w14:paraId="092C318C" w14:textId="77777777">
      <w:pPr>
        <w:spacing w:after="0" w:line="480" w:lineRule="auto"/>
        <w:ind w:firstLine="720"/>
        <w:rPr>
          <w:rFonts w:cs="Times New Roman"/>
          <w:szCs w:val="24"/>
        </w:rPr>
      </w:pPr>
      <w:r w:rsidRPr="00C80BFE">
        <w:rPr>
          <w:rFonts w:cs="Times New Roman"/>
          <w:szCs w:val="24"/>
        </w:rPr>
        <w:t xml:space="preserve">If anything, </w:t>
      </w:r>
      <w:r w:rsidRPr="00C80BFE">
        <w:rPr>
          <w:rFonts w:cs="Times New Roman"/>
          <w:szCs w:val="24"/>
        </w:rPr>
        <w:t>OPAE and CUB Ohio should recognize that the Settlement represents an OCC compromise, in their favor, of OCC’s positions. As they note, OCC’s position (reflected in OCC’s litigation position) is for there to be relatively more bill payment assistance instead of the expensive weatherization, so as help many more at-risk Ohioans than occurs with costly weatherization.</w:t>
      </w:r>
      <w:r w:rsidRPr="00C80BFE" w:rsidR="00374C74">
        <w:rPr>
          <w:rFonts w:cs="Times New Roman"/>
          <w:szCs w:val="24"/>
        </w:rPr>
        <w:t xml:space="preserve"> </w:t>
      </w:r>
    </w:p>
    <w:p w:rsidR="00A10599" w:rsidRPr="00C80BFE" w:rsidP="00FA42FC" w14:paraId="6DA3FDA3" w14:textId="03FFD8C8">
      <w:pPr>
        <w:spacing w:after="0" w:line="480" w:lineRule="auto"/>
        <w:ind w:firstLine="720"/>
        <w:rPr>
          <w:rFonts w:cs="Times New Roman"/>
          <w:szCs w:val="24"/>
        </w:rPr>
      </w:pPr>
      <w:r w:rsidRPr="00C80BFE">
        <w:rPr>
          <w:rFonts w:cs="Times New Roman"/>
          <w:szCs w:val="24"/>
        </w:rPr>
        <w:t>The PUCO should reject OPAE’s and CUB Ohio’s opposition to the bill payment program and approve the settlement without modification.</w:t>
      </w:r>
      <w:r w:rsidRPr="00C80BFE" w:rsidR="00165096">
        <w:rPr>
          <w:rFonts w:cs="Times New Roman"/>
          <w:szCs w:val="24"/>
        </w:rPr>
        <w:t xml:space="preserve"> </w:t>
      </w:r>
    </w:p>
    <w:p w:rsidR="00051971" w:rsidRPr="00C80BFE" w:rsidP="0076385F" w14:paraId="13676181" w14:textId="429090DA">
      <w:pPr>
        <w:pStyle w:val="ListParagraph"/>
        <w:numPr>
          <w:ilvl w:val="0"/>
          <w:numId w:val="28"/>
        </w:numPr>
        <w:spacing w:after="0" w:line="240" w:lineRule="auto"/>
        <w:ind w:left="2160" w:hanging="720"/>
        <w:rPr>
          <w:rFonts w:ascii="Times New Roman" w:hAnsi="Times New Roman" w:cs="Times New Roman"/>
          <w:b/>
          <w:bCs/>
          <w:sz w:val="24"/>
          <w:szCs w:val="24"/>
        </w:rPr>
      </w:pPr>
      <w:bookmarkStart w:id="11" w:name="_Toc123050549"/>
      <w:r w:rsidRPr="00C80BFE">
        <w:rPr>
          <w:rStyle w:val="Heading3Char"/>
        </w:rPr>
        <w:t xml:space="preserve">The PUCO should reject ELPC’s </w:t>
      </w:r>
      <w:r w:rsidRPr="00C80BFE" w:rsidR="00EF565C">
        <w:rPr>
          <w:rStyle w:val="Heading3Char"/>
        </w:rPr>
        <w:t xml:space="preserve">reliance on OCC’s litigation testimony to demonstrate that the Settlement </w:t>
      </w:r>
      <w:r w:rsidRPr="00C80BFE" w:rsidR="00660806">
        <w:rPr>
          <w:rStyle w:val="Heading3Char"/>
        </w:rPr>
        <w:t xml:space="preserve">package </w:t>
      </w:r>
      <w:r w:rsidRPr="00C80BFE" w:rsidR="00EF565C">
        <w:rPr>
          <w:rStyle w:val="Heading3Char"/>
        </w:rPr>
        <w:t>does not benefit consumers or the public interest.</w:t>
      </w:r>
      <w:bookmarkEnd w:id="11"/>
    </w:p>
    <w:p w:rsidR="00626411" w:rsidRPr="00C80BFE" w:rsidP="00CB0EBA" w14:paraId="3A05AEFB" w14:textId="431E7052">
      <w:pPr>
        <w:spacing w:before="240" w:after="0" w:line="480" w:lineRule="auto"/>
        <w:ind w:firstLine="720"/>
        <w:rPr>
          <w:rFonts w:cs="Times New Roman"/>
          <w:szCs w:val="24"/>
        </w:rPr>
      </w:pPr>
      <w:r w:rsidRPr="00C80BFE">
        <w:rPr>
          <w:rFonts w:cs="Times New Roman"/>
          <w:szCs w:val="24"/>
        </w:rPr>
        <w:t xml:space="preserve">The Settlement </w:t>
      </w:r>
      <w:r w:rsidRPr="00C80BFE" w:rsidR="002A7C14">
        <w:rPr>
          <w:rFonts w:cs="Times New Roman"/>
          <w:szCs w:val="24"/>
        </w:rPr>
        <w:t>reduc</w:t>
      </w:r>
      <w:r w:rsidRPr="00C80BFE" w:rsidR="00273D40">
        <w:rPr>
          <w:rFonts w:cs="Times New Roman"/>
          <w:szCs w:val="24"/>
        </w:rPr>
        <w:t xml:space="preserve">es </w:t>
      </w:r>
      <w:r w:rsidRPr="00C80BFE" w:rsidR="002A7C14">
        <w:rPr>
          <w:rFonts w:cs="Times New Roman"/>
          <w:szCs w:val="24"/>
        </w:rPr>
        <w:t xml:space="preserve">Columbia’s </w:t>
      </w:r>
      <w:r w:rsidRPr="00C80BFE" w:rsidR="00273D40">
        <w:rPr>
          <w:rFonts w:cs="Times New Roman"/>
          <w:szCs w:val="24"/>
        </w:rPr>
        <w:t xml:space="preserve">initially proposed </w:t>
      </w:r>
      <w:r w:rsidRPr="00C80BFE" w:rsidR="002A7C14">
        <w:rPr>
          <w:rFonts w:cs="Times New Roman"/>
          <w:szCs w:val="24"/>
        </w:rPr>
        <w:t xml:space="preserve">return on equity (“ROE”) </w:t>
      </w:r>
      <w:r w:rsidRPr="00C80BFE" w:rsidR="00273D40">
        <w:rPr>
          <w:rFonts w:cs="Times New Roman"/>
          <w:szCs w:val="24"/>
        </w:rPr>
        <w:t xml:space="preserve">from </w:t>
      </w:r>
      <w:r w:rsidRPr="00C80BFE" w:rsidR="002A7C14">
        <w:rPr>
          <w:rFonts w:cs="Times New Roman"/>
          <w:szCs w:val="24"/>
        </w:rPr>
        <w:t>10.95% to 9.6%.</w:t>
      </w:r>
      <w:r>
        <w:rPr>
          <w:rStyle w:val="FootnoteReference"/>
          <w:rFonts w:cs="Times New Roman"/>
          <w:szCs w:val="24"/>
        </w:rPr>
        <w:footnoteReference w:id="74"/>
      </w:r>
      <w:r w:rsidRPr="00C80BFE" w:rsidR="00273D40">
        <w:rPr>
          <w:rFonts w:cs="Times New Roman"/>
          <w:szCs w:val="24"/>
        </w:rPr>
        <w:t xml:space="preserve"> That is a benefit to consumers.</w:t>
      </w:r>
      <w:r>
        <w:rPr>
          <w:rStyle w:val="FootnoteReference"/>
          <w:rFonts w:cs="Times New Roman"/>
          <w:szCs w:val="24"/>
        </w:rPr>
        <w:footnoteReference w:id="75"/>
      </w:r>
      <w:r w:rsidRPr="00C80BFE" w:rsidR="00273D40">
        <w:rPr>
          <w:rFonts w:cs="Times New Roman"/>
          <w:szCs w:val="24"/>
        </w:rPr>
        <w:t xml:space="preserve"> </w:t>
      </w:r>
      <w:r w:rsidRPr="00C80BFE" w:rsidR="00FA42FC">
        <w:rPr>
          <w:rFonts w:cs="Times New Roman"/>
          <w:szCs w:val="24"/>
        </w:rPr>
        <w:t xml:space="preserve">ELPC argues that the PUCO should reject the Settlement </w:t>
      </w:r>
      <w:r w:rsidRPr="00C80BFE" w:rsidR="00307174">
        <w:rPr>
          <w:rFonts w:cs="Times New Roman"/>
          <w:szCs w:val="24"/>
        </w:rPr>
        <w:t xml:space="preserve">because </w:t>
      </w:r>
      <w:r w:rsidRPr="00C80BFE" w:rsidR="00273D40">
        <w:rPr>
          <w:rFonts w:cs="Times New Roman"/>
          <w:szCs w:val="24"/>
        </w:rPr>
        <w:t>the agreed-upon ROE</w:t>
      </w:r>
      <w:r w:rsidRPr="00C80BFE">
        <w:rPr>
          <w:rFonts w:cs="Times New Roman"/>
          <w:szCs w:val="24"/>
        </w:rPr>
        <w:t xml:space="preserve"> is against the public interest.</w:t>
      </w:r>
      <w:r>
        <w:rPr>
          <w:rStyle w:val="FootnoteReference"/>
          <w:rFonts w:cs="Times New Roman"/>
          <w:szCs w:val="24"/>
        </w:rPr>
        <w:footnoteReference w:id="76"/>
      </w:r>
      <w:r w:rsidRPr="00C80BFE" w:rsidR="00273D40">
        <w:rPr>
          <w:rFonts w:cs="Times New Roman"/>
          <w:szCs w:val="24"/>
        </w:rPr>
        <w:t xml:space="preserve"> ELPC’s argument should be rejected, because it improperly relies on</w:t>
      </w:r>
      <w:r w:rsidRPr="00C80BFE" w:rsidR="00FA42FC">
        <w:rPr>
          <w:rFonts w:cs="Times New Roman"/>
          <w:szCs w:val="24"/>
        </w:rPr>
        <w:t xml:space="preserve"> </w:t>
      </w:r>
      <w:r w:rsidRPr="00C80BFE" w:rsidR="00273D40">
        <w:rPr>
          <w:rFonts w:cs="Times New Roman"/>
          <w:szCs w:val="24"/>
        </w:rPr>
        <w:t>the testimony of OCC</w:t>
      </w:r>
      <w:r w:rsidRPr="00C80BFE" w:rsidR="00FA42FC">
        <w:rPr>
          <w:rFonts w:cs="Times New Roman"/>
          <w:szCs w:val="24"/>
        </w:rPr>
        <w:t xml:space="preserve"> witness Zhu</w:t>
      </w:r>
      <w:r w:rsidRPr="00C80BFE" w:rsidR="00273D40">
        <w:rPr>
          <w:rFonts w:cs="Times New Roman"/>
          <w:szCs w:val="24"/>
        </w:rPr>
        <w:t xml:space="preserve"> in support of OCC’s </w:t>
      </w:r>
      <w:r w:rsidRPr="00C80BFE" w:rsidR="00273D40">
        <w:rPr>
          <w:rFonts w:cs="Times New Roman"/>
          <w:i/>
          <w:iCs/>
          <w:szCs w:val="24"/>
        </w:rPr>
        <w:t xml:space="preserve">litigation </w:t>
      </w:r>
      <w:r w:rsidRPr="00C80BFE" w:rsidR="00273D40">
        <w:rPr>
          <w:rFonts w:cs="Times New Roman"/>
          <w:szCs w:val="24"/>
        </w:rPr>
        <w:t>position.</w:t>
      </w:r>
      <w:r>
        <w:rPr>
          <w:rStyle w:val="FootnoteReference"/>
          <w:rFonts w:cs="Times New Roman"/>
          <w:szCs w:val="24"/>
        </w:rPr>
        <w:footnoteReference w:id="77"/>
      </w:r>
      <w:r w:rsidRPr="00C80BFE">
        <w:rPr>
          <w:rFonts w:cs="Times New Roman"/>
          <w:szCs w:val="24"/>
        </w:rPr>
        <w:t xml:space="preserve"> As explained above, OCC’s litigation testimony is not </w:t>
      </w:r>
      <w:r w:rsidRPr="00C80BFE" w:rsidR="00660806">
        <w:rPr>
          <w:rFonts w:cs="Times New Roman"/>
          <w:szCs w:val="24"/>
        </w:rPr>
        <w:t>about</w:t>
      </w:r>
      <w:r w:rsidRPr="00C80BFE">
        <w:rPr>
          <w:rFonts w:cs="Times New Roman"/>
          <w:szCs w:val="24"/>
        </w:rPr>
        <w:t xml:space="preserve"> whether the Settlement satisfies the PUCO’s three-part test for evaluating settlements.</w:t>
      </w:r>
    </w:p>
    <w:p w:rsidR="00EA0DC9" w:rsidRPr="00C80BFE" w:rsidP="006F5708" w14:paraId="7EB2D90C" w14:textId="79EC9041">
      <w:pPr>
        <w:spacing w:after="0" w:line="480" w:lineRule="auto"/>
        <w:ind w:firstLine="720"/>
        <w:rPr>
          <w:rFonts w:cs="Times New Roman"/>
          <w:szCs w:val="24"/>
        </w:rPr>
      </w:pPr>
      <w:r w:rsidRPr="00C80BFE">
        <w:rPr>
          <w:rFonts w:cs="Times New Roman"/>
          <w:szCs w:val="24"/>
        </w:rPr>
        <w:t>ELPC wrongly states that Dr. Zhu</w:t>
      </w:r>
      <w:r w:rsidRPr="00C80BFE" w:rsidR="00FA42FC">
        <w:rPr>
          <w:rFonts w:cs="Times New Roman"/>
          <w:szCs w:val="24"/>
        </w:rPr>
        <w:t xml:space="preserve"> “concluded that the stipulated ROE is excessive, especially in light of the increase in guaranteed recovery.”</w:t>
      </w:r>
      <w:r>
        <w:rPr>
          <w:rStyle w:val="FootnoteReference"/>
          <w:rFonts w:cs="Times New Roman"/>
          <w:szCs w:val="24"/>
        </w:rPr>
        <w:footnoteReference w:id="78"/>
      </w:r>
      <w:r w:rsidRPr="00C80BFE" w:rsidR="00FA42FC">
        <w:rPr>
          <w:rFonts w:cs="Times New Roman"/>
          <w:szCs w:val="24"/>
        </w:rPr>
        <w:t xml:space="preserve"> Dr. Zhu made no such claim. Dr. Zhu presented </w:t>
      </w:r>
      <w:r w:rsidRPr="00C80BFE" w:rsidR="00FA42FC">
        <w:rPr>
          <w:rFonts w:cs="Times New Roman"/>
          <w:b/>
          <w:bCs/>
          <w:i/>
          <w:iCs/>
          <w:szCs w:val="24"/>
        </w:rPr>
        <w:t xml:space="preserve">no testimony </w:t>
      </w:r>
      <w:r w:rsidRPr="00C80BFE" w:rsidR="00DA1BD0">
        <w:rPr>
          <w:rFonts w:cs="Times New Roman"/>
          <w:szCs w:val="24"/>
        </w:rPr>
        <w:t xml:space="preserve">at all </w:t>
      </w:r>
      <w:r w:rsidRPr="00C80BFE" w:rsidR="00FA42FC">
        <w:rPr>
          <w:rFonts w:cs="Times New Roman"/>
          <w:szCs w:val="24"/>
        </w:rPr>
        <w:t xml:space="preserve">regarding the Settlement, the stipulated ROE, or whether the stipulated ROE is reasonable as part of an overall settlement package. </w:t>
      </w:r>
      <w:r w:rsidRPr="00C80BFE" w:rsidR="007B54D0">
        <w:rPr>
          <w:rFonts w:cs="Times New Roman"/>
          <w:szCs w:val="24"/>
        </w:rPr>
        <w:t>There is no evidence that Dr. Zhu agrees with ELPC’s assertation in its brief.</w:t>
      </w:r>
      <w:r w:rsidR="00C80BFE">
        <w:rPr>
          <w:rFonts w:cs="Times New Roman"/>
          <w:szCs w:val="24"/>
        </w:rPr>
        <w:t xml:space="preserve"> </w:t>
      </w:r>
      <w:r w:rsidRPr="00C80BFE" w:rsidR="00FA42FC">
        <w:rPr>
          <w:rFonts w:cs="Times New Roman"/>
          <w:szCs w:val="24"/>
        </w:rPr>
        <w:t xml:space="preserve">ELPC attempts to bootstrap OCC’s </w:t>
      </w:r>
      <w:r w:rsidRPr="00C80BFE" w:rsidR="00FA42FC">
        <w:rPr>
          <w:rFonts w:cs="Times New Roman"/>
          <w:i/>
          <w:iCs/>
          <w:szCs w:val="24"/>
        </w:rPr>
        <w:t>litigation position</w:t>
      </w:r>
      <w:r w:rsidRPr="00C80BFE" w:rsidR="00FA42FC">
        <w:rPr>
          <w:rFonts w:cs="Times New Roman"/>
          <w:szCs w:val="24"/>
        </w:rPr>
        <w:t xml:space="preserve"> testimony into evidence in opposition to the Settlement</w:t>
      </w:r>
      <w:r w:rsidRPr="00C80BFE" w:rsidR="00DD0529">
        <w:rPr>
          <w:rFonts w:cs="Times New Roman"/>
          <w:szCs w:val="24"/>
        </w:rPr>
        <w:t>. ELPC’s attempts in this regard</w:t>
      </w:r>
      <w:r w:rsidRPr="00C80BFE" w:rsidR="00FA42FC">
        <w:rPr>
          <w:rFonts w:cs="Times New Roman"/>
          <w:szCs w:val="24"/>
        </w:rPr>
        <w:t xml:space="preserve"> should be flatly rejected.</w:t>
      </w:r>
    </w:p>
    <w:p w:rsidR="003D2135" w:rsidRPr="00C80BFE" w:rsidP="00F7709F" w14:paraId="2EEAD657" w14:textId="49C8B6D7">
      <w:pPr>
        <w:pStyle w:val="Heading2"/>
        <w:rPr>
          <w:rStyle w:val="Heading2Char"/>
          <w:b/>
          <w:bCs/>
        </w:rPr>
      </w:pPr>
      <w:bookmarkStart w:id="12" w:name="_Toc522278752"/>
      <w:bookmarkStart w:id="13" w:name="_Toc74300288"/>
      <w:bookmarkStart w:id="14" w:name="_Toc74578031"/>
      <w:bookmarkStart w:id="15" w:name="_Toc120793951"/>
      <w:bookmarkStart w:id="16" w:name="_Toc123050550"/>
      <w:r w:rsidRPr="00C80BFE">
        <w:rPr>
          <w:rStyle w:val="Heading2Char"/>
          <w:b/>
          <w:bCs/>
        </w:rPr>
        <w:t xml:space="preserve">The Settlement </w:t>
      </w:r>
      <w:r w:rsidRPr="00C80BFE" w:rsidR="00435F23">
        <w:rPr>
          <w:rStyle w:val="Heading2Char"/>
          <w:b/>
          <w:bCs/>
        </w:rPr>
        <w:t xml:space="preserve">as a package </w:t>
      </w:r>
      <w:r w:rsidRPr="00C80BFE">
        <w:rPr>
          <w:rStyle w:val="Heading2Char"/>
          <w:b/>
          <w:bCs/>
        </w:rPr>
        <w:t>does not violate any regulatory principles or practices.</w:t>
      </w:r>
      <w:bookmarkEnd w:id="12"/>
      <w:bookmarkEnd w:id="13"/>
      <w:bookmarkEnd w:id="14"/>
      <w:bookmarkEnd w:id="15"/>
      <w:bookmarkEnd w:id="16"/>
    </w:p>
    <w:p w:rsidR="00C70D51" w:rsidRPr="00C80BFE" w:rsidP="00C70D51" w14:paraId="341B3CC2" w14:textId="07236B2E">
      <w:pPr>
        <w:spacing w:after="0" w:line="480" w:lineRule="auto"/>
        <w:ind w:firstLine="720"/>
        <w:rPr>
          <w:rFonts w:cs="Times New Roman"/>
          <w:szCs w:val="24"/>
        </w:rPr>
      </w:pPr>
      <w:r w:rsidRPr="00C80BFE">
        <w:rPr>
          <w:rFonts w:cs="Times New Roman"/>
          <w:szCs w:val="24"/>
        </w:rPr>
        <w:t>OCC explained in its initial brief how the Settlement</w:t>
      </w:r>
      <w:r w:rsidRPr="00C80BFE" w:rsidR="00660806">
        <w:rPr>
          <w:rFonts w:cs="Times New Roman"/>
          <w:szCs w:val="24"/>
        </w:rPr>
        <w:t xml:space="preserve"> package</w:t>
      </w:r>
      <w:r w:rsidRPr="00C80BFE">
        <w:rPr>
          <w:rFonts w:cs="Times New Roman"/>
          <w:szCs w:val="24"/>
        </w:rPr>
        <w:t xml:space="preserve"> is consistent with Ohio law and established regulatory principles and practices</w:t>
      </w:r>
      <w:r w:rsidRPr="00C80BFE" w:rsidR="002C6E5A">
        <w:rPr>
          <w:rFonts w:cs="Times New Roman"/>
          <w:szCs w:val="24"/>
        </w:rPr>
        <w:t>.</w:t>
      </w:r>
      <w:r>
        <w:rPr>
          <w:rStyle w:val="FootnoteReference"/>
          <w:rFonts w:cs="Times New Roman"/>
          <w:szCs w:val="24"/>
        </w:rPr>
        <w:footnoteReference w:id="79"/>
      </w:r>
      <w:r w:rsidRPr="00C80BFE" w:rsidR="002C6E5A">
        <w:rPr>
          <w:rFonts w:cs="Times New Roman"/>
          <w:szCs w:val="24"/>
        </w:rPr>
        <w:t xml:space="preserve"> OCC</w:t>
      </w:r>
      <w:r w:rsidRPr="00C80BFE" w:rsidR="00347110">
        <w:rPr>
          <w:rFonts w:cs="Times New Roman"/>
          <w:szCs w:val="24"/>
        </w:rPr>
        <w:t xml:space="preserve"> has </w:t>
      </w:r>
      <w:r w:rsidRPr="00C80BFE" w:rsidR="002C6E5A">
        <w:rPr>
          <w:rFonts w:cs="Times New Roman"/>
          <w:szCs w:val="24"/>
        </w:rPr>
        <w:t>already addresse</w:t>
      </w:r>
      <w:r w:rsidRPr="00C80BFE" w:rsidR="00347110">
        <w:rPr>
          <w:rFonts w:cs="Times New Roman"/>
          <w:szCs w:val="24"/>
        </w:rPr>
        <w:t>d</w:t>
      </w:r>
      <w:r w:rsidRPr="00C80BFE" w:rsidR="002C6E5A">
        <w:rPr>
          <w:rFonts w:cs="Times New Roman"/>
          <w:szCs w:val="24"/>
        </w:rPr>
        <w:t xml:space="preserve"> </w:t>
      </w:r>
      <w:r w:rsidRPr="00C80BFE" w:rsidR="00347110">
        <w:rPr>
          <w:rFonts w:cs="Times New Roman"/>
          <w:szCs w:val="24"/>
        </w:rPr>
        <w:t xml:space="preserve">in its brief </w:t>
      </w:r>
      <w:r w:rsidRPr="00C80BFE" w:rsidR="002C6E5A">
        <w:rPr>
          <w:rFonts w:cs="Times New Roman"/>
          <w:szCs w:val="24"/>
        </w:rPr>
        <w:t xml:space="preserve">some of the </w:t>
      </w:r>
      <w:r w:rsidRPr="00C80BFE" w:rsidR="00AD4FD7">
        <w:rPr>
          <w:rFonts w:cs="Times New Roman"/>
          <w:szCs w:val="24"/>
        </w:rPr>
        <w:t>Environmental Groups</w:t>
      </w:r>
      <w:r w:rsidRPr="00C80BFE" w:rsidR="002C6E5A">
        <w:rPr>
          <w:rFonts w:cs="Times New Roman"/>
          <w:szCs w:val="24"/>
        </w:rPr>
        <w:t xml:space="preserve">’ arguments and OCC will not repeat those arguments here. </w:t>
      </w:r>
      <w:r w:rsidRPr="00C80BFE" w:rsidR="00AD4FD7">
        <w:rPr>
          <w:rFonts w:cs="Times New Roman"/>
          <w:szCs w:val="24"/>
        </w:rPr>
        <w:t>Environmental Groups</w:t>
      </w:r>
      <w:r w:rsidRPr="00C80BFE" w:rsidR="002C6E5A">
        <w:rPr>
          <w:rFonts w:cs="Times New Roman"/>
          <w:szCs w:val="24"/>
        </w:rPr>
        <w:t>’ arguments that the Settlement violates regulatory principl</w:t>
      </w:r>
      <w:r w:rsidRPr="00C80BFE" w:rsidR="00347110">
        <w:rPr>
          <w:rFonts w:cs="Times New Roman"/>
          <w:szCs w:val="24"/>
        </w:rPr>
        <w:t>e</w:t>
      </w:r>
      <w:r w:rsidRPr="00C80BFE" w:rsidR="002C6E5A">
        <w:rPr>
          <w:rFonts w:cs="Times New Roman"/>
          <w:szCs w:val="24"/>
        </w:rPr>
        <w:t>s and practices should be rejected for the following additional reasons.</w:t>
      </w:r>
      <w:r w:rsidRPr="00C80BFE" w:rsidR="00165096">
        <w:rPr>
          <w:rFonts w:cs="Times New Roman"/>
          <w:szCs w:val="24"/>
        </w:rPr>
        <w:t xml:space="preserve"> </w:t>
      </w:r>
    </w:p>
    <w:p w:rsidR="0023256D" w:rsidRPr="00C80BFE" w:rsidP="0076385F" w14:paraId="6A85FDA9" w14:textId="4BE9840D">
      <w:pPr>
        <w:pStyle w:val="ListParagraph"/>
        <w:numPr>
          <w:ilvl w:val="0"/>
          <w:numId w:val="30"/>
        </w:numPr>
        <w:spacing w:after="0" w:line="240" w:lineRule="auto"/>
        <w:ind w:left="2160" w:hanging="720"/>
        <w:rPr>
          <w:rFonts w:ascii="Times New Roman" w:hAnsi="Times New Roman" w:cs="Times New Roman"/>
          <w:b/>
          <w:bCs/>
          <w:sz w:val="24"/>
          <w:szCs w:val="24"/>
        </w:rPr>
      </w:pPr>
      <w:bookmarkStart w:id="17" w:name="_Toc123050551"/>
      <w:r w:rsidRPr="00C80BFE">
        <w:rPr>
          <w:rStyle w:val="Heading3Char"/>
        </w:rPr>
        <w:t>The Settlement’s DSM provisions do not violate R.C. 4905.70 or R.C. 4929.02.</w:t>
      </w:r>
      <w:bookmarkEnd w:id="17"/>
    </w:p>
    <w:p w:rsidR="0023256D" w:rsidRPr="00C80BFE" w:rsidP="0023256D" w14:paraId="587BC2A9" w14:textId="77777777">
      <w:pPr>
        <w:pStyle w:val="ListParagraph"/>
        <w:spacing w:after="0" w:line="240" w:lineRule="auto"/>
        <w:ind w:left="1800"/>
        <w:rPr>
          <w:rFonts w:ascii="Times New Roman" w:hAnsi="Times New Roman" w:cs="Times New Roman"/>
          <w:b/>
          <w:bCs/>
          <w:sz w:val="24"/>
          <w:szCs w:val="24"/>
        </w:rPr>
      </w:pPr>
    </w:p>
    <w:p w:rsidR="00C83FF9" w:rsidRPr="00C80BFE" w:rsidP="00C83FF9" w14:paraId="23BAB2CC" w14:textId="77C77071">
      <w:pPr>
        <w:spacing w:after="0" w:line="480" w:lineRule="auto"/>
        <w:ind w:firstLine="720"/>
        <w:rPr>
          <w:rFonts w:cs="Times New Roman"/>
          <w:szCs w:val="24"/>
        </w:rPr>
      </w:pPr>
      <w:r w:rsidRPr="00C80BFE">
        <w:rPr>
          <w:rFonts w:cs="Times New Roman"/>
          <w:szCs w:val="24"/>
        </w:rPr>
        <w:t>Environmental Groups</w:t>
      </w:r>
      <w:r w:rsidRPr="00C80BFE" w:rsidR="003813F1">
        <w:rPr>
          <w:rFonts w:cs="Times New Roman"/>
          <w:szCs w:val="24"/>
        </w:rPr>
        <w:t xml:space="preserve"> argue that the</w:t>
      </w:r>
      <w:r w:rsidRPr="00C80BFE" w:rsidR="00255985">
        <w:rPr>
          <w:rFonts w:cs="Times New Roman"/>
          <w:szCs w:val="24"/>
        </w:rPr>
        <w:t xml:space="preserve"> Settlement</w:t>
      </w:r>
      <w:r w:rsidRPr="00C80BFE" w:rsidR="00502C71">
        <w:rPr>
          <w:rFonts w:cs="Times New Roman"/>
          <w:szCs w:val="24"/>
        </w:rPr>
        <w:t>’s elimination of the Columbia’s non-low-income DSM program violates state energy policy</w:t>
      </w:r>
      <w:r w:rsidRPr="00C80BFE" w:rsidR="00BA70C6">
        <w:rPr>
          <w:rFonts w:cs="Times New Roman"/>
          <w:szCs w:val="24"/>
        </w:rPr>
        <w:t xml:space="preserve"> and regulatory principles</w:t>
      </w:r>
      <w:r w:rsidRPr="00C80BFE" w:rsidR="006F5708">
        <w:rPr>
          <w:rFonts w:cs="Times New Roman"/>
          <w:szCs w:val="24"/>
        </w:rPr>
        <w:t xml:space="preserve"> under R.C. 4929.02(A)(4) and (12) and R.C. 4905.70</w:t>
      </w:r>
      <w:r w:rsidRPr="00C80BFE" w:rsidR="00BA70C6">
        <w:rPr>
          <w:rFonts w:cs="Times New Roman"/>
          <w:szCs w:val="24"/>
        </w:rPr>
        <w:t>.</w:t>
      </w:r>
      <w:r>
        <w:rPr>
          <w:rStyle w:val="FootnoteReference"/>
          <w:rFonts w:cs="Times New Roman"/>
          <w:szCs w:val="24"/>
        </w:rPr>
        <w:footnoteReference w:id="80"/>
      </w:r>
      <w:r w:rsidRPr="00C80BFE" w:rsidR="00C2541B">
        <w:rPr>
          <w:rFonts w:cs="Times New Roman"/>
          <w:szCs w:val="24"/>
        </w:rPr>
        <w:t xml:space="preserve"> </w:t>
      </w:r>
      <w:r w:rsidRPr="00C80BFE" w:rsidR="006F5708">
        <w:rPr>
          <w:rFonts w:cs="Times New Roman"/>
          <w:szCs w:val="24"/>
        </w:rPr>
        <w:t>Those arguments should be rejected</w:t>
      </w:r>
      <w:r w:rsidRPr="00C80BFE" w:rsidR="00C2541B">
        <w:rPr>
          <w:rFonts w:cs="Times New Roman"/>
          <w:szCs w:val="24"/>
        </w:rPr>
        <w:t>.</w:t>
      </w:r>
    </w:p>
    <w:p w:rsidR="00660806" w:rsidRPr="00C80BFE" w:rsidP="00C83FF9" w14:paraId="0922874E" w14:textId="20A15E18">
      <w:pPr>
        <w:spacing w:after="0" w:line="480" w:lineRule="auto"/>
        <w:ind w:firstLine="720"/>
        <w:rPr>
          <w:rFonts w:cs="Times New Roman"/>
          <w:szCs w:val="24"/>
        </w:rPr>
      </w:pPr>
      <w:r w:rsidRPr="00C80BFE">
        <w:rPr>
          <w:rFonts w:cs="Times New Roman"/>
          <w:szCs w:val="24"/>
        </w:rPr>
        <w:t>T</w:t>
      </w:r>
      <w:r w:rsidRPr="00C80BFE" w:rsidR="00C2541B">
        <w:rPr>
          <w:rFonts w:cs="Times New Roman"/>
          <w:szCs w:val="24"/>
        </w:rPr>
        <w:t xml:space="preserve">he PUCO </w:t>
      </w:r>
      <w:r w:rsidRPr="00C80BFE" w:rsidR="002C6E5A">
        <w:rPr>
          <w:rFonts w:cs="Times New Roman"/>
          <w:szCs w:val="24"/>
        </w:rPr>
        <w:t xml:space="preserve">has </w:t>
      </w:r>
      <w:r w:rsidRPr="00C80BFE" w:rsidR="00C2541B">
        <w:rPr>
          <w:rFonts w:cs="Times New Roman"/>
          <w:szCs w:val="24"/>
        </w:rPr>
        <w:t xml:space="preserve">rejected </w:t>
      </w:r>
      <w:r w:rsidRPr="00C80BFE" w:rsidR="002C6E5A">
        <w:rPr>
          <w:rFonts w:cs="Times New Roman"/>
          <w:szCs w:val="24"/>
        </w:rPr>
        <w:t>virtually identical</w:t>
      </w:r>
      <w:r w:rsidRPr="00C80BFE" w:rsidR="00C2541B">
        <w:rPr>
          <w:rFonts w:cs="Times New Roman"/>
          <w:szCs w:val="24"/>
        </w:rPr>
        <w:t xml:space="preserve"> claims by ELPC and OPAE in AEP’s most recent rate case</w:t>
      </w:r>
      <w:r w:rsidRPr="00C80BFE">
        <w:rPr>
          <w:rFonts w:cs="Times New Roman"/>
          <w:szCs w:val="24"/>
        </w:rPr>
        <w:t>.</w:t>
      </w:r>
      <w:r>
        <w:rPr>
          <w:rStyle w:val="FootnoteReference"/>
          <w:rFonts w:cs="Times New Roman"/>
          <w:szCs w:val="24"/>
        </w:rPr>
        <w:footnoteReference w:id="81"/>
      </w:r>
      <w:r w:rsidRPr="00C80BFE" w:rsidR="002C6E5A">
        <w:rPr>
          <w:rFonts w:cs="Times New Roman"/>
          <w:szCs w:val="24"/>
        </w:rPr>
        <w:t xml:space="preserve"> </w:t>
      </w:r>
      <w:r w:rsidRPr="00C80BFE">
        <w:rPr>
          <w:rFonts w:cs="Times New Roman"/>
          <w:szCs w:val="24"/>
        </w:rPr>
        <w:t>In the AEP rate case, the PUCO approved</w:t>
      </w:r>
      <w:r w:rsidRPr="00C80BFE" w:rsidR="002C6E5A">
        <w:rPr>
          <w:rFonts w:cs="Times New Roman"/>
          <w:szCs w:val="24"/>
        </w:rPr>
        <w:t xml:space="preserve"> a settlement that removed</w:t>
      </w:r>
      <w:r w:rsidRPr="00C80BFE" w:rsidR="00C2541B">
        <w:rPr>
          <w:rFonts w:cs="Times New Roman"/>
          <w:szCs w:val="24"/>
        </w:rPr>
        <w:t xml:space="preserve"> </w:t>
      </w:r>
      <w:r w:rsidRPr="00C80BFE" w:rsidR="006F5708">
        <w:rPr>
          <w:rFonts w:cs="Times New Roman"/>
          <w:szCs w:val="24"/>
        </w:rPr>
        <w:t>AEP</w:t>
      </w:r>
      <w:r w:rsidRPr="00C80BFE" w:rsidR="002C6E5A">
        <w:rPr>
          <w:rFonts w:cs="Times New Roman"/>
          <w:szCs w:val="24"/>
        </w:rPr>
        <w:t xml:space="preserve">’s </w:t>
      </w:r>
      <w:r w:rsidRPr="00C80BFE">
        <w:rPr>
          <w:rFonts w:cs="Times New Roman"/>
          <w:szCs w:val="24"/>
        </w:rPr>
        <w:t xml:space="preserve">initially proposed </w:t>
      </w:r>
      <w:r w:rsidRPr="00C80BFE" w:rsidR="00C2541B">
        <w:rPr>
          <w:rFonts w:cs="Times New Roman"/>
          <w:szCs w:val="24"/>
        </w:rPr>
        <w:t xml:space="preserve">DSM </w:t>
      </w:r>
      <w:r w:rsidRPr="00C80BFE" w:rsidR="006F5708">
        <w:rPr>
          <w:rFonts w:cs="Times New Roman"/>
          <w:szCs w:val="24"/>
        </w:rPr>
        <w:t>pr</w:t>
      </w:r>
      <w:r w:rsidRPr="00C80BFE">
        <w:rPr>
          <w:rFonts w:cs="Times New Roman"/>
          <w:szCs w:val="24"/>
        </w:rPr>
        <w:t>ogram</w:t>
      </w:r>
      <w:r w:rsidRPr="00C80BFE" w:rsidR="006F5708">
        <w:rPr>
          <w:rFonts w:cs="Times New Roman"/>
          <w:szCs w:val="24"/>
        </w:rPr>
        <w:t xml:space="preserve"> </w:t>
      </w:r>
      <w:r w:rsidRPr="00C80BFE" w:rsidR="006F5708">
        <w:rPr>
          <w:rFonts w:cs="Times New Roman"/>
          <w:i/>
          <w:iCs/>
          <w:szCs w:val="24"/>
        </w:rPr>
        <w:t>in its entirety</w:t>
      </w:r>
      <w:r w:rsidRPr="00C80BFE" w:rsidR="006F5708">
        <w:rPr>
          <w:rFonts w:cs="Times New Roman"/>
          <w:szCs w:val="24"/>
        </w:rPr>
        <w:t>.</w:t>
      </w:r>
      <w:r w:rsidRPr="00C80BFE">
        <w:rPr>
          <w:rFonts w:cs="Times New Roman"/>
          <w:szCs w:val="24"/>
        </w:rPr>
        <w:t xml:space="preserve"> That is similar to Columbia’s withdrawal of its non-low-income program in this Settlement.</w:t>
      </w:r>
      <w:r w:rsidR="00C80BFE">
        <w:rPr>
          <w:rFonts w:cs="Times New Roman"/>
          <w:szCs w:val="24"/>
        </w:rPr>
        <w:t xml:space="preserve"> </w:t>
      </w:r>
      <w:r w:rsidRPr="00C80BFE">
        <w:rPr>
          <w:rFonts w:cs="Times New Roman"/>
          <w:szCs w:val="24"/>
        </w:rPr>
        <w:t>(</w:t>
      </w:r>
      <w:r w:rsidRPr="00C80BFE">
        <w:rPr>
          <w:rFonts w:cs="Times New Roman"/>
          <w:szCs w:val="24"/>
        </w:rPr>
        <w:t xml:space="preserve">And </w:t>
      </w:r>
      <w:r w:rsidRPr="00C80BFE">
        <w:rPr>
          <w:rFonts w:cs="Times New Roman"/>
          <w:szCs w:val="24"/>
        </w:rPr>
        <w:t>here,</w:t>
      </w:r>
      <w:r w:rsidRPr="00C80BFE" w:rsidR="006F5708">
        <w:rPr>
          <w:rFonts w:cs="Times New Roman"/>
          <w:szCs w:val="24"/>
        </w:rPr>
        <w:t xml:space="preserve"> the Settlement preserves over $70 million in low-income weatherization through the WarmChoice® program.)</w:t>
      </w:r>
      <w:r w:rsidRPr="00C80BFE" w:rsidR="00165096">
        <w:rPr>
          <w:rFonts w:cs="Times New Roman"/>
          <w:szCs w:val="24"/>
        </w:rPr>
        <w:t xml:space="preserve"> </w:t>
      </w:r>
    </w:p>
    <w:p w:rsidR="006F5708" w:rsidRPr="00C80BFE" w:rsidP="00C83FF9" w14:paraId="3B9CE510" w14:textId="4EE382EC">
      <w:pPr>
        <w:spacing w:after="0" w:line="480" w:lineRule="auto"/>
        <w:ind w:firstLine="720"/>
        <w:rPr>
          <w:rFonts w:cs="Times New Roman"/>
          <w:szCs w:val="24"/>
        </w:rPr>
      </w:pPr>
      <w:r w:rsidRPr="00C80BFE">
        <w:rPr>
          <w:rFonts w:cs="Times New Roman"/>
          <w:szCs w:val="24"/>
        </w:rPr>
        <w:t>In the order approving the AEP rate case settlement, the PUCO found that:</w:t>
      </w:r>
    </w:p>
    <w:p w:rsidR="006F5708" w:rsidRPr="00C80BFE" w:rsidP="006F5708" w14:paraId="5481B318" w14:textId="0859C008">
      <w:pPr>
        <w:spacing w:after="0" w:line="240" w:lineRule="auto"/>
        <w:ind w:left="720" w:right="720"/>
        <w:rPr>
          <w:rFonts w:cs="Times New Roman"/>
          <w:szCs w:val="24"/>
        </w:rPr>
      </w:pPr>
      <w:r w:rsidRPr="00C80BFE">
        <w:rPr>
          <w:rFonts w:cs="Times New Roman"/>
          <w:szCs w:val="24"/>
        </w:rPr>
        <w:t>OPAE and the Environmental Advocates have not shown that, by omitting a DSM plan from its provisions, the Stipulation fails to comply with the third part of the three</w:t>
      </w:r>
      <w:r w:rsidRPr="00C80BFE" w:rsidR="00C83FF9">
        <w:rPr>
          <w:rFonts w:cs="Times New Roman"/>
          <w:szCs w:val="24"/>
        </w:rPr>
        <w:t xml:space="preserve"> </w:t>
      </w:r>
      <w:r w:rsidRPr="00C80BFE">
        <w:rPr>
          <w:rFonts w:cs="Times New Roman"/>
          <w:szCs w:val="24"/>
        </w:rPr>
        <w:t xml:space="preserve">part test. We agree with the Signatory Parties that there is no basis, under current Ohio law, to conclude that electric distribution rates are inherently unjust or unreasonable if they do not include a DSM component. </w:t>
      </w:r>
      <w:r w:rsidRPr="00C80BFE">
        <w:rPr>
          <w:rFonts w:cs="Times New Roman"/>
          <w:b/>
          <w:bCs/>
          <w:i/>
          <w:iCs/>
          <w:szCs w:val="24"/>
        </w:rPr>
        <w:t>Contrary to the position of OPAE and Environmental Advocates, no portion of R.C. 4905.70 requires the Commission to mandate the implementation of a DSM</w:t>
      </w:r>
      <w:r w:rsidRPr="00C80BFE" w:rsidR="00AF56EA">
        <w:rPr>
          <w:rFonts w:cs="Times New Roman"/>
          <w:b/>
          <w:bCs/>
          <w:i/>
          <w:iCs/>
          <w:szCs w:val="24"/>
        </w:rPr>
        <w:t xml:space="preserve"> plan as part of a distribution rate case. Neither does R.C. 4928.02 dictate such an outcome.</w:t>
      </w:r>
      <w:r w:rsidRPr="00C80BFE" w:rsidR="00AF56EA">
        <w:rPr>
          <w:rFonts w:cs="Times New Roman"/>
          <w:szCs w:val="24"/>
        </w:rPr>
        <w:t xml:space="preserve"> Further, Environmental Advocates have not supported their contention that the Stipulation will result in customers paying for electricity that they do not need. </w:t>
      </w:r>
      <w:r w:rsidRPr="00C80BFE" w:rsidR="00AF56EA">
        <w:rPr>
          <w:rFonts w:cs="Times New Roman"/>
          <w:b/>
          <w:bCs/>
          <w:i/>
          <w:iCs/>
          <w:szCs w:val="24"/>
        </w:rPr>
        <w:t>No part of the Stipulation precludes customers from undertaking energy efficiency measures on their own initiative through market-based products or services.</w:t>
      </w:r>
      <w:r w:rsidRPr="00C80BFE" w:rsidR="00AF56EA">
        <w:rPr>
          <w:rFonts w:cs="Times New Roman"/>
          <w:szCs w:val="24"/>
        </w:rPr>
        <w:t xml:space="preserve"> Although we find that OPAE and Environmental Advocates have not sustained their position here, we note that the Commission has announced its intention to hold a series of energy efficiency workshops to solicit the views of interested stakeholders on whether cost-effective energy efficiency programs are an appropriate tool to manage electric generation costs and how such programs fit into Ohio’s competitive retail electric and natural gas markets. We, therefore, plan to fully consider these issues in a broader context than the distribution rate case of a single electric distribution utility.</w:t>
      </w:r>
      <w:r>
        <w:rPr>
          <w:rStyle w:val="FootnoteReference"/>
          <w:rFonts w:cs="Times New Roman"/>
          <w:szCs w:val="24"/>
        </w:rPr>
        <w:footnoteReference w:id="82"/>
      </w:r>
    </w:p>
    <w:p w:rsidR="006F5708" w:rsidRPr="00C80BFE" w:rsidP="006F5708" w14:paraId="33154AFF" w14:textId="52EAE297">
      <w:pPr>
        <w:spacing w:after="0" w:line="240" w:lineRule="auto"/>
        <w:ind w:left="720" w:right="720"/>
        <w:rPr>
          <w:rFonts w:cs="Times New Roman"/>
          <w:szCs w:val="24"/>
        </w:rPr>
      </w:pPr>
    </w:p>
    <w:p w:rsidR="00513F26" w:rsidRPr="00C80BFE" w:rsidP="00C83FF9" w14:paraId="025296C3" w14:textId="320763E3">
      <w:pPr>
        <w:spacing w:after="0" w:line="480" w:lineRule="auto"/>
        <w:ind w:firstLine="720"/>
        <w:rPr>
          <w:rFonts w:cs="Times New Roman"/>
          <w:szCs w:val="24"/>
        </w:rPr>
      </w:pPr>
      <w:r w:rsidRPr="00C80BFE">
        <w:rPr>
          <w:rFonts w:cs="Times New Roman"/>
          <w:szCs w:val="24"/>
        </w:rPr>
        <w:t xml:space="preserve">Here, </w:t>
      </w:r>
      <w:r w:rsidRPr="00C80BFE" w:rsidR="00AD4FD7">
        <w:rPr>
          <w:rFonts w:cs="Times New Roman"/>
          <w:szCs w:val="24"/>
        </w:rPr>
        <w:t>Environmental Groups</w:t>
      </w:r>
      <w:r w:rsidRPr="00C80BFE">
        <w:rPr>
          <w:rFonts w:cs="Times New Roman"/>
          <w:szCs w:val="24"/>
        </w:rPr>
        <w:t xml:space="preserve"> have also failed to demonstrate that the Settlement will result in consumers paying for more energy than they need. And just like </w:t>
      </w:r>
      <w:r w:rsidRPr="00C80BFE">
        <w:rPr>
          <w:rFonts w:cs="Times New Roman"/>
          <w:szCs w:val="24"/>
        </w:rPr>
        <w:t xml:space="preserve">the AEP settlement, nothing in the Settlement </w:t>
      </w:r>
      <w:r w:rsidRPr="00C80BFE">
        <w:rPr>
          <w:rFonts w:cs="Times New Roman"/>
          <w:szCs w:val="24"/>
        </w:rPr>
        <w:t>here</w:t>
      </w:r>
      <w:r w:rsidRPr="00C80BFE">
        <w:rPr>
          <w:rFonts w:cs="Times New Roman"/>
          <w:szCs w:val="24"/>
        </w:rPr>
        <w:t xml:space="preserve"> precludes consumers from taking advantage of energy efficiency programs available through the competitive market.</w:t>
      </w:r>
      <w:r>
        <w:rPr>
          <w:rStyle w:val="FootnoteReference"/>
          <w:rFonts w:cs="Times New Roman"/>
          <w:szCs w:val="24"/>
        </w:rPr>
        <w:footnoteReference w:id="83"/>
      </w:r>
      <w:r w:rsidRPr="00C80BFE">
        <w:rPr>
          <w:rFonts w:cs="Times New Roman"/>
          <w:szCs w:val="24"/>
        </w:rPr>
        <w:t xml:space="preserve"> </w:t>
      </w:r>
      <w:r w:rsidRPr="00C80BFE" w:rsidR="007930DC">
        <w:rPr>
          <w:rFonts w:cs="Times New Roman"/>
          <w:szCs w:val="24"/>
        </w:rPr>
        <w:t>Thus, the Settlement</w:t>
      </w:r>
      <w:r w:rsidRPr="00C80BFE" w:rsidR="00660806">
        <w:rPr>
          <w:rFonts w:cs="Times New Roman"/>
          <w:szCs w:val="24"/>
        </w:rPr>
        <w:t>, as a package,</w:t>
      </w:r>
      <w:r w:rsidRPr="00C80BFE" w:rsidR="007930DC">
        <w:rPr>
          <w:rFonts w:cs="Times New Roman"/>
          <w:szCs w:val="24"/>
        </w:rPr>
        <w:t xml:space="preserve"> does not violate regulatory policy set forth in R.C. 4929.02 or R.C. 4905.70 as </w:t>
      </w:r>
      <w:r w:rsidRPr="00C80BFE" w:rsidR="00AD4FD7">
        <w:rPr>
          <w:rFonts w:cs="Times New Roman"/>
          <w:szCs w:val="24"/>
        </w:rPr>
        <w:t>Environmental Groups</w:t>
      </w:r>
      <w:r w:rsidRPr="00C80BFE" w:rsidR="007930DC">
        <w:rPr>
          <w:rFonts w:cs="Times New Roman"/>
          <w:szCs w:val="24"/>
        </w:rPr>
        <w:t xml:space="preserve"> claim.</w:t>
      </w:r>
    </w:p>
    <w:p w:rsidR="00DF294A" w:rsidRPr="00C80BFE" w:rsidP="00DF294A" w14:paraId="4FD19B2E" w14:textId="55EC382A">
      <w:pPr>
        <w:spacing w:after="0" w:line="480" w:lineRule="auto"/>
        <w:ind w:firstLine="720"/>
        <w:rPr>
          <w:rFonts w:cs="Times New Roman"/>
          <w:szCs w:val="24"/>
        </w:rPr>
      </w:pPr>
      <w:r w:rsidRPr="00C80BFE">
        <w:rPr>
          <w:rFonts w:cs="Times New Roman"/>
          <w:szCs w:val="24"/>
        </w:rPr>
        <w:t>Environmental Groups</w:t>
      </w:r>
      <w:r w:rsidRPr="00C80BFE" w:rsidR="00627F54">
        <w:rPr>
          <w:rFonts w:cs="Times New Roman"/>
          <w:szCs w:val="24"/>
        </w:rPr>
        <w:t xml:space="preserve"> </w:t>
      </w:r>
      <w:r w:rsidRPr="00C80BFE" w:rsidR="00C83FF9">
        <w:rPr>
          <w:rFonts w:cs="Times New Roman"/>
          <w:szCs w:val="24"/>
        </w:rPr>
        <w:t>acknowledge the AEP rate case order</w:t>
      </w:r>
      <w:r w:rsidRPr="00C80BFE" w:rsidR="00AE4AF9">
        <w:rPr>
          <w:rFonts w:cs="Times New Roman"/>
          <w:szCs w:val="24"/>
        </w:rPr>
        <w:t>.</w:t>
      </w:r>
      <w:r>
        <w:rPr>
          <w:rStyle w:val="FootnoteReference"/>
          <w:rFonts w:cs="Times New Roman"/>
          <w:szCs w:val="24"/>
        </w:rPr>
        <w:footnoteReference w:id="84"/>
      </w:r>
      <w:r w:rsidRPr="00C80BFE" w:rsidR="00AE4AF9">
        <w:rPr>
          <w:rFonts w:cs="Times New Roman"/>
          <w:szCs w:val="24"/>
        </w:rPr>
        <w:t xml:space="preserve"> However, they </w:t>
      </w:r>
      <w:r w:rsidRPr="00C80BFE" w:rsidR="00627F54">
        <w:rPr>
          <w:rFonts w:cs="Times New Roman"/>
          <w:szCs w:val="24"/>
        </w:rPr>
        <w:t>argue that</w:t>
      </w:r>
      <w:r w:rsidRPr="00C80BFE" w:rsidR="007A7680">
        <w:rPr>
          <w:rFonts w:cs="Times New Roman"/>
          <w:szCs w:val="24"/>
        </w:rPr>
        <w:t xml:space="preserve"> the </w:t>
      </w:r>
      <w:r w:rsidRPr="00C80BFE" w:rsidR="00AE4AF9">
        <w:rPr>
          <w:rFonts w:cs="Times New Roman"/>
          <w:szCs w:val="24"/>
        </w:rPr>
        <w:t xml:space="preserve">PUCO should reject the Settlement here because the </w:t>
      </w:r>
      <w:r w:rsidRPr="00C80BFE" w:rsidR="007A7680">
        <w:rPr>
          <w:rFonts w:cs="Times New Roman"/>
          <w:szCs w:val="24"/>
        </w:rPr>
        <w:t>energy efficiency workshops referenced in the AEP rate case order</w:t>
      </w:r>
      <w:r w:rsidRPr="00C80BFE" w:rsidR="00FD3C60">
        <w:rPr>
          <w:rFonts w:cs="Times New Roman"/>
          <w:szCs w:val="24"/>
        </w:rPr>
        <w:t xml:space="preserve"> </w:t>
      </w:r>
      <w:r w:rsidRPr="00C80BFE" w:rsidR="00AE4AF9">
        <w:rPr>
          <w:rFonts w:cs="Times New Roman"/>
          <w:szCs w:val="24"/>
        </w:rPr>
        <w:t>have since occurred and</w:t>
      </w:r>
      <w:r w:rsidRPr="00C80BFE" w:rsidR="00FD3C60">
        <w:rPr>
          <w:rFonts w:cs="Times New Roman"/>
          <w:szCs w:val="24"/>
        </w:rPr>
        <w:t xml:space="preserve"> </w:t>
      </w:r>
      <w:r w:rsidRPr="00C80BFE" w:rsidR="00660806">
        <w:rPr>
          <w:rFonts w:cs="Times New Roman"/>
          <w:szCs w:val="24"/>
        </w:rPr>
        <w:t xml:space="preserve">the </w:t>
      </w:r>
      <w:r w:rsidRPr="00C80BFE" w:rsidR="00FD3C60">
        <w:rPr>
          <w:rFonts w:cs="Times New Roman"/>
          <w:szCs w:val="24"/>
        </w:rPr>
        <w:t xml:space="preserve">PUCO </w:t>
      </w:r>
      <w:r w:rsidRPr="00C80BFE" w:rsidR="00AE4AF9">
        <w:rPr>
          <w:rFonts w:cs="Times New Roman"/>
          <w:szCs w:val="24"/>
        </w:rPr>
        <w:t xml:space="preserve">has </w:t>
      </w:r>
      <w:r w:rsidRPr="00C80BFE" w:rsidR="00FD3C60">
        <w:rPr>
          <w:rFonts w:cs="Times New Roman"/>
          <w:szCs w:val="24"/>
        </w:rPr>
        <w:t xml:space="preserve">encouraged </w:t>
      </w:r>
      <w:r w:rsidRPr="00C80BFE" w:rsidR="00AE4AF9">
        <w:rPr>
          <w:rFonts w:cs="Times New Roman"/>
          <w:szCs w:val="24"/>
        </w:rPr>
        <w:t xml:space="preserve">stakeholders to pursue </w:t>
      </w:r>
      <w:r w:rsidRPr="00C80BFE" w:rsidR="00FD3C60">
        <w:rPr>
          <w:rFonts w:cs="Times New Roman"/>
          <w:szCs w:val="24"/>
        </w:rPr>
        <w:t xml:space="preserve">energy </w:t>
      </w:r>
      <w:r w:rsidRPr="00C80BFE" w:rsidR="008F1E13">
        <w:rPr>
          <w:rFonts w:cs="Times New Roman"/>
          <w:szCs w:val="24"/>
        </w:rPr>
        <w:t xml:space="preserve">efficiency </w:t>
      </w:r>
      <w:r w:rsidRPr="00C80BFE" w:rsidR="00FD3C60">
        <w:rPr>
          <w:rFonts w:cs="Times New Roman"/>
          <w:szCs w:val="24"/>
        </w:rPr>
        <w:t>initiatives</w:t>
      </w:r>
      <w:r w:rsidRPr="00C80BFE" w:rsidR="007A7680">
        <w:rPr>
          <w:rFonts w:cs="Times New Roman"/>
          <w:szCs w:val="24"/>
        </w:rPr>
        <w:t>.</w:t>
      </w:r>
      <w:r>
        <w:rPr>
          <w:rStyle w:val="FootnoteReference"/>
          <w:rFonts w:cs="Times New Roman"/>
          <w:szCs w:val="24"/>
        </w:rPr>
        <w:footnoteReference w:id="85"/>
      </w:r>
      <w:r w:rsidRPr="00C80BFE" w:rsidR="00642450">
        <w:rPr>
          <w:rFonts w:cs="Times New Roman"/>
          <w:szCs w:val="24"/>
        </w:rPr>
        <w:t xml:space="preserve"> </w:t>
      </w:r>
      <w:r w:rsidRPr="00C80BFE" w:rsidR="00AE4AF9">
        <w:rPr>
          <w:rFonts w:cs="Times New Roman"/>
          <w:szCs w:val="24"/>
        </w:rPr>
        <w:t>But, as</w:t>
      </w:r>
      <w:r w:rsidRPr="00C80BFE" w:rsidR="001C2CD5">
        <w:rPr>
          <w:rFonts w:cs="Times New Roman"/>
          <w:szCs w:val="24"/>
        </w:rPr>
        <w:t xml:space="preserve"> CUB Ohio </w:t>
      </w:r>
      <w:r w:rsidRPr="00C80BFE" w:rsidR="001507B4">
        <w:rPr>
          <w:rFonts w:cs="Times New Roman"/>
          <w:szCs w:val="24"/>
        </w:rPr>
        <w:t>concedes</w:t>
      </w:r>
      <w:r w:rsidRPr="00C80BFE" w:rsidR="001C2CD5">
        <w:rPr>
          <w:rFonts w:cs="Times New Roman"/>
          <w:szCs w:val="24"/>
        </w:rPr>
        <w:t xml:space="preserve">, the </w:t>
      </w:r>
      <w:r w:rsidRPr="00C80BFE" w:rsidR="00AE4AF9">
        <w:rPr>
          <w:rFonts w:cs="Times New Roman"/>
          <w:szCs w:val="24"/>
        </w:rPr>
        <w:t xml:space="preserve">energy efficiency </w:t>
      </w:r>
      <w:r w:rsidRPr="00C80BFE" w:rsidR="001C2CD5">
        <w:rPr>
          <w:rFonts w:cs="Times New Roman"/>
          <w:szCs w:val="24"/>
        </w:rPr>
        <w:t>workshops “were not definitive of a statewide policy.”</w:t>
      </w:r>
      <w:r>
        <w:rPr>
          <w:rStyle w:val="FootnoteReference"/>
          <w:rFonts w:cs="Times New Roman"/>
          <w:szCs w:val="24"/>
        </w:rPr>
        <w:footnoteReference w:id="86"/>
      </w:r>
      <w:r w:rsidRPr="00C80BFE" w:rsidR="001C2CD5">
        <w:rPr>
          <w:rFonts w:cs="Times New Roman"/>
          <w:szCs w:val="24"/>
        </w:rPr>
        <w:t xml:space="preserve"> </w:t>
      </w:r>
      <w:r w:rsidRPr="00C80BFE" w:rsidR="00AE4AF9">
        <w:rPr>
          <w:rFonts w:cs="Times New Roman"/>
          <w:szCs w:val="24"/>
        </w:rPr>
        <w:t>In addition, neither</w:t>
      </w:r>
      <w:r w:rsidRPr="00C80BFE" w:rsidR="007B6CA7">
        <w:rPr>
          <w:rFonts w:cs="Times New Roman"/>
          <w:szCs w:val="24"/>
        </w:rPr>
        <w:t xml:space="preserve"> R.C. 4929.02 </w:t>
      </w:r>
      <w:r w:rsidRPr="00C80BFE" w:rsidR="004C6A0D">
        <w:rPr>
          <w:rFonts w:cs="Times New Roman"/>
          <w:szCs w:val="24"/>
        </w:rPr>
        <w:t>n</w:t>
      </w:r>
      <w:r w:rsidRPr="00C80BFE" w:rsidR="007B6CA7">
        <w:rPr>
          <w:rFonts w:cs="Times New Roman"/>
          <w:szCs w:val="24"/>
        </w:rPr>
        <w:t>or R.C. 4905.70</w:t>
      </w:r>
      <w:r w:rsidRPr="00C80BFE" w:rsidR="00F8737E">
        <w:rPr>
          <w:rFonts w:cs="Times New Roman"/>
          <w:szCs w:val="24"/>
        </w:rPr>
        <w:t xml:space="preserve"> </w:t>
      </w:r>
      <w:r w:rsidRPr="00C80BFE" w:rsidR="00AE4AF9">
        <w:rPr>
          <w:rFonts w:cs="Times New Roman"/>
          <w:szCs w:val="24"/>
        </w:rPr>
        <w:t xml:space="preserve">has changed. Thus, Ohio law </w:t>
      </w:r>
      <w:r w:rsidRPr="00C80BFE" w:rsidR="00DA1BD0">
        <w:rPr>
          <w:rFonts w:cs="Times New Roman"/>
          <w:szCs w:val="24"/>
        </w:rPr>
        <w:t xml:space="preserve">still </w:t>
      </w:r>
      <w:r w:rsidRPr="00C80BFE" w:rsidR="00AE4AF9">
        <w:rPr>
          <w:rFonts w:cs="Times New Roman"/>
          <w:szCs w:val="24"/>
        </w:rPr>
        <w:t xml:space="preserve">does not </w:t>
      </w:r>
      <w:r w:rsidRPr="00C80BFE" w:rsidR="00F8737E">
        <w:rPr>
          <w:rFonts w:cs="Times New Roman"/>
          <w:szCs w:val="24"/>
        </w:rPr>
        <w:t>require the PUCO</w:t>
      </w:r>
      <w:r w:rsidRPr="00C80BFE" w:rsidR="007B6CA7">
        <w:rPr>
          <w:rFonts w:cs="Times New Roman"/>
          <w:szCs w:val="24"/>
        </w:rPr>
        <w:t xml:space="preserve"> to mandate </w:t>
      </w:r>
      <w:r w:rsidRPr="00C80BFE" w:rsidR="00CB4907">
        <w:rPr>
          <w:rFonts w:cs="Times New Roman"/>
          <w:szCs w:val="24"/>
        </w:rPr>
        <w:t xml:space="preserve">the implementation of a DSM plan through </w:t>
      </w:r>
      <w:r w:rsidRPr="00C80BFE" w:rsidR="00AE4AF9">
        <w:rPr>
          <w:rFonts w:cs="Times New Roman"/>
          <w:szCs w:val="24"/>
        </w:rPr>
        <w:t>Columbia’s</w:t>
      </w:r>
      <w:r w:rsidRPr="00C80BFE" w:rsidR="00922489">
        <w:rPr>
          <w:rFonts w:cs="Times New Roman"/>
          <w:szCs w:val="24"/>
        </w:rPr>
        <w:t xml:space="preserve"> </w:t>
      </w:r>
      <w:r w:rsidRPr="00C80BFE" w:rsidR="00CB4907">
        <w:rPr>
          <w:rFonts w:cs="Times New Roman"/>
          <w:szCs w:val="24"/>
        </w:rPr>
        <w:t>distribution rates.</w:t>
      </w:r>
      <w:r w:rsidRPr="00C80BFE" w:rsidR="00752592">
        <w:rPr>
          <w:rFonts w:cs="Times New Roman"/>
          <w:szCs w:val="24"/>
        </w:rPr>
        <w:t xml:space="preserve"> </w:t>
      </w:r>
    </w:p>
    <w:p w:rsidR="0076385F" w:rsidRPr="00C80BFE" w:rsidP="00922489" w14:paraId="374CA2E0" w14:textId="5F1F6A90">
      <w:pPr>
        <w:spacing w:after="0" w:line="480" w:lineRule="auto"/>
        <w:ind w:firstLine="720"/>
        <w:rPr>
          <w:rFonts w:cs="Times New Roman"/>
          <w:szCs w:val="24"/>
        </w:rPr>
      </w:pPr>
      <w:r w:rsidRPr="00C80BFE">
        <w:rPr>
          <w:rFonts w:cs="Times New Roman"/>
          <w:szCs w:val="24"/>
        </w:rPr>
        <w:t>Moreover,</w:t>
      </w:r>
      <w:r w:rsidRPr="00C80BFE" w:rsidR="00922489">
        <w:rPr>
          <w:rFonts w:cs="Times New Roman"/>
          <w:szCs w:val="24"/>
        </w:rPr>
        <w:t xml:space="preserve"> </w:t>
      </w:r>
      <w:r w:rsidRPr="00C80BFE" w:rsidR="00DA1BD0">
        <w:rPr>
          <w:rFonts w:cs="Times New Roman"/>
          <w:szCs w:val="24"/>
        </w:rPr>
        <w:t xml:space="preserve">and </w:t>
      </w:r>
      <w:r w:rsidRPr="00C80BFE" w:rsidR="00922489">
        <w:rPr>
          <w:rFonts w:cs="Times New Roman"/>
          <w:szCs w:val="24"/>
        </w:rPr>
        <w:t>despite ELPC’s claims to the contrary,</w:t>
      </w:r>
      <w:r>
        <w:rPr>
          <w:rStyle w:val="FootnoteReference"/>
          <w:rFonts w:cs="Times New Roman"/>
          <w:szCs w:val="24"/>
        </w:rPr>
        <w:footnoteReference w:id="87"/>
      </w:r>
      <w:r w:rsidRPr="00C80BFE" w:rsidR="00922489">
        <w:rPr>
          <w:rFonts w:cs="Times New Roman"/>
          <w:szCs w:val="24"/>
        </w:rPr>
        <w:t xml:space="preserve"> </w:t>
      </w:r>
      <w:r w:rsidRPr="00C80BFE" w:rsidR="00752592">
        <w:rPr>
          <w:rFonts w:cs="Times New Roman"/>
          <w:szCs w:val="24"/>
        </w:rPr>
        <w:t>the parties</w:t>
      </w:r>
      <w:r w:rsidRPr="00C80BFE" w:rsidR="00DA1BD0">
        <w:rPr>
          <w:rFonts w:cs="Times New Roman"/>
          <w:szCs w:val="24"/>
        </w:rPr>
        <w:t xml:space="preserve"> did</w:t>
      </w:r>
      <w:r w:rsidRPr="00C80BFE" w:rsidR="00752592">
        <w:rPr>
          <w:rFonts w:cs="Times New Roman"/>
          <w:szCs w:val="24"/>
        </w:rPr>
        <w:t xml:space="preserve"> work </w:t>
      </w:r>
      <w:r w:rsidRPr="00C80BFE" w:rsidR="00922489">
        <w:rPr>
          <w:rFonts w:cs="Times New Roman"/>
          <w:szCs w:val="24"/>
        </w:rPr>
        <w:t>“</w:t>
      </w:r>
      <w:r w:rsidRPr="00C80BFE" w:rsidR="00752592">
        <w:rPr>
          <w:rFonts w:cs="Times New Roman"/>
          <w:szCs w:val="24"/>
        </w:rPr>
        <w:t>collaboratively</w:t>
      </w:r>
      <w:r w:rsidRPr="00C80BFE" w:rsidR="00922489">
        <w:rPr>
          <w:rFonts w:cs="Times New Roman"/>
          <w:szCs w:val="24"/>
        </w:rPr>
        <w:t xml:space="preserve"> and cooperatively”</w:t>
      </w:r>
      <w:r w:rsidRPr="00C80BFE" w:rsidR="00752592">
        <w:rPr>
          <w:rFonts w:cs="Times New Roman"/>
          <w:szCs w:val="24"/>
        </w:rPr>
        <w:t xml:space="preserve"> through the settlement process in this case</w:t>
      </w:r>
      <w:r w:rsidRPr="00C80BFE" w:rsidR="00660806">
        <w:rPr>
          <w:rFonts w:cs="Times New Roman"/>
          <w:szCs w:val="24"/>
        </w:rPr>
        <w:t>. That is</w:t>
      </w:r>
      <w:r w:rsidRPr="00C80BFE" w:rsidR="00922489">
        <w:rPr>
          <w:rFonts w:cs="Times New Roman"/>
          <w:szCs w:val="24"/>
        </w:rPr>
        <w:t xml:space="preserve"> consistent with </w:t>
      </w:r>
      <w:r w:rsidRPr="00C80BFE" w:rsidR="00660806">
        <w:rPr>
          <w:rFonts w:cs="Times New Roman"/>
          <w:szCs w:val="24"/>
        </w:rPr>
        <w:t>the PUCO</w:t>
      </w:r>
      <w:r w:rsidRPr="00C80BFE" w:rsidR="00922489">
        <w:rPr>
          <w:rFonts w:cs="Times New Roman"/>
          <w:szCs w:val="24"/>
        </w:rPr>
        <w:t xml:space="preserve"> statements cited by ELPC</w:t>
      </w:r>
      <w:r>
        <w:rPr>
          <w:rStyle w:val="FootnoteReference"/>
          <w:rFonts w:cs="Times New Roman"/>
          <w:szCs w:val="24"/>
        </w:rPr>
        <w:footnoteReference w:id="88"/>
      </w:r>
      <w:r w:rsidRPr="00C80BFE" w:rsidR="00752592">
        <w:rPr>
          <w:rFonts w:cs="Times New Roman"/>
          <w:szCs w:val="24"/>
        </w:rPr>
        <w:t xml:space="preserve"> to preserve </w:t>
      </w:r>
      <w:r w:rsidRPr="00C80BFE" w:rsidR="004C6A0D">
        <w:rPr>
          <w:rFonts w:cs="Times New Roman"/>
          <w:szCs w:val="24"/>
        </w:rPr>
        <w:t xml:space="preserve">over $70 million in </w:t>
      </w:r>
      <w:r w:rsidRPr="00C80BFE" w:rsidR="00752592">
        <w:rPr>
          <w:rFonts w:cs="Times New Roman"/>
          <w:szCs w:val="24"/>
        </w:rPr>
        <w:t xml:space="preserve">low-income weatherization through </w:t>
      </w:r>
      <w:r w:rsidRPr="00C80BFE" w:rsidR="00922489">
        <w:rPr>
          <w:rFonts w:cs="Times New Roman"/>
          <w:szCs w:val="24"/>
        </w:rPr>
        <w:t xml:space="preserve">the </w:t>
      </w:r>
      <w:r w:rsidRPr="00C80BFE" w:rsidR="00752592">
        <w:rPr>
          <w:rFonts w:cs="Times New Roman"/>
          <w:szCs w:val="24"/>
        </w:rPr>
        <w:t>WarmChoice®</w:t>
      </w:r>
      <w:r w:rsidRPr="00C80BFE" w:rsidR="00922489">
        <w:rPr>
          <w:rFonts w:cs="Times New Roman"/>
          <w:szCs w:val="24"/>
        </w:rPr>
        <w:t xml:space="preserve"> program</w:t>
      </w:r>
      <w:r w:rsidRPr="00C80BFE" w:rsidR="00752592">
        <w:rPr>
          <w:rFonts w:cs="Times New Roman"/>
          <w:szCs w:val="24"/>
        </w:rPr>
        <w:t>.</w:t>
      </w:r>
      <w:r w:rsidRPr="00C80BFE" w:rsidR="00DF294A">
        <w:rPr>
          <w:rFonts w:cs="Times New Roman"/>
          <w:szCs w:val="24"/>
        </w:rPr>
        <w:t xml:space="preserve"> </w:t>
      </w:r>
      <w:r w:rsidRPr="00C80BFE" w:rsidR="00922489">
        <w:rPr>
          <w:rFonts w:cs="Times New Roman"/>
          <w:szCs w:val="24"/>
        </w:rPr>
        <w:t>While t</w:t>
      </w:r>
      <w:r w:rsidRPr="00C80BFE" w:rsidR="00DF294A">
        <w:rPr>
          <w:rFonts w:cs="Times New Roman"/>
          <w:szCs w:val="24"/>
        </w:rPr>
        <w:t xml:space="preserve">he Settlement </w:t>
      </w:r>
      <w:r w:rsidRPr="00C80BFE" w:rsidR="00922489">
        <w:rPr>
          <w:rFonts w:cs="Times New Roman"/>
          <w:szCs w:val="24"/>
        </w:rPr>
        <w:t xml:space="preserve">did </w:t>
      </w:r>
      <w:r w:rsidRPr="00C80BFE" w:rsidR="00DF294A">
        <w:rPr>
          <w:rFonts w:cs="Times New Roman"/>
          <w:szCs w:val="24"/>
        </w:rPr>
        <w:t>not include the entire DSM portfolio Columbia initially proposed</w:t>
      </w:r>
      <w:r w:rsidRPr="00C80BFE" w:rsidR="001809F6">
        <w:rPr>
          <w:rFonts w:cs="Times New Roman"/>
          <w:szCs w:val="24"/>
        </w:rPr>
        <w:t xml:space="preserve"> (or the expansion of DSM </w:t>
      </w:r>
      <w:r w:rsidRPr="00C80BFE" w:rsidR="00DA1BD0">
        <w:rPr>
          <w:rFonts w:cs="Times New Roman"/>
          <w:szCs w:val="24"/>
        </w:rPr>
        <w:t xml:space="preserve">at consumer expense </w:t>
      </w:r>
      <w:r w:rsidRPr="00C80BFE" w:rsidR="001809F6">
        <w:rPr>
          <w:rFonts w:cs="Times New Roman"/>
          <w:szCs w:val="24"/>
        </w:rPr>
        <w:t xml:space="preserve">that </w:t>
      </w:r>
      <w:r w:rsidRPr="00C80BFE" w:rsidR="00AD4FD7">
        <w:rPr>
          <w:rFonts w:cs="Times New Roman"/>
          <w:szCs w:val="24"/>
        </w:rPr>
        <w:t>Environmental Groups</w:t>
      </w:r>
      <w:r w:rsidRPr="00C80BFE" w:rsidR="001809F6">
        <w:rPr>
          <w:rFonts w:cs="Times New Roman"/>
          <w:szCs w:val="24"/>
        </w:rPr>
        <w:t xml:space="preserve"> want), the</w:t>
      </w:r>
      <w:r w:rsidRPr="00C80BFE" w:rsidR="00106CA4">
        <w:rPr>
          <w:rFonts w:cs="Times New Roman"/>
          <w:szCs w:val="24"/>
        </w:rPr>
        <w:t xml:space="preserve"> considerable funding of</w:t>
      </w:r>
      <w:r w:rsidRPr="00C80BFE" w:rsidR="00922489">
        <w:rPr>
          <w:rFonts w:cs="Times New Roman"/>
          <w:szCs w:val="24"/>
        </w:rPr>
        <w:t xml:space="preserve"> </w:t>
      </w:r>
      <w:r w:rsidRPr="00C80BFE" w:rsidR="00106CA4">
        <w:rPr>
          <w:rFonts w:cs="Times New Roman"/>
          <w:szCs w:val="24"/>
        </w:rPr>
        <w:t xml:space="preserve">the </w:t>
      </w:r>
      <w:r w:rsidRPr="00C80BFE" w:rsidR="00922489">
        <w:rPr>
          <w:rFonts w:cs="Times New Roman"/>
          <w:szCs w:val="24"/>
        </w:rPr>
        <w:t>WarmChoice® program</w:t>
      </w:r>
      <w:r w:rsidRPr="00C80BFE" w:rsidR="00106CA4">
        <w:rPr>
          <w:rFonts w:cs="Times New Roman"/>
          <w:szCs w:val="24"/>
        </w:rPr>
        <w:t xml:space="preserve"> with public money</w:t>
      </w:r>
      <w:r w:rsidRPr="00C80BFE" w:rsidR="00922489">
        <w:rPr>
          <w:rFonts w:cs="Times New Roman"/>
          <w:szCs w:val="24"/>
        </w:rPr>
        <w:t xml:space="preserve"> </w:t>
      </w:r>
      <w:r w:rsidRPr="00C80BFE" w:rsidR="00106CA4">
        <w:rPr>
          <w:rFonts w:cs="Times New Roman"/>
          <w:szCs w:val="24"/>
        </w:rPr>
        <w:t>is</w:t>
      </w:r>
      <w:r w:rsidRPr="00C80BFE" w:rsidR="001809F6">
        <w:rPr>
          <w:rFonts w:cs="Times New Roman"/>
          <w:szCs w:val="24"/>
        </w:rPr>
        <w:t xml:space="preserve"> a</w:t>
      </w:r>
      <w:r w:rsidRPr="00C80BFE" w:rsidR="00C17338">
        <w:rPr>
          <w:rFonts w:cs="Times New Roman"/>
          <w:szCs w:val="24"/>
        </w:rPr>
        <w:t xml:space="preserve"> reasonable</w:t>
      </w:r>
      <w:r w:rsidRPr="00C80BFE" w:rsidR="001809F6">
        <w:rPr>
          <w:rFonts w:cs="Times New Roman"/>
          <w:szCs w:val="24"/>
        </w:rPr>
        <w:t xml:space="preserve"> compromise </w:t>
      </w:r>
      <w:r w:rsidRPr="00C80BFE" w:rsidR="00922489">
        <w:rPr>
          <w:rFonts w:cs="Times New Roman"/>
          <w:szCs w:val="24"/>
        </w:rPr>
        <w:t xml:space="preserve">as </w:t>
      </w:r>
      <w:r w:rsidRPr="00C80BFE" w:rsidR="001809F6">
        <w:rPr>
          <w:rFonts w:cs="Times New Roman"/>
          <w:szCs w:val="24"/>
        </w:rPr>
        <w:t>part of an overall settlement package benefi</w:t>
      </w:r>
      <w:r w:rsidRPr="00C80BFE" w:rsidR="00C17338">
        <w:rPr>
          <w:rFonts w:cs="Times New Roman"/>
          <w:szCs w:val="24"/>
        </w:rPr>
        <w:t>cial to</w:t>
      </w:r>
      <w:r w:rsidRPr="00C80BFE" w:rsidR="001809F6">
        <w:rPr>
          <w:rFonts w:cs="Times New Roman"/>
          <w:szCs w:val="24"/>
        </w:rPr>
        <w:t xml:space="preserve"> consumers and consistent with regulatory principles.</w:t>
      </w:r>
    </w:p>
    <w:p w:rsidR="0023256D" w:rsidRPr="00C80BFE" w:rsidP="0076385F" w14:paraId="3B6E0298" w14:textId="24DD97CE">
      <w:pPr>
        <w:pStyle w:val="ListParagraph"/>
        <w:numPr>
          <w:ilvl w:val="0"/>
          <w:numId w:val="30"/>
        </w:numPr>
        <w:spacing w:after="0" w:line="240" w:lineRule="auto"/>
        <w:ind w:left="2160" w:hanging="720"/>
        <w:rPr>
          <w:rStyle w:val="Heading3Char"/>
        </w:rPr>
      </w:pPr>
      <w:bookmarkStart w:id="18" w:name="_Toc123050552"/>
      <w:r w:rsidRPr="00C80BFE">
        <w:rPr>
          <w:rStyle w:val="Heading3Char"/>
        </w:rPr>
        <w:t xml:space="preserve">Certain of the </w:t>
      </w:r>
      <w:r w:rsidRPr="00C80BFE">
        <w:rPr>
          <w:rStyle w:val="Heading3Char"/>
        </w:rPr>
        <w:t xml:space="preserve">Settlement’s DSM provisions </w:t>
      </w:r>
      <w:r w:rsidRPr="00C80BFE">
        <w:rPr>
          <w:rStyle w:val="Heading3Char"/>
        </w:rPr>
        <w:t xml:space="preserve">preserve the integrity of the bargained-for result and </w:t>
      </w:r>
      <w:r w:rsidRPr="00C80BFE">
        <w:rPr>
          <w:rStyle w:val="Heading3Char"/>
        </w:rPr>
        <w:t>do not improperly “silence” Columbia in violation of public policy</w:t>
      </w:r>
      <w:r w:rsidRPr="00C80BFE">
        <w:rPr>
          <w:rStyle w:val="Heading3Char"/>
        </w:rPr>
        <w:t xml:space="preserve"> as claimed by CUB Ohio</w:t>
      </w:r>
      <w:r w:rsidRPr="00C80BFE">
        <w:rPr>
          <w:rStyle w:val="Heading3Char"/>
        </w:rPr>
        <w:t>.</w:t>
      </w:r>
      <w:bookmarkEnd w:id="18"/>
    </w:p>
    <w:p w:rsidR="0023256D" w:rsidRPr="00C80BFE" w:rsidP="0023256D" w14:paraId="2CEED3A8" w14:textId="77777777">
      <w:pPr>
        <w:pStyle w:val="ListParagraph"/>
        <w:spacing w:after="0" w:line="240" w:lineRule="auto"/>
        <w:ind w:left="1800"/>
        <w:rPr>
          <w:rFonts w:ascii="Times New Roman" w:hAnsi="Times New Roman" w:cs="Times New Roman"/>
          <w:b/>
          <w:bCs/>
          <w:sz w:val="24"/>
          <w:szCs w:val="24"/>
        </w:rPr>
      </w:pPr>
    </w:p>
    <w:p w:rsidR="00444CD6" w:rsidRPr="00C80BFE" w:rsidP="003D4FE7" w14:paraId="4B5D8036" w14:textId="26EDF364">
      <w:pPr>
        <w:spacing w:after="0" w:line="480" w:lineRule="auto"/>
        <w:ind w:firstLine="720"/>
        <w:rPr>
          <w:rFonts w:cs="Times New Roman"/>
          <w:szCs w:val="24"/>
        </w:rPr>
      </w:pPr>
      <w:r w:rsidRPr="00C80BFE">
        <w:rPr>
          <w:rFonts w:cs="Times New Roman"/>
          <w:szCs w:val="24"/>
        </w:rPr>
        <w:t xml:space="preserve">CUB Ohio claims that the Settlement’s DSM provisions violate </w:t>
      </w:r>
      <w:r w:rsidRPr="00C80BFE" w:rsidR="00C70D51">
        <w:rPr>
          <w:rFonts w:cs="Times New Roman"/>
          <w:szCs w:val="24"/>
        </w:rPr>
        <w:t>public</w:t>
      </w:r>
      <w:r w:rsidRPr="00C80BFE">
        <w:rPr>
          <w:rFonts w:cs="Times New Roman"/>
          <w:szCs w:val="24"/>
        </w:rPr>
        <w:t xml:space="preserve"> policy because they operate as a “gag order” to keep Columbia from pursuing energy efficiency initiatives at the PUCO or the General Assembly.</w:t>
      </w:r>
      <w:r>
        <w:rPr>
          <w:rStyle w:val="FootnoteReference"/>
          <w:rFonts w:cs="Times New Roman"/>
          <w:szCs w:val="24"/>
        </w:rPr>
        <w:footnoteReference w:id="89"/>
      </w:r>
      <w:r w:rsidRPr="00C80BFE">
        <w:rPr>
          <w:rFonts w:cs="Times New Roman"/>
          <w:szCs w:val="24"/>
        </w:rPr>
        <w:t xml:space="preserve"> </w:t>
      </w:r>
      <w:r w:rsidRPr="00C80BFE" w:rsidR="00C17338">
        <w:rPr>
          <w:rFonts w:cs="Times New Roman"/>
          <w:szCs w:val="24"/>
        </w:rPr>
        <w:t xml:space="preserve">That argument should be rejected. </w:t>
      </w:r>
    </w:p>
    <w:p w:rsidR="003D2135" w:rsidRPr="00C80BFE" w:rsidP="00C17338" w14:paraId="717C8449" w14:textId="35C1C920">
      <w:pPr>
        <w:spacing w:after="0" w:line="480" w:lineRule="auto"/>
        <w:ind w:firstLine="720"/>
        <w:rPr>
          <w:rFonts w:cs="Times New Roman"/>
          <w:szCs w:val="24"/>
        </w:rPr>
      </w:pPr>
      <w:r w:rsidRPr="00C80BFE">
        <w:rPr>
          <w:rFonts w:cs="Times New Roman"/>
          <w:szCs w:val="24"/>
        </w:rPr>
        <w:t>The language</w:t>
      </w:r>
      <w:r w:rsidRPr="00C80BFE">
        <w:rPr>
          <w:rFonts w:cs="Times New Roman"/>
          <w:szCs w:val="24"/>
        </w:rPr>
        <w:t xml:space="preserve"> CUB Ohio objects to states:</w:t>
      </w:r>
    </w:p>
    <w:p w:rsidR="00C17338" w:rsidRPr="00C80BFE" w:rsidP="003D2135" w14:paraId="052D61D4" w14:textId="7C01ABD1">
      <w:pPr>
        <w:spacing w:after="0" w:line="240" w:lineRule="auto"/>
        <w:ind w:left="720" w:right="720"/>
        <w:rPr>
          <w:rFonts w:cs="Times New Roman"/>
          <w:szCs w:val="24"/>
        </w:rPr>
      </w:pPr>
      <w:r w:rsidRPr="00C80BFE">
        <w:rPr>
          <w:rFonts w:cs="Times New Roman"/>
          <w:szCs w:val="24"/>
        </w:rPr>
        <w:t xml:space="preserve">Columbia </w:t>
      </w:r>
      <w:r w:rsidRPr="00C80BFE">
        <w:rPr>
          <w:rFonts w:cs="Times New Roman"/>
          <w:i/>
          <w:iCs/>
          <w:szCs w:val="24"/>
        </w:rPr>
        <w:t>agrees</w:t>
      </w:r>
      <w:r w:rsidRPr="00C80BFE">
        <w:rPr>
          <w:rFonts w:cs="Times New Roman"/>
          <w:szCs w:val="24"/>
        </w:rPr>
        <w:t xml:space="preserve"> not to pursue (and not to support others’ pursuit of) </w:t>
      </w:r>
      <w:r w:rsidRPr="00C80BFE">
        <w:rPr>
          <w:rFonts w:cs="Times New Roman"/>
          <w:i/>
          <w:iCs/>
          <w:szCs w:val="24"/>
        </w:rPr>
        <w:t>consumer-funded</w:t>
      </w:r>
      <w:r w:rsidRPr="00C80BFE">
        <w:rPr>
          <w:rFonts w:cs="Times New Roman"/>
          <w:szCs w:val="24"/>
        </w:rPr>
        <w:t xml:space="preserve">, low-income and </w:t>
      </w:r>
      <w:r w:rsidRPr="00C80BFE">
        <w:rPr>
          <w:rFonts w:cs="Times New Roman"/>
          <w:i/>
          <w:iCs/>
          <w:szCs w:val="24"/>
        </w:rPr>
        <w:t>consumer-funded</w:t>
      </w:r>
      <w:r w:rsidRPr="00C80BFE">
        <w:rPr>
          <w:rFonts w:cs="Times New Roman"/>
          <w:szCs w:val="24"/>
        </w:rPr>
        <w:t>, non-low-income energy efficiency programs (including demand side management programs) through legislation or other regulatory initiatives until Columbia files its next base rate case.</w:t>
      </w:r>
      <w:r>
        <w:rPr>
          <w:rStyle w:val="FootnoteReference"/>
          <w:rFonts w:cs="Times New Roman"/>
          <w:szCs w:val="24"/>
        </w:rPr>
        <w:footnoteReference w:id="90"/>
      </w:r>
      <w:r w:rsidRPr="00C80BFE" w:rsidR="00165096">
        <w:rPr>
          <w:rFonts w:cs="Times New Roman"/>
          <w:szCs w:val="24"/>
        </w:rPr>
        <w:t xml:space="preserve"> </w:t>
      </w:r>
    </w:p>
    <w:p w:rsidR="00440139" w:rsidRPr="00C80BFE" w:rsidP="00440139" w14:paraId="31DD5ACF" w14:textId="13F18936">
      <w:pPr>
        <w:spacing w:after="0" w:line="240" w:lineRule="auto"/>
        <w:ind w:right="720"/>
        <w:rPr>
          <w:rFonts w:cs="Times New Roman"/>
          <w:szCs w:val="24"/>
        </w:rPr>
      </w:pPr>
    </w:p>
    <w:p w:rsidR="00420308" w:rsidRPr="00C80BFE" w:rsidP="00C70D51" w14:paraId="0D5ABE41" w14:textId="4309A42A">
      <w:pPr>
        <w:spacing w:after="0" w:line="480" w:lineRule="auto"/>
        <w:ind w:firstLine="720"/>
        <w:rPr>
          <w:rFonts w:cs="Times New Roman"/>
          <w:szCs w:val="24"/>
        </w:rPr>
      </w:pPr>
      <w:r w:rsidRPr="00C80BFE">
        <w:rPr>
          <w:rFonts w:cs="Times New Roman"/>
          <w:szCs w:val="24"/>
        </w:rPr>
        <w:t xml:space="preserve">That is a good protection for consumers that helps preserve the benefit of the bargain. </w:t>
      </w:r>
      <w:r w:rsidRPr="00C80BFE" w:rsidR="00C70D51">
        <w:rPr>
          <w:rFonts w:cs="Times New Roman"/>
          <w:szCs w:val="24"/>
        </w:rPr>
        <w:t>By its express terms, and c</w:t>
      </w:r>
      <w:r w:rsidRPr="00C80BFE" w:rsidR="00440139">
        <w:rPr>
          <w:rFonts w:cs="Times New Roman"/>
          <w:szCs w:val="24"/>
        </w:rPr>
        <w:t>ontrary to CUB Ohio’s claim</w:t>
      </w:r>
      <w:r w:rsidRPr="00C80BFE" w:rsidR="00C70D51">
        <w:rPr>
          <w:rFonts w:cs="Times New Roman"/>
          <w:szCs w:val="24"/>
        </w:rPr>
        <w:t>s</w:t>
      </w:r>
      <w:r w:rsidRPr="00C80BFE" w:rsidR="00440139">
        <w:rPr>
          <w:rFonts w:cs="Times New Roman"/>
          <w:szCs w:val="24"/>
        </w:rPr>
        <w:t xml:space="preserve">, this language does not “gag” or “silence” Columbia regarding energy efficiency. Rather, Columbia has </w:t>
      </w:r>
      <w:r w:rsidRPr="00C80BFE" w:rsidR="00440139">
        <w:rPr>
          <w:rFonts w:cs="Times New Roman"/>
          <w:i/>
          <w:iCs/>
          <w:szCs w:val="24"/>
        </w:rPr>
        <w:t>agreed</w:t>
      </w:r>
      <w:r w:rsidRPr="00C80BFE" w:rsidR="00440139">
        <w:rPr>
          <w:rFonts w:cs="Times New Roman"/>
          <w:szCs w:val="24"/>
        </w:rPr>
        <w:t xml:space="preserve">, for purposes of </w:t>
      </w:r>
      <w:r w:rsidRPr="00C80BFE" w:rsidR="00EF3EE2">
        <w:rPr>
          <w:rFonts w:cs="Times New Roman"/>
          <w:szCs w:val="24"/>
        </w:rPr>
        <w:t>resolving the issues in this case through settlement</w:t>
      </w:r>
      <w:r w:rsidRPr="00C80BFE" w:rsidR="00087ED2">
        <w:rPr>
          <w:rFonts w:cs="Times New Roman"/>
          <w:szCs w:val="24"/>
        </w:rPr>
        <w:t xml:space="preserve"> and to live up to the intent of the Settlement</w:t>
      </w:r>
      <w:r w:rsidRPr="00C80BFE" w:rsidR="00EF3EE2">
        <w:rPr>
          <w:rFonts w:cs="Times New Roman"/>
          <w:szCs w:val="24"/>
        </w:rPr>
        <w:t>, not to pursue “consumer-funded” energy efficiency initiatives until its next rate case.</w:t>
      </w:r>
      <w:r w:rsidRPr="00C80BFE" w:rsidR="002B4DBA">
        <w:rPr>
          <w:rFonts w:cs="Times New Roman"/>
          <w:szCs w:val="24"/>
        </w:rPr>
        <w:t xml:space="preserve"> That serves good faith</w:t>
      </w:r>
      <w:r w:rsidRPr="00C80BFE" w:rsidR="00087ED2">
        <w:rPr>
          <w:rFonts w:cs="Times New Roman"/>
          <w:szCs w:val="24"/>
        </w:rPr>
        <w:t xml:space="preserve"> and integrity of the settlement process</w:t>
      </w:r>
      <w:r w:rsidRPr="00C80BFE" w:rsidR="002B4DBA">
        <w:rPr>
          <w:rFonts w:cs="Times New Roman"/>
          <w:szCs w:val="24"/>
        </w:rPr>
        <w:t xml:space="preserve"> by </w:t>
      </w:r>
      <w:r w:rsidRPr="00C80BFE" w:rsidR="00087ED2">
        <w:rPr>
          <w:rFonts w:cs="Times New Roman"/>
          <w:szCs w:val="24"/>
        </w:rPr>
        <w:t>avoiding an attempted</w:t>
      </w:r>
      <w:r w:rsidRPr="00C80BFE" w:rsidR="002B4DBA">
        <w:rPr>
          <w:rFonts w:cs="Times New Roman"/>
          <w:szCs w:val="24"/>
        </w:rPr>
        <w:t xml:space="preserve"> circumvent</w:t>
      </w:r>
      <w:r w:rsidRPr="00C80BFE" w:rsidR="00087ED2">
        <w:rPr>
          <w:rFonts w:cs="Times New Roman"/>
          <w:szCs w:val="24"/>
        </w:rPr>
        <w:t>ion of</w:t>
      </w:r>
      <w:r w:rsidRPr="00C80BFE" w:rsidR="002B4DBA">
        <w:rPr>
          <w:rFonts w:cs="Times New Roman"/>
          <w:szCs w:val="24"/>
        </w:rPr>
        <w:t xml:space="preserve"> the Settlement </w:t>
      </w:r>
      <w:r w:rsidRPr="00C80BFE" w:rsidR="00087ED2">
        <w:rPr>
          <w:rFonts w:cs="Times New Roman"/>
          <w:szCs w:val="24"/>
        </w:rPr>
        <w:t xml:space="preserve">that would </w:t>
      </w:r>
      <w:r w:rsidRPr="00C80BFE" w:rsidR="002B4DBA">
        <w:rPr>
          <w:rFonts w:cs="Times New Roman"/>
          <w:szCs w:val="24"/>
        </w:rPr>
        <w:t>deny others such as OCC the benefit of the bargain.</w:t>
      </w:r>
      <w:r w:rsidR="00C80BFE">
        <w:rPr>
          <w:rFonts w:cs="Times New Roman"/>
          <w:szCs w:val="24"/>
        </w:rPr>
        <w:t xml:space="preserve"> </w:t>
      </w:r>
    </w:p>
    <w:p w:rsidR="000371AE" w:rsidRPr="00C80BFE" w:rsidP="00C70D51" w14:paraId="55A2626F" w14:textId="16BE471C">
      <w:pPr>
        <w:spacing w:after="0" w:line="480" w:lineRule="auto"/>
        <w:ind w:firstLine="720"/>
        <w:rPr>
          <w:rFonts w:cs="Times New Roman"/>
          <w:szCs w:val="24"/>
        </w:rPr>
      </w:pPr>
      <w:r w:rsidRPr="00C80BFE">
        <w:rPr>
          <w:rFonts w:cs="Times New Roman"/>
          <w:szCs w:val="24"/>
        </w:rPr>
        <w:t xml:space="preserve">Further, </w:t>
      </w:r>
      <w:r w:rsidRPr="00C80BFE" w:rsidR="00DE2FA2">
        <w:rPr>
          <w:rFonts w:cs="Times New Roman"/>
          <w:szCs w:val="24"/>
        </w:rPr>
        <w:t xml:space="preserve">CUB Ohio witness Bullock </w:t>
      </w:r>
      <w:r w:rsidRPr="00C80BFE">
        <w:rPr>
          <w:rFonts w:cs="Times New Roman"/>
          <w:szCs w:val="24"/>
        </w:rPr>
        <w:t xml:space="preserve">conceded on cross-examination </w:t>
      </w:r>
      <w:r w:rsidRPr="00C80BFE" w:rsidR="00DE2FA2">
        <w:rPr>
          <w:rFonts w:cs="Times New Roman"/>
          <w:szCs w:val="24"/>
        </w:rPr>
        <w:t>that he has no reason to believe that Columbia did not voluntarily sign the Settlement.</w:t>
      </w:r>
      <w:r>
        <w:rPr>
          <w:rStyle w:val="FootnoteReference"/>
          <w:rFonts w:cs="Times New Roman"/>
          <w:szCs w:val="24"/>
        </w:rPr>
        <w:footnoteReference w:id="91"/>
      </w:r>
      <w:r w:rsidRPr="00C80BFE" w:rsidR="00DE2FA2">
        <w:rPr>
          <w:rFonts w:cs="Times New Roman"/>
          <w:szCs w:val="24"/>
        </w:rPr>
        <w:t xml:space="preserve"> </w:t>
      </w:r>
      <w:r w:rsidRPr="00C80BFE" w:rsidR="00922489">
        <w:rPr>
          <w:rFonts w:cs="Times New Roman"/>
          <w:szCs w:val="24"/>
        </w:rPr>
        <w:t>In other words,</w:t>
      </w:r>
      <w:r w:rsidRPr="00C80BFE" w:rsidR="00C70D51">
        <w:rPr>
          <w:rFonts w:cs="Times New Roman"/>
          <w:szCs w:val="24"/>
        </w:rPr>
        <w:t xml:space="preserve"> Columbia plainly agreed to this provision as </w:t>
      </w:r>
      <w:r w:rsidRPr="00C80BFE" w:rsidR="00DA1BD0">
        <w:rPr>
          <w:rFonts w:cs="Times New Roman"/>
          <w:szCs w:val="24"/>
        </w:rPr>
        <w:t xml:space="preserve">a </w:t>
      </w:r>
      <w:r w:rsidRPr="00C80BFE" w:rsidR="00C70D51">
        <w:rPr>
          <w:rFonts w:cs="Times New Roman"/>
          <w:szCs w:val="24"/>
        </w:rPr>
        <w:t>compromise to reach an overall settlement package.</w:t>
      </w:r>
      <w:r w:rsidRPr="00C80BFE" w:rsidR="006A371E">
        <w:rPr>
          <w:rFonts w:cs="Times New Roman"/>
          <w:szCs w:val="24"/>
        </w:rPr>
        <w:t xml:space="preserve"> The parties should not be denied their compromise.</w:t>
      </w:r>
    </w:p>
    <w:p w:rsidR="00DE2FA2" w:rsidRPr="00C80BFE" w:rsidP="00DE2FA2" w14:paraId="484FDA7D" w14:textId="27165CBF">
      <w:pPr>
        <w:spacing w:after="0" w:line="480" w:lineRule="auto"/>
        <w:ind w:firstLine="720"/>
        <w:rPr>
          <w:rFonts w:cs="Times New Roman"/>
          <w:b/>
          <w:bCs/>
          <w:szCs w:val="24"/>
        </w:rPr>
      </w:pPr>
      <w:r w:rsidRPr="00C80BFE">
        <w:rPr>
          <w:rFonts w:cs="Times New Roman"/>
          <w:szCs w:val="24"/>
        </w:rPr>
        <w:t>Moreover, n</w:t>
      </w:r>
      <w:r w:rsidRPr="00C80BFE" w:rsidR="00EF3EE2">
        <w:rPr>
          <w:rFonts w:cs="Times New Roman"/>
          <w:szCs w:val="24"/>
        </w:rPr>
        <w:t xml:space="preserve">othing in the Settlement prevents Columbia from pursuing or implementing energy efficiency initiatives funded by Columbia shareholders or </w:t>
      </w:r>
      <w:r w:rsidRPr="00C80BFE" w:rsidR="001507B4">
        <w:rPr>
          <w:rFonts w:cs="Times New Roman"/>
          <w:szCs w:val="24"/>
        </w:rPr>
        <w:t>by other</w:t>
      </w:r>
      <w:r w:rsidRPr="00C80BFE" w:rsidR="00EF3EE2">
        <w:rPr>
          <w:rFonts w:cs="Times New Roman"/>
          <w:szCs w:val="24"/>
        </w:rPr>
        <w:t xml:space="preserve"> organizations </w:t>
      </w:r>
      <w:r w:rsidRPr="00C80BFE" w:rsidR="001507B4">
        <w:rPr>
          <w:rFonts w:cs="Times New Roman"/>
          <w:szCs w:val="24"/>
        </w:rPr>
        <w:t>(</w:t>
      </w:r>
      <w:r w:rsidRPr="00C80BFE" w:rsidR="00EF3EE2">
        <w:rPr>
          <w:rFonts w:cs="Times New Roman"/>
          <w:szCs w:val="24"/>
        </w:rPr>
        <w:t>like CUB Ohio, OPAE, and ELPC</w:t>
      </w:r>
      <w:r w:rsidRPr="00C80BFE" w:rsidR="001507B4">
        <w:rPr>
          <w:rFonts w:cs="Times New Roman"/>
          <w:szCs w:val="24"/>
        </w:rPr>
        <w:t>)</w:t>
      </w:r>
      <w:r w:rsidRPr="00C80BFE" w:rsidR="00EF3EE2">
        <w:rPr>
          <w:rFonts w:cs="Times New Roman"/>
          <w:szCs w:val="24"/>
        </w:rPr>
        <w:t>.</w:t>
      </w:r>
      <w:r>
        <w:rPr>
          <w:rStyle w:val="FootnoteReference"/>
          <w:rFonts w:cs="Times New Roman"/>
          <w:szCs w:val="24"/>
        </w:rPr>
        <w:footnoteReference w:id="92"/>
      </w:r>
      <w:r w:rsidRPr="00C80BFE" w:rsidR="0067446A">
        <w:rPr>
          <w:rFonts w:cs="Times New Roman"/>
          <w:szCs w:val="24"/>
        </w:rPr>
        <w:t xml:space="preserve"> CUB Ohio also argues that the PUCO cannot enforce this provision of the Settlement</w:t>
      </w:r>
      <w:r w:rsidRPr="00C80BFE" w:rsidR="00922489">
        <w:rPr>
          <w:rFonts w:cs="Times New Roman"/>
          <w:szCs w:val="24"/>
        </w:rPr>
        <w:t>.</w:t>
      </w:r>
      <w:r>
        <w:rPr>
          <w:rStyle w:val="FootnoteReference"/>
          <w:rFonts w:cs="Times New Roman"/>
          <w:szCs w:val="24"/>
        </w:rPr>
        <w:footnoteReference w:id="93"/>
      </w:r>
      <w:r w:rsidRPr="00C80BFE">
        <w:rPr>
          <w:rFonts w:cs="Times New Roman"/>
          <w:szCs w:val="24"/>
        </w:rPr>
        <w:t xml:space="preserve"> </w:t>
      </w:r>
      <w:r w:rsidRPr="00C80BFE" w:rsidR="00922489">
        <w:rPr>
          <w:rFonts w:cs="Times New Roman"/>
          <w:szCs w:val="24"/>
        </w:rPr>
        <w:t>B</w:t>
      </w:r>
      <w:r w:rsidRPr="00C80BFE">
        <w:rPr>
          <w:rFonts w:cs="Times New Roman"/>
          <w:szCs w:val="24"/>
        </w:rPr>
        <w:t xml:space="preserve">ut </w:t>
      </w:r>
      <w:r w:rsidRPr="00C80BFE" w:rsidR="00922489">
        <w:rPr>
          <w:rFonts w:cs="Times New Roman"/>
          <w:szCs w:val="24"/>
        </w:rPr>
        <w:t xml:space="preserve">CUB Ohio </w:t>
      </w:r>
      <w:r w:rsidRPr="00C80BFE">
        <w:rPr>
          <w:rFonts w:cs="Times New Roman"/>
          <w:szCs w:val="24"/>
        </w:rPr>
        <w:t>cites no authority to support its claim. CUB Ohio plainly does not like this language in the Settlement</w:t>
      </w:r>
      <w:r w:rsidRPr="00C80BFE" w:rsidR="00C70D51">
        <w:rPr>
          <w:rFonts w:cs="Times New Roman"/>
          <w:szCs w:val="24"/>
        </w:rPr>
        <w:t>. But</w:t>
      </w:r>
      <w:r w:rsidRPr="00C80BFE">
        <w:rPr>
          <w:rFonts w:cs="Times New Roman"/>
          <w:szCs w:val="24"/>
        </w:rPr>
        <w:t xml:space="preserve"> that does not mean that the Settlement as a package violates regulatory principles.</w:t>
      </w:r>
      <w:r w:rsidRPr="00C80BFE" w:rsidR="00922489">
        <w:rPr>
          <w:rFonts w:cs="Times New Roman"/>
          <w:szCs w:val="24"/>
        </w:rPr>
        <w:t xml:space="preserve"> The Settlement should be approved without modification.</w:t>
      </w:r>
    </w:p>
    <w:p w:rsidR="00C70D51" w:rsidRPr="00C80BFE" w:rsidP="0076385F" w14:paraId="7F317A51" w14:textId="739FC178">
      <w:pPr>
        <w:pStyle w:val="ListParagraph"/>
        <w:numPr>
          <w:ilvl w:val="0"/>
          <w:numId w:val="30"/>
        </w:numPr>
        <w:spacing w:after="0" w:line="240" w:lineRule="auto"/>
        <w:ind w:left="2160" w:hanging="720"/>
        <w:rPr>
          <w:rFonts w:ascii="Times New Roman" w:hAnsi="Times New Roman" w:cs="Times New Roman"/>
          <w:b/>
          <w:bCs/>
          <w:sz w:val="24"/>
          <w:szCs w:val="24"/>
        </w:rPr>
      </w:pPr>
      <w:bookmarkStart w:id="19" w:name="_Toc123050553"/>
      <w:r w:rsidRPr="00C80BFE">
        <w:rPr>
          <w:rStyle w:val="Heading3Char"/>
        </w:rPr>
        <w:t>ELPC and CUB Ohio</w:t>
      </w:r>
      <w:r w:rsidRPr="00C80BFE">
        <w:rPr>
          <w:rStyle w:val="Heading3Char"/>
        </w:rPr>
        <w:t xml:space="preserve"> improperly rel</w:t>
      </w:r>
      <w:r w:rsidRPr="00C80BFE" w:rsidR="007D3A77">
        <w:rPr>
          <w:rStyle w:val="Heading3Char"/>
        </w:rPr>
        <w:t>y</w:t>
      </w:r>
      <w:r w:rsidRPr="00C80BFE">
        <w:rPr>
          <w:rStyle w:val="Heading3Char"/>
        </w:rPr>
        <w:t xml:space="preserve"> on OCC’s litigation testimony to argue that the Settlement violates regulatory principles. </w:t>
      </w:r>
      <w:r w:rsidRPr="00C80BFE">
        <w:rPr>
          <w:rStyle w:val="Heading3Char"/>
        </w:rPr>
        <w:t>Their</w:t>
      </w:r>
      <w:r w:rsidRPr="00C80BFE">
        <w:rPr>
          <w:rStyle w:val="Heading3Char"/>
        </w:rPr>
        <w:t xml:space="preserve"> argument</w:t>
      </w:r>
      <w:r w:rsidRPr="00C80BFE" w:rsidR="007D3A77">
        <w:rPr>
          <w:rStyle w:val="Heading3Char"/>
        </w:rPr>
        <w:t>s</w:t>
      </w:r>
      <w:r w:rsidRPr="00C80BFE">
        <w:rPr>
          <w:rStyle w:val="Heading3Char"/>
        </w:rPr>
        <w:t xml:space="preserve"> should be rejected.</w:t>
      </w:r>
      <w:bookmarkEnd w:id="19"/>
    </w:p>
    <w:p w:rsidR="00C70D51" w:rsidRPr="00C80BFE" w:rsidP="00C70D51" w14:paraId="1A730663" w14:textId="77777777">
      <w:pPr>
        <w:pStyle w:val="ListParagraph"/>
        <w:spacing w:after="0" w:line="240" w:lineRule="auto"/>
        <w:ind w:left="1800"/>
        <w:rPr>
          <w:rFonts w:ascii="Times New Roman" w:hAnsi="Times New Roman" w:cs="Times New Roman"/>
          <w:b/>
          <w:bCs/>
          <w:sz w:val="24"/>
          <w:szCs w:val="24"/>
        </w:rPr>
      </w:pPr>
    </w:p>
    <w:p w:rsidR="00CF4CB1" w:rsidRPr="00C80BFE" w:rsidP="00DE2FA2" w14:paraId="3A9659EC" w14:textId="0E7A164D">
      <w:pPr>
        <w:spacing w:after="0" w:line="480" w:lineRule="auto"/>
        <w:ind w:firstLine="720"/>
        <w:rPr>
          <w:rFonts w:cs="Times New Roman"/>
          <w:szCs w:val="24"/>
        </w:rPr>
      </w:pPr>
      <w:r w:rsidRPr="00C80BFE">
        <w:rPr>
          <w:rFonts w:cs="Times New Roman"/>
          <w:szCs w:val="24"/>
        </w:rPr>
        <w:t>ELPC and CUB Ohio</w:t>
      </w:r>
      <w:r w:rsidRPr="00C80BFE" w:rsidR="00DA1BD0">
        <w:rPr>
          <w:rFonts w:cs="Times New Roman"/>
          <w:szCs w:val="24"/>
        </w:rPr>
        <w:t xml:space="preserve"> argue that the Settlement</w:t>
      </w:r>
      <w:r w:rsidRPr="00C80BFE" w:rsidR="00D45C92">
        <w:rPr>
          <w:rFonts w:cs="Times New Roman"/>
          <w:szCs w:val="24"/>
        </w:rPr>
        <w:t>’s monthly fixed charges through the straight fixed variable rate design</w:t>
      </w:r>
      <w:r w:rsidRPr="00C80BFE" w:rsidR="00DA1BD0">
        <w:rPr>
          <w:rFonts w:cs="Times New Roman"/>
          <w:szCs w:val="24"/>
        </w:rPr>
        <w:t xml:space="preserve"> violate regulatory princip</w:t>
      </w:r>
      <w:r w:rsidRPr="00C80BFE" w:rsidR="00D45C92">
        <w:rPr>
          <w:rFonts w:cs="Times New Roman"/>
          <w:szCs w:val="24"/>
        </w:rPr>
        <w:t>les regarding cost allocation and just and reasonable rates.</w:t>
      </w:r>
      <w:r>
        <w:rPr>
          <w:rStyle w:val="FootnoteReference"/>
          <w:rFonts w:cs="Times New Roman"/>
          <w:szCs w:val="24"/>
        </w:rPr>
        <w:footnoteReference w:id="94"/>
      </w:r>
      <w:r w:rsidRPr="00C80BFE" w:rsidR="00D45C92">
        <w:rPr>
          <w:rFonts w:cs="Times New Roman"/>
          <w:szCs w:val="24"/>
        </w:rPr>
        <w:t xml:space="preserve"> </w:t>
      </w:r>
      <w:r w:rsidRPr="00C80BFE" w:rsidR="00015B35">
        <w:rPr>
          <w:rFonts w:cs="Times New Roman"/>
          <w:szCs w:val="24"/>
        </w:rPr>
        <w:t>OCC is flattered that, t</w:t>
      </w:r>
      <w:r w:rsidRPr="00C80BFE" w:rsidR="000C35F1">
        <w:rPr>
          <w:rFonts w:cs="Times New Roman"/>
          <w:szCs w:val="24"/>
        </w:rPr>
        <w:t xml:space="preserve">o make their arguments, ELPC and CUB Ohio rely almost exclusively on </w:t>
      </w:r>
      <w:r w:rsidRPr="00C80BFE" w:rsidR="001507B4">
        <w:rPr>
          <w:rFonts w:cs="Times New Roman"/>
          <w:szCs w:val="24"/>
        </w:rPr>
        <w:t xml:space="preserve">the </w:t>
      </w:r>
      <w:r w:rsidRPr="00C80BFE" w:rsidR="000C35F1">
        <w:rPr>
          <w:rFonts w:cs="Times New Roman"/>
          <w:szCs w:val="24"/>
        </w:rPr>
        <w:t xml:space="preserve">litigation testimony of </w:t>
      </w:r>
      <w:r w:rsidRPr="00C80BFE" w:rsidR="001507B4">
        <w:rPr>
          <w:rFonts w:cs="Times New Roman"/>
          <w:szCs w:val="24"/>
        </w:rPr>
        <w:t xml:space="preserve">OCC witnesses </w:t>
      </w:r>
      <w:r w:rsidRPr="00C80BFE" w:rsidR="000C35F1">
        <w:rPr>
          <w:rFonts w:cs="Times New Roman"/>
          <w:szCs w:val="24"/>
        </w:rPr>
        <w:t>Dr. Zhu, Robert Fortney, and Roger Colton.</w:t>
      </w:r>
      <w:r>
        <w:rPr>
          <w:rStyle w:val="FootnoteReference"/>
          <w:rFonts w:cs="Times New Roman"/>
          <w:szCs w:val="24"/>
        </w:rPr>
        <w:footnoteReference w:id="95"/>
      </w:r>
      <w:r w:rsidRPr="00C80BFE">
        <w:rPr>
          <w:rFonts w:cs="Times New Roman"/>
          <w:szCs w:val="24"/>
        </w:rPr>
        <w:t xml:space="preserve"> </w:t>
      </w:r>
    </w:p>
    <w:p w:rsidR="000C35F1" w:rsidRPr="00C80BFE" w:rsidP="00DE2FA2" w14:paraId="26B463A8" w14:textId="67818AB9">
      <w:pPr>
        <w:spacing w:after="0" w:line="480" w:lineRule="auto"/>
        <w:ind w:firstLine="720"/>
        <w:rPr>
          <w:rFonts w:cs="Times New Roman"/>
          <w:szCs w:val="24"/>
        </w:rPr>
      </w:pPr>
      <w:r w:rsidRPr="00C80BFE">
        <w:rPr>
          <w:rFonts w:cs="Times New Roman"/>
          <w:szCs w:val="24"/>
        </w:rPr>
        <w:t>Unlike OCC did, ELPC and CUB Ohio did not even</w:t>
      </w:r>
      <w:r w:rsidRPr="00C80BFE" w:rsidR="00CF4CB1">
        <w:rPr>
          <w:rFonts w:cs="Times New Roman"/>
          <w:szCs w:val="24"/>
        </w:rPr>
        <w:t xml:space="preserve"> develop and</w:t>
      </w:r>
      <w:r w:rsidRPr="00C80BFE">
        <w:rPr>
          <w:rFonts w:cs="Times New Roman"/>
          <w:szCs w:val="24"/>
        </w:rPr>
        <w:t xml:space="preserve"> file litigation testimony pre-Settlement.</w:t>
      </w:r>
      <w:r w:rsidRPr="00C80BFE">
        <w:rPr>
          <w:rFonts w:cs="Times New Roman"/>
          <w:szCs w:val="24"/>
        </w:rPr>
        <w:t xml:space="preserve"> </w:t>
      </w:r>
      <w:r w:rsidRPr="00C80BFE" w:rsidR="00CF4CB1">
        <w:rPr>
          <w:rFonts w:cs="Times New Roman"/>
          <w:szCs w:val="24"/>
        </w:rPr>
        <w:t>OCC’s pre-Settlement testimony reflects that OCC is a leader in opposing high fixed charges. But the Settlement addresses many other consumer issues in addition to fixed charges. OCC compromised in order to give consumers the benefit of the Settlement package. That’s how compromise works at the PUCO</w:t>
      </w:r>
      <w:r w:rsidRPr="00C80BFE" w:rsidR="00E62371">
        <w:rPr>
          <w:rFonts w:cs="Times New Roman"/>
          <w:szCs w:val="24"/>
        </w:rPr>
        <w:t>, under the PUCO’s settlement standards</w:t>
      </w:r>
      <w:r w:rsidRPr="00C80BFE" w:rsidR="00CF4CB1">
        <w:rPr>
          <w:rFonts w:cs="Times New Roman"/>
          <w:szCs w:val="24"/>
        </w:rPr>
        <w:t>.</w:t>
      </w:r>
      <w:r w:rsidR="00C80BFE">
        <w:rPr>
          <w:rFonts w:cs="Times New Roman"/>
          <w:szCs w:val="24"/>
        </w:rPr>
        <w:t xml:space="preserve"> </w:t>
      </w:r>
      <w:r w:rsidRPr="00C80BFE">
        <w:rPr>
          <w:rFonts w:cs="Times New Roman"/>
          <w:szCs w:val="24"/>
        </w:rPr>
        <w:t xml:space="preserve">ELPC’s and CUB Ohio’s arguments should be summarily rejected. </w:t>
      </w:r>
    </w:p>
    <w:p w:rsidR="00440139" w:rsidRPr="00C80BFE" w:rsidP="00DE2FA2" w14:paraId="34299BD2" w14:textId="22FD9097">
      <w:pPr>
        <w:spacing w:after="0" w:line="480" w:lineRule="auto"/>
        <w:ind w:firstLine="720"/>
        <w:rPr>
          <w:rFonts w:cs="Times New Roman"/>
          <w:szCs w:val="24"/>
        </w:rPr>
      </w:pPr>
      <w:r w:rsidRPr="00C80BFE">
        <w:rPr>
          <w:rFonts w:cs="Times New Roman"/>
          <w:szCs w:val="24"/>
        </w:rPr>
        <w:t>Specifically</w:t>
      </w:r>
      <w:r w:rsidRPr="00C80BFE" w:rsidR="000C35F1">
        <w:rPr>
          <w:rFonts w:cs="Times New Roman"/>
          <w:szCs w:val="24"/>
        </w:rPr>
        <w:t>, OCC’s litigation</w:t>
      </w:r>
      <w:r w:rsidRPr="00C80BFE">
        <w:rPr>
          <w:rFonts w:cs="Times New Roman"/>
          <w:szCs w:val="24"/>
        </w:rPr>
        <w:t>, pre-Settlement</w:t>
      </w:r>
      <w:r w:rsidRPr="00C80BFE" w:rsidR="000C35F1">
        <w:rPr>
          <w:rFonts w:cs="Times New Roman"/>
          <w:szCs w:val="24"/>
        </w:rPr>
        <w:t xml:space="preserve"> testimon</w:t>
      </w:r>
      <w:r w:rsidRPr="00C80BFE" w:rsidR="00420308">
        <w:rPr>
          <w:rFonts w:cs="Times New Roman"/>
          <w:szCs w:val="24"/>
        </w:rPr>
        <w:t>ies</w:t>
      </w:r>
      <w:r w:rsidRPr="00C80BFE" w:rsidR="000C35F1">
        <w:rPr>
          <w:rFonts w:cs="Times New Roman"/>
          <w:szCs w:val="24"/>
        </w:rPr>
        <w:t xml:space="preserve"> in support of its Objections to the Staff Report</w:t>
      </w:r>
      <w:r w:rsidRPr="00C80BFE">
        <w:rPr>
          <w:rFonts w:cs="Times New Roman"/>
          <w:szCs w:val="24"/>
        </w:rPr>
        <w:t xml:space="preserve"> – upon which the environmental advocates rely –</w:t>
      </w:r>
      <w:r w:rsidRPr="00C80BFE" w:rsidR="000C35F1">
        <w:rPr>
          <w:rFonts w:cs="Times New Roman"/>
          <w:szCs w:val="24"/>
        </w:rPr>
        <w:t xml:space="preserve"> </w:t>
      </w:r>
      <w:r w:rsidRPr="00C80BFE" w:rsidR="00420308">
        <w:rPr>
          <w:rFonts w:cs="Times New Roman"/>
          <w:szCs w:val="24"/>
        </w:rPr>
        <w:t>are</w:t>
      </w:r>
      <w:r w:rsidRPr="00C80BFE" w:rsidR="000C35F1">
        <w:rPr>
          <w:rFonts w:cs="Times New Roman"/>
          <w:szCs w:val="24"/>
        </w:rPr>
        <w:t xml:space="preserve"> </w:t>
      </w:r>
      <w:r w:rsidRPr="00C80BFE">
        <w:rPr>
          <w:rFonts w:cs="Times New Roman"/>
          <w:szCs w:val="24"/>
        </w:rPr>
        <w:t xml:space="preserve">obviously </w:t>
      </w:r>
      <w:r w:rsidRPr="00C80BFE" w:rsidR="000C35F1">
        <w:rPr>
          <w:rFonts w:cs="Times New Roman"/>
          <w:szCs w:val="24"/>
        </w:rPr>
        <w:t xml:space="preserve">not </w:t>
      </w:r>
      <w:r w:rsidRPr="00C80BFE" w:rsidR="00420308">
        <w:rPr>
          <w:rFonts w:cs="Times New Roman"/>
          <w:szCs w:val="24"/>
        </w:rPr>
        <w:t xml:space="preserve">about </w:t>
      </w:r>
      <w:r w:rsidRPr="00C80BFE" w:rsidR="000C35F1">
        <w:rPr>
          <w:rFonts w:cs="Times New Roman"/>
          <w:szCs w:val="24"/>
        </w:rPr>
        <w:t xml:space="preserve">whether the Settlement as a package satisfies the PUCO’s three-part test. Indeed, Dr. Zhu, Mr. Fortney, and Mr. Colton presented no testimony regarding the Settlement. ELPC’s and CUB Ohio’s reliance on </w:t>
      </w:r>
      <w:r w:rsidRPr="00C80BFE" w:rsidR="00BC5267">
        <w:rPr>
          <w:rFonts w:cs="Times New Roman"/>
          <w:szCs w:val="24"/>
        </w:rPr>
        <w:t>OCC litigation testimony is misplaced and does nothing to support their arguments in opposition to the Settlement.</w:t>
      </w:r>
      <w:r w:rsidR="00C80BFE">
        <w:rPr>
          <w:rFonts w:cs="Times New Roman"/>
          <w:szCs w:val="24"/>
        </w:rPr>
        <w:t xml:space="preserve"> </w:t>
      </w:r>
    </w:p>
    <w:p w:rsidR="00255985" w:rsidRPr="00C80BFE" w:rsidP="003F0465" w14:paraId="3D41F099" w14:textId="376FA688">
      <w:pPr>
        <w:spacing w:after="0" w:line="480" w:lineRule="auto"/>
        <w:ind w:firstLine="720"/>
        <w:rPr>
          <w:rFonts w:cs="Times New Roman"/>
          <w:iCs/>
          <w:szCs w:val="24"/>
        </w:rPr>
      </w:pPr>
      <w:r w:rsidRPr="00C80BFE">
        <w:rPr>
          <w:rFonts w:cs="Times New Roman"/>
          <w:szCs w:val="24"/>
        </w:rPr>
        <w:t xml:space="preserve">On the </w:t>
      </w:r>
      <w:r w:rsidRPr="00C80BFE" w:rsidR="00EF0432">
        <w:rPr>
          <w:rFonts w:cs="Times New Roman"/>
          <w:szCs w:val="24"/>
        </w:rPr>
        <w:t xml:space="preserve">other </w:t>
      </w:r>
      <w:r w:rsidRPr="00C80BFE">
        <w:rPr>
          <w:rFonts w:cs="Times New Roman"/>
          <w:szCs w:val="24"/>
        </w:rPr>
        <w:t>hand, OCC witness Kerry Adkins</w:t>
      </w:r>
      <w:r w:rsidRPr="00C80BFE" w:rsidR="0045113E">
        <w:rPr>
          <w:rFonts w:cs="Times New Roman"/>
          <w:szCs w:val="24"/>
        </w:rPr>
        <w:t xml:space="preserve"> did present testimony on the Settlement. Mr. Adkins,</w:t>
      </w:r>
      <w:r w:rsidRPr="00C80BFE">
        <w:rPr>
          <w:rFonts w:cs="Times New Roman"/>
          <w:szCs w:val="24"/>
        </w:rPr>
        <w:t xml:space="preserve"> who </w:t>
      </w:r>
      <w:r w:rsidRPr="00C80BFE" w:rsidR="0045113E">
        <w:rPr>
          <w:rFonts w:cs="Times New Roman"/>
          <w:szCs w:val="24"/>
        </w:rPr>
        <w:t xml:space="preserve">did </w:t>
      </w:r>
      <w:r w:rsidRPr="00C80BFE">
        <w:rPr>
          <w:rFonts w:cs="Times New Roman"/>
          <w:szCs w:val="24"/>
        </w:rPr>
        <w:t>participate in settlement negotiations</w:t>
      </w:r>
      <w:r w:rsidRPr="00C80BFE" w:rsidR="0045113E">
        <w:rPr>
          <w:rFonts w:cs="Times New Roman"/>
          <w:szCs w:val="24"/>
        </w:rPr>
        <w:t xml:space="preserve"> (apparently unlike ELPC’s witness)</w:t>
      </w:r>
      <w:r w:rsidRPr="00C80BFE">
        <w:rPr>
          <w:rFonts w:cs="Times New Roman"/>
          <w:szCs w:val="24"/>
        </w:rPr>
        <w:t xml:space="preserve"> testified that the Settlement satisfies the PUCO’s three-part test. As explained in OCC’s initial brief, Mr. Adkins testified that the </w:t>
      </w:r>
      <w:r w:rsidRPr="00C80BFE">
        <w:rPr>
          <w:rFonts w:cs="Times New Roman"/>
          <w:iCs/>
          <w:szCs w:val="24"/>
        </w:rPr>
        <w:t xml:space="preserve">Settlement reflects nearly $1.7 billion in </w:t>
      </w:r>
      <w:r w:rsidRPr="00C80BFE" w:rsidR="007C4881">
        <w:rPr>
          <w:rFonts w:cs="Times New Roman"/>
          <w:iCs/>
          <w:szCs w:val="24"/>
        </w:rPr>
        <w:t>reductions</w:t>
      </w:r>
      <w:r w:rsidRPr="00C80BFE">
        <w:rPr>
          <w:rFonts w:cs="Times New Roman"/>
          <w:iCs/>
          <w:szCs w:val="24"/>
        </w:rPr>
        <w:t xml:space="preserve"> from Columbia’s initially proposed base rate</w:t>
      </w:r>
      <w:r w:rsidRPr="00C80BFE" w:rsidR="0017425C">
        <w:rPr>
          <w:rFonts w:cs="Times New Roman"/>
          <w:iCs/>
          <w:szCs w:val="24"/>
        </w:rPr>
        <w:t xml:space="preserve"> case</w:t>
      </w:r>
      <w:r w:rsidRPr="00C80BFE">
        <w:rPr>
          <w:rFonts w:cs="Times New Roman"/>
          <w:iCs/>
          <w:szCs w:val="24"/>
        </w:rPr>
        <w:t>, fixed charges</w:t>
      </w:r>
      <w:r w:rsidRPr="00C80BFE" w:rsidR="0017425C">
        <w:rPr>
          <w:rFonts w:cs="Times New Roman"/>
          <w:iCs/>
          <w:szCs w:val="24"/>
        </w:rPr>
        <w:t xml:space="preserve"> riders case</w:t>
      </w:r>
      <w:r w:rsidRPr="00C80BFE">
        <w:rPr>
          <w:rFonts w:cs="Times New Roman"/>
          <w:iCs/>
          <w:szCs w:val="24"/>
        </w:rPr>
        <w:t xml:space="preserve"> and DSM charge</w:t>
      </w:r>
      <w:r w:rsidRPr="00C80BFE" w:rsidR="0017425C">
        <w:rPr>
          <w:rFonts w:cs="Times New Roman"/>
          <w:iCs/>
          <w:szCs w:val="24"/>
        </w:rPr>
        <w:t xml:space="preserve"> case</w:t>
      </w:r>
      <w:r w:rsidRPr="00C80BFE">
        <w:rPr>
          <w:rFonts w:cs="Times New Roman"/>
          <w:iCs/>
          <w:szCs w:val="24"/>
        </w:rPr>
        <w:t>.</w:t>
      </w:r>
      <w:r>
        <w:rPr>
          <w:rStyle w:val="FootnoteReference"/>
          <w:rFonts w:cs="Times New Roman"/>
          <w:iCs/>
          <w:szCs w:val="24"/>
        </w:rPr>
        <w:footnoteReference w:id="96"/>
      </w:r>
      <w:r w:rsidRPr="00C80BFE">
        <w:rPr>
          <w:rFonts w:cs="Times New Roman"/>
          <w:iCs/>
          <w:szCs w:val="24"/>
        </w:rPr>
        <w:t xml:space="preserve"> </w:t>
      </w:r>
      <w:r w:rsidRPr="00C80BFE">
        <w:rPr>
          <w:rFonts w:cs="Times New Roman"/>
          <w:szCs w:val="24"/>
        </w:rPr>
        <w:t xml:space="preserve">As </w:t>
      </w:r>
      <w:r w:rsidRPr="00C80BFE" w:rsidR="0017425C">
        <w:rPr>
          <w:rFonts w:cs="Times New Roman"/>
          <w:szCs w:val="24"/>
        </w:rPr>
        <w:t>he testified</w:t>
      </w:r>
      <w:r w:rsidRPr="00C80BFE">
        <w:rPr>
          <w:rFonts w:cs="Times New Roman"/>
          <w:szCs w:val="24"/>
        </w:rPr>
        <w:t>, the</w:t>
      </w:r>
      <w:r w:rsidRPr="00C80BFE">
        <w:rPr>
          <w:rFonts w:cs="Times New Roman"/>
          <w:iCs/>
          <w:szCs w:val="24"/>
        </w:rPr>
        <w:t xml:space="preserve"> charges to consumers under the Settlement are “just and reasonable” as a package, as required under R.C. 4905.22, </w:t>
      </w:r>
      <w:r w:rsidRPr="00C80BFE" w:rsidR="0017425C">
        <w:rPr>
          <w:rFonts w:cs="Times New Roman"/>
          <w:iCs/>
          <w:szCs w:val="24"/>
        </w:rPr>
        <w:t xml:space="preserve">R.C. 4909.15, </w:t>
      </w:r>
      <w:r w:rsidRPr="00C80BFE" w:rsidR="00420308">
        <w:rPr>
          <w:rFonts w:cs="Times New Roman"/>
          <w:iCs/>
          <w:szCs w:val="24"/>
        </w:rPr>
        <w:t xml:space="preserve">R.C. 4909.18, </w:t>
      </w:r>
      <w:r w:rsidRPr="00C80BFE">
        <w:rPr>
          <w:rFonts w:cs="Times New Roman"/>
          <w:iCs/>
          <w:szCs w:val="24"/>
        </w:rPr>
        <w:t>R.C. 4909.19, and R.C. 4929.05.</w:t>
      </w:r>
      <w:r>
        <w:rPr>
          <w:rStyle w:val="FootnoteReference"/>
          <w:rFonts w:cs="Times New Roman"/>
          <w:iCs/>
          <w:szCs w:val="24"/>
        </w:rPr>
        <w:footnoteReference w:id="97"/>
      </w:r>
    </w:p>
    <w:p w:rsidR="00A96734" w:rsidRPr="00C80BFE" w:rsidP="00A96734" w14:paraId="2AE0B1E0" w14:textId="77777777">
      <w:pPr>
        <w:spacing w:after="0" w:line="240" w:lineRule="auto"/>
        <w:ind w:firstLine="720"/>
        <w:rPr>
          <w:rFonts w:cs="Times New Roman"/>
          <w:szCs w:val="24"/>
        </w:rPr>
      </w:pPr>
    </w:p>
    <w:p w:rsidR="009B419A" w:rsidRPr="00C80BFE" w:rsidP="00165096" w14:paraId="0E93362E" w14:textId="2A6674E0">
      <w:pPr>
        <w:pStyle w:val="Heading1"/>
        <w:rPr>
          <w:rStyle w:val="Heading1Char"/>
          <w:b/>
          <w:bCs/>
        </w:rPr>
      </w:pPr>
      <w:bookmarkStart w:id="20" w:name="_Toc496786176"/>
      <w:bookmarkStart w:id="21" w:name="_Toc511223240"/>
      <w:bookmarkStart w:id="22" w:name="_Toc522277280"/>
      <w:bookmarkStart w:id="23" w:name="_Toc522278753"/>
      <w:bookmarkStart w:id="24" w:name="_Toc74300289"/>
      <w:bookmarkStart w:id="25" w:name="_Toc74578032"/>
      <w:bookmarkStart w:id="26" w:name="_Toc120793952"/>
      <w:bookmarkStart w:id="27" w:name="_Toc123050554"/>
      <w:r w:rsidRPr="00C80BFE">
        <w:rPr>
          <w:rStyle w:val="Heading1Char"/>
          <w:b/>
          <w:bCs/>
        </w:rPr>
        <w:t>CONCLUSION</w:t>
      </w:r>
      <w:bookmarkEnd w:id="20"/>
      <w:bookmarkEnd w:id="21"/>
      <w:bookmarkEnd w:id="22"/>
      <w:bookmarkEnd w:id="23"/>
      <w:bookmarkEnd w:id="24"/>
      <w:bookmarkEnd w:id="25"/>
      <w:bookmarkEnd w:id="26"/>
      <w:bookmarkEnd w:id="27"/>
    </w:p>
    <w:p w:rsidR="000C76D8" w:rsidRPr="00C80BFE" w:rsidP="00FF286D" w14:paraId="0A0CE556" w14:textId="1D883DD6">
      <w:pPr>
        <w:spacing w:after="0" w:line="480" w:lineRule="auto"/>
        <w:ind w:firstLine="720"/>
        <w:rPr>
          <w:rFonts w:cs="Times New Roman"/>
          <w:szCs w:val="24"/>
        </w:rPr>
      </w:pPr>
      <w:r w:rsidRPr="00C80BFE">
        <w:rPr>
          <w:rFonts w:cs="Times New Roman"/>
          <w:szCs w:val="24"/>
        </w:rPr>
        <w:t xml:space="preserve">For the reasons set forth above and in OCC’s initial brief, the PUCO should approve the Settlement </w:t>
      </w:r>
      <w:r w:rsidRPr="00C80BFE" w:rsidR="009636DA">
        <w:rPr>
          <w:rFonts w:cs="Times New Roman"/>
          <w:szCs w:val="24"/>
        </w:rPr>
        <w:t xml:space="preserve">package </w:t>
      </w:r>
      <w:r w:rsidRPr="00C80BFE">
        <w:rPr>
          <w:rFonts w:cs="Times New Roman"/>
          <w:szCs w:val="24"/>
        </w:rPr>
        <w:t xml:space="preserve">without modification. </w:t>
      </w:r>
      <w:r w:rsidRPr="00C80BFE" w:rsidR="00F303B7">
        <w:rPr>
          <w:rFonts w:cs="Times New Roman"/>
          <w:szCs w:val="24"/>
        </w:rPr>
        <w:t>The</w:t>
      </w:r>
      <w:r w:rsidRPr="00C80BFE" w:rsidR="0072541D">
        <w:rPr>
          <w:rFonts w:cs="Times New Roman"/>
          <w:szCs w:val="24"/>
        </w:rPr>
        <w:t xml:space="preserve"> Settlement satisfies the PUCO’s three</w:t>
      </w:r>
      <w:r w:rsidRPr="00C80BFE" w:rsidR="003245D4">
        <w:rPr>
          <w:rFonts w:cs="Times New Roman"/>
          <w:szCs w:val="24"/>
        </w:rPr>
        <w:t>-</w:t>
      </w:r>
      <w:r w:rsidRPr="00C80BFE" w:rsidR="0072541D">
        <w:rPr>
          <w:rFonts w:cs="Times New Roman"/>
          <w:szCs w:val="24"/>
        </w:rPr>
        <w:t>prong test for evaluating settlements</w:t>
      </w:r>
      <w:r w:rsidRPr="00C80BFE" w:rsidR="00F303B7">
        <w:rPr>
          <w:rFonts w:cs="Times New Roman"/>
          <w:szCs w:val="24"/>
        </w:rPr>
        <w:t>.</w:t>
      </w:r>
      <w:r w:rsidRPr="00C80BFE" w:rsidR="0072541D">
        <w:rPr>
          <w:rFonts w:cs="Times New Roman"/>
          <w:szCs w:val="24"/>
        </w:rPr>
        <w:t xml:space="preserve"> The Settlement is the product of serious bargaining among capable, knowledgeable parties with diverse interests.</w:t>
      </w:r>
      <w:r w:rsidRPr="00C80BFE" w:rsidR="00F303B7">
        <w:rPr>
          <w:rFonts w:cs="Times New Roman"/>
          <w:szCs w:val="24"/>
        </w:rPr>
        <w:t xml:space="preserve"> </w:t>
      </w:r>
      <w:r w:rsidRPr="00C80BFE" w:rsidR="0072541D">
        <w:rPr>
          <w:rFonts w:cs="Times New Roman"/>
          <w:szCs w:val="24"/>
        </w:rPr>
        <w:t>As a package, t</w:t>
      </w:r>
      <w:r w:rsidRPr="00C80BFE" w:rsidR="00F303B7">
        <w:rPr>
          <w:rFonts w:cs="Times New Roman"/>
          <w:szCs w:val="24"/>
        </w:rPr>
        <w:t xml:space="preserve">he Settlement provides significant benefits to </w:t>
      </w:r>
      <w:r w:rsidRPr="00C80BFE" w:rsidR="004A500E">
        <w:rPr>
          <w:rFonts w:cs="Times New Roman"/>
          <w:szCs w:val="24"/>
        </w:rPr>
        <w:t>Columbia’s</w:t>
      </w:r>
      <w:r w:rsidRPr="00C80BFE" w:rsidR="00F303B7">
        <w:rPr>
          <w:rFonts w:cs="Times New Roman"/>
          <w:szCs w:val="24"/>
        </w:rPr>
        <w:t xml:space="preserve"> consumers</w:t>
      </w:r>
      <w:r w:rsidRPr="00C80BFE" w:rsidR="0072541D">
        <w:rPr>
          <w:rFonts w:cs="Times New Roman"/>
          <w:szCs w:val="24"/>
        </w:rPr>
        <w:t xml:space="preserve"> and does not violate regulatory principles or practices. </w:t>
      </w:r>
    </w:p>
    <w:p w:rsidR="009B419A" w:rsidRPr="00C80BFE" w:rsidP="00BC1DD7" w14:paraId="2497294E" w14:textId="0A556B95">
      <w:pPr>
        <w:ind w:firstLine="4320"/>
        <w:rPr>
          <w:rFonts w:cs="Times New Roman"/>
          <w:szCs w:val="24"/>
        </w:rPr>
      </w:pPr>
      <w:r w:rsidRPr="00C80BFE">
        <w:rPr>
          <w:rFonts w:cs="Times New Roman"/>
          <w:szCs w:val="24"/>
        </w:rPr>
        <w:t>Respectfully submitted,</w:t>
      </w:r>
    </w:p>
    <w:p w:rsidR="00326C85" w:rsidRPr="00C80BFE" w:rsidP="00AB389A" w14:paraId="5ED22FF9" w14:textId="77777777">
      <w:pPr>
        <w:tabs>
          <w:tab w:val="right" w:pos="8640"/>
        </w:tabs>
        <w:spacing w:after="0" w:line="240" w:lineRule="auto"/>
        <w:ind w:left="4320"/>
        <w:rPr>
          <w:rFonts w:cs="Times New Roman"/>
          <w:szCs w:val="24"/>
        </w:rPr>
      </w:pPr>
      <w:r w:rsidRPr="00C80BFE">
        <w:rPr>
          <w:rFonts w:cs="Times New Roman"/>
          <w:szCs w:val="24"/>
        </w:rPr>
        <w:t>Bruce Weston (0016973)</w:t>
      </w:r>
    </w:p>
    <w:p w:rsidR="00326C85" w:rsidRPr="00C80BFE" w:rsidP="00AB389A" w14:paraId="4087477D" w14:textId="77777777">
      <w:pPr>
        <w:spacing w:after="0" w:line="240" w:lineRule="auto"/>
        <w:ind w:left="4320"/>
        <w:contextualSpacing/>
        <w:rPr>
          <w:rFonts w:eastAsia="Calibri" w:cs="Times New Roman"/>
          <w:szCs w:val="24"/>
        </w:rPr>
      </w:pPr>
      <w:r w:rsidRPr="00C80BFE">
        <w:rPr>
          <w:rFonts w:eastAsia="Calibri" w:cs="Times New Roman"/>
          <w:szCs w:val="24"/>
        </w:rPr>
        <w:t>Ohio Consumers’ Counsel</w:t>
      </w:r>
    </w:p>
    <w:p w:rsidR="00326C85" w:rsidRPr="00C80BFE" w:rsidP="00AB389A" w14:paraId="20CE4CB2" w14:textId="77777777">
      <w:pPr>
        <w:spacing w:line="240" w:lineRule="auto"/>
        <w:ind w:left="4320"/>
        <w:contextualSpacing/>
        <w:rPr>
          <w:rFonts w:eastAsia="Calibri" w:cs="Times New Roman"/>
          <w:szCs w:val="24"/>
        </w:rPr>
      </w:pPr>
    </w:p>
    <w:p w:rsidR="00326C85" w:rsidRPr="00C80BFE" w:rsidP="00AB389A" w14:paraId="25610AAE" w14:textId="77777777">
      <w:pPr>
        <w:spacing w:line="240" w:lineRule="auto"/>
        <w:ind w:left="4320"/>
        <w:contextualSpacing/>
        <w:rPr>
          <w:rFonts w:eastAsia="Calibri" w:cs="Times New Roman"/>
          <w:szCs w:val="24"/>
        </w:rPr>
      </w:pPr>
      <w:r w:rsidRPr="00C80BFE">
        <w:rPr>
          <w:rFonts w:eastAsia="Calibri" w:cs="Times New Roman"/>
          <w:i/>
          <w:iCs/>
          <w:szCs w:val="24"/>
          <w:u w:val="single"/>
        </w:rPr>
        <w:t>/s/ Angela D. O’Brien</w:t>
      </w:r>
      <w:r w:rsidRPr="00C80BFE">
        <w:rPr>
          <w:rFonts w:eastAsia="Calibri" w:cs="Times New Roman"/>
          <w:i/>
          <w:iCs/>
          <w:szCs w:val="24"/>
          <w:u w:val="single"/>
        </w:rPr>
        <w:tab/>
      </w:r>
      <w:r w:rsidRPr="00C80BFE">
        <w:rPr>
          <w:rFonts w:eastAsia="Calibri" w:cs="Times New Roman"/>
          <w:i/>
          <w:iCs/>
          <w:szCs w:val="24"/>
          <w:u w:val="single"/>
        </w:rPr>
        <w:tab/>
      </w:r>
      <w:r w:rsidRPr="00C80BFE">
        <w:rPr>
          <w:rFonts w:eastAsia="Calibri" w:cs="Times New Roman"/>
          <w:szCs w:val="24"/>
        </w:rPr>
        <w:tab/>
      </w:r>
    </w:p>
    <w:p w:rsidR="00326C85" w:rsidRPr="00C80BFE" w:rsidP="00AB389A" w14:paraId="16E369AA" w14:textId="77777777">
      <w:pPr>
        <w:spacing w:after="0" w:line="240" w:lineRule="auto"/>
        <w:ind w:left="4320"/>
        <w:rPr>
          <w:rFonts w:cs="Times New Roman"/>
          <w:szCs w:val="24"/>
        </w:rPr>
      </w:pPr>
      <w:r w:rsidRPr="00C80BFE">
        <w:rPr>
          <w:rFonts w:cs="Times New Roman"/>
          <w:szCs w:val="24"/>
        </w:rPr>
        <w:t>Angela D. O’Brien (0097579)</w:t>
      </w:r>
    </w:p>
    <w:p w:rsidR="00326C85" w:rsidRPr="00C80BFE" w:rsidP="00AB389A" w14:paraId="2D5957EE" w14:textId="77777777">
      <w:pPr>
        <w:spacing w:after="0" w:line="240" w:lineRule="auto"/>
        <w:ind w:left="4320"/>
        <w:rPr>
          <w:rFonts w:cs="Times New Roman"/>
          <w:szCs w:val="24"/>
        </w:rPr>
      </w:pPr>
      <w:r w:rsidRPr="00C80BFE">
        <w:rPr>
          <w:rFonts w:cs="Times New Roman"/>
          <w:szCs w:val="24"/>
        </w:rPr>
        <w:t xml:space="preserve">Counsel of Record </w:t>
      </w:r>
    </w:p>
    <w:p w:rsidR="00326C85" w:rsidRPr="00C80BFE" w:rsidP="00AB389A" w14:paraId="578F0FA4" w14:textId="77777777">
      <w:pPr>
        <w:tabs>
          <w:tab w:val="left" w:pos="4320"/>
        </w:tabs>
        <w:spacing w:after="0" w:line="240" w:lineRule="auto"/>
        <w:ind w:left="4320"/>
        <w:rPr>
          <w:rFonts w:cs="Times New Roman"/>
          <w:szCs w:val="24"/>
        </w:rPr>
      </w:pPr>
      <w:r w:rsidRPr="00C80BFE">
        <w:rPr>
          <w:rFonts w:cs="Times New Roman"/>
          <w:szCs w:val="24"/>
        </w:rPr>
        <w:t>William J. Michael (0070921)</w:t>
      </w:r>
    </w:p>
    <w:p w:rsidR="00326C85" w:rsidRPr="00C80BFE" w:rsidP="00AB389A" w14:paraId="2657D9AD" w14:textId="77777777">
      <w:pPr>
        <w:tabs>
          <w:tab w:val="left" w:pos="4320"/>
        </w:tabs>
        <w:spacing w:after="0" w:line="240" w:lineRule="auto"/>
        <w:ind w:left="4320"/>
        <w:rPr>
          <w:rFonts w:cs="Times New Roman"/>
          <w:szCs w:val="24"/>
        </w:rPr>
      </w:pPr>
      <w:r w:rsidRPr="00C80BFE">
        <w:rPr>
          <w:rFonts w:cs="Times New Roman"/>
          <w:szCs w:val="24"/>
        </w:rPr>
        <w:t>Connor D. Semple (0101102)</w:t>
      </w:r>
    </w:p>
    <w:p w:rsidR="00326C85" w:rsidRPr="00C80BFE" w:rsidP="00AB389A" w14:paraId="1346862F" w14:textId="77777777">
      <w:pPr>
        <w:spacing w:after="0" w:line="240" w:lineRule="auto"/>
        <w:ind w:left="4320"/>
        <w:rPr>
          <w:rFonts w:cs="Times New Roman"/>
          <w:szCs w:val="24"/>
        </w:rPr>
      </w:pPr>
      <w:r w:rsidRPr="00C80BFE">
        <w:rPr>
          <w:rFonts w:cs="Times New Roman"/>
          <w:szCs w:val="24"/>
        </w:rPr>
        <w:t>Assistant Consumers’ Counsel</w:t>
      </w:r>
    </w:p>
    <w:p w:rsidR="00444CD6" w:rsidRPr="00C80BFE" w:rsidP="00AB389A" w14:paraId="6627BCEC" w14:textId="77777777">
      <w:pPr>
        <w:spacing w:after="0" w:line="240" w:lineRule="auto"/>
        <w:ind w:left="4320"/>
        <w:rPr>
          <w:rFonts w:cs="Times New Roman"/>
          <w:b/>
          <w:szCs w:val="24"/>
        </w:rPr>
      </w:pPr>
    </w:p>
    <w:p w:rsidR="00326C85" w:rsidRPr="00C80BFE" w:rsidP="00AB389A" w14:paraId="10950372" w14:textId="412FE9C3">
      <w:pPr>
        <w:spacing w:after="0" w:line="240" w:lineRule="auto"/>
        <w:ind w:left="4320"/>
        <w:rPr>
          <w:rFonts w:cs="Times New Roman"/>
          <w:b/>
          <w:szCs w:val="24"/>
        </w:rPr>
      </w:pPr>
      <w:r w:rsidRPr="00C80BFE">
        <w:rPr>
          <w:rFonts w:cs="Times New Roman"/>
          <w:b/>
          <w:szCs w:val="24"/>
        </w:rPr>
        <w:t>Office of the Ohio Consumers’ Counsel</w:t>
      </w:r>
    </w:p>
    <w:p w:rsidR="00326C85" w:rsidRPr="00C80BFE" w:rsidP="00AB389A" w14:paraId="3FB1DBD8" w14:textId="77777777">
      <w:pPr>
        <w:spacing w:after="0" w:line="240" w:lineRule="auto"/>
        <w:ind w:left="4320"/>
        <w:rPr>
          <w:rFonts w:cs="Times New Roman"/>
          <w:szCs w:val="24"/>
        </w:rPr>
      </w:pPr>
      <w:r w:rsidRPr="00C80BFE">
        <w:rPr>
          <w:rFonts w:cs="Times New Roman"/>
          <w:szCs w:val="24"/>
        </w:rPr>
        <w:t>65 East State Street, Suite 700</w:t>
      </w:r>
    </w:p>
    <w:p w:rsidR="00326C85" w:rsidRPr="00C80BFE" w:rsidP="00AB389A" w14:paraId="254BC67C" w14:textId="77777777">
      <w:pPr>
        <w:spacing w:after="0" w:line="240" w:lineRule="auto"/>
        <w:ind w:left="4320"/>
        <w:rPr>
          <w:rFonts w:cs="Times New Roman"/>
          <w:szCs w:val="24"/>
        </w:rPr>
      </w:pPr>
      <w:r w:rsidRPr="00C80BFE">
        <w:rPr>
          <w:rFonts w:cs="Times New Roman"/>
          <w:szCs w:val="24"/>
        </w:rPr>
        <w:t>Columbus, Ohio 43215</w:t>
      </w:r>
    </w:p>
    <w:p w:rsidR="00326C85" w:rsidRPr="00C80BFE" w:rsidP="00AB389A" w14:paraId="670A54CB" w14:textId="77777777">
      <w:pPr>
        <w:spacing w:after="0" w:line="240" w:lineRule="auto"/>
        <w:ind w:left="4320"/>
        <w:rPr>
          <w:rFonts w:cs="Times New Roman"/>
          <w:szCs w:val="24"/>
        </w:rPr>
      </w:pPr>
      <w:r w:rsidRPr="00C80BFE">
        <w:rPr>
          <w:rFonts w:cs="Times New Roman"/>
          <w:color w:val="000000"/>
          <w:szCs w:val="24"/>
        </w:rPr>
        <w:t>Telephone [O’Brien]: (614) 499-9531</w:t>
      </w:r>
      <w:r w:rsidRPr="00C80BFE">
        <w:rPr>
          <w:rFonts w:cs="Times New Roman"/>
          <w:szCs w:val="24"/>
        </w:rPr>
        <w:tab/>
      </w:r>
    </w:p>
    <w:p w:rsidR="00326C85" w:rsidRPr="00C80BFE" w:rsidP="00AB389A" w14:paraId="1263D01B" w14:textId="77777777">
      <w:pPr>
        <w:spacing w:after="0" w:line="240" w:lineRule="auto"/>
        <w:ind w:left="4320"/>
        <w:rPr>
          <w:rFonts w:cs="Times New Roman"/>
          <w:color w:val="000000"/>
          <w:szCs w:val="24"/>
        </w:rPr>
      </w:pPr>
      <w:r w:rsidRPr="00C80BFE">
        <w:rPr>
          <w:rFonts w:cs="Times New Roman"/>
          <w:szCs w:val="24"/>
        </w:rPr>
        <w:t>Telephone [Michael]: (</w:t>
      </w:r>
      <w:r w:rsidRPr="00C80BFE">
        <w:rPr>
          <w:rFonts w:cs="Times New Roman"/>
          <w:color w:val="000000"/>
          <w:szCs w:val="24"/>
        </w:rPr>
        <w:t>614) 466-1291</w:t>
      </w:r>
    </w:p>
    <w:p w:rsidR="00326C85" w:rsidRPr="00C80BFE" w:rsidP="00AB389A" w14:paraId="1A3365EA" w14:textId="77777777">
      <w:pPr>
        <w:spacing w:after="0" w:line="240" w:lineRule="auto"/>
        <w:ind w:left="4320"/>
        <w:rPr>
          <w:rFonts w:cs="Times New Roman"/>
          <w:color w:val="000000"/>
          <w:szCs w:val="24"/>
        </w:rPr>
      </w:pPr>
      <w:r w:rsidRPr="00C80BFE">
        <w:rPr>
          <w:rFonts w:cs="Times New Roman"/>
          <w:color w:val="000000"/>
          <w:szCs w:val="24"/>
        </w:rPr>
        <w:t>Telephone [Semple]:</w:t>
      </w:r>
      <w:r w:rsidRPr="00C80BFE">
        <w:rPr>
          <w:rFonts w:cs="Times New Roman"/>
          <w:color w:val="000000"/>
          <w:szCs w:val="24"/>
        </w:rPr>
        <w:tab/>
        <w:t>(614) 466-9565</w:t>
      </w:r>
    </w:p>
    <w:p w:rsidR="00326C85" w:rsidRPr="00C80BFE" w:rsidP="00AB389A" w14:paraId="40D98E23" w14:textId="77777777">
      <w:pPr>
        <w:spacing w:after="0" w:line="240" w:lineRule="auto"/>
        <w:ind w:left="4320"/>
        <w:rPr>
          <w:rFonts w:cs="Times New Roman"/>
          <w:szCs w:val="24"/>
        </w:rPr>
      </w:pPr>
      <w:hyperlink r:id="rId6" w:history="1">
        <w:r w:rsidRPr="00C80BFE">
          <w:rPr>
            <w:rStyle w:val="Hyperlink"/>
            <w:rFonts w:cs="Times New Roman"/>
            <w:szCs w:val="24"/>
          </w:rPr>
          <w:t>angela.obrien@occ.ohio.gov</w:t>
        </w:r>
      </w:hyperlink>
    </w:p>
    <w:p w:rsidR="00326C85" w:rsidRPr="00C80BFE" w:rsidP="00AB389A" w14:paraId="752E9D2B" w14:textId="77777777">
      <w:pPr>
        <w:spacing w:after="0" w:line="240" w:lineRule="auto"/>
        <w:ind w:left="4320"/>
        <w:rPr>
          <w:rStyle w:val="Hyperlink"/>
          <w:rFonts w:eastAsia="Courier New" w:cs="Times New Roman"/>
          <w:szCs w:val="24"/>
        </w:rPr>
      </w:pPr>
      <w:hyperlink r:id="rId7" w:history="1">
        <w:r w:rsidRPr="00C80BFE">
          <w:rPr>
            <w:rStyle w:val="Hyperlink"/>
            <w:rFonts w:eastAsia="Courier New" w:cs="Times New Roman"/>
            <w:szCs w:val="24"/>
          </w:rPr>
          <w:t>william.michael@occ.ohio.gov</w:t>
        </w:r>
      </w:hyperlink>
    </w:p>
    <w:p w:rsidR="00326C85" w:rsidRPr="00C80BFE" w:rsidP="00AB389A" w14:paraId="18506D44" w14:textId="77777777">
      <w:pPr>
        <w:spacing w:after="0" w:line="240" w:lineRule="auto"/>
        <w:ind w:left="4320"/>
        <w:rPr>
          <w:rFonts w:eastAsia="Courier New" w:cs="Times New Roman"/>
          <w:szCs w:val="24"/>
        </w:rPr>
      </w:pPr>
      <w:r w:rsidRPr="00C80BFE">
        <w:rPr>
          <w:rStyle w:val="Hyperlink"/>
          <w:rFonts w:eastAsia="Courier New" w:cs="Times New Roman"/>
          <w:szCs w:val="24"/>
        </w:rPr>
        <w:t>connor.semple@occ.ohio.gov</w:t>
      </w:r>
    </w:p>
    <w:p w:rsidR="00326C85" w:rsidRPr="00C80BFE" w:rsidP="00AB389A" w14:paraId="607C79E1" w14:textId="77777777">
      <w:pPr>
        <w:spacing w:after="0" w:line="240" w:lineRule="auto"/>
        <w:ind w:left="4320"/>
        <w:rPr>
          <w:rFonts w:cs="Times New Roman"/>
          <w:szCs w:val="24"/>
        </w:rPr>
      </w:pPr>
      <w:r w:rsidRPr="00C80BFE">
        <w:rPr>
          <w:rFonts w:cs="Times New Roman"/>
          <w:szCs w:val="24"/>
        </w:rPr>
        <w:t>(willing to accept service by e-mail)</w:t>
      </w:r>
    </w:p>
    <w:p w:rsidR="00075DF7" w:rsidRPr="00C80BFE" w:rsidP="00075DF7" w14:paraId="3CB91B35" w14:textId="76BB442D">
      <w:pPr>
        <w:ind w:left="4320"/>
        <w:rPr>
          <w:rFonts w:cs="Times New Roman"/>
          <w:szCs w:val="24"/>
        </w:rPr>
      </w:pPr>
    </w:p>
    <w:p w:rsidR="00075DF7" w:rsidRPr="00C80BFE" w:rsidP="00075DF7" w14:paraId="24558A49" w14:textId="77777777">
      <w:pPr>
        <w:pStyle w:val="HTMLPreformatted"/>
        <w:jc w:val="center"/>
        <w:rPr>
          <w:rFonts w:ascii="Times New Roman" w:hAnsi="Times New Roman" w:cs="Times New Roman"/>
          <w:b/>
          <w:bCs/>
          <w:sz w:val="24"/>
          <w:szCs w:val="24"/>
        </w:rPr>
        <w:sectPr w:rsidSect="00165096">
          <w:footerReference w:type="first" r:id="rId10"/>
          <w:pgSz w:w="12240" w:h="15840"/>
          <w:pgMar w:top="1440" w:right="1800" w:bottom="1440" w:left="1800" w:header="720" w:footer="720" w:gutter="0"/>
          <w:pgNumType w:start="1"/>
          <w:cols w:space="720"/>
          <w:titlePg/>
          <w:docGrid w:linePitch="326"/>
        </w:sectPr>
      </w:pPr>
    </w:p>
    <w:p w:rsidR="009B419A" w:rsidRPr="00C80BFE" w:rsidP="00D77392" w14:paraId="1C484111" w14:textId="77777777">
      <w:pPr>
        <w:spacing w:after="0" w:line="480" w:lineRule="auto"/>
        <w:jc w:val="center"/>
        <w:rPr>
          <w:rFonts w:eastAsiaTheme="minorEastAsia" w:cs="Times New Roman"/>
          <w:b/>
          <w:szCs w:val="24"/>
          <w:u w:val="single"/>
        </w:rPr>
      </w:pPr>
      <w:r w:rsidRPr="00C80BFE">
        <w:rPr>
          <w:rFonts w:eastAsiaTheme="minorEastAsia" w:cs="Times New Roman"/>
          <w:b/>
          <w:szCs w:val="24"/>
          <w:u w:val="single"/>
        </w:rPr>
        <w:t>CERTIFICATE OF SERVICE</w:t>
      </w:r>
    </w:p>
    <w:p w:rsidR="009B419A" w:rsidRPr="00C80BFE" w:rsidP="00EC50A9" w14:paraId="1AF4F4A2" w14:textId="73FF3640">
      <w:pPr>
        <w:spacing w:after="0" w:line="480" w:lineRule="auto"/>
        <w:ind w:firstLine="720"/>
        <w:rPr>
          <w:rFonts w:eastAsiaTheme="minorEastAsia" w:cs="Times New Roman"/>
          <w:szCs w:val="24"/>
        </w:rPr>
      </w:pPr>
      <w:r w:rsidRPr="00C80BFE">
        <w:rPr>
          <w:rFonts w:eastAsiaTheme="minorEastAsia" w:cs="Times New Roman"/>
          <w:szCs w:val="24"/>
        </w:rPr>
        <w:t xml:space="preserve">I hereby certify that a copy of this </w:t>
      </w:r>
      <w:r w:rsidRPr="00C80BFE" w:rsidR="00EF0432">
        <w:rPr>
          <w:rFonts w:eastAsiaTheme="minorEastAsia" w:cs="Times New Roman"/>
          <w:szCs w:val="24"/>
        </w:rPr>
        <w:t>Reply</w:t>
      </w:r>
      <w:r w:rsidRPr="00C80BFE" w:rsidR="000C76D8">
        <w:rPr>
          <w:rFonts w:eastAsiaTheme="minorEastAsia" w:cs="Times New Roman"/>
          <w:szCs w:val="24"/>
        </w:rPr>
        <w:t xml:space="preserve"> </w:t>
      </w:r>
      <w:r w:rsidRPr="00C80BFE">
        <w:rPr>
          <w:rFonts w:eastAsiaTheme="minorEastAsia" w:cs="Times New Roman"/>
          <w:szCs w:val="24"/>
        </w:rPr>
        <w:t xml:space="preserve">Brief was served on the persons stated below via electronic transmission, this </w:t>
      </w:r>
      <w:r w:rsidRPr="00C80BFE" w:rsidR="00EF0432">
        <w:rPr>
          <w:rFonts w:eastAsiaTheme="minorEastAsia" w:cs="Times New Roman"/>
          <w:szCs w:val="24"/>
        </w:rPr>
        <w:t>2</w:t>
      </w:r>
      <w:r w:rsidRPr="00C80BFE" w:rsidR="006732B7">
        <w:rPr>
          <w:rFonts w:eastAsiaTheme="minorEastAsia" w:cs="Times New Roman"/>
          <w:szCs w:val="24"/>
        </w:rPr>
        <w:t>7</w:t>
      </w:r>
      <w:r w:rsidRPr="00C80BFE" w:rsidR="00B83E08">
        <w:rPr>
          <w:rFonts w:eastAsiaTheme="minorEastAsia" w:cs="Times New Roman"/>
          <w:szCs w:val="24"/>
          <w:vertAlign w:val="superscript"/>
        </w:rPr>
        <w:t>th</w:t>
      </w:r>
      <w:r w:rsidRPr="00C80BFE">
        <w:rPr>
          <w:rFonts w:eastAsiaTheme="minorEastAsia" w:cs="Times New Roman"/>
          <w:szCs w:val="24"/>
        </w:rPr>
        <w:t xml:space="preserve"> day of </w:t>
      </w:r>
      <w:r w:rsidRPr="00C80BFE" w:rsidR="00075DF7">
        <w:rPr>
          <w:rFonts w:eastAsiaTheme="minorEastAsia" w:cs="Times New Roman"/>
          <w:szCs w:val="24"/>
        </w:rPr>
        <w:t>December</w:t>
      </w:r>
      <w:r w:rsidRPr="00C80BFE">
        <w:rPr>
          <w:rFonts w:eastAsiaTheme="minorEastAsia" w:cs="Times New Roman"/>
          <w:szCs w:val="24"/>
        </w:rPr>
        <w:t xml:space="preserve"> 20</w:t>
      </w:r>
      <w:r w:rsidRPr="00C80BFE" w:rsidR="0072541D">
        <w:rPr>
          <w:rFonts w:eastAsiaTheme="minorEastAsia" w:cs="Times New Roman"/>
          <w:szCs w:val="24"/>
        </w:rPr>
        <w:t>2</w:t>
      </w:r>
      <w:r w:rsidRPr="00C80BFE" w:rsidR="00075DF7">
        <w:rPr>
          <w:rFonts w:eastAsiaTheme="minorEastAsia" w:cs="Times New Roman"/>
          <w:szCs w:val="24"/>
        </w:rPr>
        <w:t>2</w:t>
      </w:r>
      <w:r w:rsidRPr="00C80BFE">
        <w:rPr>
          <w:rFonts w:eastAsiaTheme="minorEastAsia" w:cs="Times New Roman"/>
          <w:szCs w:val="24"/>
        </w:rPr>
        <w:t>.</w:t>
      </w:r>
    </w:p>
    <w:p w:rsidR="009B419A" w:rsidRPr="00C80BFE" w:rsidP="00EC50A9" w14:paraId="42599AF5" w14:textId="553CE97E">
      <w:pPr>
        <w:spacing w:after="0" w:line="240" w:lineRule="auto"/>
        <w:ind w:firstLine="720"/>
        <w:rPr>
          <w:rFonts w:eastAsiaTheme="minorEastAsia" w:cs="Times New Roman"/>
          <w:i/>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i/>
          <w:szCs w:val="24"/>
          <w:u w:val="single"/>
        </w:rPr>
        <w:t xml:space="preserve">/s/ </w:t>
      </w:r>
      <w:r w:rsidRPr="00C80BFE" w:rsidR="0072541D">
        <w:rPr>
          <w:rFonts w:eastAsiaTheme="minorEastAsia" w:cs="Times New Roman"/>
          <w:i/>
          <w:szCs w:val="24"/>
          <w:u w:val="single"/>
        </w:rPr>
        <w:t>Angela D. O’Brien</w:t>
      </w:r>
      <w:r w:rsidRPr="00C80BFE">
        <w:rPr>
          <w:rFonts w:eastAsiaTheme="minorEastAsia" w:cs="Times New Roman"/>
          <w:i/>
          <w:szCs w:val="24"/>
          <w:u w:val="single"/>
        </w:rPr>
        <w:tab/>
      </w:r>
    </w:p>
    <w:p w:rsidR="009B419A" w:rsidRPr="00C80BFE" w:rsidP="00EC50A9" w14:paraId="029A7403" w14:textId="66F2475D">
      <w:pPr>
        <w:spacing w:after="0" w:line="240" w:lineRule="auto"/>
        <w:ind w:firstLine="720"/>
        <w:rPr>
          <w:rFonts w:eastAsiaTheme="minorEastAsia" w:cs="Times New Roman"/>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sidR="0072541D">
        <w:rPr>
          <w:rFonts w:eastAsiaTheme="minorEastAsia" w:cs="Times New Roman"/>
          <w:szCs w:val="24"/>
        </w:rPr>
        <w:t>Angela D. O’Brien</w:t>
      </w:r>
    </w:p>
    <w:p w:rsidR="002938B2" w:rsidP="005F71D8" w14:paraId="77A8CC59" w14:textId="1593D8CA">
      <w:pPr>
        <w:spacing w:after="0" w:line="240" w:lineRule="auto"/>
        <w:ind w:firstLine="720"/>
        <w:rPr>
          <w:rFonts w:eastAsiaTheme="minorEastAsia" w:cs="Times New Roman"/>
          <w:szCs w:val="24"/>
        </w:rPr>
      </w:pP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Pr="00C80BFE">
        <w:rPr>
          <w:rFonts w:eastAsiaTheme="minorEastAsia" w:cs="Times New Roman"/>
          <w:szCs w:val="24"/>
        </w:rPr>
        <w:tab/>
      </w:r>
      <w:r w:rsidR="009071E6">
        <w:rPr>
          <w:rFonts w:eastAsiaTheme="minorEastAsia" w:cs="Times New Roman"/>
          <w:szCs w:val="24"/>
        </w:rPr>
        <w:t>Assistant Consumers’ Counsel</w:t>
      </w:r>
    </w:p>
    <w:p w:rsidR="005F71D8" w:rsidRPr="005F71D8" w:rsidP="005F71D8" w14:paraId="142EE4DA" w14:textId="77777777">
      <w:pPr>
        <w:spacing w:after="0" w:line="240" w:lineRule="auto"/>
        <w:ind w:firstLine="720"/>
        <w:rPr>
          <w:rFonts w:eastAsiaTheme="minorEastAsia" w:cs="Times New Roman"/>
          <w:szCs w:val="24"/>
        </w:rPr>
      </w:pPr>
    </w:p>
    <w:p w:rsidR="009B419A" w:rsidRPr="00C80BFE" w:rsidP="002938B2" w14:paraId="0070DA1F" w14:textId="1FC38450">
      <w:pPr>
        <w:suppressLineNumbers/>
        <w:rPr>
          <w:rFonts w:eastAsiaTheme="minorEastAsia" w:cs="Times New Roman"/>
          <w:szCs w:val="24"/>
        </w:rPr>
      </w:pPr>
      <w:r w:rsidRPr="00C80BFE">
        <w:rPr>
          <w:rFonts w:cs="Times New Roman"/>
          <w:szCs w:val="24"/>
        </w:rPr>
        <w:t>The PUCO’s e-filing system will electronically serve notice of the filing of this document on the following parties:</w:t>
      </w:r>
    </w:p>
    <w:p w:rsidR="002938B2" w:rsidRPr="00C80BFE" w:rsidP="002938B2" w14:paraId="0E0F8796" w14:textId="77777777">
      <w:pPr>
        <w:pStyle w:val="CommentText"/>
        <w:jc w:val="center"/>
        <w:rPr>
          <w:b/>
          <w:u w:val="single"/>
        </w:rPr>
      </w:pPr>
      <w:r w:rsidRPr="00C80BFE">
        <w:rPr>
          <w:b/>
          <w:u w:val="single"/>
        </w:rPr>
        <w:t>SERVICE LIST</w:t>
      </w:r>
    </w:p>
    <w:p w:rsidR="002938B2" w:rsidRPr="00C80BFE" w:rsidP="002938B2" w14:paraId="04D135AD" w14:textId="77777777">
      <w:pPr>
        <w:pStyle w:val="CommentText"/>
        <w:jc w:val="center"/>
        <w:rPr>
          <w:bCs/>
          <w:u w:val="single"/>
        </w:rPr>
      </w:pPr>
    </w:p>
    <w:tbl>
      <w:tblPr>
        <w:tblW w:w="0" w:type="auto"/>
        <w:tblLook w:val="01E0"/>
      </w:tblPr>
      <w:tblGrid>
        <w:gridCol w:w="4322"/>
        <w:gridCol w:w="4318"/>
      </w:tblGrid>
      <w:tr w14:paraId="2DB43FE9" w14:textId="77777777" w:rsidTr="003C37F4">
        <w:tblPrEx>
          <w:tblW w:w="0" w:type="auto"/>
          <w:tblLook w:val="01E0"/>
        </w:tblPrEx>
        <w:tc>
          <w:tcPr>
            <w:tcW w:w="4322" w:type="dxa"/>
            <w:shd w:val="clear" w:color="auto" w:fill="auto"/>
          </w:tcPr>
          <w:p w:rsidR="009E76F7" w:rsidRPr="00C80BFE" w:rsidP="009E76F7" w14:paraId="6E30E0D6" w14:textId="77777777">
            <w:pPr>
              <w:spacing w:after="0" w:line="240" w:lineRule="auto"/>
              <w:rPr>
                <w:rFonts w:cs="Times New Roman"/>
                <w:color w:val="0000FF"/>
                <w:szCs w:val="24"/>
                <w:u w:val="single"/>
              </w:rPr>
            </w:pPr>
            <w:hyperlink r:id="rId11" w:history="1">
              <w:r w:rsidRPr="00C80BFE">
                <w:rPr>
                  <w:rFonts w:cs="Times New Roman"/>
                  <w:color w:val="0000FF"/>
                  <w:szCs w:val="24"/>
                  <w:u w:val="single"/>
                </w:rPr>
                <w:t>werner.margard@OhioAGO.gov</w:t>
              </w:r>
            </w:hyperlink>
          </w:p>
          <w:p w:rsidR="009E76F7" w:rsidRPr="00C80BFE" w:rsidP="009E76F7" w14:paraId="642E5D7D" w14:textId="77777777">
            <w:pPr>
              <w:spacing w:after="0" w:line="240" w:lineRule="auto"/>
              <w:rPr>
                <w:rFonts w:cs="Times New Roman"/>
                <w:szCs w:val="24"/>
              </w:rPr>
            </w:pPr>
            <w:r w:rsidRPr="00C80BFE">
              <w:rPr>
                <w:rFonts w:cs="Times New Roman"/>
                <w:color w:val="0000FF"/>
                <w:szCs w:val="24"/>
                <w:u w:val="single"/>
              </w:rPr>
              <w:t>shaun.lyons@OhioAGO.gov</w:t>
            </w:r>
          </w:p>
          <w:bookmarkStart w:id="28" w:name="_Hlk76570769"/>
          <w:p w:rsidR="009E76F7" w:rsidRPr="00C80BFE" w:rsidP="009E76F7" w14:paraId="61C5660A" w14:textId="77777777">
            <w:pPr>
              <w:tabs>
                <w:tab w:val="left" w:pos="-720"/>
              </w:tabs>
              <w:suppressAutoHyphens/>
              <w:spacing w:after="0" w:line="240" w:lineRule="auto"/>
              <w:jc w:val="both"/>
              <w:rPr>
                <w:rFonts w:cs="Times New Roman"/>
                <w:bCs/>
                <w:color w:val="0000FF"/>
                <w:szCs w:val="24"/>
                <w:u w:val="single"/>
              </w:rPr>
            </w:pPr>
            <w:hyperlink r:id="rId12" w:history="1">
              <w:r w:rsidRPr="00C80BFE">
                <w:rPr>
                  <w:rFonts w:cs="Times New Roman"/>
                  <w:bCs/>
                  <w:color w:val="0000FF"/>
                  <w:szCs w:val="24"/>
                  <w:u w:val="single"/>
                </w:rPr>
                <w:t>mjsettineri@vorys.com</w:t>
              </w:r>
            </w:hyperlink>
          </w:p>
          <w:p w:rsidR="009E76F7" w:rsidRPr="00C80BFE" w:rsidP="009E76F7" w14:paraId="6CE88178" w14:textId="77777777">
            <w:pPr>
              <w:tabs>
                <w:tab w:val="left" w:pos="-720"/>
              </w:tabs>
              <w:suppressAutoHyphens/>
              <w:spacing w:after="0" w:line="240" w:lineRule="auto"/>
              <w:jc w:val="both"/>
              <w:rPr>
                <w:rFonts w:cs="Times New Roman"/>
                <w:color w:val="0000FF"/>
                <w:szCs w:val="24"/>
                <w:u w:val="single"/>
              </w:rPr>
            </w:pPr>
            <w:hyperlink r:id="rId13" w:history="1">
              <w:r w:rsidRPr="00C80BFE">
                <w:rPr>
                  <w:rFonts w:cs="Times New Roman"/>
                  <w:color w:val="0000FF"/>
                  <w:szCs w:val="24"/>
                  <w:u w:val="single"/>
                </w:rPr>
                <w:t>glpetrucci@vorys.com</w:t>
              </w:r>
            </w:hyperlink>
          </w:p>
          <w:p w:rsidR="009E76F7" w:rsidRPr="00C80BFE" w:rsidP="009E76F7" w14:paraId="2EBBD1C1" w14:textId="77777777">
            <w:pPr>
              <w:tabs>
                <w:tab w:val="left" w:pos="-720"/>
              </w:tabs>
              <w:suppressAutoHyphens/>
              <w:spacing w:after="0" w:line="240" w:lineRule="auto"/>
              <w:jc w:val="both"/>
              <w:rPr>
                <w:rFonts w:cs="Times New Roman"/>
                <w:color w:val="0000FF"/>
                <w:szCs w:val="24"/>
                <w:u w:val="single"/>
              </w:rPr>
            </w:pPr>
            <w:r w:rsidRPr="00C80BFE">
              <w:rPr>
                <w:rFonts w:cs="Times New Roman"/>
                <w:color w:val="0000FF"/>
                <w:szCs w:val="24"/>
                <w:u w:val="single"/>
              </w:rPr>
              <w:t>stacie.cathcart@igs.com</w:t>
            </w:r>
          </w:p>
          <w:p w:rsidR="009E76F7" w:rsidRPr="00C80BFE" w:rsidP="009E76F7" w14:paraId="766AA803" w14:textId="77777777">
            <w:pPr>
              <w:tabs>
                <w:tab w:val="left" w:pos="-720"/>
              </w:tabs>
              <w:suppressAutoHyphens/>
              <w:spacing w:after="0" w:line="240" w:lineRule="auto"/>
              <w:jc w:val="both"/>
              <w:rPr>
                <w:rFonts w:cs="Times New Roman"/>
                <w:color w:val="0000FF"/>
                <w:szCs w:val="24"/>
                <w:u w:val="single"/>
              </w:rPr>
            </w:pPr>
            <w:hyperlink r:id="rId14" w:history="1">
              <w:r w:rsidRPr="00C80BFE">
                <w:rPr>
                  <w:rFonts w:cs="Times New Roman"/>
                  <w:color w:val="0000FF"/>
                  <w:szCs w:val="24"/>
                  <w:u w:val="single"/>
                </w:rPr>
                <w:t>michael.nugent@igs.com</w:t>
              </w:r>
            </w:hyperlink>
          </w:p>
          <w:p w:rsidR="009E76F7" w:rsidRPr="00C80BFE" w:rsidP="009E76F7" w14:paraId="74BC5F31" w14:textId="77777777">
            <w:pPr>
              <w:tabs>
                <w:tab w:val="left" w:pos="-720"/>
              </w:tabs>
              <w:suppressAutoHyphens/>
              <w:spacing w:after="0" w:line="240" w:lineRule="auto"/>
              <w:jc w:val="both"/>
              <w:rPr>
                <w:rFonts w:cs="Times New Roman"/>
                <w:bCs/>
                <w:szCs w:val="24"/>
              </w:rPr>
            </w:pPr>
            <w:hyperlink r:id="rId15" w:history="1">
              <w:r w:rsidRPr="00C80BFE">
                <w:rPr>
                  <w:rFonts w:cs="Times New Roman"/>
                  <w:bCs/>
                  <w:color w:val="0000FF"/>
                  <w:szCs w:val="24"/>
                  <w:u w:val="single"/>
                </w:rPr>
                <w:t>evan.betterton@igs.com</w:t>
              </w:r>
            </w:hyperlink>
          </w:p>
          <w:p w:rsidR="009E76F7" w:rsidRPr="00C80BFE" w:rsidP="009E76F7" w14:paraId="799CCE69" w14:textId="77777777">
            <w:pPr>
              <w:tabs>
                <w:tab w:val="left" w:pos="-720"/>
              </w:tabs>
              <w:suppressAutoHyphens/>
              <w:spacing w:after="0" w:line="240" w:lineRule="auto"/>
              <w:jc w:val="both"/>
              <w:rPr>
                <w:rFonts w:cs="Times New Roman"/>
                <w:bCs/>
                <w:szCs w:val="24"/>
              </w:rPr>
            </w:pPr>
            <w:hyperlink r:id="rId16" w:history="1">
              <w:r w:rsidRPr="00C80BFE">
                <w:rPr>
                  <w:rFonts w:cs="Times New Roman"/>
                  <w:bCs/>
                  <w:color w:val="0000FF"/>
                  <w:szCs w:val="24"/>
                  <w:u w:val="single"/>
                </w:rPr>
                <w:t>joe.oliker@igs.com</w:t>
              </w:r>
            </w:hyperlink>
          </w:p>
          <w:p w:rsidR="009E76F7" w:rsidRPr="00C80BFE" w:rsidP="009E76F7" w14:paraId="0FA79CD7" w14:textId="77777777">
            <w:pPr>
              <w:tabs>
                <w:tab w:val="left" w:pos="-720"/>
              </w:tabs>
              <w:suppressAutoHyphens/>
              <w:spacing w:after="0" w:line="240" w:lineRule="auto"/>
              <w:jc w:val="both"/>
              <w:rPr>
                <w:rFonts w:cs="Times New Roman"/>
                <w:bCs/>
                <w:color w:val="0000FF"/>
                <w:szCs w:val="24"/>
                <w:u w:val="single"/>
              </w:rPr>
            </w:pPr>
            <w:hyperlink r:id="rId17" w:history="1">
              <w:r w:rsidRPr="00C80BFE">
                <w:rPr>
                  <w:rFonts w:cs="Times New Roman"/>
                  <w:bCs/>
                  <w:color w:val="0000FF"/>
                  <w:szCs w:val="24"/>
                  <w:u w:val="single"/>
                </w:rPr>
                <w:t>rdove@keglerbrown.com</w:t>
              </w:r>
            </w:hyperlink>
          </w:p>
          <w:p w:rsidR="009E76F7" w:rsidP="009E76F7" w14:paraId="2C389FFA" w14:textId="559A9774">
            <w:pPr>
              <w:tabs>
                <w:tab w:val="left" w:pos="-720"/>
              </w:tabs>
              <w:suppressAutoHyphens/>
              <w:spacing w:after="0" w:line="240" w:lineRule="auto"/>
              <w:jc w:val="both"/>
              <w:rPr>
                <w:rFonts w:cs="Times New Roman"/>
                <w:bCs/>
                <w:color w:val="0000FF"/>
                <w:szCs w:val="24"/>
                <w:u w:val="single"/>
              </w:rPr>
            </w:pPr>
            <w:hyperlink r:id="rId18" w:history="1">
              <w:r w:rsidRPr="006E75B8" w:rsidR="00374C28">
                <w:rPr>
                  <w:rStyle w:val="Hyperlink"/>
                  <w:rFonts w:cs="Times New Roman"/>
                  <w:bCs/>
                  <w:szCs w:val="24"/>
                </w:rPr>
                <w:t>jweber@elpc.org</w:t>
              </w:r>
            </w:hyperlink>
          </w:p>
          <w:p w:rsidR="00374C28" w:rsidRPr="00C80BFE" w:rsidP="009E76F7" w14:paraId="152A0298" w14:textId="6C1CCA59">
            <w:pPr>
              <w:tabs>
                <w:tab w:val="left" w:pos="-720"/>
              </w:tabs>
              <w:suppressAutoHyphens/>
              <w:spacing w:after="0" w:line="240" w:lineRule="auto"/>
              <w:jc w:val="both"/>
              <w:rPr>
                <w:rFonts w:cs="Times New Roman"/>
                <w:bCs/>
                <w:color w:val="0000FF"/>
                <w:szCs w:val="24"/>
                <w:u w:val="single"/>
              </w:rPr>
            </w:pPr>
            <w:r w:rsidRPr="00374C28">
              <w:rPr>
                <w:rFonts w:cs="Times New Roman"/>
                <w:bCs/>
                <w:color w:val="0000FF"/>
                <w:szCs w:val="24"/>
                <w:u w:val="single"/>
              </w:rPr>
              <w:t>tdougherty@theoec.org</w:t>
            </w:r>
          </w:p>
          <w:p w:rsidR="009E76F7" w:rsidRPr="00C80BFE" w:rsidP="009E76F7" w14:paraId="135DF252" w14:textId="77777777">
            <w:pPr>
              <w:tabs>
                <w:tab w:val="left" w:pos="-720"/>
              </w:tabs>
              <w:suppressAutoHyphens/>
              <w:spacing w:after="0" w:line="240" w:lineRule="auto"/>
              <w:jc w:val="both"/>
              <w:rPr>
                <w:rFonts w:cs="Times New Roman"/>
                <w:bCs/>
                <w:color w:val="0000FF"/>
                <w:szCs w:val="24"/>
                <w:u w:val="single"/>
              </w:rPr>
            </w:pPr>
            <w:hyperlink r:id="rId19" w:history="1">
              <w:r w:rsidRPr="00C80BFE">
                <w:rPr>
                  <w:rStyle w:val="Hyperlink"/>
                  <w:rFonts w:cs="Times New Roman"/>
                  <w:bCs/>
                  <w:szCs w:val="24"/>
                </w:rPr>
                <w:t>mpritchard@mcneeslaw.com</w:t>
              </w:r>
            </w:hyperlink>
          </w:p>
          <w:p w:rsidR="009E76F7" w:rsidRPr="00C80BFE" w:rsidP="009E76F7" w14:paraId="1625E59F" w14:textId="77777777">
            <w:pPr>
              <w:tabs>
                <w:tab w:val="left" w:pos="-720"/>
              </w:tabs>
              <w:suppressAutoHyphens/>
              <w:spacing w:after="0" w:line="240" w:lineRule="auto"/>
              <w:jc w:val="both"/>
              <w:rPr>
                <w:rFonts w:cs="Times New Roman"/>
                <w:bCs/>
                <w:color w:val="0000FF"/>
                <w:szCs w:val="24"/>
                <w:u w:val="single"/>
              </w:rPr>
            </w:pPr>
            <w:r w:rsidRPr="00C80BFE">
              <w:rPr>
                <w:rFonts w:cs="Times New Roman"/>
                <w:bCs/>
                <w:color w:val="0000FF"/>
                <w:szCs w:val="24"/>
                <w:u w:val="single"/>
              </w:rPr>
              <w:t>bmckenney@mcneeslaw.com</w:t>
            </w:r>
          </w:p>
          <w:p w:rsidR="009E76F7" w:rsidRPr="00C80BFE" w:rsidP="009E76F7" w14:paraId="46E6B038" w14:textId="77777777">
            <w:pPr>
              <w:tabs>
                <w:tab w:val="left" w:pos="-720"/>
              </w:tabs>
              <w:suppressAutoHyphens/>
              <w:spacing w:after="0" w:line="240" w:lineRule="auto"/>
              <w:jc w:val="both"/>
              <w:rPr>
                <w:rFonts w:cs="Times New Roman"/>
                <w:bCs/>
                <w:color w:val="0000FF"/>
                <w:szCs w:val="24"/>
                <w:u w:val="single"/>
              </w:rPr>
            </w:pPr>
          </w:p>
          <w:p w:rsidR="009E76F7" w:rsidRPr="00C80BFE" w:rsidP="009E76F7" w14:paraId="1B033BAC" w14:textId="77777777">
            <w:pPr>
              <w:tabs>
                <w:tab w:val="left" w:pos="-720"/>
              </w:tabs>
              <w:suppressAutoHyphens/>
              <w:spacing w:after="0" w:line="240" w:lineRule="auto"/>
              <w:jc w:val="both"/>
              <w:rPr>
                <w:rFonts w:cs="Times New Roman"/>
                <w:bCs/>
                <w:szCs w:val="24"/>
              </w:rPr>
            </w:pPr>
            <w:r w:rsidRPr="00C80BFE">
              <w:rPr>
                <w:rFonts w:cs="Times New Roman"/>
                <w:bCs/>
                <w:szCs w:val="24"/>
              </w:rPr>
              <w:t>Attorney Examiners:</w:t>
            </w:r>
          </w:p>
          <w:p w:rsidR="009E76F7" w:rsidRPr="00C80BFE" w:rsidP="009E76F7" w14:paraId="6614FB77" w14:textId="77777777">
            <w:pPr>
              <w:spacing w:after="0" w:line="240" w:lineRule="auto"/>
              <w:rPr>
                <w:rFonts w:cs="Times New Roman"/>
                <w:color w:val="0000FF"/>
                <w:szCs w:val="24"/>
                <w:u w:val="single"/>
              </w:rPr>
            </w:pPr>
            <w:hyperlink r:id="rId20" w:history="1">
              <w:r w:rsidRPr="00C80BFE">
                <w:rPr>
                  <w:rFonts w:cs="Times New Roman"/>
                  <w:color w:val="0000FF"/>
                  <w:szCs w:val="24"/>
                  <w:u w:val="single"/>
                </w:rPr>
                <w:t>jacqueline.st.john@puco.ohio.gov</w:t>
              </w:r>
            </w:hyperlink>
          </w:p>
          <w:p w:rsidR="009E76F7" w:rsidRPr="00C80BFE" w:rsidP="009E76F7" w14:paraId="4DFFF718" w14:textId="77777777">
            <w:pPr>
              <w:adjustRightInd w:val="0"/>
              <w:spacing w:after="0" w:line="240" w:lineRule="auto"/>
              <w:rPr>
                <w:rFonts w:cs="Times New Roman"/>
                <w:color w:val="0000FF"/>
                <w:szCs w:val="24"/>
                <w:u w:val="single"/>
              </w:rPr>
            </w:pPr>
            <w:hyperlink r:id="rId21" w:history="1">
              <w:r w:rsidRPr="00C80BFE">
                <w:rPr>
                  <w:rFonts w:cs="Times New Roman"/>
                  <w:color w:val="0000FF"/>
                  <w:szCs w:val="24"/>
                  <w:u w:val="single"/>
                </w:rPr>
                <w:t>gregory.price@puco.ohio.gov</w:t>
              </w:r>
            </w:hyperlink>
          </w:p>
          <w:p w:rsidR="009E76F7" w:rsidRPr="00C80BFE" w:rsidP="009E76F7" w14:paraId="6FB73F03" w14:textId="77777777">
            <w:pPr>
              <w:autoSpaceDE w:val="0"/>
              <w:autoSpaceDN w:val="0"/>
              <w:adjustRightInd w:val="0"/>
              <w:spacing w:after="0" w:line="240" w:lineRule="auto"/>
              <w:rPr>
                <w:rFonts w:cs="Times New Roman"/>
                <w:bCs/>
                <w:szCs w:val="24"/>
              </w:rPr>
            </w:pPr>
          </w:p>
          <w:p w:rsidR="009E76F7" w:rsidRPr="00C80BFE" w:rsidP="009E76F7" w14:paraId="63F95A7C" w14:textId="77777777">
            <w:pPr>
              <w:autoSpaceDE w:val="0"/>
              <w:autoSpaceDN w:val="0"/>
              <w:adjustRightInd w:val="0"/>
              <w:spacing w:after="0" w:line="240" w:lineRule="auto"/>
              <w:rPr>
                <w:rFonts w:cs="Times New Roman"/>
                <w:bCs/>
                <w:szCs w:val="24"/>
              </w:rPr>
            </w:pPr>
          </w:p>
          <w:bookmarkEnd w:id="28"/>
          <w:p w:rsidR="009E76F7" w:rsidRPr="00C80BFE" w:rsidP="009E76F7" w14:paraId="701145BF" w14:textId="77777777">
            <w:pPr>
              <w:autoSpaceDE w:val="0"/>
              <w:autoSpaceDN w:val="0"/>
              <w:adjustRightInd w:val="0"/>
              <w:spacing w:after="0" w:line="240" w:lineRule="auto"/>
              <w:rPr>
                <w:rFonts w:cs="Times New Roman"/>
                <w:bCs/>
                <w:szCs w:val="24"/>
              </w:rPr>
            </w:pPr>
          </w:p>
        </w:tc>
        <w:tc>
          <w:tcPr>
            <w:tcW w:w="4318" w:type="dxa"/>
            <w:shd w:val="clear" w:color="auto" w:fill="auto"/>
          </w:tcPr>
          <w:p w:rsidR="009E76F7" w:rsidRPr="00C80BFE" w:rsidP="009E76F7" w14:paraId="61ADB682" w14:textId="77777777">
            <w:pPr>
              <w:tabs>
                <w:tab w:val="left" w:pos="-720"/>
              </w:tabs>
              <w:suppressAutoHyphens/>
              <w:spacing w:after="0" w:line="240" w:lineRule="auto"/>
              <w:jc w:val="both"/>
              <w:rPr>
                <w:rFonts w:cs="Times New Roman"/>
                <w:bCs/>
                <w:szCs w:val="24"/>
              </w:rPr>
            </w:pPr>
            <w:hyperlink r:id="rId22" w:history="1">
              <w:r w:rsidRPr="00C80BFE">
                <w:rPr>
                  <w:rFonts w:cs="Times New Roman"/>
                  <w:bCs/>
                  <w:color w:val="0000FF"/>
                  <w:szCs w:val="24"/>
                  <w:u w:val="single"/>
                </w:rPr>
                <w:t>mkurtz@bkllawfirm.com</w:t>
              </w:r>
            </w:hyperlink>
          </w:p>
          <w:p w:rsidR="009E76F7" w:rsidRPr="00C80BFE" w:rsidP="009E76F7" w14:paraId="603F7875" w14:textId="77777777">
            <w:pPr>
              <w:tabs>
                <w:tab w:val="left" w:pos="-720"/>
              </w:tabs>
              <w:suppressAutoHyphens/>
              <w:spacing w:after="0" w:line="240" w:lineRule="auto"/>
              <w:jc w:val="both"/>
              <w:rPr>
                <w:rFonts w:cs="Times New Roman"/>
                <w:bCs/>
                <w:szCs w:val="24"/>
              </w:rPr>
            </w:pPr>
            <w:hyperlink r:id="rId23" w:history="1">
              <w:r w:rsidRPr="00C80BFE">
                <w:rPr>
                  <w:rFonts w:cs="Times New Roman"/>
                  <w:bCs/>
                  <w:color w:val="0000FF"/>
                  <w:szCs w:val="24"/>
                  <w:u w:val="single"/>
                </w:rPr>
                <w:t>kboehm@bkllawfirm.com</w:t>
              </w:r>
            </w:hyperlink>
          </w:p>
          <w:p w:rsidR="009E76F7" w:rsidRPr="00C80BFE" w:rsidP="009E76F7" w14:paraId="7DFD1B88" w14:textId="77777777">
            <w:pPr>
              <w:tabs>
                <w:tab w:val="left" w:pos="-720"/>
              </w:tabs>
              <w:suppressAutoHyphens/>
              <w:spacing w:after="0" w:line="240" w:lineRule="auto"/>
              <w:jc w:val="both"/>
              <w:rPr>
                <w:rFonts w:cs="Times New Roman"/>
                <w:bCs/>
                <w:szCs w:val="24"/>
              </w:rPr>
            </w:pPr>
            <w:hyperlink r:id="rId24" w:history="1">
              <w:r w:rsidRPr="00C80BFE">
                <w:rPr>
                  <w:rFonts w:cs="Times New Roman"/>
                  <w:bCs/>
                  <w:color w:val="0000FF"/>
                  <w:szCs w:val="24"/>
                  <w:u w:val="single"/>
                </w:rPr>
                <w:t>jkylercohn@bkllawfirm.com</w:t>
              </w:r>
            </w:hyperlink>
          </w:p>
          <w:p w:rsidR="009E76F7" w:rsidRPr="00C80BFE" w:rsidP="009E76F7" w14:paraId="72163A59" w14:textId="77777777">
            <w:pPr>
              <w:tabs>
                <w:tab w:val="left" w:pos="-720"/>
              </w:tabs>
              <w:suppressAutoHyphens/>
              <w:spacing w:after="0" w:line="240" w:lineRule="auto"/>
              <w:jc w:val="both"/>
              <w:rPr>
                <w:rFonts w:cs="Times New Roman"/>
                <w:bCs/>
                <w:szCs w:val="24"/>
              </w:rPr>
            </w:pPr>
            <w:hyperlink r:id="rId25" w:history="1">
              <w:r w:rsidRPr="00C80BFE">
                <w:rPr>
                  <w:rFonts w:cs="Times New Roman"/>
                  <w:bCs/>
                  <w:color w:val="0000FF"/>
                  <w:szCs w:val="24"/>
                  <w:u w:val="single"/>
                </w:rPr>
                <w:t>josephclark@nisource.com</w:t>
              </w:r>
            </w:hyperlink>
          </w:p>
          <w:p w:rsidR="009E76F7" w:rsidRPr="00C80BFE" w:rsidP="009E76F7" w14:paraId="59C9519B" w14:textId="77777777">
            <w:pPr>
              <w:tabs>
                <w:tab w:val="left" w:pos="-720"/>
              </w:tabs>
              <w:suppressAutoHyphens/>
              <w:spacing w:after="0" w:line="240" w:lineRule="auto"/>
              <w:jc w:val="both"/>
              <w:rPr>
                <w:rFonts w:cs="Times New Roman"/>
                <w:bCs/>
                <w:szCs w:val="24"/>
              </w:rPr>
            </w:pPr>
            <w:hyperlink r:id="rId26" w:history="1">
              <w:r w:rsidRPr="00C80BFE">
                <w:rPr>
                  <w:rFonts w:cs="Times New Roman"/>
                  <w:bCs/>
                  <w:color w:val="0000FF"/>
                  <w:szCs w:val="24"/>
                  <w:u w:val="single"/>
                </w:rPr>
                <w:t>mlthompson@nisource.com</w:t>
              </w:r>
            </w:hyperlink>
          </w:p>
          <w:p w:rsidR="009E76F7" w:rsidRPr="00C80BFE" w:rsidP="009E76F7" w14:paraId="1B4C8918" w14:textId="77777777">
            <w:pPr>
              <w:tabs>
                <w:tab w:val="left" w:pos="-720"/>
              </w:tabs>
              <w:suppressAutoHyphens/>
              <w:spacing w:after="0" w:line="240" w:lineRule="auto"/>
              <w:jc w:val="both"/>
              <w:rPr>
                <w:rFonts w:cs="Times New Roman"/>
                <w:bCs/>
                <w:szCs w:val="24"/>
              </w:rPr>
            </w:pPr>
            <w:hyperlink r:id="rId27" w:history="1">
              <w:r w:rsidRPr="00C80BFE">
                <w:rPr>
                  <w:rFonts w:cs="Times New Roman"/>
                  <w:bCs/>
                  <w:color w:val="0000FF"/>
                  <w:szCs w:val="24"/>
                  <w:u w:val="single"/>
                </w:rPr>
                <w:t>johnryan@nisource.com</w:t>
              </w:r>
            </w:hyperlink>
          </w:p>
          <w:p w:rsidR="009E76F7" w:rsidRPr="00C80BFE" w:rsidP="009E76F7" w14:paraId="623412C4" w14:textId="77777777">
            <w:pPr>
              <w:tabs>
                <w:tab w:val="left" w:pos="-720"/>
              </w:tabs>
              <w:suppressAutoHyphens/>
              <w:spacing w:after="0" w:line="240" w:lineRule="auto"/>
              <w:jc w:val="both"/>
              <w:rPr>
                <w:rFonts w:cs="Times New Roman"/>
                <w:bCs/>
                <w:szCs w:val="24"/>
              </w:rPr>
            </w:pPr>
            <w:hyperlink r:id="rId28" w:history="1">
              <w:r w:rsidRPr="00C80BFE">
                <w:rPr>
                  <w:rFonts w:cs="Times New Roman"/>
                  <w:bCs/>
                  <w:color w:val="0000FF"/>
                  <w:szCs w:val="24"/>
                  <w:u w:val="single"/>
                </w:rPr>
                <w:t>egallon@porterwright.com</w:t>
              </w:r>
            </w:hyperlink>
          </w:p>
          <w:p w:rsidR="009E76F7" w:rsidRPr="00C80BFE" w:rsidP="009E76F7" w14:paraId="02C0DA20" w14:textId="77777777">
            <w:pPr>
              <w:tabs>
                <w:tab w:val="left" w:pos="-720"/>
              </w:tabs>
              <w:suppressAutoHyphens/>
              <w:spacing w:after="0" w:line="240" w:lineRule="auto"/>
              <w:jc w:val="both"/>
              <w:rPr>
                <w:rFonts w:cs="Times New Roman"/>
                <w:bCs/>
                <w:szCs w:val="24"/>
              </w:rPr>
            </w:pPr>
            <w:hyperlink r:id="rId29" w:history="1">
              <w:r w:rsidRPr="00C80BFE">
                <w:rPr>
                  <w:rFonts w:cs="Times New Roman"/>
                  <w:bCs/>
                  <w:color w:val="0000FF"/>
                  <w:szCs w:val="24"/>
                  <w:u w:val="single"/>
                </w:rPr>
                <w:t>mstemm@porterwright.com</w:t>
              </w:r>
            </w:hyperlink>
          </w:p>
          <w:p w:rsidR="009E76F7" w:rsidRPr="00C80BFE" w:rsidP="009E76F7" w14:paraId="3B7CA6D6" w14:textId="77777777">
            <w:pPr>
              <w:tabs>
                <w:tab w:val="left" w:pos="-720"/>
              </w:tabs>
              <w:suppressAutoHyphens/>
              <w:spacing w:after="0" w:line="240" w:lineRule="auto"/>
              <w:jc w:val="both"/>
              <w:rPr>
                <w:rFonts w:cs="Times New Roman"/>
                <w:bCs/>
                <w:szCs w:val="24"/>
              </w:rPr>
            </w:pPr>
            <w:hyperlink r:id="rId30" w:history="1">
              <w:r w:rsidRPr="00C80BFE">
                <w:rPr>
                  <w:rFonts w:cs="Times New Roman"/>
                  <w:bCs/>
                  <w:color w:val="0000FF"/>
                  <w:szCs w:val="24"/>
                  <w:u w:val="single"/>
                </w:rPr>
                <w:t>bhughes@porterwright.com</w:t>
              </w:r>
            </w:hyperlink>
          </w:p>
          <w:p w:rsidR="009E76F7" w:rsidRPr="00C80BFE" w:rsidP="009E76F7" w14:paraId="381935D7" w14:textId="77777777">
            <w:pPr>
              <w:tabs>
                <w:tab w:val="left" w:pos="-720"/>
              </w:tabs>
              <w:suppressAutoHyphens/>
              <w:spacing w:after="0" w:line="240" w:lineRule="auto"/>
              <w:jc w:val="both"/>
              <w:rPr>
                <w:rFonts w:cs="Times New Roman"/>
                <w:bCs/>
                <w:color w:val="0000FF"/>
                <w:szCs w:val="24"/>
                <w:u w:val="single"/>
              </w:rPr>
            </w:pPr>
            <w:hyperlink r:id="rId31" w:history="1">
              <w:r w:rsidRPr="00C80BFE">
                <w:rPr>
                  <w:rFonts w:cs="Times New Roman"/>
                  <w:bCs/>
                  <w:color w:val="0000FF"/>
                  <w:szCs w:val="24"/>
                  <w:u w:val="single"/>
                </w:rPr>
                <w:t>dflahive@porterwright.com</w:t>
              </w:r>
            </w:hyperlink>
          </w:p>
          <w:p w:rsidR="009E76F7" w:rsidRPr="00C80BFE" w:rsidP="009E76F7" w14:paraId="3A333845" w14:textId="77777777">
            <w:pPr>
              <w:tabs>
                <w:tab w:val="left" w:pos="-720"/>
              </w:tabs>
              <w:suppressAutoHyphens/>
              <w:spacing w:after="0" w:line="240" w:lineRule="auto"/>
              <w:jc w:val="both"/>
              <w:rPr>
                <w:rFonts w:cs="Times New Roman"/>
                <w:bCs/>
                <w:szCs w:val="24"/>
              </w:rPr>
            </w:pPr>
            <w:hyperlink r:id="rId32" w:history="1">
              <w:r w:rsidRPr="00C80BFE">
                <w:rPr>
                  <w:rFonts w:cs="Times New Roman"/>
                  <w:bCs/>
                  <w:color w:val="0000FF"/>
                  <w:szCs w:val="24"/>
                  <w:u w:val="single"/>
                </w:rPr>
                <w:t>dparram@bricker.com</w:t>
              </w:r>
            </w:hyperlink>
          </w:p>
          <w:p w:rsidR="009E76F7" w:rsidRPr="00C80BFE" w:rsidP="009E76F7" w14:paraId="5A028DA0" w14:textId="77777777">
            <w:pPr>
              <w:tabs>
                <w:tab w:val="left" w:pos="-720"/>
              </w:tabs>
              <w:suppressAutoHyphens/>
              <w:spacing w:after="0" w:line="240" w:lineRule="auto"/>
              <w:jc w:val="both"/>
              <w:rPr>
                <w:rFonts w:cs="Times New Roman"/>
                <w:bCs/>
                <w:szCs w:val="24"/>
              </w:rPr>
            </w:pPr>
            <w:hyperlink r:id="rId33" w:history="1">
              <w:r w:rsidRPr="00C80BFE">
                <w:rPr>
                  <w:rFonts w:cs="Times New Roman"/>
                  <w:bCs/>
                  <w:color w:val="0000FF"/>
                  <w:szCs w:val="24"/>
                  <w:u w:val="single"/>
                </w:rPr>
                <w:t>gkrassen@nopec.org</w:t>
              </w:r>
            </w:hyperlink>
          </w:p>
          <w:p w:rsidR="009E76F7" w:rsidRPr="00C80BFE" w:rsidP="009E76F7" w14:paraId="2F0015CF" w14:textId="77777777">
            <w:pPr>
              <w:tabs>
                <w:tab w:val="left" w:pos="-720"/>
              </w:tabs>
              <w:suppressAutoHyphens/>
              <w:spacing w:after="0" w:line="240" w:lineRule="auto"/>
              <w:jc w:val="both"/>
              <w:rPr>
                <w:rFonts w:cs="Times New Roman"/>
                <w:bCs/>
                <w:color w:val="0000FF"/>
                <w:szCs w:val="24"/>
                <w:u w:val="single"/>
              </w:rPr>
            </w:pPr>
            <w:hyperlink r:id="rId34" w:history="1">
              <w:r w:rsidRPr="00C80BFE">
                <w:rPr>
                  <w:rFonts w:cs="Times New Roman"/>
                  <w:bCs/>
                  <w:color w:val="0000FF"/>
                  <w:szCs w:val="24"/>
                  <w:u w:val="single"/>
                </w:rPr>
                <w:t>dstinson@bricker.com</w:t>
              </w:r>
            </w:hyperlink>
          </w:p>
          <w:p w:rsidR="009E76F7" w:rsidRPr="00C80BFE" w:rsidP="009E76F7" w14:paraId="31516225" w14:textId="77777777">
            <w:pPr>
              <w:tabs>
                <w:tab w:val="left" w:pos="-720"/>
              </w:tabs>
              <w:suppressAutoHyphens/>
              <w:spacing w:after="0" w:line="240" w:lineRule="auto"/>
              <w:jc w:val="both"/>
              <w:rPr>
                <w:rFonts w:cs="Times New Roman"/>
                <w:bCs/>
                <w:szCs w:val="24"/>
              </w:rPr>
            </w:pPr>
            <w:r w:rsidRPr="00C80BFE">
              <w:rPr>
                <w:rFonts w:cs="Times New Roman"/>
                <w:bCs/>
                <w:color w:val="0000FF"/>
                <w:szCs w:val="24"/>
                <w:u w:val="single"/>
              </w:rPr>
              <w:t>rmains@bricker.com</w:t>
            </w:r>
          </w:p>
          <w:p w:rsidR="009E76F7" w:rsidRPr="00C80BFE" w:rsidP="009E76F7" w14:paraId="1A2EE4E9" w14:textId="77777777">
            <w:pPr>
              <w:tabs>
                <w:tab w:val="left" w:pos="-720"/>
              </w:tabs>
              <w:suppressAutoHyphens/>
              <w:spacing w:after="0" w:line="240" w:lineRule="auto"/>
              <w:jc w:val="both"/>
              <w:rPr>
                <w:rFonts w:cs="Times New Roman"/>
                <w:bCs/>
                <w:szCs w:val="24"/>
              </w:rPr>
            </w:pPr>
            <w:hyperlink r:id="rId33" w:history="1">
              <w:r w:rsidRPr="00C80BFE">
                <w:rPr>
                  <w:rStyle w:val="Hyperlink"/>
                  <w:rFonts w:cs="Times New Roman"/>
                  <w:bCs/>
                  <w:szCs w:val="24"/>
                </w:rPr>
                <w:t>gkrassen@nopec.org</w:t>
              </w:r>
            </w:hyperlink>
          </w:p>
          <w:p w:rsidR="009E76F7" w:rsidRPr="00C80BFE" w:rsidP="009E76F7" w14:paraId="14106C5B" w14:textId="77777777">
            <w:pPr>
              <w:tabs>
                <w:tab w:val="left" w:pos="-720"/>
              </w:tabs>
              <w:suppressAutoHyphens/>
              <w:spacing w:after="0" w:line="240" w:lineRule="auto"/>
              <w:jc w:val="both"/>
              <w:rPr>
                <w:rFonts w:cs="Times New Roman"/>
                <w:bCs/>
                <w:color w:val="0000FF"/>
                <w:szCs w:val="24"/>
                <w:u w:val="single"/>
              </w:rPr>
            </w:pPr>
            <w:hyperlink r:id="rId35" w:history="1">
              <w:r w:rsidRPr="00C80BFE">
                <w:rPr>
                  <w:rFonts w:cs="Times New Roman"/>
                  <w:bCs/>
                  <w:color w:val="0000FF"/>
                  <w:szCs w:val="24"/>
                  <w:u w:val="single"/>
                </w:rPr>
                <w:t>bojko@carpenterlipps.com</w:t>
              </w:r>
            </w:hyperlink>
          </w:p>
          <w:p w:rsidR="009E76F7" w:rsidRPr="00C80BFE" w:rsidP="009E76F7" w14:paraId="55198AE4" w14:textId="77777777">
            <w:pPr>
              <w:tabs>
                <w:tab w:val="left" w:pos="-720"/>
              </w:tabs>
              <w:suppressAutoHyphens/>
              <w:spacing w:after="0" w:line="240" w:lineRule="auto"/>
              <w:jc w:val="both"/>
              <w:rPr>
                <w:rFonts w:cs="Times New Roman"/>
                <w:bCs/>
                <w:szCs w:val="24"/>
              </w:rPr>
            </w:pPr>
            <w:hyperlink r:id="rId36" w:history="1">
              <w:r w:rsidRPr="00C80BFE">
                <w:rPr>
                  <w:rStyle w:val="Hyperlink"/>
                  <w:rFonts w:cs="Times New Roman"/>
                  <w:bCs/>
                  <w:szCs w:val="24"/>
                </w:rPr>
                <w:t>paul@carpenterlipps.com</w:t>
              </w:r>
            </w:hyperlink>
          </w:p>
          <w:p w:rsidR="009E76F7" w:rsidRPr="00C80BFE" w:rsidP="009E76F7" w14:paraId="4FF230A2" w14:textId="77777777">
            <w:pPr>
              <w:tabs>
                <w:tab w:val="left" w:pos="-720"/>
              </w:tabs>
              <w:suppressAutoHyphens/>
              <w:spacing w:after="0" w:line="240" w:lineRule="auto"/>
              <w:jc w:val="both"/>
              <w:rPr>
                <w:rFonts w:cs="Times New Roman"/>
                <w:bCs/>
                <w:szCs w:val="24"/>
              </w:rPr>
            </w:pPr>
            <w:hyperlink r:id="rId37" w:history="1">
              <w:r w:rsidRPr="00C80BFE">
                <w:rPr>
                  <w:rFonts w:cs="Times New Roman"/>
                  <w:bCs/>
                  <w:color w:val="0000FF"/>
                  <w:szCs w:val="24"/>
                  <w:u w:val="single"/>
                </w:rPr>
                <w:t>wygonski@carpenterlipps.com</w:t>
              </w:r>
            </w:hyperlink>
          </w:p>
          <w:p w:rsidR="009E76F7" w:rsidRPr="00C80BFE" w:rsidP="009E76F7" w14:paraId="19408E98" w14:textId="77777777">
            <w:pPr>
              <w:tabs>
                <w:tab w:val="left" w:pos="-720"/>
              </w:tabs>
              <w:suppressAutoHyphens/>
              <w:spacing w:after="0" w:line="240" w:lineRule="auto"/>
              <w:jc w:val="both"/>
              <w:rPr>
                <w:rFonts w:cs="Times New Roman"/>
                <w:bCs/>
                <w:szCs w:val="24"/>
              </w:rPr>
            </w:pPr>
            <w:hyperlink r:id="rId38" w:history="1">
              <w:r w:rsidRPr="00C80BFE">
                <w:rPr>
                  <w:rStyle w:val="Hyperlink"/>
                  <w:rFonts w:cs="Times New Roman"/>
                  <w:bCs/>
                  <w:szCs w:val="24"/>
                </w:rPr>
                <w:t>trent@hubaydougherty.com</w:t>
              </w:r>
            </w:hyperlink>
          </w:p>
          <w:p w:rsidR="009E76F7" w:rsidRPr="00C80BFE" w:rsidP="009E76F7" w14:paraId="5CAB2B98" w14:textId="77777777">
            <w:pPr>
              <w:tabs>
                <w:tab w:val="left" w:pos="-720"/>
              </w:tabs>
              <w:suppressAutoHyphens/>
              <w:spacing w:after="0" w:line="240" w:lineRule="auto"/>
              <w:jc w:val="both"/>
              <w:rPr>
                <w:rFonts w:cs="Times New Roman"/>
                <w:bCs/>
                <w:szCs w:val="24"/>
              </w:rPr>
            </w:pPr>
          </w:p>
        </w:tc>
      </w:tr>
    </w:tbl>
    <w:p w:rsidR="002938B2" w:rsidRPr="00C80BFE" w:rsidP="002938B2" w14:paraId="263D0229" w14:textId="77777777">
      <w:pPr>
        <w:jc w:val="center"/>
        <w:rPr>
          <w:rFonts w:cs="Times New Roman"/>
          <w:b/>
          <w:szCs w:val="24"/>
        </w:rPr>
      </w:pPr>
    </w:p>
    <w:sectPr w:rsidSect="002938B2">
      <w:footerReference w:type="default" r:id="rId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2416309"/>
      <w:docPartObj>
        <w:docPartGallery w:val="Page Numbers (Bottom of Page)"/>
        <w:docPartUnique/>
      </w:docPartObj>
    </w:sdtPr>
    <w:sdtEndPr>
      <w:rPr>
        <w:noProof/>
      </w:rPr>
    </w:sdtEndPr>
    <w:sdtContent>
      <w:p w:rsidR="00A642CC" w14:paraId="3AD92CD1" w14:textId="34158FE1">
        <w:pPr>
          <w:pStyle w:val="Footer"/>
          <w:jc w:val="center"/>
        </w:pPr>
      </w:p>
    </w:sdtContent>
  </w:sdt>
  <w:p w:rsidR="00A642CC" w14:paraId="1308C0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8317168"/>
      <w:docPartObj>
        <w:docPartGallery w:val="Page Numbers (Bottom of Page)"/>
        <w:docPartUnique/>
      </w:docPartObj>
    </w:sdtPr>
    <w:sdtEndPr>
      <w:rPr>
        <w:noProof/>
      </w:rPr>
    </w:sdtEndPr>
    <w:sdtContent>
      <w:p w:rsidR="00A642CC" w14:paraId="04FCAE3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8693206"/>
      <w:docPartObj>
        <w:docPartGallery w:val="Page Numbers (Bottom of Page)"/>
        <w:docPartUnique/>
      </w:docPartObj>
    </w:sdtPr>
    <w:sdtEndPr>
      <w:rPr>
        <w:noProof/>
      </w:rPr>
    </w:sdtEndPr>
    <w:sdtContent>
      <w:p w:rsidR="00A642CC" w14:paraId="3DE8C52C" w14:textId="5B2BF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1364418"/>
      <w:docPartObj>
        <w:docPartGallery w:val="Page Numbers (Bottom of Page)"/>
        <w:docPartUnique/>
      </w:docPartObj>
    </w:sdtPr>
    <w:sdtEndPr>
      <w:rPr>
        <w:noProof/>
      </w:rPr>
    </w:sdtEndPr>
    <w:sdtContent>
      <w:p w:rsidR="00A642CC" w14:paraId="56B023F2" w14:textId="7C49A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10D8" w:rsidP="009B419A" w14:paraId="562783E3" w14:textId="77777777">
      <w:pPr>
        <w:spacing w:after="0" w:line="240" w:lineRule="auto"/>
      </w:pPr>
      <w:r>
        <w:separator/>
      </w:r>
    </w:p>
  </w:footnote>
  <w:footnote w:type="continuationSeparator" w:id="1">
    <w:p w:rsidR="004810D8" w:rsidP="009B419A" w14:paraId="7EA4B96F" w14:textId="77777777">
      <w:pPr>
        <w:spacing w:after="0" w:line="240" w:lineRule="auto"/>
      </w:pPr>
      <w:r>
        <w:continuationSeparator/>
      </w:r>
    </w:p>
  </w:footnote>
  <w:footnote w:id="2">
    <w:p w:rsidR="00A642CC" w:rsidRPr="004368AD" w:rsidP="004368AD" w14:paraId="77E00826" w14:textId="206AD96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3, note 3.</w:t>
      </w:r>
    </w:p>
  </w:footnote>
  <w:footnote w:id="3">
    <w:p w:rsidR="00A642CC" w:rsidRPr="004368AD" w:rsidP="004368AD" w14:paraId="1AA2C145"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w:t>
      </w:r>
    </w:p>
  </w:footnote>
  <w:footnote w:id="4">
    <w:p w:rsidR="00A642CC" w:rsidRPr="004368AD" w:rsidP="004368AD" w14:paraId="20C70B0E" w14:textId="2601354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sidR="00330D90">
        <w:rPr>
          <w:rFonts w:ascii="Times New Roman" w:hAnsi="Times New Roman" w:cs="Times New Roman"/>
        </w:rPr>
        <w:t>OCC Ex. 1 (Adkins Supplemental) at 10.</w:t>
      </w:r>
    </w:p>
  </w:footnote>
  <w:footnote w:id="5">
    <w:p w:rsidR="00A642CC" w:rsidRPr="004368AD" w:rsidP="004368AD" w14:paraId="55B98773" w14:textId="2773A88F">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sidR="00330D90">
        <w:rPr>
          <w:rFonts w:ascii="Times New Roman" w:hAnsi="Times New Roman" w:cs="Times New Roman"/>
        </w:rPr>
        <w:t>OCC Ex. 1 (Adkins Supplemental) at 10.</w:t>
      </w:r>
    </w:p>
  </w:footnote>
  <w:footnote w:id="6">
    <w:p w:rsidR="00A642CC" w:rsidRPr="004368AD" w:rsidP="004368AD" w14:paraId="3AC1790B" w14:textId="41404ED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Application of Ohio Power Company for an Increase in Electric Distribution Rates</w:t>
      </w:r>
      <w:r w:rsidRPr="004368AD">
        <w:rPr>
          <w:rFonts w:ascii="Times New Roman" w:hAnsi="Times New Roman" w:cs="Times New Roman"/>
        </w:rPr>
        <w:t xml:space="preserve">, Case No. 20-585-EL-AIR, </w:t>
      </w:r>
      <w:r w:rsidRPr="004368AD">
        <w:rPr>
          <w:rFonts w:ascii="Times New Roman" w:hAnsi="Times New Roman" w:cs="Times New Roman"/>
          <w:i/>
          <w:iCs/>
        </w:rPr>
        <w:t>et al.</w:t>
      </w:r>
      <w:r w:rsidRPr="004368AD">
        <w:rPr>
          <w:rFonts w:ascii="Times New Roman" w:hAnsi="Times New Roman" w:cs="Times New Roman"/>
        </w:rPr>
        <w:t>, Opinion and Order (Nov. 17, 2021), at ¶ 170.</w:t>
      </w:r>
    </w:p>
  </w:footnote>
  <w:footnote w:id="7">
    <w:p w:rsidR="00A642CC" w:rsidRPr="004368AD" w:rsidP="004368AD" w14:paraId="20A75734" w14:textId="1CAF8B12">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23-24.</w:t>
      </w:r>
    </w:p>
  </w:footnote>
  <w:footnote w:id="8">
    <w:p w:rsidR="00A642CC" w:rsidRPr="004368AD" w:rsidP="004368AD" w14:paraId="0C37A06E" w14:textId="548C5412">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28-30.</w:t>
      </w:r>
    </w:p>
  </w:footnote>
  <w:footnote w:id="9">
    <w:p w:rsidR="00A642CC" w:rsidRPr="004368AD" w:rsidP="004368AD" w14:paraId="56BAEB6E" w14:textId="637333F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e.g. </w:t>
      </w:r>
      <w:r w:rsidRPr="004368AD">
        <w:rPr>
          <w:rFonts w:ascii="Times New Roman" w:hAnsi="Times New Roman" w:cs="Times New Roman"/>
        </w:rPr>
        <w:t xml:space="preserve">Public Comment of Stacie Shulters (Oct. 17, 2022) (opposing Columbia’s initially proposed rate increase); Public Comment of Angela Sparks (Oct. 14, 2022) (same); Public Comment of Lisa Wente (June 22, 2022) (same); Public Comment of Albert Gray (June 22, 2022) (same); and Public Comment of Matthew Lorenz (June 16, 2022). </w:t>
      </w:r>
    </w:p>
  </w:footnote>
  <w:footnote w:id="10">
    <w:p w:rsidR="007F57AE" w:rsidRPr="004368AD" w:rsidP="004368AD" w14:paraId="790B7EB2" w14:textId="36A7E17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sidR="005F0C73">
        <w:rPr>
          <w:rFonts w:ascii="Times New Roman" w:hAnsi="Times New Roman" w:cs="Times New Roman"/>
        </w:rPr>
        <w:t>OCC Ex. 1 (Adkins Supplemental) at 10.</w:t>
      </w:r>
    </w:p>
  </w:footnote>
  <w:footnote w:id="11">
    <w:p w:rsidR="00A642CC" w:rsidRPr="004368AD" w:rsidP="004368AD" w14:paraId="12634B12" w14:textId="2C4CFF1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7-12; ELPC Brief at 6-12.</w:t>
      </w:r>
    </w:p>
  </w:footnote>
  <w:footnote w:id="12">
    <w:p w:rsidR="00A642CC" w:rsidRPr="004368AD" w:rsidP="004368AD" w14:paraId="685A3D9B" w14:textId="1CD3173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4, 33-34.</w:t>
      </w:r>
    </w:p>
  </w:footnote>
  <w:footnote w:id="13">
    <w:p w:rsidR="00A642CC" w:rsidRPr="004368AD" w:rsidP="004368AD" w14:paraId="046527EF"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at 76-77.</w:t>
      </w:r>
    </w:p>
  </w:footnote>
  <w:footnote w:id="14">
    <w:p w:rsidR="00A642CC" w:rsidRPr="004368AD" w:rsidP="004368AD" w14:paraId="37B9C09C"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at 79-80. </w:t>
      </w:r>
    </w:p>
  </w:footnote>
  <w:footnote w:id="15">
    <w:p w:rsidR="00A642CC" w:rsidRPr="004368AD" w:rsidP="004368AD" w14:paraId="0FF05745"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6-7; CUB Ohio Brief at 7-9. </w:t>
      </w:r>
    </w:p>
  </w:footnote>
  <w:footnote w:id="16">
    <w:p w:rsidR="00A642CC" w:rsidRPr="004368AD" w:rsidP="004368AD" w14:paraId="23D57A3E" w14:textId="668E2D4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e.g. </w:t>
      </w:r>
      <w:r w:rsidRPr="004368AD">
        <w:rPr>
          <w:rFonts w:ascii="Times New Roman" w:hAnsi="Times New Roman" w:cs="Times New Roman"/>
        </w:rPr>
        <w:t>ELPC Brief at 7; ELPC Ex. 1 (Rábago Supplemental Direct) at 11-12, 15.</w:t>
      </w:r>
    </w:p>
  </w:footnote>
  <w:footnote w:id="17">
    <w:p w:rsidR="00012862" w:rsidRPr="004368AD" w:rsidP="004368AD" w14:paraId="4A20069D"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See Ohio Consumers’ Counsel v. PUC of Ohio</w:t>
      </w:r>
      <w:r w:rsidRPr="004368AD">
        <w:rPr>
          <w:rFonts w:ascii="Times New Roman" w:hAnsi="Times New Roman" w:cs="Times New Roman"/>
        </w:rPr>
        <w:t xml:space="preserve">, 125 Ohio St.3d 57, 2010-Ohio-134; and </w:t>
      </w:r>
      <w:r w:rsidRPr="004368AD">
        <w:rPr>
          <w:rFonts w:ascii="Times New Roman" w:hAnsi="Times New Roman" w:cs="Times New Roman"/>
          <w:i/>
          <w:iCs/>
        </w:rPr>
        <w:t>Ohio Consumers’ Counsel v. PUC of Ohio</w:t>
      </w:r>
      <w:r w:rsidRPr="004368AD">
        <w:rPr>
          <w:rFonts w:ascii="Times New Roman" w:hAnsi="Times New Roman" w:cs="Times New Roman"/>
        </w:rPr>
        <w:t>, 127 Ohio St.3d 524, 2010-Ohio-6239.</w:t>
      </w:r>
    </w:p>
  </w:footnote>
  <w:footnote w:id="18">
    <w:p w:rsidR="00A642CC" w:rsidRPr="004368AD" w:rsidP="004368AD" w14:paraId="4D3E8202" w14:textId="3C46C6BC">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12.</w:t>
      </w:r>
    </w:p>
  </w:footnote>
  <w:footnote w:id="19">
    <w:p w:rsidR="00447EB6" w:rsidRPr="004368AD" w:rsidP="004368AD" w14:paraId="6F4101CB" w14:textId="635F605F">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sidR="005F0C73">
        <w:rPr>
          <w:rFonts w:ascii="Times New Roman" w:hAnsi="Times New Roman" w:cs="Times New Roman"/>
          <w:i/>
          <w:iCs/>
        </w:rPr>
        <w:t xml:space="preserve">See </w:t>
      </w:r>
      <w:r w:rsidRPr="004368AD" w:rsidR="005F0C73">
        <w:rPr>
          <w:rFonts w:ascii="Times New Roman" w:hAnsi="Times New Roman" w:cs="Times New Roman"/>
        </w:rPr>
        <w:t xml:space="preserve">Objections to the PUCO Staff Report of Investigation File by the Environmental Law and Policy Center (May 6, 2022). </w:t>
      </w:r>
    </w:p>
  </w:footnote>
  <w:footnote w:id="20">
    <w:p w:rsidR="00A642CC" w:rsidRPr="004368AD" w:rsidP="004368AD" w14:paraId="303BC70A" w14:textId="63062E41">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10-12.</w:t>
      </w:r>
    </w:p>
  </w:footnote>
  <w:footnote w:id="21">
    <w:p w:rsidR="00A642CC" w:rsidRPr="004368AD" w:rsidP="004368AD" w14:paraId="39943BE9" w14:textId="36B3C38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e.g. </w:t>
      </w:r>
      <w:r w:rsidRPr="004368AD">
        <w:rPr>
          <w:rFonts w:ascii="Times New Roman" w:hAnsi="Times New Roman" w:cs="Times New Roman"/>
        </w:rPr>
        <w:t>Joint Ex. 1 (Settlement) at note 15 (OMAEG and Kroger footnoting out of the DSM provisions because the DSM Rider is paid for only by residential and small business customers).</w:t>
      </w:r>
    </w:p>
  </w:footnote>
  <w:footnote w:id="22">
    <w:p w:rsidR="00A642CC" w:rsidRPr="004368AD" w:rsidP="004368AD" w14:paraId="74321EFC" w14:textId="776BDC19">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e.g. </w:t>
      </w:r>
      <w:r w:rsidRPr="004368AD">
        <w:rPr>
          <w:rFonts w:ascii="Times New Roman" w:hAnsi="Times New Roman" w:cs="Times New Roman"/>
        </w:rPr>
        <w:t>Joint Ex. 1 (Settlement) at note 10 (OMAEG and Kroger “do not support MGP cost recovery, but agree not to oppose it as part of the Stipulation package.”).</w:t>
      </w:r>
    </w:p>
  </w:footnote>
  <w:footnote w:id="23">
    <w:p w:rsidR="00A642CC" w:rsidRPr="004368AD" w:rsidP="004368AD" w14:paraId="7DF1D458"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10-11.</w:t>
      </w:r>
    </w:p>
  </w:footnote>
  <w:footnote w:id="24">
    <w:p w:rsidR="00A642CC" w:rsidRPr="004368AD" w:rsidP="004368AD" w14:paraId="416C2290"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3.</w:t>
      </w:r>
    </w:p>
  </w:footnote>
  <w:footnote w:id="25">
    <w:p w:rsidR="00A642CC" w:rsidRPr="004368AD" w:rsidP="004368AD" w14:paraId="6C76CC0C" w14:textId="77777777">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26">
    <w:p w:rsidR="00A642CC" w:rsidRPr="004368AD" w:rsidP="004368AD" w14:paraId="247ECB1E"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28.</w:t>
      </w:r>
    </w:p>
  </w:footnote>
  <w:footnote w:id="27">
    <w:p w:rsidR="00A642CC" w:rsidRPr="004368AD" w:rsidP="004368AD" w14:paraId="2F4300F6"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3, note 3.</w:t>
      </w:r>
    </w:p>
  </w:footnote>
  <w:footnote w:id="28">
    <w:p w:rsidR="00A642CC" w:rsidRPr="004368AD" w:rsidP="004368AD" w14:paraId="3888A6A6" w14:textId="4EFD7B0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Ex. 1 (R</w:t>
      </w:r>
      <w:r w:rsidRPr="00CB6B31" w:rsidR="00CB6B31">
        <w:rPr>
          <w:rFonts w:ascii="Times New Roman" w:hAnsi="Times New Roman" w:cs="Times New Roman"/>
        </w:rPr>
        <w:t>á</w:t>
      </w:r>
      <w:r w:rsidRPr="004368AD">
        <w:rPr>
          <w:rFonts w:ascii="Times New Roman" w:hAnsi="Times New Roman" w:cs="Times New Roman"/>
        </w:rPr>
        <w:t>bago Supplemental Direct) at 10, CUB Ohio Brief at 11.</w:t>
      </w:r>
    </w:p>
  </w:footnote>
  <w:footnote w:id="29">
    <w:p w:rsidR="00A642CC" w:rsidRPr="004368AD" w:rsidP="004368AD" w14:paraId="6D6DFA81"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OCC Ex. 1 (Adkins Supplemental) at 5.</w:t>
      </w:r>
    </w:p>
  </w:footnote>
  <w:footnote w:id="30">
    <w:p w:rsidR="00A642CC" w:rsidRPr="004368AD" w:rsidP="004368AD" w14:paraId="2BE43C85" w14:textId="0F2C9D72">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OCC Ex. 1 (Adkins Supplemental) at 6-10; PUCO Staff Ex. 8 (Lipthratt Settlement Testimony) at 4-7; Columbia Ex. 35 (Thompson Supplemental Direct (Oct. 31, 2022)) at 3-4.</w:t>
      </w:r>
    </w:p>
  </w:footnote>
  <w:footnote w:id="31">
    <w:p w:rsidR="00A642CC" w:rsidRPr="004368AD" w:rsidP="004368AD" w14:paraId="6E617E4C" w14:textId="0092919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13-14; CUB Ohio Brief at 7-9.</w:t>
      </w:r>
    </w:p>
  </w:footnote>
  <w:footnote w:id="32">
    <w:p w:rsidR="00A642CC" w:rsidRPr="004368AD" w:rsidP="004368AD" w14:paraId="7E2BF763"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OCC Ex. 1 (Adkins Supplemental) at 11. </w:t>
      </w:r>
    </w:p>
  </w:footnote>
  <w:footnote w:id="33">
    <w:p w:rsidR="00A642CC" w:rsidRPr="004368AD" w:rsidP="004368AD" w14:paraId="16AB160D" w14:textId="5808D30D">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13-14; OPAE Brief at 6-7.</w:t>
      </w:r>
    </w:p>
  </w:footnote>
  <w:footnote w:id="34">
    <w:p w:rsidR="00A642CC" w:rsidRPr="004368AD" w:rsidP="004368AD" w14:paraId="4D4DB3AC" w14:textId="5D99DDE9">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6-7; </w:t>
      </w:r>
      <w:r w:rsidRPr="004368AD">
        <w:rPr>
          <w:rFonts w:ascii="Times New Roman" w:hAnsi="Times New Roman" w:cs="Times New Roman"/>
          <w:i/>
          <w:iCs/>
        </w:rPr>
        <w:t>see also</w:t>
      </w:r>
      <w:r w:rsidRPr="004368AD">
        <w:rPr>
          <w:rFonts w:ascii="Times New Roman" w:hAnsi="Times New Roman" w:cs="Times New Roman"/>
        </w:rPr>
        <w:t xml:space="preserve"> ELPC Brief at 13. </w:t>
      </w:r>
    </w:p>
  </w:footnote>
  <w:footnote w:id="35">
    <w:p w:rsidR="00A642CC" w:rsidRPr="004368AD" w:rsidP="004368AD" w14:paraId="3545370F" w14:textId="6DB79B8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7.</w:t>
      </w:r>
    </w:p>
  </w:footnote>
  <w:footnote w:id="36">
    <w:p w:rsidR="00A642CC" w:rsidRPr="004368AD" w:rsidP="004368AD" w14:paraId="4C2F30DA"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7; ELPC Brief at 35. </w:t>
      </w:r>
    </w:p>
  </w:footnote>
  <w:footnote w:id="37">
    <w:p w:rsidR="00A642CC" w:rsidRPr="004368AD" w:rsidP="004368AD" w14:paraId="0FC3DA7A" w14:textId="3CB2726F">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See e.g. In the Matter of the Application of Ohio Power Company for an Increase in Electric Distribution Rates</w:t>
      </w:r>
      <w:r w:rsidRPr="004368AD">
        <w:rPr>
          <w:rFonts w:ascii="Times New Roman" w:hAnsi="Times New Roman" w:cs="Times New Roman"/>
        </w:rPr>
        <w:t xml:space="preserve">, Case No. 20-585-EL-AIR, </w:t>
      </w:r>
      <w:r w:rsidRPr="004368AD">
        <w:rPr>
          <w:rFonts w:ascii="Times New Roman" w:hAnsi="Times New Roman" w:cs="Times New Roman"/>
          <w:i/>
          <w:iCs/>
        </w:rPr>
        <w:t>et al.</w:t>
      </w:r>
      <w:r w:rsidRPr="004368AD">
        <w:rPr>
          <w:rFonts w:ascii="Times New Roman" w:hAnsi="Times New Roman" w:cs="Times New Roman"/>
        </w:rPr>
        <w:t>, Opinion and Order (Nov. 17, 2021), at ¶ 151.</w:t>
      </w:r>
    </w:p>
  </w:footnote>
  <w:footnote w:id="38">
    <w:p w:rsidR="00A642CC" w:rsidRPr="004368AD" w:rsidP="004368AD" w14:paraId="47671F7B" w14:textId="1EAC87D1">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39">
    <w:p w:rsidR="00A642CC" w:rsidRPr="004368AD" w:rsidP="004368AD" w14:paraId="07CF33F1" w14:textId="75E7DE29">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11-12; OCC Ex. 1 (Adkins Supplemental) at 7; a Columbia Ex. 35 (Thompson Supplemental Direct (Oct. 31, 2022)) at 5.</w:t>
      </w:r>
    </w:p>
  </w:footnote>
  <w:footnote w:id="40">
    <w:p w:rsidR="00A642CC" w:rsidRPr="004368AD" w:rsidP="004368AD" w14:paraId="373AFEB6" w14:textId="322E24D8">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12.</w:t>
      </w:r>
    </w:p>
  </w:footnote>
  <w:footnote w:id="41">
    <w:p w:rsidR="00A642CC" w:rsidRPr="004368AD" w:rsidP="004368AD" w14:paraId="5FD1625D"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4. </w:t>
      </w:r>
    </w:p>
  </w:footnote>
  <w:footnote w:id="42">
    <w:p w:rsidR="00A642CC" w:rsidRPr="004368AD" w:rsidP="004368AD" w14:paraId="0216CD4E"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at 107:13-22.</w:t>
      </w:r>
    </w:p>
  </w:footnote>
  <w:footnote w:id="43">
    <w:p w:rsidR="00A642CC" w:rsidRPr="004368AD" w:rsidP="004368AD" w14:paraId="4EDDDFB0" w14:textId="697E3AA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12.</w:t>
      </w:r>
    </w:p>
  </w:footnote>
  <w:footnote w:id="44">
    <w:p w:rsidR="00A642CC" w:rsidRPr="004368AD" w:rsidP="004368AD" w14:paraId="16E35E69"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14-17; CUB Ohio Brief at 16; OPAE Brief 14-15.</w:t>
      </w:r>
    </w:p>
  </w:footnote>
  <w:footnote w:id="45">
    <w:p w:rsidR="00A642CC" w:rsidRPr="004368AD" w:rsidP="004368AD" w14:paraId="7DFACEED"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15.</w:t>
      </w:r>
    </w:p>
  </w:footnote>
  <w:footnote w:id="46">
    <w:p w:rsidR="00A642CC" w:rsidRPr="004368AD" w:rsidP="004368AD" w14:paraId="26E26827" w14:textId="2B46B6C6">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11-12.</w:t>
      </w:r>
    </w:p>
  </w:footnote>
  <w:footnote w:id="47">
    <w:p w:rsidR="00A642CC" w:rsidRPr="004368AD" w:rsidP="004368AD" w14:paraId="1B973D7B"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12. </w:t>
      </w:r>
    </w:p>
  </w:footnote>
  <w:footnote w:id="48">
    <w:p w:rsidR="00A642CC" w:rsidRPr="004368AD" w:rsidP="004368AD" w14:paraId="141E46D1"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8-9. </w:t>
      </w:r>
    </w:p>
  </w:footnote>
  <w:footnote w:id="49">
    <w:p w:rsidR="00A642CC" w:rsidRPr="004368AD" w:rsidP="004368AD" w14:paraId="1979BBDB" w14:textId="45264FB0">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Ex. 1 (Peoples Direct) at 8-9.</w:t>
      </w:r>
    </w:p>
  </w:footnote>
  <w:footnote w:id="50">
    <w:p w:rsidR="00A642CC" w:rsidRPr="004368AD" w:rsidP="004368AD" w14:paraId="7E8C078E" w14:textId="623C81D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Id. </w:t>
      </w:r>
      <w:r w:rsidRPr="004368AD">
        <w:rPr>
          <w:rFonts w:ascii="Times New Roman" w:hAnsi="Times New Roman" w:cs="Times New Roman"/>
        </w:rPr>
        <w:t>at 9.</w:t>
      </w:r>
    </w:p>
  </w:footnote>
  <w:footnote w:id="51">
    <w:p w:rsidR="00A642CC" w:rsidRPr="004368AD" w:rsidP="004368AD" w14:paraId="0E015417" w14:textId="6FED5B76">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13; OPAE Brief at 11-12.</w:t>
      </w:r>
    </w:p>
  </w:footnote>
  <w:footnote w:id="52">
    <w:p w:rsidR="00A642CC" w:rsidRPr="004368AD" w:rsidP="004368AD" w14:paraId="2A68FF14" w14:textId="4231C4C3">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11.</w:t>
      </w:r>
    </w:p>
  </w:footnote>
  <w:footnote w:id="53">
    <w:p w:rsidR="00A642CC" w:rsidRPr="004368AD" w:rsidP="004368AD" w14:paraId="7B54CE10" w14:textId="31CFB27C">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Ex. 1 (Peoples Direct) at 9.</w:t>
      </w:r>
    </w:p>
  </w:footnote>
  <w:footnote w:id="54">
    <w:p w:rsidR="00A642CC" w:rsidRPr="004368AD" w:rsidP="004368AD" w14:paraId="5DA09BA1"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9-10.</w:t>
      </w:r>
    </w:p>
  </w:footnote>
  <w:footnote w:id="55">
    <w:p w:rsidR="00A642CC" w:rsidRPr="004368AD" w:rsidP="004368AD" w14:paraId="680E0966" w14:textId="08663A60">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13. </w:t>
      </w:r>
    </w:p>
  </w:footnote>
  <w:footnote w:id="56">
    <w:p w:rsidR="00A642CC" w:rsidRPr="004368AD" w:rsidP="004368AD" w14:paraId="6CC54F14" w14:textId="307FDF53">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57">
    <w:p w:rsidR="00A642CC" w:rsidRPr="004368AD" w:rsidP="004368AD" w14:paraId="4570362C"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Application of Ohio Power Company for an Increase in Electric Distribution Rates</w:t>
      </w:r>
      <w:r w:rsidRPr="004368AD">
        <w:rPr>
          <w:rFonts w:ascii="Times New Roman" w:hAnsi="Times New Roman" w:cs="Times New Roman"/>
        </w:rPr>
        <w:t xml:space="preserve">, Case No. 20-585-EL-AIR, </w:t>
      </w:r>
      <w:r w:rsidRPr="004368AD">
        <w:rPr>
          <w:rFonts w:ascii="Times New Roman" w:hAnsi="Times New Roman" w:cs="Times New Roman"/>
          <w:i/>
          <w:iCs/>
        </w:rPr>
        <w:t>et al.</w:t>
      </w:r>
      <w:r w:rsidRPr="004368AD">
        <w:rPr>
          <w:rFonts w:ascii="Times New Roman" w:hAnsi="Times New Roman" w:cs="Times New Roman"/>
        </w:rPr>
        <w:t>, Opinion and Order (Nov. 17, 2021), at ¶ 151.</w:t>
      </w:r>
    </w:p>
  </w:footnote>
  <w:footnote w:id="58">
    <w:p w:rsidR="00A642CC" w:rsidRPr="004368AD" w:rsidP="004368AD" w14:paraId="6F304365" w14:textId="60EE25DD">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19-20. </w:t>
      </w:r>
    </w:p>
  </w:footnote>
  <w:footnote w:id="59">
    <w:p w:rsidR="00A642CC" w:rsidRPr="004368AD" w:rsidP="004368AD" w14:paraId="5CB0EF3D" w14:textId="66036E20">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19-20.</w:t>
      </w:r>
    </w:p>
  </w:footnote>
  <w:footnote w:id="60">
    <w:p w:rsidR="00A642CC" w:rsidRPr="004368AD" w:rsidP="004368AD" w14:paraId="1A4A4C27" w14:textId="033A60E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w:t>
      </w:r>
      <w:r w:rsidRPr="004368AD">
        <w:rPr>
          <w:rFonts w:ascii="Times New Roman" w:hAnsi="Times New Roman" w:cs="Times New Roman"/>
        </w:rPr>
        <w:t>OPAE Brief at 12-14; CUB Ohio Brief at 19-21.</w:t>
      </w:r>
    </w:p>
  </w:footnote>
  <w:footnote w:id="61">
    <w:p w:rsidR="00A642CC" w:rsidRPr="004368AD" w:rsidP="004368AD" w14:paraId="203BD1F8" w14:textId="1471832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12.</w:t>
      </w:r>
    </w:p>
  </w:footnote>
  <w:footnote w:id="62">
    <w:p w:rsidR="00A642CC" w:rsidRPr="004368AD" w:rsidP="004368AD" w14:paraId="0C34CBB8" w14:textId="47E9278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Ex. 2 (Sarver Direct) at 11.</w:t>
      </w:r>
    </w:p>
  </w:footnote>
  <w:footnote w:id="63">
    <w:p w:rsidR="00A642CC" w:rsidRPr="004368AD" w:rsidP="004368AD" w14:paraId="52BCECDD" w14:textId="760F5132">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130:21-23.</w:t>
      </w:r>
    </w:p>
  </w:footnote>
  <w:footnote w:id="64">
    <w:p w:rsidR="00A642CC" w:rsidRPr="004368AD" w:rsidP="004368AD" w14:paraId="4684AD7B" w14:textId="3B9894A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137:22-25.</w:t>
      </w:r>
    </w:p>
  </w:footnote>
  <w:footnote w:id="65">
    <w:p w:rsidR="00A642CC" w:rsidRPr="004368AD" w:rsidP="004368AD" w14:paraId="323E504D" w14:textId="3F95ADD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138:1-7.</w:t>
      </w:r>
    </w:p>
  </w:footnote>
  <w:footnote w:id="66">
    <w:p w:rsidR="00A642CC" w:rsidRPr="004368AD" w:rsidP="004368AD" w14:paraId="78332B77" w14:textId="51EA3DF8">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12. </w:t>
      </w:r>
    </w:p>
  </w:footnote>
  <w:footnote w:id="67">
    <w:p w:rsidR="00A642CC" w:rsidRPr="004368AD" w:rsidP="004368AD" w14:paraId="76669B90" w14:textId="190E7BB8">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19.</w:t>
      </w:r>
    </w:p>
  </w:footnote>
  <w:footnote w:id="68">
    <w:p w:rsidR="00A642CC" w:rsidRPr="004368AD" w:rsidP="004368AD" w14:paraId="471CCC96" w14:textId="56F5D38F">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1 (Sarver Cross) at 132:2-6.</w:t>
      </w:r>
    </w:p>
  </w:footnote>
  <w:footnote w:id="69">
    <w:p w:rsidR="00A642CC" w:rsidRPr="004368AD" w:rsidP="004368AD" w14:paraId="57511312" w14:textId="6660B7CF">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OPAE Brief at 13.</w:t>
      </w:r>
    </w:p>
  </w:footnote>
  <w:footnote w:id="70">
    <w:p w:rsidR="00A642CC" w:rsidRPr="004368AD" w:rsidP="004368AD" w14:paraId="35D54724" w14:textId="1F86A7DF">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r w:rsidRPr="004368AD">
        <w:rPr>
          <w:rFonts w:ascii="Times New Roman" w:hAnsi="Times New Roman" w:cs="Times New Roman"/>
        </w:rPr>
        <w:t xml:space="preserve"> at note 30.</w:t>
      </w:r>
    </w:p>
  </w:footnote>
  <w:footnote w:id="71">
    <w:p w:rsidR="00A642CC" w:rsidRPr="004368AD" w:rsidP="004368AD" w14:paraId="6F90D132" w14:textId="5EDA885C">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Motion of Columbia Gas of Ohio, Inc. to Suspend Certain Procedures and Process During the COVID-19 State of Emergency and Related Matters</w:t>
      </w:r>
      <w:r w:rsidRPr="004368AD">
        <w:rPr>
          <w:rFonts w:ascii="Times New Roman" w:hAnsi="Times New Roman" w:cs="Times New Roman"/>
        </w:rPr>
        <w:t xml:space="preserve">, Case No. 20-637-GA-UNC, Finding and Order (May 20, 2020), at ¶ 46 (“While the Commission is mindful that there is likely to be an increased need for bill payment assistance for Columbia’s customers, the Commission declines to address OCC’s recommendation in this proceeding.”); </w:t>
      </w:r>
      <w:r w:rsidRPr="004368AD">
        <w:rPr>
          <w:rFonts w:ascii="Times New Roman" w:hAnsi="Times New Roman" w:cs="Times New Roman"/>
          <w:i/>
          <w:iCs/>
        </w:rPr>
        <w:t>In the Matter of the Motion of Vectren Energy Delivery of Ohio, Inc. to Suspend Certain Procedures and Process During the Declared State of Emergency and Related Matters</w:t>
      </w:r>
      <w:r w:rsidRPr="004368AD">
        <w:rPr>
          <w:rFonts w:ascii="Times New Roman" w:hAnsi="Times New Roman" w:cs="Times New Roman"/>
        </w:rPr>
        <w:t>, Case No. 20-649-GA-UNC, at ¶ 46 (“While the Commission is mindful that there is likely to be an increased need for bill payment assistance for Vectren’s customers, the Commission declines to address OCC’s recommendation in this proceeding.”).</w:t>
      </w:r>
    </w:p>
  </w:footnote>
  <w:footnote w:id="72">
    <w:p w:rsidR="00A642CC" w:rsidRPr="004368AD" w:rsidP="004368AD" w14:paraId="5D513B8E" w14:textId="32FB221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Application of Columbia Gas of Ohio, Inc. for an Adjustment to Rider IRP and Rider DSM Rates</w:t>
      </w:r>
      <w:r w:rsidRPr="004368AD">
        <w:rPr>
          <w:rFonts w:ascii="Times New Roman" w:hAnsi="Times New Roman" w:cs="Times New Roman"/>
        </w:rPr>
        <w:t>, Case No. 19-1940-GA-RDR, Opinion and Order (Dec. 2, 2020), at ¶ 51.</w:t>
      </w:r>
    </w:p>
  </w:footnote>
  <w:footnote w:id="73">
    <w:p w:rsidR="00A642CC" w:rsidRPr="004368AD" w:rsidP="004368AD" w14:paraId="2A7FA4DC" w14:textId="18273049">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Application of Vectren Energy Delivery of Ohio, Inc. for Approval to Continue its Demand Side Management Program for its Residential, Commercial, and Industrial Customers</w:t>
      </w:r>
      <w:r w:rsidRPr="004368AD">
        <w:rPr>
          <w:rFonts w:ascii="Times New Roman" w:hAnsi="Times New Roman" w:cs="Times New Roman"/>
        </w:rPr>
        <w:t>, Case No. 19-2084-GA-UNC, Opinion and Order (Feb. 24, 2021).</w:t>
      </w:r>
    </w:p>
  </w:footnote>
  <w:footnote w:id="74">
    <w:p w:rsidR="00A642CC" w:rsidRPr="004368AD" w:rsidP="004368AD" w14:paraId="17A9E721" w14:textId="39800BF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PUCO Staff Ex. 8 (Lipthratt Settlement Testimony) at 5.</w:t>
      </w:r>
    </w:p>
  </w:footnote>
  <w:footnote w:id="75">
    <w:p w:rsidR="00A642CC" w:rsidRPr="004368AD" w:rsidP="004368AD" w14:paraId="519121B1" w14:textId="046FA13C">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76">
    <w:p w:rsidR="00A642CC" w:rsidRPr="004368AD" w:rsidP="004368AD" w14:paraId="53B06DBD" w14:textId="415DCD75">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17-18.</w:t>
      </w:r>
    </w:p>
  </w:footnote>
  <w:footnote w:id="77">
    <w:p w:rsidR="00A642CC" w:rsidRPr="004368AD" w:rsidP="004368AD" w14:paraId="356B5252" w14:textId="4111D082">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78">
    <w:p w:rsidR="00A642CC" w:rsidRPr="004368AD" w:rsidP="004368AD" w14:paraId="2303BA86" w14:textId="41E6541A">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at 29.</w:t>
      </w:r>
    </w:p>
  </w:footnote>
  <w:footnote w:id="79">
    <w:p w:rsidR="00A642CC" w:rsidRPr="004368AD" w:rsidP="004368AD" w14:paraId="02AAF4E6" w14:textId="5B42BB83">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OCC Initial Brief at 13-15.</w:t>
      </w:r>
    </w:p>
  </w:footnote>
  <w:footnote w:id="80">
    <w:p w:rsidR="00A642CC" w:rsidRPr="004368AD" w:rsidP="004368AD" w14:paraId="334B05E3" w14:textId="362DC0B9">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w:t>
      </w:r>
      <w:r w:rsidRPr="004368AD">
        <w:rPr>
          <w:rFonts w:ascii="Times New Roman" w:hAnsi="Times New Roman" w:cs="Times New Roman"/>
        </w:rPr>
        <w:t>OPAE Brief at 15; CUB Ohio Brief at 24-26; ELPC Brief at 21-22, 25-26.</w:t>
      </w:r>
    </w:p>
  </w:footnote>
  <w:footnote w:id="81">
    <w:p w:rsidR="00A642CC" w:rsidRPr="004368AD" w:rsidP="004368AD" w14:paraId="3D385E23"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In the Matter of the Application of Ohio Power Company for an Increase in Electric Distribution Rates</w:t>
      </w:r>
      <w:r w:rsidRPr="004368AD">
        <w:rPr>
          <w:rFonts w:ascii="Times New Roman" w:hAnsi="Times New Roman" w:cs="Times New Roman"/>
        </w:rPr>
        <w:t xml:space="preserve">, Case No. 20-585-EL-AIR, </w:t>
      </w:r>
      <w:r w:rsidRPr="004368AD">
        <w:rPr>
          <w:rFonts w:ascii="Times New Roman" w:hAnsi="Times New Roman" w:cs="Times New Roman"/>
          <w:i/>
          <w:iCs/>
        </w:rPr>
        <w:t>et al.</w:t>
      </w:r>
      <w:r w:rsidRPr="004368AD">
        <w:rPr>
          <w:rFonts w:ascii="Times New Roman" w:hAnsi="Times New Roman" w:cs="Times New Roman"/>
        </w:rPr>
        <w:t>, Opinion and Order (Nov. 17, 2021), at ¶ 173.</w:t>
      </w:r>
    </w:p>
  </w:footnote>
  <w:footnote w:id="82">
    <w:p w:rsidR="00A642CC" w:rsidRPr="004368AD" w:rsidP="004368AD" w14:paraId="0284D46E" w14:textId="7126365D">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Id. </w:t>
      </w:r>
      <w:r w:rsidRPr="004368AD">
        <w:rPr>
          <w:rFonts w:ascii="Times New Roman" w:hAnsi="Times New Roman" w:cs="Times New Roman"/>
        </w:rPr>
        <w:t>(Emphasis Added).</w:t>
      </w:r>
    </w:p>
  </w:footnote>
  <w:footnote w:id="83">
    <w:p w:rsidR="00A642CC" w:rsidRPr="004368AD" w:rsidP="004368AD" w14:paraId="2B280B1D" w14:textId="463402F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107.</w:t>
      </w:r>
    </w:p>
  </w:footnote>
  <w:footnote w:id="84">
    <w:p w:rsidR="00A642CC" w:rsidRPr="004368AD" w:rsidP="004368AD" w14:paraId="58CB84CD" w14:textId="77777777">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26; ELPC Brief at 23-24.</w:t>
      </w:r>
    </w:p>
  </w:footnote>
  <w:footnote w:id="85">
    <w:p w:rsidR="00A642CC" w:rsidRPr="004368AD" w:rsidP="004368AD" w14:paraId="68CF2F0A" w14:textId="374C714D">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86">
    <w:p w:rsidR="00A642CC" w:rsidRPr="004368AD" w:rsidP="004368AD" w14:paraId="566CD4B0" w14:textId="3DE3E746">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26.</w:t>
      </w:r>
    </w:p>
  </w:footnote>
  <w:footnote w:id="87">
    <w:p w:rsidR="00A642CC" w:rsidRPr="004368AD" w:rsidP="004368AD" w14:paraId="63DFF258" w14:textId="446C6F8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 xml:space="preserve">See </w:t>
      </w:r>
      <w:r w:rsidRPr="004368AD">
        <w:rPr>
          <w:rFonts w:ascii="Times New Roman" w:hAnsi="Times New Roman" w:cs="Times New Roman"/>
        </w:rPr>
        <w:t>ELPC Brief at 33-34 (claiming that Environmental Groups were excluded from discussions regarding DSM).</w:t>
      </w:r>
    </w:p>
  </w:footnote>
  <w:footnote w:id="88">
    <w:p w:rsidR="00A642CC" w:rsidRPr="004368AD" w:rsidP="004368AD" w14:paraId="078022BD" w14:textId="6ED74961">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ELPC Brief 23-24.</w:t>
      </w:r>
    </w:p>
  </w:footnote>
  <w:footnote w:id="89">
    <w:p w:rsidR="00A642CC" w:rsidRPr="004368AD" w:rsidP="004368AD" w14:paraId="00D8DBE8" w14:textId="1FC60596">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28-29; CUB Ohio Ex. 1 (Bullock Direct) at 8. </w:t>
      </w:r>
    </w:p>
  </w:footnote>
  <w:footnote w:id="90">
    <w:p w:rsidR="00A642CC" w:rsidRPr="004368AD" w:rsidP="004368AD" w14:paraId="757D74DA" w14:textId="3D80D84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Joint Ex. 1 (Settlement) at 12. (Emphasis added).</w:t>
      </w:r>
    </w:p>
  </w:footnote>
  <w:footnote w:id="91">
    <w:p w:rsidR="00A642CC" w:rsidRPr="004368AD" w:rsidP="004368AD" w14:paraId="5DE14570" w14:textId="2A206ABB">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101-102.</w:t>
      </w:r>
    </w:p>
  </w:footnote>
  <w:footnote w:id="92">
    <w:p w:rsidR="00A642CC" w:rsidRPr="004368AD" w:rsidP="004368AD" w14:paraId="1AEB44FA" w14:textId="05D77714">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Tr. Vol. I (Sarver Cross) at 102:3-9.</w:t>
      </w:r>
    </w:p>
  </w:footnote>
  <w:footnote w:id="93">
    <w:p w:rsidR="00A642CC" w:rsidRPr="004368AD" w:rsidP="004368AD" w14:paraId="33B74FEC" w14:textId="7626121A">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30. </w:t>
      </w:r>
    </w:p>
  </w:footnote>
  <w:footnote w:id="94">
    <w:p w:rsidR="00A642CC" w:rsidRPr="004368AD" w:rsidP="004368AD" w14:paraId="3E916E70" w14:textId="26FB8D56">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CUB Ohio Brief at 31-32; ELPC Brief at 25-29.</w:t>
      </w:r>
    </w:p>
  </w:footnote>
  <w:footnote w:id="95">
    <w:p w:rsidR="00A642CC" w:rsidRPr="004368AD" w:rsidP="004368AD" w14:paraId="1DC45938" w14:textId="1B99848E">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 w:id="96">
    <w:p w:rsidR="00A642CC" w:rsidRPr="004368AD" w:rsidP="004368AD" w14:paraId="126517F3" w14:textId="003594E3">
      <w:pPr>
        <w:pStyle w:val="FootnoteText"/>
        <w:spacing w:after="120"/>
        <w:rPr>
          <w:rFonts w:ascii="Times New Roman" w:hAnsi="Times New Roman" w:cs="Times New Roman"/>
        </w:rPr>
      </w:pPr>
      <w:r w:rsidRPr="004368AD">
        <w:rPr>
          <w:rStyle w:val="FootnoteReference"/>
          <w:rFonts w:ascii="Times New Roman" w:hAnsi="Times New Roman" w:cs="Times New Roman"/>
        </w:rPr>
        <w:footnoteRef/>
      </w:r>
      <w:r w:rsidRPr="004368AD">
        <w:rPr>
          <w:rFonts w:ascii="Times New Roman" w:hAnsi="Times New Roman" w:cs="Times New Roman"/>
        </w:rPr>
        <w:t xml:space="preserve"> OCC Ex. 1 (Adkins Supplemental) at 11.</w:t>
      </w:r>
    </w:p>
  </w:footnote>
  <w:footnote w:id="97">
    <w:p w:rsidR="00A642CC" w:rsidRPr="004368AD" w:rsidP="004368AD" w14:paraId="3FA37A8A" w14:textId="36A46F23">
      <w:pPr>
        <w:pStyle w:val="FootnoteText"/>
        <w:spacing w:after="120"/>
        <w:rPr>
          <w:rFonts w:ascii="Times New Roman" w:hAnsi="Times New Roman" w:cs="Times New Roman"/>
          <w:i/>
          <w:iCs/>
        </w:rPr>
      </w:pPr>
      <w:r w:rsidRPr="004368AD">
        <w:rPr>
          <w:rStyle w:val="FootnoteReference"/>
          <w:rFonts w:ascii="Times New Roman" w:hAnsi="Times New Roman" w:cs="Times New Roman"/>
        </w:rPr>
        <w:footnoteRef/>
      </w:r>
      <w:r w:rsidRPr="004368AD">
        <w:rPr>
          <w:rFonts w:ascii="Times New Roman" w:hAnsi="Times New Roman" w:cs="Times New Roman"/>
        </w:rPr>
        <w:t xml:space="preserve"> </w:t>
      </w:r>
      <w:r w:rsidRPr="004368AD">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359E1"/>
    <w:multiLevelType w:val="hybridMultilevel"/>
    <w:tmpl w:val="A0CC51E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2">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531888"/>
    <w:multiLevelType w:val="hybridMultilevel"/>
    <w:tmpl w:val="3E6403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1FBE75A7"/>
    <w:multiLevelType w:val="hybridMultilevel"/>
    <w:tmpl w:val="5B4CDECC"/>
    <w:lvl w:ilvl="0">
      <w:start w:val="1"/>
      <w:numFmt w:val="upperLetter"/>
      <w:pStyle w:val="Heading2"/>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C2E1EE5"/>
    <w:multiLevelType w:val="hybridMultilevel"/>
    <w:tmpl w:val="5B7892A0"/>
    <w:lvl w:ilvl="0">
      <w:start w:val="1"/>
      <w:numFmt w:val="decimal"/>
      <w:lvlText w:val="%1."/>
      <w:lvlJc w:val="left"/>
      <w:pPr>
        <w:ind w:left="1800" w:hanging="360"/>
      </w:pPr>
      <w:rPr>
        <w:rFonts w:cs="Times New Roman"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2CC94FCD"/>
    <w:multiLevelType w:val="hybridMultilevel"/>
    <w:tmpl w:val="49968B8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0">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1">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35605569"/>
    <w:multiLevelType w:val="hybridMultilevel"/>
    <w:tmpl w:val="D28CC70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3E434FDA"/>
    <w:multiLevelType w:val="hybridMultilevel"/>
    <w:tmpl w:val="3B28E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FFD7D8A"/>
    <w:multiLevelType w:val="hybridMultilevel"/>
    <w:tmpl w:val="1C787F28"/>
    <w:lvl w:ilvl="0">
      <w:start w:val="1"/>
      <w:numFmt w:val="upperRoman"/>
      <w:pStyle w:val="Heading1"/>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BD624C"/>
    <w:multiLevelType w:val="hybridMultilevel"/>
    <w:tmpl w:val="E87A5166"/>
    <w:lvl w:ilvl="0">
      <w:start w:val="1"/>
      <w:numFmt w:val="upperLetter"/>
      <w:lvlText w:val="%1."/>
      <w:lvlJc w:val="left"/>
      <w:pPr>
        <w:ind w:left="9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64E5E75"/>
    <w:multiLevelType w:val="hybridMultilevel"/>
    <w:tmpl w:val="570E21E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43F304E"/>
    <w:multiLevelType w:val="hybridMultilevel"/>
    <w:tmpl w:val="E190F44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5AE83163"/>
    <w:multiLevelType w:val="hybridMultilevel"/>
    <w:tmpl w:val="CC30DC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D5378C3"/>
    <w:multiLevelType w:val="hybridMultilevel"/>
    <w:tmpl w:val="BA3AEF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F74287D"/>
    <w:multiLevelType w:val="hybridMultilevel"/>
    <w:tmpl w:val="1760228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6509486F"/>
    <w:multiLevelType w:val="hybridMultilevel"/>
    <w:tmpl w:val="CDE0B5A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6A725FA4"/>
    <w:multiLevelType w:val="hybridMultilevel"/>
    <w:tmpl w:val="9ADA272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E36518D"/>
    <w:multiLevelType w:val="hybridMultilevel"/>
    <w:tmpl w:val="A4C22F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B29341A"/>
    <w:multiLevelType w:val="hybridMultilevel"/>
    <w:tmpl w:val="3A646A44"/>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6"/>
  </w:num>
  <w:num w:numId="4">
    <w:abstractNumId w:val="6"/>
  </w:num>
  <w:num w:numId="5">
    <w:abstractNumId w:val="10"/>
  </w:num>
  <w:num w:numId="6">
    <w:abstractNumId w:val="25"/>
  </w:num>
  <w:num w:numId="7">
    <w:abstractNumId w:val="29"/>
  </w:num>
  <w:num w:numId="8">
    <w:abstractNumId w:val="5"/>
  </w:num>
  <w:num w:numId="9">
    <w:abstractNumId w:val="12"/>
  </w:num>
  <w:num w:numId="10">
    <w:abstractNumId w:val="11"/>
  </w:num>
  <w:num w:numId="11">
    <w:abstractNumId w:val="3"/>
  </w:num>
  <w:num w:numId="12">
    <w:abstractNumId w:val="15"/>
  </w:num>
  <w:num w:numId="13">
    <w:abstractNumId w:val="23"/>
  </w:num>
  <w:num w:numId="14">
    <w:abstractNumId w:val="4"/>
  </w:num>
  <w:num w:numId="15">
    <w:abstractNumId w:val="21"/>
  </w:num>
  <w:num w:numId="16">
    <w:abstractNumId w:val="24"/>
  </w:num>
  <w:num w:numId="17">
    <w:abstractNumId w:val="14"/>
  </w:num>
  <w:num w:numId="18">
    <w:abstractNumId w:val="9"/>
  </w:num>
  <w:num w:numId="19">
    <w:abstractNumId w:val="22"/>
  </w:num>
  <w:num w:numId="20">
    <w:abstractNumId w:val="18"/>
  </w:num>
  <w:num w:numId="21">
    <w:abstractNumId w:val="19"/>
  </w:num>
  <w:num w:numId="22">
    <w:abstractNumId w:val="17"/>
  </w:num>
  <w:num w:numId="23">
    <w:abstractNumId w:val="7"/>
  </w:num>
  <w:num w:numId="24">
    <w:abstractNumId w:val="13"/>
  </w:num>
  <w:num w:numId="25">
    <w:abstractNumId w:val="28"/>
  </w:num>
  <w:num w:numId="26">
    <w:abstractNumId w:val="27"/>
  </w:num>
  <w:num w:numId="27">
    <w:abstractNumId w:val="26"/>
  </w:num>
  <w:num w:numId="28">
    <w:abstractNumId w:val="8"/>
  </w:num>
  <w:num w:numId="29">
    <w:abstractNumId w:val="0"/>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6A"/>
    <w:rsid w:val="000001DA"/>
    <w:rsid w:val="000044FD"/>
    <w:rsid w:val="000105C1"/>
    <w:rsid w:val="00010DE0"/>
    <w:rsid w:val="00012862"/>
    <w:rsid w:val="00012F4E"/>
    <w:rsid w:val="00013BA0"/>
    <w:rsid w:val="0001493D"/>
    <w:rsid w:val="00015B35"/>
    <w:rsid w:val="00021837"/>
    <w:rsid w:val="000237A9"/>
    <w:rsid w:val="00023D06"/>
    <w:rsid w:val="00026627"/>
    <w:rsid w:val="00026DB2"/>
    <w:rsid w:val="00030034"/>
    <w:rsid w:val="00031845"/>
    <w:rsid w:val="000323C7"/>
    <w:rsid w:val="00036EC9"/>
    <w:rsid w:val="000371AE"/>
    <w:rsid w:val="0003720E"/>
    <w:rsid w:val="00037EC9"/>
    <w:rsid w:val="0004015D"/>
    <w:rsid w:val="000428A5"/>
    <w:rsid w:val="0004629A"/>
    <w:rsid w:val="000500F4"/>
    <w:rsid w:val="00051971"/>
    <w:rsid w:val="0005385D"/>
    <w:rsid w:val="00053C5E"/>
    <w:rsid w:val="00053D02"/>
    <w:rsid w:val="00057028"/>
    <w:rsid w:val="000613F2"/>
    <w:rsid w:val="00073078"/>
    <w:rsid w:val="00073D2C"/>
    <w:rsid w:val="000747ED"/>
    <w:rsid w:val="000754BB"/>
    <w:rsid w:val="00075DF7"/>
    <w:rsid w:val="00076A35"/>
    <w:rsid w:val="0008560E"/>
    <w:rsid w:val="0008755E"/>
    <w:rsid w:val="00087ED2"/>
    <w:rsid w:val="0009058C"/>
    <w:rsid w:val="0009240C"/>
    <w:rsid w:val="00094C34"/>
    <w:rsid w:val="000963BF"/>
    <w:rsid w:val="000978AD"/>
    <w:rsid w:val="000A0F6D"/>
    <w:rsid w:val="000A16C2"/>
    <w:rsid w:val="000A182D"/>
    <w:rsid w:val="000B28B7"/>
    <w:rsid w:val="000B2DF1"/>
    <w:rsid w:val="000B5F4E"/>
    <w:rsid w:val="000C35F1"/>
    <w:rsid w:val="000C3E21"/>
    <w:rsid w:val="000C66A9"/>
    <w:rsid w:val="000C76D8"/>
    <w:rsid w:val="000C77B9"/>
    <w:rsid w:val="000D13AF"/>
    <w:rsid w:val="000D3C7E"/>
    <w:rsid w:val="000D79AC"/>
    <w:rsid w:val="000D79BD"/>
    <w:rsid w:val="000F1DA3"/>
    <w:rsid w:val="000F61CD"/>
    <w:rsid w:val="0010017A"/>
    <w:rsid w:val="00101EAE"/>
    <w:rsid w:val="001049E4"/>
    <w:rsid w:val="00106CA4"/>
    <w:rsid w:val="00112614"/>
    <w:rsid w:val="00112CC9"/>
    <w:rsid w:val="00113098"/>
    <w:rsid w:val="001156C3"/>
    <w:rsid w:val="001214B6"/>
    <w:rsid w:val="00122B02"/>
    <w:rsid w:val="0012371A"/>
    <w:rsid w:val="001250ED"/>
    <w:rsid w:val="00126549"/>
    <w:rsid w:val="00130FDB"/>
    <w:rsid w:val="00131952"/>
    <w:rsid w:val="00136078"/>
    <w:rsid w:val="00142A48"/>
    <w:rsid w:val="0014608F"/>
    <w:rsid w:val="001477DB"/>
    <w:rsid w:val="001507B4"/>
    <w:rsid w:val="00151165"/>
    <w:rsid w:val="0015192E"/>
    <w:rsid w:val="0015229E"/>
    <w:rsid w:val="00153B4C"/>
    <w:rsid w:val="00153D10"/>
    <w:rsid w:val="0016063C"/>
    <w:rsid w:val="00161568"/>
    <w:rsid w:val="00165096"/>
    <w:rsid w:val="00167846"/>
    <w:rsid w:val="00167F83"/>
    <w:rsid w:val="001707D9"/>
    <w:rsid w:val="0017425C"/>
    <w:rsid w:val="001809F6"/>
    <w:rsid w:val="00190933"/>
    <w:rsid w:val="00191741"/>
    <w:rsid w:val="001937F2"/>
    <w:rsid w:val="001A12CF"/>
    <w:rsid w:val="001A1E77"/>
    <w:rsid w:val="001A3305"/>
    <w:rsid w:val="001A388C"/>
    <w:rsid w:val="001A4FC4"/>
    <w:rsid w:val="001A6E37"/>
    <w:rsid w:val="001B021D"/>
    <w:rsid w:val="001B382B"/>
    <w:rsid w:val="001B746D"/>
    <w:rsid w:val="001C0B30"/>
    <w:rsid w:val="001C0DE2"/>
    <w:rsid w:val="001C13F0"/>
    <w:rsid w:val="001C16FF"/>
    <w:rsid w:val="001C2CD5"/>
    <w:rsid w:val="001C341E"/>
    <w:rsid w:val="001C3ECB"/>
    <w:rsid w:val="001C6CE9"/>
    <w:rsid w:val="001D2B29"/>
    <w:rsid w:val="001D365C"/>
    <w:rsid w:val="001D56C1"/>
    <w:rsid w:val="001D599C"/>
    <w:rsid w:val="001E064B"/>
    <w:rsid w:val="001E1D99"/>
    <w:rsid w:val="001E2855"/>
    <w:rsid w:val="001E6F58"/>
    <w:rsid w:val="001F3B89"/>
    <w:rsid w:val="001F600A"/>
    <w:rsid w:val="0020434A"/>
    <w:rsid w:val="0021069E"/>
    <w:rsid w:val="00214F69"/>
    <w:rsid w:val="00222011"/>
    <w:rsid w:val="002241D1"/>
    <w:rsid w:val="0022500B"/>
    <w:rsid w:val="00226D48"/>
    <w:rsid w:val="00226E1A"/>
    <w:rsid w:val="0023163A"/>
    <w:rsid w:val="0023256D"/>
    <w:rsid w:val="002346C4"/>
    <w:rsid w:val="00236875"/>
    <w:rsid w:val="0024025D"/>
    <w:rsid w:val="00240AD7"/>
    <w:rsid w:val="002431E1"/>
    <w:rsid w:val="00243E65"/>
    <w:rsid w:val="002455FA"/>
    <w:rsid w:val="0024726A"/>
    <w:rsid w:val="00247902"/>
    <w:rsid w:val="00247C76"/>
    <w:rsid w:val="002508A8"/>
    <w:rsid w:val="00250D6C"/>
    <w:rsid w:val="00252A82"/>
    <w:rsid w:val="0025340E"/>
    <w:rsid w:val="00254BAA"/>
    <w:rsid w:val="0025547C"/>
    <w:rsid w:val="00255985"/>
    <w:rsid w:val="00260705"/>
    <w:rsid w:val="00260A3F"/>
    <w:rsid w:val="00264A2B"/>
    <w:rsid w:val="00266B99"/>
    <w:rsid w:val="00273A9E"/>
    <w:rsid w:val="00273D40"/>
    <w:rsid w:val="0027435C"/>
    <w:rsid w:val="00274D04"/>
    <w:rsid w:val="00275F81"/>
    <w:rsid w:val="00280EB1"/>
    <w:rsid w:val="00281C3D"/>
    <w:rsid w:val="00283A0D"/>
    <w:rsid w:val="002844D1"/>
    <w:rsid w:val="00285C48"/>
    <w:rsid w:val="00286D73"/>
    <w:rsid w:val="00291C59"/>
    <w:rsid w:val="00292416"/>
    <w:rsid w:val="002936ED"/>
    <w:rsid w:val="002938B2"/>
    <w:rsid w:val="00297913"/>
    <w:rsid w:val="002A2023"/>
    <w:rsid w:val="002A4989"/>
    <w:rsid w:val="002A7C14"/>
    <w:rsid w:val="002B1018"/>
    <w:rsid w:val="002B4A98"/>
    <w:rsid w:val="002B4DBA"/>
    <w:rsid w:val="002B5DFD"/>
    <w:rsid w:val="002C3909"/>
    <w:rsid w:val="002C50E6"/>
    <w:rsid w:val="002C6664"/>
    <w:rsid w:val="002C67B3"/>
    <w:rsid w:val="002C6BDA"/>
    <w:rsid w:val="002C6E5A"/>
    <w:rsid w:val="002C7720"/>
    <w:rsid w:val="002D00A2"/>
    <w:rsid w:val="002D0A99"/>
    <w:rsid w:val="002D1B6C"/>
    <w:rsid w:val="002E4589"/>
    <w:rsid w:val="002E53F7"/>
    <w:rsid w:val="002F0E3B"/>
    <w:rsid w:val="002F2DD6"/>
    <w:rsid w:val="002F38EE"/>
    <w:rsid w:val="002F4CA0"/>
    <w:rsid w:val="002F50A7"/>
    <w:rsid w:val="002F6152"/>
    <w:rsid w:val="00300B47"/>
    <w:rsid w:val="003031B6"/>
    <w:rsid w:val="00304885"/>
    <w:rsid w:val="00307174"/>
    <w:rsid w:val="00310E1D"/>
    <w:rsid w:val="0031127C"/>
    <w:rsid w:val="00312335"/>
    <w:rsid w:val="00314CCD"/>
    <w:rsid w:val="00320FE8"/>
    <w:rsid w:val="0032118A"/>
    <w:rsid w:val="003245D4"/>
    <w:rsid w:val="00324750"/>
    <w:rsid w:val="003269F9"/>
    <w:rsid w:val="00326C85"/>
    <w:rsid w:val="00330C50"/>
    <w:rsid w:val="00330D90"/>
    <w:rsid w:val="00334ED2"/>
    <w:rsid w:val="003369B6"/>
    <w:rsid w:val="00336AA7"/>
    <w:rsid w:val="00336FDE"/>
    <w:rsid w:val="003411B2"/>
    <w:rsid w:val="003437D1"/>
    <w:rsid w:val="00346A80"/>
    <w:rsid w:val="00347110"/>
    <w:rsid w:val="00350FE0"/>
    <w:rsid w:val="003511B5"/>
    <w:rsid w:val="00354AE3"/>
    <w:rsid w:val="00354D0D"/>
    <w:rsid w:val="00355488"/>
    <w:rsid w:val="003558A8"/>
    <w:rsid w:val="00356D39"/>
    <w:rsid w:val="00357DEC"/>
    <w:rsid w:val="00357F68"/>
    <w:rsid w:val="003601C5"/>
    <w:rsid w:val="00372312"/>
    <w:rsid w:val="0037271E"/>
    <w:rsid w:val="00373926"/>
    <w:rsid w:val="00374B2C"/>
    <w:rsid w:val="00374C28"/>
    <w:rsid w:val="00374C74"/>
    <w:rsid w:val="003753E9"/>
    <w:rsid w:val="00376E35"/>
    <w:rsid w:val="003813F1"/>
    <w:rsid w:val="00385270"/>
    <w:rsid w:val="003925DF"/>
    <w:rsid w:val="00394858"/>
    <w:rsid w:val="003977E7"/>
    <w:rsid w:val="003A21A6"/>
    <w:rsid w:val="003A386D"/>
    <w:rsid w:val="003B0BCF"/>
    <w:rsid w:val="003B1E01"/>
    <w:rsid w:val="003B27A4"/>
    <w:rsid w:val="003B3DCF"/>
    <w:rsid w:val="003B4A23"/>
    <w:rsid w:val="003C37F4"/>
    <w:rsid w:val="003C5507"/>
    <w:rsid w:val="003D2135"/>
    <w:rsid w:val="003D2F68"/>
    <w:rsid w:val="003D3400"/>
    <w:rsid w:val="003D4FE7"/>
    <w:rsid w:val="003E36B1"/>
    <w:rsid w:val="003E4FF1"/>
    <w:rsid w:val="003E5EA4"/>
    <w:rsid w:val="003F0465"/>
    <w:rsid w:val="003F69EB"/>
    <w:rsid w:val="003F760E"/>
    <w:rsid w:val="00400120"/>
    <w:rsid w:val="004009C1"/>
    <w:rsid w:val="004011C8"/>
    <w:rsid w:val="004074BB"/>
    <w:rsid w:val="00412178"/>
    <w:rsid w:val="004148F1"/>
    <w:rsid w:val="00420308"/>
    <w:rsid w:val="0042065F"/>
    <w:rsid w:val="00427EB0"/>
    <w:rsid w:val="00430981"/>
    <w:rsid w:val="00432159"/>
    <w:rsid w:val="00433BB8"/>
    <w:rsid w:val="00435F23"/>
    <w:rsid w:val="00435F46"/>
    <w:rsid w:val="004368AD"/>
    <w:rsid w:val="00436CC3"/>
    <w:rsid w:val="00440139"/>
    <w:rsid w:val="00440BFB"/>
    <w:rsid w:val="00444919"/>
    <w:rsid w:val="00444CD6"/>
    <w:rsid w:val="00445692"/>
    <w:rsid w:val="004470A9"/>
    <w:rsid w:val="00447EB6"/>
    <w:rsid w:val="0045113E"/>
    <w:rsid w:val="00451A62"/>
    <w:rsid w:val="00454D42"/>
    <w:rsid w:val="0045752C"/>
    <w:rsid w:val="00460139"/>
    <w:rsid w:val="00461BB4"/>
    <w:rsid w:val="00461E70"/>
    <w:rsid w:val="004711A8"/>
    <w:rsid w:val="00473239"/>
    <w:rsid w:val="00475F00"/>
    <w:rsid w:val="004810D8"/>
    <w:rsid w:val="0048220C"/>
    <w:rsid w:val="00486C5C"/>
    <w:rsid w:val="0049023C"/>
    <w:rsid w:val="004935F4"/>
    <w:rsid w:val="004938CB"/>
    <w:rsid w:val="00495379"/>
    <w:rsid w:val="00496468"/>
    <w:rsid w:val="00496DD7"/>
    <w:rsid w:val="0049756D"/>
    <w:rsid w:val="00497B61"/>
    <w:rsid w:val="00497E56"/>
    <w:rsid w:val="004A1C93"/>
    <w:rsid w:val="004A1CA4"/>
    <w:rsid w:val="004A2403"/>
    <w:rsid w:val="004A2498"/>
    <w:rsid w:val="004A29CE"/>
    <w:rsid w:val="004A2D75"/>
    <w:rsid w:val="004A500E"/>
    <w:rsid w:val="004A7ADC"/>
    <w:rsid w:val="004B1425"/>
    <w:rsid w:val="004B3604"/>
    <w:rsid w:val="004B7814"/>
    <w:rsid w:val="004C0534"/>
    <w:rsid w:val="004C6A0D"/>
    <w:rsid w:val="004D3D5E"/>
    <w:rsid w:val="004D5706"/>
    <w:rsid w:val="004D70E8"/>
    <w:rsid w:val="004E5410"/>
    <w:rsid w:val="004E7FCE"/>
    <w:rsid w:val="004F13A2"/>
    <w:rsid w:val="004F18E8"/>
    <w:rsid w:val="004F3D7C"/>
    <w:rsid w:val="004F41A2"/>
    <w:rsid w:val="004F423F"/>
    <w:rsid w:val="004F4584"/>
    <w:rsid w:val="004F5D4A"/>
    <w:rsid w:val="004F6F7F"/>
    <w:rsid w:val="004F7580"/>
    <w:rsid w:val="00500F36"/>
    <w:rsid w:val="00502C71"/>
    <w:rsid w:val="00503478"/>
    <w:rsid w:val="0050748E"/>
    <w:rsid w:val="005106FF"/>
    <w:rsid w:val="0051336B"/>
    <w:rsid w:val="00513B10"/>
    <w:rsid w:val="00513F26"/>
    <w:rsid w:val="00514DFA"/>
    <w:rsid w:val="00514E9F"/>
    <w:rsid w:val="00515865"/>
    <w:rsid w:val="00516EAF"/>
    <w:rsid w:val="005171F8"/>
    <w:rsid w:val="00517DFB"/>
    <w:rsid w:val="00520C02"/>
    <w:rsid w:val="005213C8"/>
    <w:rsid w:val="00521CD0"/>
    <w:rsid w:val="005248DE"/>
    <w:rsid w:val="00525283"/>
    <w:rsid w:val="00525946"/>
    <w:rsid w:val="00527521"/>
    <w:rsid w:val="00527AC3"/>
    <w:rsid w:val="005303F2"/>
    <w:rsid w:val="005332EC"/>
    <w:rsid w:val="00536DCD"/>
    <w:rsid w:val="0054318D"/>
    <w:rsid w:val="00543F09"/>
    <w:rsid w:val="00545302"/>
    <w:rsid w:val="005460DC"/>
    <w:rsid w:val="0054631F"/>
    <w:rsid w:val="00546324"/>
    <w:rsid w:val="00552DB3"/>
    <w:rsid w:val="00553343"/>
    <w:rsid w:val="00561D09"/>
    <w:rsid w:val="00562D10"/>
    <w:rsid w:val="0056327C"/>
    <w:rsid w:val="00563B4E"/>
    <w:rsid w:val="0057061D"/>
    <w:rsid w:val="00573F0E"/>
    <w:rsid w:val="00574093"/>
    <w:rsid w:val="00581990"/>
    <w:rsid w:val="00586053"/>
    <w:rsid w:val="00590725"/>
    <w:rsid w:val="00593C6B"/>
    <w:rsid w:val="00594916"/>
    <w:rsid w:val="005A18A5"/>
    <w:rsid w:val="005A20F7"/>
    <w:rsid w:val="005A7D12"/>
    <w:rsid w:val="005B0284"/>
    <w:rsid w:val="005B0453"/>
    <w:rsid w:val="005B2BD7"/>
    <w:rsid w:val="005B3E57"/>
    <w:rsid w:val="005B795E"/>
    <w:rsid w:val="005C0AEE"/>
    <w:rsid w:val="005C121B"/>
    <w:rsid w:val="005C1257"/>
    <w:rsid w:val="005C16AA"/>
    <w:rsid w:val="005C3731"/>
    <w:rsid w:val="005C451D"/>
    <w:rsid w:val="005C650C"/>
    <w:rsid w:val="005C781C"/>
    <w:rsid w:val="005D034D"/>
    <w:rsid w:val="005E0557"/>
    <w:rsid w:val="005E2E52"/>
    <w:rsid w:val="005E32B3"/>
    <w:rsid w:val="005E54F0"/>
    <w:rsid w:val="005E6B1C"/>
    <w:rsid w:val="005F0C73"/>
    <w:rsid w:val="005F2B7A"/>
    <w:rsid w:val="005F2FFC"/>
    <w:rsid w:val="005F6D71"/>
    <w:rsid w:val="005F71D8"/>
    <w:rsid w:val="006113D4"/>
    <w:rsid w:val="006172D6"/>
    <w:rsid w:val="00620EB2"/>
    <w:rsid w:val="00620EF3"/>
    <w:rsid w:val="00621A28"/>
    <w:rsid w:val="00622321"/>
    <w:rsid w:val="006226DE"/>
    <w:rsid w:val="006228C8"/>
    <w:rsid w:val="00626411"/>
    <w:rsid w:val="006268B9"/>
    <w:rsid w:val="00626C6A"/>
    <w:rsid w:val="00627D8A"/>
    <w:rsid w:val="00627F54"/>
    <w:rsid w:val="0063003F"/>
    <w:rsid w:val="00634491"/>
    <w:rsid w:val="00641AD3"/>
    <w:rsid w:val="00642450"/>
    <w:rsid w:val="00643A76"/>
    <w:rsid w:val="006442CD"/>
    <w:rsid w:val="00645D20"/>
    <w:rsid w:val="0065099E"/>
    <w:rsid w:val="006554B3"/>
    <w:rsid w:val="00655CCD"/>
    <w:rsid w:val="00656B2E"/>
    <w:rsid w:val="00660806"/>
    <w:rsid w:val="006621F6"/>
    <w:rsid w:val="006640AF"/>
    <w:rsid w:val="00672E11"/>
    <w:rsid w:val="006732B7"/>
    <w:rsid w:val="0067446A"/>
    <w:rsid w:val="006777AC"/>
    <w:rsid w:val="00680FCB"/>
    <w:rsid w:val="006838C2"/>
    <w:rsid w:val="00683B3A"/>
    <w:rsid w:val="00685470"/>
    <w:rsid w:val="00685F0B"/>
    <w:rsid w:val="00686331"/>
    <w:rsid w:val="00687ECC"/>
    <w:rsid w:val="00692043"/>
    <w:rsid w:val="00695107"/>
    <w:rsid w:val="00695567"/>
    <w:rsid w:val="00695ECA"/>
    <w:rsid w:val="006A371E"/>
    <w:rsid w:val="006A42E0"/>
    <w:rsid w:val="006A5484"/>
    <w:rsid w:val="006A5DCF"/>
    <w:rsid w:val="006A6666"/>
    <w:rsid w:val="006A68CF"/>
    <w:rsid w:val="006A7A58"/>
    <w:rsid w:val="006B15A8"/>
    <w:rsid w:val="006B20BE"/>
    <w:rsid w:val="006B2E37"/>
    <w:rsid w:val="006B406D"/>
    <w:rsid w:val="006B6204"/>
    <w:rsid w:val="006C0D8B"/>
    <w:rsid w:val="006C149F"/>
    <w:rsid w:val="006C1EAB"/>
    <w:rsid w:val="006D323F"/>
    <w:rsid w:val="006D3490"/>
    <w:rsid w:val="006D4A7F"/>
    <w:rsid w:val="006D4E21"/>
    <w:rsid w:val="006D5296"/>
    <w:rsid w:val="006E0625"/>
    <w:rsid w:val="006E28E1"/>
    <w:rsid w:val="006E3C43"/>
    <w:rsid w:val="006E608F"/>
    <w:rsid w:val="006E75B8"/>
    <w:rsid w:val="006F276E"/>
    <w:rsid w:val="006F4280"/>
    <w:rsid w:val="006F5708"/>
    <w:rsid w:val="006F58FA"/>
    <w:rsid w:val="006F5A3C"/>
    <w:rsid w:val="006F783C"/>
    <w:rsid w:val="0070436C"/>
    <w:rsid w:val="00706978"/>
    <w:rsid w:val="00710562"/>
    <w:rsid w:val="00714AFE"/>
    <w:rsid w:val="00715D4A"/>
    <w:rsid w:val="0072541D"/>
    <w:rsid w:val="007358BD"/>
    <w:rsid w:val="007363ED"/>
    <w:rsid w:val="00736557"/>
    <w:rsid w:val="00740526"/>
    <w:rsid w:val="00740A2A"/>
    <w:rsid w:val="00740C56"/>
    <w:rsid w:val="007420CE"/>
    <w:rsid w:val="0074220B"/>
    <w:rsid w:val="00744016"/>
    <w:rsid w:val="007447E9"/>
    <w:rsid w:val="00746981"/>
    <w:rsid w:val="00747FAC"/>
    <w:rsid w:val="00750821"/>
    <w:rsid w:val="00751A5A"/>
    <w:rsid w:val="007521D1"/>
    <w:rsid w:val="00752592"/>
    <w:rsid w:val="007545F0"/>
    <w:rsid w:val="00755C7C"/>
    <w:rsid w:val="0075677B"/>
    <w:rsid w:val="0076385F"/>
    <w:rsid w:val="00764A96"/>
    <w:rsid w:val="00773226"/>
    <w:rsid w:val="007740C9"/>
    <w:rsid w:val="007766A0"/>
    <w:rsid w:val="00782536"/>
    <w:rsid w:val="00787FA5"/>
    <w:rsid w:val="00791419"/>
    <w:rsid w:val="007929A4"/>
    <w:rsid w:val="007930DC"/>
    <w:rsid w:val="00794720"/>
    <w:rsid w:val="00796BA4"/>
    <w:rsid w:val="007A21ED"/>
    <w:rsid w:val="007A5C2C"/>
    <w:rsid w:val="007A5FD8"/>
    <w:rsid w:val="007A7078"/>
    <w:rsid w:val="007A7680"/>
    <w:rsid w:val="007B3CD1"/>
    <w:rsid w:val="007B4F88"/>
    <w:rsid w:val="007B54D0"/>
    <w:rsid w:val="007B69EC"/>
    <w:rsid w:val="007B6CA7"/>
    <w:rsid w:val="007C1B19"/>
    <w:rsid w:val="007C1FC5"/>
    <w:rsid w:val="007C4881"/>
    <w:rsid w:val="007C5287"/>
    <w:rsid w:val="007C6C8C"/>
    <w:rsid w:val="007D2173"/>
    <w:rsid w:val="007D3A77"/>
    <w:rsid w:val="007D7A9B"/>
    <w:rsid w:val="007E0E07"/>
    <w:rsid w:val="007E55B3"/>
    <w:rsid w:val="007E5EC7"/>
    <w:rsid w:val="007F1986"/>
    <w:rsid w:val="007F57AE"/>
    <w:rsid w:val="00800147"/>
    <w:rsid w:val="008050D2"/>
    <w:rsid w:val="00807924"/>
    <w:rsid w:val="008104CE"/>
    <w:rsid w:val="0081160F"/>
    <w:rsid w:val="00814AB0"/>
    <w:rsid w:val="0081526D"/>
    <w:rsid w:val="00815581"/>
    <w:rsid w:val="0082116D"/>
    <w:rsid w:val="0082237C"/>
    <w:rsid w:val="00822D23"/>
    <w:rsid w:val="00823AC8"/>
    <w:rsid w:val="008258CE"/>
    <w:rsid w:val="0082604F"/>
    <w:rsid w:val="00826506"/>
    <w:rsid w:val="0083124F"/>
    <w:rsid w:val="00832437"/>
    <w:rsid w:val="0083265B"/>
    <w:rsid w:val="00834B98"/>
    <w:rsid w:val="00837AB8"/>
    <w:rsid w:val="008404C6"/>
    <w:rsid w:val="008419F3"/>
    <w:rsid w:val="0084398A"/>
    <w:rsid w:val="008445AA"/>
    <w:rsid w:val="008520A8"/>
    <w:rsid w:val="00856EB5"/>
    <w:rsid w:val="00857092"/>
    <w:rsid w:val="00861310"/>
    <w:rsid w:val="0086273C"/>
    <w:rsid w:val="00862C5C"/>
    <w:rsid w:val="008660EF"/>
    <w:rsid w:val="00881B03"/>
    <w:rsid w:val="0088440A"/>
    <w:rsid w:val="00890052"/>
    <w:rsid w:val="008919AB"/>
    <w:rsid w:val="00893860"/>
    <w:rsid w:val="00894933"/>
    <w:rsid w:val="00894E08"/>
    <w:rsid w:val="008950FE"/>
    <w:rsid w:val="008A3396"/>
    <w:rsid w:val="008B20F2"/>
    <w:rsid w:val="008C3053"/>
    <w:rsid w:val="008C7F99"/>
    <w:rsid w:val="008D7414"/>
    <w:rsid w:val="008E1717"/>
    <w:rsid w:val="008E486D"/>
    <w:rsid w:val="008E6B54"/>
    <w:rsid w:val="008F0BD8"/>
    <w:rsid w:val="008F1E13"/>
    <w:rsid w:val="008F23C6"/>
    <w:rsid w:val="008F2710"/>
    <w:rsid w:val="008F3F49"/>
    <w:rsid w:val="008F5334"/>
    <w:rsid w:val="0090614D"/>
    <w:rsid w:val="00906823"/>
    <w:rsid w:val="009071E6"/>
    <w:rsid w:val="0091059B"/>
    <w:rsid w:val="0091114F"/>
    <w:rsid w:val="00911AA7"/>
    <w:rsid w:val="00912CFA"/>
    <w:rsid w:val="009130CA"/>
    <w:rsid w:val="00914982"/>
    <w:rsid w:val="009151AD"/>
    <w:rsid w:val="00916305"/>
    <w:rsid w:val="00922489"/>
    <w:rsid w:val="00924F0E"/>
    <w:rsid w:val="00925361"/>
    <w:rsid w:val="009261E1"/>
    <w:rsid w:val="00926CFA"/>
    <w:rsid w:val="009316EB"/>
    <w:rsid w:val="00932BBB"/>
    <w:rsid w:val="0093368A"/>
    <w:rsid w:val="009374D7"/>
    <w:rsid w:val="0094410C"/>
    <w:rsid w:val="009513FB"/>
    <w:rsid w:val="0095147B"/>
    <w:rsid w:val="009529F9"/>
    <w:rsid w:val="00955952"/>
    <w:rsid w:val="00955F52"/>
    <w:rsid w:val="00956129"/>
    <w:rsid w:val="009604DE"/>
    <w:rsid w:val="009630A8"/>
    <w:rsid w:val="009636DA"/>
    <w:rsid w:val="00974CE3"/>
    <w:rsid w:val="0097535A"/>
    <w:rsid w:val="009772EC"/>
    <w:rsid w:val="00981489"/>
    <w:rsid w:val="009818E0"/>
    <w:rsid w:val="0098225F"/>
    <w:rsid w:val="00983C08"/>
    <w:rsid w:val="009954C6"/>
    <w:rsid w:val="009979FE"/>
    <w:rsid w:val="009A5BF2"/>
    <w:rsid w:val="009A5FD9"/>
    <w:rsid w:val="009A6DD5"/>
    <w:rsid w:val="009B0FF1"/>
    <w:rsid w:val="009B1B05"/>
    <w:rsid w:val="009B1DFA"/>
    <w:rsid w:val="009B419A"/>
    <w:rsid w:val="009B41C9"/>
    <w:rsid w:val="009B43D7"/>
    <w:rsid w:val="009B7300"/>
    <w:rsid w:val="009B73D1"/>
    <w:rsid w:val="009C11C4"/>
    <w:rsid w:val="009C5CD0"/>
    <w:rsid w:val="009C6443"/>
    <w:rsid w:val="009C7EB2"/>
    <w:rsid w:val="009D06ED"/>
    <w:rsid w:val="009D08E1"/>
    <w:rsid w:val="009D25E5"/>
    <w:rsid w:val="009D27A6"/>
    <w:rsid w:val="009D282B"/>
    <w:rsid w:val="009D3992"/>
    <w:rsid w:val="009D599F"/>
    <w:rsid w:val="009D60BC"/>
    <w:rsid w:val="009D6307"/>
    <w:rsid w:val="009D7166"/>
    <w:rsid w:val="009E76F7"/>
    <w:rsid w:val="009F5EF2"/>
    <w:rsid w:val="009F6446"/>
    <w:rsid w:val="00A0006C"/>
    <w:rsid w:val="00A01B5C"/>
    <w:rsid w:val="00A0593B"/>
    <w:rsid w:val="00A05E27"/>
    <w:rsid w:val="00A068AF"/>
    <w:rsid w:val="00A06963"/>
    <w:rsid w:val="00A10599"/>
    <w:rsid w:val="00A10F44"/>
    <w:rsid w:val="00A11576"/>
    <w:rsid w:val="00A12F96"/>
    <w:rsid w:val="00A15766"/>
    <w:rsid w:val="00A15A42"/>
    <w:rsid w:val="00A211F8"/>
    <w:rsid w:val="00A21827"/>
    <w:rsid w:val="00A23239"/>
    <w:rsid w:val="00A25F6D"/>
    <w:rsid w:val="00A300AD"/>
    <w:rsid w:val="00A35A37"/>
    <w:rsid w:val="00A36059"/>
    <w:rsid w:val="00A36D7B"/>
    <w:rsid w:val="00A37329"/>
    <w:rsid w:val="00A37DD6"/>
    <w:rsid w:val="00A4135E"/>
    <w:rsid w:val="00A47C3D"/>
    <w:rsid w:val="00A47FCA"/>
    <w:rsid w:val="00A53C8F"/>
    <w:rsid w:val="00A54EA0"/>
    <w:rsid w:val="00A6159A"/>
    <w:rsid w:val="00A642CC"/>
    <w:rsid w:val="00A76041"/>
    <w:rsid w:val="00A760B8"/>
    <w:rsid w:val="00A838AA"/>
    <w:rsid w:val="00A84C6A"/>
    <w:rsid w:val="00A85643"/>
    <w:rsid w:val="00A864C8"/>
    <w:rsid w:val="00A947CC"/>
    <w:rsid w:val="00A94CE6"/>
    <w:rsid w:val="00A94EF4"/>
    <w:rsid w:val="00A960A1"/>
    <w:rsid w:val="00A96734"/>
    <w:rsid w:val="00A97D2D"/>
    <w:rsid w:val="00AA08F4"/>
    <w:rsid w:val="00AA1A20"/>
    <w:rsid w:val="00AA3DCE"/>
    <w:rsid w:val="00AA734A"/>
    <w:rsid w:val="00AB0A2A"/>
    <w:rsid w:val="00AB27DC"/>
    <w:rsid w:val="00AB389A"/>
    <w:rsid w:val="00AB5D56"/>
    <w:rsid w:val="00AC0357"/>
    <w:rsid w:val="00AC4054"/>
    <w:rsid w:val="00AC4EF3"/>
    <w:rsid w:val="00AC5492"/>
    <w:rsid w:val="00AC54CE"/>
    <w:rsid w:val="00AC6FD3"/>
    <w:rsid w:val="00AC70E9"/>
    <w:rsid w:val="00AD16D2"/>
    <w:rsid w:val="00AD4FD7"/>
    <w:rsid w:val="00AD64A4"/>
    <w:rsid w:val="00AD6829"/>
    <w:rsid w:val="00AE1E60"/>
    <w:rsid w:val="00AE2105"/>
    <w:rsid w:val="00AE3478"/>
    <w:rsid w:val="00AE4AF9"/>
    <w:rsid w:val="00AE6A55"/>
    <w:rsid w:val="00AE7723"/>
    <w:rsid w:val="00AF1EF5"/>
    <w:rsid w:val="00AF3DA9"/>
    <w:rsid w:val="00AF43E0"/>
    <w:rsid w:val="00AF5284"/>
    <w:rsid w:val="00AF56EA"/>
    <w:rsid w:val="00AF67A8"/>
    <w:rsid w:val="00B023DD"/>
    <w:rsid w:val="00B0308F"/>
    <w:rsid w:val="00B0472A"/>
    <w:rsid w:val="00B10540"/>
    <w:rsid w:val="00B1069E"/>
    <w:rsid w:val="00B15130"/>
    <w:rsid w:val="00B17AAB"/>
    <w:rsid w:val="00B23864"/>
    <w:rsid w:val="00B250C0"/>
    <w:rsid w:val="00B256D8"/>
    <w:rsid w:val="00B26ADA"/>
    <w:rsid w:val="00B335DC"/>
    <w:rsid w:val="00B349D3"/>
    <w:rsid w:val="00B3766B"/>
    <w:rsid w:val="00B41517"/>
    <w:rsid w:val="00B44099"/>
    <w:rsid w:val="00B44DEF"/>
    <w:rsid w:val="00B4605C"/>
    <w:rsid w:val="00B5205C"/>
    <w:rsid w:val="00B549EC"/>
    <w:rsid w:val="00B56369"/>
    <w:rsid w:val="00B70392"/>
    <w:rsid w:val="00B73132"/>
    <w:rsid w:val="00B74D9D"/>
    <w:rsid w:val="00B754FC"/>
    <w:rsid w:val="00B76C04"/>
    <w:rsid w:val="00B804EE"/>
    <w:rsid w:val="00B83A11"/>
    <w:rsid w:val="00B83A6E"/>
    <w:rsid w:val="00B83E08"/>
    <w:rsid w:val="00B957DF"/>
    <w:rsid w:val="00BA03B6"/>
    <w:rsid w:val="00BA0CDD"/>
    <w:rsid w:val="00BA205B"/>
    <w:rsid w:val="00BA371A"/>
    <w:rsid w:val="00BA5011"/>
    <w:rsid w:val="00BA5DA6"/>
    <w:rsid w:val="00BA66A5"/>
    <w:rsid w:val="00BA70C6"/>
    <w:rsid w:val="00BB470E"/>
    <w:rsid w:val="00BB4D52"/>
    <w:rsid w:val="00BB561F"/>
    <w:rsid w:val="00BB6FA3"/>
    <w:rsid w:val="00BC1A7C"/>
    <w:rsid w:val="00BC1BF4"/>
    <w:rsid w:val="00BC1DD7"/>
    <w:rsid w:val="00BC5267"/>
    <w:rsid w:val="00BC66B0"/>
    <w:rsid w:val="00BD40E8"/>
    <w:rsid w:val="00BD6B6A"/>
    <w:rsid w:val="00BE0A58"/>
    <w:rsid w:val="00BE1B30"/>
    <w:rsid w:val="00BE4DF2"/>
    <w:rsid w:val="00BE73F9"/>
    <w:rsid w:val="00BF1712"/>
    <w:rsid w:val="00BF2E6D"/>
    <w:rsid w:val="00BF3AF5"/>
    <w:rsid w:val="00BF54C9"/>
    <w:rsid w:val="00BF615F"/>
    <w:rsid w:val="00BF6E90"/>
    <w:rsid w:val="00C005C6"/>
    <w:rsid w:val="00C0066A"/>
    <w:rsid w:val="00C012ED"/>
    <w:rsid w:val="00C028C7"/>
    <w:rsid w:val="00C02ACD"/>
    <w:rsid w:val="00C0592D"/>
    <w:rsid w:val="00C0657B"/>
    <w:rsid w:val="00C07802"/>
    <w:rsid w:val="00C13474"/>
    <w:rsid w:val="00C147BE"/>
    <w:rsid w:val="00C14A9D"/>
    <w:rsid w:val="00C14ADB"/>
    <w:rsid w:val="00C17338"/>
    <w:rsid w:val="00C20D73"/>
    <w:rsid w:val="00C2541B"/>
    <w:rsid w:val="00C25731"/>
    <w:rsid w:val="00C27A8C"/>
    <w:rsid w:val="00C304EF"/>
    <w:rsid w:val="00C332D6"/>
    <w:rsid w:val="00C3552B"/>
    <w:rsid w:val="00C41026"/>
    <w:rsid w:val="00C428BA"/>
    <w:rsid w:val="00C435CC"/>
    <w:rsid w:val="00C439CB"/>
    <w:rsid w:val="00C44245"/>
    <w:rsid w:val="00C4534F"/>
    <w:rsid w:val="00C524CC"/>
    <w:rsid w:val="00C55B18"/>
    <w:rsid w:val="00C578FA"/>
    <w:rsid w:val="00C60172"/>
    <w:rsid w:val="00C61B88"/>
    <w:rsid w:val="00C633DB"/>
    <w:rsid w:val="00C6417A"/>
    <w:rsid w:val="00C65493"/>
    <w:rsid w:val="00C67B8B"/>
    <w:rsid w:val="00C70D51"/>
    <w:rsid w:val="00C710D3"/>
    <w:rsid w:val="00C7160E"/>
    <w:rsid w:val="00C7231A"/>
    <w:rsid w:val="00C77674"/>
    <w:rsid w:val="00C80354"/>
    <w:rsid w:val="00C80BFE"/>
    <w:rsid w:val="00C816DE"/>
    <w:rsid w:val="00C825CC"/>
    <w:rsid w:val="00C82E8B"/>
    <w:rsid w:val="00C83092"/>
    <w:rsid w:val="00C83FF9"/>
    <w:rsid w:val="00C85768"/>
    <w:rsid w:val="00C87218"/>
    <w:rsid w:val="00C93594"/>
    <w:rsid w:val="00C9598E"/>
    <w:rsid w:val="00C9664A"/>
    <w:rsid w:val="00CA03E3"/>
    <w:rsid w:val="00CA1563"/>
    <w:rsid w:val="00CA18F7"/>
    <w:rsid w:val="00CA2695"/>
    <w:rsid w:val="00CA54FD"/>
    <w:rsid w:val="00CA5612"/>
    <w:rsid w:val="00CA59F9"/>
    <w:rsid w:val="00CA72BF"/>
    <w:rsid w:val="00CA7491"/>
    <w:rsid w:val="00CB00E4"/>
    <w:rsid w:val="00CB0EBA"/>
    <w:rsid w:val="00CB24E5"/>
    <w:rsid w:val="00CB2FA0"/>
    <w:rsid w:val="00CB386A"/>
    <w:rsid w:val="00CB4907"/>
    <w:rsid w:val="00CB6B31"/>
    <w:rsid w:val="00CC0E9E"/>
    <w:rsid w:val="00CC3D54"/>
    <w:rsid w:val="00CC4ED0"/>
    <w:rsid w:val="00CC5749"/>
    <w:rsid w:val="00CD60C4"/>
    <w:rsid w:val="00CE15E7"/>
    <w:rsid w:val="00CE2B3F"/>
    <w:rsid w:val="00CE43AB"/>
    <w:rsid w:val="00CE4BF1"/>
    <w:rsid w:val="00CF389C"/>
    <w:rsid w:val="00CF4CB1"/>
    <w:rsid w:val="00CF4E3A"/>
    <w:rsid w:val="00CF5E8D"/>
    <w:rsid w:val="00D00029"/>
    <w:rsid w:val="00D026A9"/>
    <w:rsid w:val="00D040DE"/>
    <w:rsid w:val="00D07FED"/>
    <w:rsid w:val="00D14433"/>
    <w:rsid w:val="00D147A1"/>
    <w:rsid w:val="00D150A6"/>
    <w:rsid w:val="00D1584D"/>
    <w:rsid w:val="00D20897"/>
    <w:rsid w:val="00D20AE3"/>
    <w:rsid w:val="00D210AB"/>
    <w:rsid w:val="00D219C8"/>
    <w:rsid w:val="00D249D3"/>
    <w:rsid w:val="00D25580"/>
    <w:rsid w:val="00D2669F"/>
    <w:rsid w:val="00D2760B"/>
    <w:rsid w:val="00D33D38"/>
    <w:rsid w:val="00D36A18"/>
    <w:rsid w:val="00D36C9C"/>
    <w:rsid w:val="00D37FCE"/>
    <w:rsid w:val="00D40899"/>
    <w:rsid w:val="00D445F7"/>
    <w:rsid w:val="00D45C92"/>
    <w:rsid w:val="00D46864"/>
    <w:rsid w:val="00D50291"/>
    <w:rsid w:val="00D522D9"/>
    <w:rsid w:val="00D53190"/>
    <w:rsid w:val="00D54834"/>
    <w:rsid w:val="00D56BFB"/>
    <w:rsid w:val="00D57DE6"/>
    <w:rsid w:val="00D6019B"/>
    <w:rsid w:val="00D625D9"/>
    <w:rsid w:val="00D648EC"/>
    <w:rsid w:val="00D66A76"/>
    <w:rsid w:val="00D67D06"/>
    <w:rsid w:val="00D71548"/>
    <w:rsid w:val="00D752F5"/>
    <w:rsid w:val="00D7674A"/>
    <w:rsid w:val="00D76EF8"/>
    <w:rsid w:val="00D77392"/>
    <w:rsid w:val="00D800F1"/>
    <w:rsid w:val="00D81A4D"/>
    <w:rsid w:val="00D83308"/>
    <w:rsid w:val="00D8344C"/>
    <w:rsid w:val="00D841BD"/>
    <w:rsid w:val="00D86E83"/>
    <w:rsid w:val="00D873FA"/>
    <w:rsid w:val="00D9288B"/>
    <w:rsid w:val="00D9345B"/>
    <w:rsid w:val="00D93D11"/>
    <w:rsid w:val="00D93E6A"/>
    <w:rsid w:val="00DA040E"/>
    <w:rsid w:val="00DA0764"/>
    <w:rsid w:val="00DA1BD0"/>
    <w:rsid w:val="00DA2223"/>
    <w:rsid w:val="00DA57BE"/>
    <w:rsid w:val="00DB0348"/>
    <w:rsid w:val="00DB08F3"/>
    <w:rsid w:val="00DB4933"/>
    <w:rsid w:val="00DB5FDD"/>
    <w:rsid w:val="00DC6F42"/>
    <w:rsid w:val="00DD0529"/>
    <w:rsid w:val="00DD4504"/>
    <w:rsid w:val="00DD4B64"/>
    <w:rsid w:val="00DD76C2"/>
    <w:rsid w:val="00DD7AB5"/>
    <w:rsid w:val="00DE272B"/>
    <w:rsid w:val="00DE2FA2"/>
    <w:rsid w:val="00DE3723"/>
    <w:rsid w:val="00DE4C58"/>
    <w:rsid w:val="00DE6586"/>
    <w:rsid w:val="00DE6A1F"/>
    <w:rsid w:val="00DF0323"/>
    <w:rsid w:val="00DF294A"/>
    <w:rsid w:val="00DF3473"/>
    <w:rsid w:val="00DF4D4F"/>
    <w:rsid w:val="00DF64E7"/>
    <w:rsid w:val="00E10133"/>
    <w:rsid w:val="00E13038"/>
    <w:rsid w:val="00E140C7"/>
    <w:rsid w:val="00E14A78"/>
    <w:rsid w:val="00E16426"/>
    <w:rsid w:val="00E16FEB"/>
    <w:rsid w:val="00E17CDD"/>
    <w:rsid w:val="00E203DE"/>
    <w:rsid w:val="00E213C0"/>
    <w:rsid w:val="00E2267A"/>
    <w:rsid w:val="00E303AA"/>
    <w:rsid w:val="00E30655"/>
    <w:rsid w:val="00E32694"/>
    <w:rsid w:val="00E3274E"/>
    <w:rsid w:val="00E33F69"/>
    <w:rsid w:val="00E348AE"/>
    <w:rsid w:val="00E35C07"/>
    <w:rsid w:val="00E36793"/>
    <w:rsid w:val="00E407E3"/>
    <w:rsid w:val="00E40B92"/>
    <w:rsid w:val="00E430F3"/>
    <w:rsid w:val="00E44316"/>
    <w:rsid w:val="00E44F88"/>
    <w:rsid w:val="00E45843"/>
    <w:rsid w:val="00E47EEE"/>
    <w:rsid w:val="00E5277E"/>
    <w:rsid w:val="00E52F84"/>
    <w:rsid w:val="00E545EC"/>
    <w:rsid w:val="00E5470E"/>
    <w:rsid w:val="00E55D9B"/>
    <w:rsid w:val="00E562C3"/>
    <w:rsid w:val="00E60FD4"/>
    <w:rsid w:val="00E62371"/>
    <w:rsid w:val="00E63FCA"/>
    <w:rsid w:val="00E67842"/>
    <w:rsid w:val="00E75FA0"/>
    <w:rsid w:val="00E764C4"/>
    <w:rsid w:val="00E76D9E"/>
    <w:rsid w:val="00E8357E"/>
    <w:rsid w:val="00E8475B"/>
    <w:rsid w:val="00E86E4E"/>
    <w:rsid w:val="00E94922"/>
    <w:rsid w:val="00E95B16"/>
    <w:rsid w:val="00E96C6B"/>
    <w:rsid w:val="00EA0DC9"/>
    <w:rsid w:val="00EA1410"/>
    <w:rsid w:val="00EA38F6"/>
    <w:rsid w:val="00EA3CD6"/>
    <w:rsid w:val="00EA7D2A"/>
    <w:rsid w:val="00EB0258"/>
    <w:rsid w:val="00EB2D3C"/>
    <w:rsid w:val="00EB430D"/>
    <w:rsid w:val="00EB6FA2"/>
    <w:rsid w:val="00EC1C18"/>
    <w:rsid w:val="00EC2097"/>
    <w:rsid w:val="00EC2336"/>
    <w:rsid w:val="00EC50A9"/>
    <w:rsid w:val="00EC5B3A"/>
    <w:rsid w:val="00EC7D53"/>
    <w:rsid w:val="00ED280E"/>
    <w:rsid w:val="00ED6210"/>
    <w:rsid w:val="00EE0E48"/>
    <w:rsid w:val="00EE18E5"/>
    <w:rsid w:val="00EE6452"/>
    <w:rsid w:val="00EF0432"/>
    <w:rsid w:val="00EF17FD"/>
    <w:rsid w:val="00EF24A6"/>
    <w:rsid w:val="00EF3EE2"/>
    <w:rsid w:val="00EF565C"/>
    <w:rsid w:val="00F00906"/>
    <w:rsid w:val="00F0179F"/>
    <w:rsid w:val="00F02A9D"/>
    <w:rsid w:val="00F02ECB"/>
    <w:rsid w:val="00F136CD"/>
    <w:rsid w:val="00F146B2"/>
    <w:rsid w:val="00F146FD"/>
    <w:rsid w:val="00F268E5"/>
    <w:rsid w:val="00F303B7"/>
    <w:rsid w:val="00F3615E"/>
    <w:rsid w:val="00F3774E"/>
    <w:rsid w:val="00F42FDF"/>
    <w:rsid w:val="00F45AB2"/>
    <w:rsid w:val="00F4726E"/>
    <w:rsid w:val="00F4775D"/>
    <w:rsid w:val="00F522F5"/>
    <w:rsid w:val="00F53C34"/>
    <w:rsid w:val="00F576E9"/>
    <w:rsid w:val="00F647C8"/>
    <w:rsid w:val="00F65873"/>
    <w:rsid w:val="00F67932"/>
    <w:rsid w:val="00F70316"/>
    <w:rsid w:val="00F70488"/>
    <w:rsid w:val="00F72888"/>
    <w:rsid w:val="00F7709F"/>
    <w:rsid w:val="00F77486"/>
    <w:rsid w:val="00F775CC"/>
    <w:rsid w:val="00F8690A"/>
    <w:rsid w:val="00F86946"/>
    <w:rsid w:val="00F8737E"/>
    <w:rsid w:val="00F91C69"/>
    <w:rsid w:val="00FA378C"/>
    <w:rsid w:val="00FA40FA"/>
    <w:rsid w:val="00FA42FC"/>
    <w:rsid w:val="00FA7890"/>
    <w:rsid w:val="00FA78F8"/>
    <w:rsid w:val="00FA7B1A"/>
    <w:rsid w:val="00FB0145"/>
    <w:rsid w:val="00FB5659"/>
    <w:rsid w:val="00FB5B76"/>
    <w:rsid w:val="00FB5CA8"/>
    <w:rsid w:val="00FC1912"/>
    <w:rsid w:val="00FC28B1"/>
    <w:rsid w:val="00FC4D36"/>
    <w:rsid w:val="00FC5CBA"/>
    <w:rsid w:val="00FC7A59"/>
    <w:rsid w:val="00FD0D3D"/>
    <w:rsid w:val="00FD3C60"/>
    <w:rsid w:val="00FD4318"/>
    <w:rsid w:val="00FD4666"/>
    <w:rsid w:val="00FD4AC2"/>
    <w:rsid w:val="00FE076C"/>
    <w:rsid w:val="00FE6F52"/>
    <w:rsid w:val="00FF1246"/>
    <w:rsid w:val="00FF2744"/>
    <w:rsid w:val="00FF286D"/>
    <w:rsid w:val="00FF7C2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165096"/>
    <w:pPr>
      <w:keepNext/>
      <w:keepLines/>
      <w:numPr>
        <w:numId w:val="22"/>
      </w:numPr>
      <w:spacing w:after="240" w:line="240" w:lineRule="auto"/>
      <w:ind w:left="720"/>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925361"/>
    <w:pPr>
      <w:keepNext/>
      <w:keepLines/>
      <w:numPr>
        <w:numId w:val="23"/>
      </w:numPr>
      <w:spacing w:after="240" w:line="240" w:lineRule="auto"/>
      <w:ind w:left="1440" w:hanging="720"/>
      <w:outlineLvl w:val="1"/>
    </w:pPr>
    <w:rPr>
      <w:rFonts w:eastAsiaTheme="majorEastAsia" w:cs="Times New Roman"/>
      <w:b/>
      <w:bCs/>
      <w:iCs/>
      <w:szCs w:val="24"/>
    </w:rPr>
  </w:style>
  <w:style w:type="paragraph" w:styleId="Heading3">
    <w:name w:val="heading 3"/>
    <w:basedOn w:val="Normal"/>
    <w:next w:val="Normal"/>
    <w:link w:val="Heading3Char"/>
    <w:autoRedefine/>
    <w:uiPriority w:val="9"/>
    <w:unhideWhenUsed/>
    <w:qFormat/>
    <w:rsid w:val="00C27A8C"/>
    <w:pPr>
      <w:keepNext/>
      <w:numPr>
        <w:numId w:val="25"/>
      </w:numPr>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7A8C"/>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165096"/>
    <w:rPr>
      <w:rFonts w:ascii="Times New Roman" w:hAnsi="Times New Roman" w:eastAsiaTheme="majorEastAsia" w:cs="Times New Roman"/>
      <w:b/>
      <w:bCs/>
      <w:sz w:val="24"/>
      <w:szCs w:val="24"/>
    </w:rPr>
  </w:style>
  <w:style w:type="character" w:customStyle="1" w:styleId="Heading2Char">
    <w:name w:val="Heading 2 Char"/>
    <w:basedOn w:val="DefaultParagraphFont"/>
    <w:link w:val="Heading2"/>
    <w:uiPriority w:val="9"/>
    <w:rsid w:val="00925361"/>
    <w:rPr>
      <w:rFonts w:ascii="Times New Roman" w:hAnsi="Times New Roman" w:eastAsiaTheme="majorEastAsia" w:cs="Times New Roman"/>
      <w:b/>
      <w:bCs/>
      <w:i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uiPriority w:val="99"/>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A96734"/>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CE4BF1"/>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rsid w:val="00CD60C4"/>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 w:type="paragraph" w:styleId="NormalWeb">
    <w:name w:val="Normal (Web)"/>
    <w:basedOn w:val="Normal"/>
    <w:uiPriority w:val="99"/>
    <w:semiHidden/>
    <w:unhideWhenUsed/>
    <w:rsid w:val="00796DFB"/>
    <w:rPr>
      <w:rFonts w:cs="Times New Roman"/>
      <w:szCs w:val="24"/>
    </w:rPr>
  </w:style>
  <w:style w:type="character" w:customStyle="1" w:styleId="StyleCourier12pt">
    <w:name w:val="Style Courier 12 pt"/>
    <w:rsid w:val="002B4A98"/>
    <w:rPr>
      <w:rFonts w:ascii="Courier" w:hAnsi="Courier"/>
      <w:sz w:val="24"/>
    </w:rPr>
  </w:style>
  <w:style w:type="character" w:customStyle="1" w:styleId="UnresolvedMention2">
    <w:name w:val="Unresolved Mention2"/>
    <w:basedOn w:val="DefaultParagraphFont"/>
    <w:uiPriority w:val="99"/>
    <w:rsid w:val="002938B2"/>
    <w:rPr>
      <w:color w:val="605E5C"/>
      <w:shd w:val="clear" w:color="auto" w:fill="E1DFDD"/>
    </w:rPr>
  </w:style>
  <w:style w:type="paragraph" w:styleId="Title">
    <w:name w:val="Title"/>
    <w:basedOn w:val="Normal"/>
    <w:link w:val="TitleChar"/>
    <w:qFormat/>
    <w:rsid w:val="00496468"/>
    <w:pPr>
      <w:spacing w:after="0" w:line="240" w:lineRule="auto"/>
      <w:jc w:val="center"/>
    </w:pPr>
    <w:rPr>
      <w:rFonts w:eastAsia="Times New Roman" w:cs="Times New Roman"/>
      <w:b/>
      <w:sz w:val="22"/>
      <w:szCs w:val="20"/>
    </w:rPr>
  </w:style>
  <w:style w:type="character" w:customStyle="1" w:styleId="TitleChar">
    <w:name w:val="Title Char"/>
    <w:basedOn w:val="DefaultParagraphFont"/>
    <w:link w:val="Title"/>
    <w:rsid w:val="00496468"/>
    <w:rPr>
      <w:rFonts w:ascii="Times New Roman" w:eastAsia="Times New Roman" w:hAnsi="Times New Roman" w:cs="Times New Roman"/>
      <w:b/>
      <w:szCs w:val="20"/>
    </w:rPr>
  </w:style>
  <w:style w:type="paragraph" w:customStyle="1" w:styleId="pf0">
    <w:name w:val="pf0"/>
    <w:basedOn w:val="Normal"/>
    <w:rsid w:val="00DA040E"/>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A040E"/>
    <w:rPr>
      <w:rFonts w:ascii="Segoe UI" w:hAnsi="Segoe UI" w:cs="Segoe UI" w:hint="default"/>
      <w:sz w:val="18"/>
      <w:szCs w:val="18"/>
    </w:rPr>
  </w:style>
  <w:style w:type="character" w:customStyle="1" w:styleId="UnresolvedMention">
    <w:name w:val="Unresolved Mention"/>
    <w:basedOn w:val="DefaultParagraphFont"/>
    <w:uiPriority w:val="99"/>
    <w:rsid w:val="0037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werner.margard@OhioAGO.gov" TargetMode="External" /><Relationship Id="rId12" Type="http://schemas.openxmlformats.org/officeDocument/2006/relationships/hyperlink" Target="mailto:mjsettineri@vorys.com" TargetMode="External" /><Relationship Id="rId13" Type="http://schemas.openxmlformats.org/officeDocument/2006/relationships/hyperlink" Target="mailto:glpetrucci@vorys.com" TargetMode="External" /><Relationship Id="rId14" Type="http://schemas.openxmlformats.org/officeDocument/2006/relationships/hyperlink" Target="mailto:michael.nugent@igs.com" TargetMode="External" /><Relationship Id="rId15" Type="http://schemas.openxmlformats.org/officeDocument/2006/relationships/hyperlink" Target="mailto:evan.betterton@igs.com" TargetMode="External" /><Relationship Id="rId16" Type="http://schemas.openxmlformats.org/officeDocument/2006/relationships/hyperlink" Target="mailto:joe.oliker@igs.com" TargetMode="External" /><Relationship Id="rId17" Type="http://schemas.openxmlformats.org/officeDocument/2006/relationships/hyperlink" Target="mailto:rdove@keglerbrown.com" TargetMode="External" /><Relationship Id="rId18" Type="http://schemas.openxmlformats.org/officeDocument/2006/relationships/hyperlink" Target="mailto:jweber@elpc.org" TargetMode="External" /><Relationship Id="rId19" Type="http://schemas.openxmlformats.org/officeDocument/2006/relationships/hyperlink" Target="mailto:mpritchard@mcneeslaw.com" TargetMode="External" /><Relationship Id="rId2" Type="http://schemas.openxmlformats.org/officeDocument/2006/relationships/settings" Target="settings.xml" /><Relationship Id="rId20" Type="http://schemas.openxmlformats.org/officeDocument/2006/relationships/hyperlink" Target="mailto:jacqueline.st.john@puco.ohio.gov" TargetMode="External" /><Relationship Id="rId21" Type="http://schemas.openxmlformats.org/officeDocument/2006/relationships/hyperlink" Target="mailto:gregory.price@puco.ohio.gov" TargetMode="External" /><Relationship Id="rId22" Type="http://schemas.openxmlformats.org/officeDocument/2006/relationships/hyperlink" Target="mailto:mkurtz@bkllawfirm.com" TargetMode="External" /><Relationship Id="rId23" Type="http://schemas.openxmlformats.org/officeDocument/2006/relationships/hyperlink" Target="mailto:kboehm@bkllawfirm.com" TargetMode="External" /><Relationship Id="rId24" Type="http://schemas.openxmlformats.org/officeDocument/2006/relationships/hyperlink" Target="mailto:jkylercohn@bkllawfirm.com" TargetMode="External" /><Relationship Id="rId25" Type="http://schemas.openxmlformats.org/officeDocument/2006/relationships/hyperlink" Target="mailto:josephclark@nisource.com" TargetMode="External" /><Relationship Id="rId26" Type="http://schemas.openxmlformats.org/officeDocument/2006/relationships/hyperlink" Target="mailto:mlthompson@nisource.com" TargetMode="External" /><Relationship Id="rId27" Type="http://schemas.openxmlformats.org/officeDocument/2006/relationships/hyperlink" Target="mailto:johnryan@nisource.com" TargetMode="External" /><Relationship Id="rId28" Type="http://schemas.openxmlformats.org/officeDocument/2006/relationships/hyperlink" Target="mailto:egallon@porterwright.com" TargetMode="External" /><Relationship Id="rId29" Type="http://schemas.openxmlformats.org/officeDocument/2006/relationships/hyperlink" Target="mailto:mstemm@porterwright.com" TargetMode="External" /><Relationship Id="rId3" Type="http://schemas.openxmlformats.org/officeDocument/2006/relationships/webSettings" Target="webSettings.xml" /><Relationship Id="rId30" Type="http://schemas.openxmlformats.org/officeDocument/2006/relationships/hyperlink" Target="mailto:bhughes@porterwright.com" TargetMode="External" /><Relationship Id="rId31" Type="http://schemas.openxmlformats.org/officeDocument/2006/relationships/hyperlink" Target="mailto:dflahive@porterwright.com" TargetMode="External" /><Relationship Id="rId32" Type="http://schemas.openxmlformats.org/officeDocument/2006/relationships/hyperlink" Target="mailto:dparram@bricker.com" TargetMode="External" /><Relationship Id="rId33" Type="http://schemas.openxmlformats.org/officeDocument/2006/relationships/hyperlink" Target="mailto:gkrassen@nopec.org" TargetMode="External" /><Relationship Id="rId34" Type="http://schemas.openxmlformats.org/officeDocument/2006/relationships/hyperlink" Target="mailto:dstinson@bricker.com" TargetMode="External" /><Relationship Id="rId35" Type="http://schemas.openxmlformats.org/officeDocument/2006/relationships/hyperlink" Target="mailto:bojko@carpenterlipps.com" TargetMode="External" /><Relationship Id="rId36" Type="http://schemas.openxmlformats.org/officeDocument/2006/relationships/hyperlink" Target="mailto:paul@carpenterlipps.com" TargetMode="External" /><Relationship Id="rId37" Type="http://schemas.openxmlformats.org/officeDocument/2006/relationships/hyperlink" Target="mailto:wygonski@carpenterlipps.com" TargetMode="External" /><Relationship Id="rId38" Type="http://schemas.openxmlformats.org/officeDocument/2006/relationships/hyperlink" Target="mailto:trent@hubaydougherty.com" TargetMode="External" /><Relationship Id="rId39" Type="http://schemas.openxmlformats.org/officeDocument/2006/relationships/footer" Target="footer4.xml" /><Relationship Id="rId4" Type="http://schemas.openxmlformats.org/officeDocument/2006/relationships/fontTable" Target="fontTable.xml" /><Relationship Id="rId40" Type="http://schemas.openxmlformats.org/officeDocument/2006/relationships/theme" Target="theme/theme1.xml" /><Relationship Id="rId41" Type="http://schemas.openxmlformats.org/officeDocument/2006/relationships/numbering" Target="numbering.xml" /><Relationship Id="rId42"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5F60-4AE1-4665-B0F5-599F4E5E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7610</Words>
  <Characters>43379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2022-12-27T21:24:40Z</dcterms:created>
  <dcterms:modified xsi:type="dcterms:W3CDTF">2022-12-27T21:24:40Z</dcterms:modified>
</cp:coreProperties>
</file>