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425198" w:rsidRPr="00406576">
        <w:rPr>
          <w:spacing w:val="-3"/>
        </w:rPr>
        <w:t>.00</w:t>
      </w:r>
      <w:r w:rsidR="00F067B3" w:rsidRPr="00406576">
        <w:rPr>
          <w:spacing w:val="-3"/>
        </w:rPr>
        <w:t>6</w:t>
      </w:r>
      <w:r w:rsidR="00467DFB">
        <w:rPr>
          <w:spacing w:val="-3"/>
        </w:rPr>
        <w:t>4</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236813">
        <w:rPr>
          <w:spacing w:val="-3"/>
        </w:rPr>
        <w:t>101</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60CC6" w:rsidRPr="00406576">
        <w:rPr>
          <w:spacing w:val="-3"/>
        </w:rPr>
        <w:t>01</w:t>
      </w:r>
      <w:r w:rsidR="00467DFB">
        <w:rPr>
          <w:spacing w:val="-3"/>
        </w:rPr>
        <w:t>38</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26A8A" w:rsidRPr="00406576">
        <w:rPr>
          <w:spacing w:val="-3"/>
        </w:rPr>
        <w:t>01</w:t>
      </w:r>
      <w:r w:rsidR="00992D0D">
        <w:rPr>
          <w:spacing w:val="-3"/>
        </w:rPr>
        <w:t>74</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992D0D">
            <w:rPr>
              <w:sz w:val="16"/>
            </w:rPr>
            <w:t>August</w:t>
          </w:r>
          <w:r w:rsidR="00236813">
            <w:rPr>
              <w:sz w:val="16"/>
            </w:rPr>
            <w:t xml:space="preserve"> 27</w:t>
          </w:r>
          <w:r w:rsidR="00467DFB">
            <w:rPr>
              <w:sz w:val="16"/>
            </w:rPr>
            <w:t>, 2020</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992D0D" w:rsidP="002C7958">
          <w:pPr>
            <w:pStyle w:val="Footer"/>
            <w:ind w:left="1602" w:right="-90"/>
            <w:jc w:val="right"/>
            <w:rPr>
              <w:sz w:val="16"/>
            </w:rPr>
          </w:pPr>
          <w:r>
            <w:rPr>
              <w:sz w:val="16"/>
            </w:rPr>
            <w:t>August</w:t>
          </w:r>
          <w:r w:rsidR="00D521B4">
            <w:rPr>
              <w:sz w:val="16"/>
            </w:rPr>
            <w:t xml:space="preserve"> </w:t>
          </w:r>
          <w:r>
            <w:rPr>
              <w:sz w:val="16"/>
            </w:rPr>
            <w:t>27</w:t>
          </w:r>
          <w:r w:rsidR="00467DFB">
            <w:rPr>
              <w:sz w:val="16"/>
            </w:rPr>
            <w:t>, 2020</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992D0D">
    <w:pPr>
      <w:pStyle w:val="Footer"/>
      <w:jc w:val="center"/>
      <w:rPr>
        <w:sz w:val="16"/>
      </w:rPr>
    </w:pPr>
    <w:r>
      <w:rPr>
        <w:sz w:val="16"/>
      </w:rPr>
      <w:t>Vincent</w:t>
    </w:r>
    <w:r w:rsidR="00BC0E9E">
      <w:rPr>
        <w:sz w:val="16"/>
      </w:rPr>
      <w:t xml:space="preserve"> A. </w:t>
    </w:r>
    <w:r>
      <w:rPr>
        <w:sz w:val="16"/>
      </w:rPr>
      <w:t>Parisi</w:t>
    </w:r>
    <w:bookmarkStart w:id="0" w:name="_GoBack"/>
    <w:bookmarkEnd w:id="0"/>
    <w:r w:rsidR="00BC0E9E">
      <w:rPr>
        <w:sz w:val="16"/>
      </w:rPr>
      <w:t>,</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992D0D" w:rsidP="00765B09">
    <w:pPr>
      <w:pStyle w:val="Header"/>
      <w:jc w:val="right"/>
      <w:rPr>
        <w:b/>
        <w:sz w:val="22"/>
      </w:rPr>
    </w:pPr>
    <w:r>
      <w:rPr>
        <w:b/>
        <w:sz w:val="22"/>
      </w:rPr>
      <w:t>Eighty-Fourth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992D0D">
      <w:rPr>
        <w:b/>
        <w:sz w:val="22"/>
      </w:rPr>
      <w:t>Eighty-Third</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86F22"/>
    <w:rsid w:val="00B974A1"/>
    <w:rsid w:val="00BB5E30"/>
    <w:rsid w:val="00BC0E9E"/>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A2E20"/>
    <w:rsid w:val="00CC34A8"/>
    <w:rsid w:val="00CE66FC"/>
    <w:rsid w:val="00CF24EF"/>
    <w:rsid w:val="00CF7FD4"/>
    <w:rsid w:val="00D16A78"/>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3</cp:revision>
  <cp:lastPrinted>2011-08-03T19:46:00Z</cp:lastPrinted>
  <dcterms:created xsi:type="dcterms:W3CDTF">2020-08-27T00:50:00Z</dcterms:created>
  <dcterms:modified xsi:type="dcterms:W3CDTF">2020-08-27T00:53:00Z</dcterms:modified>
</cp:coreProperties>
</file>