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4F5BF6" w:rsidRPr="00335CE6" w:rsidP="004F5BF6" w14:paraId="65ED58A5" w14:textId="77777777">
      <w:pPr>
        <w:pStyle w:val="HTMLPreformatted"/>
        <w:jc w:val="center"/>
        <w:rPr>
          <w:rFonts w:ascii="Times New Roman" w:hAnsi="Times New Roman" w:cs="Times New Roman"/>
          <w:b/>
          <w:bCs/>
          <w:sz w:val="24"/>
          <w:szCs w:val="24"/>
        </w:rPr>
      </w:pPr>
      <w:bookmarkStart w:id="0" w:name="_GoBack"/>
      <w:bookmarkEnd w:id="0"/>
      <w:r w:rsidRPr="00335CE6">
        <w:rPr>
          <w:rFonts w:ascii="Times New Roman" w:hAnsi="Times New Roman" w:cs="Times New Roman"/>
          <w:b/>
          <w:bCs/>
          <w:sz w:val="24"/>
          <w:szCs w:val="24"/>
        </w:rPr>
        <w:t>BEFORE</w:t>
      </w:r>
    </w:p>
    <w:p w:rsidR="004F5BF6" w:rsidRPr="00335CE6" w:rsidP="004F5BF6" w14:paraId="5D6E9299" w14:textId="77777777">
      <w:pPr>
        <w:pStyle w:val="HTMLPreformatted"/>
        <w:jc w:val="center"/>
        <w:rPr>
          <w:rFonts w:ascii="Times New Roman" w:hAnsi="Times New Roman" w:cs="Times New Roman"/>
          <w:b/>
          <w:bCs/>
          <w:sz w:val="24"/>
          <w:szCs w:val="24"/>
        </w:rPr>
      </w:pPr>
      <w:r w:rsidRPr="00335CE6">
        <w:rPr>
          <w:rFonts w:ascii="Times New Roman" w:hAnsi="Times New Roman" w:cs="Times New Roman"/>
          <w:b/>
          <w:bCs/>
          <w:sz w:val="24"/>
          <w:szCs w:val="24"/>
        </w:rPr>
        <w:t>THE PUBLIC UTILITIES COMMISSION OF OHIO</w:t>
      </w:r>
    </w:p>
    <w:p w:rsidR="004F5BF6" w:rsidRPr="00335CE6" w:rsidP="004F5BF6" w14:paraId="75FADD8E" w14:textId="77777777">
      <w:pPr>
        <w:pStyle w:val="HTMLPreformatted"/>
        <w:jc w:val="center"/>
        <w:rPr>
          <w:rFonts w:ascii="Times New Roman" w:hAnsi="Times New Roman" w:cs="Times New Roman"/>
          <w:b/>
          <w:bCs/>
          <w:sz w:val="24"/>
          <w:szCs w:val="24"/>
        </w:rPr>
      </w:pPr>
    </w:p>
    <w:tbl>
      <w:tblPr>
        <w:tblW w:w="9366" w:type="dxa"/>
        <w:tblInd w:w="-106" w:type="dxa"/>
        <w:tblCellMar>
          <w:top w:w="0" w:type="dxa"/>
          <w:left w:w="108" w:type="dxa"/>
          <w:bottom w:w="0" w:type="dxa"/>
          <w:right w:w="108" w:type="dxa"/>
        </w:tblCellMar>
        <w:tblLook w:val="01E0"/>
      </w:tblPr>
      <w:tblGrid>
        <w:gridCol w:w="4606"/>
        <w:gridCol w:w="360"/>
        <w:gridCol w:w="4400"/>
      </w:tblGrid>
      <w:tr w14:paraId="5D1F7E84" w14:textId="77777777" w:rsidTr="004F5BF6">
        <w:tblPrEx>
          <w:tblW w:w="9366" w:type="dxa"/>
          <w:tblInd w:w="-106" w:type="dxa"/>
          <w:tblCellMar>
            <w:top w:w="0" w:type="dxa"/>
            <w:left w:w="108" w:type="dxa"/>
            <w:bottom w:w="0" w:type="dxa"/>
            <w:right w:w="108" w:type="dxa"/>
          </w:tblCellMar>
          <w:tblLook w:val="01E0"/>
        </w:tblPrEx>
        <w:trPr>
          <w:trHeight w:val="807"/>
        </w:trPr>
        <w:tc>
          <w:tcPr>
            <w:tcW w:w="4606" w:type="dxa"/>
          </w:tcPr>
          <w:p w:rsidR="004F5BF6" w:rsidRPr="00335CE6" w:rsidP="004F5BF6" w14:paraId="341298F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 xml:space="preserve">In the Matter of the Application of </w:t>
            </w:r>
          </w:p>
          <w:p w:rsidR="004F5BF6" w:rsidRPr="00335CE6" w:rsidP="004F5BF6" w14:paraId="4882B8F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the Dayton Power and Light Company for</w:t>
            </w:r>
          </w:p>
          <w:p w:rsidR="004F5BF6" w:rsidRPr="00335CE6" w:rsidP="004F5BF6" w14:paraId="59FE738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Approval of its Electric Security Plan.</w:t>
            </w:r>
          </w:p>
          <w:p w:rsidR="004F5BF6" w:rsidRPr="00335CE6" w:rsidP="004F5BF6" w14:paraId="11A405A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F5BF6" w:rsidRPr="00335CE6" w:rsidP="004F5BF6" w14:paraId="5C797CD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In the Matter of the Application of the Dayton Power and Light Company for Approval of Revised Tariffs.</w:t>
            </w:r>
          </w:p>
          <w:p w:rsidR="004F5BF6" w:rsidRPr="00335CE6" w:rsidP="004F5BF6" w14:paraId="3BB6D4D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F5BF6" w:rsidRPr="00335CE6" w:rsidP="004F5BF6" w14:paraId="700F1C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In the Matter of the Application of the Dayton Power and Light Company for Approval of Certain Accounting Authority Pursuant to Ohio Rev. Code § 4905.13.</w:t>
            </w:r>
          </w:p>
        </w:tc>
        <w:tc>
          <w:tcPr>
            <w:tcW w:w="360" w:type="dxa"/>
            <w:hideMark/>
          </w:tcPr>
          <w:p w:rsidR="004F5BF6" w:rsidRPr="00335CE6" w:rsidP="004F5BF6" w14:paraId="0ED1049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03AA1B8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2FEDE70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54C3BB3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73F34E5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5810E2A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1AD4F1E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7651B3D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376E09E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137F2DC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110AED2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4F5BF6" w:rsidRPr="00335CE6" w:rsidP="004F5BF6" w14:paraId="6B37BE5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tc>
        <w:tc>
          <w:tcPr>
            <w:tcW w:w="4400" w:type="dxa"/>
          </w:tcPr>
          <w:p w:rsidR="004F5BF6" w:rsidRPr="00335CE6" w:rsidP="004F5BF6" w14:paraId="548CED2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F5BF6" w:rsidRPr="00335CE6" w:rsidP="004F5BF6" w14:paraId="3D731F8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Case No. 16-0395-EL-SSO</w:t>
            </w:r>
          </w:p>
          <w:p w:rsidR="004F5BF6" w:rsidRPr="00335CE6" w:rsidP="004F5BF6" w14:paraId="048D4B8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F5BF6" w:rsidRPr="00335CE6" w:rsidP="004F5BF6" w14:paraId="3B97001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F5BF6" w:rsidRPr="00335CE6" w:rsidP="004F5BF6" w14:paraId="2AEC275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F5BF6" w:rsidRPr="00335CE6" w:rsidP="004F5BF6" w14:paraId="40AED18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Case No. 16-0396-EL-ATA</w:t>
            </w:r>
          </w:p>
          <w:p w:rsidR="004F5BF6" w:rsidRPr="00335CE6" w:rsidP="004F5BF6" w14:paraId="0DAA2C5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F5BF6" w:rsidRPr="00335CE6" w:rsidP="004F5BF6" w14:paraId="547329A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F5BF6" w:rsidRPr="00335CE6" w:rsidP="004F5BF6" w14:paraId="611263D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F5BF6" w:rsidRPr="00335CE6" w:rsidP="004F5BF6" w14:paraId="198CACA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Case No. 16-0397-EL-AAM</w:t>
            </w:r>
          </w:p>
          <w:p w:rsidR="004F5BF6" w:rsidRPr="00335CE6" w:rsidP="004F5BF6" w14:paraId="44C79CE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F5BF6" w:rsidRPr="00335CE6" w:rsidP="004F5BF6" w14:paraId="38DBA39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4F5BF6" w:rsidRPr="00335CE6" w:rsidP="004F5BF6" w14:paraId="1C4583AB" w14:textId="77777777">
      <w:pPr>
        <w:pStyle w:val="HTMLPreformatted"/>
        <w:pBdr>
          <w:bottom w:val="single" w:sz="12" w:space="1" w:color="auto"/>
        </w:pBdr>
        <w:rPr>
          <w:rFonts w:ascii="Times New Roman" w:hAnsi="Times New Roman" w:cs="Times New Roman"/>
          <w:b/>
          <w:bCs/>
          <w:sz w:val="24"/>
          <w:szCs w:val="24"/>
        </w:rPr>
      </w:pPr>
    </w:p>
    <w:p w:rsidR="004F5BF6" w:rsidRPr="00335CE6" w:rsidP="004F5BF6" w14:paraId="31D8F84F" w14:textId="77777777">
      <w:pPr>
        <w:pStyle w:val="HTMLPreformatted"/>
        <w:rPr>
          <w:rFonts w:ascii="Times New Roman" w:hAnsi="Times New Roman" w:cs="Times New Roman"/>
          <w:b/>
          <w:bCs/>
          <w:i/>
          <w:sz w:val="24"/>
          <w:szCs w:val="24"/>
        </w:rPr>
      </w:pPr>
    </w:p>
    <w:p w:rsidR="00A970EA" w:rsidRPr="00335CE6" w:rsidP="00A970EA" w14:paraId="0545AE31" w14:textId="211DF720">
      <w:pPr>
        <w:spacing w:line="240" w:lineRule="auto"/>
        <w:jc w:val="center"/>
        <w:rPr>
          <w:rFonts w:cs="Times New Roman"/>
          <w:b/>
          <w:bCs/>
          <w:szCs w:val="24"/>
        </w:rPr>
      </w:pPr>
      <w:r w:rsidRPr="00335CE6">
        <w:rPr>
          <w:rFonts w:cs="Times New Roman"/>
          <w:b/>
          <w:bCs/>
          <w:szCs w:val="24"/>
        </w:rPr>
        <w:t>MEMORANDUM CONTRA DAYTON POWER AND LIGHT COMPANY</w:t>
      </w:r>
      <w:r w:rsidR="00484B1D">
        <w:rPr>
          <w:rFonts w:cs="Times New Roman"/>
          <w:b/>
          <w:bCs/>
          <w:szCs w:val="24"/>
        </w:rPr>
        <w:t>’</w:t>
      </w:r>
      <w:r w:rsidRPr="00335CE6">
        <w:rPr>
          <w:rFonts w:cs="Times New Roman"/>
          <w:b/>
          <w:bCs/>
          <w:szCs w:val="24"/>
        </w:rPr>
        <w:t>S MOTION TO STRIKE SUPPLEMENTAL BRIEFS</w:t>
      </w:r>
    </w:p>
    <w:p w:rsidR="004F5BF6" w:rsidRPr="00335CE6" w:rsidP="004F5BF6" w14:paraId="77D465FE" w14:textId="1E95A095">
      <w:pPr>
        <w:pStyle w:val="HTMLPreformatted"/>
        <w:pBdr>
          <w:bottom w:val="single" w:sz="12" w:space="1" w:color="auto"/>
        </w:pBdr>
        <w:jc w:val="center"/>
        <w:rPr>
          <w:rFonts w:ascii="Times New Roman" w:hAnsi="Times New Roman" w:cs="Times New Roman"/>
          <w:b/>
          <w:bCs/>
          <w:sz w:val="24"/>
          <w:szCs w:val="24"/>
        </w:rPr>
      </w:pPr>
      <w:r w:rsidRPr="00335CE6">
        <w:rPr>
          <w:rFonts w:ascii="Times New Roman" w:hAnsi="Times New Roman" w:cs="Times New Roman"/>
          <w:b/>
          <w:bCs/>
          <w:sz w:val="24"/>
          <w:szCs w:val="24"/>
        </w:rPr>
        <w:t xml:space="preserve">BY </w:t>
      </w:r>
    </w:p>
    <w:p w:rsidR="004F5BF6" w:rsidRPr="00335CE6" w:rsidP="004F5BF6" w14:paraId="2A59ADB2" w14:textId="7227C91D">
      <w:pPr>
        <w:pStyle w:val="HTMLPreformatted"/>
        <w:pBdr>
          <w:bottom w:val="single" w:sz="12" w:space="1" w:color="auto"/>
        </w:pBdr>
        <w:jc w:val="center"/>
        <w:rPr>
          <w:rFonts w:ascii="Times New Roman" w:hAnsi="Times New Roman" w:cs="Times New Roman"/>
          <w:b/>
          <w:bCs/>
          <w:sz w:val="24"/>
          <w:szCs w:val="24"/>
        </w:rPr>
      </w:pPr>
      <w:r w:rsidRPr="00335CE6">
        <w:rPr>
          <w:rFonts w:ascii="Times New Roman" w:hAnsi="Times New Roman" w:cs="Times New Roman"/>
          <w:b/>
          <w:bCs/>
          <w:sz w:val="24"/>
          <w:szCs w:val="24"/>
        </w:rPr>
        <w:t>THE OFFICE OF THE OHIO CONSUMERS</w:t>
      </w:r>
      <w:r w:rsidR="00484B1D">
        <w:rPr>
          <w:rFonts w:ascii="Times New Roman" w:hAnsi="Times New Roman" w:cs="Times New Roman"/>
          <w:b/>
          <w:bCs/>
          <w:sz w:val="24"/>
          <w:szCs w:val="24"/>
        </w:rPr>
        <w:t>’</w:t>
      </w:r>
      <w:r w:rsidRPr="00335CE6">
        <w:rPr>
          <w:rFonts w:ascii="Times New Roman" w:hAnsi="Times New Roman" w:cs="Times New Roman"/>
          <w:b/>
          <w:bCs/>
          <w:sz w:val="24"/>
          <w:szCs w:val="24"/>
        </w:rPr>
        <w:t xml:space="preserve"> COUNSEL</w:t>
      </w:r>
    </w:p>
    <w:p w:rsidR="004F5BF6" w:rsidRPr="00335CE6" w:rsidP="004F5BF6" w14:paraId="4D695935" w14:textId="77777777">
      <w:pPr>
        <w:pStyle w:val="HTMLPreformatted"/>
        <w:pBdr>
          <w:bottom w:val="single" w:sz="12" w:space="1" w:color="auto"/>
        </w:pBdr>
        <w:rPr>
          <w:rFonts w:ascii="Times New Roman" w:hAnsi="Times New Roman" w:cs="Times New Roman"/>
          <w:b/>
          <w:bCs/>
          <w:sz w:val="24"/>
          <w:szCs w:val="24"/>
        </w:rPr>
      </w:pPr>
    </w:p>
    <w:p w:rsidR="004F5BF6" w:rsidRPr="00335CE6" w:rsidP="004F5BF6" w14:paraId="5D903466" w14:textId="77777777">
      <w:pPr>
        <w:spacing w:line="240" w:lineRule="auto"/>
        <w:rPr>
          <w:rFonts w:cs="Times New Roman"/>
          <w:szCs w:val="24"/>
        </w:rPr>
      </w:pPr>
    </w:p>
    <w:p w:rsidR="004F5BF6" w:rsidRPr="00335CE6" w:rsidP="004F5BF6" w14:paraId="00370759" w14:textId="77777777">
      <w:pPr>
        <w:pStyle w:val="HTMLPreformatted"/>
        <w:jc w:val="center"/>
        <w:rPr>
          <w:rFonts w:ascii="Times New Roman" w:hAnsi="Times New Roman" w:cs="Times New Roman"/>
          <w:b/>
          <w:bCs/>
          <w:sz w:val="24"/>
          <w:szCs w:val="24"/>
        </w:rPr>
      </w:pPr>
    </w:p>
    <w:p w:rsidR="004F5BF6" w:rsidRPr="00335CE6" w:rsidP="004F5BF6" w14:paraId="5A219016" w14:textId="77777777">
      <w:pPr>
        <w:pStyle w:val="HTMLPreformatted"/>
        <w:jc w:val="center"/>
        <w:rPr>
          <w:rFonts w:ascii="Times New Roman" w:hAnsi="Times New Roman" w:cs="Times New Roman"/>
          <w:b/>
          <w:bCs/>
          <w:sz w:val="24"/>
          <w:szCs w:val="24"/>
        </w:rPr>
      </w:pPr>
    </w:p>
    <w:p w:rsidR="004F5BF6" w:rsidRPr="00335CE6" w:rsidP="004F5BF6" w14:paraId="54A18305" w14:textId="77777777">
      <w:pPr>
        <w:tabs>
          <w:tab w:val="left" w:pos="4320"/>
        </w:tabs>
        <w:overflowPunct w:val="0"/>
        <w:autoSpaceDE w:val="0"/>
        <w:autoSpaceDN w:val="0"/>
        <w:adjustRightInd w:val="0"/>
        <w:spacing w:line="240" w:lineRule="auto"/>
        <w:ind w:left="4320"/>
        <w:textAlignment w:val="baseline"/>
        <w:rPr>
          <w:rFonts w:eastAsia="Times New Roman" w:cs="Times New Roman"/>
          <w:szCs w:val="24"/>
        </w:rPr>
      </w:pPr>
    </w:p>
    <w:p w:rsidR="004F5BF6" w:rsidRPr="00335CE6" w:rsidP="004F5BF6" w14:paraId="532C35AD" w14:textId="77777777">
      <w:pPr>
        <w:tabs>
          <w:tab w:val="left" w:pos="4320"/>
        </w:tabs>
        <w:overflowPunct w:val="0"/>
        <w:autoSpaceDE w:val="0"/>
        <w:autoSpaceDN w:val="0"/>
        <w:adjustRightInd w:val="0"/>
        <w:spacing w:line="240" w:lineRule="auto"/>
        <w:ind w:left="4320"/>
        <w:textAlignment w:val="baseline"/>
        <w:rPr>
          <w:rFonts w:eastAsia="Times New Roman" w:cs="Times New Roman"/>
          <w:szCs w:val="24"/>
        </w:rPr>
      </w:pPr>
    </w:p>
    <w:p w:rsidR="004F5BF6" w:rsidRPr="00335CE6" w:rsidP="004F5BF6" w14:paraId="62140609" w14:textId="77777777">
      <w:pPr>
        <w:tabs>
          <w:tab w:val="left" w:pos="4320"/>
        </w:tabs>
        <w:overflowPunct w:val="0"/>
        <w:autoSpaceDE w:val="0"/>
        <w:autoSpaceDN w:val="0"/>
        <w:adjustRightInd w:val="0"/>
        <w:spacing w:line="240" w:lineRule="auto"/>
        <w:ind w:left="4320"/>
        <w:textAlignment w:val="baseline"/>
        <w:rPr>
          <w:rFonts w:eastAsia="Times New Roman" w:cs="Times New Roman"/>
          <w:szCs w:val="24"/>
        </w:rPr>
      </w:pPr>
      <w:r w:rsidRPr="00335CE6">
        <w:rPr>
          <w:rFonts w:eastAsia="Times New Roman" w:cs="Times New Roman"/>
          <w:szCs w:val="24"/>
        </w:rPr>
        <w:t>Bruce Weston (0016973)</w:t>
      </w:r>
    </w:p>
    <w:p w:rsidR="004F5BF6" w:rsidRPr="00335CE6" w:rsidP="004F5BF6" w14:paraId="35387F75" w14:textId="7B16AE2E">
      <w:pPr>
        <w:tabs>
          <w:tab w:val="left" w:pos="4320"/>
        </w:tabs>
        <w:spacing w:line="240" w:lineRule="auto"/>
        <w:ind w:left="4320"/>
        <w:rPr>
          <w:rFonts w:eastAsia="Times New Roman" w:cs="Times New Roman"/>
          <w:szCs w:val="24"/>
        </w:rPr>
      </w:pPr>
      <w:r w:rsidRPr="00335CE6">
        <w:rPr>
          <w:rFonts w:eastAsia="Times New Roman" w:cs="Times New Roman"/>
          <w:szCs w:val="24"/>
        </w:rPr>
        <w:t>Ohio Consumers</w:t>
      </w:r>
      <w:r w:rsidR="00484B1D">
        <w:rPr>
          <w:rFonts w:eastAsia="Times New Roman" w:cs="Times New Roman"/>
          <w:szCs w:val="24"/>
        </w:rPr>
        <w:t>’</w:t>
      </w:r>
      <w:r w:rsidRPr="00335CE6">
        <w:rPr>
          <w:rFonts w:eastAsia="Times New Roman" w:cs="Times New Roman"/>
          <w:szCs w:val="24"/>
        </w:rPr>
        <w:t xml:space="preserve"> Counsel</w:t>
      </w:r>
    </w:p>
    <w:p w:rsidR="004F5BF6" w:rsidRPr="00335CE6" w:rsidP="004F5BF6" w14:paraId="537E6C77" w14:textId="77777777">
      <w:pPr>
        <w:tabs>
          <w:tab w:val="left" w:pos="4320"/>
        </w:tabs>
        <w:spacing w:line="240" w:lineRule="auto"/>
        <w:ind w:left="4320"/>
        <w:rPr>
          <w:rFonts w:eastAsia="Times New Roman" w:cs="Times New Roman"/>
          <w:szCs w:val="24"/>
        </w:rPr>
      </w:pPr>
      <w:r w:rsidRPr="00335CE6">
        <w:rPr>
          <w:rFonts w:eastAsia="Times New Roman" w:cs="Times New Roman"/>
          <w:szCs w:val="24"/>
        </w:rPr>
        <w:tab/>
      </w:r>
    </w:p>
    <w:p w:rsidR="004F5BF6" w:rsidRPr="00335CE6" w:rsidP="004F5BF6" w14:paraId="3413FD94" w14:textId="1C1B51F3">
      <w:pPr>
        <w:tabs>
          <w:tab w:val="left" w:pos="4320"/>
        </w:tabs>
        <w:spacing w:line="240" w:lineRule="auto"/>
        <w:ind w:left="4320"/>
        <w:rPr>
          <w:rFonts w:eastAsia="Times New Roman" w:cs="Times New Roman"/>
          <w:szCs w:val="24"/>
        </w:rPr>
      </w:pPr>
      <w:r w:rsidRPr="00335CE6">
        <w:rPr>
          <w:rFonts w:eastAsia="Times New Roman" w:cs="Times New Roman"/>
          <w:szCs w:val="24"/>
        </w:rPr>
        <w:t>William J. Michael (0070921)</w:t>
      </w:r>
    </w:p>
    <w:p w:rsidR="004F5BF6" w:rsidRPr="00335CE6" w:rsidP="004F5BF6" w14:paraId="7DF3E344" w14:textId="77777777">
      <w:pPr>
        <w:tabs>
          <w:tab w:val="left" w:pos="4320"/>
        </w:tabs>
        <w:spacing w:line="240" w:lineRule="auto"/>
        <w:ind w:left="4320"/>
        <w:rPr>
          <w:rFonts w:eastAsia="Times New Roman" w:cs="Times New Roman"/>
          <w:szCs w:val="24"/>
        </w:rPr>
      </w:pPr>
      <w:r w:rsidRPr="00335CE6">
        <w:rPr>
          <w:rFonts w:eastAsia="Times New Roman" w:cs="Times New Roman"/>
          <w:szCs w:val="24"/>
        </w:rPr>
        <w:t>Counsel of Record</w:t>
      </w:r>
    </w:p>
    <w:p w:rsidR="004F5BF6" w:rsidRPr="00335CE6" w:rsidP="004F5BF6" w14:paraId="10629301" w14:textId="77777777">
      <w:pPr>
        <w:spacing w:line="240" w:lineRule="auto"/>
        <w:ind w:left="4320"/>
        <w:rPr>
          <w:rFonts w:eastAsia="Times New Roman" w:cs="Times New Roman"/>
          <w:szCs w:val="24"/>
        </w:rPr>
      </w:pPr>
      <w:r w:rsidRPr="00335CE6">
        <w:rPr>
          <w:rFonts w:eastAsia="Times New Roman" w:cs="Times New Roman"/>
          <w:szCs w:val="24"/>
        </w:rPr>
        <w:t>Ambrosia E. Logsdon (0096598)</w:t>
      </w:r>
    </w:p>
    <w:p w:rsidR="004F5BF6" w:rsidRPr="00335CE6" w:rsidP="004F5BF6" w14:paraId="30AE4509" w14:textId="197820EA">
      <w:pPr>
        <w:tabs>
          <w:tab w:val="left" w:pos="4320"/>
        </w:tabs>
        <w:spacing w:line="240" w:lineRule="auto"/>
        <w:ind w:left="4320"/>
        <w:rPr>
          <w:rFonts w:eastAsia="Times New Roman" w:cs="Times New Roman"/>
          <w:szCs w:val="24"/>
        </w:rPr>
      </w:pPr>
      <w:r w:rsidRPr="00335CE6">
        <w:rPr>
          <w:rFonts w:eastAsia="Times New Roman" w:cs="Times New Roman"/>
          <w:szCs w:val="24"/>
        </w:rPr>
        <w:t>Assistant Consumers</w:t>
      </w:r>
      <w:r w:rsidR="00484B1D">
        <w:rPr>
          <w:rFonts w:eastAsia="Times New Roman" w:cs="Times New Roman"/>
          <w:szCs w:val="24"/>
        </w:rPr>
        <w:t>’</w:t>
      </w:r>
      <w:r w:rsidRPr="00335CE6">
        <w:rPr>
          <w:rFonts w:eastAsia="Times New Roman" w:cs="Times New Roman"/>
          <w:szCs w:val="24"/>
        </w:rPr>
        <w:t xml:space="preserve"> Counsel</w:t>
      </w:r>
    </w:p>
    <w:p w:rsidR="004F5BF6" w:rsidRPr="00335CE6" w:rsidP="004F5BF6" w14:paraId="289B4289" w14:textId="77777777">
      <w:pPr>
        <w:tabs>
          <w:tab w:val="left" w:pos="4320"/>
        </w:tabs>
        <w:spacing w:line="240" w:lineRule="auto"/>
        <w:ind w:left="4320"/>
        <w:rPr>
          <w:rFonts w:eastAsia="Times New Roman" w:cs="Times New Roman"/>
          <w:szCs w:val="24"/>
        </w:rPr>
      </w:pPr>
      <w:r w:rsidRPr="00335CE6">
        <w:rPr>
          <w:rFonts w:eastAsia="Times New Roman" w:cs="Times New Roman"/>
          <w:szCs w:val="24"/>
        </w:rPr>
        <w:tab/>
      </w:r>
    </w:p>
    <w:p w:rsidR="004F5BF6" w:rsidRPr="00335CE6" w:rsidP="004F5BF6" w14:paraId="67545A8F" w14:textId="230C8901">
      <w:pPr>
        <w:spacing w:line="240" w:lineRule="auto"/>
        <w:ind w:left="4320"/>
        <w:rPr>
          <w:rFonts w:eastAsia="Times New Roman" w:cs="Times New Roman"/>
          <w:b/>
          <w:szCs w:val="24"/>
        </w:rPr>
      </w:pPr>
      <w:r w:rsidRPr="00335CE6">
        <w:rPr>
          <w:rFonts w:eastAsia="Times New Roman" w:cs="Times New Roman"/>
          <w:b/>
          <w:szCs w:val="24"/>
        </w:rPr>
        <w:t>Office of the Ohio Consumers</w:t>
      </w:r>
      <w:r w:rsidR="00484B1D">
        <w:rPr>
          <w:rFonts w:eastAsia="Times New Roman" w:cs="Times New Roman"/>
          <w:b/>
          <w:szCs w:val="24"/>
        </w:rPr>
        <w:t>’</w:t>
      </w:r>
      <w:r w:rsidRPr="00335CE6">
        <w:rPr>
          <w:rFonts w:eastAsia="Times New Roman" w:cs="Times New Roman"/>
          <w:b/>
          <w:szCs w:val="24"/>
        </w:rPr>
        <w:t xml:space="preserve"> Counsel</w:t>
      </w:r>
    </w:p>
    <w:p w:rsidR="004F5BF6" w:rsidRPr="00335CE6" w:rsidP="004F5BF6" w14:paraId="2A230328" w14:textId="77777777">
      <w:pPr>
        <w:spacing w:line="240" w:lineRule="auto"/>
        <w:ind w:left="4320"/>
        <w:rPr>
          <w:rFonts w:eastAsia="Times New Roman" w:cs="Times New Roman"/>
          <w:szCs w:val="24"/>
        </w:rPr>
      </w:pPr>
      <w:r w:rsidRPr="00335CE6">
        <w:rPr>
          <w:rFonts w:eastAsia="Times New Roman" w:cs="Times New Roman"/>
          <w:szCs w:val="24"/>
        </w:rPr>
        <w:t xml:space="preserve">65 East State Street, </w:t>
      </w:r>
      <w:r w:rsidRPr="00000E80">
        <w:rPr>
          <w:rFonts w:eastAsia="Times New Roman" w:cs="Times New Roman"/>
          <w:szCs w:val="24"/>
        </w:rPr>
        <w:t xml:space="preserve">7th </w:t>
      </w:r>
      <w:r w:rsidRPr="00335CE6">
        <w:rPr>
          <w:rFonts w:eastAsia="Times New Roman" w:cs="Times New Roman"/>
          <w:szCs w:val="24"/>
        </w:rPr>
        <w:t>Floor</w:t>
      </w:r>
    </w:p>
    <w:p w:rsidR="004F5BF6" w:rsidRPr="00335CE6" w:rsidP="004F5BF6" w14:paraId="1C3CDBE4" w14:textId="77777777">
      <w:pPr>
        <w:spacing w:line="240" w:lineRule="auto"/>
        <w:ind w:left="4320"/>
        <w:rPr>
          <w:rFonts w:eastAsia="Times New Roman" w:cs="Times New Roman"/>
          <w:b/>
          <w:szCs w:val="24"/>
        </w:rPr>
      </w:pPr>
      <w:r w:rsidRPr="00335CE6">
        <w:rPr>
          <w:rFonts w:eastAsia="Times New Roman" w:cs="Times New Roman"/>
          <w:szCs w:val="24"/>
        </w:rPr>
        <w:t>Columbus, Ohio 43215</w:t>
      </w:r>
    </w:p>
    <w:p w:rsidR="004F5BF6" w:rsidRPr="00335CE6" w:rsidP="004F5BF6" w14:paraId="65CC82CE" w14:textId="77777777">
      <w:pPr>
        <w:spacing w:line="240" w:lineRule="auto"/>
        <w:ind w:left="4320"/>
        <w:rPr>
          <w:rFonts w:eastAsia="Times New Roman" w:cs="Times New Roman"/>
          <w:szCs w:val="24"/>
        </w:rPr>
      </w:pPr>
      <w:r w:rsidRPr="00335CE6">
        <w:rPr>
          <w:rFonts w:eastAsia="Times New Roman" w:cs="Times New Roman"/>
          <w:szCs w:val="24"/>
        </w:rPr>
        <w:t>Telephone: [Michael] (614) 466-1291</w:t>
      </w:r>
    </w:p>
    <w:p w:rsidR="004F5BF6" w:rsidRPr="00335CE6" w:rsidP="004F5BF6" w14:paraId="71C315E3" w14:textId="77777777">
      <w:pPr>
        <w:spacing w:line="240" w:lineRule="auto"/>
        <w:ind w:left="4320"/>
        <w:rPr>
          <w:rFonts w:eastAsia="Times New Roman" w:cs="Times New Roman"/>
          <w:szCs w:val="24"/>
        </w:rPr>
      </w:pPr>
      <w:r w:rsidRPr="00335CE6">
        <w:rPr>
          <w:rFonts w:eastAsia="Times New Roman" w:cs="Times New Roman"/>
          <w:szCs w:val="24"/>
        </w:rPr>
        <w:t>Telephone: [Logsdon] (614) 466-1292</w:t>
      </w:r>
    </w:p>
    <w:p w:rsidR="004F5BF6" w:rsidP="004F5BF6" w14:paraId="642BABBC" w14:textId="40FD2281">
      <w:pPr>
        <w:spacing w:line="240" w:lineRule="auto"/>
        <w:ind w:left="4320"/>
        <w:rPr>
          <w:rFonts w:eastAsia="Times New Roman" w:cs="Times New Roman"/>
          <w:szCs w:val="24"/>
        </w:rPr>
      </w:pPr>
      <w:hyperlink r:id="rId6" w:history="1">
        <w:r w:rsidRPr="003F3938" w:rsidR="007E486A">
          <w:rPr>
            <w:rStyle w:val="Hyperlink"/>
            <w:rFonts w:eastAsia="Times New Roman" w:cs="Times New Roman"/>
            <w:szCs w:val="24"/>
          </w:rPr>
          <w:t>william.michael@occ.ohio.gov</w:t>
        </w:r>
      </w:hyperlink>
    </w:p>
    <w:p w:rsidR="004F5BF6" w:rsidRPr="00335CE6" w:rsidP="004F5BF6" w14:paraId="7A683850" w14:textId="77777777">
      <w:pPr>
        <w:spacing w:line="240" w:lineRule="auto"/>
        <w:ind w:left="4320"/>
        <w:rPr>
          <w:rFonts w:eastAsia="Times New Roman" w:cs="Times New Roman"/>
          <w:szCs w:val="24"/>
        </w:rPr>
      </w:pPr>
      <w:r w:rsidRPr="00335CE6">
        <w:rPr>
          <w:rFonts w:eastAsia="Times New Roman" w:cs="Times New Roman"/>
          <w:color w:val="0563C1" w:themeColor="hyperlink"/>
          <w:szCs w:val="24"/>
          <w:u w:val="single"/>
        </w:rPr>
        <w:t>ambrosia.logsdon@occ.ohio.gov</w:t>
      </w:r>
    </w:p>
    <w:p w:rsidR="004F5BF6" w:rsidRPr="00335CE6" w:rsidP="004F5BF6" w14:paraId="0B456048" w14:textId="3055DA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rPr>
      </w:pPr>
      <w:r w:rsidRPr="00335CE6">
        <w:rPr>
          <w:rFonts w:ascii="Times New Roman" w:eastAsia="Times New Roman" w:hAnsi="Times New Roman" w:cs="Times New Roman"/>
          <w:sz w:val="24"/>
          <w:szCs w:val="24"/>
        </w:rPr>
        <w:t>September 5</w:t>
      </w:r>
      <w:r w:rsidRPr="00335CE6" w:rsidR="00627B72">
        <w:rPr>
          <w:rFonts w:ascii="Times New Roman" w:eastAsia="Times New Roman" w:hAnsi="Times New Roman" w:cs="Times New Roman"/>
          <w:sz w:val="24"/>
          <w:szCs w:val="24"/>
        </w:rPr>
        <w:t>, 2019</w:t>
      </w:r>
      <w:r w:rsidRPr="00335CE6" w:rsidR="00627B72">
        <w:rPr>
          <w:rFonts w:ascii="Times New Roman" w:eastAsia="Times New Roman" w:hAnsi="Times New Roman" w:cs="Times New Roman"/>
          <w:sz w:val="24"/>
          <w:szCs w:val="24"/>
        </w:rPr>
        <w:tab/>
      </w:r>
      <w:r w:rsidRPr="00335CE6" w:rsidR="00627B72">
        <w:rPr>
          <w:rFonts w:ascii="Times New Roman" w:eastAsia="Times New Roman" w:hAnsi="Times New Roman" w:cs="Times New Roman"/>
          <w:sz w:val="24"/>
          <w:szCs w:val="24"/>
        </w:rPr>
        <w:tab/>
      </w:r>
      <w:r w:rsidRPr="00335CE6" w:rsidR="00627B72">
        <w:rPr>
          <w:rFonts w:ascii="Times New Roman" w:eastAsia="Times New Roman" w:hAnsi="Times New Roman" w:cs="Times New Roman"/>
          <w:sz w:val="24"/>
          <w:szCs w:val="24"/>
        </w:rPr>
        <w:tab/>
      </w:r>
      <w:r w:rsidRPr="00335CE6" w:rsidR="00627B72">
        <w:rPr>
          <w:rFonts w:ascii="Times New Roman" w:eastAsia="Times New Roman" w:hAnsi="Times New Roman" w:cs="Times New Roman"/>
          <w:sz w:val="24"/>
          <w:szCs w:val="24"/>
        </w:rPr>
        <w:tab/>
      </w:r>
      <w:r w:rsidRPr="00335CE6" w:rsidR="00627B72">
        <w:rPr>
          <w:rFonts w:ascii="Times New Roman" w:hAnsi="Times New Roman" w:cs="Times New Roman"/>
          <w:sz w:val="24"/>
          <w:szCs w:val="24"/>
        </w:rPr>
        <w:t>(</w:t>
      </w:r>
      <w:r w:rsidR="00000E80">
        <w:rPr>
          <w:rFonts w:ascii="Times New Roman" w:hAnsi="Times New Roman" w:cs="Times New Roman"/>
          <w:sz w:val="24"/>
          <w:szCs w:val="24"/>
        </w:rPr>
        <w:t>w</w:t>
      </w:r>
      <w:r w:rsidRPr="00335CE6" w:rsidR="00627B72">
        <w:rPr>
          <w:rFonts w:ascii="Times New Roman" w:eastAsia="Times New Roman" w:hAnsi="Times New Roman" w:cs="Times New Roman"/>
          <w:sz w:val="24"/>
          <w:szCs w:val="24"/>
        </w:rPr>
        <w:t>ill</w:t>
      </w:r>
      <w:r w:rsidR="00000E80">
        <w:rPr>
          <w:rFonts w:ascii="Times New Roman" w:eastAsia="Times New Roman" w:hAnsi="Times New Roman" w:cs="Times New Roman"/>
          <w:sz w:val="24"/>
          <w:szCs w:val="24"/>
        </w:rPr>
        <w:t>ing to</w:t>
      </w:r>
      <w:r w:rsidRPr="00335CE6" w:rsidR="00627B72">
        <w:rPr>
          <w:rFonts w:ascii="Times New Roman" w:eastAsia="Times New Roman" w:hAnsi="Times New Roman" w:cs="Times New Roman"/>
          <w:sz w:val="24"/>
          <w:szCs w:val="24"/>
        </w:rPr>
        <w:t xml:space="preserve"> accept service </w:t>
      </w:r>
      <w:r w:rsidR="00000E80">
        <w:rPr>
          <w:rFonts w:ascii="Times New Roman" w:eastAsia="Times New Roman" w:hAnsi="Times New Roman" w:cs="Times New Roman"/>
          <w:sz w:val="24"/>
          <w:szCs w:val="24"/>
        </w:rPr>
        <w:t>by</w:t>
      </w:r>
      <w:r w:rsidRPr="00335CE6" w:rsidR="00627B72">
        <w:rPr>
          <w:rFonts w:ascii="Times New Roman" w:eastAsia="Times New Roman" w:hAnsi="Times New Roman" w:cs="Times New Roman"/>
          <w:sz w:val="24"/>
          <w:szCs w:val="24"/>
        </w:rPr>
        <w:t xml:space="preserve"> e</w:t>
      </w:r>
      <w:r w:rsidR="00000E80">
        <w:rPr>
          <w:rFonts w:ascii="Times New Roman" w:eastAsia="Times New Roman" w:hAnsi="Times New Roman" w:cs="Times New Roman"/>
          <w:sz w:val="24"/>
          <w:szCs w:val="24"/>
        </w:rPr>
        <w:t>-</w:t>
      </w:r>
      <w:r w:rsidRPr="00335CE6" w:rsidR="00627B72">
        <w:rPr>
          <w:rFonts w:ascii="Times New Roman" w:eastAsia="Times New Roman" w:hAnsi="Times New Roman" w:cs="Times New Roman"/>
          <w:sz w:val="24"/>
          <w:szCs w:val="24"/>
        </w:rPr>
        <w:t>mail)</w:t>
      </w:r>
    </w:p>
    <w:p w:rsidR="004F5BF6" w:rsidRPr="00335CE6" w:rsidP="004F5BF6" w14:paraId="42918C1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A970EA" w:rsidRPr="00335CE6" w:rsidP="004F5BF6" w14:paraId="3E870AD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sectPr w:rsidSect="0074619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2"/>
          <w:cols w:space="720"/>
          <w:docGrid w:linePitch="360"/>
        </w:sectPr>
      </w:pPr>
    </w:p>
    <w:p w:rsidR="004F5BF6" w:rsidRPr="00335CE6" w:rsidP="004F5BF6" w14:paraId="236840EF" w14:textId="77777777">
      <w:pPr>
        <w:pStyle w:val="HTMLPreformatted"/>
        <w:jc w:val="center"/>
        <w:rPr>
          <w:rFonts w:ascii="Times New Roman" w:hAnsi="Times New Roman" w:cs="Times New Roman"/>
          <w:b/>
          <w:bCs/>
          <w:sz w:val="24"/>
          <w:szCs w:val="24"/>
          <w:u w:val="single"/>
        </w:rPr>
      </w:pPr>
      <w:r w:rsidRPr="00335CE6">
        <w:rPr>
          <w:rFonts w:ascii="Times New Roman" w:hAnsi="Times New Roman" w:cs="Times New Roman"/>
          <w:b/>
          <w:bCs/>
          <w:sz w:val="24"/>
          <w:szCs w:val="24"/>
          <w:u w:val="single"/>
        </w:rPr>
        <w:t>TABLE OF CONTENTS</w:t>
      </w:r>
    </w:p>
    <w:p w:rsidR="004F5BF6" w:rsidRPr="00335CE6" w:rsidP="004F5BF6" w14:paraId="718FE7AA" w14:textId="39AA5A06">
      <w:pPr>
        <w:pStyle w:val="HTMLPreformatted"/>
        <w:jc w:val="right"/>
        <w:rPr>
          <w:rFonts w:ascii="Times New Roman" w:hAnsi="Times New Roman" w:cs="Times New Roman"/>
          <w:b/>
          <w:bCs/>
          <w:sz w:val="24"/>
          <w:szCs w:val="24"/>
        </w:rPr>
      </w:pPr>
      <w:r w:rsidRPr="00335CE6">
        <w:rPr>
          <w:rFonts w:ascii="Times New Roman" w:hAnsi="Times New Roman" w:cs="Times New Roman"/>
          <w:b/>
          <w:bCs/>
          <w:sz w:val="24"/>
          <w:szCs w:val="24"/>
        </w:rPr>
        <w:tab/>
      </w:r>
      <w:r w:rsidRPr="00335CE6">
        <w:rPr>
          <w:rFonts w:ascii="Times New Roman" w:hAnsi="Times New Roman" w:cs="Times New Roman"/>
          <w:b/>
          <w:bCs/>
          <w:sz w:val="24"/>
          <w:szCs w:val="24"/>
        </w:rPr>
        <w:tab/>
      </w:r>
      <w:r w:rsidRPr="00335CE6">
        <w:rPr>
          <w:rFonts w:ascii="Times New Roman" w:hAnsi="Times New Roman" w:cs="Times New Roman"/>
          <w:b/>
          <w:bCs/>
          <w:sz w:val="24"/>
          <w:szCs w:val="24"/>
        </w:rPr>
        <w:tab/>
      </w:r>
      <w:r w:rsidRPr="00335CE6">
        <w:rPr>
          <w:rFonts w:ascii="Times New Roman" w:hAnsi="Times New Roman" w:cs="Times New Roman"/>
          <w:b/>
          <w:bCs/>
          <w:sz w:val="24"/>
          <w:szCs w:val="24"/>
        </w:rPr>
        <w:tab/>
      </w:r>
      <w:r w:rsidRPr="00335CE6">
        <w:rPr>
          <w:rFonts w:ascii="Times New Roman" w:hAnsi="Times New Roman" w:cs="Times New Roman"/>
          <w:b/>
          <w:bCs/>
          <w:sz w:val="24"/>
          <w:szCs w:val="24"/>
        </w:rPr>
        <w:tab/>
      </w:r>
      <w:r w:rsidRPr="00335CE6">
        <w:rPr>
          <w:rFonts w:ascii="Times New Roman" w:hAnsi="Times New Roman" w:cs="Times New Roman"/>
          <w:b/>
          <w:bCs/>
          <w:sz w:val="24"/>
          <w:szCs w:val="24"/>
        </w:rPr>
        <w:tab/>
        <w:t>PAGE</w:t>
      </w:r>
    </w:p>
    <w:p w:rsidR="00A970EA" w:rsidRPr="00335CE6" w:rsidP="004F5BF6" w14:paraId="5445634A" w14:textId="77777777">
      <w:pPr>
        <w:pStyle w:val="HTMLPreformatted"/>
        <w:jc w:val="center"/>
        <w:rPr>
          <w:rFonts w:ascii="Times New Roman" w:hAnsi="Times New Roman" w:cs="Times New Roman"/>
          <w:b/>
          <w:bCs/>
          <w:sz w:val="24"/>
          <w:szCs w:val="24"/>
        </w:rPr>
      </w:pPr>
    </w:p>
    <w:p w:rsidR="00A970EA" w:rsidRPr="00335CE6" w:rsidP="004F5BF6" w14:paraId="40886757" w14:textId="77777777">
      <w:pPr>
        <w:pStyle w:val="HTMLPreformatted"/>
        <w:jc w:val="center"/>
        <w:rPr>
          <w:rFonts w:ascii="Times New Roman" w:hAnsi="Times New Roman" w:cs="Times New Roman"/>
          <w:b/>
          <w:bCs/>
          <w:sz w:val="24"/>
          <w:szCs w:val="24"/>
        </w:rPr>
      </w:pPr>
    </w:p>
    <w:p w:rsidR="00F03399" w14:paraId="0463E089" w14:textId="53945CB4">
      <w:pPr>
        <w:pStyle w:val="TOC1"/>
        <w:rPr>
          <w:rFonts w:asciiTheme="minorHAnsi" w:eastAsiaTheme="minorEastAsia" w:hAnsiTheme="minorHAnsi"/>
          <w:caps w:val="0"/>
          <w:noProof/>
          <w:sz w:val="22"/>
        </w:rPr>
      </w:pPr>
      <w:r w:rsidRPr="00335CE6">
        <w:rPr>
          <w:rFonts w:cs="Times New Roman"/>
          <w:b/>
          <w:bCs/>
          <w:szCs w:val="24"/>
        </w:rPr>
        <w:fldChar w:fldCharType="begin"/>
      </w:r>
      <w:r w:rsidRPr="00335CE6">
        <w:rPr>
          <w:rFonts w:cs="Times New Roman"/>
          <w:b/>
          <w:bCs/>
          <w:szCs w:val="24"/>
        </w:rPr>
        <w:instrText xml:space="preserve"> TOC \o "1-3" \h \z \u </w:instrText>
      </w:r>
      <w:r w:rsidRPr="00335CE6">
        <w:rPr>
          <w:rFonts w:cs="Times New Roman"/>
          <w:b/>
          <w:bCs/>
          <w:szCs w:val="24"/>
        </w:rPr>
        <w:fldChar w:fldCharType="separate"/>
      </w:r>
      <w:hyperlink w:anchor="_Toc18580634" w:history="1">
        <w:r w:rsidRPr="005F505B">
          <w:rPr>
            <w:rStyle w:val="Hyperlink"/>
            <w:rFonts w:cs="Times New Roman"/>
            <w:noProof/>
          </w:rPr>
          <w:t>I.</w:t>
        </w:r>
        <w:r>
          <w:rPr>
            <w:rFonts w:asciiTheme="minorHAnsi" w:eastAsiaTheme="minorEastAsia" w:hAnsiTheme="minorHAnsi"/>
            <w:caps w:val="0"/>
            <w:noProof/>
            <w:sz w:val="22"/>
          </w:rPr>
          <w:tab/>
        </w:r>
        <w:r w:rsidRPr="005F505B">
          <w:rPr>
            <w:rStyle w:val="Hyperlink"/>
            <w:rFonts w:cs="Times New Roman"/>
            <w:noProof/>
          </w:rPr>
          <w:t>Introduction</w:t>
        </w:r>
        <w:r>
          <w:rPr>
            <w:noProof/>
            <w:webHidden/>
          </w:rPr>
          <w:tab/>
        </w:r>
        <w:r>
          <w:rPr>
            <w:noProof/>
            <w:webHidden/>
          </w:rPr>
          <w:fldChar w:fldCharType="begin"/>
        </w:r>
        <w:r>
          <w:rPr>
            <w:noProof/>
            <w:webHidden/>
          </w:rPr>
          <w:instrText xml:space="preserve"> PAGEREF _Toc18580634 \h </w:instrText>
        </w:r>
        <w:r>
          <w:rPr>
            <w:noProof/>
            <w:webHidden/>
          </w:rPr>
          <w:fldChar w:fldCharType="separate"/>
        </w:r>
        <w:r>
          <w:rPr>
            <w:noProof/>
            <w:webHidden/>
          </w:rPr>
          <w:t>1</w:t>
        </w:r>
        <w:r>
          <w:rPr>
            <w:noProof/>
            <w:webHidden/>
          </w:rPr>
          <w:fldChar w:fldCharType="end"/>
        </w:r>
      </w:hyperlink>
    </w:p>
    <w:p w:rsidR="00F03399" w14:paraId="06A98838" w14:textId="20572E6C">
      <w:pPr>
        <w:pStyle w:val="TOC1"/>
        <w:rPr>
          <w:rFonts w:asciiTheme="minorHAnsi" w:eastAsiaTheme="minorEastAsia" w:hAnsiTheme="minorHAnsi"/>
          <w:caps w:val="0"/>
          <w:noProof/>
          <w:sz w:val="22"/>
        </w:rPr>
      </w:pPr>
      <w:hyperlink w:anchor="_Toc18580635" w:history="1">
        <w:r w:rsidRPr="005F505B" w:rsidR="00567CBE">
          <w:rPr>
            <w:rStyle w:val="Hyperlink"/>
            <w:rFonts w:cs="Times New Roman"/>
            <w:noProof/>
          </w:rPr>
          <w:t>II.</w:t>
        </w:r>
        <w:r w:rsidR="00567CBE">
          <w:rPr>
            <w:rFonts w:asciiTheme="minorHAnsi" w:eastAsiaTheme="minorEastAsia" w:hAnsiTheme="minorHAnsi"/>
            <w:caps w:val="0"/>
            <w:noProof/>
            <w:sz w:val="22"/>
          </w:rPr>
          <w:tab/>
        </w:r>
        <w:r w:rsidRPr="005F505B" w:rsidR="00567CBE">
          <w:rPr>
            <w:rStyle w:val="Hyperlink"/>
            <w:rFonts w:cs="Times New Roman"/>
            <w:noProof/>
          </w:rPr>
          <w:t>Background</w:t>
        </w:r>
        <w:r w:rsidR="00567CBE">
          <w:rPr>
            <w:noProof/>
            <w:webHidden/>
          </w:rPr>
          <w:tab/>
        </w:r>
        <w:r w:rsidR="00567CBE">
          <w:rPr>
            <w:noProof/>
            <w:webHidden/>
          </w:rPr>
          <w:fldChar w:fldCharType="begin"/>
        </w:r>
        <w:r w:rsidR="00567CBE">
          <w:rPr>
            <w:noProof/>
            <w:webHidden/>
          </w:rPr>
          <w:instrText xml:space="preserve"> PAGEREF _Toc18580635 \h </w:instrText>
        </w:r>
        <w:r w:rsidR="00567CBE">
          <w:rPr>
            <w:noProof/>
            <w:webHidden/>
          </w:rPr>
          <w:fldChar w:fldCharType="separate"/>
        </w:r>
        <w:r w:rsidR="00567CBE">
          <w:rPr>
            <w:noProof/>
            <w:webHidden/>
          </w:rPr>
          <w:t>3</w:t>
        </w:r>
        <w:r w:rsidR="00567CBE">
          <w:rPr>
            <w:noProof/>
            <w:webHidden/>
          </w:rPr>
          <w:fldChar w:fldCharType="end"/>
        </w:r>
      </w:hyperlink>
    </w:p>
    <w:p w:rsidR="00F03399" w14:paraId="30DB7269" w14:textId="1364F03D">
      <w:pPr>
        <w:pStyle w:val="TOC1"/>
        <w:rPr>
          <w:rFonts w:asciiTheme="minorHAnsi" w:eastAsiaTheme="minorEastAsia" w:hAnsiTheme="minorHAnsi"/>
          <w:caps w:val="0"/>
          <w:noProof/>
          <w:sz w:val="22"/>
        </w:rPr>
      </w:pPr>
      <w:hyperlink w:anchor="_Toc18580636" w:history="1">
        <w:r w:rsidRPr="005F505B" w:rsidR="00567CBE">
          <w:rPr>
            <w:rStyle w:val="Hyperlink"/>
            <w:rFonts w:cs="Times New Roman"/>
            <w:noProof/>
          </w:rPr>
          <w:t>III.</w:t>
        </w:r>
        <w:r w:rsidR="00567CBE">
          <w:rPr>
            <w:rFonts w:asciiTheme="minorHAnsi" w:eastAsiaTheme="minorEastAsia" w:hAnsiTheme="minorHAnsi"/>
            <w:caps w:val="0"/>
            <w:noProof/>
            <w:sz w:val="22"/>
          </w:rPr>
          <w:tab/>
        </w:r>
        <w:r w:rsidRPr="005F505B" w:rsidR="00567CBE">
          <w:rPr>
            <w:rStyle w:val="Hyperlink"/>
            <w:rFonts w:cs="Times New Roman"/>
            <w:noProof/>
          </w:rPr>
          <w:t>RECOMMENDATIONS</w:t>
        </w:r>
        <w:r w:rsidR="00567CBE">
          <w:rPr>
            <w:noProof/>
            <w:webHidden/>
          </w:rPr>
          <w:tab/>
        </w:r>
        <w:r w:rsidR="00567CBE">
          <w:rPr>
            <w:noProof/>
            <w:webHidden/>
          </w:rPr>
          <w:fldChar w:fldCharType="begin"/>
        </w:r>
        <w:r w:rsidR="00567CBE">
          <w:rPr>
            <w:noProof/>
            <w:webHidden/>
          </w:rPr>
          <w:instrText xml:space="preserve"> PAGEREF _Toc18580636 \h </w:instrText>
        </w:r>
        <w:r w:rsidR="00567CBE">
          <w:rPr>
            <w:noProof/>
            <w:webHidden/>
          </w:rPr>
          <w:fldChar w:fldCharType="separate"/>
        </w:r>
        <w:r w:rsidR="00567CBE">
          <w:rPr>
            <w:noProof/>
            <w:webHidden/>
          </w:rPr>
          <w:t>7</w:t>
        </w:r>
        <w:r w:rsidR="00567CBE">
          <w:rPr>
            <w:noProof/>
            <w:webHidden/>
          </w:rPr>
          <w:fldChar w:fldCharType="end"/>
        </w:r>
      </w:hyperlink>
    </w:p>
    <w:p w:rsidR="00F03399" w14:paraId="6DC0E41C" w14:textId="517164CF">
      <w:pPr>
        <w:pStyle w:val="TOC2"/>
        <w:tabs>
          <w:tab w:val="left" w:pos="1440"/>
        </w:tabs>
        <w:rPr>
          <w:rFonts w:asciiTheme="minorHAnsi" w:eastAsiaTheme="minorEastAsia" w:hAnsiTheme="minorHAnsi"/>
          <w:noProof/>
          <w:sz w:val="22"/>
        </w:rPr>
      </w:pPr>
      <w:hyperlink w:anchor="_Toc18580637" w:history="1">
        <w:r w:rsidRPr="005F505B" w:rsidR="00567CBE">
          <w:rPr>
            <w:rStyle w:val="Hyperlink"/>
            <w:noProof/>
          </w:rPr>
          <w:t>A.</w:t>
        </w:r>
        <w:r w:rsidR="00567CBE">
          <w:rPr>
            <w:rFonts w:asciiTheme="minorHAnsi" w:eastAsiaTheme="minorEastAsia" w:hAnsiTheme="minorHAnsi"/>
            <w:noProof/>
            <w:sz w:val="22"/>
          </w:rPr>
          <w:tab/>
        </w:r>
        <w:r w:rsidRPr="005F505B" w:rsidR="00567CBE">
          <w:rPr>
            <w:rStyle w:val="Hyperlink"/>
            <w:noProof/>
          </w:rPr>
          <w:t>The PUCO should protect consumers and deny DP&amp;L’s Motion outright as lacking merit and baseless.</w:t>
        </w:r>
        <w:r w:rsidR="00567CBE">
          <w:rPr>
            <w:noProof/>
            <w:webHidden/>
          </w:rPr>
          <w:tab/>
        </w:r>
        <w:r w:rsidR="00567CBE">
          <w:rPr>
            <w:noProof/>
            <w:webHidden/>
          </w:rPr>
          <w:fldChar w:fldCharType="begin"/>
        </w:r>
        <w:r w:rsidR="00567CBE">
          <w:rPr>
            <w:noProof/>
            <w:webHidden/>
          </w:rPr>
          <w:instrText xml:space="preserve"> PAGEREF _Toc18580637 \h </w:instrText>
        </w:r>
        <w:r w:rsidR="00567CBE">
          <w:rPr>
            <w:noProof/>
            <w:webHidden/>
          </w:rPr>
          <w:fldChar w:fldCharType="separate"/>
        </w:r>
        <w:r w:rsidR="00567CBE">
          <w:rPr>
            <w:noProof/>
            <w:webHidden/>
          </w:rPr>
          <w:t>7</w:t>
        </w:r>
        <w:r w:rsidR="00567CBE">
          <w:rPr>
            <w:noProof/>
            <w:webHidden/>
          </w:rPr>
          <w:fldChar w:fldCharType="end"/>
        </w:r>
      </w:hyperlink>
    </w:p>
    <w:p w:rsidR="00F03399" w14:paraId="1BFBE855" w14:textId="2E438A2C">
      <w:pPr>
        <w:pStyle w:val="TOC2"/>
        <w:tabs>
          <w:tab w:val="left" w:pos="1440"/>
        </w:tabs>
        <w:rPr>
          <w:rFonts w:asciiTheme="minorHAnsi" w:eastAsiaTheme="minorEastAsia" w:hAnsiTheme="minorHAnsi"/>
          <w:noProof/>
          <w:sz w:val="22"/>
        </w:rPr>
      </w:pPr>
      <w:hyperlink w:anchor="_Toc18580638" w:history="1">
        <w:r w:rsidRPr="005F505B" w:rsidR="00567CBE">
          <w:rPr>
            <w:rStyle w:val="Hyperlink"/>
            <w:noProof/>
          </w:rPr>
          <w:t>B.</w:t>
        </w:r>
        <w:r w:rsidR="00567CBE">
          <w:rPr>
            <w:rFonts w:asciiTheme="minorHAnsi" w:eastAsiaTheme="minorEastAsia" w:hAnsiTheme="minorHAnsi"/>
            <w:noProof/>
            <w:sz w:val="22"/>
          </w:rPr>
          <w:tab/>
        </w:r>
        <w:r w:rsidRPr="005F505B" w:rsidR="00567CBE">
          <w:rPr>
            <w:rStyle w:val="Hyperlink"/>
            <w:noProof/>
          </w:rPr>
          <w:t>The PUCO should protect consumers and reject DP&amp;L’s Motion because in reality it is a late-filed interlocutory appeal of the Entry; and it is also a procedurally improper reply brief.</w:t>
        </w:r>
        <w:r w:rsidR="00567CBE">
          <w:rPr>
            <w:noProof/>
            <w:webHidden/>
          </w:rPr>
          <w:tab/>
        </w:r>
        <w:r w:rsidR="00567CBE">
          <w:rPr>
            <w:noProof/>
            <w:webHidden/>
          </w:rPr>
          <w:fldChar w:fldCharType="begin"/>
        </w:r>
        <w:r w:rsidR="00567CBE">
          <w:rPr>
            <w:noProof/>
            <w:webHidden/>
          </w:rPr>
          <w:instrText xml:space="preserve"> PAGEREF _Toc18580638 \h </w:instrText>
        </w:r>
        <w:r w:rsidR="00567CBE">
          <w:rPr>
            <w:noProof/>
            <w:webHidden/>
          </w:rPr>
          <w:fldChar w:fldCharType="separate"/>
        </w:r>
        <w:r w:rsidR="00567CBE">
          <w:rPr>
            <w:noProof/>
            <w:webHidden/>
          </w:rPr>
          <w:t>8</w:t>
        </w:r>
        <w:r w:rsidR="00567CBE">
          <w:rPr>
            <w:noProof/>
            <w:webHidden/>
          </w:rPr>
          <w:fldChar w:fldCharType="end"/>
        </w:r>
      </w:hyperlink>
    </w:p>
    <w:p w:rsidR="00F03399" w14:paraId="2A0CB68F" w14:textId="3999EF68">
      <w:pPr>
        <w:pStyle w:val="TOC2"/>
        <w:tabs>
          <w:tab w:val="left" w:pos="1440"/>
        </w:tabs>
        <w:rPr>
          <w:rFonts w:asciiTheme="minorHAnsi" w:eastAsiaTheme="minorEastAsia" w:hAnsiTheme="minorHAnsi"/>
          <w:noProof/>
          <w:sz w:val="22"/>
        </w:rPr>
      </w:pPr>
      <w:hyperlink w:anchor="_Toc18580639" w:history="1">
        <w:r w:rsidRPr="005F505B" w:rsidR="00567CBE">
          <w:rPr>
            <w:rStyle w:val="Hyperlink"/>
            <w:noProof/>
          </w:rPr>
          <w:t>C.</w:t>
        </w:r>
        <w:r w:rsidR="00567CBE">
          <w:rPr>
            <w:rFonts w:asciiTheme="minorHAnsi" w:eastAsiaTheme="minorEastAsia" w:hAnsiTheme="minorHAnsi"/>
            <w:noProof/>
            <w:sz w:val="22"/>
          </w:rPr>
          <w:tab/>
        </w:r>
        <w:r w:rsidRPr="005F505B" w:rsidR="00567CBE">
          <w:rPr>
            <w:rStyle w:val="Hyperlink"/>
            <w:noProof/>
          </w:rPr>
          <w:t>If it considers the Motion (which it should not), the PUCO should deny it on the merits to protect consumers because OCC has not waived the right to challenge DP&amp;L’s charge under R.C. 4928.143(B)(2)(h).</w:t>
        </w:r>
        <w:r w:rsidR="00567CBE">
          <w:rPr>
            <w:noProof/>
            <w:webHidden/>
          </w:rPr>
          <w:tab/>
        </w:r>
        <w:r w:rsidR="00567CBE">
          <w:rPr>
            <w:noProof/>
            <w:webHidden/>
          </w:rPr>
          <w:fldChar w:fldCharType="begin"/>
        </w:r>
        <w:r w:rsidR="00567CBE">
          <w:rPr>
            <w:noProof/>
            <w:webHidden/>
          </w:rPr>
          <w:instrText xml:space="preserve"> PAGEREF _Toc18580639 \h </w:instrText>
        </w:r>
        <w:r w:rsidR="00567CBE">
          <w:rPr>
            <w:noProof/>
            <w:webHidden/>
          </w:rPr>
          <w:fldChar w:fldCharType="separate"/>
        </w:r>
        <w:r w:rsidR="00567CBE">
          <w:rPr>
            <w:noProof/>
            <w:webHidden/>
          </w:rPr>
          <w:t>11</w:t>
        </w:r>
        <w:r w:rsidR="00567CBE">
          <w:rPr>
            <w:noProof/>
            <w:webHidden/>
          </w:rPr>
          <w:fldChar w:fldCharType="end"/>
        </w:r>
      </w:hyperlink>
    </w:p>
    <w:p w:rsidR="00F03399" w14:paraId="44C44FD6" w14:textId="747FEF91">
      <w:pPr>
        <w:pStyle w:val="TOC3"/>
        <w:tabs>
          <w:tab w:val="left" w:pos="2160"/>
        </w:tabs>
        <w:rPr>
          <w:rFonts w:asciiTheme="minorHAnsi" w:eastAsiaTheme="minorEastAsia" w:hAnsiTheme="minorHAnsi"/>
          <w:noProof/>
          <w:sz w:val="22"/>
        </w:rPr>
      </w:pPr>
      <w:hyperlink w:anchor="_Toc18580640" w:history="1">
        <w:r w:rsidRPr="005F505B" w:rsidR="00567CBE">
          <w:rPr>
            <w:rStyle w:val="Hyperlink"/>
            <w:rFonts w:cs="Times New Roman"/>
            <w:noProof/>
          </w:rPr>
          <w:t>1.</w:t>
        </w:r>
        <w:r w:rsidR="00567CBE">
          <w:rPr>
            <w:rFonts w:asciiTheme="minorHAnsi" w:eastAsiaTheme="minorEastAsia" w:hAnsiTheme="minorHAnsi"/>
            <w:noProof/>
            <w:sz w:val="22"/>
          </w:rPr>
          <w:tab/>
        </w:r>
        <w:r w:rsidRPr="005F505B" w:rsidR="00567CBE">
          <w:rPr>
            <w:rStyle w:val="Hyperlink"/>
            <w:rFonts w:cs="Times New Roman"/>
            <w:noProof/>
          </w:rPr>
          <w:t>DP&amp;L’s Motion should be denied to protect consumers because this case is still ongoing.</w:t>
        </w:r>
        <w:r w:rsidR="00567CBE">
          <w:rPr>
            <w:noProof/>
            <w:webHidden/>
          </w:rPr>
          <w:tab/>
        </w:r>
        <w:r w:rsidR="00567CBE">
          <w:rPr>
            <w:noProof/>
            <w:webHidden/>
          </w:rPr>
          <w:fldChar w:fldCharType="begin"/>
        </w:r>
        <w:r w:rsidR="00567CBE">
          <w:rPr>
            <w:noProof/>
            <w:webHidden/>
          </w:rPr>
          <w:instrText xml:space="preserve"> PAGEREF _Toc18580640 \h </w:instrText>
        </w:r>
        <w:r w:rsidR="00567CBE">
          <w:rPr>
            <w:noProof/>
            <w:webHidden/>
          </w:rPr>
          <w:fldChar w:fldCharType="separate"/>
        </w:r>
        <w:r w:rsidR="00567CBE">
          <w:rPr>
            <w:noProof/>
            <w:webHidden/>
          </w:rPr>
          <w:t>12</w:t>
        </w:r>
        <w:r w:rsidR="00567CBE">
          <w:rPr>
            <w:noProof/>
            <w:webHidden/>
          </w:rPr>
          <w:fldChar w:fldCharType="end"/>
        </w:r>
      </w:hyperlink>
    </w:p>
    <w:p w:rsidR="00F03399" w14:paraId="3A378DF3" w14:textId="66FFA300">
      <w:pPr>
        <w:pStyle w:val="TOC3"/>
        <w:tabs>
          <w:tab w:val="left" w:pos="2160"/>
        </w:tabs>
        <w:rPr>
          <w:rFonts w:asciiTheme="minorHAnsi" w:eastAsiaTheme="minorEastAsia" w:hAnsiTheme="minorHAnsi"/>
          <w:noProof/>
          <w:sz w:val="22"/>
        </w:rPr>
      </w:pPr>
      <w:hyperlink w:anchor="_Toc18580641" w:history="1">
        <w:r w:rsidRPr="005F505B" w:rsidR="00567CBE">
          <w:rPr>
            <w:rStyle w:val="Hyperlink"/>
            <w:rFonts w:cs="Times New Roman"/>
            <w:noProof/>
          </w:rPr>
          <w:t>2.</w:t>
        </w:r>
        <w:r w:rsidR="00567CBE">
          <w:rPr>
            <w:rFonts w:asciiTheme="minorHAnsi" w:eastAsiaTheme="minorEastAsia" w:hAnsiTheme="minorHAnsi"/>
            <w:noProof/>
            <w:sz w:val="22"/>
          </w:rPr>
          <w:tab/>
        </w:r>
        <w:r w:rsidRPr="005F505B" w:rsidR="00567CBE">
          <w:rPr>
            <w:rStyle w:val="Hyperlink"/>
            <w:rFonts w:cs="Times New Roman"/>
            <w:noProof/>
          </w:rPr>
          <w:t>DP&amp;L’s Motion should be denied to protect consumers because parties have raised the incentive issue under R.C. 4928.143(B)(2)(h) before.</w:t>
        </w:r>
        <w:r w:rsidR="00567CBE">
          <w:rPr>
            <w:noProof/>
            <w:webHidden/>
          </w:rPr>
          <w:tab/>
        </w:r>
        <w:r w:rsidR="00567CBE">
          <w:rPr>
            <w:noProof/>
            <w:webHidden/>
          </w:rPr>
          <w:fldChar w:fldCharType="begin"/>
        </w:r>
        <w:r w:rsidR="00567CBE">
          <w:rPr>
            <w:noProof/>
            <w:webHidden/>
          </w:rPr>
          <w:instrText xml:space="preserve"> PAGEREF _Toc18580641 \h </w:instrText>
        </w:r>
        <w:r w:rsidR="00567CBE">
          <w:rPr>
            <w:noProof/>
            <w:webHidden/>
          </w:rPr>
          <w:fldChar w:fldCharType="separate"/>
        </w:r>
        <w:r w:rsidR="00567CBE">
          <w:rPr>
            <w:noProof/>
            <w:webHidden/>
          </w:rPr>
          <w:t>13</w:t>
        </w:r>
        <w:r w:rsidR="00567CBE">
          <w:rPr>
            <w:noProof/>
            <w:webHidden/>
          </w:rPr>
          <w:fldChar w:fldCharType="end"/>
        </w:r>
      </w:hyperlink>
    </w:p>
    <w:p w:rsidR="00F03399" w14:paraId="004D6884" w14:textId="40778C6D">
      <w:pPr>
        <w:pStyle w:val="TOC3"/>
        <w:tabs>
          <w:tab w:val="left" w:pos="2160"/>
        </w:tabs>
        <w:rPr>
          <w:rFonts w:asciiTheme="minorHAnsi" w:eastAsiaTheme="minorEastAsia" w:hAnsiTheme="minorHAnsi"/>
          <w:noProof/>
          <w:sz w:val="22"/>
        </w:rPr>
      </w:pPr>
      <w:hyperlink w:anchor="_Toc18580642" w:history="1">
        <w:r w:rsidRPr="005F505B" w:rsidR="00567CBE">
          <w:rPr>
            <w:rStyle w:val="Hyperlink"/>
            <w:rFonts w:cs="Times New Roman"/>
            <w:noProof/>
          </w:rPr>
          <w:t>3.</w:t>
        </w:r>
        <w:r w:rsidR="00567CBE">
          <w:rPr>
            <w:rFonts w:asciiTheme="minorHAnsi" w:eastAsiaTheme="minorEastAsia" w:hAnsiTheme="minorHAnsi"/>
            <w:noProof/>
            <w:sz w:val="22"/>
          </w:rPr>
          <w:tab/>
        </w:r>
        <w:r w:rsidRPr="005F505B" w:rsidR="00567CBE">
          <w:rPr>
            <w:rStyle w:val="Hyperlink"/>
            <w:rFonts w:cs="Times New Roman"/>
            <w:noProof/>
          </w:rPr>
          <w:t xml:space="preserve">DP&amp;L’s Motion should be denied to protect consumers because </w:t>
        </w:r>
        <w:r w:rsidRPr="005F505B" w:rsidR="00567CBE">
          <w:rPr>
            <w:rStyle w:val="Hyperlink"/>
            <w:rFonts w:cs="Times New Roman"/>
            <w:i/>
            <w:noProof/>
          </w:rPr>
          <w:t xml:space="preserve">Ohio Edison </w:t>
        </w:r>
        <w:r w:rsidRPr="005F505B" w:rsidR="00567CBE">
          <w:rPr>
            <w:rStyle w:val="Hyperlink"/>
            <w:rFonts w:cs="Times New Roman"/>
            <w:noProof/>
          </w:rPr>
          <w:t>is new law and it would be unfair and prejudicial to deny consumers the ability to brief its applicability here.</w:t>
        </w:r>
        <w:r w:rsidR="00567CBE">
          <w:rPr>
            <w:noProof/>
            <w:webHidden/>
          </w:rPr>
          <w:tab/>
        </w:r>
        <w:r w:rsidR="00567CBE">
          <w:rPr>
            <w:noProof/>
            <w:webHidden/>
          </w:rPr>
          <w:fldChar w:fldCharType="begin"/>
        </w:r>
        <w:r w:rsidR="00567CBE">
          <w:rPr>
            <w:noProof/>
            <w:webHidden/>
          </w:rPr>
          <w:instrText xml:space="preserve"> PAGEREF _Toc18580642 \h </w:instrText>
        </w:r>
        <w:r w:rsidR="00567CBE">
          <w:rPr>
            <w:noProof/>
            <w:webHidden/>
          </w:rPr>
          <w:fldChar w:fldCharType="separate"/>
        </w:r>
        <w:r w:rsidR="00567CBE">
          <w:rPr>
            <w:noProof/>
            <w:webHidden/>
          </w:rPr>
          <w:t>15</w:t>
        </w:r>
        <w:r w:rsidR="00567CBE">
          <w:rPr>
            <w:noProof/>
            <w:webHidden/>
          </w:rPr>
          <w:fldChar w:fldCharType="end"/>
        </w:r>
      </w:hyperlink>
    </w:p>
    <w:p w:rsidR="00F03399" w14:paraId="34AF3D23" w14:textId="29F35AAA">
      <w:pPr>
        <w:pStyle w:val="TOC1"/>
        <w:rPr>
          <w:rFonts w:asciiTheme="minorHAnsi" w:eastAsiaTheme="minorEastAsia" w:hAnsiTheme="minorHAnsi"/>
          <w:caps w:val="0"/>
          <w:noProof/>
          <w:sz w:val="22"/>
        </w:rPr>
      </w:pPr>
      <w:hyperlink w:anchor="_Toc18580643" w:history="1">
        <w:r w:rsidRPr="005F505B" w:rsidR="00567CBE">
          <w:rPr>
            <w:rStyle w:val="Hyperlink"/>
            <w:rFonts w:cs="Times New Roman"/>
            <w:noProof/>
          </w:rPr>
          <w:t>IV.</w:t>
        </w:r>
        <w:r w:rsidR="00567CBE">
          <w:rPr>
            <w:rFonts w:asciiTheme="minorHAnsi" w:eastAsiaTheme="minorEastAsia" w:hAnsiTheme="minorHAnsi"/>
            <w:caps w:val="0"/>
            <w:noProof/>
            <w:sz w:val="22"/>
          </w:rPr>
          <w:tab/>
        </w:r>
        <w:r w:rsidRPr="005F505B" w:rsidR="00567CBE">
          <w:rPr>
            <w:rStyle w:val="Hyperlink"/>
            <w:rFonts w:cs="Times New Roman"/>
            <w:noProof/>
          </w:rPr>
          <w:t>CONCLUSION</w:t>
        </w:r>
        <w:r w:rsidR="00567CBE">
          <w:rPr>
            <w:noProof/>
            <w:webHidden/>
          </w:rPr>
          <w:tab/>
        </w:r>
        <w:r w:rsidR="00567CBE">
          <w:rPr>
            <w:noProof/>
            <w:webHidden/>
          </w:rPr>
          <w:fldChar w:fldCharType="begin"/>
        </w:r>
        <w:r w:rsidR="00567CBE">
          <w:rPr>
            <w:noProof/>
            <w:webHidden/>
          </w:rPr>
          <w:instrText xml:space="preserve"> PAGEREF _Toc18580643 \h </w:instrText>
        </w:r>
        <w:r w:rsidR="00567CBE">
          <w:rPr>
            <w:noProof/>
            <w:webHidden/>
          </w:rPr>
          <w:fldChar w:fldCharType="separate"/>
        </w:r>
        <w:r w:rsidR="00567CBE">
          <w:rPr>
            <w:noProof/>
            <w:webHidden/>
          </w:rPr>
          <w:t>15</w:t>
        </w:r>
        <w:r w:rsidR="00567CBE">
          <w:rPr>
            <w:noProof/>
            <w:webHidden/>
          </w:rPr>
          <w:fldChar w:fldCharType="end"/>
        </w:r>
      </w:hyperlink>
    </w:p>
    <w:p w:rsidR="00A970EA" w:rsidRPr="00335CE6" w:rsidP="004F5BF6" w14:paraId="006CFED8" w14:textId="4ADFBD09">
      <w:pPr>
        <w:pStyle w:val="HTMLPreformatted"/>
        <w:jc w:val="center"/>
        <w:rPr>
          <w:rFonts w:ascii="Times New Roman" w:hAnsi="Times New Roman" w:cs="Times New Roman"/>
          <w:b/>
          <w:bCs/>
          <w:sz w:val="24"/>
          <w:szCs w:val="24"/>
        </w:rPr>
      </w:pPr>
      <w:r w:rsidRPr="00335CE6">
        <w:rPr>
          <w:rFonts w:ascii="Times New Roman" w:hAnsi="Times New Roman" w:cs="Times New Roman"/>
          <w:b/>
          <w:bCs/>
          <w:sz w:val="24"/>
          <w:szCs w:val="24"/>
        </w:rPr>
        <w:fldChar w:fldCharType="end"/>
      </w:r>
    </w:p>
    <w:p w:rsidR="00A970EA" w:rsidRPr="00335CE6" w:rsidP="004F5BF6" w14:paraId="7A550EE7" w14:textId="77777777">
      <w:pPr>
        <w:pStyle w:val="HTMLPreformatted"/>
        <w:jc w:val="center"/>
        <w:rPr>
          <w:rFonts w:ascii="Times New Roman" w:hAnsi="Times New Roman" w:cs="Times New Roman"/>
          <w:b/>
          <w:bCs/>
          <w:sz w:val="24"/>
          <w:szCs w:val="24"/>
        </w:rPr>
      </w:pPr>
    </w:p>
    <w:p w:rsidR="00A970EA" w:rsidRPr="00335CE6" w:rsidP="004F5BF6" w14:paraId="5654A1FE" w14:textId="77777777">
      <w:pPr>
        <w:pStyle w:val="HTMLPreformatted"/>
        <w:jc w:val="center"/>
        <w:rPr>
          <w:rFonts w:ascii="Times New Roman" w:hAnsi="Times New Roman" w:cs="Times New Roman"/>
          <w:b/>
          <w:bCs/>
          <w:sz w:val="24"/>
          <w:szCs w:val="24"/>
        </w:rPr>
      </w:pPr>
    </w:p>
    <w:p w:rsidR="00A970EA" w:rsidRPr="00335CE6" w:rsidP="004F5BF6" w14:paraId="6D707725" w14:textId="77777777">
      <w:pPr>
        <w:pStyle w:val="HTMLPreformatted"/>
        <w:jc w:val="center"/>
        <w:rPr>
          <w:rFonts w:ascii="Times New Roman" w:hAnsi="Times New Roman" w:cs="Times New Roman"/>
          <w:b/>
          <w:bCs/>
          <w:sz w:val="24"/>
          <w:szCs w:val="24"/>
        </w:rPr>
      </w:pPr>
    </w:p>
    <w:p w:rsidR="00A970EA" w:rsidRPr="00335CE6" w:rsidP="004F5BF6" w14:paraId="6D5F3446" w14:textId="77777777">
      <w:pPr>
        <w:pStyle w:val="HTMLPreformatted"/>
        <w:jc w:val="center"/>
        <w:rPr>
          <w:rFonts w:ascii="Times New Roman" w:hAnsi="Times New Roman" w:cs="Times New Roman"/>
          <w:b/>
          <w:bCs/>
          <w:sz w:val="24"/>
          <w:szCs w:val="24"/>
        </w:rPr>
      </w:pPr>
    </w:p>
    <w:p w:rsidR="00A970EA" w:rsidRPr="00335CE6" w:rsidP="004F5BF6" w14:paraId="60C49F2F" w14:textId="77777777">
      <w:pPr>
        <w:pStyle w:val="HTMLPreformatted"/>
        <w:jc w:val="center"/>
        <w:rPr>
          <w:rFonts w:ascii="Times New Roman" w:hAnsi="Times New Roman" w:cs="Times New Roman"/>
          <w:b/>
          <w:bCs/>
          <w:sz w:val="24"/>
          <w:szCs w:val="24"/>
        </w:rPr>
      </w:pPr>
    </w:p>
    <w:p w:rsidR="00A970EA" w:rsidRPr="00335CE6" w:rsidP="004F5BF6" w14:paraId="2ED3D654" w14:textId="77777777">
      <w:pPr>
        <w:pStyle w:val="HTMLPreformatted"/>
        <w:jc w:val="center"/>
        <w:rPr>
          <w:rFonts w:ascii="Times New Roman" w:hAnsi="Times New Roman" w:cs="Times New Roman"/>
          <w:b/>
          <w:bCs/>
          <w:sz w:val="24"/>
          <w:szCs w:val="24"/>
        </w:rPr>
      </w:pPr>
    </w:p>
    <w:p w:rsidR="00A970EA" w:rsidRPr="00335CE6" w:rsidP="004F5BF6" w14:paraId="6CE2BCFF" w14:textId="77777777">
      <w:pPr>
        <w:pStyle w:val="HTMLPreformatted"/>
        <w:jc w:val="center"/>
        <w:rPr>
          <w:rFonts w:ascii="Times New Roman" w:hAnsi="Times New Roman" w:cs="Times New Roman"/>
          <w:b/>
          <w:bCs/>
          <w:sz w:val="24"/>
          <w:szCs w:val="24"/>
        </w:rPr>
        <w:sectPr w:rsidSect="0074619C">
          <w:headerReference w:type="default" r:id="rId13"/>
          <w:footerReference w:type="default" r:id="rId14"/>
          <w:pgSz w:w="12240" w:h="15840"/>
          <w:pgMar w:top="1440" w:right="1800" w:bottom="1440" w:left="1800" w:header="720" w:footer="720" w:gutter="0"/>
          <w:pgNumType w:fmt="lowerRoman" w:start="1"/>
          <w:cols w:space="720"/>
          <w:docGrid w:linePitch="360"/>
        </w:sectPr>
      </w:pPr>
    </w:p>
    <w:p w:rsidR="008C1BE9" w:rsidRPr="00335CE6" w:rsidP="008C1BE9" w14:paraId="3D57ACD5" w14:textId="77777777">
      <w:pPr>
        <w:pStyle w:val="HTMLPreformatted"/>
        <w:jc w:val="center"/>
        <w:rPr>
          <w:rFonts w:ascii="Times New Roman" w:hAnsi="Times New Roman" w:cs="Times New Roman"/>
          <w:b/>
          <w:bCs/>
          <w:sz w:val="24"/>
          <w:szCs w:val="24"/>
        </w:rPr>
      </w:pPr>
      <w:r w:rsidRPr="00335CE6">
        <w:rPr>
          <w:rFonts w:ascii="Times New Roman" w:hAnsi="Times New Roman" w:cs="Times New Roman"/>
          <w:b/>
          <w:bCs/>
          <w:sz w:val="24"/>
          <w:szCs w:val="24"/>
        </w:rPr>
        <w:t>BEFORE</w:t>
      </w:r>
    </w:p>
    <w:p w:rsidR="008C1BE9" w:rsidRPr="00335CE6" w:rsidP="008C1BE9" w14:paraId="678E3BAC" w14:textId="77777777">
      <w:pPr>
        <w:pStyle w:val="HTMLPreformatted"/>
        <w:jc w:val="center"/>
        <w:rPr>
          <w:rFonts w:ascii="Times New Roman" w:hAnsi="Times New Roman" w:cs="Times New Roman"/>
          <w:b/>
          <w:bCs/>
          <w:sz w:val="24"/>
          <w:szCs w:val="24"/>
        </w:rPr>
      </w:pPr>
      <w:r w:rsidRPr="00335CE6">
        <w:rPr>
          <w:rFonts w:ascii="Times New Roman" w:hAnsi="Times New Roman" w:cs="Times New Roman"/>
          <w:b/>
          <w:bCs/>
          <w:sz w:val="24"/>
          <w:szCs w:val="24"/>
        </w:rPr>
        <w:t>THE PUBLIC UTILITIES COMMISSION OF OHIO</w:t>
      </w:r>
    </w:p>
    <w:p w:rsidR="008C1BE9" w:rsidRPr="00335CE6" w:rsidP="008C1BE9" w14:paraId="56941C96" w14:textId="77777777">
      <w:pPr>
        <w:pStyle w:val="HTMLPreformatted"/>
        <w:jc w:val="center"/>
        <w:rPr>
          <w:rFonts w:ascii="Times New Roman" w:hAnsi="Times New Roman" w:cs="Times New Roman"/>
          <w:b/>
          <w:bCs/>
          <w:sz w:val="24"/>
          <w:szCs w:val="24"/>
        </w:rPr>
      </w:pPr>
    </w:p>
    <w:tbl>
      <w:tblPr>
        <w:tblW w:w="9366" w:type="dxa"/>
        <w:tblInd w:w="-106" w:type="dxa"/>
        <w:tblCellMar>
          <w:top w:w="0" w:type="dxa"/>
          <w:left w:w="108" w:type="dxa"/>
          <w:bottom w:w="0" w:type="dxa"/>
          <w:right w:w="108" w:type="dxa"/>
        </w:tblCellMar>
        <w:tblLook w:val="01E0"/>
      </w:tblPr>
      <w:tblGrid>
        <w:gridCol w:w="4606"/>
        <w:gridCol w:w="360"/>
        <w:gridCol w:w="4400"/>
      </w:tblGrid>
      <w:tr w14:paraId="320C180C" w14:textId="77777777" w:rsidTr="008C1BE9">
        <w:tblPrEx>
          <w:tblW w:w="9366" w:type="dxa"/>
          <w:tblInd w:w="-106" w:type="dxa"/>
          <w:tblCellMar>
            <w:top w:w="0" w:type="dxa"/>
            <w:left w:w="108" w:type="dxa"/>
            <w:bottom w:w="0" w:type="dxa"/>
            <w:right w:w="108" w:type="dxa"/>
          </w:tblCellMar>
          <w:tblLook w:val="01E0"/>
        </w:tblPrEx>
        <w:trPr>
          <w:trHeight w:val="807"/>
        </w:trPr>
        <w:tc>
          <w:tcPr>
            <w:tcW w:w="4606" w:type="dxa"/>
          </w:tcPr>
          <w:p w:rsidR="008C1BE9" w:rsidRPr="00335CE6" w:rsidP="008C1BE9" w14:paraId="0B197DF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 xml:space="preserve">In the Matter of the Application of </w:t>
            </w:r>
          </w:p>
          <w:p w:rsidR="008C1BE9" w:rsidRPr="00335CE6" w:rsidP="008C1BE9" w14:paraId="6C0112B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the Dayton Power and Light Company for</w:t>
            </w:r>
          </w:p>
          <w:p w:rsidR="008C1BE9" w:rsidRPr="00335CE6" w:rsidP="008C1BE9" w14:paraId="0036D41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Approval of its Electric Security Plan.</w:t>
            </w:r>
          </w:p>
          <w:p w:rsidR="008C1BE9" w:rsidRPr="00335CE6" w:rsidP="008C1BE9" w14:paraId="52741ED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8C1BE9" w:rsidRPr="00335CE6" w:rsidP="008C1BE9" w14:paraId="4BD03B2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In the Matter of the Application of the Dayton Power and Light Company for Approval of Revised Tariffs.</w:t>
            </w:r>
          </w:p>
          <w:p w:rsidR="008C1BE9" w:rsidRPr="00335CE6" w:rsidP="008C1BE9" w14:paraId="0E7A4AF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8C1BE9" w:rsidRPr="00335CE6" w:rsidP="008C1BE9" w14:paraId="049AD2F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In the Matter of the Application of the Dayton Power and Light Company for Approval of Certain Accounting Authority Pursuant to Ohio Rev. Code § 4905.13.</w:t>
            </w:r>
          </w:p>
        </w:tc>
        <w:tc>
          <w:tcPr>
            <w:tcW w:w="360" w:type="dxa"/>
            <w:hideMark/>
          </w:tcPr>
          <w:p w:rsidR="008C1BE9" w:rsidRPr="00335CE6" w:rsidP="008C1BE9" w14:paraId="429C943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0BEEE23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66682DF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45B8577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4C0037F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3F6EC58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179BE57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52BEECE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01926E1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6996804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4DC53EA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p w:rsidR="008C1BE9" w:rsidRPr="00335CE6" w:rsidP="008C1BE9" w14:paraId="230062F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w:t>
            </w:r>
          </w:p>
        </w:tc>
        <w:tc>
          <w:tcPr>
            <w:tcW w:w="4400" w:type="dxa"/>
          </w:tcPr>
          <w:p w:rsidR="008C1BE9" w:rsidRPr="00335CE6" w:rsidP="008C1BE9" w14:paraId="60E11AE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8C1BE9" w:rsidRPr="00335CE6" w:rsidP="008C1BE9" w14:paraId="36D12DB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Case No. 16-0395-EL-SSO</w:t>
            </w:r>
          </w:p>
          <w:p w:rsidR="008C1BE9" w:rsidRPr="00335CE6" w:rsidP="008C1BE9" w14:paraId="11D28DC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8C1BE9" w:rsidRPr="00335CE6" w:rsidP="008C1BE9" w14:paraId="559516A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8C1BE9" w:rsidRPr="00335CE6" w:rsidP="008C1BE9" w14:paraId="5391FF7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8C1BE9" w:rsidRPr="00335CE6" w:rsidP="008C1BE9" w14:paraId="230193E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Case No. 16-0396-EL-ATA</w:t>
            </w:r>
          </w:p>
          <w:p w:rsidR="008C1BE9" w:rsidRPr="00335CE6" w:rsidP="008C1BE9" w14:paraId="0E93D67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8C1BE9" w:rsidRPr="00335CE6" w:rsidP="008C1BE9" w14:paraId="5896788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8C1BE9" w:rsidRPr="00335CE6" w:rsidP="008C1BE9" w14:paraId="1F99C35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8C1BE9" w:rsidRPr="00335CE6" w:rsidP="008C1BE9" w14:paraId="68E75EE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335CE6">
              <w:rPr>
                <w:rFonts w:ascii="Times New Roman" w:eastAsia="Courier New" w:hAnsi="Times New Roman" w:cs="Times New Roman"/>
                <w:sz w:val="24"/>
                <w:szCs w:val="24"/>
                <w:lang w:val="en-US" w:eastAsia="en-US" w:bidi="ar-SA"/>
              </w:rPr>
              <w:t>Case No. 16-0397-EL-AAM</w:t>
            </w:r>
          </w:p>
          <w:p w:rsidR="008C1BE9" w:rsidRPr="00335CE6" w:rsidP="008C1BE9" w14:paraId="0F2FD72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8C1BE9" w:rsidRPr="00335CE6" w:rsidP="008C1BE9" w14:paraId="395CA3F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4F5BF6" w:rsidRPr="00335CE6" w:rsidP="004F5BF6" w14:paraId="0D5E3D54" w14:textId="77777777">
      <w:pPr>
        <w:pStyle w:val="HTMLPreformatted"/>
        <w:pBdr>
          <w:bottom w:val="single" w:sz="12" w:space="1" w:color="auto"/>
        </w:pBdr>
        <w:rPr>
          <w:rFonts w:ascii="Times New Roman" w:hAnsi="Times New Roman" w:cs="Times New Roman"/>
          <w:b/>
          <w:bCs/>
          <w:sz w:val="24"/>
          <w:szCs w:val="24"/>
        </w:rPr>
      </w:pPr>
    </w:p>
    <w:p w:rsidR="004F5BF6" w:rsidRPr="00335CE6" w:rsidP="004F5BF6" w14:paraId="736364D4" w14:textId="77777777">
      <w:pPr>
        <w:pStyle w:val="HTMLPreformatted"/>
        <w:rPr>
          <w:rFonts w:ascii="Times New Roman" w:hAnsi="Times New Roman" w:cs="Times New Roman"/>
          <w:b/>
          <w:bCs/>
          <w:i/>
          <w:sz w:val="24"/>
          <w:szCs w:val="24"/>
        </w:rPr>
      </w:pPr>
    </w:p>
    <w:p w:rsidR="00A970EA" w:rsidRPr="00335CE6" w:rsidP="00A970EA" w14:paraId="38ABA81E" w14:textId="6D2BE1F1">
      <w:pPr>
        <w:spacing w:line="240" w:lineRule="auto"/>
        <w:jc w:val="center"/>
        <w:rPr>
          <w:rFonts w:cs="Times New Roman"/>
          <w:b/>
          <w:bCs/>
          <w:szCs w:val="24"/>
        </w:rPr>
      </w:pPr>
      <w:r w:rsidRPr="00335CE6">
        <w:rPr>
          <w:rFonts w:cs="Times New Roman"/>
          <w:b/>
          <w:bCs/>
          <w:szCs w:val="24"/>
        </w:rPr>
        <w:t>MEMORANDUM CONTRA DAYTON POWER AND LIGHT COMPANY</w:t>
      </w:r>
      <w:r w:rsidR="00484B1D">
        <w:rPr>
          <w:rFonts w:cs="Times New Roman"/>
          <w:b/>
          <w:bCs/>
          <w:szCs w:val="24"/>
        </w:rPr>
        <w:t>’</w:t>
      </w:r>
      <w:r w:rsidRPr="00335CE6">
        <w:rPr>
          <w:rFonts w:cs="Times New Roman"/>
          <w:b/>
          <w:bCs/>
          <w:szCs w:val="24"/>
        </w:rPr>
        <w:t>S MOTION TO STRIKE SUPPLEMENTAL BRIEFS</w:t>
      </w:r>
    </w:p>
    <w:p w:rsidR="00A970EA" w:rsidRPr="00335CE6" w:rsidP="00A970EA" w14:paraId="2C5D65AF" w14:textId="77777777">
      <w:pPr>
        <w:pStyle w:val="HTMLPreformatted"/>
        <w:pBdr>
          <w:bottom w:val="single" w:sz="12" w:space="1" w:color="auto"/>
        </w:pBdr>
        <w:jc w:val="center"/>
        <w:rPr>
          <w:rFonts w:ascii="Times New Roman" w:hAnsi="Times New Roman" w:cs="Times New Roman"/>
          <w:b/>
          <w:bCs/>
          <w:sz w:val="24"/>
          <w:szCs w:val="24"/>
        </w:rPr>
      </w:pPr>
      <w:r w:rsidRPr="00335CE6">
        <w:rPr>
          <w:rFonts w:ascii="Times New Roman" w:hAnsi="Times New Roman" w:cs="Times New Roman"/>
          <w:b/>
          <w:bCs/>
          <w:sz w:val="24"/>
          <w:szCs w:val="24"/>
        </w:rPr>
        <w:t xml:space="preserve">BY </w:t>
      </w:r>
    </w:p>
    <w:p w:rsidR="00A970EA" w:rsidRPr="00335CE6" w:rsidP="00A970EA" w14:paraId="1612BBCD" w14:textId="3EDD9285">
      <w:pPr>
        <w:pStyle w:val="HTMLPreformatted"/>
        <w:pBdr>
          <w:bottom w:val="single" w:sz="12" w:space="1" w:color="auto"/>
        </w:pBdr>
        <w:jc w:val="center"/>
        <w:rPr>
          <w:rFonts w:ascii="Times New Roman" w:hAnsi="Times New Roman" w:cs="Times New Roman"/>
          <w:b/>
          <w:bCs/>
          <w:sz w:val="24"/>
          <w:szCs w:val="24"/>
        </w:rPr>
      </w:pPr>
      <w:r w:rsidRPr="00335CE6">
        <w:rPr>
          <w:rFonts w:ascii="Times New Roman" w:hAnsi="Times New Roman" w:cs="Times New Roman"/>
          <w:b/>
          <w:bCs/>
          <w:sz w:val="24"/>
          <w:szCs w:val="24"/>
        </w:rPr>
        <w:t>THE OFFICE OF THE OHIO CONSUMERS</w:t>
      </w:r>
      <w:r w:rsidR="00484B1D">
        <w:rPr>
          <w:rFonts w:ascii="Times New Roman" w:hAnsi="Times New Roman" w:cs="Times New Roman"/>
          <w:b/>
          <w:bCs/>
          <w:sz w:val="24"/>
          <w:szCs w:val="24"/>
        </w:rPr>
        <w:t>’</w:t>
      </w:r>
      <w:r w:rsidRPr="00335CE6">
        <w:rPr>
          <w:rFonts w:ascii="Times New Roman" w:hAnsi="Times New Roman" w:cs="Times New Roman"/>
          <w:b/>
          <w:bCs/>
          <w:sz w:val="24"/>
          <w:szCs w:val="24"/>
        </w:rPr>
        <w:t xml:space="preserve"> COUNSEL</w:t>
      </w:r>
    </w:p>
    <w:p w:rsidR="00A970EA" w:rsidRPr="00335CE6" w:rsidP="00A970EA" w14:paraId="2C9B5079" w14:textId="77777777">
      <w:pPr>
        <w:pStyle w:val="HTMLPreformatted"/>
        <w:pBdr>
          <w:bottom w:val="single" w:sz="12" w:space="1" w:color="auto"/>
        </w:pBdr>
        <w:jc w:val="center"/>
        <w:rPr>
          <w:rFonts w:ascii="Times New Roman" w:hAnsi="Times New Roman" w:cs="Times New Roman"/>
          <w:b/>
          <w:bCs/>
          <w:sz w:val="24"/>
          <w:szCs w:val="24"/>
        </w:rPr>
      </w:pPr>
    </w:p>
    <w:p w:rsidR="00A970EA" w:rsidRPr="00335CE6" w:rsidP="00A970EA" w14:paraId="1EA2FFFE" w14:textId="7FAA01C8">
      <w:pPr>
        <w:pStyle w:val="Heading1"/>
        <w:rPr>
          <w:rFonts w:cs="Times New Roman"/>
          <w:szCs w:val="24"/>
        </w:rPr>
      </w:pPr>
      <w:bookmarkStart w:id="1" w:name="_Toc8995076"/>
      <w:bookmarkStart w:id="2" w:name="_Toc8387995"/>
      <w:bookmarkStart w:id="3" w:name="_Toc8831499"/>
    </w:p>
    <w:p w:rsidR="00A970EA" w:rsidRPr="00335CE6" w:rsidP="00A970EA" w14:paraId="72E6BC18" w14:textId="21DA8115">
      <w:pPr>
        <w:pStyle w:val="Heading1"/>
        <w:rPr>
          <w:rFonts w:cs="Times New Roman"/>
          <w:szCs w:val="24"/>
        </w:rPr>
      </w:pPr>
      <w:bookmarkStart w:id="4" w:name="_Toc18580634"/>
      <w:r w:rsidRPr="00335CE6">
        <w:rPr>
          <w:rFonts w:cs="Times New Roman"/>
          <w:szCs w:val="24"/>
        </w:rPr>
        <w:t>I.</w:t>
      </w:r>
      <w:r w:rsidRPr="00335CE6">
        <w:rPr>
          <w:rFonts w:cs="Times New Roman"/>
          <w:szCs w:val="24"/>
        </w:rPr>
        <w:tab/>
        <w:t>Introduction</w:t>
      </w:r>
      <w:bookmarkEnd w:id="4"/>
    </w:p>
    <w:p w:rsidR="00CB76DA" w:rsidP="00A970EA" w14:paraId="6F61F016" w14:textId="46880220">
      <w:pPr>
        <w:autoSpaceDE w:val="0"/>
        <w:autoSpaceDN w:val="0"/>
        <w:adjustRightInd w:val="0"/>
        <w:ind w:firstLine="720"/>
        <w:rPr>
          <w:rFonts w:cs="Times New Roman"/>
          <w:szCs w:val="24"/>
        </w:rPr>
      </w:pPr>
      <w:r w:rsidRPr="00335CE6">
        <w:rPr>
          <w:rFonts w:cs="Times New Roman"/>
          <w:szCs w:val="24"/>
        </w:rPr>
        <w:t>In their July 2, 2019 Entry, the Attorney Examiners in this ongoing proceeding</w:t>
      </w:r>
      <w:r w:rsidR="00D23E28">
        <w:rPr>
          <w:rFonts w:cs="Times New Roman"/>
          <w:szCs w:val="24"/>
        </w:rPr>
        <w:t xml:space="preserve"> </w:t>
      </w:r>
      <w:r w:rsidR="00476CC8">
        <w:rPr>
          <w:rFonts w:cs="Times New Roman"/>
          <w:szCs w:val="24"/>
        </w:rPr>
        <w:t xml:space="preserve">wisely </w:t>
      </w:r>
      <w:r>
        <w:rPr>
          <w:rFonts w:cs="Times New Roman"/>
          <w:szCs w:val="24"/>
        </w:rPr>
        <w:t xml:space="preserve">found that </w:t>
      </w:r>
      <w:r w:rsidR="00D23E28">
        <w:rPr>
          <w:rFonts w:cs="Times New Roman"/>
          <w:szCs w:val="24"/>
        </w:rPr>
        <w:t>“</w:t>
      </w:r>
      <w:r>
        <w:rPr>
          <w:rFonts w:cs="Times New Roman"/>
          <w:szCs w:val="24"/>
        </w:rPr>
        <w:t>parties should have the opportunity to brief the impact</w:t>
      </w:r>
      <w:r w:rsidR="00D23E28">
        <w:rPr>
          <w:rFonts w:cs="Times New Roman"/>
          <w:szCs w:val="24"/>
        </w:rPr>
        <w:t>”</w:t>
      </w:r>
      <w:r>
        <w:rPr>
          <w:rFonts w:cs="Times New Roman"/>
          <w:szCs w:val="24"/>
        </w:rPr>
        <w:t xml:space="preserve"> of a recent Supreme Court decision</w:t>
      </w:r>
      <w:r w:rsidR="00D83868">
        <w:rPr>
          <w:rFonts w:cs="Times New Roman"/>
          <w:szCs w:val="24"/>
        </w:rPr>
        <w:t xml:space="preserve"> on Dayton Power &amp; Light</w:t>
      </w:r>
      <w:r w:rsidR="00484B1D">
        <w:rPr>
          <w:rFonts w:cs="Times New Roman"/>
          <w:szCs w:val="24"/>
        </w:rPr>
        <w:t>’</w:t>
      </w:r>
      <w:r w:rsidR="00D83868">
        <w:rPr>
          <w:rFonts w:cs="Times New Roman"/>
          <w:szCs w:val="24"/>
        </w:rPr>
        <w:t>s (</w:t>
      </w:r>
      <w:r w:rsidR="00D23E28">
        <w:rPr>
          <w:rFonts w:cs="Times New Roman"/>
          <w:szCs w:val="24"/>
        </w:rPr>
        <w:t>“</w:t>
      </w:r>
      <w:r w:rsidR="00D83868">
        <w:rPr>
          <w:rFonts w:cs="Times New Roman"/>
          <w:szCs w:val="24"/>
        </w:rPr>
        <w:t>DP&amp;L</w:t>
      </w:r>
      <w:r w:rsidR="00D23E28">
        <w:rPr>
          <w:rFonts w:cs="Times New Roman"/>
          <w:szCs w:val="24"/>
        </w:rPr>
        <w:t>”</w:t>
      </w:r>
      <w:r w:rsidR="00D83868">
        <w:rPr>
          <w:rFonts w:cs="Times New Roman"/>
          <w:szCs w:val="24"/>
        </w:rPr>
        <w:t>) so-called distribution modernization charge (</w:t>
      </w:r>
      <w:r w:rsidR="00D23E28">
        <w:rPr>
          <w:rFonts w:cs="Times New Roman"/>
          <w:szCs w:val="24"/>
        </w:rPr>
        <w:t>“</w:t>
      </w:r>
      <w:r w:rsidR="00D83868">
        <w:rPr>
          <w:rFonts w:cs="Times New Roman"/>
          <w:szCs w:val="24"/>
        </w:rPr>
        <w:t>Charge</w:t>
      </w:r>
      <w:r w:rsidR="00D23E28">
        <w:rPr>
          <w:rFonts w:cs="Times New Roman"/>
          <w:szCs w:val="24"/>
        </w:rPr>
        <w:t>”</w:t>
      </w:r>
      <w:r w:rsidR="00D83868">
        <w:rPr>
          <w:rFonts w:cs="Times New Roman"/>
          <w:szCs w:val="24"/>
        </w:rPr>
        <w:t>)</w:t>
      </w:r>
      <w:r>
        <w:rPr>
          <w:rFonts w:cs="Times New Roman"/>
          <w:szCs w:val="24"/>
        </w:rPr>
        <w:t>,</w:t>
      </w:r>
      <w:r w:rsidR="00D23E28">
        <w:rPr>
          <w:rFonts w:cs="Times New Roman"/>
          <w:szCs w:val="24"/>
        </w:rPr>
        <w:t xml:space="preserve"> </w:t>
      </w:r>
      <w:r w:rsidRPr="00335CE6">
        <w:rPr>
          <w:rFonts w:cs="Times New Roman"/>
          <w:szCs w:val="24"/>
        </w:rPr>
        <w:t xml:space="preserve">the </w:t>
      </w:r>
      <w:r w:rsidRPr="00335CE6">
        <w:rPr>
          <w:rFonts w:cs="Times New Roman"/>
          <w:i/>
          <w:iCs/>
          <w:szCs w:val="24"/>
        </w:rPr>
        <w:t>Ohio Edison</w:t>
      </w:r>
      <w:r>
        <w:rPr>
          <w:rStyle w:val="FootnoteReference"/>
          <w:rFonts w:cs="Times New Roman"/>
          <w:szCs w:val="24"/>
        </w:rPr>
        <w:footnoteReference w:id="2"/>
      </w:r>
      <w:r w:rsidRPr="007E2022">
        <w:rPr>
          <w:rFonts w:cs="Times New Roman"/>
          <w:szCs w:val="24"/>
        </w:rPr>
        <w:t xml:space="preserve"> </w:t>
      </w:r>
      <w:r w:rsidRPr="00335CE6">
        <w:rPr>
          <w:rFonts w:cs="Times New Roman"/>
          <w:szCs w:val="24"/>
        </w:rPr>
        <w:t>case.</w:t>
      </w:r>
      <w:r>
        <w:rPr>
          <w:rStyle w:val="FootnoteReference"/>
          <w:rFonts w:cs="Times New Roman"/>
          <w:szCs w:val="24"/>
        </w:rPr>
        <w:footnoteReference w:id="3"/>
      </w:r>
      <w:r>
        <w:rPr>
          <w:rFonts w:cs="Times New Roman"/>
          <w:szCs w:val="24"/>
        </w:rPr>
        <w:t xml:space="preserve"> The Entry was issued after the Attorney Examiners found that the settlement in this proceeding included</w:t>
      </w:r>
      <w:r w:rsidR="00D23E28">
        <w:rPr>
          <w:rFonts w:cs="Times New Roman"/>
          <w:szCs w:val="24"/>
        </w:rPr>
        <w:t xml:space="preserve"> </w:t>
      </w:r>
      <w:r w:rsidR="00D83868">
        <w:rPr>
          <w:rFonts w:cs="Times New Roman"/>
          <w:szCs w:val="24"/>
        </w:rPr>
        <w:t>the Charge that</w:t>
      </w:r>
      <w:r>
        <w:rPr>
          <w:rFonts w:cs="Times New Roman"/>
          <w:szCs w:val="24"/>
        </w:rPr>
        <w:t xml:space="preserve"> is </w:t>
      </w:r>
      <w:r w:rsidR="00D23E28">
        <w:rPr>
          <w:rFonts w:cs="Times New Roman"/>
          <w:szCs w:val="24"/>
        </w:rPr>
        <w:t>“</w:t>
      </w:r>
      <w:r>
        <w:rPr>
          <w:rFonts w:cs="Times New Roman"/>
          <w:szCs w:val="24"/>
        </w:rPr>
        <w:t>similar to, but not identical with</w:t>
      </w:r>
      <w:r w:rsidR="00D23E28">
        <w:rPr>
          <w:rFonts w:cs="Times New Roman"/>
          <w:szCs w:val="24"/>
        </w:rPr>
        <w:t>”</w:t>
      </w:r>
      <w:r>
        <w:rPr>
          <w:rFonts w:cs="Times New Roman"/>
          <w:szCs w:val="24"/>
        </w:rPr>
        <w:t xml:space="preserve"> the modernization rider overturned by the Court in the </w:t>
      </w:r>
      <w:r w:rsidRPr="00476CC8">
        <w:rPr>
          <w:rFonts w:cs="Times New Roman"/>
          <w:i/>
          <w:iCs/>
          <w:szCs w:val="24"/>
        </w:rPr>
        <w:t>Ohio Edison</w:t>
      </w:r>
      <w:r>
        <w:rPr>
          <w:rFonts w:cs="Times New Roman"/>
          <w:szCs w:val="24"/>
        </w:rPr>
        <w:t xml:space="preserve"> case.</w:t>
      </w:r>
      <w:r>
        <w:rPr>
          <w:rStyle w:val="FootnoteReference"/>
          <w:rFonts w:cs="Times New Roman"/>
          <w:szCs w:val="24"/>
        </w:rPr>
        <w:footnoteReference w:id="4"/>
      </w:r>
    </w:p>
    <w:p w:rsidR="00CB76DA" w:rsidP="00A970EA" w14:paraId="14FCA1AD" w14:textId="43A7732C">
      <w:pPr>
        <w:autoSpaceDE w:val="0"/>
        <w:autoSpaceDN w:val="0"/>
        <w:adjustRightInd w:val="0"/>
        <w:ind w:firstLine="720"/>
        <w:rPr>
          <w:rFonts w:cs="Times New Roman"/>
          <w:szCs w:val="24"/>
        </w:rPr>
      </w:pPr>
      <w:r w:rsidRPr="00335CE6">
        <w:rPr>
          <w:rFonts w:cs="Times New Roman"/>
          <w:szCs w:val="24"/>
        </w:rPr>
        <w:t>Parties – including DP&amp;L and the Office of the Ohio Consumers</w:t>
      </w:r>
      <w:r w:rsidR="00484B1D">
        <w:rPr>
          <w:rFonts w:cs="Times New Roman"/>
          <w:szCs w:val="24"/>
        </w:rPr>
        <w:t>’</w:t>
      </w:r>
      <w:r w:rsidRPr="00335CE6">
        <w:rPr>
          <w:rFonts w:cs="Times New Roman"/>
          <w:szCs w:val="24"/>
        </w:rPr>
        <w:t xml:space="preserve"> Counsel (</w:t>
      </w:r>
      <w:r w:rsidR="00D23E28">
        <w:rPr>
          <w:rFonts w:cs="Times New Roman"/>
          <w:szCs w:val="24"/>
        </w:rPr>
        <w:t>“</w:t>
      </w:r>
      <w:r w:rsidRPr="00335CE6">
        <w:rPr>
          <w:rFonts w:cs="Times New Roman"/>
          <w:szCs w:val="24"/>
        </w:rPr>
        <w:t>OCC</w:t>
      </w:r>
      <w:r w:rsidR="00D23E28">
        <w:rPr>
          <w:rFonts w:cs="Times New Roman"/>
          <w:szCs w:val="24"/>
        </w:rPr>
        <w:t>”</w:t>
      </w:r>
      <w:r w:rsidRPr="00335CE6">
        <w:rPr>
          <w:rFonts w:cs="Times New Roman"/>
          <w:szCs w:val="24"/>
        </w:rPr>
        <w:t xml:space="preserve">) – </w:t>
      </w:r>
      <w:r>
        <w:rPr>
          <w:rFonts w:cs="Times New Roman"/>
          <w:szCs w:val="24"/>
        </w:rPr>
        <w:t>responded to the Attorney Examiners</w:t>
      </w:r>
      <w:r w:rsidR="00484B1D">
        <w:rPr>
          <w:rFonts w:cs="Times New Roman"/>
          <w:szCs w:val="24"/>
        </w:rPr>
        <w:t>’</w:t>
      </w:r>
      <w:r>
        <w:rPr>
          <w:rFonts w:cs="Times New Roman"/>
          <w:szCs w:val="24"/>
        </w:rPr>
        <w:t xml:space="preserve"> Entry</w:t>
      </w:r>
      <w:r w:rsidR="0082386D">
        <w:rPr>
          <w:rFonts w:cs="Times New Roman"/>
          <w:szCs w:val="24"/>
        </w:rPr>
        <w:t xml:space="preserve"> that allowed </w:t>
      </w:r>
      <w:r w:rsidR="00D23E28">
        <w:rPr>
          <w:rFonts w:cs="Times New Roman"/>
          <w:szCs w:val="24"/>
        </w:rPr>
        <w:t>“</w:t>
      </w:r>
      <w:r w:rsidR="0082386D">
        <w:rPr>
          <w:rFonts w:cs="Times New Roman"/>
          <w:szCs w:val="24"/>
        </w:rPr>
        <w:t>supplemental briefs</w:t>
      </w:r>
      <w:r w:rsidR="00D23E28">
        <w:rPr>
          <w:rFonts w:cs="Times New Roman"/>
          <w:szCs w:val="24"/>
        </w:rPr>
        <w:t>”</w:t>
      </w:r>
      <w:r w:rsidR="0082386D">
        <w:rPr>
          <w:rFonts w:cs="Times New Roman"/>
          <w:szCs w:val="24"/>
        </w:rPr>
        <w:t xml:space="preserve"> (but no reply briefs).</w:t>
      </w:r>
      <w:r w:rsidR="00D23E28">
        <w:rPr>
          <w:rFonts w:cs="Times New Roman"/>
          <w:szCs w:val="24"/>
        </w:rPr>
        <w:t xml:space="preserve"> </w:t>
      </w:r>
      <w:r w:rsidR="0082386D">
        <w:rPr>
          <w:rFonts w:cs="Times New Roman"/>
          <w:szCs w:val="24"/>
        </w:rPr>
        <w:t>Supplemental briefs were filed</w:t>
      </w:r>
      <w:r w:rsidR="00D23E28">
        <w:rPr>
          <w:rFonts w:cs="Times New Roman"/>
          <w:szCs w:val="24"/>
        </w:rPr>
        <w:t xml:space="preserve"> </w:t>
      </w:r>
      <w:r w:rsidRPr="00335CE6">
        <w:rPr>
          <w:rFonts w:cs="Times New Roman"/>
          <w:szCs w:val="24"/>
        </w:rPr>
        <w:t>on August 1, 2019.</w:t>
      </w:r>
      <w:r>
        <w:rPr>
          <w:rStyle w:val="FootnoteReference"/>
          <w:rFonts w:cs="Times New Roman"/>
          <w:szCs w:val="24"/>
        </w:rPr>
        <w:footnoteReference w:id="5"/>
      </w:r>
    </w:p>
    <w:p w:rsidR="0082386D" w:rsidP="00A970EA" w14:paraId="72AFE211" w14:textId="606B3C6D">
      <w:pPr>
        <w:autoSpaceDE w:val="0"/>
        <w:autoSpaceDN w:val="0"/>
        <w:adjustRightInd w:val="0"/>
        <w:ind w:firstLine="720"/>
        <w:rPr>
          <w:rFonts w:cs="Times New Roman"/>
          <w:szCs w:val="24"/>
        </w:rPr>
      </w:pPr>
      <w:r>
        <w:rPr>
          <w:rFonts w:cs="Times New Roman"/>
          <w:szCs w:val="24"/>
        </w:rPr>
        <w:t>But on</w:t>
      </w:r>
      <w:r w:rsidR="0084093E">
        <w:rPr>
          <w:rFonts w:cs="Times New Roman"/>
          <w:szCs w:val="24"/>
        </w:rPr>
        <w:t xml:space="preserve"> August 21, 2019</w:t>
      </w:r>
      <w:r w:rsidR="001C3BA1">
        <w:rPr>
          <w:rFonts w:cs="Times New Roman"/>
          <w:szCs w:val="24"/>
        </w:rPr>
        <w:t>, DP&amp;L filed a motion to strike the briefs of</w:t>
      </w:r>
      <w:r w:rsidR="0084093E">
        <w:rPr>
          <w:rFonts w:cs="Times New Roman"/>
          <w:szCs w:val="24"/>
        </w:rPr>
        <w:t xml:space="preserve"> OCC; Interstate Gas Supply, Inc. (</w:t>
      </w:r>
      <w:r w:rsidR="00D23E28">
        <w:rPr>
          <w:rFonts w:cs="Times New Roman"/>
          <w:szCs w:val="24"/>
        </w:rPr>
        <w:t>“</w:t>
      </w:r>
      <w:r w:rsidR="0084093E">
        <w:rPr>
          <w:rFonts w:cs="Times New Roman"/>
          <w:szCs w:val="24"/>
        </w:rPr>
        <w:t>IGS</w:t>
      </w:r>
      <w:r w:rsidR="00D23E28">
        <w:rPr>
          <w:rFonts w:cs="Times New Roman"/>
          <w:szCs w:val="24"/>
        </w:rPr>
        <w:t>”</w:t>
      </w:r>
      <w:r w:rsidR="0084093E">
        <w:rPr>
          <w:rFonts w:cs="Times New Roman"/>
          <w:szCs w:val="24"/>
        </w:rPr>
        <w:t>); Environmental Defense Fund, Environmental Law &amp; Policy Center, Ohio Environmental Council, and Sierra Club (</w:t>
      </w:r>
      <w:r w:rsidR="00D23E28">
        <w:rPr>
          <w:rFonts w:cs="Times New Roman"/>
          <w:szCs w:val="24"/>
        </w:rPr>
        <w:t>“</w:t>
      </w:r>
      <w:r w:rsidR="0084093E">
        <w:rPr>
          <w:rFonts w:cs="Times New Roman"/>
          <w:szCs w:val="24"/>
        </w:rPr>
        <w:t>Environmental Group</w:t>
      </w:r>
      <w:r w:rsidR="00D23E28">
        <w:rPr>
          <w:rFonts w:cs="Times New Roman"/>
          <w:szCs w:val="24"/>
        </w:rPr>
        <w:t>”</w:t>
      </w:r>
      <w:r w:rsidR="0084093E">
        <w:rPr>
          <w:rFonts w:cs="Times New Roman"/>
          <w:szCs w:val="24"/>
        </w:rPr>
        <w:t>).</w:t>
      </w:r>
      <w:r w:rsidR="00484B1D">
        <w:rPr>
          <w:rFonts w:cs="Times New Roman"/>
          <w:szCs w:val="24"/>
        </w:rPr>
        <w:t xml:space="preserve">      </w:t>
      </w:r>
      <w:r w:rsidR="00D23E28">
        <w:rPr>
          <w:rFonts w:cs="Times New Roman"/>
          <w:szCs w:val="24"/>
        </w:rPr>
        <w:t xml:space="preserve"> </w:t>
      </w:r>
      <w:r w:rsidRPr="00335CE6" w:rsidR="00A970EA">
        <w:rPr>
          <w:rFonts w:cs="Times New Roman"/>
          <w:szCs w:val="24"/>
        </w:rPr>
        <w:t>In its Motion DP&amp;L</w:t>
      </w:r>
      <w:r w:rsidR="001C3BA1">
        <w:rPr>
          <w:rFonts w:cs="Times New Roman"/>
          <w:szCs w:val="24"/>
        </w:rPr>
        <w:t xml:space="preserve"> argues that</w:t>
      </w:r>
      <w:r w:rsidR="0084093E">
        <w:rPr>
          <w:rFonts w:cs="Times New Roman"/>
          <w:szCs w:val="24"/>
        </w:rPr>
        <w:t xml:space="preserve"> these parties</w:t>
      </w:r>
      <w:r w:rsidR="00484B1D">
        <w:rPr>
          <w:rFonts w:cs="Times New Roman"/>
          <w:szCs w:val="24"/>
        </w:rPr>
        <w:t>’</w:t>
      </w:r>
      <w:r w:rsidR="0084093E">
        <w:rPr>
          <w:rFonts w:cs="Times New Roman"/>
          <w:szCs w:val="24"/>
        </w:rPr>
        <w:t xml:space="preserve"> supplemental briefs should be stricken</w:t>
      </w:r>
      <w:r w:rsidR="00476CC8">
        <w:rPr>
          <w:rFonts w:cs="Times New Roman"/>
          <w:szCs w:val="24"/>
        </w:rPr>
        <w:t xml:space="preserve"> because the parties waived the right to argue against the Charge or will suffer no harm from imposition of the Charge</w:t>
      </w:r>
      <w:r w:rsidR="001C3BA1">
        <w:rPr>
          <w:rFonts w:cs="Times New Roman"/>
          <w:szCs w:val="24"/>
        </w:rPr>
        <w:t>.</w:t>
      </w:r>
      <w:r w:rsidR="00D23E28">
        <w:rPr>
          <w:rFonts w:cs="Times New Roman"/>
          <w:szCs w:val="24"/>
        </w:rPr>
        <w:t xml:space="preserve"> </w:t>
      </w:r>
      <w:r w:rsidR="001C3BA1">
        <w:rPr>
          <w:rFonts w:cs="Times New Roman"/>
          <w:szCs w:val="24"/>
        </w:rPr>
        <w:t>In reality</w:t>
      </w:r>
      <w:r w:rsidR="0084093E">
        <w:rPr>
          <w:rFonts w:cs="Times New Roman"/>
          <w:szCs w:val="24"/>
        </w:rPr>
        <w:t>,</w:t>
      </w:r>
      <w:r w:rsidR="001C3BA1">
        <w:rPr>
          <w:rFonts w:cs="Times New Roman"/>
          <w:szCs w:val="24"/>
        </w:rPr>
        <w:t xml:space="preserve"> DP&amp;L is grasping at straws and </w:t>
      </w:r>
      <w:r w:rsidRPr="00335CE6" w:rsidR="00A970EA">
        <w:rPr>
          <w:rFonts w:cs="Times New Roman"/>
          <w:szCs w:val="24"/>
        </w:rPr>
        <w:t>seek</w:t>
      </w:r>
      <w:r w:rsidR="001C3BA1">
        <w:rPr>
          <w:rFonts w:cs="Times New Roman"/>
          <w:szCs w:val="24"/>
        </w:rPr>
        <w:t>ing</w:t>
      </w:r>
      <w:r w:rsidR="0084093E">
        <w:rPr>
          <w:rFonts w:cs="Times New Roman"/>
          <w:szCs w:val="24"/>
        </w:rPr>
        <w:t xml:space="preserve"> </w:t>
      </w:r>
      <w:r w:rsidRPr="00335CE6" w:rsidR="00A970EA">
        <w:rPr>
          <w:rFonts w:cs="Times New Roman"/>
          <w:szCs w:val="24"/>
        </w:rPr>
        <w:t xml:space="preserve">to prevent consumers from </w:t>
      </w:r>
      <w:r w:rsidR="001C3BA1">
        <w:rPr>
          <w:rFonts w:cs="Times New Roman"/>
          <w:szCs w:val="24"/>
        </w:rPr>
        <w:t xml:space="preserve">being heard on why its own similar </w:t>
      </w:r>
      <w:r w:rsidR="00D83868">
        <w:rPr>
          <w:rFonts w:cs="Times New Roman"/>
          <w:szCs w:val="24"/>
        </w:rPr>
        <w:t>C</w:t>
      </w:r>
      <w:r w:rsidR="001C3BA1">
        <w:rPr>
          <w:rFonts w:cs="Times New Roman"/>
          <w:szCs w:val="24"/>
        </w:rPr>
        <w:t>harge to customers</w:t>
      </w:r>
      <w:r w:rsidR="00CB76DA">
        <w:rPr>
          <w:rFonts w:cs="Times New Roman"/>
          <w:szCs w:val="24"/>
        </w:rPr>
        <w:t xml:space="preserve"> </w:t>
      </w:r>
      <w:r w:rsidR="001C3BA1">
        <w:rPr>
          <w:rFonts w:cs="Times New Roman"/>
          <w:szCs w:val="24"/>
        </w:rPr>
        <w:t xml:space="preserve">is also unlawful. </w:t>
      </w:r>
    </w:p>
    <w:p w:rsidR="00A970EA" w:rsidRPr="00335CE6" w:rsidP="00A970EA" w14:paraId="18CAE54C" w14:textId="12F8AED0">
      <w:pPr>
        <w:autoSpaceDE w:val="0"/>
        <w:autoSpaceDN w:val="0"/>
        <w:adjustRightInd w:val="0"/>
        <w:ind w:firstLine="720"/>
        <w:rPr>
          <w:rFonts w:cs="Times New Roman"/>
          <w:szCs w:val="24"/>
        </w:rPr>
      </w:pPr>
      <w:r>
        <w:rPr>
          <w:rFonts w:cs="Times New Roman"/>
          <w:szCs w:val="24"/>
        </w:rPr>
        <w:t>But DP&amp;L</w:t>
      </w:r>
      <w:r w:rsidR="00484B1D">
        <w:rPr>
          <w:rFonts w:cs="Times New Roman"/>
          <w:szCs w:val="24"/>
        </w:rPr>
        <w:t>’</w:t>
      </w:r>
      <w:r>
        <w:rPr>
          <w:rFonts w:cs="Times New Roman"/>
          <w:szCs w:val="24"/>
        </w:rPr>
        <w:t xml:space="preserve">s Motion </w:t>
      </w:r>
      <w:r w:rsidR="0082386D">
        <w:rPr>
          <w:rFonts w:cs="Times New Roman"/>
          <w:szCs w:val="24"/>
        </w:rPr>
        <w:t xml:space="preserve">should be denied. </w:t>
      </w:r>
      <w:r w:rsidR="00500704">
        <w:rPr>
          <w:rFonts w:cs="Times New Roman"/>
          <w:szCs w:val="24"/>
        </w:rPr>
        <w:t xml:space="preserve">The Attorney Examiners had the authority to issue the Entry </w:t>
      </w:r>
      <w:r w:rsidR="00D83868">
        <w:rPr>
          <w:rFonts w:cs="Times New Roman"/>
          <w:szCs w:val="24"/>
        </w:rPr>
        <w:t xml:space="preserve">requesting supplemental briefs </w:t>
      </w:r>
      <w:r w:rsidR="00500704">
        <w:rPr>
          <w:rFonts w:cs="Times New Roman"/>
          <w:szCs w:val="24"/>
        </w:rPr>
        <w:t>and the parties</w:t>
      </w:r>
      <w:r w:rsidR="00484B1D">
        <w:rPr>
          <w:rFonts w:cs="Times New Roman"/>
          <w:szCs w:val="24"/>
        </w:rPr>
        <w:t>’</w:t>
      </w:r>
      <w:r w:rsidR="00500704">
        <w:rPr>
          <w:rFonts w:cs="Times New Roman"/>
          <w:szCs w:val="24"/>
        </w:rPr>
        <w:t xml:space="preserve"> complied with </w:t>
      </w:r>
      <w:r w:rsidR="001F777F">
        <w:rPr>
          <w:rFonts w:cs="Times New Roman"/>
          <w:szCs w:val="24"/>
        </w:rPr>
        <w:t xml:space="preserve">the </w:t>
      </w:r>
      <w:r w:rsidR="004F3054">
        <w:rPr>
          <w:rFonts w:cs="Times New Roman"/>
          <w:szCs w:val="24"/>
        </w:rPr>
        <w:t>Entry</w:t>
      </w:r>
      <w:r w:rsidR="001F777F">
        <w:rPr>
          <w:rFonts w:cs="Times New Roman"/>
          <w:szCs w:val="24"/>
        </w:rPr>
        <w:t>.</w:t>
      </w:r>
      <w:r w:rsidR="00D23E28">
        <w:rPr>
          <w:rFonts w:cs="Times New Roman"/>
          <w:szCs w:val="24"/>
        </w:rPr>
        <w:t xml:space="preserve"> </w:t>
      </w:r>
      <w:r w:rsidR="00500704">
        <w:rPr>
          <w:rFonts w:cs="Times New Roman"/>
          <w:szCs w:val="24"/>
        </w:rPr>
        <w:t>DP&amp;L does not argue otherwise.</w:t>
      </w:r>
      <w:r w:rsidR="00D23E28">
        <w:rPr>
          <w:rFonts w:cs="Times New Roman"/>
          <w:szCs w:val="24"/>
        </w:rPr>
        <w:t xml:space="preserve"> </w:t>
      </w:r>
      <w:r w:rsidR="00500704">
        <w:rPr>
          <w:rFonts w:cs="Times New Roman"/>
          <w:szCs w:val="24"/>
        </w:rPr>
        <w:t>Further, DP&amp;L</w:t>
      </w:r>
      <w:r w:rsidR="00484B1D">
        <w:rPr>
          <w:rFonts w:cs="Times New Roman"/>
          <w:szCs w:val="24"/>
        </w:rPr>
        <w:t>’</w:t>
      </w:r>
      <w:r w:rsidR="00500704">
        <w:rPr>
          <w:rFonts w:cs="Times New Roman"/>
          <w:szCs w:val="24"/>
        </w:rPr>
        <w:t xml:space="preserve">s Motion </w:t>
      </w:r>
      <w:r w:rsidRPr="00335CE6">
        <w:rPr>
          <w:rFonts w:cs="Times New Roman"/>
          <w:szCs w:val="24"/>
        </w:rPr>
        <w:t xml:space="preserve">is </w:t>
      </w:r>
      <w:r w:rsidR="0082386D">
        <w:rPr>
          <w:rFonts w:cs="Times New Roman"/>
          <w:szCs w:val="24"/>
        </w:rPr>
        <w:t xml:space="preserve">nothing more than </w:t>
      </w:r>
      <w:r w:rsidR="00F55247">
        <w:rPr>
          <w:rFonts w:cs="Times New Roman"/>
          <w:szCs w:val="24"/>
        </w:rPr>
        <w:t>a late filed interlocutory appeal of</w:t>
      </w:r>
      <w:r w:rsidR="0082386D">
        <w:rPr>
          <w:rFonts w:cs="Times New Roman"/>
          <w:szCs w:val="24"/>
        </w:rPr>
        <w:t xml:space="preserve"> </w:t>
      </w:r>
      <w:r w:rsidRPr="00335CE6">
        <w:rPr>
          <w:rFonts w:cs="Times New Roman"/>
          <w:szCs w:val="24"/>
        </w:rPr>
        <w:t xml:space="preserve">the </w:t>
      </w:r>
      <w:r w:rsidR="0082386D">
        <w:rPr>
          <w:rFonts w:cs="Times New Roman"/>
          <w:szCs w:val="24"/>
        </w:rPr>
        <w:t>Attorney Examiners</w:t>
      </w:r>
      <w:r w:rsidR="00484B1D">
        <w:rPr>
          <w:rFonts w:cs="Times New Roman"/>
          <w:szCs w:val="24"/>
        </w:rPr>
        <w:t>’</w:t>
      </w:r>
      <w:r w:rsidR="0082386D">
        <w:rPr>
          <w:rFonts w:cs="Times New Roman"/>
          <w:szCs w:val="24"/>
        </w:rPr>
        <w:t xml:space="preserve"> </w:t>
      </w:r>
      <w:r w:rsidRPr="00335CE6">
        <w:rPr>
          <w:rFonts w:cs="Times New Roman"/>
          <w:szCs w:val="24"/>
        </w:rPr>
        <w:t>Entry</w:t>
      </w:r>
      <w:r w:rsidR="00D83868">
        <w:rPr>
          <w:rFonts w:cs="Times New Roman"/>
          <w:szCs w:val="24"/>
        </w:rPr>
        <w:t xml:space="preserve"> and should be denied</w:t>
      </w:r>
      <w:r w:rsidR="0082386D">
        <w:rPr>
          <w:rFonts w:cs="Times New Roman"/>
          <w:szCs w:val="24"/>
        </w:rPr>
        <w:t xml:space="preserve">. </w:t>
      </w:r>
    </w:p>
    <w:p w:rsidR="00A970EA" w:rsidRPr="00335CE6" w:rsidP="00A970EA" w14:paraId="3ACB62C3" w14:textId="70880777">
      <w:pPr>
        <w:autoSpaceDE w:val="0"/>
        <w:autoSpaceDN w:val="0"/>
        <w:adjustRightInd w:val="0"/>
        <w:ind w:firstLine="720"/>
        <w:rPr>
          <w:rFonts w:cs="Times New Roman"/>
          <w:szCs w:val="24"/>
        </w:rPr>
      </w:pPr>
      <w:r w:rsidRPr="00335CE6">
        <w:rPr>
          <w:rFonts w:cs="Times New Roman"/>
          <w:szCs w:val="24"/>
        </w:rPr>
        <w:t xml:space="preserve">If the PUCO </w:t>
      </w:r>
      <w:r w:rsidR="0082386D">
        <w:rPr>
          <w:rFonts w:cs="Times New Roman"/>
          <w:szCs w:val="24"/>
        </w:rPr>
        <w:t xml:space="preserve">nonetheless </w:t>
      </w:r>
      <w:r w:rsidRPr="00335CE6">
        <w:rPr>
          <w:rFonts w:cs="Times New Roman"/>
          <w:szCs w:val="24"/>
        </w:rPr>
        <w:t>considers the Motion, it should be rejected</w:t>
      </w:r>
      <w:r w:rsidR="00765AE7">
        <w:rPr>
          <w:rFonts w:cs="Times New Roman"/>
          <w:szCs w:val="24"/>
        </w:rPr>
        <w:t xml:space="preserve"> to protect consumers</w:t>
      </w:r>
      <w:r w:rsidRPr="00335CE6">
        <w:rPr>
          <w:rFonts w:cs="Times New Roman"/>
          <w:szCs w:val="24"/>
        </w:rPr>
        <w:t>.</w:t>
      </w:r>
      <w:r w:rsidR="00000E80">
        <w:rPr>
          <w:rFonts w:cs="Times New Roman"/>
          <w:szCs w:val="24"/>
        </w:rPr>
        <w:t xml:space="preserve"> </w:t>
      </w:r>
      <w:r w:rsidRPr="00335CE6">
        <w:rPr>
          <w:rFonts w:cs="Times New Roman"/>
          <w:szCs w:val="24"/>
        </w:rPr>
        <w:t>It misrepresents the record in this case.</w:t>
      </w:r>
      <w:r w:rsidR="00000E80">
        <w:rPr>
          <w:rFonts w:cs="Times New Roman"/>
          <w:szCs w:val="24"/>
        </w:rPr>
        <w:t xml:space="preserve"> </w:t>
      </w:r>
      <w:r w:rsidRPr="00335CE6">
        <w:rPr>
          <w:rFonts w:cs="Times New Roman"/>
          <w:szCs w:val="24"/>
        </w:rPr>
        <w:t xml:space="preserve">And it fails to </w:t>
      </w:r>
      <w:r w:rsidR="0084093E">
        <w:rPr>
          <w:rFonts w:cs="Times New Roman"/>
          <w:szCs w:val="24"/>
        </w:rPr>
        <w:t xml:space="preserve">acknowledge that </w:t>
      </w:r>
      <w:r w:rsidR="00476CC8">
        <w:rPr>
          <w:rFonts w:cs="Times New Roman"/>
          <w:szCs w:val="24"/>
        </w:rPr>
        <w:t>the issue is still live in DP&amp;L</w:t>
      </w:r>
      <w:r w:rsidR="00484B1D">
        <w:rPr>
          <w:rFonts w:cs="Times New Roman"/>
          <w:szCs w:val="24"/>
        </w:rPr>
        <w:t>’</w:t>
      </w:r>
      <w:r w:rsidR="00476CC8">
        <w:rPr>
          <w:rFonts w:cs="Times New Roman"/>
          <w:szCs w:val="24"/>
        </w:rPr>
        <w:t>s</w:t>
      </w:r>
      <w:r w:rsidR="00D23E28">
        <w:rPr>
          <w:rFonts w:cs="Times New Roman"/>
          <w:szCs w:val="24"/>
        </w:rPr>
        <w:t xml:space="preserve"> </w:t>
      </w:r>
      <w:r w:rsidR="0084093E">
        <w:rPr>
          <w:rFonts w:cs="Times New Roman"/>
          <w:szCs w:val="24"/>
        </w:rPr>
        <w:t>ongoing</w:t>
      </w:r>
      <w:r w:rsidR="00476CC8">
        <w:rPr>
          <w:rFonts w:cs="Times New Roman"/>
          <w:szCs w:val="24"/>
        </w:rPr>
        <w:t xml:space="preserve"> proceeding</w:t>
      </w:r>
      <w:r w:rsidRPr="00335CE6">
        <w:rPr>
          <w:rFonts w:cs="Times New Roman"/>
          <w:szCs w:val="24"/>
        </w:rPr>
        <w:t>.</w:t>
      </w:r>
      <w:r w:rsidR="00000E80">
        <w:rPr>
          <w:rFonts w:cs="Times New Roman"/>
          <w:szCs w:val="24"/>
        </w:rPr>
        <w:t xml:space="preserve"> </w:t>
      </w:r>
      <w:r w:rsidRPr="00335CE6">
        <w:rPr>
          <w:rFonts w:cs="Times New Roman"/>
          <w:szCs w:val="24"/>
        </w:rPr>
        <w:t>An accurate review of the record and accounting for the procedural posture of the case requires denying DP&amp;L</w:t>
      </w:r>
      <w:r w:rsidR="00484B1D">
        <w:rPr>
          <w:rFonts w:cs="Times New Roman"/>
          <w:szCs w:val="24"/>
        </w:rPr>
        <w:t>’</w:t>
      </w:r>
      <w:r w:rsidRPr="00335CE6">
        <w:rPr>
          <w:rFonts w:cs="Times New Roman"/>
          <w:szCs w:val="24"/>
        </w:rPr>
        <w:t>s Motion.</w:t>
      </w:r>
    </w:p>
    <w:p w:rsidR="00A970EA" w:rsidRPr="00335CE6" w:rsidP="00A970EA" w14:paraId="50C445DC" w14:textId="77777777">
      <w:pPr>
        <w:autoSpaceDE w:val="0"/>
        <w:autoSpaceDN w:val="0"/>
        <w:adjustRightInd w:val="0"/>
        <w:spacing w:line="240" w:lineRule="auto"/>
        <w:ind w:firstLine="720"/>
        <w:rPr>
          <w:rFonts w:cs="Times New Roman"/>
          <w:szCs w:val="24"/>
        </w:rPr>
      </w:pPr>
    </w:p>
    <w:p w:rsidR="00A970EA" w:rsidRPr="00335CE6" w:rsidP="00A970EA" w14:paraId="279897A0" w14:textId="689CE585">
      <w:pPr>
        <w:pStyle w:val="Heading1"/>
        <w:rPr>
          <w:rFonts w:cs="Times New Roman"/>
          <w:i/>
          <w:iCs/>
          <w:szCs w:val="24"/>
        </w:rPr>
      </w:pPr>
      <w:bookmarkStart w:id="5" w:name="_Toc18580635"/>
      <w:r w:rsidRPr="00335CE6">
        <w:rPr>
          <w:rFonts w:cs="Times New Roman"/>
          <w:szCs w:val="24"/>
        </w:rPr>
        <w:t>II.</w:t>
      </w:r>
      <w:r w:rsidRPr="00335CE6">
        <w:rPr>
          <w:rFonts w:cs="Times New Roman"/>
          <w:szCs w:val="24"/>
        </w:rPr>
        <w:tab/>
        <w:t>Background</w:t>
      </w:r>
      <w:bookmarkEnd w:id="5"/>
    </w:p>
    <w:p w:rsidR="00A970EA" w:rsidRPr="00335CE6" w:rsidP="00A970EA" w14:paraId="23FDA53A" w14:textId="7C9852DB">
      <w:pPr>
        <w:ind w:firstLine="720"/>
        <w:rPr>
          <w:rFonts w:cs="Times New Roman"/>
          <w:szCs w:val="24"/>
        </w:rPr>
      </w:pPr>
      <w:r w:rsidRPr="00335CE6">
        <w:rPr>
          <w:rFonts w:cs="Times New Roman"/>
          <w:szCs w:val="24"/>
        </w:rPr>
        <w:t>This case began in February 2016 with DP&amp;L</w:t>
      </w:r>
      <w:r w:rsidR="00484B1D">
        <w:rPr>
          <w:rFonts w:cs="Times New Roman"/>
          <w:szCs w:val="24"/>
        </w:rPr>
        <w:t>’</w:t>
      </w:r>
      <w:r w:rsidRPr="00335CE6">
        <w:rPr>
          <w:rFonts w:cs="Times New Roman"/>
          <w:szCs w:val="24"/>
        </w:rPr>
        <w:t>s application to fulfill its obligation to provide a standard service offer through an electric security plan.</w:t>
      </w:r>
      <w:r>
        <w:rPr>
          <w:rStyle w:val="FootnoteReference"/>
          <w:rFonts w:cs="Times New Roman"/>
          <w:szCs w:val="24"/>
        </w:rPr>
        <w:footnoteReference w:id="6"/>
      </w:r>
      <w:r w:rsidR="00000E80">
        <w:rPr>
          <w:rFonts w:cs="Times New Roman"/>
          <w:szCs w:val="24"/>
        </w:rPr>
        <w:t xml:space="preserve"> </w:t>
      </w:r>
      <w:r w:rsidRPr="00335CE6">
        <w:rPr>
          <w:rFonts w:cs="Times New Roman"/>
          <w:szCs w:val="24"/>
        </w:rPr>
        <w:t>In its application, DP&amp;L proposed a charge to customers (</w:t>
      </w:r>
      <w:r w:rsidR="00D23E28">
        <w:rPr>
          <w:rFonts w:cs="Times New Roman"/>
          <w:szCs w:val="24"/>
        </w:rPr>
        <w:t>“</w:t>
      </w:r>
      <w:r w:rsidRPr="00335CE6">
        <w:rPr>
          <w:rFonts w:cs="Times New Roman"/>
          <w:szCs w:val="24"/>
        </w:rPr>
        <w:t>OVEC subsidy rider</w:t>
      </w:r>
      <w:r w:rsidR="00D23E28">
        <w:rPr>
          <w:rFonts w:cs="Times New Roman"/>
          <w:szCs w:val="24"/>
        </w:rPr>
        <w:t>”</w:t>
      </w:r>
      <w:r w:rsidRPr="00335CE6">
        <w:rPr>
          <w:rFonts w:cs="Times New Roman"/>
          <w:szCs w:val="24"/>
        </w:rPr>
        <w:t>) to subsidize the costs of producing power at two 1950s era coal plants in which it has interests (the OVEC units). DP&amp;L</w:t>
      </w:r>
      <w:r w:rsidR="00484B1D">
        <w:rPr>
          <w:rFonts w:cs="Times New Roman"/>
          <w:szCs w:val="24"/>
        </w:rPr>
        <w:t>’</w:t>
      </w:r>
      <w:r w:rsidRPr="00335CE6">
        <w:rPr>
          <w:rFonts w:cs="Times New Roman"/>
          <w:szCs w:val="24"/>
        </w:rPr>
        <w:t xml:space="preserve">s charge </w:t>
      </w:r>
      <w:r w:rsidR="0084093E">
        <w:rPr>
          <w:rFonts w:cs="Times New Roman"/>
          <w:szCs w:val="24"/>
        </w:rPr>
        <w:t>on</w:t>
      </w:r>
      <w:r w:rsidR="00E5241E">
        <w:rPr>
          <w:rFonts w:cs="Times New Roman"/>
          <w:szCs w:val="24"/>
        </w:rPr>
        <w:t xml:space="preserve"> customers </w:t>
      </w:r>
      <w:r w:rsidRPr="00335CE6">
        <w:rPr>
          <w:rFonts w:cs="Times New Roman"/>
          <w:szCs w:val="24"/>
        </w:rPr>
        <w:t>for credit support, the</w:t>
      </w:r>
      <w:r w:rsidR="00D23E28">
        <w:rPr>
          <w:rFonts w:cs="Times New Roman"/>
          <w:szCs w:val="24"/>
        </w:rPr>
        <w:t xml:space="preserve"> </w:t>
      </w:r>
      <w:r w:rsidR="00811CCB">
        <w:rPr>
          <w:rFonts w:cs="Times New Roman"/>
          <w:szCs w:val="24"/>
        </w:rPr>
        <w:t>C</w:t>
      </w:r>
      <w:r w:rsidRPr="00335CE6">
        <w:rPr>
          <w:rFonts w:cs="Times New Roman"/>
          <w:szCs w:val="24"/>
        </w:rPr>
        <w:t>harge</w:t>
      </w:r>
      <w:r w:rsidR="004F3054">
        <w:rPr>
          <w:rFonts w:cs="Times New Roman"/>
          <w:szCs w:val="24"/>
        </w:rPr>
        <w:t>,</w:t>
      </w:r>
      <w:r w:rsidRPr="00335CE6">
        <w:rPr>
          <w:rFonts w:cs="Times New Roman"/>
          <w:szCs w:val="24"/>
        </w:rPr>
        <w:t xml:space="preserve"> was also proposed.</w:t>
      </w:r>
      <w:r w:rsidR="00000E80">
        <w:rPr>
          <w:rFonts w:cs="Times New Roman"/>
          <w:szCs w:val="24"/>
        </w:rPr>
        <w:t xml:space="preserve"> </w:t>
      </w:r>
      <w:r w:rsidRPr="00335CE6">
        <w:rPr>
          <w:rFonts w:cs="Times New Roman"/>
          <w:szCs w:val="24"/>
        </w:rPr>
        <w:t>OCC has demonstrated before the PUCO that customers should be protected from paying these charges.</w:t>
      </w:r>
      <w:r w:rsidR="00000E80">
        <w:rPr>
          <w:rFonts w:cs="Times New Roman"/>
          <w:szCs w:val="24"/>
        </w:rPr>
        <w:t xml:space="preserve"> </w:t>
      </w:r>
    </w:p>
    <w:p w:rsidR="00A970EA" w:rsidRPr="00335CE6" w:rsidP="00A970EA" w14:paraId="54B85C37" w14:textId="0B000A74">
      <w:pPr>
        <w:ind w:firstLine="720"/>
        <w:rPr>
          <w:rFonts w:cs="Times New Roman"/>
          <w:szCs w:val="24"/>
        </w:rPr>
      </w:pPr>
      <w:r w:rsidRPr="00335CE6">
        <w:rPr>
          <w:rFonts w:cs="Times New Roman"/>
          <w:szCs w:val="24"/>
        </w:rPr>
        <w:t>On March 14, 2017, several parties, including IGS, submitted an Amended Stipulation (</w:t>
      </w:r>
      <w:r w:rsidR="00D23E28">
        <w:rPr>
          <w:rFonts w:cs="Times New Roman"/>
          <w:szCs w:val="24"/>
        </w:rPr>
        <w:t>“</w:t>
      </w:r>
      <w:r w:rsidRPr="00335CE6">
        <w:rPr>
          <w:rFonts w:cs="Times New Roman"/>
          <w:szCs w:val="24"/>
        </w:rPr>
        <w:t>Settlement</w:t>
      </w:r>
      <w:r w:rsidR="00D23E28">
        <w:rPr>
          <w:rFonts w:cs="Times New Roman"/>
          <w:szCs w:val="24"/>
        </w:rPr>
        <w:t>”</w:t>
      </w:r>
      <w:r w:rsidRPr="00335CE6">
        <w:rPr>
          <w:rFonts w:cs="Times New Roman"/>
          <w:szCs w:val="24"/>
        </w:rPr>
        <w:t>) for approval to the PUCO.</w:t>
      </w:r>
      <w:r>
        <w:rPr>
          <w:rStyle w:val="FootnoteReference"/>
          <w:rFonts w:cs="Times New Roman"/>
          <w:szCs w:val="24"/>
        </w:rPr>
        <w:footnoteReference w:id="7"/>
      </w:r>
      <w:r w:rsidRPr="00335CE6">
        <w:rPr>
          <w:rFonts w:cs="Times New Roman"/>
          <w:szCs w:val="24"/>
        </w:rPr>
        <w:t xml:space="preserve"> Under the Settlement, the OVEC subsidy rider would be bypassable – shopping customers would not pay it.</w:t>
      </w:r>
      <w:r>
        <w:rPr>
          <w:rStyle w:val="FootnoteReference"/>
          <w:rFonts w:cs="Times New Roman"/>
          <w:szCs w:val="24"/>
        </w:rPr>
        <w:footnoteReference w:id="8"/>
      </w:r>
      <w:r w:rsidR="00000E80">
        <w:rPr>
          <w:rFonts w:cs="Times New Roman"/>
          <w:szCs w:val="24"/>
        </w:rPr>
        <w:t xml:space="preserve"> </w:t>
      </w:r>
      <w:r w:rsidRPr="00335CE6">
        <w:rPr>
          <w:rFonts w:cs="Times New Roman"/>
          <w:szCs w:val="24"/>
        </w:rPr>
        <w:t xml:space="preserve">The Settlement </w:t>
      </w:r>
      <w:r w:rsidR="00811CCB">
        <w:rPr>
          <w:rFonts w:cs="Times New Roman"/>
          <w:szCs w:val="24"/>
        </w:rPr>
        <w:t xml:space="preserve">also </w:t>
      </w:r>
      <w:r w:rsidRPr="00335CE6">
        <w:rPr>
          <w:rFonts w:cs="Times New Roman"/>
          <w:szCs w:val="24"/>
        </w:rPr>
        <w:t xml:space="preserve">includes the </w:t>
      </w:r>
      <w:r w:rsidR="00811CCB">
        <w:rPr>
          <w:rFonts w:cs="Times New Roman"/>
          <w:szCs w:val="24"/>
        </w:rPr>
        <w:t>C</w:t>
      </w:r>
      <w:r w:rsidRPr="00335CE6">
        <w:rPr>
          <w:rFonts w:cs="Times New Roman"/>
          <w:szCs w:val="24"/>
        </w:rPr>
        <w:t>harge.</w:t>
      </w:r>
      <w:r w:rsidR="00D23E28">
        <w:rPr>
          <w:rFonts w:cs="Times New Roman"/>
          <w:szCs w:val="24"/>
        </w:rPr>
        <w:t xml:space="preserve"> </w:t>
      </w:r>
      <w:r w:rsidR="00476CC8">
        <w:rPr>
          <w:rFonts w:cs="Times New Roman"/>
          <w:szCs w:val="24"/>
        </w:rPr>
        <w:t>OCC opposed the Settlement.</w:t>
      </w:r>
    </w:p>
    <w:p w:rsidR="00A970EA" w:rsidRPr="00335CE6" w:rsidP="00A970EA" w14:paraId="3FB68206" w14:textId="3C22CE98">
      <w:pPr>
        <w:ind w:firstLine="720"/>
        <w:rPr>
          <w:rFonts w:cs="Times New Roman"/>
          <w:szCs w:val="24"/>
        </w:rPr>
      </w:pPr>
      <w:r w:rsidRPr="00335CE6">
        <w:rPr>
          <w:rFonts w:cs="Times New Roman"/>
          <w:szCs w:val="24"/>
        </w:rPr>
        <w:t xml:space="preserve">On October 20, 2017, the PUCO modified the March 14, 2017 Settlement and approved the OVEC subsidy rider and the </w:t>
      </w:r>
      <w:r w:rsidR="007E2022">
        <w:rPr>
          <w:rFonts w:cs="Times New Roman"/>
          <w:szCs w:val="24"/>
        </w:rPr>
        <w:t>C</w:t>
      </w:r>
      <w:r w:rsidRPr="00335CE6" w:rsidR="007E2022">
        <w:rPr>
          <w:rFonts w:cs="Times New Roman"/>
          <w:szCs w:val="24"/>
        </w:rPr>
        <w:t xml:space="preserve">harge </w:t>
      </w:r>
      <w:r w:rsidRPr="00335CE6">
        <w:rPr>
          <w:rFonts w:cs="Times New Roman"/>
          <w:szCs w:val="24"/>
        </w:rPr>
        <w:t>over several objections, including OCC</w:t>
      </w:r>
      <w:r w:rsidR="00484B1D">
        <w:rPr>
          <w:rFonts w:cs="Times New Roman"/>
          <w:szCs w:val="24"/>
        </w:rPr>
        <w:t>’</w:t>
      </w:r>
      <w:r w:rsidRPr="00335CE6">
        <w:rPr>
          <w:rFonts w:cs="Times New Roman"/>
          <w:szCs w:val="24"/>
        </w:rPr>
        <w:t>s objection</w:t>
      </w:r>
      <w:r w:rsidR="00476CC8">
        <w:rPr>
          <w:rFonts w:cs="Times New Roman"/>
          <w:szCs w:val="24"/>
        </w:rPr>
        <w:t>s against customers subsidizing the</w:t>
      </w:r>
      <w:r w:rsidR="00D23E28">
        <w:rPr>
          <w:rFonts w:cs="Times New Roman"/>
          <w:szCs w:val="24"/>
        </w:rPr>
        <w:t xml:space="preserve"> </w:t>
      </w:r>
      <w:r w:rsidRPr="00335CE6">
        <w:rPr>
          <w:rFonts w:cs="Times New Roman"/>
          <w:szCs w:val="24"/>
        </w:rPr>
        <w:t xml:space="preserve">OVEC coal plants and </w:t>
      </w:r>
      <w:r w:rsidR="00867B12">
        <w:rPr>
          <w:rFonts w:cs="Times New Roman"/>
          <w:szCs w:val="24"/>
        </w:rPr>
        <w:t xml:space="preserve">paying </w:t>
      </w:r>
      <w:r w:rsidR="00E5241E">
        <w:rPr>
          <w:rFonts w:cs="Times New Roman"/>
          <w:szCs w:val="24"/>
        </w:rPr>
        <w:t xml:space="preserve">for </w:t>
      </w:r>
      <w:r w:rsidRPr="00335CE6">
        <w:rPr>
          <w:rFonts w:cs="Times New Roman"/>
          <w:szCs w:val="24"/>
        </w:rPr>
        <w:t>credit support</w:t>
      </w:r>
      <w:r w:rsidR="00E5241E">
        <w:rPr>
          <w:rFonts w:cs="Times New Roman"/>
          <w:szCs w:val="24"/>
        </w:rPr>
        <w:t xml:space="preserve"> of DP&amp;L and its parent</w:t>
      </w:r>
      <w:r w:rsidR="00867B12">
        <w:rPr>
          <w:rFonts w:cs="Times New Roman"/>
          <w:szCs w:val="24"/>
        </w:rPr>
        <w:t>,</w:t>
      </w:r>
      <w:r w:rsidR="00E5241E">
        <w:rPr>
          <w:rFonts w:cs="Times New Roman"/>
          <w:szCs w:val="24"/>
        </w:rPr>
        <w:t xml:space="preserve"> DPL Inc.</w:t>
      </w:r>
      <w:r w:rsidRPr="00335CE6">
        <w:rPr>
          <w:rFonts w:cs="Times New Roman"/>
          <w:szCs w:val="24"/>
        </w:rPr>
        <w:t xml:space="preserve"> In modifying the Settlement, the PUCO made the OVEC subsidy rider non-bypassable and ordered DP&amp;L to charge the rate to all customers, shopping and non-shopping alike.</w:t>
      </w:r>
      <w:r>
        <w:rPr>
          <w:rStyle w:val="FootnoteReference"/>
          <w:rFonts w:cs="Times New Roman"/>
          <w:szCs w:val="24"/>
        </w:rPr>
        <w:footnoteReference w:id="9"/>
      </w:r>
      <w:r w:rsidRPr="00335CE6">
        <w:rPr>
          <w:rFonts w:cs="Times New Roman"/>
          <w:szCs w:val="24"/>
        </w:rPr>
        <w:t xml:space="preserve"> The PUCO agreed with OCC that the OVEC subsidy rider</w:t>
      </w:r>
      <w:r w:rsidR="0029496E">
        <w:rPr>
          <w:rFonts w:cs="Times New Roman"/>
          <w:szCs w:val="24"/>
        </w:rPr>
        <w:t xml:space="preserve"> (if approved)</w:t>
      </w:r>
      <w:r w:rsidRPr="00335CE6">
        <w:rPr>
          <w:rFonts w:cs="Times New Roman"/>
          <w:szCs w:val="24"/>
        </w:rPr>
        <w:t xml:space="preserve"> should be non-bypassable because under a bypassable rider there would be a potential for escalating bill impacts to standard service offer customers as shopping increases.</w:t>
      </w:r>
      <w:r>
        <w:rPr>
          <w:rFonts w:cs="Times New Roman"/>
          <w:szCs w:val="24"/>
          <w:vertAlign w:val="superscript"/>
        </w:rPr>
        <w:footnoteReference w:id="10"/>
      </w:r>
      <w:r w:rsidR="00000E80">
        <w:rPr>
          <w:rFonts w:cs="Times New Roman"/>
          <w:szCs w:val="24"/>
        </w:rPr>
        <w:t xml:space="preserve"> </w:t>
      </w:r>
    </w:p>
    <w:p w:rsidR="00A970EA" w:rsidRPr="00335CE6" w:rsidP="00A970EA" w14:paraId="57A6E410" w14:textId="59706D3A">
      <w:pPr>
        <w:ind w:firstLine="720"/>
        <w:rPr>
          <w:rFonts w:cs="Times New Roman"/>
          <w:szCs w:val="24"/>
        </w:rPr>
      </w:pPr>
      <w:r w:rsidRPr="00335CE6">
        <w:rPr>
          <w:rFonts w:cs="Times New Roman"/>
          <w:szCs w:val="24"/>
        </w:rPr>
        <w:t>Several parties, including OCC</w:t>
      </w:r>
      <w:r w:rsidR="001F777F">
        <w:rPr>
          <w:rFonts w:cs="Times New Roman"/>
          <w:szCs w:val="24"/>
        </w:rPr>
        <w:t xml:space="preserve"> and the Environmental </w:t>
      </w:r>
      <w:r w:rsidR="004F3054">
        <w:rPr>
          <w:rFonts w:cs="Times New Roman"/>
          <w:szCs w:val="24"/>
        </w:rPr>
        <w:t>Group</w:t>
      </w:r>
      <w:r w:rsidRPr="00335CE6">
        <w:rPr>
          <w:rFonts w:cs="Times New Roman"/>
          <w:szCs w:val="24"/>
        </w:rPr>
        <w:t>, sought rehearing on the PUCO</w:t>
      </w:r>
      <w:r w:rsidR="00484B1D">
        <w:rPr>
          <w:rFonts w:cs="Times New Roman"/>
          <w:szCs w:val="24"/>
        </w:rPr>
        <w:t>’</w:t>
      </w:r>
      <w:r w:rsidRPr="00335CE6">
        <w:rPr>
          <w:rFonts w:cs="Times New Roman"/>
          <w:szCs w:val="24"/>
        </w:rPr>
        <w:t>s modification of the Settlement but the PUCO denied them.</w:t>
      </w:r>
      <w:r>
        <w:rPr>
          <w:rStyle w:val="FootnoteReference"/>
          <w:rFonts w:cs="Times New Roman"/>
          <w:szCs w:val="24"/>
        </w:rPr>
        <w:footnoteReference w:id="11"/>
      </w:r>
      <w:r w:rsidRPr="00335CE6">
        <w:rPr>
          <w:rFonts w:cs="Times New Roman"/>
          <w:szCs w:val="24"/>
          <w:vertAlign w:val="superscript"/>
        </w:rPr>
        <w:t xml:space="preserve"> </w:t>
      </w:r>
      <w:r w:rsidRPr="00335CE6">
        <w:rPr>
          <w:rFonts w:cs="Times New Roman"/>
          <w:szCs w:val="24"/>
        </w:rPr>
        <w:t>On October 19, 2018, while this case was still in the application for rehearing stage,</w:t>
      </w:r>
      <w:r>
        <w:rPr>
          <w:rStyle w:val="FootnoteReference"/>
          <w:rFonts w:cs="Times New Roman"/>
          <w:szCs w:val="24"/>
        </w:rPr>
        <w:footnoteReference w:id="12"/>
      </w:r>
      <w:r w:rsidRPr="00335CE6">
        <w:rPr>
          <w:rFonts w:cs="Times New Roman"/>
          <w:szCs w:val="24"/>
        </w:rPr>
        <w:t xml:space="preserve"> and under Provision XI(5) of the Settlement, IGS filed a Notice of Withdrawal from the Amended Stipulation and Recommendation.</w:t>
      </w:r>
      <w:r>
        <w:rPr>
          <w:rFonts w:cs="Times New Roman"/>
          <w:szCs w:val="24"/>
          <w:vertAlign w:val="superscript"/>
        </w:rPr>
        <w:footnoteReference w:id="13"/>
      </w:r>
      <w:r w:rsidRPr="00335CE6">
        <w:rPr>
          <w:rFonts w:cs="Times New Roman"/>
          <w:szCs w:val="24"/>
        </w:rPr>
        <w:t xml:space="preserve"> IGS argued that the PUCO modification to the Settlement (making the OVEC subsidy rider non-bypassable) was material and undermined the benefit of the bargain for IGS.</w:t>
      </w:r>
      <w:r>
        <w:rPr>
          <w:rStyle w:val="FootnoteReference"/>
          <w:rFonts w:cs="Times New Roman"/>
          <w:szCs w:val="24"/>
        </w:rPr>
        <w:footnoteReference w:id="14"/>
      </w:r>
      <w:r w:rsidRPr="00335CE6">
        <w:rPr>
          <w:rFonts w:cs="Times New Roman"/>
          <w:szCs w:val="24"/>
        </w:rPr>
        <w:t xml:space="preserve"> After withdrawing, IGS submitted the Supplemental Direct Testimony of Matthew White on February 12, 2019.</w:t>
      </w:r>
      <w:r>
        <w:rPr>
          <w:rStyle w:val="FootnoteReference"/>
          <w:rFonts w:cs="Times New Roman"/>
          <w:szCs w:val="24"/>
        </w:rPr>
        <w:footnoteReference w:id="15"/>
      </w:r>
    </w:p>
    <w:p w:rsidR="00A970EA" w:rsidRPr="00335CE6" w:rsidP="00A970EA" w14:paraId="38882962" w14:textId="355449D8">
      <w:pPr>
        <w:ind w:firstLine="720"/>
        <w:rPr>
          <w:rFonts w:cs="Times New Roman"/>
          <w:szCs w:val="24"/>
        </w:rPr>
      </w:pPr>
      <w:r w:rsidRPr="00335CE6">
        <w:rPr>
          <w:rFonts w:cs="Times New Roman"/>
          <w:szCs w:val="24"/>
        </w:rPr>
        <w:t>IGS</w:t>
      </w:r>
      <w:r w:rsidR="00484B1D">
        <w:rPr>
          <w:rFonts w:cs="Times New Roman"/>
          <w:szCs w:val="24"/>
        </w:rPr>
        <w:t>’</w:t>
      </w:r>
      <w:r w:rsidRPr="00335CE6">
        <w:rPr>
          <w:rFonts w:cs="Times New Roman"/>
          <w:szCs w:val="24"/>
        </w:rPr>
        <w:t xml:space="preserve">s testimony presents two potential modifications to the Settlement. IGS urges the PUCO to </w:t>
      </w:r>
      <w:r w:rsidR="0084093E">
        <w:rPr>
          <w:rFonts w:cs="Times New Roman"/>
          <w:szCs w:val="24"/>
        </w:rPr>
        <w:t xml:space="preserve">modify the </w:t>
      </w:r>
      <w:r w:rsidR="007E2022">
        <w:rPr>
          <w:rFonts w:cs="Times New Roman"/>
          <w:szCs w:val="24"/>
        </w:rPr>
        <w:t>S</w:t>
      </w:r>
      <w:r w:rsidR="0084093E">
        <w:rPr>
          <w:rFonts w:cs="Times New Roman"/>
          <w:szCs w:val="24"/>
        </w:rPr>
        <w:t>ettlement by making</w:t>
      </w:r>
      <w:r w:rsidRPr="00335CE6">
        <w:rPr>
          <w:rFonts w:cs="Times New Roman"/>
          <w:szCs w:val="24"/>
        </w:rPr>
        <w:t xml:space="preserve"> the OVEC subsidy rider bypassable. This would enable customers of marketer</w:t>
      </w:r>
      <w:r w:rsidR="00E5241E">
        <w:rPr>
          <w:rFonts w:cs="Times New Roman"/>
          <w:szCs w:val="24"/>
        </w:rPr>
        <w:t>s</w:t>
      </w:r>
      <w:r w:rsidRPr="00335CE6">
        <w:rPr>
          <w:rFonts w:cs="Times New Roman"/>
          <w:szCs w:val="24"/>
        </w:rPr>
        <w:t xml:space="preserve"> (50% of total customers shop in DP&amp;L service territory</w:t>
      </w:r>
      <w:r>
        <w:rPr>
          <w:rStyle w:val="FootnoteReference"/>
          <w:rFonts w:cs="Times New Roman"/>
          <w:szCs w:val="24"/>
        </w:rPr>
        <w:footnoteReference w:id="16"/>
      </w:r>
      <w:r w:rsidRPr="00335CE6">
        <w:rPr>
          <w:rFonts w:cs="Times New Roman"/>
          <w:szCs w:val="24"/>
        </w:rPr>
        <w:t>) such as IGS to avoid the charges, while forcing DP&amp;L</w:t>
      </w:r>
      <w:r w:rsidR="00484B1D">
        <w:rPr>
          <w:rFonts w:cs="Times New Roman"/>
          <w:szCs w:val="24"/>
        </w:rPr>
        <w:t>’</w:t>
      </w:r>
      <w:r w:rsidRPr="00335CE6">
        <w:rPr>
          <w:rFonts w:cs="Times New Roman"/>
          <w:szCs w:val="24"/>
        </w:rPr>
        <w:t>s standard offer customers to pay more, as IGS admitted.</w:t>
      </w:r>
      <w:r>
        <w:rPr>
          <w:rStyle w:val="FootnoteReference"/>
          <w:rFonts w:cs="Times New Roman"/>
          <w:szCs w:val="24"/>
        </w:rPr>
        <w:footnoteReference w:id="17"/>
      </w:r>
      <w:r w:rsidR="00000E80">
        <w:rPr>
          <w:rFonts w:cs="Times New Roman"/>
          <w:szCs w:val="24"/>
        </w:rPr>
        <w:t xml:space="preserve"> </w:t>
      </w:r>
      <w:r w:rsidRPr="00335CE6">
        <w:rPr>
          <w:rFonts w:cs="Times New Roman"/>
          <w:szCs w:val="24"/>
        </w:rPr>
        <w:t xml:space="preserve">This effectively allows marketers like IGS to make </w:t>
      </w:r>
      <w:r w:rsidR="00303090">
        <w:rPr>
          <w:rFonts w:cs="Times New Roman"/>
          <w:szCs w:val="24"/>
        </w:rPr>
        <w:t>more</w:t>
      </w:r>
      <w:r w:rsidRPr="00335CE6">
        <w:rPr>
          <w:rFonts w:cs="Times New Roman"/>
          <w:szCs w:val="24"/>
        </w:rPr>
        <w:t xml:space="preserve"> profit</w:t>
      </w:r>
      <w:r w:rsidR="00303090">
        <w:rPr>
          <w:rFonts w:cs="Times New Roman"/>
          <w:szCs w:val="24"/>
        </w:rPr>
        <w:t>s</w:t>
      </w:r>
      <w:r w:rsidRPr="00335CE6">
        <w:rPr>
          <w:rFonts w:cs="Times New Roman"/>
          <w:szCs w:val="24"/>
        </w:rPr>
        <w:t>. IGS also argues that a non-bypassable rider would allow DP&amp;L to collect generation-related revenue that it cannot otherwise collect from the competitive market.</w:t>
      </w:r>
      <w:r>
        <w:rPr>
          <w:rStyle w:val="FootnoteReference"/>
          <w:rFonts w:cs="Times New Roman"/>
          <w:szCs w:val="24"/>
        </w:rPr>
        <w:footnoteReference w:id="18"/>
      </w:r>
      <w:r w:rsidRPr="00335CE6">
        <w:rPr>
          <w:rFonts w:cs="Times New Roman"/>
          <w:szCs w:val="24"/>
        </w:rPr>
        <w:t xml:space="preserve"> Finally, IGS argues </w:t>
      </w:r>
      <w:r w:rsidR="0084093E">
        <w:rPr>
          <w:rFonts w:cs="Times New Roman"/>
          <w:szCs w:val="24"/>
        </w:rPr>
        <w:t>charging</w:t>
      </w:r>
      <w:r w:rsidR="00E5241E">
        <w:rPr>
          <w:rFonts w:cs="Times New Roman"/>
          <w:szCs w:val="24"/>
        </w:rPr>
        <w:t xml:space="preserve"> shopping customers </w:t>
      </w:r>
      <w:r w:rsidR="0084093E">
        <w:rPr>
          <w:rFonts w:cs="Times New Roman"/>
          <w:szCs w:val="24"/>
        </w:rPr>
        <w:t xml:space="preserve">for this cost </w:t>
      </w:r>
      <w:r w:rsidRPr="00335CE6">
        <w:rPr>
          <w:rFonts w:cs="Times New Roman"/>
          <w:szCs w:val="24"/>
        </w:rPr>
        <w:t xml:space="preserve">would </w:t>
      </w:r>
      <w:r w:rsidR="004A07F1">
        <w:rPr>
          <w:rFonts w:cs="Times New Roman"/>
          <w:szCs w:val="24"/>
        </w:rPr>
        <w:t>be</w:t>
      </w:r>
      <w:r w:rsidRPr="00335CE6">
        <w:rPr>
          <w:rFonts w:cs="Times New Roman"/>
          <w:szCs w:val="24"/>
        </w:rPr>
        <w:t xml:space="preserve"> an </w:t>
      </w:r>
      <w:r w:rsidR="00D23E28">
        <w:rPr>
          <w:rFonts w:cs="Times New Roman"/>
          <w:szCs w:val="24"/>
        </w:rPr>
        <w:t>“</w:t>
      </w:r>
      <w:r w:rsidRPr="00335CE6">
        <w:rPr>
          <w:rFonts w:cs="Times New Roman"/>
          <w:szCs w:val="24"/>
        </w:rPr>
        <w:t>anticompetitive subsidy</w:t>
      </w:r>
      <w:r w:rsidR="00D23E28">
        <w:rPr>
          <w:rFonts w:cs="Times New Roman"/>
          <w:szCs w:val="24"/>
        </w:rPr>
        <w:t>”</w:t>
      </w:r>
      <w:r w:rsidRPr="00335CE6">
        <w:rPr>
          <w:rFonts w:cs="Times New Roman"/>
          <w:szCs w:val="24"/>
        </w:rPr>
        <w:t xml:space="preserve"> for generation costs through distribution charges.</w:t>
      </w:r>
      <w:r>
        <w:rPr>
          <w:rFonts w:cs="Times New Roman"/>
          <w:szCs w:val="24"/>
          <w:vertAlign w:val="superscript"/>
        </w:rPr>
        <w:footnoteReference w:id="19"/>
      </w:r>
    </w:p>
    <w:p w:rsidR="00A970EA" w:rsidRPr="00335CE6" w:rsidP="00A970EA" w14:paraId="5AA859D6" w14:textId="4C0DE54B">
      <w:pPr>
        <w:ind w:firstLine="720"/>
        <w:rPr>
          <w:rFonts w:cs="Times New Roman"/>
          <w:szCs w:val="24"/>
        </w:rPr>
      </w:pPr>
      <w:r w:rsidRPr="00335CE6">
        <w:rPr>
          <w:rFonts w:cs="Times New Roman"/>
          <w:szCs w:val="24"/>
        </w:rPr>
        <w:t>IGS</w:t>
      </w:r>
      <w:r w:rsidR="00484B1D">
        <w:rPr>
          <w:rFonts w:cs="Times New Roman"/>
          <w:szCs w:val="24"/>
        </w:rPr>
        <w:t>’</w:t>
      </w:r>
      <w:r w:rsidRPr="00335CE6">
        <w:rPr>
          <w:rFonts w:cs="Times New Roman"/>
          <w:szCs w:val="24"/>
        </w:rPr>
        <w:t>s second proposal is to unbundle costs associated with standard service offer rates by creating two new riders.</w:t>
      </w:r>
      <w:r w:rsidRPr="00335CE6">
        <w:rPr>
          <w:rStyle w:val="FootnoteReference"/>
          <w:rFonts w:cs="Times New Roman"/>
          <w:szCs w:val="24"/>
        </w:rPr>
        <w:t xml:space="preserve"> </w:t>
      </w:r>
      <w:r>
        <w:rPr>
          <w:rStyle w:val="FootnoteReference"/>
          <w:rFonts w:cs="Times New Roman"/>
          <w:szCs w:val="24"/>
        </w:rPr>
        <w:footnoteReference w:id="20"/>
      </w:r>
      <w:r w:rsidRPr="00335CE6">
        <w:rPr>
          <w:rFonts w:cs="Times New Roman"/>
          <w:szCs w:val="24"/>
        </w:rPr>
        <w:t xml:space="preserve"> The first would be a rider </w:t>
      </w:r>
      <w:r w:rsidR="00E5241E">
        <w:rPr>
          <w:rFonts w:cs="Times New Roman"/>
          <w:szCs w:val="24"/>
        </w:rPr>
        <w:t xml:space="preserve">giving credit to customers </w:t>
      </w:r>
      <w:r w:rsidRPr="00335CE6">
        <w:rPr>
          <w:rFonts w:cs="Times New Roman"/>
          <w:szCs w:val="24"/>
        </w:rPr>
        <w:t>allowing all customers to avoid distribution costs that IGS claims are solely related to DP&amp;L</w:t>
      </w:r>
      <w:r w:rsidR="00484B1D">
        <w:rPr>
          <w:rFonts w:cs="Times New Roman"/>
          <w:szCs w:val="24"/>
        </w:rPr>
        <w:t>’</w:t>
      </w:r>
      <w:r w:rsidRPr="00335CE6">
        <w:rPr>
          <w:rFonts w:cs="Times New Roman"/>
          <w:szCs w:val="24"/>
        </w:rPr>
        <w:t>s standard offer.</w:t>
      </w:r>
      <w:r>
        <w:rPr>
          <w:rStyle w:val="FootnoteReference"/>
          <w:rFonts w:cs="Times New Roman"/>
          <w:szCs w:val="24"/>
        </w:rPr>
        <w:footnoteReference w:id="21"/>
      </w:r>
      <w:r w:rsidRPr="00335CE6">
        <w:rPr>
          <w:rFonts w:cs="Times New Roman"/>
          <w:szCs w:val="24"/>
        </w:rPr>
        <w:t xml:space="preserve"> The second </w:t>
      </w:r>
      <w:r w:rsidR="00E5241E">
        <w:rPr>
          <w:rFonts w:cs="Times New Roman"/>
          <w:szCs w:val="24"/>
        </w:rPr>
        <w:t xml:space="preserve">rider </w:t>
      </w:r>
      <w:r w:rsidRPr="00335CE6">
        <w:rPr>
          <w:rFonts w:cs="Times New Roman"/>
          <w:szCs w:val="24"/>
        </w:rPr>
        <w:t>would be paid only by SSO customers and the total negative revenue requirement under the first rider would be the same as the total positive revenue requirement under the second rider.</w:t>
      </w:r>
      <w:r>
        <w:rPr>
          <w:rStyle w:val="FootnoteReference"/>
          <w:rFonts w:cs="Times New Roman"/>
          <w:szCs w:val="24"/>
        </w:rPr>
        <w:footnoteReference w:id="22"/>
      </w:r>
    </w:p>
    <w:p w:rsidR="00A970EA" w:rsidRPr="00335CE6" w:rsidP="00A970EA" w14:paraId="078B3A4A" w14:textId="5D19E44C">
      <w:pPr>
        <w:ind w:firstLine="720"/>
        <w:rPr>
          <w:rFonts w:cs="Times New Roman"/>
          <w:szCs w:val="24"/>
        </w:rPr>
      </w:pPr>
      <w:r w:rsidRPr="00335CE6">
        <w:rPr>
          <w:rFonts w:cs="Times New Roman"/>
          <w:szCs w:val="24"/>
        </w:rPr>
        <w:t>A hearing necessitated by IGS</w:t>
      </w:r>
      <w:r w:rsidR="00484B1D">
        <w:rPr>
          <w:rFonts w:cs="Times New Roman"/>
          <w:szCs w:val="24"/>
        </w:rPr>
        <w:t>’</w:t>
      </w:r>
      <w:r w:rsidRPr="00335CE6">
        <w:rPr>
          <w:rFonts w:cs="Times New Roman"/>
          <w:szCs w:val="24"/>
        </w:rPr>
        <w:t>s Notice of Withdrawal began on April 1, 2019, and continued through April 3, 2019, with rebuttal testimony taken on April 15, 2019.</w:t>
      </w:r>
      <w:r>
        <w:rPr>
          <w:rStyle w:val="FootnoteReference"/>
          <w:rFonts w:cs="Times New Roman"/>
          <w:szCs w:val="24"/>
        </w:rPr>
        <w:footnoteReference w:id="23"/>
      </w:r>
      <w:r w:rsidR="00000E80">
        <w:rPr>
          <w:rFonts w:cs="Times New Roman"/>
          <w:szCs w:val="24"/>
        </w:rPr>
        <w:t xml:space="preserve"> </w:t>
      </w:r>
      <w:r w:rsidRPr="00335CE6">
        <w:rPr>
          <w:rFonts w:cs="Times New Roman"/>
          <w:szCs w:val="24"/>
        </w:rPr>
        <w:t>Post-hearing briefs were filed May 15, 2019 and reply briefs May 30, 2019. To date, the PUCO has not ruled in this case.</w:t>
      </w:r>
      <w:r w:rsidR="00000E80">
        <w:rPr>
          <w:rFonts w:cs="Times New Roman"/>
          <w:szCs w:val="24"/>
        </w:rPr>
        <w:t xml:space="preserve"> </w:t>
      </w:r>
      <w:r w:rsidR="00765AE7">
        <w:rPr>
          <w:rFonts w:cs="Times New Roman"/>
          <w:szCs w:val="24"/>
        </w:rPr>
        <w:t>It is a long way from over.</w:t>
      </w:r>
    </w:p>
    <w:p w:rsidR="00A970EA" w:rsidRPr="00335CE6" w:rsidP="004A07F1" w14:paraId="0347F0AB" w14:textId="5B57B033">
      <w:pPr>
        <w:ind w:firstLine="720"/>
        <w:rPr>
          <w:rFonts w:cs="Times New Roman"/>
          <w:szCs w:val="24"/>
        </w:rPr>
      </w:pPr>
      <w:r w:rsidRPr="00335CE6">
        <w:rPr>
          <w:rFonts w:cs="Times New Roman"/>
          <w:szCs w:val="24"/>
        </w:rPr>
        <w:t>On June 19, 2019, during the pendency of this case</w:t>
      </w:r>
      <w:r w:rsidR="004A07F1">
        <w:rPr>
          <w:rFonts w:cs="Times New Roman"/>
          <w:szCs w:val="24"/>
        </w:rPr>
        <w:t xml:space="preserve"> </w:t>
      </w:r>
      <w:r w:rsidR="00303090">
        <w:rPr>
          <w:rFonts w:cs="Times New Roman"/>
          <w:szCs w:val="24"/>
        </w:rPr>
        <w:t>t</w:t>
      </w:r>
      <w:r w:rsidRPr="00335CE6">
        <w:rPr>
          <w:rFonts w:cs="Times New Roman"/>
          <w:szCs w:val="24"/>
        </w:rPr>
        <w:t xml:space="preserve">he Supreme Court of Ohio issued its decision in </w:t>
      </w:r>
      <w:r w:rsidRPr="00335CE6">
        <w:rPr>
          <w:rFonts w:cs="Times New Roman"/>
          <w:i/>
          <w:iCs/>
          <w:szCs w:val="24"/>
        </w:rPr>
        <w:t>Ohio Edison.</w:t>
      </w:r>
      <w:r w:rsidRPr="00335CE6">
        <w:rPr>
          <w:rFonts w:cs="Times New Roman"/>
          <w:szCs w:val="24"/>
        </w:rPr>
        <w:t xml:space="preserve"> </w:t>
      </w:r>
      <w:r w:rsidR="00303090">
        <w:rPr>
          <w:rFonts w:cs="Times New Roman"/>
          <w:szCs w:val="24"/>
        </w:rPr>
        <w:t xml:space="preserve">There it </w:t>
      </w:r>
      <w:r w:rsidRPr="00335CE6">
        <w:rPr>
          <w:rFonts w:cs="Times New Roman"/>
          <w:szCs w:val="24"/>
        </w:rPr>
        <w:t>revers</w:t>
      </w:r>
      <w:r w:rsidR="00303090">
        <w:rPr>
          <w:rFonts w:cs="Times New Roman"/>
          <w:szCs w:val="24"/>
        </w:rPr>
        <w:t>ed</w:t>
      </w:r>
      <w:r w:rsidRPr="00335CE6">
        <w:rPr>
          <w:rFonts w:cs="Times New Roman"/>
          <w:szCs w:val="24"/>
        </w:rPr>
        <w:t xml:space="preserve"> the PUCO</w:t>
      </w:r>
      <w:r w:rsidR="00484B1D">
        <w:rPr>
          <w:rFonts w:cs="Times New Roman"/>
          <w:szCs w:val="24"/>
        </w:rPr>
        <w:t>’</w:t>
      </w:r>
      <w:r w:rsidRPr="00335CE6">
        <w:rPr>
          <w:rFonts w:cs="Times New Roman"/>
          <w:szCs w:val="24"/>
        </w:rPr>
        <w:t>s approval of FirstEnergy</w:t>
      </w:r>
      <w:r w:rsidR="00484B1D">
        <w:rPr>
          <w:rFonts w:cs="Times New Roman"/>
          <w:szCs w:val="24"/>
        </w:rPr>
        <w:t>’</w:t>
      </w:r>
      <w:r w:rsidRPr="00335CE6">
        <w:rPr>
          <w:rFonts w:cs="Times New Roman"/>
          <w:szCs w:val="24"/>
        </w:rPr>
        <w:t xml:space="preserve">s </w:t>
      </w:r>
      <w:r w:rsidRPr="00335CE6" w:rsidR="008433C2">
        <w:rPr>
          <w:rFonts w:cs="Times New Roman"/>
          <w:szCs w:val="24"/>
        </w:rPr>
        <w:t>so-called</w:t>
      </w:r>
      <w:r w:rsidRPr="00335CE6">
        <w:rPr>
          <w:rFonts w:cs="Times New Roman"/>
          <w:szCs w:val="24"/>
        </w:rPr>
        <w:t xml:space="preserve"> Distribution Modernization Rider (</w:t>
      </w:r>
      <w:r w:rsidR="00D23E28">
        <w:rPr>
          <w:rFonts w:cs="Times New Roman"/>
          <w:szCs w:val="24"/>
        </w:rPr>
        <w:t>“</w:t>
      </w:r>
      <w:r w:rsidRPr="00335CE6">
        <w:rPr>
          <w:rFonts w:cs="Times New Roman"/>
          <w:szCs w:val="24"/>
        </w:rPr>
        <w:t>FirstEnergy</w:t>
      </w:r>
      <w:r w:rsidR="00484B1D">
        <w:rPr>
          <w:rFonts w:cs="Times New Roman"/>
          <w:szCs w:val="24"/>
        </w:rPr>
        <w:t>’</w:t>
      </w:r>
      <w:r w:rsidRPr="00335CE6">
        <w:rPr>
          <w:rFonts w:cs="Times New Roman"/>
          <w:szCs w:val="24"/>
        </w:rPr>
        <w:t xml:space="preserve">s </w:t>
      </w:r>
      <w:r w:rsidR="007E2022">
        <w:rPr>
          <w:rFonts w:cs="Times New Roman"/>
          <w:szCs w:val="24"/>
        </w:rPr>
        <w:t>C</w:t>
      </w:r>
      <w:r w:rsidRPr="00335CE6" w:rsidR="007E2022">
        <w:rPr>
          <w:rFonts w:cs="Times New Roman"/>
          <w:szCs w:val="24"/>
        </w:rPr>
        <w:t>harge</w:t>
      </w:r>
      <w:r w:rsidR="00D23E28">
        <w:rPr>
          <w:rFonts w:cs="Times New Roman"/>
          <w:szCs w:val="24"/>
        </w:rPr>
        <w:t>”</w:t>
      </w:r>
      <w:r w:rsidRPr="00335CE6">
        <w:rPr>
          <w:rFonts w:cs="Times New Roman"/>
          <w:szCs w:val="24"/>
        </w:rPr>
        <w:t>) and remand</w:t>
      </w:r>
      <w:r w:rsidR="00303090">
        <w:rPr>
          <w:rFonts w:cs="Times New Roman"/>
          <w:szCs w:val="24"/>
        </w:rPr>
        <w:t>ed the case to the PUCO</w:t>
      </w:r>
      <w:r w:rsidR="00D23E28">
        <w:rPr>
          <w:rFonts w:cs="Times New Roman"/>
          <w:szCs w:val="24"/>
        </w:rPr>
        <w:t xml:space="preserve"> </w:t>
      </w:r>
      <w:r w:rsidRPr="00335CE6">
        <w:rPr>
          <w:rFonts w:cs="Times New Roman"/>
          <w:szCs w:val="24"/>
        </w:rPr>
        <w:t>with instructions to remove the charge from FirstEnergy</w:t>
      </w:r>
      <w:r w:rsidR="00484B1D">
        <w:rPr>
          <w:rFonts w:cs="Times New Roman"/>
          <w:szCs w:val="24"/>
        </w:rPr>
        <w:t>’</w:t>
      </w:r>
      <w:r w:rsidRPr="00335CE6">
        <w:rPr>
          <w:rFonts w:cs="Times New Roman"/>
          <w:szCs w:val="24"/>
        </w:rPr>
        <w:t>s electric security plan.</w:t>
      </w:r>
      <w:r>
        <w:rPr>
          <w:rStyle w:val="FootnoteReference"/>
          <w:rFonts w:cs="Times New Roman"/>
          <w:szCs w:val="24"/>
        </w:rPr>
        <w:footnoteReference w:id="24"/>
      </w:r>
      <w:r w:rsidR="00D23E28">
        <w:rPr>
          <w:rFonts w:cs="Times New Roman"/>
          <w:szCs w:val="24"/>
        </w:rPr>
        <w:t xml:space="preserve"> </w:t>
      </w:r>
      <w:r w:rsidR="001F777F">
        <w:rPr>
          <w:rFonts w:cs="Times New Roman"/>
          <w:szCs w:val="24"/>
        </w:rPr>
        <w:t>The Court</w:t>
      </w:r>
      <w:r w:rsidR="00484B1D">
        <w:rPr>
          <w:rFonts w:cs="Times New Roman"/>
          <w:szCs w:val="24"/>
        </w:rPr>
        <w:t>’</w:t>
      </w:r>
      <w:r w:rsidR="001F777F">
        <w:rPr>
          <w:rFonts w:cs="Times New Roman"/>
          <w:szCs w:val="24"/>
        </w:rPr>
        <w:t>s reversal of the charge was affirmed when the Court denied FirstEnergy</w:t>
      </w:r>
      <w:r w:rsidR="00484B1D">
        <w:rPr>
          <w:rFonts w:cs="Times New Roman"/>
          <w:szCs w:val="24"/>
        </w:rPr>
        <w:t>’</w:t>
      </w:r>
      <w:r w:rsidR="001F777F">
        <w:rPr>
          <w:rFonts w:cs="Times New Roman"/>
          <w:szCs w:val="24"/>
        </w:rPr>
        <w:t>s motion for reconsideration of the matter</w:t>
      </w:r>
      <w:r w:rsidRPr="009E6C25" w:rsidR="001F777F">
        <w:rPr>
          <w:rFonts w:cs="Times New Roman"/>
          <w:szCs w:val="24"/>
        </w:rPr>
        <w:t>.</w:t>
      </w:r>
      <w:r>
        <w:rPr>
          <w:rStyle w:val="FootnoteReference"/>
          <w:rFonts w:cs="Times New Roman"/>
          <w:szCs w:val="24"/>
        </w:rPr>
        <w:footnoteReference w:id="25"/>
      </w:r>
    </w:p>
    <w:p w:rsidR="00A970EA" w:rsidRPr="00335CE6" w:rsidP="00A970EA" w14:paraId="79E8840B" w14:textId="6439E3BB">
      <w:pPr>
        <w:ind w:firstLine="720"/>
        <w:rPr>
          <w:rFonts w:cs="Times New Roman"/>
          <w:szCs w:val="24"/>
        </w:rPr>
      </w:pPr>
      <w:r w:rsidRPr="00335CE6">
        <w:rPr>
          <w:rFonts w:cs="Times New Roman"/>
          <w:szCs w:val="24"/>
        </w:rPr>
        <w:t xml:space="preserve">Before </w:t>
      </w:r>
      <w:r w:rsidR="00303090">
        <w:rPr>
          <w:rFonts w:cs="Times New Roman"/>
          <w:szCs w:val="24"/>
        </w:rPr>
        <w:t xml:space="preserve">the Ohio Supreme Court ruling in </w:t>
      </w:r>
      <w:r w:rsidRPr="00335CE6">
        <w:rPr>
          <w:rFonts w:cs="Times New Roman"/>
          <w:i/>
          <w:iCs/>
          <w:szCs w:val="24"/>
        </w:rPr>
        <w:t xml:space="preserve">Ohio Edison, </w:t>
      </w:r>
      <w:r w:rsidRPr="00335CE6">
        <w:rPr>
          <w:rFonts w:cs="Times New Roman"/>
          <w:szCs w:val="24"/>
        </w:rPr>
        <w:t xml:space="preserve">the </w:t>
      </w:r>
      <w:r w:rsidR="00303090">
        <w:rPr>
          <w:rFonts w:cs="Times New Roman"/>
          <w:szCs w:val="24"/>
        </w:rPr>
        <w:t xml:space="preserve">PUCO had approved in its </w:t>
      </w:r>
      <w:r w:rsidRPr="00335CE6">
        <w:rPr>
          <w:rFonts w:cs="Times New Roman"/>
          <w:szCs w:val="24"/>
        </w:rPr>
        <w:t xml:space="preserve">Opinion and Order in this case a </w:t>
      </w:r>
      <w:r w:rsidR="00303090">
        <w:rPr>
          <w:rFonts w:cs="Times New Roman"/>
          <w:szCs w:val="24"/>
        </w:rPr>
        <w:t xml:space="preserve">very similar </w:t>
      </w:r>
      <w:r w:rsidR="00D83868">
        <w:rPr>
          <w:rFonts w:cs="Times New Roman"/>
          <w:szCs w:val="24"/>
        </w:rPr>
        <w:t>C</w:t>
      </w:r>
      <w:r w:rsidRPr="00335CE6">
        <w:rPr>
          <w:rFonts w:cs="Times New Roman"/>
          <w:szCs w:val="24"/>
        </w:rPr>
        <w:t xml:space="preserve">harge </w:t>
      </w:r>
      <w:r w:rsidR="00303090">
        <w:rPr>
          <w:rFonts w:cs="Times New Roman"/>
          <w:szCs w:val="24"/>
        </w:rPr>
        <w:t>for DP&amp;</w:t>
      </w:r>
      <w:r w:rsidR="007E2022">
        <w:rPr>
          <w:rFonts w:cs="Times New Roman"/>
          <w:szCs w:val="24"/>
        </w:rPr>
        <w:t>L</w:t>
      </w:r>
      <w:r w:rsidRPr="00335CE6">
        <w:rPr>
          <w:rFonts w:cs="Times New Roman"/>
          <w:szCs w:val="24"/>
        </w:rPr>
        <w:t>.</w:t>
      </w:r>
      <w:r w:rsidR="00000E80">
        <w:rPr>
          <w:rFonts w:cs="Times New Roman"/>
          <w:szCs w:val="24"/>
        </w:rPr>
        <w:t xml:space="preserve"> </w:t>
      </w:r>
      <w:r w:rsidRPr="00335CE6">
        <w:rPr>
          <w:rFonts w:cs="Times New Roman"/>
          <w:szCs w:val="24"/>
        </w:rPr>
        <w:t>Given the Court</w:t>
      </w:r>
      <w:r w:rsidR="00484B1D">
        <w:rPr>
          <w:rFonts w:cs="Times New Roman"/>
          <w:szCs w:val="24"/>
        </w:rPr>
        <w:t>’</w:t>
      </w:r>
      <w:r w:rsidRPr="00335CE6">
        <w:rPr>
          <w:rFonts w:cs="Times New Roman"/>
          <w:szCs w:val="24"/>
        </w:rPr>
        <w:t xml:space="preserve">s ruling in </w:t>
      </w:r>
      <w:r w:rsidRPr="00335CE6">
        <w:rPr>
          <w:rFonts w:cs="Times New Roman"/>
          <w:i/>
          <w:iCs/>
          <w:szCs w:val="24"/>
        </w:rPr>
        <w:t>Ohio Edison</w:t>
      </w:r>
      <w:r w:rsidRPr="00335CE6">
        <w:rPr>
          <w:rFonts w:cs="Times New Roman"/>
          <w:szCs w:val="24"/>
        </w:rPr>
        <w:t xml:space="preserve">, the Attorney Examiners found </w:t>
      </w:r>
      <w:r w:rsidR="00D23E28">
        <w:rPr>
          <w:rFonts w:cs="Times New Roman"/>
          <w:szCs w:val="24"/>
        </w:rPr>
        <w:t>“</w:t>
      </w:r>
      <w:r w:rsidRPr="00335CE6">
        <w:rPr>
          <w:rFonts w:cs="Times New Roman"/>
          <w:szCs w:val="24"/>
        </w:rPr>
        <w:t xml:space="preserve">that parties should have the opportunity to brief the impact of </w:t>
      </w:r>
      <w:r w:rsidRPr="00335CE6">
        <w:rPr>
          <w:rFonts w:cs="Times New Roman"/>
          <w:i/>
          <w:iCs/>
          <w:szCs w:val="24"/>
        </w:rPr>
        <w:t xml:space="preserve">Ohio Edison </w:t>
      </w:r>
      <w:r w:rsidRPr="00335CE6">
        <w:rPr>
          <w:rFonts w:cs="Times New Roman"/>
          <w:szCs w:val="24"/>
        </w:rPr>
        <w:t>on this proceeding.</w:t>
      </w:r>
      <w:r w:rsidR="00D23E28">
        <w:rPr>
          <w:rFonts w:cs="Times New Roman"/>
          <w:szCs w:val="24"/>
        </w:rPr>
        <w:t>”</w:t>
      </w:r>
      <w:r>
        <w:rPr>
          <w:rStyle w:val="FootnoteReference"/>
          <w:rFonts w:cs="Times New Roman"/>
          <w:szCs w:val="24"/>
        </w:rPr>
        <w:footnoteReference w:id="26"/>
      </w:r>
      <w:r w:rsidR="00000E80">
        <w:rPr>
          <w:rFonts w:cs="Times New Roman"/>
          <w:szCs w:val="24"/>
        </w:rPr>
        <w:t xml:space="preserve"> </w:t>
      </w:r>
      <w:r w:rsidR="004A07F1">
        <w:rPr>
          <w:rFonts w:cs="Times New Roman"/>
          <w:szCs w:val="24"/>
        </w:rPr>
        <w:t xml:space="preserve">The Attorney Examiners found that the </w:t>
      </w:r>
      <w:r w:rsidR="007E2022">
        <w:rPr>
          <w:rFonts w:cs="Times New Roman"/>
          <w:szCs w:val="24"/>
        </w:rPr>
        <w:t>S</w:t>
      </w:r>
      <w:r w:rsidR="004A07F1">
        <w:rPr>
          <w:rFonts w:cs="Times New Roman"/>
          <w:szCs w:val="24"/>
        </w:rPr>
        <w:t xml:space="preserve">ettlement in this proceeding included a distribution modernization rider that is </w:t>
      </w:r>
      <w:r w:rsidR="00D23E28">
        <w:rPr>
          <w:rFonts w:cs="Times New Roman"/>
          <w:szCs w:val="24"/>
        </w:rPr>
        <w:t>“</w:t>
      </w:r>
      <w:r w:rsidR="004A07F1">
        <w:rPr>
          <w:rFonts w:cs="Times New Roman"/>
          <w:szCs w:val="24"/>
        </w:rPr>
        <w:t>similar to, but not identical with</w:t>
      </w:r>
      <w:r w:rsidR="00D23E28">
        <w:rPr>
          <w:rFonts w:cs="Times New Roman"/>
          <w:szCs w:val="24"/>
        </w:rPr>
        <w:t>”</w:t>
      </w:r>
      <w:r w:rsidR="004A07F1">
        <w:rPr>
          <w:rFonts w:cs="Times New Roman"/>
          <w:szCs w:val="24"/>
        </w:rPr>
        <w:t xml:space="preserve"> the modernization rider overturned by the Court in the </w:t>
      </w:r>
      <w:r w:rsidRPr="00261191" w:rsidR="004A07F1">
        <w:rPr>
          <w:rFonts w:cs="Times New Roman"/>
          <w:i/>
          <w:iCs/>
          <w:szCs w:val="24"/>
        </w:rPr>
        <w:t>Ohio Edison</w:t>
      </w:r>
      <w:r w:rsidR="004A07F1">
        <w:rPr>
          <w:rFonts w:cs="Times New Roman"/>
          <w:szCs w:val="24"/>
        </w:rPr>
        <w:t xml:space="preserve"> case.</w:t>
      </w:r>
      <w:r>
        <w:rPr>
          <w:rStyle w:val="FootnoteReference"/>
          <w:rFonts w:cs="Times New Roman"/>
          <w:szCs w:val="24"/>
        </w:rPr>
        <w:footnoteReference w:id="27"/>
      </w:r>
      <w:r w:rsidR="00D23E28">
        <w:rPr>
          <w:rFonts w:cs="Times New Roman"/>
          <w:szCs w:val="24"/>
        </w:rPr>
        <w:t xml:space="preserve"> </w:t>
      </w:r>
      <w:r w:rsidRPr="00335CE6">
        <w:rPr>
          <w:rFonts w:cs="Times New Roman"/>
          <w:szCs w:val="24"/>
        </w:rPr>
        <w:t xml:space="preserve">The Attorney Examiners therefore permitted parties to file supplemental briefs </w:t>
      </w:r>
      <w:r w:rsidR="00D23E28">
        <w:rPr>
          <w:rFonts w:cs="Times New Roman"/>
          <w:szCs w:val="24"/>
        </w:rPr>
        <w:t>“</w:t>
      </w:r>
      <w:r w:rsidRPr="00335CE6">
        <w:rPr>
          <w:rFonts w:cs="Times New Roman"/>
          <w:szCs w:val="24"/>
        </w:rPr>
        <w:t>narrowly</w:t>
      </w:r>
      <w:r w:rsidR="002268D8">
        <w:rPr>
          <w:rFonts w:cs="Times New Roman"/>
          <w:szCs w:val="24"/>
        </w:rPr>
        <w:t xml:space="preserve"> </w:t>
      </w:r>
      <w:r w:rsidRPr="00335CE6">
        <w:rPr>
          <w:rFonts w:cs="Times New Roman"/>
          <w:szCs w:val="24"/>
        </w:rPr>
        <w:t>focused on the issue of the applicability</w:t>
      </w:r>
      <w:r w:rsidR="00D23E28">
        <w:rPr>
          <w:rFonts w:cs="Times New Roman"/>
          <w:szCs w:val="24"/>
        </w:rPr>
        <w:t>”</w:t>
      </w:r>
      <w:r w:rsidRPr="00335CE6">
        <w:rPr>
          <w:rFonts w:cs="Times New Roman"/>
          <w:szCs w:val="24"/>
        </w:rPr>
        <w:t xml:space="preserve"> of </w:t>
      </w:r>
      <w:r w:rsidRPr="00335CE6">
        <w:rPr>
          <w:rFonts w:cs="Times New Roman"/>
          <w:i/>
          <w:iCs/>
          <w:szCs w:val="24"/>
        </w:rPr>
        <w:t>Ohio Edison.</w:t>
      </w:r>
      <w:r>
        <w:rPr>
          <w:rStyle w:val="FootnoteReference"/>
          <w:rFonts w:cs="Times New Roman"/>
          <w:szCs w:val="24"/>
        </w:rPr>
        <w:footnoteReference w:id="28"/>
      </w:r>
      <w:r w:rsidR="00000E80">
        <w:rPr>
          <w:rFonts w:cs="Times New Roman"/>
          <w:szCs w:val="24"/>
        </w:rPr>
        <w:t xml:space="preserve"> </w:t>
      </w:r>
      <w:r w:rsidRPr="00335CE6">
        <w:rPr>
          <w:rFonts w:cs="Times New Roman"/>
          <w:szCs w:val="24"/>
        </w:rPr>
        <w:t>Parties did so on August 1, 2019.</w:t>
      </w:r>
      <w:r>
        <w:rPr>
          <w:rStyle w:val="FootnoteReference"/>
          <w:rFonts w:cs="Times New Roman"/>
          <w:szCs w:val="24"/>
        </w:rPr>
        <w:footnoteReference w:id="29"/>
      </w:r>
      <w:r w:rsidR="00000E80">
        <w:rPr>
          <w:rFonts w:cs="Times New Roman"/>
          <w:szCs w:val="24"/>
        </w:rPr>
        <w:t xml:space="preserve"> </w:t>
      </w:r>
      <w:r w:rsidRPr="00335CE6">
        <w:rPr>
          <w:rFonts w:cs="Times New Roman"/>
          <w:szCs w:val="24"/>
        </w:rPr>
        <w:t>The Entry did not provide for reply briefs.</w:t>
      </w:r>
      <w:r>
        <w:rPr>
          <w:rStyle w:val="FootnoteReference"/>
          <w:rFonts w:cs="Times New Roman"/>
          <w:szCs w:val="24"/>
        </w:rPr>
        <w:footnoteReference w:id="30"/>
      </w:r>
      <w:r w:rsidR="00D23E28">
        <w:rPr>
          <w:rFonts w:cs="Times New Roman"/>
          <w:szCs w:val="24"/>
        </w:rPr>
        <w:t xml:space="preserve"> </w:t>
      </w:r>
      <w:r w:rsidR="00867B12">
        <w:rPr>
          <w:rFonts w:cs="Times New Roman"/>
          <w:szCs w:val="24"/>
        </w:rPr>
        <w:t>No party, including DP&amp;L</w:t>
      </w:r>
      <w:r w:rsidR="004F3054">
        <w:rPr>
          <w:rFonts w:cs="Times New Roman"/>
          <w:szCs w:val="24"/>
        </w:rPr>
        <w:t>,</w:t>
      </w:r>
      <w:r w:rsidR="00867B12">
        <w:rPr>
          <w:rFonts w:cs="Times New Roman"/>
          <w:szCs w:val="24"/>
        </w:rPr>
        <w:t xml:space="preserve"> challenged the Attorney Examiners</w:t>
      </w:r>
      <w:r w:rsidR="00484B1D">
        <w:rPr>
          <w:rFonts w:cs="Times New Roman"/>
          <w:szCs w:val="24"/>
        </w:rPr>
        <w:t>’</w:t>
      </w:r>
      <w:r w:rsidR="00867B12">
        <w:rPr>
          <w:rFonts w:cs="Times New Roman"/>
          <w:szCs w:val="24"/>
        </w:rPr>
        <w:t xml:space="preserve"> ruling requesting supplemental briefs.</w:t>
      </w:r>
      <w:r w:rsidR="00D23E28">
        <w:rPr>
          <w:rFonts w:cs="Times New Roman"/>
          <w:szCs w:val="24"/>
        </w:rPr>
        <w:t xml:space="preserve"> </w:t>
      </w:r>
    </w:p>
    <w:p w:rsidR="00A970EA" w:rsidP="009E6C25" w14:paraId="143660A3" w14:textId="0287D3CA">
      <w:pPr>
        <w:ind w:firstLine="720"/>
        <w:rPr>
          <w:rFonts w:cs="Times New Roman"/>
          <w:szCs w:val="24"/>
        </w:rPr>
      </w:pPr>
      <w:r w:rsidRPr="00335CE6">
        <w:rPr>
          <w:rFonts w:cs="Times New Roman"/>
          <w:szCs w:val="24"/>
        </w:rPr>
        <w:t>OCC demonstrated in its supplemental brief that the</w:t>
      </w:r>
      <w:r w:rsidR="00D23E28">
        <w:rPr>
          <w:rFonts w:cs="Times New Roman"/>
          <w:szCs w:val="24"/>
        </w:rPr>
        <w:t xml:space="preserve"> </w:t>
      </w:r>
      <w:r w:rsidR="004A07F1">
        <w:rPr>
          <w:rFonts w:cs="Times New Roman"/>
          <w:szCs w:val="24"/>
        </w:rPr>
        <w:t>C</w:t>
      </w:r>
      <w:r w:rsidRPr="00335CE6" w:rsidR="004A07F1">
        <w:rPr>
          <w:rFonts w:cs="Times New Roman"/>
          <w:szCs w:val="24"/>
        </w:rPr>
        <w:t>harge</w:t>
      </w:r>
      <w:r w:rsidR="00D83868">
        <w:rPr>
          <w:rFonts w:cs="Times New Roman"/>
          <w:szCs w:val="24"/>
        </w:rPr>
        <w:t>,</w:t>
      </w:r>
      <w:r w:rsidRPr="00335CE6" w:rsidR="004A07F1">
        <w:rPr>
          <w:rFonts w:cs="Times New Roman"/>
          <w:szCs w:val="24"/>
        </w:rPr>
        <w:t xml:space="preserve"> </w:t>
      </w:r>
      <w:r w:rsidR="008F0C09">
        <w:rPr>
          <w:rFonts w:cs="Times New Roman"/>
          <w:szCs w:val="24"/>
        </w:rPr>
        <w:t xml:space="preserve">solely </w:t>
      </w:r>
      <w:r w:rsidR="00014546">
        <w:rPr>
          <w:rFonts w:cs="Times New Roman"/>
          <w:szCs w:val="24"/>
        </w:rPr>
        <w:t>for credit support</w:t>
      </w:r>
      <w:r w:rsidR="00D83868">
        <w:rPr>
          <w:rFonts w:cs="Times New Roman"/>
          <w:szCs w:val="24"/>
        </w:rPr>
        <w:t>,</w:t>
      </w:r>
      <w:r w:rsidR="00014546">
        <w:rPr>
          <w:rFonts w:cs="Times New Roman"/>
          <w:szCs w:val="24"/>
        </w:rPr>
        <w:t xml:space="preserve"> </w:t>
      </w:r>
      <w:r w:rsidRPr="00335CE6">
        <w:rPr>
          <w:rFonts w:cs="Times New Roman"/>
          <w:szCs w:val="24"/>
        </w:rPr>
        <w:t>is unlawful</w:t>
      </w:r>
      <w:r w:rsidR="00D83868">
        <w:rPr>
          <w:rFonts w:cs="Times New Roman"/>
          <w:szCs w:val="24"/>
        </w:rPr>
        <w:t xml:space="preserve"> just as the Court had determined with respect to the FirstEnergy Charge</w:t>
      </w:r>
      <w:r w:rsidRPr="00335CE6">
        <w:rPr>
          <w:rFonts w:cs="Times New Roman"/>
          <w:szCs w:val="24"/>
        </w:rPr>
        <w:t>.</w:t>
      </w:r>
      <w:r>
        <w:rPr>
          <w:rStyle w:val="FootnoteReference"/>
          <w:rFonts w:cs="Times New Roman"/>
          <w:szCs w:val="24"/>
        </w:rPr>
        <w:footnoteReference w:id="31"/>
      </w:r>
      <w:r w:rsidR="00000E80">
        <w:rPr>
          <w:rFonts w:cs="Times New Roman"/>
          <w:szCs w:val="24"/>
        </w:rPr>
        <w:t xml:space="preserve"> </w:t>
      </w:r>
      <w:r w:rsidR="00D226CB">
        <w:rPr>
          <w:rFonts w:cs="Times New Roman"/>
          <w:szCs w:val="24"/>
        </w:rPr>
        <w:t>Others in the case also came to the same conclusion (</w:t>
      </w:r>
      <w:r w:rsidRPr="00335CE6">
        <w:rPr>
          <w:rFonts w:cs="Times New Roman"/>
          <w:szCs w:val="24"/>
        </w:rPr>
        <w:t>IGS and the Environmental Group</w:t>
      </w:r>
      <w:r w:rsidR="00D226CB">
        <w:rPr>
          <w:rFonts w:cs="Times New Roman"/>
          <w:szCs w:val="24"/>
        </w:rPr>
        <w:t>)</w:t>
      </w:r>
      <w:r w:rsidRPr="00335CE6">
        <w:rPr>
          <w:rFonts w:cs="Times New Roman"/>
          <w:szCs w:val="24"/>
        </w:rPr>
        <w:t>.</w:t>
      </w:r>
      <w:r>
        <w:rPr>
          <w:rStyle w:val="FootnoteReference"/>
          <w:rFonts w:cs="Times New Roman"/>
          <w:szCs w:val="24"/>
        </w:rPr>
        <w:footnoteReference w:id="32"/>
      </w:r>
      <w:r w:rsidR="00000E80">
        <w:rPr>
          <w:rFonts w:cs="Times New Roman"/>
          <w:szCs w:val="24"/>
        </w:rPr>
        <w:t xml:space="preserve"> </w:t>
      </w:r>
      <w:r w:rsidR="00D226CB">
        <w:rPr>
          <w:rFonts w:cs="Times New Roman"/>
          <w:szCs w:val="24"/>
        </w:rPr>
        <w:t xml:space="preserve">On the other hand, </w:t>
      </w:r>
      <w:r w:rsidRPr="00335CE6">
        <w:rPr>
          <w:rFonts w:cs="Times New Roman"/>
          <w:szCs w:val="24"/>
        </w:rPr>
        <w:t xml:space="preserve">DP&amp;L attempted to distinguish its charge from the one found unlawful in </w:t>
      </w:r>
      <w:r w:rsidRPr="00335CE6">
        <w:rPr>
          <w:rFonts w:cs="Times New Roman"/>
          <w:i/>
          <w:iCs/>
          <w:szCs w:val="24"/>
        </w:rPr>
        <w:t>Ohio Edison.</w:t>
      </w:r>
      <w:r>
        <w:rPr>
          <w:rStyle w:val="FootnoteReference"/>
          <w:rFonts w:cs="Times New Roman"/>
          <w:szCs w:val="24"/>
        </w:rPr>
        <w:footnoteReference w:id="33"/>
      </w:r>
      <w:r w:rsidR="00000E80">
        <w:rPr>
          <w:rFonts w:cs="Times New Roman"/>
          <w:i/>
          <w:iCs/>
          <w:szCs w:val="24"/>
        </w:rPr>
        <w:t xml:space="preserve"> </w:t>
      </w:r>
      <w:r w:rsidR="00D226CB">
        <w:rPr>
          <w:rFonts w:cs="Times New Roman"/>
          <w:szCs w:val="24"/>
        </w:rPr>
        <w:t>N</w:t>
      </w:r>
      <w:r w:rsidRPr="00335CE6">
        <w:rPr>
          <w:rFonts w:cs="Times New Roman"/>
          <w:szCs w:val="24"/>
        </w:rPr>
        <w:t xml:space="preserve">owhere in its supplemental brief did DP&amp;L assert that </w:t>
      </w:r>
      <w:r w:rsidRPr="00335CE6">
        <w:rPr>
          <w:rFonts w:cs="Times New Roman"/>
          <w:i/>
          <w:iCs/>
          <w:szCs w:val="24"/>
        </w:rPr>
        <w:t xml:space="preserve">Ohio Edison </w:t>
      </w:r>
      <w:r w:rsidRPr="00335CE6">
        <w:rPr>
          <w:rFonts w:cs="Times New Roman"/>
          <w:szCs w:val="24"/>
        </w:rPr>
        <w:t>is inapplicable because parties had waived the ability to argue its applicability.</w:t>
      </w:r>
      <w:r>
        <w:rPr>
          <w:rStyle w:val="FootnoteReference"/>
          <w:rFonts w:cs="Times New Roman"/>
          <w:szCs w:val="24"/>
        </w:rPr>
        <w:footnoteReference w:id="34"/>
      </w:r>
      <w:r w:rsidRPr="00335CE6">
        <w:rPr>
          <w:rFonts w:cs="Times New Roman"/>
          <w:szCs w:val="24"/>
        </w:rPr>
        <w:t xml:space="preserve"> Nor did DP&amp;L file an interlocutory appeal</w:t>
      </w:r>
      <w:r>
        <w:rPr>
          <w:rStyle w:val="FootnoteReference"/>
          <w:rFonts w:cs="Times New Roman"/>
          <w:szCs w:val="24"/>
        </w:rPr>
        <w:footnoteReference w:id="35"/>
      </w:r>
      <w:r w:rsidRPr="00335CE6">
        <w:rPr>
          <w:rFonts w:cs="Times New Roman"/>
          <w:szCs w:val="24"/>
        </w:rPr>
        <w:t xml:space="preserve"> of the Entry allowing supplemental briefing</w:t>
      </w:r>
      <w:r w:rsidR="00867B12">
        <w:rPr>
          <w:rFonts w:cs="Times New Roman"/>
          <w:szCs w:val="24"/>
        </w:rPr>
        <w:t>.</w:t>
      </w:r>
    </w:p>
    <w:p w:rsidR="001C25A7" w:rsidRPr="00335CE6" w:rsidP="001C25A7" w14:paraId="2FD4AB53" w14:textId="77777777">
      <w:pPr>
        <w:spacing w:line="240" w:lineRule="auto"/>
        <w:ind w:firstLine="720"/>
        <w:rPr>
          <w:rFonts w:cs="Times New Roman"/>
          <w:szCs w:val="24"/>
        </w:rPr>
      </w:pPr>
    </w:p>
    <w:p w:rsidR="00A970EA" w:rsidP="00A970EA" w14:paraId="7859676C" w14:textId="2991D675">
      <w:pPr>
        <w:pStyle w:val="Heading1"/>
        <w:rPr>
          <w:rFonts w:cs="Times New Roman"/>
          <w:szCs w:val="24"/>
        </w:rPr>
      </w:pPr>
      <w:bookmarkStart w:id="6" w:name="_Toc18580636"/>
      <w:r w:rsidRPr="00335CE6">
        <w:rPr>
          <w:rFonts w:cs="Times New Roman"/>
          <w:szCs w:val="24"/>
        </w:rPr>
        <w:t>III.</w:t>
      </w:r>
      <w:r w:rsidRPr="00335CE6">
        <w:rPr>
          <w:rFonts w:cs="Times New Roman"/>
          <w:szCs w:val="24"/>
        </w:rPr>
        <w:tab/>
        <w:t>RECOMMENDATIONS</w:t>
      </w:r>
      <w:bookmarkEnd w:id="6"/>
    </w:p>
    <w:p w:rsidR="007E2022" w:rsidP="00903046" w14:paraId="5ADD164D" w14:textId="56C5A8FA">
      <w:pPr>
        <w:pStyle w:val="Heading2"/>
      </w:pPr>
      <w:bookmarkStart w:id="7" w:name="_Toc18580637"/>
      <w:r>
        <w:t xml:space="preserve">The PUCO should protect consumers and deny </w:t>
      </w:r>
      <w:r w:rsidRPr="00476CC8">
        <w:t>DP&amp;L</w:t>
      </w:r>
      <w:r w:rsidR="00484B1D">
        <w:t>’</w:t>
      </w:r>
      <w:r w:rsidRPr="00476CC8">
        <w:t>s Motion outright</w:t>
      </w:r>
      <w:r>
        <w:t xml:space="preserve"> as lacking merit and baseless</w:t>
      </w:r>
      <w:r w:rsidRPr="00476CC8">
        <w:t>.</w:t>
      </w:r>
      <w:bookmarkEnd w:id="7"/>
    </w:p>
    <w:p w:rsidR="007E2022" w:rsidP="00AA625D" w14:paraId="53F62C63" w14:textId="5D82BAAA">
      <w:pPr>
        <w:ind w:firstLine="720"/>
      </w:pPr>
      <w:r>
        <w:t>The Attorney Examiners</w:t>
      </w:r>
      <w:r w:rsidR="00484B1D">
        <w:t>’</w:t>
      </w:r>
      <w:r>
        <w:t xml:space="preserve"> Entry permitted parties to brief the applicability of </w:t>
      </w:r>
      <w:r w:rsidRPr="00476CC8">
        <w:rPr>
          <w:i/>
          <w:iCs/>
        </w:rPr>
        <w:t>Ohio Edison</w:t>
      </w:r>
      <w:r>
        <w:t xml:space="preserve"> to this case.</w:t>
      </w:r>
      <w:r>
        <w:rPr>
          <w:rStyle w:val="FootnoteReference"/>
        </w:rPr>
        <w:footnoteReference w:id="36"/>
      </w:r>
      <w:r w:rsidR="00D23E28">
        <w:t xml:space="preserve"> </w:t>
      </w:r>
      <w:r>
        <w:t xml:space="preserve">Clearly, the Attorney Examiners had the authority to </w:t>
      </w:r>
      <w:r w:rsidR="00F753AF">
        <w:t>issue the Entry</w:t>
      </w:r>
      <w:r>
        <w:t>.</w:t>
      </w:r>
      <w:r>
        <w:rPr>
          <w:rStyle w:val="FootnoteReference"/>
        </w:rPr>
        <w:footnoteReference w:id="37"/>
      </w:r>
      <w:r w:rsidR="00D23E28">
        <w:t xml:space="preserve"> </w:t>
      </w:r>
      <w:r>
        <w:t xml:space="preserve">Under O.A.C. 4901-1-31, attorney examiners specifically have the authority to </w:t>
      </w:r>
      <w:r w:rsidR="00D23E28">
        <w:t>“</w:t>
      </w:r>
      <w:r>
        <w:t>permit or require the filing of briefs or memoranda at any time during a proceeding.</w:t>
      </w:r>
      <w:r w:rsidR="00D23E28">
        <w:t>”</w:t>
      </w:r>
      <w:r w:rsidRPr="00F753AF" w:rsidR="00F753AF">
        <w:t xml:space="preserve"> </w:t>
      </w:r>
      <w:r w:rsidR="00F753AF">
        <w:t>Not surprisingly, DP&amp;L does not argue that the Attorney Examiners were without authority to issue the Entry, either in its supplemental brief or in its Motion.</w:t>
      </w:r>
      <w:r w:rsidR="00484B1D">
        <w:t xml:space="preserve"> </w:t>
      </w:r>
    </w:p>
    <w:p w:rsidR="00F753AF" w:rsidP="00AA625D" w14:paraId="6DAA2CD7" w14:textId="5FB954D6">
      <w:pPr>
        <w:ind w:firstLine="720"/>
        <w:rPr>
          <w:rFonts w:cs="Times New Roman"/>
          <w:szCs w:val="24"/>
        </w:rPr>
      </w:pPr>
      <w:r>
        <w:t xml:space="preserve">In the Entry, the Attorney Examiners permitted briefing </w:t>
      </w:r>
      <w:r w:rsidR="00D23E28">
        <w:rPr>
          <w:rFonts w:cs="Times New Roman"/>
          <w:szCs w:val="24"/>
        </w:rPr>
        <w:t>“</w:t>
      </w:r>
      <w:r w:rsidRPr="00335CE6">
        <w:rPr>
          <w:rFonts w:cs="Times New Roman"/>
          <w:szCs w:val="24"/>
        </w:rPr>
        <w:t>narrowly focused on the issue of the applicability</w:t>
      </w:r>
      <w:r w:rsidR="00D23E28">
        <w:rPr>
          <w:rFonts w:cs="Times New Roman"/>
          <w:szCs w:val="24"/>
        </w:rPr>
        <w:t>”</w:t>
      </w:r>
      <w:r w:rsidRPr="00335CE6">
        <w:rPr>
          <w:rFonts w:cs="Times New Roman"/>
          <w:szCs w:val="24"/>
        </w:rPr>
        <w:t xml:space="preserve"> of </w:t>
      </w:r>
      <w:r w:rsidRPr="00335CE6">
        <w:rPr>
          <w:rFonts w:cs="Times New Roman"/>
          <w:i/>
          <w:iCs/>
          <w:szCs w:val="24"/>
        </w:rPr>
        <w:t>Ohio Edison.</w:t>
      </w:r>
      <w:r>
        <w:rPr>
          <w:rStyle w:val="FootnoteReference"/>
          <w:rFonts w:cs="Times New Roman"/>
          <w:szCs w:val="24"/>
        </w:rPr>
        <w:footnoteReference w:id="38"/>
      </w:r>
      <w:r w:rsidR="00D23E28">
        <w:rPr>
          <w:rFonts w:cs="Times New Roman"/>
          <w:i/>
          <w:iCs/>
          <w:szCs w:val="24"/>
        </w:rPr>
        <w:t xml:space="preserve"> </w:t>
      </w:r>
      <w:r>
        <w:t xml:space="preserve">Under O.A.C. 4901-1-31, attorney examiners specifically have the authority to permit or require briefing </w:t>
      </w:r>
      <w:r w:rsidR="00D23E28">
        <w:t>“</w:t>
      </w:r>
      <w:r>
        <w:t>limited to one or more specific issues.</w:t>
      </w:r>
      <w:r w:rsidR="00D23E28">
        <w:t xml:space="preserve">” </w:t>
      </w:r>
      <w:r>
        <w:t>DP&amp;L does not argue otherwise, either in its supplemental brief or in its Motion.</w:t>
      </w:r>
      <w:r w:rsidR="00D23E28">
        <w:t xml:space="preserve"> </w:t>
      </w:r>
      <w:r>
        <w:t>OCC</w:t>
      </w:r>
      <w:r w:rsidR="00484B1D">
        <w:t>’</w:t>
      </w:r>
      <w:r>
        <w:t xml:space="preserve">s supplemental brief – as well as those of IGS and the Environmental Group – was narrowly focused on the issue of the applicability of </w:t>
      </w:r>
      <w:r>
        <w:rPr>
          <w:i/>
          <w:iCs/>
        </w:rPr>
        <w:t>Ohio Edison</w:t>
      </w:r>
      <w:r>
        <w:t xml:space="preserve"> as permitted by the Entry.</w:t>
      </w:r>
      <w:r w:rsidR="00D23E28">
        <w:t xml:space="preserve"> </w:t>
      </w:r>
      <w:r>
        <w:t>DP&amp;L does not argue otherwise, either in its supplemental brief or in its Motion.</w:t>
      </w:r>
      <w:r w:rsidR="00484B1D">
        <w:t xml:space="preserve"> </w:t>
      </w:r>
      <w:r>
        <w:rPr>
          <w:rFonts w:cs="Times New Roman"/>
          <w:szCs w:val="24"/>
        </w:rPr>
        <w:t xml:space="preserve"> </w:t>
      </w:r>
    </w:p>
    <w:p w:rsidR="00AA625D" w:rsidRPr="00AA625D" w:rsidP="00476CC8" w14:paraId="32768058" w14:textId="2E7868CD">
      <w:pPr>
        <w:ind w:firstLine="720"/>
      </w:pPr>
      <w:r>
        <w:rPr>
          <w:rFonts w:cs="Times New Roman"/>
          <w:szCs w:val="24"/>
        </w:rPr>
        <w:t xml:space="preserve">It is undisputed that the Attorney Examiners had the authority to issue the Entry and that OCC </w:t>
      </w:r>
      <w:r w:rsidR="00867B12">
        <w:rPr>
          <w:rFonts w:cs="Times New Roman"/>
          <w:szCs w:val="24"/>
        </w:rPr>
        <w:t xml:space="preserve">(and others) </w:t>
      </w:r>
      <w:r>
        <w:rPr>
          <w:rFonts w:cs="Times New Roman"/>
          <w:szCs w:val="24"/>
        </w:rPr>
        <w:t>complied with the Entry.</w:t>
      </w:r>
      <w:r w:rsidR="00484B1D">
        <w:rPr>
          <w:rFonts w:cs="Times New Roman"/>
          <w:szCs w:val="24"/>
        </w:rPr>
        <w:t xml:space="preserve"> </w:t>
      </w:r>
      <w:r>
        <w:rPr>
          <w:rFonts w:cs="Times New Roman"/>
          <w:szCs w:val="24"/>
        </w:rPr>
        <w:t>The Motion has no merit.</w:t>
      </w:r>
      <w:r w:rsidR="00D23E28">
        <w:rPr>
          <w:rFonts w:cs="Times New Roman"/>
          <w:szCs w:val="24"/>
        </w:rPr>
        <w:t xml:space="preserve"> </w:t>
      </w:r>
      <w:r>
        <w:rPr>
          <w:rFonts w:cs="Times New Roman"/>
          <w:szCs w:val="24"/>
        </w:rPr>
        <w:t>It should be denied outright.</w:t>
      </w:r>
      <w:r w:rsidR="00484B1D">
        <w:rPr>
          <w:rFonts w:cs="Times New Roman"/>
          <w:szCs w:val="24"/>
        </w:rPr>
        <w:t xml:space="preserve"> </w:t>
      </w:r>
    </w:p>
    <w:p w:rsidR="00A970EA" w:rsidRPr="00335CE6" w:rsidP="00903046" w14:paraId="18E18EFA" w14:textId="4E1F6A51">
      <w:pPr>
        <w:pStyle w:val="Heading2"/>
      </w:pPr>
      <w:bookmarkStart w:id="8" w:name="_Toc18580638"/>
      <w:r>
        <w:t xml:space="preserve">The PUCO should protect consumers and reject </w:t>
      </w:r>
      <w:r w:rsidRPr="00335CE6">
        <w:t>DP&amp;L</w:t>
      </w:r>
      <w:r w:rsidR="00484B1D">
        <w:t>’</w:t>
      </w:r>
      <w:r w:rsidRPr="00335CE6">
        <w:t xml:space="preserve">s Motion </w:t>
      </w:r>
      <w:r w:rsidR="00A32580">
        <w:t xml:space="preserve">because in reality </w:t>
      </w:r>
      <w:r>
        <w:t xml:space="preserve">it is </w:t>
      </w:r>
      <w:r w:rsidR="00F55247">
        <w:t>a</w:t>
      </w:r>
      <w:r w:rsidR="00A24EEF">
        <w:t xml:space="preserve"> </w:t>
      </w:r>
      <w:r w:rsidR="00310D1F">
        <w:t>late</w:t>
      </w:r>
      <w:r>
        <w:t>-</w:t>
      </w:r>
      <w:r w:rsidR="00310D1F">
        <w:t>filed</w:t>
      </w:r>
      <w:r w:rsidR="00F55247">
        <w:t xml:space="preserve"> interlocutory appeal of</w:t>
      </w:r>
      <w:r w:rsidRPr="00335CE6">
        <w:t xml:space="preserve"> the Entry</w:t>
      </w:r>
      <w:r w:rsidR="00310D1F">
        <w:t>;</w:t>
      </w:r>
      <w:r w:rsidRPr="00335CE6">
        <w:t xml:space="preserve"> </w:t>
      </w:r>
      <w:r>
        <w:t xml:space="preserve">and </w:t>
      </w:r>
      <w:r w:rsidR="00310D1F">
        <w:t xml:space="preserve">it is </w:t>
      </w:r>
      <w:r w:rsidR="00A32580">
        <w:t>also</w:t>
      </w:r>
      <w:r w:rsidR="00310D1F">
        <w:t xml:space="preserve"> </w:t>
      </w:r>
      <w:r w:rsidRPr="00335CE6">
        <w:t>a procedurally improper</w:t>
      </w:r>
      <w:r w:rsidR="00A32580">
        <w:t xml:space="preserve"> </w:t>
      </w:r>
      <w:r w:rsidRPr="00335CE6">
        <w:t>reply brief.</w:t>
      </w:r>
      <w:bookmarkEnd w:id="8"/>
    </w:p>
    <w:p w:rsidR="00A970EA" w:rsidRPr="00335CE6" w:rsidP="00A970EA" w14:paraId="6F7BF547" w14:textId="58FDBDAD">
      <w:pPr>
        <w:ind w:firstLine="720"/>
        <w:rPr>
          <w:rFonts w:cs="Times New Roman"/>
          <w:szCs w:val="24"/>
        </w:rPr>
      </w:pPr>
      <w:r w:rsidRPr="00335CE6">
        <w:rPr>
          <w:rFonts w:cs="Times New Roman"/>
          <w:szCs w:val="24"/>
        </w:rPr>
        <w:t xml:space="preserve">While this proceeding has been pending, the Supreme Court of Ohio issued its decision in </w:t>
      </w:r>
      <w:r w:rsidRPr="00335CE6">
        <w:rPr>
          <w:rFonts w:cs="Times New Roman"/>
          <w:i/>
          <w:iCs/>
          <w:szCs w:val="24"/>
        </w:rPr>
        <w:t>Ohio Edison</w:t>
      </w:r>
      <w:r w:rsidRPr="00335CE6">
        <w:rPr>
          <w:rFonts w:cs="Times New Roman"/>
          <w:szCs w:val="24"/>
        </w:rPr>
        <w:t>, reversing the PUCO</w:t>
      </w:r>
      <w:r w:rsidR="00484B1D">
        <w:rPr>
          <w:rFonts w:cs="Times New Roman"/>
          <w:szCs w:val="24"/>
        </w:rPr>
        <w:t>’</w:t>
      </w:r>
      <w:r w:rsidRPr="00335CE6">
        <w:rPr>
          <w:rFonts w:cs="Times New Roman"/>
          <w:szCs w:val="24"/>
        </w:rPr>
        <w:t>s approval of FirstEnergy</w:t>
      </w:r>
      <w:r w:rsidR="00484B1D">
        <w:rPr>
          <w:rFonts w:cs="Times New Roman"/>
          <w:szCs w:val="24"/>
        </w:rPr>
        <w:t>’</w:t>
      </w:r>
      <w:r w:rsidRPr="00335CE6">
        <w:rPr>
          <w:rFonts w:cs="Times New Roman"/>
          <w:szCs w:val="24"/>
        </w:rPr>
        <w:t xml:space="preserve">s </w:t>
      </w:r>
      <w:r w:rsidR="00A24EEF">
        <w:rPr>
          <w:rFonts w:cs="Times New Roman"/>
          <w:szCs w:val="24"/>
        </w:rPr>
        <w:t>C</w:t>
      </w:r>
      <w:r w:rsidRPr="00335CE6">
        <w:rPr>
          <w:rFonts w:cs="Times New Roman"/>
          <w:szCs w:val="24"/>
        </w:rPr>
        <w:t>harge and remanding with instructions to remove the charge from FirstEnergy</w:t>
      </w:r>
      <w:r w:rsidR="00484B1D">
        <w:rPr>
          <w:rFonts w:cs="Times New Roman"/>
          <w:szCs w:val="24"/>
        </w:rPr>
        <w:t>’</w:t>
      </w:r>
      <w:r w:rsidRPr="00335CE6">
        <w:rPr>
          <w:rFonts w:cs="Times New Roman"/>
          <w:szCs w:val="24"/>
        </w:rPr>
        <w:t xml:space="preserve">s </w:t>
      </w:r>
      <w:r w:rsidR="002A6EFD">
        <w:rPr>
          <w:rFonts w:cs="Times New Roman"/>
          <w:szCs w:val="24"/>
        </w:rPr>
        <w:t>electric security plan</w:t>
      </w:r>
      <w:r w:rsidRPr="00335CE6">
        <w:rPr>
          <w:rFonts w:cs="Times New Roman"/>
          <w:szCs w:val="24"/>
        </w:rPr>
        <w:t>.</w:t>
      </w:r>
      <w:r>
        <w:rPr>
          <w:rStyle w:val="FootnoteReference"/>
          <w:rFonts w:cs="Times New Roman"/>
          <w:szCs w:val="24"/>
        </w:rPr>
        <w:footnoteReference w:id="39"/>
      </w:r>
      <w:r w:rsidR="00000E80">
        <w:rPr>
          <w:rFonts w:cs="Times New Roman"/>
          <w:b/>
          <w:bCs/>
          <w:szCs w:val="24"/>
        </w:rPr>
        <w:t xml:space="preserve"> </w:t>
      </w:r>
      <w:r w:rsidRPr="00335CE6">
        <w:rPr>
          <w:rFonts w:cs="Times New Roman"/>
          <w:i/>
          <w:iCs/>
          <w:szCs w:val="24"/>
        </w:rPr>
        <w:t xml:space="preserve">Ohio Edison </w:t>
      </w:r>
      <w:r w:rsidR="006D4388">
        <w:rPr>
          <w:rFonts w:cs="Times New Roman"/>
          <w:szCs w:val="24"/>
        </w:rPr>
        <w:t>is a new development in the law.</w:t>
      </w:r>
      <w:r w:rsidR="00000E80">
        <w:rPr>
          <w:rFonts w:cs="Times New Roman"/>
          <w:szCs w:val="24"/>
        </w:rPr>
        <w:t xml:space="preserve"> </w:t>
      </w:r>
      <w:r w:rsidRPr="00335CE6">
        <w:rPr>
          <w:rFonts w:cs="Times New Roman"/>
          <w:szCs w:val="24"/>
        </w:rPr>
        <w:t xml:space="preserve">Before </w:t>
      </w:r>
      <w:r w:rsidRPr="00335CE6">
        <w:rPr>
          <w:rFonts w:cs="Times New Roman"/>
          <w:i/>
          <w:iCs/>
          <w:szCs w:val="24"/>
        </w:rPr>
        <w:t>Ohio Edison</w:t>
      </w:r>
      <w:r w:rsidRPr="00335CE6">
        <w:rPr>
          <w:rFonts w:cs="Times New Roman"/>
          <w:szCs w:val="24"/>
        </w:rPr>
        <w:t xml:space="preserve">, the Opinion and Order in this case involving DP&amp;L adopted a Settlement that included a </w:t>
      </w:r>
      <w:r w:rsidR="00A24EEF">
        <w:rPr>
          <w:rFonts w:cs="Times New Roman"/>
          <w:szCs w:val="24"/>
        </w:rPr>
        <w:t>C</w:t>
      </w:r>
      <w:r w:rsidRPr="00335CE6">
        <w:rPr>
          <w:rFonts w:cs="Times New Roman"/>
          <w:szCs w:val="24"/>
        </w:rPr>
        <w:t>harge similar to FirstEnergy</w:t>
      </w:r>
      <w:r w:rsidR="00484B1D">
        <w:rPr>
          <w:rFonts w:cs="Times New Roman"/>
          <w:szCs w:val="24"/>
        </w:rPr>
        <w:t>’</w:t>
      </w:r>
      <w:r w:rsidRPr="00335CE6">
        <w:rPr>
          <w:rFonts w:cs="Times New Roman"/>
          <w:szCs w:val="24"/>
        </w:rPr>
        <w:t xml:space="preserve">s </w:t>
      </w:r>
      <w:r w:rsidR="002A6EFD">
        <w:rPr>
          <w:rFonts w:cs="Times New Roman"/>
          <w:szCs w:val="24"/>
        </w:rPr>
        <w:t>C</w:t>
      </w:r>
      <w:r w:rsidRPr="00335CE6" w:rsidR="002A6EFD">
        <w:rPr>
          <w:rFonts w:cs="Times New Roman"/>
          <w:szCs w:val="24"/>
        </w:rPr>
        <w:t xml:space="preserve">harge </w:t>
      </w:r>
      <w:r w:rsidRPr="00335CE6">
        <w:rPr>
          <w:rFonts w:cs="Times New Roman"/>
          <w:szCs w:val="24"/>
        </w:rPr>
        <w:t xml:space="preserve">later held unlawful in </w:t>
      </w:r>
      <w:r w:rsidRPr="00335CE6">
        <w:rPr>
          <w:rFonts w:cs="Times New Roman"/>
          <w:i/>
          <w:iCs/>
          <w:szCs w:val="24"/>
        </w:rPr>
        <w:t>Ohio Edison</w:t>
      </w:r>
      <w:r w:rsidRPr="00335CE6">
        <w:rPr>
          <w:rFonts w:cs="Times New Roman"/>
          <w:szCs w:val="24"/>
        </w:rPr>
        <w:t>.</w:t>
      </w:r>
      <w:r w:rsidR="00000E80">
        <w:rPr>
          <w:rFonts w:cs="Times New Roman"/>
          <w:szCs w:val="24"/>
        </w:rPr>
        <w:t xml:space="preserve"> </w:t>
      </w:r>
    </w:p>
    <w:p w:rsidR="00A970EA" w:rsidRPr="00335CE6" w:rsidP="00A970EA" w14:paraId="017DA48D" w14:textId="39D15C25">
      <w:pPr>
        <w:ind w:firstLine="720"/>
        <w:rPr>
          <w:rFonts w:cs="Times New Roman"/>
          <w:szCs w:val="24"/>
        </w:rPr>
      </w:pPr>
      <w:r>
        <w:rPr>
          <w:rFonts w:cs="Times New Roman"/>
          <w:szCs w:val="24"/>
        </w:rPr>
        <w:t>T</w:t>
      </w:r>
      <w:r w:rsidRPr="00335CE6">
        <w:rPr>
          <w:rFonts w:cs="Times New Roman"/>
          <w:szCs w:val="24"/>
        </w:rPr>
        <w:t>hat Settlement, and all of its terms, was put back at issue during the rehearing process as a result of IGS</w:t>
      </w:r>
      <w:r w:rsidR="00484B1D">
        <w:rPr>
          <w:rFonts w:cs="Times New Roman"/>
          <w:szCs w:val="24"/>
        </w:rPr>
        <w:t>’</w:t>
      </w:r>
      <w:r w:rsidRPr="00335CE6">
        <w:rPr>
          <w:rFonts w:cs="Times New Roman"/>
          <w:szCs w:val="24"/>
        </w:rPr>
        <w:t>s Notice of Withdrawal.</w:t>
      </w:r>
      <w:r w:rsidR="00000E80">
        <w:rPr>
          <w:rFonts w:cs="Times New Roman"/>
          <w:szCs w:val="24"/>
        </w:rPr>
        <w:t xml:space="preserve"> </w:t>
      </w:r>
      <w:r w:rsidRPr="00335CE6">
        <w:rPr>
          <w:rFonts w:cs="Times New Roman"/>
          <w:szCs w:val="24"/>
        </w:rPr>
        <w:t>Due to its successful withdrawal, IGS was permitted the opportunity to contest the Settlement and brief all issue</w:t>
      </w:r>
      <w:r w:rsidR="00D226CB">
        <w:rPr>
          <w:rFonts w:cs="Times New Roman"/>
          <w:szCs w:val="24"/>
        </w:rPr>
        <w:t>s</w:t>
      </w:r>
      <w:r w:rsidRPr="00335CE6">
        <w:rPr>
          <w:rFonts w:cs="Times New Roman"/>
          <w:szCs w:val="24"/>
        </w:rPr>
        <w:t xml:space="preserve"> for the PUCO to decide.</w:t>
      </w:r>
      <w:r>
        <w:rPr>
          <w:rStyle w:val="FootnoteReference"/>
          <w:rFonts w:cs="Times New Roman"/>
          <w:szCs w:val="24"/>
        </w:rPr>
        <w:footnoteReference w:id="40"/>
      </w:r>
      <w:r w:rsidR="00000E80">
        <w:rPr>
          <w:rFonts w:cs="Times New Roman"/>
          <w:szCs w:val="24"/>
        </w:rPr>
        <w:t xml:space="preserve"> </w:t>
      </w:r>
      <w:r w:rsidRPr="00335CE6">
        <w:rPr>
          <w:rFonts w:cs="Times New Roman"/>
          <w:szCs w:val="24"/>
        </w:rPr>
        <w:t>All parties were permitted to file supplemental initial and reply briefs, including based on evidence at the original phase of this case, on any issue.</w:t>
      </w:r>
      <w:r>
        <w:rPr>
          <w:rStyle w:val="FootnoteReference"/>
          <w:rFonts w:cs="Times New Roman"/>
          <w:szCs w:val="24"/>
        </w:rPr>
        <w:footnoteReference w:id="41"/>
      </w:r>
      <w:r w:rsidR="00000E80">
        <w:rPr>
          <w:rFonts w:cs="Times New Roman"/>
          <w:szCs w:val="24"/>
        </w:rPr>
        <w:t xml:space="preserve"> </w:t>
      </w:r>
      <w:r w:rsidR="00D226CB">
        <w:rPr>
          <w:rFonts w:cs="Times New Roman"/>
          <w:szCs w:val="24"/>
        </w:rPr>
        <w:t>Under Ohio law</w:t>
      </w:r>
      <w:r w:rsidRPr="00335CE6">
        <w:rPr>
          <w:rFonts w:cs="Times New Roman"/>
          <w:szCs w:val="24"/>
        </w:rPr>
        <w:t xml:space="preserve"> all parties </w:t>
      </w:r>
      <w:r w:rsidR="00867B12">
        <w:rPr>
          <w:rFonts w:cs="Times New Roman"/>
          <w:szCs w:val="24"/>
        </w:rPr>
        <w:t xml:space="preserve">will </w:t>
      </w:r>
      <w:r w:rsidRPr="00335CE6">
        <w:rPr>
          <w:rFonts w:cs="Times New Roman"/>
          <w:szCs w:val="24"/>
        </w:rPr>
        <w:t xml:space="preserve">have the right to </w:t>
      </w:r>
      <w:r w:rsidR="00D226CB">
        <w:rPr>
          <w:rFonts w:cs="Times New Roman"/>
          <w:szCs w:val="24"/>
        </w:rPr>
        <w:t>seek</w:t>
      </w:r>
      <w:r w:rsidRPr="00335CE6">
        <w:rPr>
          <w:rFonts w:cs="Times New Roman"/>
          <w:szCs w:val="24"/>
        </w:rPr>
        <w:t xml:space="preserve"> rehearing</w:t>
      </w:r>
      <w:r w:rsidR="00867B12">
        <w:rPr>
          <w:rFonts w:cs="Times New Roman"/>
          <w:szCs w:val="24"/>
        </w:rPr>
        <w:t xml:space="preserve"> of the PUCO Order to be issued in the pending proceeding on IGS</w:t>
      </w:r>
      <w:r w:rsidR="00484B1D">
        <w:rPr>
          <w:rFonts w:cs="Times New Roman"/>
          <w:szCs w:val="24"/>
        </w:rPr>
        <w:t>’</w:t>
      </w:r>
      <w:r w:rsidR="00867B12">
        <w:rPr>
          <w:rFonts w:cs="Times New Roman"/>
          <w:szCs w:val="24"/>
        </w:rPr>
        <w:t xml:space="preserve"> withdrawal.</w:t>
      </w:r>
      <w:r w:rsidR="00D23E28">
        <w:rPr>
          <w:rFonts w:cs="Times New Roman"/>
          <w:szCs w:val="24"/>
        </w:rPr>
        <w:t xml:space="preserve"> </w:t>
      </w:r>
      <w:r w:rsidR="00867B12">
        <w:rPr>
          <w:rFonts w:cs="Times New Roman"/>
          <w:szCs w:val="24"/>
        </w:rPr>
        <w:t>Then</w:t>
      </w:r>
      <w:r w:rsidRPr="00335CE6">
        <w:rPr>
          <w:rFonts w:cs="Times New Roman"/>
          <w:szCs w:val="24"/>
        </w:rPr>
        <w:t xml:space="preserve"> </w:t>
      </w:r>
      <w:r w:rsidR="00D226CB">
        <w:rPr>
          <w:rFonts w:cs="Times New Roman"/>
          <w:szCs w:val="24"/>
        </w:rPr>
        <w:t>ultimately</w:t>
      </w:r>
      <w:r w:rsidR="00867B12">
        <w:rPr>
          <w:rFonts w:cs="Times New Roman"/>
          <w:szCs w:val="24"/>
        </w:rPr>
        <w:t xml:space="preserve"> parties may </w:t>
      </w:r>
      <w:r w:rsidR="00D226CB">
        <w:rPr>
          <w:rFonts w:cs="Times New Roman"/>
          <w:szCs w:val="24"/>
        </w:rPr>
        <w:t xml:space="preserve">take </w:t>
      </w:r>
      <w:r w:rsidRPr="00335CE6">
        <w:rPr>
          <w:rFonts w:cs="Times New Roman"/>
          <w:szCs w:val="24"/>
        </w:rPr>
        <w:t>appeal</w:t>
      </w:r>
      <w:r w:rsidR="00D226CB">
        <w:rPr>
          <w:rFonts w:cs="Times New Roman"/>
          <w:szCs w:val="24"/>
        </w:rPr>
        <w:t>s</w:t>
      </w:r>
      <w:r w:rsidRPr="00335CE6">
        <w:rPr>
          <w:rFonts w:cs="Times New Roman"/>
          <w:szCs w:val="24"/>
        </w:rPr>
        <w:t xml:space="preserve"> to the Supreme Court of Ohio,</w:t>
      </w:r>
      <w:r>
        <w:rPr>
          <w:rStyle w:val="FootnoteReference"/>
          <w:rFonts w:cs="Times New Roman"/>
          <w:szCs w:val="24"/>
        </w:rPr>
        <w:footnoteReference w:id="42"/>
      </w:r>
      <w:r w:rsidRPr="00335CE6">
        <w:rPr>
          <w:rFonts w:cs="Times New Roman"/>
          <w:szCs w:val="24"/>
        </w:rPr>
        <w:t xml:space="preserve"> after</w:t>
      </w:r>
      <w:r w:rsidR="00D23E28">
        <w:rPr>
          <w:rFonts w:cs="Times New Roman"/>
          <w:szCs w:val="24"/>
        </w:rPr>
        <w:t xml:space="preserve"> </w:t>
      </w:r>
      <w:r w:rsidRPr="00335CE6">
        <w:rPr>
          <w:rFonts w:cs="Times New Roman"/>
          <w:szCs w:val="24"/>
        </w:rPr>
        <w:t>PUCO</w:t>
      </w:r>
      <w:r w:rsidR="00484B1D">
        <w:rPr>
          <w:rFonts w:cs="Times New Roman"/>
          <w:szCs w:val="24"/>
        </w:rPr>
        <w:t>’</w:t>
      </w:r>
      <w:r w:rsidR="00867B12">
        <w:rPr>
          <w:rFonts w:cs="Times New Roman"/>
          <w:szCs w:val="24"/>
        </w:rPr>
        <w:t xml:space="preserve">s final decision in this matter, </w:t>
      </w:r>
      <w:r w:rsidR="00D226CB">
        <w:rPr>
          <w:rFonts w:cs="Times New Roman"/>
          <w:szCs w:val="24"/>
        </w:rPr>
        <w:t xml:space="preserve">in </w:t>
      </w:r>
      <w:r w:rsidRPr="00335CE6">
        <w:rPr>
          <w:rFonts w:cs="Times New Roman"/>
          <w:szCs w:val="24"/>
        </w:rPr>
        <w:t xml:space="preserve">what the Attorney Examiners have described as this </w:t>
      </w:r>
      <w:r w:rsidR="00D23E28">
        <w:rPr>
          <w:rFonts w:cs="Times New Roman"/>
          <w:szCs w:val="24"/>
        </w:rPr>
        <w:t>“</w:t>
      </w:r>
      <w:r w:rsidRPr="00335CE6">
        <w:rPr>
          <w:rFonts w:cs="Times New Roman"/>
          <w:szCs w:val="24"/>
        </w:rPr>
        <w:t>do-over hearing.</w:t>
      </w:r>
      <w:r w:rsidR="00D23E28">
        <w:rPr>
          <w:rFonts w:cs="Times New Roman"/>
          <w:szCs w:val="24"/>
        </w:rPr>
        <w:t>”</w:t>
      </w:r>
      <w:r>
        <w:rPr>
          <w:rStyle w:val="FootnoteReference"/>
          <w:rFonts w:cs="Times New Roman"/>
          <w:szCs w:val="24"/>
        </w:rPr>
        <w:footnoteReference w:id="43"/>
      </w:r>
    </w:p>
    <w:p w:rsidR="00A970EA" w:rsidRPr="00335CE6" w:rsidP="00A970EA" w14:paraId="4C1E5D29" w14:textId="4340094A">
      <w:pPr>
        <w:ind w:firstLine="720"/>
        <w:rPr>
          <w:rFonts w:cs="Times New Roman"/>
          <w:szCs w:val="24"/>
        </w:rPr>
      </w:pPr>
      <w:r w:rsidRPr="00335CE6">
        <w:rPr>
          <w:rFonts w:cs="Times New Roman"/>
          <w:szCs w:val="24"/>
        </w:rPr>
        <w:t>Because this case is ongoing, and given the Court</w:t>
      </w:r>
      <w:r w:rsidR="00484B1D">
        <w:rPr>
          <w:rFonts w:cs="Times New Roman"/>
          <w:szCs w:val="24"/>
        </w:rPr>
        <w:t>’</w:t>
      </w:r>
      <w:r w:rsidRPr="00335CE6">
        <w:rPr>
          <w:rFonts w:cs="Times New Roman"/>
          <w:szCs w:val="24"/>
        </w:rPr>
        <w:t xml:space="preserve">s ruling in </w:t>
      </w:r>
      <w:r w:rsidRPr="00335CE6">
        <w:rPr>
          <w:rFonts w:cs="Times New Roman"/>
          <w:i/>
          <w:iCs/>
          <w:szCs w:val="24"/>
        </w:rPr>
        <w:t>Ohio Edison</w:t>
      </w:r>
      <w:r w:rsidRPr="00335CE6">
        <w:rPr>
          <w:rFonts w:cs="Times New Roman"/>
          <w:szCs w:val="24"/>
        </w:rPr>
        <w:t xml:space="preserve">, which created </w:t>
      </w:r>
      <w:r w:rsidR="00D23E28">
        <w:rPr>
          <w:rFonts w:cs="Times New Roman"/>
          <w:szCs w:val="24"/>
        </w:rPr>
        <w:t>“</w:t>
      </w:r>
      <w:r w:rsidRPr="00335CE6">
        <w:rPr>
          <w:rFonts w:cs="Times New Roman"/>
          <w:szCs w:val="24"/>
        </w:rPr>
        <w:t>new law</w:t>
      </w:r>
      <w:r w:rsidR="002A6EFD">
        <w:rPr>
          <w:rFonts w:cs="Times New Roman"/>
          <w:szCs w:val="24"/>
        </w:rPr>
        <w:t>,</w:t>
      </w:r>
      <w:r w:rsidR="00D23E28">
        <w:rPr>
          <w:rFonts w:cs="Times New Roman"/>
          <w:szCs w:val="24"/>
        </w:rPr>
        <w:t>”</w:t>
      </w:r>
      <w:r w:rsidRPr="00335CE6">
        <w:rPr>
          <w:rFonts w:cs="Times New Roman"/>
          <w:szCs w:val="24"/>
        </w:rPr>
        <w:t xml:space="preserve"> it is not surprising that the Attorney Examiners found </w:t>
      </w:r>
      <w:r w:rsidR="00D23E28">
        <w:rPr>
          <w:rFonts w:cs="Times New Roman"/>
          <w:szCs w:val="24"/>
        </w:rPr>
        <w:t>“</w:t>
      </w:r>
      <w:r w:rsidRPr="00335CE6">
        <w:rPr>
          <w:rFonts w:cs="Times New Roman"/>
          <w:szCs w:val="24"/>
        </w:rPr>
        <w:t xml:space="preserve">that parties should have the opportunity to brief the impact of </w:t>
      </w:r>
      <w:r w:rsidRPr="00335CE6">
        <w:rPr>
          <w:rFonts w:cs="Times New Roman"/>
          <w:i/>
          <w:iCs/>
          <w:szCs w:val="24"/>
        </w:rPr>
        <w:t xml:space="preserve">Ohio Edison </w:t>
      </w:r>
      <w:r w:rsidRPr="00335CE6">
        <w:rPr>
          <w:rFonts w:cs="Times New Roman"/>
          <w:szCs w:val="24"/>
        </w:rPr>
        <w:t>on this proceeding.</w:t>
      </w:r>
      <w:r w:rsidR="00D23E28">
        <w:rPr>
          <w:rFonts w:cs="Times New Roman"/>
          <w:szCs w:val="24"/>
        </w:rPr>
        <w:t>”</w:t>
      </w:r>
      <w:r>
        <w:rPr>
          <w:rStyle w:val="FootnoteReference"/>
          <w:rFonts w:cs="Times New Roman"/>
          <w:szCs w:val="24"/>
        </w:rPr>
        <w:footnoteReference w:id="44"/>
      </w:r>
      <w:r w:rsidR="00000E80">
        <w:rPr>
          <w:rFonts w:cs="Times New Roman"/>
          <w:szCs w:val="24"/>
        </w:rPr>
        <w:t xml:space="preserve"> </w:t>
      </w:r>
      <w:r w:rsidRPr="00335CE6">
        <w:rPr>
          <w:rFonts w:cs="Times New Roman"/>
          <w:szCs w:val="24"/>
        </w:rPr>
        <w:t xml:space="preserve">The Attorney Examiners therefore permitted parties to file supplemental briefs </w:t>
      </w:r>
      <w:r w:rsidR="00D23E28">
        <w:rPr>
          <w:rFonts w:cs="Times New Roman"/>
          <w:szCs w:val="24"/>
        </w:rPr>
        <w:t>“</w:t>
      </w:r>
      <w:r w:rsidRPr="00335CE6">
        <w:rPr>
          <w:rFonts w:cs="Times New Roman"/>
          <w:szCs w:val="24"/>
        </w:rPr>
        <w:t>narrowly focused on the issue of the applicability</w:t>
      </w:r>
      <w:r w:rsidR="00D23E28">
        <w:rPr>
          <w:rFonts w:cs="Times New Roman"/>
          <w:szCs w:val="24"/>
        </w:rPr>
        <w:t>”</w:t>
      </w:r>
      <w:r w:rsidRPr="00335CE6">
        <w:rPr>
          <w:rFonts w:cs="Times New Roman"/>
          <w:szCs w:val="24"/>
        </w:rPr>
        <w:t xml:space="preserve"> of </w:t>
      </w:r>
      <w:r w:rsidRPr="00335CE6">
        <w:rPr>
          <w:rFonts w:cs="Times New Roman"/>
          <w:i/>
          <w:iCs/>
          <w:szCs w:val="24"/>
        </w:rPr>
        <w:t>Ohio Edison.</w:t>
      </w:r>
      <w:r>
        <w:rPr>
          <w:rStyle w:val="FootnoteReference"/>
          <w:rFonts w:cs="Times New Roman"/>
          <w:szCs w:val="24"/>
        </w:rPr>
        <w:footnoteReference w:id="45"/>
      </w:r>
      <w:r w:rsidR="00000E80">
        <w:rPr>
          <w:rFonts w:cs="Times New Roman"/>
          <w:szCs w:val="24"/>
        </w:rPr>
        <w:t xml:space="preserve"> </w:t>
      </w:r>
      <w:r w:rsidRPr="00335CE6">
        <w:rPr>
          <w:rFonts w:cs="Times New Roman"/>
          <w:szCs w:val="24"/>
        </w:rPr>
        <w:t>Parties did so on August 1, 2019.</w:t>
      </w:r>
      <w:r>
        <w:rPr>
          <w:rStyle w:val="FootnoteReference"/>
          <w:rFonts w:cs="Times New Roman"/>
          <w:szCs w:val="24"/>
        </w:rPr>
        <w:footnoteReference w:id="46"/>
      </w:r>
      <w:r w:rsidR="00000E80">
        <w:rPr>
          <w:rFonts w:cs="Times New Roman"/>
          <w:szCs w:val="24"/>
        </w:rPr>
        <w:t xml:space="preserve"> </w:t>
      </w:r>
      <w:r w:rsidRPr="00335CE6">
        <w:rPr>
          <w:rFonts w:cs="Times New Roman"/>
          <w:szCs w:val="24"/>
        </w:rPr>
        <w:t>The Entry did not provide for reply briefs.</w:t>
      </w:r>
      <w:r>
        <w:rPr>
          <w:rStyle w:val="FootnoteReference"/>
          <w:rFonts w:cs="Times New Roman"/>
          <w:szCs w:val="24"/>
        </w:rPr>
        <w:footnoteReference w:id="47"/>
      </w:r>
    </w:p>
    <w:p w:rsidR="00867B12" w:rsidP="00A970EA" w14:paraId="6AAD5BFC" w14:textId="4B1EEF1D">
      <w:pPr>
        <w:ind w:firstLine="720"/>
        <w:rPr>
          <w:rFonts w:cs="Times New Roman"/>
          <w:szCs w:val="24"/>
        </w:rPr>
      </w:pPr>
      <w:r w:rsidRPr="00335CE6">
        <w:rPr>
          <w:rFonts w:cs="Times New Roman"/>
          <w:szCs w:val="24"/>
        </w:rPr>
        <w:t xml:space="preserve">Nevertheless, DP&amp;L is attacking the Entry </w:t>
      </w:r>
      <w:r w:rsidR="00F55247">
        <w:rPr>
          <w:rFonts w:cs="Times New Roman"/>
          <w:szCs w:val="24"/>
        </w:rPr>
        <w:t xml:space="preserve">through </w:t>
      </w:r>
      <w:r w:rsidR="001F777F">
        <w:rPr>
          <w:rFonts w:cs="Times New Roman"/>
          <w:szCs w:val="24"/>
        </w:rPr>
        <w:t xml:space="preserve">what amounts to </w:t>
      </w:r>
      <w:r w:rsidR="00F55247">
        <w:rPr>
          <w:rFonts w:cs="Times New Roman"/>
          <w:szCs w:val="24"/>
        </w:rPr>
        <w:t>a late filed interlocutory appeal</w:t>
      </w:r>
      <w:r w:rsidR="001F777F">
        <w:rPr>
          <w:rFonts w:cs="Times New Roman"/>
          <w:szCs w:val="24"/>
        </w:rPr>
        <w:t xml:space="preserve">. </w:t>
      </w:r>
      <w:r>
        <w:rPr>
          <w:rFonts w:cs="Times New Roman"/>
          <w:szCs w:val="24"/>
        </w:rPr>
        <w:t xml:space="preserve">Alternatively, </w:t>
      </w:r>
      <w:r w:rsidR="001F777F">
        <w:rPr>
          <w:rFonts w:cs="Times New Roman"/>
          <w:szCs w:val="24"/>
        </w:rPr>
        <w:t>DP&amp;L</w:t>
      </w:r>
      <w:r w:rsidR="00484B1D">
        <w:rPr>
          <w:rFonts w:cs="Times New Roman"/>
          <w:szCs w:val="24"/>
        </w:rPr>
        <w:t>’</w:t>
      </w:r>
      <w:r w:rsidR="001F777F">
        <w:rPr>
          <w:rFonts w:cs="Times New Roman"/>
          <w:szCs w:val="24"/>
        </w:rPr>
        <w:t xml:space="preserve">s filing </w:t>
      </w:r>
      <w:r>
        <w:rPr>
          <w:rFonts w:cs="Times New Roman"/>
          <w:szCs w:val="24"/>
        </w:rPr>
        <w:t>can be considered an im</w:t>
      </w:r>
      <w:r w:rsidR="00F55247">
        <w:rPr>
          <w:rFonts w:cs="Times New Roman"/>
          <w:szCs w:val="24"/>
        </w:rPr>
        <w:t>permissibly filed</w:t>
      </w:r>
      <w:r w:rsidRPr="00335CE6">
        <w:rPr>
          <w:rFonts w:cs="Times New Roman"/>
          <w:szCs w:val="24"/>
        </w:rPr>
        <w:t xml:space="preserve"> reply brief.</w:t>
      </w:r>
      <w:r w:rsidR="00000E80">
        <w:rPr>
          <w:rFonts w:cs="Times New Roman"/>
          <w:szCs w:val="24"/>
        </w:rPr>
        <w:t xml:space="preserve"> </w:t>
      </w:r>
      <w:r w:rsidR="001F777F">
        <w:rPr>
          <w:rFonts w:cs="Times New Roman"/>
          <w:szCs w:val="24"/>
        </w:rPr>
        <w:t xml:space="preserve">Either way, it should </w:t>
      </w:r>
      <w:r>
        <w:rPr>
          <w:rFonts w:cs="Times New Roman"/>
          <w:szCs w:val="24"/>
        </w:rPr>
        <w:t>not be considered by the PUCO.</w:t>
      </w:r>
      <w:r w:rsidR="00D23E28">
        <w:rPr>
          <w:rFonts w:cs="Times New Roman"/>
          <w:szCs w:val="24"/>
        </w:rPr>
        <w:t xml:space="preserve"> </w:t>
      </w:r>
    </w:p>
    <w:p w:rsidR="00A970EA" w:rsidRPr="00335CE6" w:rsidP="00A970EA" w14:paraId="43E8C09E" w14:textId="1EA2FB26">
      <w:pPr>
        <w:ind w:firstLine="720"/>
        <w:rPr>
          <w:rFonts w:cs="Times New Roman"/>
          <w:szCs w:val="24"/>
        </w:rPr>
      </w:pPr>
      <w:r w:rsidRPr="00335CE6">
        <w:rPr>
          <w:rFonts w:cs="Times New Roman"/>
          <w:szCs w:val="24"/>
        </w:rPr>
        <w:t xml:space="preserve">If DP&amp;L thought that parties had waived their rights to argue the applicability of </w:t>
      </w:r>
      <w:r w:rsidRPr="00335CE6">
        <w:rPr>
          <w:rFonts w:cs="Times New Roman"/>
          <w:i/>
          <w:iCs/>
          <w:szCs w:val="24"/>
        </w:rPr>
        <w:t>Ohio Edison</w:t>
      </w:r>
      <w:r w:rsidRPr="00335CE6">
        <w:rPr>
          <w:rFonts w:cs="Times New Roman"/>
          <w:szCs w:val="24"/>
        </w:rPr>
        <w:t xml:space="preserve">, then supplemental briefs would have been </w:t>
      </w:r>
      <w:r w:rsidRPr="00335CE6" w:rsidR="008433C2">
        <w:rPr>
          <w:rFonts w:cs="Times New Roman"/>
          <w:szCs w:val="24"/>
        </w:rPr>
        <w:t>unnecessary</w:t>
      </w:r>
      <w:r w:rsidR="00D226CB">
        <w:rPr>
          <w:rFonts w:cs="Times New Roman"/>
          <w:szCs w:val="24"/>
        </w:rPr>
        <w:t>.</w:t>
      </w:r>
      <w:r w:rsidR="00D23E28">
        <w:rPr>
          <w:rFonts w:cs="Times New Roman"/>
          <w:szCs w:val="24"/>
        </w:rPr>
        <w:t xml:space="preserve"> </w:t>
      </w:r>
      <w:r w:rsidR="00A24EEF">
        <w:rPr>
          <w:rFonts w:cs="Times New Roman"/>
          <w:szCs w:val="24"/>
        </w:rPr>
        <w:t>Obviously the PUCO disagreed with DP&amp;L on the need for supplemental briefs.</w:t>
      </w:r>
      <w:r w:rsidR="00D23E28">
        <w:rPr>
          <w:rFonts w:cs="Times New Roman"/>
          <w:szCs w:val="24"/>
        </w:rPr>
        <w:t xml:space="preserve"> </w:t>
      </w:r>
      <w:r w:rsidR="00D226CB">
        <w:rPr>
          <w:rFonts w:cs="Times New Roman"/>
          <w:szCs w:val="24"/>
        </w:rPr>
        <w:t xml:space="preserve">If DP&amp;L wanted to contest the filing of supplemental briefs it </w:t>
      </w:r>
      <w:r w:rsidRPr="00335CE6">
        <w:rPr>
          <w:rFonts w:cs="Times New Roman"/>
          <w:szCs w:val="24"/>
        </w:rPr>
        <w:t>should have filed an interlocutory appeal</w:t>
      </w:r>
      <w:r>
        <w:rPr>
          <w:rStyle w:val="FootnoteReference"/>
          <w:rFonts w:cs="Times New Roman"/>
          <w:szCs w:val="24"/>
        </w:rPr>
        <w:footnoteReference w:id="48"/>
      </w:r>
      <w:r w:rsidRPr="00335CE6">
        <w:rPr>
          <w:rFonts w:cs="Times New Roman"/>
          <w:szCs w:val="24"/>
        </w:rPr>
        <w:t xml:space="preserve"> of the Entry.</w:t>
      </w:r>
      <w:r w:rsidRPr="00335CE6">
        <w:rPr>
          <w:rFonts w:cs="Times New Roman"/>
          <w:i/>
          <w:iCs/>
          <w:szCs w:val="24"/>
        </w:rPr>
        <w:t xml:space="preserve"> </w:t>
      </w:r>
      <w:r w:rsidRPr="00335CE6">
        <w:rPr>
          <w:rFonts w:cs="Times New Roman"/>
          <w:szCs w:val="24"/>
        </w:rPr>
        <w:t>It did not</w:t>
      </w:r>
      <w:r w:rsidR="00F55247">
        <w:rPr>
          <w:rFonts w:cs="Times New Roman"/>
          <w:szCs w:val="24"/>
        </w:rPr>
        <w:t xml:space="preserve"> and cannot do so now</w:t>
      </w:r>
      <w:r w:rsidRPr="00335CE6">
        <w:rPr>
          <w:rFonts w:cs="Times New Roman"/>
          <w:szCs w:val="24"/>
        </w:rPr>
        <w:t>.</w:t>
      </w:r>
      <w:r>
        <w:rPr>
          <w:rStyle w:val="FootnoteReference"/>
          <w:rFonts w:cs="Times New Roman"/>
          <w:szCs w:val="24"/>
        </w:rPr>
        <w:footnoteReference w:id="49"/>
      </w:r>
      <w:r w:rsidR="00D23E28">
        <w:rPr>
          <w:rFonts w:cs="Times New Roman"/>
          <w:szCs w:val="24"/>
        </w:rPr>
        <w:t xml:space="preserve"> </w:t>
      </w:r>
      <w:r w:rsidR="00A24EEF">
        <w:rPr>
          <w:rFonts w:cs="Times New Roman"/>
          <w:szCs w:val="24"/>
        </w:rPr>
        <w:t xml:space="preserve">The PUCO should </w:t>
      </w:r>
      <w:r w:rsidR="003724E5">
        <w:rPr>
          <w:rFonts w:cs="Times New Roman"/>
          <w:szCs w:val="24"/>
        </w:rPr>
        <w:t>reject</w:t>
      </w:r>
      <w:r w:rsidR="00A24EEF">
        <w:rPr>
          <w:rFonts w:cs="Times New Roman"/>
          <w:szCs w:val="24"/>
        </w:rPr>
        <w:t xml:space="preserve"> DP&amp;L</w:t>
      </w:r>
      <w:r w:rsidR="00484B1D">
        <w:rPr>
          <w:rFonts w:cs="Times New Roman"/>
          <w:szCs w:val="24"/>
        </w:rPr>
        <w:t>’</w:t>
      </w:r>
      <w:r w:rsidR="003A3C61">
        <w:rPr>
          <w:rFonts w:cs="Times New Roman"/>
          <w:szCs w:val="24"/>
        </w:rPr>
        <w:t>s</w:t>
      </w:r>
      <w:r w:rsidR="00A24EEF">
        <w:rPr>
          <w:rFonts w:cs="Times New Roman"/>
          <w:szCs w:val="24"/>
        </w:rPr>
        <w:t xml:space="preserve"> Motion.</w:t>
      </w:r>
    </w:p>
    <w:p w:rsidR="00A970EA" w:rsidRPr="00335CE6" w:rsidP="00A970EA" w14:paraId="533240B8" w14:textId="13719A62">
      <w:pPr>
        <w:ind w:firstLine="720"/>
        <w:rPr>
          <w:rFonts w:cs="Times New Roman"/>
          <w:szCs w:val="24"/>
        </w:rPr>
      </w:pPr>
      <w:r w:rsidRPr="00335CE6">
        <w:rPr>
          <w:rFonts w:cs="Times New Roman"/>
          <w:szCs w:val="24"/>
        </w:rPr>
        <w:t>Given that parties, including OCC, had previously argued that DP&amp;L</w:t>
      </w:r>
      <w:r w:rsidR="00484B1D">
        <w:rPr>
          <w:rFonts w:cs="Times New Roman"/>
          <w:szCs w:val="24"/>
        </w:rPr>
        <w:t>’</w:t>
      </w:r>
      <w:r w:rsidRPr="00335CE6">
        <w:rPr>
          <w:rFonts w:cs="Times New Roman"/>
          <w:szCs w:val="24"/>
        </w:rPr>
        <w:t>s charge was not authorized by R.C. 4928.143(B)(2)(h), surely DP&amp;L knew that parties would describe how DP&amp;L</w:t>
      </w:r>
      <w:r w:rsidR="00484B1D">
        <w:rPr>
          <w:rFonts w:cs="Times New Roman"/>
          <w:szCs w:val="24"/>
        </w:rPr>
        <w:t>’</w:t>
      </w:r>
      <w:r w:rsidRPr="00335CE6">
        <w:rPr>
          <w:rFonts w:cs="Times New Roman"/>
          <w:szCs w:val="24"/>
        </w:rPr>
        <w:t xml:space="preserve">s charge is unlawful under </w:t>
      </w:r>
      <w:r w:rsidRPr="00335CE6">
        <w:rPr>
          <w:rFonts w:cs="Times New Roman"/>
          <w:i/>
          <w:iCs/>
          <w:szCs w:val="24"/>
        </w:rPr>
        <w:t>Ohio Edison</w:t>
      </w:r>
      <w:r w:rsidRPr="00335CE6">
        <w:rPr>
          <w:rFonts w:cs="Times New Roman"/>
          <w:szCs w:val="24"/>
        </w:rPr>
        <w:t>.</w:t>
      </w:r>
      <w:r>
        <w:rPr>
          <w:rStyle w:val="FootnoteReference"/>
          <w:rFonts w:cs="Times New Roman"/>
          <w:szCs w:val="24"/>
        </w:rPr>
        <w:footnoteReference w:id="50"/>
      </w:r>
      <w:r w:rsidR="00000E80">
        <w:rPr>
          <w:rFonts w:cs="Times New Roman"/>
          <w:szCs w:val="24"/>
        </w:rPr>
        <w:t xml:space="preserve"> </w:t>
      </w:r>
      <w:r w:rsidRPr="00335CE6">
        <w:rPr>
          <w:rFonts w:cs="Times New Roman"/>
          <w:szCs w:val="24"/>
        </w:rPr>
        <w:t>And given that DP&amp;L itself relied in its initial briefing so heavily on the PUCO</w:t>
      </w:r>
      <w:r w:rsidR="00484B1D">
        <w:rPr>
          <w:rFonts w:cs="Times New Roman"/>
          <w:szCs w:val="24"/>
        </w:rPr>
        <w:t>’</w:t>
      </w:r>
      <w:r w:rsidRPr="00335CE6">
        <w:rPr>
          <w:rFonts w:cs="Times New Roman"/>
          <w:szCs w:val="24"/>
        </w:rPr>
        <w:t>s decision approving FirstEnergy</w:t>
      </w:r>
      <w:r w:rsidR="00484B1D">
        <w:rPr>
          <w:rFonts w:cs="Times New Roman"/>
          <w:szCs w:val="24"/>
        </w:rPr>
        <w:t>’</w:t>
      </w:r>
      <w:r w:rsidRPr="00335CE6">
        <w:rPr>
          <w:rFonts w:cs="Times New Roman"/>
          <w:szCs w:val="24"/>
        </w:rPr>
        <w:t xml:space="preserve">s </w:t>
      </w:r>
      <w:r w:rsidR="002A6EFD">
        <w:rPr>
          <w:rFonts w:cs="Times New Roman"/>
          <w:szCs w:val="24"/>
        </w:rPr>
        <w:t>C</w:t>
      </w:r>
      <w:r w:rsidRPr="00335CE6" w:rsidR="002A6EFD">
        <w:rPr>
          <w:rFonts w:cs="Times New Roman"/>
          <w:szCs w:val="24"/>
        </w:rPr>
        <w:t>harge</w:t>
      </w:r>
      <w:r w:rsidRPr="00335CE6">
        <w:rPr>
          <w:rFonts w:cs="Times New Roman"/>
          <w:szCs w:val="24"/>
        </w:rPr>
        <w:t>, surely DP&amp;L knew that parties would describe how DP&amp;L</w:t>
      </w:r>
      <w:r w:rsidR="00484B1D">
        <w:rPr>
          <w:rFonts w:cs="Times New Roman"/>
          <w:szCs w:val="24"/>
        </w:rPr>
        <w:t>’</w:t>
      </w:r>
      <w:r w:rsidRPr="00335CE6">
        <w:rPr>
          <w:rFonts w:cs="Times New Roman"/>
          <w:szCs w:val="24"/>
        </w:rPr>
        <w:t xml:space="preserve">s </w:t>
      </w:r>
      <w:r w:rsidR="002A6EFD">
        <w:rPr>
          <w:rFonts w:cs="Times New Roman"/>
          <w:szCs w:val="24"/>
        </w:rPr>
        <w:t>C</w:t>
      </w:r>
      <w:r w:rsidRPr="00335CE6" w:rsidR="002A6EFD">
        <w:rPr>
          <w:rFonts w:cs="Times New Roman"/>
          <w:szCs w:val="24"/>
        </w:rPr>
        <w:t xml:space="preserve">harge </w:t>
      </w:r>
      <w:r w:rsidRPr="00335CE6">
        <w:rPr>
          <w:rFonts w:cs="Times New Roman"/>
          <w:szCs w:val="24"/>
        </w:rPr>
        <w:t xml:space="preserve">is unlawful under </w:t>
      </w:r>
      <w:r w:rsidRPr="00335CE6">
        <w:rPr>
          <w:rFonts w:cs="Times New Roman"/>
          <w:i/>
          <w:iCs/>
          <w:szCs w:val="24"/>
        </w:rPr>
        <w:t xml:space="preserve">Ohio Edison </w:t>
      </w:r>
      <w:r w:rsidRPr="00335CE6">
        <w:rPr>
          <w:rFonts w:cs="Times New Roman"/>
          <w:szCs w:val="24"/>
        </w:rPr>
        <w:t>where the Ohio Supreme Court held that the PUCO was wrong.</w:t>
      </w:r>
      <w:r>
        <w:rPr>
          <w:rStyle w:val="FootnoteReference"/>
          <w:rFonts w:cs="Times New Roman"/>
          <w:szCs w:val="24"/>
        </w:rPr>
        <w:footnoteReference w:id="51"/>
      </w:r>
      <w:r w:rsidR="00000E80">
        <w:rPr>
          <w:rFonts w:cs="Times New Roman"/>
          <w:szCs w:val="24"/>
        </w:rPr>
        <w:t xml:space="preserve"> </w:t>
      </w:r>
    </w:p>
    <w:p w:rsidR="00A970EA" w:rsidRPr="00335CE6" w:rsidP="00A970EA" w14:paraId="49E9AC15" w14:textId="689DEBFE">
      <w:pPr>
        <w:ind w:firstLine="720"/>
        <w:rPr>
          <w:rFonts w:cs="Times New Roman"/>
          <w:szCs w:val="24"/>
        </w:rPr>
      </w:pPr>
      <w:r w:rsidRPr="00335CE6">
        <w:rPr>
          <w:rFonts w:cs="Times New Roman"/>
          <w:szCs w:val="24"/>
        </w:rPr>
        <w:t xml:space="preserve">Clearly, DP&amp;L could have taken the position (however wrong it is) in its supplemental brief that </w:t>
      </w:r>
      <w:r w:rsidRPr="00335CE6">
        <w:rPr>
          <w:rFonts w:cs="Times New Roman"/>
          <w:i/>
          <w:iCs/>
          <w:szCs w:val="24"/>
        </w:rPr>
        <w:t xml:space="preserve">Ohio Edison </w:t>
      </w:r>
      <w:r w:rsidRPr="00335CE6">
        <w:rPr>
          <w:rFonts w:cs="Times New Roman"/>
          <w:szCs w:val="24"/>
        </w:rPr>
        <w:t xml:space="preserve">is inapplicable here because parties waived the right to challenge the </w:t>
      </w:r>
      <w:r w:rsidR="002A6EFD">
        <w:rPr>
          <w:rFonts w:cs="Times New Roman"/>
          <w:szCs w:val="24"/>
        </w:rPr>
        <w:t>DP&amp;L Charge</w:t>
      </w:r>
      <w:r w:rsidRPr="00335CE6" w:rsidR="002A6EFD">
        <w:rPr>
          <w:rFonts w:cs="Times New Roman"/>
          <w:szCs w:val="24"/>
        </w:rPr>
        <w:t xml:space="preserve"> </w:t>
      </w:r>
      <w:r w:rsidRPr="00335CE6">
        <w:rPr>
          <w:rFonts w:cs="Times New Roman"/>
          <w:szCs w:val="24"/>
        </w:rPr>
        <w:t>under it (or lacked standing to challenge it).</w:t>
      </w:r>
      <w:r w:rsidR="00000E80">
        <w:rPr>
          <w:rFonts w:cs="Times New Roman"/>
          <w:szCs w:val="24"/>
        </w:rPr>
        <w:t xml:space="preserve"> </w:t>
      </w:r>
      <w:r w:rsidRPr="00335CE6">
        <w:rPr>
          <w:rFonts w:cs="Times New Roman"/>
          <w:szCs w:val="24"/>
        </w:rPr>
        <w:t>It did not.</w:t>
      </w:r>
      <w:r>
        <w:rPr>
          <w:rStyle w:val="FootnoteReference"/>
          <w:rFonts w:cs="Times New Roman"/>
          <w:szCs w:val="24"/>
        </w:rPr>
        <w:footnoteReference w:id="52"/>
      </w:r>
      <w:r w:rsidR="00000E80">
        <w:rPr>
          <w:rFonts w:cs="Times New Roman"/>
          <w:szCs w:val="24"/>
        </w:rPr>
        <w:t xml:space="preserve"> </w:t>
      </w:r>
      <w:r w:rsidRPr="00335CE6">
        <w:rPr>
          <w:rFonts w:cs="Times New Roman"/>
          <w:szCs w:val="24"/>
        </w:rPr>
        <w:t xml:space="preserve">Under the Entry, </w:t>
      </w:r>
      <w:r w:rsidR="000F394F">
        <w:rPr>
          <w:rFonts w:cs="Times New Roman"/>
          <w:szCs w:val="24"/>
        </w:rPr>
        <w:t>reply briefs were not contemplated, so DP&amp;L</w:t>
      </w:r>
      <w:r w:rsidRPr="00335CE6">
        <w:rPr>
          <w:rFonts w:cs="Times New Roman"/>
          <w:szCs w:val="24"/>
        </w:rPr>
        <w:t xml:space="preserve"> should not be allowed to file </w:t>
      </w:r>
      <w:r w:rsidR="00DD6397">
        <w:rPr>
          <w:rFonts w:cs="Times New Roman"/>
          <w:szCs w:val="24"/>
        </w:rPr>
        <w:t xml:space="preserve">what is </w:t>
      </w:r>
      <w:r w:rsidRPr="00335CE6">
        <w:rPr>
          <w:rFonts w:cs="Times New Roman"/>
          <w:szCs w:val="24"/>
        </w:rPr>
        <w:t xml:space="preserve">a reply brief by calling it a </w:t>
      </w:r>
      <w:r w:rsidR="00F55247">
        <w:rPr>
          <w:rFonts w:cs="Times New Roman"/>
          <w:szCs w:val="24"/>
        </w:rPr>
        <w:t>m</w:t>
      </w:r>
      <w:r w:rsidRPr="00335CE6" w:rsidR="00F55247">
        <w:rPr>
          <w:rFonts w:cs="Times New Roman"/>
          <w:szCs w:val="24"/>
        </w:rPr>
        <w:t>otion</w:t>
      </w:r>
      <w:r w:rsidRPr="00335CE6">
        <w:rPr>
          <w:rFonts w:cs="Times New Roman"/>
          <w:szCs w:val="24"/>
        </w:rPr>
        <w:t>.</w:t>
      </w:r>
    </w:p>
    <w:p w:rsidR="00A970EA" w:rsidRPr="00335CE6" w:rsidP="00A970EA" w14:paraId="247B8848" w14:textId="0C00844E">
      <w:pPr>
        <w:ind w:firstLine="720"/>
        <w:rPr>
          <w:rFonts w:cs="Times New Roman"/>
          <w:szCs w:val="24"/>
        </w:rPr>
      </w:pPr>
      <w:r w:rsidRPr="00335CE6">
        <w:rPr>
          <w:rFonts w:cs="Times New Roman"/>
          <w:szCs w:val="24"/>
        </w:rPr>
        <w:t>DP&amp;L</w:t>
      </w:r>
      <w:r w:rsidR="00484B1D">
        <w:rPr>
          <w:rFonts w:cs="Times New Roman"/>
          <w:szCs w:val="24"/>
        </w:rPr>
        <w:t>’</w:t>
      </w:r>
      <w:r w:rsidRPr="00335CE6">
        <w:rPr>
          <w:rFonts w:cs="Times New Roman"/>
          <w:szCs w:val="24"/>
        </w:rPr>
        <w:t>s Motion should not be considered by the PUCO.</w:t>
      </w:r>
      <w:r w:rsidR="00000E80">
        <w:rPr>
          <w:rFonts w:cs="Times New Roman"/>
          <w:szCs w:val="24"/>
        </w:rPr>
        <w:t xml:space="preserve"> </w:t>
      </w:r>
      <w:r w:rsidRPr="00335CE6">
        <w:rPr>
          <w:rFonts w:cs="Times New Roman"/>
          <w:szCs w:val="24"/>
        </w:rPr>
        <w:t xml:space="preserve">It should be </w:t>
      </w:r>
      <w:r w:rsidR="000F394F">
        <w:rPr>
          <w:rFonts w:cs="Times New Roman"/>
          <w:szCs w:val="24"/>
        </w:rPr>
        <w:t>rejected</w:t>
      </w:r>
      <w:r w:rsidR="004255F1">
        <w:rPr>
          <w:rFonts w:cs="Times New Roman"/>
          <w:szCs w:val="24"/>
        </w:rPr>
        <w:t xml:space="preserve"> to protect consumers</w:t>
      </w:r>
      <w:r w:rsidRPr="00335CE6">
        <w:rPr>
          <w:rFonts w:cs="Times New Roman"/>
          <w:szCs w:val="24"/>
        </w:rPr>
        <w:t>.</w:t>
      </w:r>
    </w:p>
    <w:p w:rsidR="00A970EA" w:rsidRPr="00335CE6" w:rsidP="00903046" w14:paraId="32280627" w14:textId="5CFA0832">
      <w:pPr>
        <w:pStyle w:val="Heading2"/>
      </w:pPr>
      <w:bookmarkStart w:id="9" w:name="_Toc18580639"/>
      <w:r w:rsidRPr="00335CE6">
        <w:t>If it considers the Motion</w:t>
      </w:r>
      <w:r w:rsidR="000F394F">
        <w:t xml:space="preserve"> (which it should not)</w:t>
      </w:r>
      <w:r w:rsidRPr="00335CE6">
        <w:t>, the PUCO should deny it on the merits</w:t>
      </w:r>
      <w:r w:rsidR="004255F1">
        <w:t xml:space="preserve"> to protect consumers</w:t>
      </w:r>
      <w:r w:rsidRPr="00335CE6">
        <w:t xml:space="preserve"> because OCC has not waived the right to challenge DP&amp;L</w:t>
      </w:r>
      <w:r w:rsidR="00484B1D">
        <w:t>’</w:t>
      </w:r>
      <w:r w:rsidRPr="00335CE6">
        <w:t xml:space="preserve">s charge under </w:t>
      </w:r>
      <w:r w:rsidR="004255F1">
        <w:t xml:space="preserve">R.C. </w:t>
      </w:r>
      <w:r w:rsidRPr="00335CE6">
        <w:t>4928.143(B)(2)(h).</w:t>
      </w:r>
      <w:bookmarkEnd w:id="9"/>
    </w:p>
    <w:p w:rsidR="00A970EA" w:rsidRPr="00335CE6" w:rsidP="00A970EA" w14:paraId="1CEDF79F" w14:textId="0233CE92">
      <w:pPr>
        <w:ind w:firstLine="720"/>
        <w:rPr>
          <w:rFonts w:cs="Times New Roman"/>
          <w:szCs w:val="24"/>
        </w:rPr>
      </w:pPr>
      <w:r w:rsidRPr="00335CE6">
        <w:rPr>
          <w:rFonts w:cs="Times New Roman"/>
          <w:szCs w:val="24"/>
        </w:rPr>
        <w:t>DP&amp;L</w:t>
      </w:r>
      <w:r w:rsidR="00484B1D">
        <w:rPr>
          <w:rFonts w:cs="Times New Roman"/>
          <w:szCs w:val="24"/>
        </w:rPr>
        <w:t>’</w:t>
      </w:r>
      <w:r w:rsidRPr="00335CE6">
        <w:rPr>
          <w:rFonts w:cs="Times New Roman"/>
          <w:szCs w:val="24"/>
        </w:rPr>
        <w:t>s Motion, filled with inconsistencies and inaccuracies,</w:t>
      </w:r>
      <w:r>
        <w:rPr>
          <w:rStyle w:val="FootnoteReference"/>
          <w:rFonts w:cs="Times New Roman"/>
          <w:szCs w:val="24"/>
        </w:rPr>
        <w:footnoteReference w:id="53"/>
      </w:r>
      <w:r w:rsidRPr="00335CE6">
        <w:rPr>
          <w:rFonts w:cs="Times New Roman"/>
          <w:szCs w:val="24"/>
        </w:rPr>
        <w:t xml:space="preserve"> boils down to its assertion that because </w:t>
      </w:r>
      <w:r w:rsidR="00D23E28">
        <w:rPr>
          <w:rFonts w:cs="Times New Roman"/>
          <w:szCs w:val="24"/>
        </w:rPr>
        <w:t>“</w:t>
      </w:r>
      <w:r w:rsidRPr="00335CE6">
        <w:rPr>
          <w:rFonts w:cs="Times New Roman"/>
          <w:szCs w:val="24"/>
        </w:rPr>
        <w:t xml:space="preserve">OCC, IGS, ELPC, and Sierra Club have </w:t>
      </w:r>
      <w:r w:rsidRPr="00335CE6">
        <w:rPr>
          <w:rFonts w:cs="Times New Roman"/>
          <w:szCs w:val="24"/>
          <w:u w:val="single"/>
        </w:rPr>
        <w:t xml:space="preserve">never </w:t>
      </w:r>
      <w:r w:rsidRPr="00335CE6">
        <w:rPr>
          <w:rFonts w:cs="Times New Roman"/>
          <w:szCs w:val="24"/>
        </w:rPr>
        <w:t xml:space="preserve">argued that the DMR is not an </w:t>
      </w:r>
      <w:r w:rsidR="00484B1D">
        <w:rPr>
          <w:rFonts w:cs="Times New Roman"/>
          <w:szCs w:val="24"/>
        </w:rPr>
        <w:t>‘</w:t>
      </w:r>
      <w:r w:rsidRPr="00335CE6">
        <w:rPr>
          <w:rFonts w:cs="Times New Roman"/>
          <w:szCs w:val="24"/>
        </w:rPr>
        <w:t>incentive</w:t>
      </w:r>
      <w:r w:rsidR="00484B1D">
        <w:rPr>
          <w:rFonts w:cs="Times New Roman"/>
          <w:szCs w:val="24"/>
        </w:rPr>
        <w:t>’</w:t>
      </w:r>
      <w:r w:rsidRPr="00335CE6">
        <w:rPr>
          <w:rFonts w:cs="Times New Roman"/>
          <w:szCs w:val="24"/>
        </w:rPr>
        <w:t xml:space="preserve"> until now, they have waived the issue.</w:t>
      </w:r>
      <w:r w:rsidR="00D23E28">
        <w:rPr>
          <w:rFonts w:cs="Times New Roman"/>
          <w:szCs w:val="24"/>
        </w:rPr>
        <w:t>”</w:t>
      </w:r>
      <w:r>
        <w:rPr>
          <w:rStyle w:val="FootnoteReference"/>
          <w:rFonts w:cs="Times New Roman"/>
          <w:szCs w:val="24"/>
        </w:rPr>
        <w:footnoteReference w:id="54"/>
      </w:r>
      <w:r w:rsidR="00000E80">
        <w:rPr>
          <w:rFonts w:cs="Times New Roman"/>
          <w:szCs w:val="24"/>
        </w:rPr>
        <w:t xml:space="preserve"> </w:t>
      </w:r>
      <w:r w:rsidR="00D23E28">
        <w:rPr>
          <w:rFonts w:cs="Times New Roman"/>
          <w:szCs w:val="24"/>
        </w:rPr>
        <w:t>“</w:t>
      </w:r>
      <w:r w:rsidRPr="00335CE6">
        <w:rPr>
          <w:rFonts w:cs="Times New Roman"/>
          <w:szCs w:val="24"/>
        </w:rPr>
        <w:t>By failing to specifically challenge the legality of the DMR under subsection (B)(2)(h), OCC waived that argument in this proceeding.</w:t>
      </w:r>
      <w:r w:rsidR="00D23E28">
        <w:rPr>
          <w:rFonts w:cs="Times New Roman"/>
          <w:szCs w:val="24"/>
        </w:rPr>
        <w:t>”</w:t>
      </w:r>
      <w:r>
        <w:rPr>
          <w:rStyle w:val="FootnoteReference"/>
          <w:rFonts w:cs="Times New Roman"/>
          <w:szCs w:val="24"/>
        </w:rPr>
        <w:footnoteReference w:id="55"/>
      </w:r>
      <w:r w:rsidR="00000E80">
        <w:rPr>
          <w:rFonts w:cs="Times New Roman"/>
          <w:szCs w:val="24"/>
        </w:rPr>
        <w:t xml:space="preserve"> </w:t>
      </w:r>
      <w:r w:rsidRPr="00335CE6">
        <w:rPr>
          <w:rFonts w:cs="Times New Roman"/>
          <w:szCs w:val="24"/>
        </w:rPr>
        <w:t>DP&amp;L asserts that OCC did not challenge DP&amp;L</w:t>
      </w:r>
      <w:r w:rsidR="00484B1D">
        <w:rPr>
          <w:rFonts w:cs="Times New Roman"/>
          <w:szCs w:val="24"/>
        </w:rPr>
        <w:t>’</w:t>
      </w:r>
      <w:r w:rsidRPr="00335CE6">
        <w:rPr>
          <w:rFonts w:cs="Times New Roman"/>
          <w:szCs w:val="24"/>
        </w:rPr>
        <w:t xml:space="preserve">s </w:t>
      </w:r>
      <w:r w:rsidR="004F3054">
        <w:rPr>
          <w:rFonts w:cs="Times New Roman"/>
          <w:szCs w:val="24"/>
        </w:rPr>
        <w:t>C</w:t>
      </w:r>
      <w:r w:rsidRPr="00335CE6">
        <w:rPr>
          <w:rFonts w:cs="Times New Roman"/>
          <w:szCs w:val="24"/>
        </w:rPr>
        <w:t>harge under R.C. 4928.143(B)(2)(h) in either its initial briefing or on rehearing, and therefore waived the argument.</w:t>
      </w:r>
      <w:r>
        <w:rPr>
          <w:rStyle w:val="FootnoteReference"/>
          <w:rFonts w:cs="Times New Roman"/>
          <w:szCs w:val="24"/>
        </w:rPr>
        <w:footnoteReference w:id="56"/>
      </w:r>
      <w:r w:rsidR="00000E80">
        <w:rPr>
          <w:rFonts w:cs="Times New Roman"/>
          <w:szCs w:val="24"/>
        </w:rPr>
        <w:t xml:space="preserve"> </w:t>
      </w:r>
      <w:r w:rsidRPr="00335CE6">
        <w:rPr>
          <w:rFonts w:cs="Times New Roman"/>
          <w:szCs w:val="24"/>
        </w:rPr>
        <w:t xml:space="preserve">DP&amp;L is wrong </w:t>
      </w:r>
      <w:r w:rsidR="004255F1">
        <w:rPr>
          <w:rFonts w:cs="Times New Roman"/>
          <w:szCs w:val="24"/>
        </w:rPr>
        <w:t xml:space="preserve">and its Motion should be denied to protect consumers </w:t>
      </w:r>
      <w:r w:rsidRPr="00335CE6">
        <w:rPr>
          <w:rFonts w:cs="Times New Roman"/>
          <w:szCs w:val="24"/>
        </w:rPr>
        <w:t>for three, independent reasons.</w:t>
      </w:r>
    </w:p>
    <w:p w:rsidR="00A970EA" w:rsidRPr="00335CE6" w:rsidP="00A970EA" w14:paraId="70413FC3" w14:textId="43E85183">
      <w:pPr>
        <w:pStyle w:val="Heading3"/>
        <w:rPr>
          <w:rFonts w:ascii="Times New Roman" w:hAnsi="Times New Roman" w:cs="Times New Roman"/>
        </w:rPr>
      </w:pPr>
      <w:bookmarkStart w:id="10" w:name="_Toc18580640"/>
      <w:r w:rsidRPr="00335CE6">
        <w:rPr>
          <w:rFonts w:ascii="Times New Roman" w:hAnsi="Times New Roman" w:cs="Times New Roman"/>
        </w:rPr>
        <w:t>1.</w:t>
      </w:r>
      <w:r w:rsidRPr="00335CE6">
        <w:rPr>
          <w:rFonts w:ascii="Times New Roman" w:hAnsi="Times New Roman" w:cs="Times New Roman"/>
        </w:rPr>
        <w:tab/>
        <w:t>DP&amp;L</w:t>
      </w:r>
      <w:r w:rsidR="00484B1D">
        <w:rPr>
          <w:rFonts w:ascii="Times New Roman" w:hAnsi="Times New Roman" w:cs="Times New Roman"/>
        </w:rPr>
        <w:t>’</w:t>
      </w:r>
      <w:r w:rsidRPr="00335CE6">
        <w:rPr>
          <w:rFonts w:ascii="Times New Roman" w:hAnsi="Times New Roman" w:cs="Times New Roman"/>
        </w:rPr>
        <w:t xml:space="preserve">s Motion should be denied </w:t>
      </w:r>
      <w:r w:rsidR="004255F1">
        <w:rPr>
          <w:rFonts w:ascii="Times New Roman" w:hAnsi="Times New Roman" w:cs="Times New Roman"/>
        </w:rPr>
        <w:t xml:space="preserve">to protect consumers </w:t>
      </w:r>
      <w:r w:rsidRPr="00335CE6">
        <w:rPr>
          <w:rFonts w:ascii="Times New Roman" w:hAnsi="Times New Roman" w:cs="Times New Roman"/>
        </w:rPr>
        <w:t>because this case is still ongoing.</w:t>
      </w:r>
      <w:bookmarkEnd w:id="10"/>
    </w:p>
    <w:p w:rsidR="00A970EA" w:rsidRPr="00335CE6" w:rsidP="00A970EA" w14:paraId="113408FA" w14:textId="77777777">
      <w:pPr>
        <w:spacing w:line="240" w:lineRule="auto"/>
        <w:ind w:firstLine="720"/>
        <w:rPr>
          <w:rFonts w:cs="Times New Roman"/>
          <w:szCs w:val="24"/>
        </w:rPr>
      </w:pPr>
    </w:p>
    <w:p w:rsidR="00DD6397" w:rsidP="003048B1" w14:paraId="1CEAD6A3" w14:textId="646664E7">
      <w:pPr>
        <w:ind w:firstLine="720"/>
        <w:rPr>
          <w:rFonts w:cs="Times New Roman"/>
          <w:szCs w:val="24"/>
        </w:rPr>
      </w:pPr>
      <w:r w:rsidRPr="00335CE6">
        <w:rPr>
          <w:rFonts w:cs="Times New Roman"/>
          <w:szCs w:val="24"/>
        </w:rPr>
        <w:t>DP&amp;L has to come to grips with the fact that this case is not yet over.</w:t>
      </w:r>
      <w:r w:rsidR="00000E80">
        <w:rPr>
          <w:rFonts w:cs="Times New Roman"/>
          <w:szCs w:val="24"/>
        </w:rPr>
        <w:t xml:space="preserve"> </w:t>
      </w:r>
      <w:r w:rsidRPr="00335CE6">
        <w:rPr>
          <w:rFonts w:cs="Times New Roman"/>
          <w:szCs w:val="24"/>
        </w:rPr>
        <w:t>Due to its successful withdrawal, IGS was permitted the opportunity to contest the Settlement and brief all issue</w:t>
      </w:r>
      <w:r w:rsidR="001C3BA1">
        <w:rPr>
          <w:rFonts w:cs="Times New Roman"/>
          <w:szCs w:val="24"/>
        </w:rPr>
        <w:t>s</w:t>
      </w:r>
      <w:r w:rsidRPr="00335CE6">
        <w:rPr>
          <w:rFonts w:cs="Times New Roman"/>
          <w:szCs w:val="24"/>
        </w:rPr>
        <w:t xml:space="preserve"> for the PUCO to decide.</w:t>
      </w:r>
      <w:r>
        <w:rPr>
          <w:rStyle w:val="FootnoteReference"/>
          <w:rFonts w:cs="Times New Roman"/>
          <w:szCs w:val="24"/>
        </w:rPr>
        <w:footnoteReference w:id="57"/>
      </w:r>
      <w:r w:rsidR="00000E80">
        <w:rPr>
          <w:rFonts w:cs="Times New Roman"/>
          <w:szCs w:val="24"/>
        </w:rPr>
        <w:t xml:space="preserve"> </w:t>
      </w:r>
      <w:r w:rsidRPr="00335CE6">
        <w:rPr>
          <w:rFonts w:cs="Times New Roman"/>
          <w:szCs w:val="24"/>
        </w:rPr>
        <w:t>All parties were permitted to file supplemental initial and reply briefs, including based on evidence at the original phase of this case, on any issue.</w:t>
      </w:r>
      <w:r>
        <w:rPr>
          <w:rStyle w:val="FootnoteReference"/>
          <w:rFonts w:cs="Times New Roman"/>
          <w:szCs w:val="24"/>
        </w:rPr>
        <w:footnoteReference w:id="58"/>
      </w:r>
      <w:r w:rsidR="00000E80">
        <w:rPr>
          <w:rFonts w:cs="Times New Roman"/>
          <w:szCs w:val="24"/>
        </w:rPr>
        <w:t xml:space="preserve"> </w:t>
      </w:r>
      <w:r w:rsidRPr="00335CE6">
        <w:rPr>
          <w:rFonts w:cs="Times New Roman"/>
          <w:szCs w:val="24"/>
        </w:rPr>
        <w:t xml:space="preserve">By operation of law, all parties </w:t>
      </w:r>
      <w:r w:rsidR="004255F1">
        <w:rPr>
          <w:rFonts w:cs="Times New Roman"/>
          <w:szCs w:val="24"/>
        </w:rPr>
        <w:t>will</w:t>
      </w:r>
      <w:r w:rsidRPr="00335CE6">
        <w:rPr>
          <w:rFonts w:cs="Times New Roman"/>
          <w:szCs w:val="24"/>
        </w:rPr>
        <w:t xml:space="preserve"> have the right to apply for rehearing, and appeal to the Supreme Court of Ohio,</w:t>
      </w:r>
      <w:r>
        <w:rPr>
          <w:rStyle w:val="FootnoteReference"/>
          <w:rFonts w:cs="Times New Roman"/>
          <w:szCs w:val="24"/>
        </w:rPr>
        <w:footnoteReference w:id="59"/>
      </w:r>
      <w:r w:rsidRPr="00335CE6">
        <w:rPr>
          <w:rFonts w:cs="Times New Roman"/>
          <w:szCs w:val="24"/>
        </w:rPr>
        <w:t xml:space="preserve"> after a PUCO decision on what the Attorney Examiners have described as this </w:t>
      </w:r>
      <w:r w:rsidR="00D23E28">
        <w:rPr>
          <w:rFonts w:cs="Times New Roman"/>
          <w:szCs w:val="24"/>
        </w:rPr>
        <w:t>“</w:t>
      </w:r>
      <w:r w:rsidRPr="00335CE6">
        <w:rPr>
          <w:rFonts w:cs="Times New Roman"/>
          <w:szCs w:val="24"/>
        </w:rPr>
        <w:t>do-over hearing.</w:t>
      </w:r>
      <w:r w:rsidR="00D23E28">
        <w:rPr>
          <w:rFonts w:cs="Times New Roman"/>
          <w:szCs w:val="24"/>
        </w:rPr>
        <w:t>”</w:t>
      </w:r>
      <w:r>
        <w:rPr>
          <w:rStyle w:val="FootnoteReference"/>
          <w:rFonts w:cs="Times New Roman"/>
          <w:szCs w:val="24"/>
        </w:rPr>
        <w:footnoteReference w:id="60"/>
      </w:r>
      <w:r w:rsidR="00000E80">
        <w:rPr>
          <w:rFonts w:cs="Times New Roman"/>
          <w:szCs w:val="24"/>
        </w:rPr>
        <w:t xml:space="preserve"> </w:t>
      </w:r>
    </w:p>
    <w:p w:rsidR="00A970EA" w:rsidRPr="00335CE6" w:rsidP="003048B1" w14:paraId="1238141A" w14:textId="1E3DF0B7">
      <w:pPr>
        <w:ind w:firstLine="720"/>
        <w:rPr>
          <w:rFonts w:cs="Times New Roman"/>
          <w:szCs w:val="24"/>
        </w:rPr>
      </w:pPr>
      <w:r w:rsidRPr="00335CE6">
        <w:rPr>
          <w:rFonts w:cs="Times New Roman"/>
          <w:szCs w:val="24"/>
        </w:rPr>
        <w:t xml:space="preserve">During the pendency of the case, a new legal development occurred – </w:t>
      </w:r>
      <w:r w:rsidRPr="00335CE6">
        <w:rPr>
          <w:rFonts w:cs="Times New Roman"/>
          <w:i/>
          <w:iCs/>
          <w:szCs w:val="24"/>
        </w:rPr>
        <w:t>Ohio Edison</w:t>
      </w:r>
      <w:r w:rsidRPr="00335CE6">
        <w:rPr>
          <w:rFonts w:cs="Times New Roman"/>
          <w:szCs w:val="24"/>
        </w:rPr>
        <w:t>.</w:t>
      </w:r>
      <w:r w:rsidR="00D23E28">
        <w:rPr>
          <w:rFonts w:cs="Times New Roman"/>
          <w:szCs w:val="24"/>
        </w:rPr>
        <w:t xml:space="preserve"> </w:t>
      </w:r>
      <w:r w:rsidR="003048B1">
        <w:rPr>
          <w:rFonts w:cs="Times New Roman"/>
          <w:szCs w:val="24"/>
        </w:rPr>
        <w:t xml:space="preserve">There it </w:t>
      </w:r>
      <w:r w:rsidRPr="00335CE6" w:rsidR="003048B1">
        <w:rPr>
          <w:rFonts w:cs="Times New Roman"/>
          <w:szCs w:val="24"/>
        </w:rPr>
        <w:t>revers</w:t>
      </w:r>
      <w:r w:rsidR="003048B1">
        <w:rPr>
          <w:rFonts w:cs="Times New Roman"/>
          <w:szCs w:val="24"/>
        </w:rPr>
        <w:t>ed</w:t>
      </w:r>
      <w:r w:rsidRPr="00335CE6" w:rsidR="003048B1">
        <w:rPr>
          <w:rFonts w:cs="Times New Roman"/>
          <w:szCs w:val="24"/>
        </w:rPr>
        <w:t xml:space="preserve"> the PUCO</w:t>
      </w:r>
      <w:r w:rsidR="00484B1D">
        <w:rPr>
          <w:rFonts w:cs="Times New Roman"/>
          <w:szCs w:val="24"/>
        </w:rPr>
        <w:t>’</w:t>
      </w:r>
      <w:r w:rsidRPr="00335CE6" w:rsidR="003048B1">
        <w:rPr>
          <w:rFonts w:cs="Times New Roman"/>
          <w:szCs w:val="24"/>
        </w:rPr>
        <w:t>s approval of FirstEnergy</w:t>
      </w:r>
      <w:r w:rsidR="00484B1D">
        <w:rPr>
          <w:rFonts w:cs="Times New Roman"/>
          <w:szCs w:val="24"/>
        </w:rPr>
        <w:t>’</w:t>
      </w:r>
      <w:r w:rsidRPr="00335CE6" w:rsidR="003048B1">
        <w:rPr>
          <w:rFonts w:cs="Times New Roman"/>
          <w:szCs w:val="24"/>
        </w:rPr>
        <w:t xml:space="preserve">s </w:t>
      </w:r>
      <w:r w:rsidR="00F069AE">
        <w:rPr>
          <w:rFonts w:cs="Times New Roman"/>
          <w:szCs w:val="24"/>
        </w:rPr>
        <w:t>C</w:t>
      </w:r>
      <w:r w:rsidRPr="00335CE6" w:rsidR="003048B1">
        <w:rPr>
          <w:rFonts w:cs="Times New Roman"/>
          <w:szCs w:val="24"/>
        </w:rPr>
        <w:t>harge and remand</w:t>
      </w:r>
      <w:r w:rsidR="003048B1">
        <w:rPr>
          <w:rFonts w:cs="Times New Roman"/>
          <w:szCs w:val="24"/>
        </w:rPr>
        <w:t xml:space="preserve">ed the case to the PUCO </w:t>
      </w:r>
      <w:r w:rsidRPr="00335CE6" w:rsidR="003048B1">
        <w:rPr>
          <w:rFonts w:cs="Times New Roman"/>
          <w:szCs w:val="24"/>
        </w:rPr>
        <w:t>with instructions to remove the charge from FirstEnergy</w:t>
      </w:r>
      <w:r w:rsidR="00484B1D">
        <w:rPr>
          <w:rFonts w:cs="Times New Roman"/>
          <w:szCs w:val="24"/>
        </w:rPr>
        <w:t>’</w:t>
      </w:r>
      <w:r w:rsidRPr="00335CE6" w:rsidR="003048B1">
        <w:rPr>
          <w:rFonts w:cs="Times New Roman"/>
          <w:szCs w:val="24"/>
        </w:rPr>
        <w:t>s electric security plan.</w:t>
      </w:r>
      <w:r>
        <w:rPr>
          <w:rStyle w:val="FootnoteReference"/>
          <w:rFonts w:cs="Times New Roman"/>
          <w:szCs w:val="24"/>
        </w:rPr>
        <w:footnoteReference w:id="61"/>
      </w:r>
      <w:r w:rsidR="00D23E28">
        <w:rPr>
          <w:rFonts w:cs="Times New Roman"/>
          <w:szCs w:val="24"/>
        </w:rPr>
        <w:t xml:space="preserve"> </w:t>
      </w:r>
      <w:r w:rsidR="003048B1">
        <w:rPr>
          <w:rFonts w:cs="Times New Roman"/>
          <w:szCs w:val="24"/>
        </w:rPr>
        <w:t>The Court held that FirstEnergy</w:t>
      </w:r>
      <w:r w:rsidR="00484B1D">
        <w:rPr>
          <w:rFonts w:cs="Times New Roman"/>
          <w:szCs w:val="24"/>
        </w:rPr>
        <w:t>’</w:t>
      </w:r>
      <w:r w:rsidR="003048B1">
        <w:rPr>
          <w:rFonts w:cs="Times New Roman"/>
          <w:szCs w:val="24"/>
        </w:rPr>
        <w:t>s charge was not authorized by R.C. 4928.143(B)(2)(h).</w:t>
      </w:r>
      <w:r>
        <w:rPr>
          <w:rStyle w:val="FootnoteReference"/>
          <w:rFonts w:cs="Times New Roman"/>
          <w:szCs w:val="24"/>
        </w:rPr>
        <w:footnoteReference w:id="62"/>
      </w:r>
      <w:r w:rsidR="003048B1">
        <w:rPr>
          <w:rFonts w:cs="Times New Roman"/>
          <w:szCs w:val="24"/>
        </w:rPr>
        <w:t xml:space="preserve"> </w:t>
      </w:r>
      <w:r w:rsidRPr="00335CE6">
        <w:rPr>
          <w:rFonts w:cs="Times New Roman"/>
          <w:szCs w:val="24"/>
        </w:rPr>
        <w:t xml:space="preserve">Integrating </w:t>
      </w:r>
      <w:r w:rsidR="00F069AE">
        <w:rPr>
          <w:rFonts w:cs="Times New Roman"/>
          <w:i/>
          <w:iCs/>
          <w:szCs w:val="24"/>
        </w:rPr>
        <w:t>Ohio Edison</w:t>
      </w:r>
      <w:r w:rsidRPr="00335CE6" w:rsidR="00F069AE">
        <w:rPr>
          <w:rFonts w:cs="Times New Roman"/>
          <w:szCs w:val="24"/>
        </w:rPr>
        <w:t xml:space="preserve"> </w:t>
      </w:r>
      <w:r w:rsidRPr="00335CE6">
        <w:rPr>
          <w:rFonts w:cs="Times New Roman"/>
          <w:szCs w:val="24"/>
        </w:rPr>
        <w:t>into the record for the PUCO</w:t>
      </w:r>
      <w:r w:rsidR="00484B1D">
        <w:rPr>
          <w:rFonts w:cs="Times New Roman"/>
          <w:szCs w:val="24"/>
        </w:rPr>
        <w:t>’</w:t>
      </w:r>
      <w:r w:rsidRPr="00335CE6">
        <w:rPr>
          <w:rFonts w:cs="Times New Roman"/>
          <w:szCs w:val="24"/>
        </w:rPr>
        <w:t>s consideration makes sense.</w:t>
      </w:r>
      <w:r w:rsidR="00000E80">
        <w:rPr>
          <w:rFonts w:cs="Times New Roman"/>
          <w:szCs w:val="24"/>
        </w:rPr>
        <w:t xml:space="preserve"> </w:t>
      </w:r>
      <w:r w:rsidRPr="00335CE6">
        <w:rPr>
          <w:rFonts w:cs="Times New Roman"/>
          <w:szCs w:val="24"/>
        </w:rPr>
        <w:t>And the Attorney Examiners specifically permitted the parties to do so in their Entry.</w:t>
      </w:r>
      <w:r>
        <w:rPr>
          <w:rStyle w:val="FootnoteReference"/>
          <w:rFonts w:cs="Times New Roman"/>
          <w:szCs w:val="24"/>
        </w:rPr>
        <w:footnoteReference w:id="63"/>
      </w:r>
      <w:r w:rsidR="00000E80">
        <w:rPr>
          <w:rFonts w:cs="Times New Roman"/>
          <w:szCs w:val="24"/>
        </w:rPr>
        <w:t xml:space="preserve"> </w:t>
      </w:r>
      <w:r w:rsidRPr="00335CE6">
        <w:rPr>
          <w:rFonts w:cs="Times New Roman"/>
          <w:szCs w:val="24"/>
        </w:rPr>
        <w:t xml:space="preserve">Striking briefs specifically permitted by the Entry </w:t>
      </w:r>
      <w:r w:rsidR="004255F1">
        <w:rPr>
          <w:rFonts w:cs="Times New Roman"/>
          <w:szCs w:val="24"/>
        </w:rPr>
        <w:t xml:space="preserve">in an ongoing case </w:t>
      </w:r>
      <w:r w:rsidRPr="00335CE6">
        <w:rPr>
          <w:rFonts w:cs="Times New Roman"/>
          <w:szCs w:val="24"/>
        </w:rPr>
        <w:t>would be unprecedented.</w:t>
      </w:r>
    </w:p>
    <w:p w:rsidR="00A970EA" w:rsidRPr="00335CE6" w:rsidP="00A970EA" w14:paraId="0C67F174" w14:textId="77C58970">
      <w:pPr>
        <w:pStyle w:val="Heading3"/>
        <w:rPr>
          <w:rFonts w:ascii="Times New Roman" w:hAnsi="Times New Roman" w:cs="Times New Roman"/>
        </w:rPr>
      </w:pPr>
      <w:bookmarkStart w:id="11" w:name="_Toc18580641"/>
      <w:r w:rsidRPr="00335CE6">
        <w:rPr>
          <w:rFonts w:ascii="Times New Roman" w:hAnsi="Times New Roman" w:cs="Times New Roman"/>
        </w:rPr>
        <w:t>2.</w:t>
      </w:r>
      <w:r w:rsidRPr="00335CE6">
        <w:rPr>
          <w:rFonts w:ascii="Times New Roman" w:hAnsi="Times New Roman" w:cs="Times New Roman"/>
        </w:rPr>
        <w:tab/>
        <w:t>DP&amp;L</w:t>
      </w:r>
      <w:r w:rsidR="00484B1D">
        <w:rPr>
          <w:rFonts w:ascii="Times New Roman" w:hAnsi="Times New Roman" w:cs="Times New Roman"/>
        </w:rPr>
        <w:t>’</w:t>
      </w:r>
      <w:r w:rsidRPr="00335CE6">
        <w:rPr>
          <w:rFonts w:ascii="Times New Roman" w:hAnsi="Times New Roman" w:cs="Times New Roman"/>
        </w:rPr>
        <w:t xml:space="preserve">s Motion should be denied </w:t>
      </w:r>
      <w:r w:rsidR="004255F1">
        <w:rPr>
          <w:rFonts w:ascii="Times New Roman" w:hAnsi="Times New Roman" w:cs="Times New Roman"/>
        </w:rPr>
        <w:t xml:space="preserve">to protect consumers </w:t>
      </w:r>
      <w:r w:rsidR="000C072F">
        <w:rPr>
          <w:rFonts w:ascii="Times New Roman" w:hAnsi="Times New Roman" w:cs="Times New Roman"/>
        </w:rPr>
        <w:t xml:space="preserve">because </w:t>
      </w:r>
      <w:r w:rsidRPr="00335CE6">
        <w:rPr>
          <w:rFonts w:ascii="Times New Roman" w:hAnsi="Times New Roman" w:cs="Times New Roman"/>
        </w:rPr>
        <w:t>parties have raised the incentive issue under R.C. 4928.143(B)(2)(h) before.</w:t>
      </w:r>
      <w:bookmarkEnd w:id="11"/>
      <w:r w:rsidRPr="00335CE6">
        <w:rPr>
          <w:rFonts w:ascii="Times New Roman" w:hAnsi="Times New Roman" w:cs="Times New Roman"/>
        </w:rPr>
        <w:t xml:space="preserve"> </w:t>
      </w:r>
    </w:p>
    <w:p w:rsidR="00A970EA" w:rsidRPr="00335CE6" w:rsidP="00A970EA" w14:paraId="0AA6B7F9" w14:textId="77777777">
      <w:pPr>
        <w:pStyle w:val="ListParagraph"/>
        <w:spacing w:line="240" w:lineRule="auto"/>
        <w:ind w:left="1080"/>
        <w:rPr>
          <w:rFonts w:cs="Times New Roman"/>
          <w:b/>
          <w:bCs/>
          <w:szCs w:val="24"/>
        </w:rPr>
      </w:pPr>
    </w:p>
    <w:p w:rsidR="00A970EA" w:rsidRPr="00335CE6" w:rsidP="00A970EA" w14:paraId="38EC9437" w14:textId="1A6E745C">
      <w:pPr>
        <w:ind w:firstLine="720"/>
        <w:rPr>
          <w:rFonts w:cs="Times New Roman"/>
          <w:szCs w:val="24"/>
        </w:rPr>
      </w:pPr>
      <w:r w:rsidRPr="00335CE6">
        <w:rPr>
          <w:rFonts w:cs="Times New Roman"/>
          <w:szCs w:val="24"/>
        </w:rPr>
        <w:t xml:space="preserve">The authority that DP&amp;L cites to support its argument that OCC waived its right to argue the applicability of </w:t>
      </w:r>
      <w:r w:rsidRPr="00335CE6">
        <w:rPr>
          <w:rFonts w:cs="Times New Roman"/>
          <w:i/>
          <w:iCs/>
          <w:szCs w:val="24"/>
        </w:rPr>
        <w:t xml:space="preserve">Ohio Edison </w:t>
      </w:r>
      <w:r w:rsidRPr="00335CE6">
        <w:rPr>
          <w:rFonts w:cs="Times New Roman"/>
          <w:szCs w:val="24"/>
        </w:rPr>
        <w:t>is irrelevant here.</w:t>
      </w:r>
      <w:r w:rsidR="00000E80">
        <w:rPr>
          <w:rFonts w:cs="Times New Roman"/>
          <w:szCs w:val="24"/>
        </w:rPr>
        <w:t xml:space="preserve"> </w:t>
      </w:r>
      <w:r w:rsidRPr="00335CE6">
        <w:rPr>
          <w:rFonts w:cs="Times New Roman"/>
          <w:i/>
          <w:iCs/>
          <w:szCs w:val="24"/>
        </w:rPr>
        <w:t>In the Matter of the Application of Columbia Gas of Ohio, Inc.</w:t>
      </w:r>
      <w:r w:rsidRPr="00335CE6">
        <w:rPr>
          <w:rFonts w:cs="Times New Roman"/>
          <w:szCs w:val="24"/>
        </w:rPr>
        <w:t>,</w:t>
      </w:r>
      <w:r>
        <w:rPr>
          <w:rStyle w:val="FootnoteReference"/>
          <w:rFonts w:cs="Times New Roman"/>
          <w:szCs w:val="24"/>
        </w:rPr>
        <w:footnoteReference w:id="64"/>
      </w:r>
      <w:r w:rsidRPr="00335CE6">
        <w:rPr>
          <w:rFonts w:cs="Times New Roman"/>
          <w:i/>
          <w:iCs/>
          <w:szCs w:val="24"/>
        </w:rPr>
        <w:t xml:space="preserve"> </w:t>
      </w:r>
      <w:r w:rsidR="0029496E">
        <w:rPr>
          <w:rFonts w:cs="Times New Roman"/>
          <w:szCs w:val="24"/>
        </w:rPr>
        <w:t xml:space="preserve">which DP&amp;L relies on in its motion, </w:t>
      </w:r>
      <w:r w:rsidRPr="00335CE6">
        <w:rPr>
          <w:rFonts w:cs="Times New Roman"/>
          <w:szCs w:val="24"/>
        </w:rPr>
        <w:t xml:space="preserve">is a rate case </w:t>
      </w:r>
      <w:r w:rsidR="004255F1">
        <w:rPr>
          <w:rFonts w:cs="Times New Roman"/>
          <w:szCs w:val="24"/>
        </w:rPr>
        <w:t>where there are</w:t>
      </w:r>
      <w:r w:rsidRPr="00335CE6">
        <w:rPr>
          <w:rFonts w:cs="Times New Roman"/>
          <w:szCs w:val="24"/>
        </w:rPr>
        <w:t xml:space="preserve"> rules specifically governing waiver of certain matters in certain instances.</w:t>
      </w:r>
      <w:r>
        <w:rPr>
          <w:rStyle w:val="FootnoteReference"/>
          <w:rFonts w:cs="Times New Roman"/>
          <w:szCs w:val="24"/>
        </w:rPr>
        <w:footnoteReference w:id="65"/>
      </w:r>
      <w:r w:rsidR="00000E80">
        <w:rPr>
          <w:rFonts w:cs="Times New Roman"/>
          <w:szCs w:val="24"/>
        </w:rPr>
        <w:t xml:space="preserve"> </w:t>
      </w:r>
      <w:r w:rsidRPr="00335CE6">
        <w:rPr>
          <w:rFonts w:cs="Times New Roman"/>
          <w:szCs w:val="24"/>
        </w:rPr>
        <w:t>This is not a rate case.</w:t>
      </w:r>
      <w:r w:rsidR="00000E80">
        <w:rPr>
          <w:rFonts w:cs="Times New Roman"/>
          <w:szCs w:val="24"/>
        </w:rPr>
        <w:t xml:space="preserve"> </w:t>
      </w:r>
      <w:r w:rsidRPr="00335CE6">
        <w:rPr>
          <w:rFonts w:cs="Times New Roman"/>
          <w:i/>
          <w:iCs/>
          <w:szCs w:val="24"/>
        </w:rPr>
        <w:t>Ohio Consumers</w:t>
      </w:r>
      <w:r w:rsidR="00484B1D">
        <w:rPr>
          <w:rFonts w:cs="Times New Roman"/>
          <w:i/>
          <w:iCs/>
          <w:szCs w:val="24"/>
        </w:rPr>
        <w:t>’</w:t>
      </w:r>
      <w:r w:rsidRPr="00335CE6">
        <w:rPr>
          <w:rFonts w:cs="Times New Roman"/>
          <w:i/>
          <w:iCs/>
          <w:szCs w:val="24"/>
        </w:rPr>
        <w:t xml:space="preserve"> Counsel v. PUC</w:t>
      </w:r>
      <w:r w:rsidRPr="00335CE6">
        <w:rPr>
          <w:rFonts w:cs="Times New Roman"/>
          <w:szCs w:val="24"/>
        </w:rPr>
        <w:t>,</w:t>
      </w:r>
      <w:r>
        <w:rPr>
          <w:rStyle w:val="FootnoteReference"/>
          <w:rFonts w:cs="Times New Roman"/>
          <w:szCs w:val="24"/>
        </w:rPr>
        <w:footnoteReference w:id="66"/>
      </w:r>
      <w:r w:rsidRPr="00335CE6">
        <w:rPr>
          <w:rFonts w:cs="Times New Roman"/>
          <w:szCs w:val="24"/>
        </w:rPr>
        <w:t xml:space="preserve"> </w:t>
      </w:r>
      <w:r w:rsidRPr="00335CE6">
        <w:rPr>
          <w:rFonts w:cs="Times New Roman"/>
          <w:i/>
          <w:iCs/>
          <w:szCs w:val="24"/>
        </w:rPr>
        <w:t>Disc. Cellular, Inc. v. PUC</w:t>
      </w:r>
      <w:r w:rsidRPr="00335CE6">
        <w:rPr>
          <w:rFonts w:cs="Times New Roman"/>
          <w:szCs w:val="24"/>
        </w:rPr>
        <w:t>,</w:t>
      </w:r>
      <w:r>
        <w:rPr>
          <w:rStyle w:val="FootnoteReference"/>
          <w:rFonts w:cs="Times New Roman"/>
          <w:szCs w:val="24"/>
        </w:rPr>
        <w:footnoteReference w:id="67"/>
      </w:r>
      <w:r w:rsidRPr="00335CE6">
        <w:rPr>
          <w:rFonts w:cs="Times New Roman"/>
          <w:i/>
          <w:iCs/>
          <w:szCs w:val="24"/>
        </w:rPr>
        <w:t xml:space="preserve"> Senior Citizens Coalition v. PUC</w:t>
      </w:r>
      <w:r w:rsidRPr="00335CE6">
        <w:rPr>
          <w:rFonts w:cs="Times New Roman"/>
          <w:szCs w:val="24"/>
        </w:rPr>
        <w:t>,</w:t>
      </w:r>
      <w:r>
        <w:rPr>
          <w:rStyle w:val="FootnoteReference"/>
          <w:rFonts w:cs="Times New Roman"/>
          <w:szCs w:val="24"/>
        </w:rPr>
        <w:footnoteReference w:id="68"/>
      </w:r>
      <w:r w:rsidRPr="00335CE6">
        <w:rPr>
          <w:rFonts w:cs="Times New Roman"/>
          <w:i/>
          <w:iCs/>
          <w:szCs w:val="24"/>
        </w:rPr>
        <w:t xml:space="preserve"> </w:t>
      </w:r>
      <w:r w:rsidRPr="00335CE6">
        <w:rPr>
          <w:rFonts w:cs="Times New Roman"/>
          <w:szCs w:val="24"/>
        </w:rPr>
        <w:t>deal</w:t>
      </w:r>
      <w:r w:rsidR="0029496E">
        <w:rPr>
          <w:rFonts w:cs="Times New Roman"/>
          <w:szCs w:val="24"/>
        </w:rPr>
        <w:t>s</w:t>
      </w:r>
      <w:r w:rsidRPr="00335CE6">
        <w:rPr>
          <w:rFonts w:cs="Times New Roman"/>
          <w:szCs w:val="24"/>
        </w:rPr>
        <w:t xml:space="preserve"> with waiver of issues not raised in an application for rehearing.</w:t>
      </w:r>
      <w:r w:rsidR="00000E80">
        <w:rPr>
          <w:rFonts w:cs="Times New Roman"/>
          <w:szCs w:val="24"/>
        </w:rPr>
        <w:t xml:space="preserve"> </w:t>
      </w:r>
      <w:r w:rsidRPr="00335CE6">
        <w:rPr>
          <w:rFonts w:cs="Times New Roman"/>
          <w:szCs w:val="24"/>
        </w:rPr>
        <w:t xml:space="preserve">Here, DP&amp;L is arguing that parties have waived the ability to make </w:t>
      </w:r>
      <w:r w:rsidR="004255F1">
        <w:rPr>
          <w:rFonts w:cs="Times New Roman"/>
          <w:szCs w:val="24"/>
        </w:rPr>
        <w:t xml:space="preserve">an </w:t>
      </w:r>
      <w:r w:rsidRPr="00335CE6">
        <w:rPr>
          <w:rFonts w:cs="Times New Roman"/>
          <w:szCs w:val="24"/>
        </w:rPr>
        <w:t xml:space="preserve">argument </w:t>
      </w:r>
      <w:r w:rsidRPr="00335CE6">
        <w:rPr>
          <w:rFonts w:cs="Times New Roman"/>
          <w:i/>
          <w:iCs/>
          <w:szCs w:val="24"/>
        </w:rPr>
        <w:t xml:space="preserve">before the PUCO </w:t>
      </w:r>
      <w:r w:rsidRPr="00335CE6">
        <w:rPr>
          <w:rFonts w:cs="Times New Roman"/>
          <w:szCs w:val="24"/>
        </w:rPr>
        <w:t>(and in response to an Attorney Examiner Entry, at that)</w:t>
      </w:r>
      <w:r w:rsidR="004255F1">
        <w:rPr>
          <w:rFonts w:cs="Times New Roman"/>
          <w:szCs w:val="24"/>
        </w:rPr>
        <w:t xml:space="preserve"> in an ongoing case</w:t>
      </w:r>
      <w:r w:rsidRPr="00335CE6">
        <w:rPr>
          <w:rFonts w:cs="Times New Roman"/>
          <w:i/>
          <w:iCs/>
          <w:szCs w:val="24"/>
        </w:rPr>
        <w:t>.</w:t>
      </w:r>
      <w:r w:rsidR="00000E80">
        <w:rPr>
          <w:rFonts w:cs="Times New Roman"/>
          <w:i/>
          <w:iCs/>
          <w:szCs w:val="24"/>
        </w:rPr>
        <w:t xml:space="preserve"> </w:t>
      </w:r>
      <w:r w:rsidRPr="00335CE6">
        <w:rPr>
          <w:rFonts w:cs="Times New Roman"/>
          <w:szCs w:val="24"/>
        </w:rPr>
        <w:t>DP&amp;L</w:t>
      </w:r>
      <w:r w:rsidR="00484B1D">
        <w:rPr>
          <w:rFonts w:cs="Times New Roman"/>
          <w:szCs w:val="24"/>
        </w:rPr>
        <w:t>’</w:t>
      </w:r>
      <w:r w:rsidRPr="00335CE6">
        <w:rPr>
          <w:rFonts w:cs="Times New Roman"/>
          <w:szCs w:val="24"/>
        </w:rPr>
        <w:t>s authority is inapposite.</w:t>
      </w:r>
    </w:p>
    <w:p w:rsidR="00A970EA" w:rsidRPr="00335CE6" w:rsidP="00A970EA" w14:paraId="66FEC3C4" w14:textId="5F6E10EC">
      <w:pPr>
        <w:ind w:firstLine="720"/>
        <w:rPr>
          <w:rFonts w:cs="Times New Roman"/>
          <w:szCs w:val="24"/>
        </w:rPr>
      </w:pPr>
      <w:r w:rsidRPr="00335CE6">
        <w:rPr>
          <w:rFonts w:cs="Times New Roman"/>
          <w:szCs w:val="24"/>
        </w:rPr>
        <w:t>Notwithstanding the irrelevancy of DP&amp;L</w:t>
      </w:r>
      <w:r w:rsidR="00484B1D">
        <w:rPr>
          <w:rFonts w:cs="Times New Roman"/>
          <w:szCs w:val="24"/>
        </w:rPr>
        <w:t>’</w:t>
      </w:r>
      <w:r w:rsidRPr="00335CE6">
        <w:rPr>
          <w:rFonts w:cs="Times New Roman"/>
          <w:szCs w:val="24"/>
        </w:rPr>
        <w:t>s authority, OCC specifically challenged DP&amp;L</w:t>
      </w:r>
      <w:r w:rsidR="00484B1D">
        <w:rPr>
          <w:rFonts w:cs="Times New Roman"/>
          <w:szCs w:val="24"/>
        </w:rPr>
        <w:t>’</w:t>
      </w:r>
      <w:r w:rsidRPr="00335CE6">
        <w:rPr>
          <w:rFonts w:cs="Times New Roman"/>
          <w:szCs w:val="24"/>
        </w:rPr>
        <w:t>s charge under R.C. 4928.143(B)(2)(h) in its initial briefing.</w:t>
      </w:r>
      <w:r>
        <w:rPr>
          <w:rStyle w:val="FootnoteReference"/>
          <w:rFonts w:cs="Times New Roman"/>
          <w:szCs w:val="24"/>
        </w:rPr>
        <w:footnoteReference w:id="69"/>
      </w:r>
      <w:r w:rsidR="00000E80">
        <w:rPr>
          <w:rFonts w:cs="Times New Roman"/>
          <w:szCs w:val="24"/>
        </w:rPr>
        <w:t xml:space="preserve"> </w:t>
      </w:r>
      <w:r w:rsidRPr="00335CE6">
        <w:rPr>
          <w:rFonts w:cs="Times New Roman"/>
          <w:szCs w:val="24"/>
        </w:rPr>
        <w:t>Among other things, OCC stated specifically:</w:t>
      </w:r>
    </w:p>
    <w:p w:rsidR="00A970EA" w:rsidRPr="00335CE6" w:rsidP="001C25A7" w14:paraId="56A92279" w14:textId="0030E6C0">
      <w:pPr>
        <w:spacing w:line="240" w:lineRule="auto"/>
        <w:ind w:left="720" w:right="720"/>
        <w:jc w:val="both"/>
        <w:rPr>
          <w:rFonts w:cs="Times New Roman"/>
          <w:szCs w:val="24"/>
        </w:rPr>
      </w:pPr>
      <w:r w:rsidRPr="00335CE6">
        <w:rPr>
          <w:rFonts w:cs="Times New Roman"/>
          <w:szCs w:val="24"/>
        </w:rPr>
        <w:t>DP&amp;L cannot show that sufficient resources are dedicated to grid modernization through the DMR and thus does not meet the requirements of R.C. 4928.143(B)(2)(h).</w:t>
      </w:r>
      <w:r w:rsidR="00000E80">
        <w:rPr>
          <w:rFonts w:cs="Times New Roman"/>
          <w:szCs w:val="24"/>
        </w:rPr>
        <w:t xml:space="preserve"> </w:t>
      </w:r>
      <w:r w:rsidRPr="00335CE6">
        <w:rPr>
          <w:rFonts w:cs="Times New Roman"/>
          <w:szCs w:val="24"/>
        </w:rPr>
        <w:t>In fact, no resources from the DMR are dedicated to grid modernization.</w:t>
      </w:r>
      <w:r w:rsidR="00000E80">
        <w:rPr>
          <w:rFonts w:cs="Times New Roman"/>
          <w:szCs w:val="24"/>
        </w:rPr>
        <w:t xml:space="preserve"> </w:t>
      </w:r>
      <w:r w:rsidRPr="00335CE6">
        <w:rPr>
          <w:rFonts w:cs="Times New Roman"/>
          <w:szCs w:val="24"/>
        </w:rPr>
        <w:t>DP&amp;L needs all of the DMR funds to pay down debt so that DP&amp;L can maintain its financial integrity.</w:t>
      </w:r>
      <w:r>
        <w:rPr>
          <w:rStyle w:val="FootnoteReference"/>
          <w:rFonts w:cs="Times New Roman"/>
          <w:szCs w:val="24"/>
        </w:rPr>
        <w:footnoteReference w:id="70"/>
      </w:r>
    </w:p>
    <w:p w:rsidR="001C25A7" w:rsidP="00476CC8" w14:paraId="79116296" w14:textId="77777777">
      <w:pPr>
        <w:pStyle w:val="FootnoteText"/>
        <w:spacing w:line="480" w:lineRule="auto"/>
        <w:rPr>
          <w:rFonts w:cs="Times New Roman"/>
          <w:sz w:val="24"/>
          <w:szCs w:val="24"/>
        </w:rPr>
      </w:pPr>
    </w:p>
    <w:p w:rsidR="000F394F" w:rsidP="00476CC8" w14:paraId="5CA89E99" w14:textId="431F832B">
      <w:pPr>
        <w:pStyle w:val="FootnoteText"/>
        <w:spacing w:line="480" w:lineRule="auto"/>
        <w:rPr>
          <w:rFonts w:cs="Times New Roman"/>
          <w:sz w:val="24"/>
          <w:szCs w:val="24"/>
        </w:rPr>
      </w:pPr>
      <w:r>
        <w:rPr>
          <w:rFonts w:cs="Times New Roman"/>
          <w:sz w:val="24"/>
          <w:szCs w:val="24"/>
        </w:rPr>
        <w:t>DP&amp;L</w:t>
      </w:r>
      <w:r w:rsidR="00484B1D">
        <w:rPr>
          <w:rFonts w:cs="Times New Roman"/>
          <w:sz w:val="24"/>
          <w:szCs w:val="24"/>
        </w:rPr>
        <w:t>’</w:t>
      </w:r>
      <w:r>
        <w:rPr>
          <w:rFonts w:cs="Times New Roman"/>
          <w:sz w:val="24"/>
          <w:szCs w:val="24"/>
        </w:rPr>
        <w:t>s assertions are baseless and should be disregarded.</w:t>
      </w:r>
    </w:p>
    <w:p w:rsidR="00A970EA" w:rsidRPr="00335CE6" w:rsidP="00A970EA" w14:paraId="046935B3" w14:textId="6C79E0CC">
      <w:pPr>
        <w:pStyle w:val="FootnoteText"/>
        <w:spacing w:line="480" w:lineRule="auto"/>
        <w:ind w:firstLine="720"/>
        <w:rPr>
          <w:rFonts w:cs="Times New Roman"/>
          <w:sz w:val="24"/>
          <w:szCs w:val="24"/>
        </w:rPr>
      </w:pPr>
      <w:r w:rsidRPr="00335CE6">
        <w:rPr>
          <w:rFonts w:cs="Times New Roman"/>
          <w:sz w:val="24"/>
          <w:szCs w:val="24"/>
        </w:rPr>
        <w:t>And the argument that DP&amp;L</w:t>
      </w:r>
      <w:r w:rsidR="00484B1D">
        <w:rPr>
          <w:rFonts w:cs="Times New Roman"/>
          <w:sz w:val="24"/>
          <w:szCs w:val="24"/>
        </w:rPr>
        <w:t>’</w:t>
      </w:r>
      <w:r w:rsidRPr="00335CE6">
        <w:rPr>
          <w:rFonts w:cs="Times New Roman"/>
          <w:sz w:val="24"/>
          <w:szCs w:val="24"/>
        </w:rPr>
        <w:t xml:space="preserve">s charge is not an </w:t>
      </w:r>
      <w:r w:rsidR="00D23E28">
        <w:rPr>
          <w:rFonts w:cs="Times New Roman"/>
          <w:sz w:val="24"/>
          <w:szCs w:val="24"/>
        </w:rPr>
        <w:t>“</w:t>
      </w:r>
      <w:r w:rsidRPr="00335CE6">
        <w:rPr>
          <w:rFonts w:cs="Times New Roman"/>
          <w:sz w:val="24"/>
          <w:szCs w:val="24"/>
        </w:rPr>
        <w:t>incentive</w:t>
      </w:r>
      <w:r w:rsidR="00D23E28">
        <w:rPr>
          <w:rFonts w:cs="Times New Roman"/>
          <w:sz w:val="24"/>
          <w:szCs w:val="24"/>
        </w:rPr>
        <w:t>”</w:t>
      </w:r>
      <w:r w:rsidRPr="00335CE6">
        <w:rPr>
          <w:rFonts w:cs="Times New Roman"/>
          <w:sz w:val="24"/>
          <w:szCs w:val="24"/>
        </w:rPr>
        <w:t xml:space="preserve"> authorized by R.C. 4928.143(B)(2)(h) is and has been preserved, in the most granular fashion, in the application for rehearing filed by the Ohio Environmental Council and Environmental Defense Fund.</w:t>
      </w:r>
      <w:r>
        <w:rPr>
          <w:rStyle w:val="FootnoteReference"/>
          <w:rFonts w:cs="Times New Roman"/>
          <w:sz w:val="24"/>
          <w:szCs w:val="24"/>
        </w:rPr>
        <w:footnoteReference w:id="71"/>
      </w:r>
      <w:r w:rsidR="00000E80">
        <w:rPr>
          <w:rFonts w:cs="Times New Roman"/>
          <w:sz w:val="24"/>
          <w:szCs w:val="24"/>
        </w:rPr>
        <w:t xml:space="preserve"> </w:t>
      </w:r>
      <w:r w:rsidRPr="00335CE6">
        <w:rPr>
          <w:rFonts w:cs="Times New Roman"/>
          <w:sz w:val="24"/>
          <w:szCs w:val="24"/>
        </w:rPr>
        <w:t xml:space="preserve">There, an entire section is devoted to the proposition that </w:t>
      </w:r>
      <w:r w:rsidR="00D23E28">
        <w:rPr>
          <w:rFonts w:cs="Times New Roman"/>
          <w:sz w:val="24"/>
          <w:szCs w:val="24"/>
        </w:rPr>
        <w:t>“</w:t>
      </w:r>
      <w:r w:rsidRPr="00335CE6">
        <w:rPr>
          <w:rFonts w:cs="Times New Roman"/>
          <w:sz w:val="24"/>
          <w:szCs w:val="24"/>
        </w:rPr>
        <w:t xml:space="preserve">Rider DMR is not an </w:t>
      </w:r>
      <w:r w:rsidR="00484B1D">
        <w:rPr>
          <w:rFonts w:cs="Times New Roman"/>
          <w:sz w:val="24"/>
          <w:szCs w:val="24"/>
        </w:rPr>
        <w:t>‘</w:t>
      </w:r>
      <w:r w:rsidRPr="00335CE6">
        <w:rPr>
          <w:rFonts w:cs="Times New Roman"/>
          <w:sz w:val="24"/>
          <w:szCs w:val="24"/>
        </w:rPr>
        <w:t>incentive</w:t>
      </w:r>
      <w:r w:rsidR="00484B1D">
        <w:rPr>
          <w:rFonts w:cs="Times New Roman"/>
          <w:sz w:val="24"/>
          <w:szCs w:val="24"/>
        </w:rPr>
        <w:t>’</w:t>
      </w:r>
      <w:r w:rsidRPr="00335CE6">
        <w:rPr>
          <w:rFonts w:cs="Times New Roman"/>
          <w:sz w:val="24"/>
          <w:szCs w:val="24"/>
        </w:rPr>
        <w:t xml:space="preserve"> because it fails to require the Company to finance grid modernization initiatives.</w:t>
      </w:r>
      <w:r w:rsidR="00D23E28">
        <w:rPr>
          <w:rFonts w:cs="Times New Roman"/>
          <w:sz w:val="24"/>
          <w:szCs w:val="24"/>
        </w:rPr>
        <w:t>”</w:t>
      </w:r>
      <w:r>
        <w:rPr>
          <w:rStyle w:val="FootnoteReference"/>
          <w:rFonts w:cs="Times New Roman"/>
          <w:sz w:val="24"/>
          <w:szCs w:val="24"/>
        </w:rPr>
        <w:footnoteReference w:id="72"/>
      </w:r>
      <w:r w:rsidR="00000E80">
        <w:rPr>
          <w:rFonts w:cs="Times New Roman"/>
          <w:sz w:val="24"/>
          <w:szCs w:val="24"/>
        </w:rPr>
        <w:t xml:space="preserve"> </w:t>
      </w:r>
      <w:r w:rsidRPr="00335CE6">
        <w:rPr>
          <w:rFonts w:cs="Times New Roman"/>
          <w:sz w:val="24"/>
          <w:szCs w:val="24"/>
        </w:rPr>
        <w:t xml:space="preserve">The Ohio Supreme Court has explained that </w:t>
      </w:r>
      <w:r w:rsidR="00D23E28">
        <w:rPr>
          <w:rFonts w:cs="Times New Roman"/>
          <w:sz w:val="24"/>
          <w:szCs w:val="24"/>
        </w:rPr>
        <w:t>“</w:t>
      </w:r>
      <w:r w:rsidRPr="00335CE6">
        <w:rPr>
          <w:rFonts w:cs="Times New Roman"/>
          <w:sz w:val="24"/>
          <w:szCs w:val="24"/>
        </w:rPr>
        <w:t xml:space="preserve">R.C. 4903.10 does not require that [an] error be alleged in the </w:t>
      </w:r>
      <w:r w:rsidRPr="00335CE6">
        <w:rPr>
          <w:rFonts w:cs="Times New Roman"/>
          <w:i/>
          <w:iCs/>
          <w:sz w:val="24"/>
          <w:szCs w:val="24"/>
        </w:rPr>
        <w:t>appellant</w:t>
      </w:r>
      <w:r w:rsidR="00484B1D">
        <w:rPr>
          <w:rFonts w:cs="Times New Roman"/>
          <w:i/>
          <w:iCs/>
          <w:sz w:val="24"/>
          <w:szCs w:val="24"/>
        </w:rPr>
        <w:t>’</w:t>
      </w:r>
      <w:r w:rsidRPr="00335CE6">
        <w:rPr>
          <w:rFonts w:cs="Times New Roman"/>
          <w:i/>
          <w:iCs/>
          <w:sz w:val="24"/>
          <w:szCs w:val="24"/>
        </w:rPr>
        <w:t>s</w:t>
      </w:r>
      <w:r w:rsidRPr="00335CE6">
        <w:rPr>
          <w:rFonts w:cs="Times New Roman"/>
          <w:sz w:val="24"/>
          <w:szCs w:val="24"/>
        </w:rPr>
        <w:t xml:space="preserve"> application for rehearing; it can be in an application for rehearing filed by a </w:t>
      </w:r>
      <w:r w:rsidRPr="00335CE6">
        <w:rPr>
          <w:rFonts w:cs="Times New Roman"/>
          <w:i/>
          <w:iCs/>
          <w:sz w:val="24"/>
          <w:szCs w:val="24"/>
        </w:rPr>
        <w:t>nonappellant</w:t>
      </w:r>
      <w:r w:rsidRPr="00335CE6">
        <w:rPr>
          <w:rFonts w:cs="Times New Roman"/>
          <w:sz w:val="24"/>
          <w:szCs w:val="24"/>
        </w:rPr>
        <w:t xml:space="preserve"> intervening party.</w:t>
      </w:r>
      <w:r w:rsidR="00D23E28">
        <w:rPr>
          <w:rFonts w:cs="Times New Roman"/>
          <w:sz w:val="24"/>
          <w:szCs w:val="24"/>
        </w:rPr>
        <w:t>”</w:t>
      </w:r>
      <w:r>
        <w:rPr>
          <w:rStyle w:val="FootnoteReference"/>
          <w:rFonts w:cs="Times New Roman"/>
          <w:sz w:val="24"/>
          <w:szCs w:val="24"/>
        </w:rPr>
        <w:footnoteReference w:id="73"/>
      </w:r>
      <w:r w:rsidR="00000E80">
        <w:rPr>
          <w:rFonts w:cs="Times New Roman"/>
          <w:sz w:val="24"/>
          <w:szCs w:val="24"/>
        </w:rPr>
        <w:t xml:space="preserve"> </w:t>
      </w:r>
      <w:r w:rsidRPr="00335CE6">
        <w:rPr>
          <w:rFonts w:cs="Times New Roman"/>
          <w:sz w:val="24"/>
          <w:szCs w:val="24"/>
        </w:rPr>
        <w:t xml:space="preserve">This conclusively confirms that OCC, IGS, ELPC, and Sierra Club have </w:t>
      </w:r>
      <w:r w:rsidRPr="00335CE6">
        <w:rPr>
          <w:rFonts w:cs="Times New Roman"/>
          <w:i/>
          <w:iCs/>
          <w:sz w:val="24"/>
          <w:szCs w:val="24"/>
        </w:rPr>
        <w:t xml:space="preserve">not </w:t>
      </w:r>
      <w:r w:rsidRPr="00335CE6">
        <w:rPr>
          <w:rFonts w:cs="Times New Roman"/>
          <w:sz w:val="24"/>
          <w:szCs w:val="24"/>
        </w:rPr>
        <w:t>waived the argument that DP&amp;L</w:t>
      </w:r>
      <w:r w:rsidR="00484B1D">
        <w:rPr>
          <w:rFonts w:cs="Times New Roman"/>
          <w:sz w:val="24"/>
          <w:szCs w:val="24"/>
        </w:rPr>
        <w:t>’</w:t>
      </w:r>
      <w:r w:rsidRPr="00335CE6">
        <w:rPr>
          <w:rFonts w:cs="Times New Roman"/>
          <w:sz w:val="24"/>
          <w:szCs w:val="24"/>
        </w:rPr>
        <w:t xml:space="preserve">s charge is not an </w:t>
      </w:r>
      <w:r w:rsidR="00D23E28">
        <w:rPr>
          <w:rFonts w:cs="Times New Roman"/>
          <w:sz w:val="24"/>
          <w:szCs w:val="24"/>
        </w:rPr>
        <w:t>“</w:t>
      </w:r>
      <w:r w:rsidRPr="00335CE6">
        <w:rPr>
          <w:rFonts w:cs="Times New Roman"/>
          <w:sz w:val="24"/>
          <w:szCs w:val="24"/>
        </w:rPr>
        <w:t>incentive</w:t>
      </w:r>
      <w:r w:rsidR="00D23E28">
        <w:rPr>
          <w:rFonts w:cs="Times New Roman"/>
          <w:sz w:val="24"/>
          <w:szCs w:val="24"/>
        </w:rPr>
        <w:t>”</w:t>
      </w:r>
      <w:r w:rsidRPr="00335CE6">
        <w:rPr>
          <w:rFonts w:cs="Times New Roman"/>
          <w:sz w:val="24"/>
          <w:szCs w:val="24"/>
        </w:rPr>
        <w:t xml:space="preserve"> authorized by R.C. 4928.143(B)(2)(h).</w:t>
      </w:r>
    </w:p>
    <w:p w:rsidR="00335CE6" w:rsidRPr="00335CE6" w:rsidP="00A970EA" w14:paraId="3ABD5F52" w14:textId="77777777">
      <w:pPr>
        <w:pStyle w:val="Heading3"/>
        <w:rPr>
          <w:rFonts w:ascii="Times New Roman" w:hAnsi="Times New Roman" w:cs="Times New Roman"/>
        </w:rPr>
        <w:sectPr w:rsidSect="00D345A3">
          <w:headerReference w:type="default" r:id="rId15"/>
          <w:footerReference w:type="default" r:id="rId16"/>
          <w:pgSz w:w="12240" w:h="15840"/>
          <w:pgMar w:top="1440" w:right="1800" w:bottom="1440" w:left="1800" w:header="720" w:footer="720" w:gutter="0"/>
          <w:pgNumType w:start="1"/>
          <w:cols w:space="720"/>
          <w:docGrid w:linePitch="360"/>
        </w:sectPr>
      </w:pPr>
    </w:p>
    <w:p w:rsidR="00A970EA" w:rsidRPr="00335CE6" w:rsidP="00A970EA" w14:paraId="533DC973" w14:textId="3511B69C">
      <w:pPr>
        <w:pStyle w:val="Heading3"/>
        <w:rPr>
          <w:rFonts w:ascii="Times New Roman" w:hAnsi="Times New Roman" w:cs="Times New Roman"/>
        </w:rPr>
      </w:pPr>
      <w:bookmarkStart w:id="12" w:name="_Toc18580642"/>
      <w:r w:rsidRPr="00335CE6">
        <w:rPr>
          <w:rFonts w:ascii="Times New Roman" w:hAnsi="Times New Roman" w:cs="Times New Roman"/>
        </w:rPr>
        <w:t>3.</w:t>
      </w:r>
      <w:r w:rsidRPr="00335CE6">
        <w:rPr>
          <w:rFonts w:ascii="Times New Roman" w:hAnsi="Times New Roman" w:cs="Times New Roman"/>
        </w:rPr>
        <w:tab/>
        <w:t>DP&amp;L</w:t>
      </w:r>
      <w:r w:rsidR="00484B1D">
        <w:rPr>
          <w:rFonts w:ascii="Times New Roman" w:hAnsi="Times New Roman" w:cs="Times New Roman"/>
        </w:rPr>
        <w:t>’</w:t>
      </w:r>
      <w:r w:rsidRPr="00335CE6">
        <w:rPr>
          <w:rFonts w:ascii="Times New Roman" w:hAnsi="Times New Roman" w:cs="Times New Roman"/>
        </w:rPr>
        <w:t xml:space="preserve">s Motion should be denied </w:t>
      </w:r>
      <w:r w:rsidR="001A0658">
        <w:rPr>
          <w:rFonts w:ascii="Times New Roman" w:hAnsi="Times New Roman" w:cs="Times New Roman"/>
        </w:rPr>
        <w:t xml:space="preserve">to protect consumers </w:t>
      </w:r>
      <w:r w:rsidRPr="00335CE6">
        <w:rPr>
          <w:rFonts w:ascii="Times New Roman" w:hAnsi="Times New Roman" w:cs="Times New Roman"/>
        </w:rPr>
        <w:t xml:space="preserve">because </w:t>
      </w:r>
      <w:r w:rsidRPr="00335CE6">
        <w:rPr>
          <w:rFonts w:ascii="Times New Roman" w:hAnsi="Times New Roman" w:cs="Times New Roman"/>
          <w:i/>
        </w:rPr>
        <w:t xml:space="preserve">Ohio Edison </w:t>
      </w:r>
      <w:r w:rsidRPr="00335CE6">
        <w:rPr>
          <w:rFonts w:ascii="Times New Roman" w:hAnsi="Times New Roman" w:cs="Times New Roman"/>
        </w:rPr>
        <w:t>is new law and it would be unfair and prejudicial to deny consumers the ability to brief its applicability here.</w:t>
      </w:r>
      <w:bookmarkEnd w:id="12"/>
      <w:r w:rsidR="00000E80">
        <w:rPr>
          <w:rFonts w:ascii="Times New Roman" w:hAnsi="Times New Roman" w:cs="Times New Roman"/>
        </w:rPr>
        <w:t xml:space="preserve"> </w:t>
      </w:r>
    </w:p>
    <w:p w:rsidR="00A970EA" w:rsidRPr="00335CE6" w:rsidP="00A970EA" w14:paraId="04662E2D" w14:textId="77777777">
      <w:pPr>
        <w:pStyle w:val="FootnoteText"/>
        <w:rPr>
          <w:rFonts w:cs="Times New Roman"/>
          <w:sz w:val="24"/>
          <w:szCs w:val="24"/>
        </w:rPr>
      </w:pPr>
    </w:p>
    <w:p w:rsidR="00627B72" w:rsidRPr="00335CE6" w:rsidP="00A970EA" w14:paraId="4EB8E01D" w14:textId="5F091852">
      <w:pPr>
        <w:pStyle w:val="FootnoteText"/>
        <w:spacing w:line="480" w:lineRule="auto"/>
        <w:ind w:firstLine="720"/>
        <w:rPr>
          <w:rFonts w:cs="Times New Roman"/>
          <w:sz w:val="24"/>
          <w:szCs w:val="24"/>
        </w:rPr>
      </w:pPr>
      <w:r w:rsidRPr="00335CE6">
        <w:rPr>
          <w:rFonts w:cs="Times New Roman"/>
          <w:i/>
          <w:iCs/>
          <w:sz w:val="24"/>
          <w:szCs w:val="24"/>
        </w:rPr>
        <w:t xml:space="preserve">Ohio Edison </w:t>
      </w:r>
      <w:r w:rsidRPr="00335CE6">
        <w:rPr>
          <w:rFonts w:cs="Times New Roman"/>
          <w:sz w:val="24"/>
          <w:szCs w:val="24"/>
        </w:rPr>
        <w:t>is new case law on R.C. 4928.143(B)(2)(h) created during the pendency of this case.</w:t>
      </w:r>
      <w:r w:rsidR="00000E80">
        <w:rPr>
          <w:rFonts w:cs="Times New Roman"/>
          <w:sz w:val="24"/>
          <w:szCs w:val="24"/>
        </w:rPr>
        <w:t xml:space="preserve"> </w:t>
      </w:r>
      <w:r w:rsidRPr="00335CE6">
        <w:rPr>
          <w:rFonts w:cs="Times New Roman"/>
          <w:sz w:val="24"/>
          <w:szCs w:val="24"/>
        </w:rPr>
        <w:t>Parties could not possibly have addressed its applicability here earlier – it had not been decided.</w:t>
      </w:r>
      <w:r w:rsidR="00000E80">
        <w:rPr>
          <w:rFonts w:cs="Times New Roman"/>
          <w:sz w:val="24"/>
          <w:szCs w:val="24"/>
        </w:rPr>
        <w:t xml:space="preserve"> </w:t>
      </w:r>
      <w:r w:rsidRPr="00335CE6">
        <w:rPr>
          <w:rFonts w:cs="Times New Roman"/>
          <w:sz w:val="24"/>
          <w:szCs w:val="24"/>
        </w:rPr>
        <w:t xml:space="preserve">Denying consumers the ability to brief </w:t>
      </w:r>
      <w:r w:rsidRPr="00335CE6">
        <w:rPr>
          <w:rFonts w:cs="Times New Roman"/>
          <w:i/>
          <w:iCs/>
          <w:sz w:val="24"/>
          <w:szCs w:val="24"/>
        </w:rPr>
        <w:t>Ohio Edison</w:t>
      </w:r>
      <w:r w:rsidR="00484B1D">
        <w:rPr>
          <w:rFonts w:cs="Times New Roman"/>
          <w:i/>
          <w:iCs/>
          <w:sz w:val="24"/>
          <w:szCs w:val="24"/>
        </w:rPr>
        <w:t>’</w:t>
      </w:r>
      <w:r w:rsidRPr="00335CE6">
        <w:rPr>
          <w:rFonts w:cs="Times New Roman"/>
          <w:i/>
          <w:iCs/>
          <w:sz w:val="24"/>
          <w:szCs w:val="24"/>
        </w:rPr>
        <w:t xml:space="preserve">s </w:t>
      </w:r>
      <w:r w:rsidRPr="00335CE6">
        <w:rPr>
          <w:rFonts w:cs="Times New Roman"/>
          <w:sz w:val="24"/>
          <w:szCs w:val="24"/>
        </w:rPr>
        <w:t>(new law created during the pendency of this case)</w:t>
      </w:r>
      <w:r w:rsidRPr="00335CE6">
        <w:rPr>
          <w:rFonts w:cs="Times New Roman"/>
          <w:i/>
          <w:iCs/>
          <w:sz w:val="24"/>
          <w:szCs w:val="24"/>
        </w:rPr>
        <w:t xml:space="preserve"> </w:t>
      </w:r>
      <w:r w:rsidRPr="00335CE6">
        <w:rPr>
          <w:rFonts w:cs="Times New Roman"/>
          <w:sz w:val="24"/>
          <w:szCs w:val="24"/>
        </w:rPr>
        <w:t>applicability would be fundamentally unfair and prejudicial.</w:t>
      </w:r>
      <w:r>
        <w:rPr>
          <w:rStyle w:val="FootnoteReference"/>
          <w:rFonts w:cs="Times New Roman"/>
          <w:sz w:val="24"/>
          <w:szCs w:val="24"/>
        </w:rPr>
        <w:footnoteReference w:id="74"/>
      </w:r>
      <w:r w:rsidR="00000E80">
        <w:rPr>
          <w:rFonts w:cs="Times New Roman"/>
          <w:sz w:val="24"/>
          <w:szCs w:val="24"/>
        </w:rPr>
        <w:t xml:space="preserve"> </w:t>
      </w:r>
      <w:r w:rsidRPr="00335CE6">
        <w:rPr>
          <w:rFonts w:cs="Times New Roman"/>
          <w:sz w:val="24"/>
          <w:szCs w:val="24"/>
        </w:rPr>
        <w:t>It would require of parties a clairvoyance that they simply cannot possess.</w:t>
      </w:r>
      <w:r w:rsidR="00000E80">
        <w:rPr>
          <w:rFonts w:cs="Times New Roman"/>
          <w:sz w:val="24"/>
          <w:szCs w:val="24"/>
        </w:rPr>
        <w:t xml:space="preserve"> </w:t>
      </w:r>
    </w:p>
    <w:p w:rsidR="00A970EA" w:rsidRPr="00335CE6" w:rsidP="00627B72" w14:paraId="5F062F51" w14:textId="1704727E">
      <w:pPr>
        <w:pStyle w:val="FootnoteText"/>
        <w:ind w:firstLine="720"/>
        <w:rPr>
          <w:rFonts w:cs="Times New Roman"/>
          <w:sz w:val="24"/>
          <w:szCs w:val="24"/>
        </w:rPr>
      </w:pPr>
      <w:r>
        <w:rPr>
          <w:rFonts w:cs="Times New Roman"/>
          <w:sz w:val="24"/>
          <w:szCs w:val="24"/>
        </w:rPr>
        <w:t xml:space="preserve"> </w:t>
      </w:r>
    </w:p>
    <w:p w:rsidR="00A970EA" w:rsidRPr="00335CE6" w:rsidP="00A970EA" w14:paraId="65FEF59B" w14:textId="3E436182">
      <w:pPr>
        <w:pStyle w:val="Heading1"/>
        <w:rPr>
          <w:rFonts w:cs="Times New Roman"/>
          <w:szCs w:val="24"/>
        </w:rPr>
      </w:pPr>
      <w:bookmarkStart w:id="13" w:name="_Toc18580643"/>
      <w:r w:rsidRPr="00335CE6">
        <w:rPr>
          <w:rFonts w:cs="Times New Roman"/>
          <w:szCs w:val="24"/>
        </w:rPr>
        <w:t>IV.</w:t>
      </w:r>
      <w:r w:rsidRPr="00335CE6">
        <w:rPr>
          <w:rFonts w:cs="Times New Roman"/>
          <w:szCs w:val="24"/>
        </w:rPr>
        <w:tab/>
        <w:t>CONCLUSION</w:t>
      </w:r>
      <w:bookmarkEnd w:id="13"/>
    </w:p>
    <w:p w:rsidR="00A970EA" w:rsidRPr="00335CE6" w:rsidP="00A970EA" w14:paraId="01212F01" w14:textId="7025A9AD">
      <w:pPr>
        <w:pStyle w:val="FootnoteText"/>
        <w:spacing w:line="480" w:lineRule="auto"/>
        <w:ind w:firstLine="720"/>
        <w:rPr>
          <w:rFonts w:cs="Times New Roman"/>
          <w:sz w:val="24"/>
          <w:szCs w:val="24"/>
        </w:rPr>
      </w:pPr>
      <w:r w:rsidRPr="00335CE6">
        <w:rPr>
          <w:rFonts w:cs="Times New Roman"/>
          <w:sz w:val="24"/>
          <w:szCs w:val="24"/>
        </w:rPr>
        <w:t>DP&amp;L has moved to strike briefs specifically permitted by the Entry.</w:t>
      </w:r>
      <w:r w:rsidR="00000E80">
        <w:rPr>
          <w:rFonts w:cs="Times New Roman"/>
          <w:sz w:val="24"/>
          <w:szCs w:val="24"/>
        </w:rPr>
        <w:t xml:space="preserve"> </w:t>
      </w:r>
      <w:r w:rsidRPr="00335CE6">
        <w:rPr>
          <w:rFonts w:cs="Times New Roman"/>
          <w:sz w:val="24"/>
          <w:szCs w:val="24"/>
        </w:rPr>
        <w:t>For that reason alone, its Motion should be denied.</w:t>
      </w:r>
      <w:r w:rsidR="00000E80">
        <w:rPr>
          <w:rFonts w:cs="Times New Roman"/>
          <w:sz w:val="24"/>
          <w:szCs w:val="24"/>
        </w:rPr>
        <w:t xml:space="preserve"> </w:t>
      </w:r>
      <w:r w:rsidRPr="00335CE6">
        <w:rPr>
          <w:rFonts w:cs="Times New Roman"/>
          <w:sz w:val="24"/>
          <w:szCs w:val="24"/>
        </w:rPr>
        <w:t xml:space="preserve">But it should not even be considered, and should be stricken, because it is </w:t>
      </w:r>
      <w:r w:rsidRPr="00476CC8" w:rsidR="000C072F">
        <w:rPr>
          <w:rFonts w:cs="Times New Roman"/>
          <w:sz w:val="24"/>
          <w:szCs w:val="24"/>
        </w:rPr>
        <w:t>a late</w:t>
      </w:r>
      <w:r w:rsidR="00310D1F">
        <w:rPr>
          <w:rFonts w:cs="Times New Roman"/>
          <w:sz w:val="24"/>
          <w:szCs w:val="24"/>
        </w:rPr>
        <w:t>-</w:t>
      </w:r>
      <w:r w:rsidRPr="00476CC8" w:rsidR="000C072F">
        <w:rPr>
          <w:rFonts w:cs="Times New Roman"/>
          <w:sz w:val="24"/>
          <w:szCs w:val="24"/>
        </w:rPr>
        <w:t>filed interlocutory appeal of the Attorney Examiners</w:t>
      </w:r>
      <w:r w:rsidR="00484B1D">
        <w:rPr>
          <w:rFonts w:cs="Times New Roman"/>
          <w:sz w:val="24"/>
          <w:szCs w:val="24"/>
        </w:rPr>
        <w:t>’</w:t>
      </w:r>
      <w:r w:rsidRPr="00476CC8" w:rsidR="000C072F">
        <w:rPr>
          <w:rFonts w:cs="Times New Roman"/>
          <w:sz w:val="24"/>
          <w:szCs w:val="24"/>
        </w:rPr>
        <w:t xml:space="preserve"> Entry through an impermissibly filed </w:t>
      </w:r>
      <w:r w:rsidR="00310D1F">
        <w:rPr>
          <w:rFonts w:cs="Times New Roman"/>
          <w:sz w:val="24"/>
          <w:szCs w:val="24"/>
        </w:rPr>
        <w:t>reply brief</w:t>
      </w:r>
      <w:r w:rsidRPr="00476CC8" w:rsidR="000C072F">
        <w:rPr>
          <w:rFonts w:cs="Times New Roman"/>
          <w:sz w:val="24"/>
          <w:szCs w:val="24"/>
        </w:rPr>
        <w:t>.</w:t>
      </w:r>
      <w:r w:rsidR="00000E80">
        <w:rPr>
          <w:rFonts w:cs="Times New Roman"/>
          <w:sz w:val="24"/>
          <w:szCs w:val="24"/>
        </w:rPr>
        <w:t xml:space="preserve"> </w:t>
      </w:r>
    </w:p>
    <w:p w:rsidR="001C25A7" w:rsidP="00A970EA" w14:paraId="7114D7DB" w14:textId="036B7E8C">
      <w:pPr>
        <w:rPr>
          <w:rFonts w:cs="Times New Roman"/>
          <w:szCs w:val="24"/>
        </w:rPr>
      </w:pPr>
      <w:r>
        <w:rPr>
          <w:rFonts w:cs="Times New Roman"/>
          <w:szCs w:val="24"/>
        </w:rPr>
        <w:t xml:space="preserve"> </w:t>
      </w:r>
    </w:p>
    <w:p w:rsidR="001C25A7" w14:paraId="4DE26400" w14:textId="77777777">
      <w:pPr>
        <w:spacing w:after="160" w:line="259" w:lineRule="auto"/>
        <w:rPr>
          <w:rFonts w:cs="Times New Roman"/>
          <w:szCs w:val="24"/>
        </w:rPr>
      </w:pPr>
      <w:r>
        <w:rPr>
          <w:rFonts w:cs="Times New Roman"/>
          <w:szCs w:val="24"/>
        </w:rPr>
        <w:br w:type="page"/>
      </w:r>
    </w:p>
    <w:p w:rsidR="00A970EA" w:rsidRPr="00335CE6" w:rsidP="00A970EA" w14:paraId="3C1B6E83" w14:textId="77777777">
      <w:pPr>
        <w:rPr>
          <w:rFonts w:cs="Times New Roman"/>
          <w:szCs w:val="24"/>
        </w:rPr>
      </w:pPr>
    </w:p>
    <w:bookmarkEnd w:id="1"/>
    <w:bookmarkEnd w:id="2"/>
    <w:bookmarkEnd w:id="3"/>
    <w:p w:rsidR="004F5BF6" w:rsidRPr="00335CE6" w:rsidP="004F5BF6" w14:paraId="6A81816D" w14:textId="0DFEB1A5">
      <w:pPr>
        <w:spacing w:after="160" w:line="259" w:lineRule="auto"/>
        <w:ind w:left="3600" w:firstLine="720"/>
        <w:rPr>
          <w:rFonts w:cs="Times New Roman"/>
          <w:szCs w:val="24"/>
        </w:rPr>
      </w:pPr>
      <w:r w:rsidRPr="00335CE6">
        <w:rPr>
          <w:rFonts w:cs="Times New Roman"/>
          <w:szCs w:val="24"/>
        </w:rPr>
        <w:t>Respectfully submitted,</w:t>
      </w:r>
    </w:p>
    <w:p w:rsidR="004F5BF6" w:rsidRPr="00335CE6" w:rsidP="004F5BF6" w14:paraId="054F1F8C" w14:textId="77777777">
      <w:pPr>
        <w:tabs>
          <w:tab w:val="left" w:pos="4320"/>
        </w:tabs>
        <w:overflowPunct w:val="0"/>
        <w:autoSpaceDE w:val="0"/>
        <w:autoSpaceDN w:val="0"/>
        <w:adjustRightInd w:val="0"/>
        <w:spacing w:line="240" w:lineRule="auto"/>
        <w:ind w:left="4320"/>
        <w:textAlignment w:val="baseline"/>
        <w:rPr>
          <w:rFonts w:eastAsia="Times New Roman" w:cs="Times New Roman"/>
          <w:szCs w:val="24"/>
        </w:rPr>
      </w:pPr>
      <w:r w:rsidRPr="00335CE6">
        <w:rPr>
          <w:rFonts w:eastAsia="Times New Roman" w:cs="Times New Roman"/>
          <w:szCs w:val="24"/>
        </w:rPr>
        <w:t>Bruce Weston (0016973)</w:t>
      </w:r>
    </w:p>
    <w:p w:rsidR="004F5BF6" w:rsidRPr="00335CE6" w:rsidP="004F5BF6" w14:paraId="4779F562" w14:textId="121099B7">
      <w:pPr>
        <w:tabs>
          <w:tab w:val="left" w:pos="4320"/>
        </w:tabs>
        <w:spacing w:line="240" w:lineRule="auto"/>
        <w:ind w:left="4320"/>
        <w:rPr>
          <w:rFonts w:eastAsia="Times New Roman" w:cs="Times New Roman"/>
          <w:szCs w:val="24"/>
        </w:rPr>
      </w:pPr>
      <w:r w:rsidRPr="00335CE6">
        <w:rPr>
          <w:rFonts w:eastAsia="Times New Roman" w:cs="Times New Roman"/>
          <w:szCs w:val="24"/>
        </w:rPr>
        <w:t>Ohio Consumers</w:t>
      </w:r>
      <w:r w:rsidR="00484B1D">
        <w:rPr>
          <w:rFonts w:eastAsia="Times New Roman" w:cs="Times New Roman"/>
          <w:szCs w:val="24"/>
        </w:rPr>
        <w:t>’</w:t>
      </w:r>
      <w:r w:rsidRPr="00335CE6">
        <w:rPr>
          <w:rFonts w:eastAsia="Times New Roman" w:cs="Times New Roman"/>
          <w:szCs w:val="24"/>
        </w:rPr>
        <w:t xml:space="preserve"> Counsel</w:t>
      </w:r>
    </w:p>
    <w:p w:rsidR="004F5BF6" w:rsidRPr="00335CE6" w:rsidP="004F5BF6" w14:paraId="2CC77AEF" w14:textId="77777777">
      <w:pPr>
        <w:tabs>
          <w:tab w:val="left" w:pos="4320"/>
        </w:tabs>
        <w:spacing w:line="240" w:lineRule="auto"/>
        <w:ind w:left="4320"/>
        <w:rPr>
          <w:rFonts w:eastAsia="Times New Roman" w:cs="Times New Roman"/>
          <w:szCs w:val="24"/>
        </w:rPr>
      </w:pPr>
      <w:r w:rsidRPr="00335CE6">
        <w:rPr>
          <w:rFonts w:eastAsia="Times New Roman" w:cs="Times New Roman"/>
          <w:szCs w:val="24"/>
        </w:rPr>
        <w:tab/>
      </w:r>
    </w:p>
    <w:p w:rsidR="004F5BF6" w:rsidRPr="00335CE6" w:rsidP="004F5BF6" w14:paraId="7BC3DD7D" w14:textId="00651A5A">
      <w:pPr>
        <w:tabs>
          <w:tab w:val="left" w:pos="4320"/>
        </w:tabs>
        <w:spacing w:line="240" w:lineRule="auto"/>
        <w:ind w:left="4320"/>
        <w:rPr>
          <w:rFonts w:eastAsia="Times New Roman" w:cs="Times New Roman"/>
          <w:i/>
          <w:szCs w:val="24"/>
          <w:u w:val="single"/>
        </w:rPr>
      </w:pPr>
      <w:r w:rsidRPr="00335CE6">
        <w:rPr>
          <w:rFonts w:eastAsia="Times New Roman" w:cs="Times New Roman"/>
          <w:i/>
          <w:szCs w:val="24"/>
          <w:u w:val="single"/>
        </w:rPr>
        <w:t>/s/ William J. Michael</w:t>
      </w:r>
      <w:r w:rsidR="00957BF7">
        <w:rPr>
          <w:rFonts w:eastAsia="Times New Roman" w:cs="Times New Roman"/>
          <w:i/>
          <w:szCs w:val="24"/>
          <w:u w:val="single"/>
        </w:rPr>
        <w:tab/>
      </w:r>
      <w:r w:rsidR="00957BF7">
        <w:rPr>
          <w:rFonts w:eastAsia="Times New Roman" w:cs="Times New Roman"/>
          <w:i/>
          <w:szCs w:val="24"/>
          <w:u w:val="single"/>
        </w:rPr>
        <w:tab/>
      </w:r>
      <w:r w:rsidR="00957BF7">
        <w:rPr>
          <w:rFonts w:eastAsia="Times New Roman" w:cs="Times New Roman"/>
          <w:i/>
          <w:szCs w:val="24"/>
          <w:u w:val="single"/>
        </w:rPr>
        <w:tab/>
      </w:r>
    </w:p>
    <w:p w:rsidR="004F5BF6" w:rsidRPr="00335CE6" w:rsidP="004F5BF6" w14:paraId="24150D3B" w14:textId="33BBBDDD">
      <w:pPr>
        <w:tabs>
          <w:tab w:val="left" w:pos="4320"/>
        </w:tabs>
        <w:spacing w:line="240" w:lineRule="auto"/>
        <w:ind w:left="4320"/>
        <w:rPr>
          <w:rFonts w:eastAsia="Times New Roman" w:cs="Times New Roman"/>
          <w:szCs w:val="24"/>
        </w:rPr>
      </w:pPr>
      <w:r w:rsidRPr="00335CE6">
        <w:rPr>
          <w:rFonts w:eastAsia="Times New Roman" w:cs="Times New Roman"/>
          <w:szCs w:val="24"/>
        </w:rPr>
        <w:t>William J. Michael (0070921)</w:t>
      </w:r>
    </w:p>
    <w:p w:rsidR="004F5BF6" w:rsidRPr="00335CE6" w:rsidP="004F5BF6" w14:paraId="56A95DFC" w14:textId="77777777">
      <w:pPr>
        <w:tabs>
          <w:tab w:val="left" w:pos="4320"/>
        </w:tabs>
        <w:spacing w:line="240" w:lineRule="auto"/>
        <w:ind w:left="4320"/>
        <w:rPr>
          <w:rFonts w:eastAsia="Times New Roman" w:cs="Times New Roman"/>
          <w:szCs w:val="24"/>
        </w:rPr>
      </w:pPr>
      <w:r w:rsidRPr="00335CE6">
        <w:rPr>
          <w:rFonts w:eastAsia="Times New Roman" w:cs="Times New Roman"/>
          <w:szCs w:val="24"/>
        </w:rPr>
        <w:t>Counsel of Record</w:t>
      </w:r>
    </w:p>
    <w:p w:rsidR="004F5BF6" w:rsidRPr="00335CE6" w:rsidP="004F5BF6" w14:paraId="3A876650" w14:textId="77777777">
      <w:pPr>
        <w:tabs>
          <w:tab w:val="left" w:pos="4320"/>
        </w:tabs>
        <w:spacing w:line="240" w:lineRule="auto"/>
        <w:ind w:left="4320"/>
        <w:rPr>
          <w:rFonts w:eastAsia="Times New Roman" w:cs="Times New Roman"/>
          <w:szCs w:val="24"/>
        </w:rPr>
      </w:pPr>
      <w:r w:rsidRPr="00335CE6">
        <w:rPr>
          <w:rFonts w:eastAsia="Times New Roman" w:cs="Times New Roman"/>
          <w:szCs w:val="24"/>
        </w:rPr>
        <w:t>Ambrosia E. Logsdon (0096598)</w:t>
      </w:r>
    </w:p>
    <w:p w:rsidR="004F5BF6" w:rsidRPr="00335CE6" w:rsidP="004F5BF6" w14:paraId="776CD5C3" w14:textId="040E502C">
      <w:pPr>
        <w:tabs>
          <w:tab w:val="left" w:pos="4320"/>
        </w:tabs>
        <w:spacing w:line="240" w:lineRule="auto"/>
        <w:ind w:left="4320"/>
        <w:rPr>
          <w:rFonts w:eastAsia="Times New Roman" w:cs="Times New Roman"/>
          <w:szCs w:val="24"/>
        </w:rPr>
      </w:pPr>
      <w:r w:rsidRPr="00335CE6">
        <w:rPr>
          <w:rFonts w:eastAsia="Times New Roman" w:cs="Times New Roman"/>
          <w:szCs w:val="24"/>
        </w:rPr>
        <w:t>Assistant Consumers</w:t>
      </w:r>
      <w:r w:rsidR="00484B1D">
        <w:rPr>
          <w:rFonts w:eastAsia="Times New Roman" w:cs="Times New Roman"/>
          <w:szCs w:val="24"/>
        </w:rPr>
        <w:t>’</w:t>
      </w:r>
      <w:r w:rsidRPr="00335CE6">
        <w:rPr>
          <w:rFonts w:eastAsia="Times New Roman" w:cs="Times New Roman"/>
          <w:szCs w:val="24"/>
        </w:rPr>
        <w:t xml:space="preserve"> Counsel</w:t>
      </w:r>
    </w:p>
    <w:p w:rsidR="004F5BF6" w:rsidRPr="00335CE6" w:rsidP="004F5BF6" w14:paraId="25519DB7" w14:textId="77777777">
      <w:pPr>
        <w:tabs>
          <w:tab w:val="left" w:pos="4320"/>
        </w:tabs>
        <w:spacing w:line="240" w:lineRule="auto"/>
        <w:ind w:left="4320"/>
        <w:rPr>
          <w:rFonts w:eastAsia="Times New Roman" w:cs="Times New Roman"/>
          <w:szCs w:val="24"/>
        </w:rPr>
      </w:pPr>
      <w:r w:rsidRPr="00335CE6">
        <w:rPr>
          <w:rFonts w:eastAsia="Times New Roman" w:cs="Times New Roman"/>
          <w:szCs w:val="24"/>
        </w:rPr>
        <w:tab/>
      </w:r>
    </w:p>
    <w:p w:rsidR="004F5BF6" w:rsidRPr="00335CE6" w:rsidP="004F5BF6" w14:paraId="471C4355" w14:textId="3DEBB6E9">
      <w:pPr>
        <w:spacing w:line="240" w:lineRule="auto"/>
        <w:ind w:left="4320"/>
        <w:rPr>
          <w:rFonts w:eastAsia="Times New Roman" w:cs="Times New Roman"/>
          <w:b/>
          <w:szCs w:val="24"/>
        </w:rPr>
      </w:pPr>
      <w:r w:rsidRPr="00335CE6">
        <w:rPr>
          <w:rFonts w:eastAsia="Times New Roman" w:cs="Times New Roman"/>
          <w:b/>
          <w:szCs w:val="24"/>
        </w:rPr>
        <w:t>Office of the Ohio Consumers</w:t>
      </w:r>
      <w:r w:rsidR="00484B1D">
        <w:rPr>
          <w:rFonts w:eastAsia="Times New Roman" w:cs="Times New Roman"/>
          <w:b/>
          <w:szCs w:val="24"/>
        </w:rPr>
        <w:t>’</w:t>
      </w:r>
      <w:r w:rsidRPr="00335CE6">
        <w:rPr>
          <w:rFonts w:eastAsia="Times New Roman" w:cs="Times New Roman"/>
          <w:b/>
          <w:szCs w:val="24"/>
        </w:rPr>
        <w:t xml:space="preserve"> Counsel</w:t>
      </w:r>
    </w:p>
    <w:p w:rsidR="004F5BF6" w:rsidRPr="00335CE6" w:rsidP="004F5BF6" w14:paraId="224FE328" w14:textId="77777777">
      <w:pPr>
        <w:spacing w:line="240" w:lineRule="auto"/>
        <w:ind w:left="4320"/>
        <w:rPr>
          <w:rFonts w:eastAsia="Times New Roman" w:cs="Times New Roman"/>
          <w:szCs w:val="24"/>
        </w:rPr>
      </w:pPr>
      <w:r w:rsidRPr="00335CE6">
        <w:rPr>
          <w:rFonts w:eastAsia="Times New Roman" w:cs="Times New Roman"/>
          <w:szCs w:val="24"/>
        </w:rPr>
        <w:t>65 East State Street, 7</w:t>
      </w:r>
      <w:r w:rsidRPr="00957BF7">
        <w:rPr>
          <w:rFonts w:eastAsia="Times New Roman" w:cs="Times New Roman"/>
          <w:szCs w:val="24"/>
        </w:rPr>
        <w:t>th</w:t>
      </w:r>
      <w:r w:rsidRPr="00335CE6">
        <w:rPr>
          <w:rFonts w:eastAsia="Times New Roman" w:cs="Times New Roman"/>
          <w:szCs w:val="24"/>
        </w:rPr>
        <w:t xml:space="preserve"> Floor</w:t>
      </w:r>
    </w:p>
    <w:p w:rsidR="004F5BF6" w:rsidRPr="00335CE6" w:rsidP="004F5BF6" w14:paraId="6DCA2FC0" w14:textId="77777777">
      <w:pPr>
        <w:spacing w:line="240" w:lineRule="auto"/>
        <w:ind w:left="4320"/>
        <w:rPr>
          <w:rFonts w:eastAsia="Times New Roman" w:cs="Times New Roman"/>
          <w:b/>
          <w:szCs w:val="24"/>
        </w:rPr>
      </w:pPr>
      <w:r w:rsidRPr="00335CE6">
        <w:rPr>
          <w:rFonts w:eastAsia="Times New Roman" w:cs="Times New Roman"/>
          <w:szCs w:val="24"/>
        </w:rPr>
        <w:t>Columbus, Ohio 43215</w:t>
      </w:r>
    </w:p>
    <w:p w:rsidR="004F5BF6" w:rsidRPr="00335CE6" w:rsidP="004F5BF6" w14:paraId="0096B7C3" w14:textId="77777777">
      <w:pPr>
        <w:spacing w:line="240" w:lineRule="auto"/>
        <w:ind w:left="4320"/>
        <w:rPr>
          <w:rFonts w:eastAsia="Times New Roman" w:cs="Times New Roman"/>
          <w:szCs w:val="24"/>
        </w:rPr>
      </w:pPr>
      <w:r w:rsidRPr="00335CE6">
        <w:rPr>
          <w:rFonts w:eastAsia="Times New Roman" w:cs="Times New Roman"/>
          <w:szCs w:val="24"/>
        </w:rPr>
        <w:t>Telephone: [Michael] (614) 466-1291</w:t>
      </w:r>
    </w:p>
    <w:p w:rsidR="004F5BF6" w:rsidRPr="00335CE6" w:rsidP="004F5BF6" w14:paraId="3114739B" w14:textId="77777777">
      <w:pPr>
        <w:spacing w:line="240" w:lineRule="auto"/>
        <w:ind w:left="4320"/>
        <w:rPr>
          <w:rFonts w:eastAsia="Times New Roman" w:cs="Times New Roman"/>
          <w:szCs w:val="24"/>
        </w:rPr>
      </w:pPr>
      <w:r w:rsidRPr="00335CE6">
        <w:rPr>
          <w:rFonts w:eastAsia="Times New Roman" w:cs="Times New Roman"/>
          <w:szCs w:val="24"/>
        </w:rPr>
        <w:t>Telephone: [Logsdon] (614) 466-1292</w:t>
      </w:r>
    </w:p>
    <w:p w:rsidR="004F5BF6" w:rsidP="004F5BF6" w14:paraId="78A3CAE3" w14:textId="059BA02F">
      <w:pPr>
        <w:spacing w:line="240" w:lineRule="auto"/>
        <w:ind w:left="4320"/>
        <w:rPr>
          <w:rFonts w:eastAsia="Times New Roman" w:cs="Times New Roman"/>
          <w:szCs w:val="24"/>
        </w:rPr>
      </w:pPr>
      <w:hyperlink r:id="rId6" w:history="1">
        <w:r w:rsidRPr="003F3938" w:rsidR="00E721ED">
          <w:rPr>
            <w:rStyle w:val="Hyperlink"/>
            <w:rFonts w:eastAsia="Times New Roman" w:cs="Times New Roman"/>
            <w:szCs w:val="24"/>
          </w:rPr>
          <w:t>william.michael@occ.ohio.gov</w:t>
        </w:r>
      </w:hyperlink>
    </w:p>
    <w:p w:rsidR="004F5BF6" w:rsidRPr="00335CE6" w:rsidP="004F5BF6" w14:paraId="3EAB5A0B" w14:textId="77777777">
      <w:pPr>
        <w:spacing w:line="240" w:lineRule="auto"/>
        <w:ind w:left="4320"/>
        <w:rPr>
          <w:rFonts w:eastAsia="Times New Roman" w:cs="Times New Roman"/>
          <w:szCs w:val="24"/>
        </w:rPr>
      </w:pPr>
      <w:r w:rsidRPr="00335CE6">
        <w:rPr>
          <w:rFonts w:eastAsia="Times New Roman" w:cs="Times New Roman"/>
          <w:color w:val="0563C1" w:themeColor="hyperlink"/>
          <w:szCs w:val="24"/>
          <w:u w:val="single"/>
        </w:rPr>
        <w:t>ambrosia.logsdon@occ.ohio.gov</w:t>
      </w:r>
    </w:p>
    <w:p w:rsidR="004F5BF6" w:rsidRPr="00335CE6" w:rsidP="004F5BF6" w14:paraId="4EAA25B2" w14:textId="68CB8ED3">
      <w:pPr>
        <w:spacing w:line="240" w:lineRule="auto"/>
        <w:rPr>
          <w:rFonts w:eastAsia="Times New Roman" w:cs="Times New Roman"/>
          <w:szCs w:val="24"/>
        </w:rPr>
        <w:sectPr w:rsidSect="0074619C">
          <w:headerReference w:type="default" r:id="rId17"/>
          <w:pgSz w:w="12240" w:h="15840"/>
          <w:pgMar w:top="1440" w:right="1800" w:bottom="1440" w:left="1800" w:header="720" w:footer="720" w:gutter="0"/>
          <w:cols w:space="720"/>
          <w:docGrid w:linePitch="360"/>
        </w:sectPr>
      </w:pPr>
      <w:r w:rsidRPr="00335CE6">
        <w:rPr>
          <w:rFonts w:eastAsia="Times New Roman" w:cs="Times New Roman"/>
          <w:szCs w:val="24"/>
        </w:rPr>
        <w:tab/>
      </w:r>
      <w:r w:rsidRPr="00335CE6">
        <w:rPr>
          <w:rFonts w:eastAsia="Times New Roman" w:cs="Times New Roman"/>
          <w:szCs w:val="24"/>
        </w:rPr>
        <w:tab/>
      </w:r>
      <w:r w:rsidRPr="00335CE6">
        <w:rPr>
          <w:rFonts w:eastAsia="Times New Roman" w:cs="Times New Roman"/>
          <w:szCs w:val="24"/>
        </w:rPr>
        <w:tab/>
      </w:r>
      <w:r w:rsidRPr="00335CE6">
        <w:rPr>
          <w:rFonts w:eastAsia="Times New Roman" w:cs="Times New Roman"/>
          <w:szCs w:val="24"/>
        </w:rPr>
        <w:tab/>
      </w:r>
      <w:r w:rsidRPr="00335CE6">
        <w:rPr>
          <w:rFonts w:eastAsia="Times New Roman" w:cs="Times New Roman"/>
          <w:szCs w:val="24"/>
        </w:rPr>
        <w:tab/>
      </w:r>
      <w:r w:rsidR="00000E80">
        <w:rPr>
          <w:rFonts w:eastAsia="Times New Roman" w:cs="Times New Roman"/>
          <w:szCs w:val="24"/>
        </w:rPr>
        <w:t xml:space="preserve"> </w:t>
      </w:r>
      <w:r w:rsidR="00957BF7">
        <w:rPr>
          <w:rFonts w:eastAsia="Times New Roman" w:cs="Times New Roman"/>
          <w:szCs w:val="24"/>
        </w:rPr>
        <w:tab/>
      </w:r>
      <w:r w:rsidRPr="00335CE6">
        <w:rPr>
          <w:rFonts w:eastAsia="Times New Roman" w:cs="Times New Roman"/>
          <w:szCs w:val="24"/>
        </w:rPr>
        <w:t>(</w:t>
      </w:r>
      <w:r w:rsidR="00957BF7">
        <w:rPr>
          <w:rFonts w:eastAsia="Times New Roman" w:cs="Times New Roman"/>
          <w:szCs w:val="24"/>
        </w:rPr>
        <w:t>w</w:t>
      </w:r>
      <w:r w:rsidRPr="00335CE6">
        <w:rPr>
          <w:rFonts w:eastAsia="Times New Roman" w:cs="Times New Roman"/>
          <w:szCs w:val="24"/>
        </w:rPr>
        <w:t>ill</w:t>
      </w:r>
      <w:r w:rsidR="00957BF7">
        <w:rPr>
          <w:rFonts w:eastAsia="Times New Roman" w:cs="Times New Roman"/>
          <w:szCs w:val="24"/>
        </w:rPr>
        <w:t>ing to</w:t>
      </w:r>
      <w:r w:rsidRPr="00335CE6">
        <w:rPr>
          <w:rFonts w:eastAsia="Times New Roman" w:cs="Times New Roman"/>
          <w:szCs w:val="24"/>
        </w:rPr>
        <w:t xml:space="preserve"> accept service </w:t>
      </w:r>
      <w:r w:rsidR="00957BF7">
        <w:rPr>
          <w:rFonts w:eastAsia="Times New Roman" w:cs="Times New Roman"/>
          <w:szCs w:val="24"/>
        </w:rPr>
        <w:t>by</w:t>
      </w:r>
      <w:r w:rsidRPr="00335CE6">
        <w:rPr>
          <w:rFonts w:eastAsia="Times New Roman" w:cs="Times New Roman"/>
          <w:szCs w:val="24"/>
        </w:rPr>
        <w:t xml:space="preserve"> e</w:t>
      </w:r>
      <w:r w:rsidR="00957BF7">
        <w:rPr>
          <w:rFonts w:eastAsia="Times New Roman" w:cs="Times New Roman"/>
          <w:szCs w:val="24"/>
        </w:rPr>
        <w:t>-</w:t>
      </w:r>
      <w:r w:rsidRPr="00335CE6">
        <w:rPr>
          <w:rFonts w:eastAsia="Times New Roman" w:cs="Times New Roman"/>
          <w:szCs w:val="24"/>
        </w:rPr>
        <w:t>mail)</w:t>
      </w:r>
    </w:p>
    <w:p w:rsidR="004F5BF6" w:rsidRPr="00335CE6" w:rsidP="004F5BF6" w14:paraId="7075055D" w14:textId="77777777">
      <w:pPr>
        <w:jc w:val="center"/>
        <w:rPr>
          <w:rFonts w:cs="Times New Roman"/>
          <w:b/>
          <w:bCs/>
          <w:color w:val="000000"/>
          <w:szCs w:val="24"/>
          <w:u w:val="single"/>
        </w:rPr>
      </w:pPr>
      <w:r w:rsidRPr="00335CE6">
        <w:rPr>
          <w:rFonts w:cs="Times New Roman"/>
          <w:b/>
          <w:bCs/>
          <w:color w:val="000000"/>
          <w:szCs w:val="24"/>
          <w:u w:val="single"/>
        </w:rPr>
        <w:t>CERTIFICATE OF SERVICE</w:t>
      </w:r>
    </w:p>
    <w:p w:rsidR="004F5BF6" w:rsidRPr="00335CE6" w:rsidP="004F5BF6" w14:paraId="545BA99C" w14:textId="222EE0A9">
      <w:pPr>
        <w:autoSpaceDE w:val="0"/>
        <w:autoSpaceDN w:val="0"/>
        <w:adjustRightInd w:val="0"/>
        <w:ind w:firstLine="720"/>
        <w:contextualSpacing/>
        <w:rPr>
          <w:rFonts w:cs="Times New Roman"/>
          <w:color w:val="000000"/>
          <w:szCs w:val="24"/>
        </w:rPr>
      </w:pPr>
      <w:r w:rsidRPr="00335CE6">
        <w:rPr>
          <w:rFonts w:cs="Times New Roman"/>
          <w:color w:val="000000"/>
          <w:szCs w:val="24"/>
        </w:rPr>
        <w:t xml:space="preserve">I hereby certify that a true and accurate copy of the </w:t>
      </w:r>
      <w:r w:rsidRPr="00335CE6" w:rsidR="00335CE6">
        <w:rPr>
          <w:rFonts w:cs="Times New Roman"/>
          <w:color w:val="000000"/>
          <w:szCs w:val="24"/>
        </w:rPr>
        <w:t>Memorandum Contra</w:t>
      </w:r>
      <w:r w:rsidRPr="00335CE6">
        <w:rPr>
          <w:rFonts w:cs="Times New Roman"/>
          <w:color w:val="000000"/>
          <w:szCs w:val="24"/>
        </w:rPr>
        <w:t xml:space="preserve"> </w:t>
      </w:r>
      <w:r w:rsidRPr="00335CE6">
        <w:rPr>
          <w:rFonts w:cs="Times New Roman"/>
          <w:iCs/>
          <w:color w:val="000000"/>
          <w:szCs w:val="24"/>
        </w:rPr>
        <w:t>was</w:t>
      </w:r>
      <w:r w:rsidRPr="00335CE6">
        <w:rPr>
          <w:rFonts w:cs="Times New Roman"/>
          <w:color w:val="000000"/>
          <w:szCs w:val="24"/>
        </w:rPr>
        <w:t xml:space="preserve"> served upon the following parties via electronic transmission this </w:t>
      </w:r>
      <w:r w:rsidRPr="00335CE6" w:rsidR="00335CE6">
        <w:rPr>
          <w:rFonts w:cs="Times New Roman"/>
          <w:color w:val="000000"/>
          <w:szCs w:val="24"/>
        </w:rPr>
        <w:t>5</w:t>
      </w:r>
      <w:r w:rsidRPr="00335CE6" w:rsidR="00335CE6">
        <w:rPr>
          <w:rFonts w:cs="Times New Roman"/>
          <w:color w:val="000000"/>
          <w:szCs w:val="24"/>
          <w:vertAlign w:val="superscript"/>
        </w:rPr>
        <w:t>th</w:t>
      </w:r>
      <w:r w:rsidRPr="00335CE6" w:rsidR="00335CE6">
        <w:rPr>
          <w:rFonts w:cs="Times New Roman"/>
          <w:color w:val="000000"/>
          <w:szCs w:val="24"/>
        </w:rPr>
        <w:t xml:space="preserve"> d</w:t>
      </w:r>
      <w:r w:rsidRPr="00335CE6">
        <w:rPr>
          <w:rFonts w:cs="Times New Roman"/>
          <w:color w:val="000000"/>
          <w:szCs w:val="24"/>
        </w:rPr>
        <w:t xml:space="preserve">ay of </w:t>
      </w:r>
      <w:r w:rsidRPr="00335CE6" w:rsidR="00335CE6">
        <w:rPr>
          <w:rFonts w:cs="Times New Roman"/>
          <w:color w:val="000000"/>
          <w:szCs w:val="24"/>
        </w:rPr>
        <w:t>September</w:t>
      </w:r>
      <w:r w:rsidRPr="00335CE6">
        <w:rPr>
          <w:rFonts w:cs="Times New Roman"/>
          <w:color w:val="000000"/>
          <w:szCs w:val="24"/>
        </w:rPr>
        <w:t xml:space="preserve"> 2019.</w:t>
      </w:r>
    </w:p>
    <w:p w:rsidR="004F5BF6" w:rsidRPr="00335CE6" w:rsidP="004F5BF6" w14:paraId="5B86A401" w14:textId="6037E6E6">
      <w:pPr>
        <w:autoSpaceDE w:val="0"/>
        <w:autoSpaceDN w:val="0"/>
        <w:adjustRightInd w:val="0"/>
        <w:spacing w:line="240" w:lineRule="auto"/>
        <w:rPr>
          <w:rFonts w:cs="Times New Roman"/>
          <w:i/>
          <w:color w:val="000000"/>
          <w:szCs w:val="24"/>
          <w:u w:val="single"/>
        </w:rPr>
      </w:pP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i/>
          <w:color w:val="000000"/>
          <w:szCs w:val="24"/>
          <w:u w:val="single"/>
        </w:rPr>
        <w:t>/s/ William J. Michael</w:t>
      </w:r>
      <w:r w:rsidR="00F66BBE">
        <w:rPr>
          <w:rFonts w:cs="Times New Roman"/>
          <w:i/>
          <w:color w:val="000000"/>
          <w:szCs w:val="24"/>
          <w:u w:val="single"/>
        </w:rPr>
        <w:tab/>
      </w:r>
      <w:r w:rsidR="00F66BBE">
        <w:rPr>
          <w:rFonts w:cs="Times New Roman"/>
          <w:i/>
          <w:color w:val="000000"/>
          <w:szCs w:val="24"/>
          <w:u w:val="single"/>
        </w:rPr>
        <w:tab/>
      </w:r>
    </w:p>
    <w:p w:rsidR="004F5BF6" w:rsidRPr="00335CE6" w:rsidP="004F5BF6" w14:paraId="574EAE80" w14:textId="77777777">
      <w:pPr>
        <w:autoSpaceDE w:val="0"/>
        <w:autoSpaceDN w:val="0"/>
        <w:adjustRightInd w:val="0"/>
        <w:spacing w:line="240" w:lineRule="auto"/>
        <w:rPr>
          <w:rFonts w:cs="Times New Roman"/>
          <w:color w:val="000000"/>
          <w:szCs w:val="24"/>
        </w:rPr>
      </w:pP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t>William J. Michael</w:t>
      </w:r>
    </w:p>
    <w:p w:rsidR="004F5BF6" w:rsidRPr="00335CE6" w:rsidP="004F5BF6" w14:paraId="0089532C" w14:textId="00A5595A">
      <w:pPr>
        <w:autoSpaceDE w:val="0"/>
        <w:autoSpaceDN w:val="0"/>
        <w:adjustRightInd w:val="0"/>
        <w:spacing w:line="240" w:lineRule="auto"/>
        <w:rPr>
          <w:rFonts w:cs="Times New Roman"/>
          <w:color w:val="000000"/>
          <w:szCs w:val="24"/>
        </w:rPr>
      </w:pP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r>
      <w:r w:rsidRPr="00335CE6">
        <w:rPr>
          <w:rFonts w:cs="Times New Roman"/>
          <w:color w:val="000000"/>
          <w:szCs w:val="24"/>
        </w:rPr>
        <w:tab/>
        <w:t>Assistant Consumers</w:t>
      </w:r>
      <w:r w:rsidR="00484B1D">
        <w:rPr>
          <w:rFonts w:cs="Times New Roman"/>
          <w:color w:val="000000"/>
          <w:szCs w:val="24"/>
        </w:rPr>
        <w:t>’</w:t>
      </w:r>
      <w:r w:rsidRPr="00335CE6">
        <w:rPr>
          <w:rFonts w:cs="Times New Roman"/>
          <w:color w:val="000000"/>
          <w:szCs w:val="24"/>
        </w:rPr>
        <w:t xml:space="preserve"> Counsel</w:t>
      </w:r>
    </w:p>
    <w:p w:rsidR="004F5BF6" w:rsidP="004F5BF6" w14:paraId="2F487D53" w14:textId="1273DE84">
      <w:pPr>
        <w:autoSpaceDE w:val="0"/>
        <w:autoSpaceDN w:val="0"/>
        <w:adjustRightInd w:val="0"/>
        <w:spacing w:line="240" w:lineRule="auto"/>
        <w:rPr>
          <w:rFonts w:cs="Times New Roman"/>
          <w:color w:val="000000"/>
          <w:szCs w:val="24"/>
        </w:rPr>
      </w:pPr>
    </w:p>
    <w:p w:rsidR="00E70793" w:rsidRPr="00F2718B" w:rsidP="00E70793" w14:paraId="71B22EA4" w14:textId="51786395">
      <w:pPr>
        <w:spacing w:line="240" w:lineRule="auto"/>
      </w:pPr>
      <w:r>
        <w:t>The PUCO</w:t>
      </w:r>
      <w:r w:rsidR="00484B1D">
        <w:t>’</w:t>
      </w:r>
      <w:r>
        <w:t>s e-filing system will electronically serve notice of the filing of this document on the following parties:</w:t>
      </w:r>
    </w:p>
    <w:p w:rsidR="00F66BBE" w:rsidRPr="007318B0" w:rsidP="00F66BBE" w14:paraId="1D8793C9" w14:textId="77777777">
      <w:pPr>
        <w:pStyle w:val="CommentText"/>
        <w:jc w:val="center"/>
        <w:rPr>
          <w:b/>
          <w:bCs/>
          <w:u w:val="single"/>
        </w:rPr>
      </w:pPr>
      <w:r w:rsidRPr="007318B0">
        <w:rPr>
          <w:b/>
          <w:bCs/>
          <w:u w:val="single"/>
        </w:rPr>
        <w:t>SERVICE LIST</w:t>
      </w:r>
    </w:p>
    <w:p w:rsidR="00F66BBE" w:rsidRPr="007318B0" w:rsidP="00F66BBE" w14:paraId="4AB0B957" w14:textId="77777777">
      <w:pPr>
        <w:spacing w:line="240" w:lineRule="auto"/>
        <w:ind w:right="576" w:hanging="14"/>
        <w:jc w:val="center"/>
        <w:textAlignment w:val="baseline"/>
        <w:rPr>
          <w:rFonts w:eastAsia="Times New Roman" w:cs="Times New Roman"/>
          <w:b/>
          <w:color w:val="000000"/>
          <w:sz w:val="22"/>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32"/>
        <w:gridCol w:w="4208"/>
      </w:tblGrid>
      <w:tr w14:paraId="31C180C0" w14:textId="77777777" w:rsidTr="00A5645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20" w:type="dxa"/>
          </w:tcPr>
          <w:p w:rsidR="00F66BBE" w:rsidP="00A5645F" w14:paraId="78C31E70"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Thomas.mcnamee@ohioattorneygeneral.gov</w:t>
            </w:r>
          </w:p>
          <w:p w:rsidR="00F66BBE" w:rsidP="00A5645F" w14:paraId="707394BD"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dboehm@bkllawfirm.com</w:t>
            </w:r>
          </w:p>
          <w:p w:rsidR="00F66BBE" w:rsidP="00A5645F" w14:paraId="1D1DFFC9"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mkurtz@bkllawfirm.com</w:t>
            </w:r>
          </w:p>
          <w:p w:rsidR="00F66BBE" w:rsidP="00A5645F" w14:paraId="22EA95DE"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jkylercohn@bkllawfirm.com</w:t>
            </w:r>
          </w:p>
          <w:p w:rsidR="00F66BBE" w:rsidP="00A5645F" w14:paraId="1C8422F1"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kboehm@bkllawfirm.com</w:t>
            </w:r>
          </w:p>
          <w:p w:rsidR="00F66BBE" w:rsidP="00A5645F" w14:paraId="143D415C"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fdarr@mwncmh.com</w:t>
            </w:r>
          </w:p>
          <w:p w:rsidR="00F66BBE" w:rsidP="00A5645F" w14:paraId="0D0116AE"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mpritchard@mwncmh.com</w:t>
            </w:r>
          </w:p>
          <w:p w:rsidR="00F66BBE" w:rsidP="00A5645F" w14:paraId="7DCFC3C9"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mjsettineri@vorys.com</w:t>
            </w:r>
          </w:p>
          <w:p w:rsidR="00F66BBE" w:rsidP="00A5645F" w14:paraId="2696E72A"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glpetrucci@vorys.com</w:t>
            </w:r>
          </w:p>
          <w:p w:rsidR="00F66BBE" w:rsidP="00A5645F" w14:paraId="062EF487"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ibatikov@vorys.com</w:t>
            </w:r>
          </w:p>
          <w:p w:rsidR="00F66BBE" w:rsidP="00A5645F" w14:paraId="52679058"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wasieck@vorys.com</w:t>
            </w:r>
          </w:p>
          <w:p w:rsidR="00F66BBE" w:rsidP="00A5645F" w14:paraId="6A196DBD"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mleppla@theoec.org</w:t>
            </w:r>
          </w:p>
          <w:p w:rsidR="00F66BBE" w:rsidP="00A5645F" w14:paraId="6C93C978"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cmooney@ohiopartners.org</w:t>
            </w:r>
          </w:p>
          <w:p w:rsidR="00F66BBE" w:rsidP="00A5645F" w14:paraId="7CA4EA50"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joliker@igsenergy.com</w:t>
            </w:r>
          </w:p>
          <w:p w:rsidR="00F66BBE" w:rsidP="00A5645F" w14:paraId="5DBE0AA7"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mswhite@igsenergy.com</w:t>
            </w:r>
          </w:p>
          <w:p w:rsidR="00F66BBE" w:rsidP="00A5645F" w14:paraId="5EAB91CA"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ebetterton@igsenergy.com</w:t>
            </w:r>
          </w:p>
          <w:p w:rsidR="00F66BBE" w:rsidP="00A5645F" w14:paraId="7704EC83"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Slesser@calfee.com</w:t>
            </w:r>
          </w:p>
          <w:p w:rsidR="00F66BBE" w:rsidP="00A5645F" w14:paraId="12F260A4"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jlang@calfee.com</w:t>
            </w:r>
          </w:p>
          <w:p w:rsidR="00F66BBE" w:rsidP="00A5645F" w14:paraId="77724193"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talexander@calfee.com</w:t>
            </w:r>
          </w:p>
          <w:p w:rsidR="00F66BBE" w:rsidP="00A5645F" w14:paraId="754AA7F9"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mkeaney@calfee.com</w:t>
            </w:r>
          </w:p>
          <w:p w:rsidR="00F66BBE" w:rsidP="00A5645F" w14:paraId="4C1AFA29"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slesser@calfee.com</w:t>
            </w:r>
          </w:p>
          <w:p w:rsidR="00F66BBE" w:rsidP="00A5645F" w14:paraId="41FBD6BA"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elizabeth.watts@duke-energy.com</w:t>
            </w:r>
          </w:p>
          <w:p w:rsidR="00F66BBE" w:rsidP="00A5645F" w14:paraId="7569839F"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jeanne.kingery@duke-energy.com</w:t>
            </w:r>
          </w:p>
          <w:p w:rsidR="00F66BBE" w:rsidP="00A5645F" w14:paraId="6BEB53BC"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gthomas@gtpowergroup.com</w:t>
            </w:r>
          </w:p>
          <w:p w:rsidR="00F66BBE" w:rsidP="00A5645F" w14:paraId="3DF83F92"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stheodore@epsa.org</w:t>
            </w:r>
          </w:p>
          <w:p w:rsidR="00F66BBE" w:rsidP="00A5645F" w14:paraId="77AB89A5"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laurac@chappelleconsulting.net</w:t>
            </w:r>
          </w:p>
          <w:p w:rsidR="00F66BBE" w:rsidRPr="007318B0" w:rsidP="00A5645F" w14:paraId="0ACC7555"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jdoll@djflawfirm.com</w:t>
            </w:r>
          </w:p>
          <w:p w:rsidR="00F66BBE" w:rsidRPr="007318B0" w:rsidP="00A5645F" w14:paraId="60BDF10E"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 xml:space="preserve"> </w:t>
            </w:r>
          </w:p>
          <w:p w:rsidR="00F66BBE" w:rsidRPr="007318B0" w:rsidP="00A5645F" w14:paraId="26F294C3"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7318B0">
              <w:rPr>
                <w:rFonts w:ascii="Times New Roman" w:hAnsi="Times New Roman" w:eastAsiaTheme="minorHAnsi" w:cs="Times New Roman"/>
                <w:sz w:val="22"/>
                <w:szCs w:val="22"/>
                <w:lang w:val="en-US" w:eastAsia="en-US" w:bidi="ar-SA"/>
              </w:rPr>
              <w:t>Attorney Examiners:</w:t>
            </w:r>
          </w:p>
          <w:p w:rsidR="00F66BBE" w:rsidRPr="007318B0" w:rsidP="00A5645F" w14:paraId="4341C9A4"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p>
          <w:p w:rsidR="00F66BBE" w:rsidP="00A5645F" w14:paraId="4DE17963"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gregory.price@puco.ohio.gov</w:t>
            </w:r>
          </w:p>
          <w:p w:rsidR="00F66BBE" w:rsidRPr="007318B0" w:rsidP="00F66BBE" w14:paraId="71B9D9B7" w14:textId="32EE64E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patricia.schabo@puco.ohio.gov</w:t>
            </w:r>
            <w:r w:rsidR="00484B1D">
              <w:rPr>
                <w:rFonts w:ascii="Times New Roman" w:hAnsi="Times New Roman" w:eastAsiaTheme="minorHAnsi" w:cs="Times New Roman"/>
                <w:sz w:val="22"/>
                <w:szCs w:val="22"/>
                <w:lang w:val="en-US" w:eastAsia="en-US" w:bidi="ar-SA"/>
              </w:rPr>
              <w:t xml:space="preserve"> </w:t>
            </w:r>
          </w:p>
        </w:tc>
        <w:tc>
          <w:tcPr>
            <w:tcW w:w="4640" w:type="dxa"/>
          </w:tcPr>
          <w:p w:rsidR="00F66BBE" w:rsidP="00A5645F" w14:paraId="01E2328D"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michael.schuler@aes.com</w:t>
            </w:r>
          </w:p>
          <w:p w:rsidR="00F66BBE" w:rsidP="00A5645F" w14:paraId="5DBA0271"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djireland@ficlaw.com</w:t>
            </w:r>
          </w:p>
          <w:p w:rsidR="00F66BBE" w:rsidP="00A5645F" w14:paraId="43FCA43C"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jsharkey@ficlaw.com</w:t>
            </w:r>
          </w:p>
          <w:p w:rsidR="00F66BBE" w:rsidP="00A5645F" w14:paraId="4E3573F4"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mfleisher@elpc.org</w:t>
            </w:r>
          </w:p>
          <w:p w:rsidR="00F66BBE" w:rsidP="00A5645F" w14:paraId="73AE2F87"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kfield@elpc.org</w:t>
            </w:r>
          </w:p>
          <w:p w:rsidR="00F66BBE" w:rsidP="00A5645F" w14:paraId="7C6250B7"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jeffrey.mayes@monitoringanalytics.com</w:t>
            </w:r>
          </w:p>
          <w:p w:rsidR="00F66BBE" w:rsidP="00A5645F" w14:paraId="62BF744A"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evelyn.robinson@pjm.com</w:t>
            </w:r>
          </w:p>
          <w:p w:rsidR="00F66BBE" w:rsidP="00A5645F" w14:paraId="65DD25CE"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schmidt@sppgrp.com</w:t>
            </w:r>
          </w:p>
          <w:p w:rsidR="00F66BBE" w:rsidP="00A5645F" w14:paraId="70003164"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rsahli@columbus.rr.com</w:t>
            </w:r>
          </w:p>
          <w:p w:rsidR="00F66BBE" w:rsidP="00A5645F" w14:paraId="5273B633"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tony.mendoza@sierraclub.org</w:t>
            </w:r>
          </w:p>
          <w:p w:rsidR="00F66BBE" w:rsidP="00A5645F" w14:paraId="3C219985"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kristin.henry@sierraclub.org</w:t>
            </w:r>
          </w:p>
          <w:p w:rsidR="00F66BBE" w:rsidP="00A5645F" w14:paraId="700B58BB"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mdortch@kravitzllc.com</w:t>
            </w:r>
          </w:p>
          <w:p w:rsidR="00F66BBE" w:rsidP="00A5645F" w14:paraId="7E5800D4"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rparsons@kravitzllc.com</w:t>
            </w:r>
          </w:p>
          <w:p w:rsidR="00F66BBE" w:rsidP="00A5645F" w14:paraId="1124D1CF"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Bojko@carpenterlipps.com</w:t>
            </w:r>
          </w:p>
          <w:p w:rsidR="00F66BBE" w:rsidP="00A5645F" w14:paraId="4C91B15D"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perko@carpenterlipps.com</w:t>
            </w:r>
          </w:p>
          <w:p w:rsidR="00F66BBE" w:rsidP="00A5645F" w14:paraId="0C4E1B59"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Ghiloni@carpenterlipps.com</w:t>
            </w:r>
          </w:p>
          <w:p w:rsidR="00F66BBE" w:rsidP="00A5645F" w14:paraId="2B7BE1A7"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paul@carpenterlipps.com</w:t>
            </w:r>
          </w:p>
          <w:p w:rsidR="00F66BBE" w:rsidP="00A5645F" w14:paraId="4A8C7F9C"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sechler@carpenterlipps.com</w:t>
            </w:r>
          </w:p>
          <w:p w:rsidR="00F66BBE" w:rsidP="00A5645F" w14:paraId="0B086981"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mwarnock@bricker.com</w:t>
            </w:r>
          </w:p>
          <w:p w:rsidR="00F66BBE" w:rsidP="00A5645F" w14:paraId="5CC42791"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dparram@bricker.com</w:t>
            </w:r>
          </w:p>
          <w:p w:rsidR="00F66BBE" w:rsidP="00A5645F" w14:paraId="6C2EDE3C"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dborchers@bricker.com</w:t>
            </w:r>
          </w:p>
          <w:p w:rsidR="00F66BBE" w:rsidP="00A5645F" w14:paraId="5D10879A"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lhawrot@spilmanlaw.com</w:t>
            </w:r>
          </w:p>
          <w:p w:rsidR="00F66BBE" w:rsidP="00A5645F" w14:paraId="5E2EF6AF"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dwilliamson@spilmanlaw.com</w:t>
            </w:r>
          </w:p>
          <w:p w:rsidR="00F66BBE" w:rsidP="00A5645F" w14:paraId="4ABA8C50"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charris@spilmanlaw.com</w:t>
            </w:r>
          </w:p>
          <w:p w:rsidR="00F66BBE" w:rsidP="00A5645F" w14:paraId="71A5B2C0"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ejacobs@ablelaw.org</w:t>
            </w:r>
          </w:p>
          <w:p w:rsidR="00F66BBE" w:rsidP="00A5645F" w14:paraId="7CC759D8"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rseiler@dickinsonwright.com</w:t>
            </w:r>
          </w:p>
          <w:p w:rsidR="00F66BBE" w:rsidP="00A5645F" w14:paraId="06CEBB78"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cpirik@dickinsonwright.com</w:t>
            </w:r>
          </w:p>
          <w:p w:rsidR="00F66BBE" w:rsidP="00A5645F" w14:paraId="43FA91C8"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wvorys@dickinsonwright.com</w:t>
            </w:r>
          </w:p>
          <w:p w:rsidR="00F66BBE" w:rsidP="00A5645F" w14:paraId="7EB77F6B"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r w:rsidRPr="00532027">
              <w:rPr>
                <w:rFonts w:ascii="Times New Roman" w:hAnsi="Times New Roman" w:eastAsiaTheme="minorHAnsi" w:cs="Times New Roman"/>
                <w:sz w:val="22"/>
                <w:szCs w:val="22"/>
                <w:lang w:val="en-US" w:eastAsia="en-US" w:bidi="ar-SA"/>
              </w:rPr>
              <w:t>todonnell@dickinsonwright.com</w:t>
            </w:r>
          </w:p>
          <w:p w:rsidR="00F66BBE" w:rsidRPr="007318B0" w:rsidP="00A5645F" w14:paraId="798300C5" w14:textId="77777777">
            <w:pPr>
              <w:adjustRightInd w:val="0"/>
              <w:spacing w:after="0" w:line="240" w:lineRule="auto"/>
              <w:rPr>
                <w:rStyle w:val="DefaultParagraphFont"/>
                <w:rFonts w:ascii="Times New Roman" w:hAnsi="Times New Roman" w:eastAsiaTheme="minorHAnsi" w:cs="Times New Roman"/>
                <w:sz w:val="22"/>
                <w:szCs w:val="22"/>
                <w:lang w:val="en-US" w:eastAsia="en-US" w:bidi="ar-SA"/>
              </w:rPr>
            </w:pPr>
          </w:p>
        </w:tc>
      </w:tr>
    </w:tbl>
    <w:p w:rsidR="004F5BF6" w:rsidRPr="00335CE6" w:rsidP="00F66BBE" w14:paraId="3291FB79" w14:textId="77777777">
      <w:pPr>
        <w:ind w:firstLine="720"/>
        <w:contextualSpacing/>
        <w:rPr>
          <w:rFonts w:cs="Times New Roman"/>
          <w:szCs w:val="24"/>
        </w:rPr>
      </w:pPr>
    </w:p>
    <w:sectPr w:rsidSect="0074619C">
      <w:footerReference w:type="default" r:id="rI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028" w14:paraId="004BA0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B1D" w14:paraId="29F1FD5A"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028" w14:paraId="2F51B5F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7373459"/>
      <w:docPartObj>
        <w:docPartGallery w:val="Page Numbers (Bottom of Page)"/>
        <w:docPartUnique/>
      </w:docPartObj>
    </w:sdtPr>
    <w:sdtEndPr>
      <w:rPr>
        <w:noProof/>
      </w:rPr>
    </w:sdtEndPr>
    <w:sdtContent>
      <w:p w:rsidR="00484B1D" w14:paraId="62298D58" w14:textId="45399F2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1148766"/>
      <w:docPartObj>
        <w:docPartGallery w:val="Page Numbers (Bottom of Page)"/>
        <w:docPartUnique/>
      </w:docPartObj>
    </w:sdtPr>
    <w:sdtEndPr>
      <w:rPr>
        <w:noProof/>
      </w:rPr>
    </w:sdtEndPr>
    <w:sdtContent>
      <w:p w:rsidR="00484B1D" w14:paraId="553A137C" w14:textId="1ABB328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7615509"/>
      <w:docPartObj>
        <w:docPartGallery w:val="Page Numbers (Bottom of Page)"/>
        <w:docPartUnique/>
      </w:docPartObj>
    </w:sdtPr>
    <w:sdtEndPr>
      <w:rPr>
        <w:noProof/>
      </w:rPr>
    </w:sdtEndPr>
    <w:sdtContent>
      <w:p w:rsidR="00484B1D" w14:paraId="7845CE22" w14:textId="4A886AF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4B1D" w:rsidP="004F5BF6" w14:paraId="43749C75" w14:textId="77777777">
      <w:pPr>
        <w:spacing w:line="240" w:lineRule="auto"/>
      </w:pPr>
      <w:r>
        <w:separator/>
      </w:r>
    </w:p>
  </w:footnote>
  <w:footnote w:type="continuationSeparator" w:id="1">
    <w:p w:rsidR="00484B1D" w:rsidP="004F5BF6" w14:paraId="67592F6F" w14:textId="77777777">
      <w:pPr>
        <w:spacing w:line="240" w:lineRule="auto"/>
      </w:pPr>
      <w:r>
        <w:continuationSeparator/>
      </w:r>
    </w:p>
  </w:footnote>
  <w:footnote w:id="2">
    <w:p w:rsidR="00484B1D" w:rsidRPr="009E6C25" w:rsidP="009E6C25" w14:paraId="6C0A73AA" w14:textId="3419B9CD">
      <w:pPr>
        <w:pStyle w:val="FootnoteText"/>
        <w:spacing w:after="120"/>
      </w:pPr>
      <w:r w:rsidRPr="009E6C25">
        <w:rPr>
          <w:rStyle w:val="FootnoteReference"/>
        </w:rPr>
        <w:footnoteRef/>
      </w:r>
      <w:r w:rsidRPr="009E6C25">
        <w:t xml:space="preserve"> </w:t>
      </w:r>
      <w:r w:rsidRPr="009E6C25">
        <w:rPr>
          <w:rFonts w:cs="Times New Roman"/>
        </w:rPr>
        <w:t>Slip Opinion No. 2019-Ohio-2401 (2019).</w:t>
      </w:r>
    </w:p>
  </w:footnote>
  <w:footnote w:id="3">
    <w:p w:rsidR="00484B1D" w:rsidRPr="009E6C25" w:rsidP="009E6C25" w14:paraId="47A9E9FD" w14:textId="5846254F">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Entry (July 2, 2019) (</w:t>
      </w:r>
      <w:r>
        <w:rPr>
          <w:rFonts w:cs="Times New Roman"/>
        </w:rPr>
        <w:t>“</w:t>
      </w:r>
      <w:r w:rsidRPr="009E6C25">
        <w:rPr>
          <w:rFonts w:cs="Times New Roman"/>
        </w:rPr>
        <w:t>Entry</w:t>
      </w:r>
      <w:r>
        <w:rPr>
          <w:rFonts w:cs="Times New Roman"/>
        </w:rPr>
        <w:t>”</w:t>
      </w:r>
      <w:r w:rsidRPr="009E6C25">
        <w:rPr>
          <w:rFonts w:cs="Times New Roman"/>
        </w:rPr>
        <w:t>).</w:t>
      </w:r>
    </w:p>
  </w:footnote>
  <w:footnote w:id="4">
    <w:p w:rsidR="00484B1D" w:rsidRPr="009E6C25" w:rsidP="009E6C25" w14:paraId="27EA4E13" w14:textId="4AF02132">
      <w:pPr>
        <w:pStyle w:val="FootnoteText"/>
        <w:spacing w:after="120"/>
        <w:rPr>
          <w:i/>
          <w:iCs/>
        </w:rPr>
      </w:pPr>
      <w:r w:rsidRPr="009E6C25">
        <w:rPr>
          <w:rStyle w:val="FootnoteReference"/>
        </w:rPr>
        <w:footnoteRef/>
      </w:r>
      <w:r w:rsidRPr="009E6C25">
        <w:t xml:space="preserve"> </w:t>
      </w:r>
      <w:r w:rsidRPr="009E6C25">
        <w:rPr>
          <w:i/>
          <w:iCs/>
        </w:rPr>
        <w:t>See id.</w:t>
      </w:r>
    </w:p>
  </w:footnote>
  <w:footnote w:id="5">
    <w:p w:rsidR="00484B1D" w:rsidRPr="009E6C25" w:rsidP="009E6C25" w14:paraId="5C8276D6"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Docket.</w:t>
      </w:r>
    </w:p>
  </w:footnote>
  <w:footnote w:id="6">
    <w:p w:rsidR="00484B1D" w:rsidRPr="009E6C25" w:rsidP="009E6C25" w14:paraId="1415C71D" w14:textId="638963AE">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DP&amp;L</w:t>
      </w:r>
      <w:r>
        <w:rPr>
          <w:rFonts w:cs="Times New Roman"/>
        </w:rPr>
        <w:t>’</w:t>
      </w:r>
      <w:r w:rsidRPr="009E6C25">
        <w:rPr>
          <w:rFonts w:cs="Times New Roman"/>
        </w:rPr>
        <w:t>s Application (February 22, 2016).</w:t>
      </w:r>
    </w:p>
  </w:footnote>
  <w:footnote w:id="7">
    <w:p w:rsidR="00484B1D" w:rsidRPr="009E6C25" w:rsidP="009E6C25" w14:paraId="22844F12" w14:textId="4FF0D6FB">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See</w:t>
      </w:r>
      <w:r w:rsidRPr="009E6C25">
        <w:rPr>
          <w:rFonts w:cs="Times New Roman"/>
        </w:rPr>
        <w:t xml:space="preserve"> </w:t>
      </w:r>
      <w:r w:rsidRPr="009E6C25">
        <w:rPr>
          <w:rFonts w:cs="Times New Roman"/>
          <w:i/>
        </w:rPr>
        <w:t>Amended Stipulation and Recommendation</w:t>
      </w:r>
      <w:r w:rsidRPr="009E6C25">
        <w:rPr>
          <w:rFonts w:cs="Times New Roman"/>
        </w:rPr>
        <w:t>, March 14, 2017 (</w:t>
      </w:r>
      <w:r>
        <w:rPr>
          <w:rFonts w:cs="Times New Roman"/>
        </w:rPr>
        <w:t>“</w:t>
      </w:r>
      <w:r w:rsidRPr="009E6C25">
        <w:rPr>
          <w:rFonts w:cs="Times New Roman"/>
        </w:rPr>
        <w:t>Settlement</w:t>
      </w:r>
      <w:r>
        <w:rPr>
          <w:rFonts w:cs="Times New Roman"/>
        </w:rPr>
        <w:t>”</w:t>
      </w:r>
      <w:r w:rsidRPr="009E6C25">
        <w:rPr>
          <w:rFonts w:cs="Times New Roman"/>
        </w:rPr>
        <w:t>).</w:t>
      </w:r>
    </w:p>
  </w:footnote>
  <w:footnote w:id="8">
    <w:p w:rsidR="00484B1D" w:rsidRPr="009E6C25" w:rsidP="009E6C25" w14:paraId="48DA2D78"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Settlement at 13.</w:t>
      </w:r>
    </w:p>
  </w:footnote>
  <w:footnote w:id="9">
    <w:p w:rsidR="00484B1D" w:rsidRPr="009E6C25" w:rsidP="009E6C25" w14:paraId="750F3CD1" w14:textId="7150A8EB">
      <w:pPr>
        <w:pStyle w:val="FootnoteText"/>
        <w:spacing w:after="120"/>
        <w:rPr>
          <w:rFonts w:cs="Times New Roman"/>
        </w:rPr>
      </w:pPr>
      <w:r w:rsidRPr="009E6C25">
        <w:rPr>
          <w:rStyle w:val="FootnoteReference"/>
          <w:rFonts w:cs="Times New Roman"/>
        </w:rPr>
        <w:footnoteRef/>
      </w:r>
      <w:r w:rsidRPr="009E6C25">
        <w:rPr>
          <w:rFonts w:cs="Times New Roman"/>
        </w:rPr>
        <w:t xml:space="preserve"> Opinion and Order at 35 (Oct</w:t>
      </w:r>
      <w:r w:rsidR="00AD21EE">
        <w:rPr>
          <w:rFonts w:cs="Times New Roman"/>
        </w:rPr>
        <w:t>ober</w:t>
      </w:r>
      <w:r w:rsidRPr="009E6C25">
        <w:rPr>
          <w:rFonts w:cs="Times New Roman"/>
        </w:rPr>
        <w:t>. 20, 2017).</w:t>
      </w:r>
    </w:p>
  </w:footnote>
  <w:footnote w:id="10">
    <w:p w:rsidR="00484B1D" w:rsidRPr="009E6C25" w:rsidP="009E6C25" w14:paraId="649D112A"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rPr>
        <w:t>Id</w:t>
      </w:r>
      <w:r w:rsidRPr="009E6C25">
        <w:rPr>
          <w:rFonts w:cs="Times New Roman"/>
        </w:rPr>
        <w:t>.</w:t>
      </w:r>
    </w:p>
  </w:footnote>
  <w:footnote w:id="11">
    <w:p w:rsidR="00484B1D" w:rsidRPr="009E6C25" w:rsidP="009E6C25" w14:paraId="78A8602E" w14:textId="7A437CC7">
      <w:pPr>
        <w:pStyle w:val="FootnoteText"/>
        <w:spacing w:after="120"/>
        <w:rPr>
          <w:rFonts w:cs="Times New Roman"/>
        </w:rPr>
      </w:pPr>
      <w:r w:rsidRPr="009E6C25">
        <w:rPr>
          <w:rStyle w:val="FootnoteReference"/>
          <w:rFonts w:cs="Times New Roman"/>
        </w:rPr>
        <w:footnoteRef/>
      </w:r>
      <w:r w:rsidRPr="009E6C25">
        <w:rPr>
          <w:rFonts w:cs="Times New Roman"/>
        </w:rPr>
        <w:t xml:space="preserve"> OCC opposed the Settlement and has appealed the PUCO Order approving the settlement. </w:t>
      </w:r>
      <w:r w:rsidRPr="009E6C25">
        <w:rPr>
          <w:rFonts w:cs="Times New Roman"/>
          <w:i/>
        </w:rPr>
        <w:t>In the Matter of the Application of The Dayton Power and Light Company for Approval of Its Electric Security Plan</w:t>
      </w:r>
      <w:r w:rsidRPr="009E6C25">
        <w:rPr>
          <w:rFonts w:cs="Times New Roman"/>
        </w:rPr>
        <w:t>, Sup. Ct. 2019-0020, OCC Notice of Appeal (Jan. 7, 2019).</w:t>
      </w:r>
      <w:r>
        <w:rPr>
          <w:rFonts w:cs="Times New Roman"/>
        </w:rPr>
        <w:t xml:space="preserve"> </w:t>
      </w:r>
      <w:r w:rsidRPr="009E6C25">
        <w:rPr>
          <w:rFonts w:cs="Times New Roman"/>
        </w:rPr>
        <w:t>The Environmental Advocates sought rehearing specifically on the distribution modernization charge, claiming that the charge is not an incentive under Ohio law.</w:t>
      </w:r>
      <w:r>
        <w:rPr>
          <w:rFonts w:cs="Times New Roman"/>
        </w:rPr>
        <w:t xml:space="preserve"> </w:t>
      </w:r>
      <w:r w:rsidRPr="009E6C25">
        <w:rPr>
          <w:rFonts w:cs="Times New Roman"/>
        </w:rPr>
        <w:t>Application for rehearing at 2 (Nov</w:t>
      </w:r>
      <w:r w:rsidR="00180497">
        <w:rPr>
          <w:rFonts w:cs="Times New Roman"/>
        </w:rPr>
        <w:t>ember</w:t>
      </w:r>
      <w:r w:rsidRPr="009E6C25">
        <w:rPr>
          <w:rFonts w:cs="Times New Roman"/>
        </w:rPr>
        <w:t>. 17, 2017).</w:t>
      </w:r>
      <w:r>
        <w:rPr>
          <w:rFonts w:cs="Times New Roman"/>
        </w:rPr>
        <w:t xml:space="preserve"> </w:t>
      </w:r>
    </w:p>
  </w:footnote>
  <w:footnote w:id="12">
    <w:p w:rsidR="00484B1D" w:rsidRPr="009E6C25" w:rsidP="009E6C25" w14:paraId="6E7EC270" w14:textId="34647538">
      <w:pPr>
        <w:pStyle w:val="FootnoteText"/>
        <w:spacing w:after="120"/>
        <w:rPr>
          <w:rFonts w:cs="Times New Roman"/>
        </w:rPr>
      </w:pPr>
      <w:r w:rsidRPr="009E6C25">
        <w:rPr>
          <w:rStyle w:val="FootnoteReference"/>
          <w:rFonts w:cs="Times New Roman"/>
        </w:rPr>
        <w:footnoteRef/>
      </w:r>
      <w:r w:rsidRPr="009E6C25">
        <w:rPr>
          <w:rFonts w:cs="Times New Roman"/>
        </w:rPr>
        <w:t xml:space="preserve"> For example, OCC filed an application for rehearing on October 19, 2018. The PUCO did not rule on it until November 7, 2018. </w:t>
      </w:r>
      <w:r w:rsidRPr="009E6C25">
        <w:rPr>
          <w:rFonts w:cs="Times New Roman"/>
          <w:i/>
          <w:iCs/>
        </w:rPr>
        <w:t xml:space="preserve">See </w:t>
      </w:r>
      <w:r w:rsidRPr="009E6C25">
        <w:rPr>
          <w:rFonts w:cs="Times New Roman"/>
        </w:rPr>
        <w:t>OCC</w:t>
      </w:r>
      <w:r>
        <w:rPr>
          <w:rFonts w:cs="Times New Roman"/>
        </w:rPr>
        <w:t>’</w:t>
      </w:r>
      <w:r w:rsidRPr="009E6C25">
        <w:rPr>
          <w:rFonts w:cs="Times New Roman"/>
        </w:rPr>
        <w:t>s Third Application for Rehearing (October 19, 2018); Fourth Entry on Rehearing (November 7, 2018).</w:t>
      </w:r>
    </w:p>
  </w:footnote>
  <w:footnote w:id="13">
    <w:p w:rsidR="00484B1D" w:rsidRPr="009E6C25" w:rsidP="009E6C25" w14:paraId="0FF63B1A" w14:textId="115788E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color w:val="232323"/>
        </w:rPr>
        <w:t xml:space="preserve">Notice of </w:t>
      </w:r>
      <w:r>
        <w:rPr>
          <w:rFonts w:cs="Times New Roman"/>
          <w:i/>
          <w:color w:val="232323"/>
        </w:rPr>
        <w:t>W</w:t>
      </w:r>
      <w:r w:rsidRPr="009E6C25">
        <w:rPr>
          <w:rFonts w:cs="Times New Roman"/>
          <w:i/>
          <w:color w:val="232323"/>
        </w:rPr>
        <w:t>ithdrawal from Amended Stipulation and Recommendation</w:t>
      </w:r>
      <w:r w:rsidRPr="009E6C25">
        <w:rPr>
          <w:rFonts w:cs="Times New Roman"/>
          <w:color w:val="232323"/>
        </w:rPr>
        <w:t xml:space="preserve"> at 2, (October 19, 2018) (</w:t>
      </w:r>
      <w:r>
        <w:rPr>
          <w:rFonts w:cs="Times New Roman"/>
          <w:color w:val="232323"/>
        </w:rPr>
        <w:t>“</w:t>
      </w:r>
      <w:r w:rsidRPr="009E6C25">
        <w:rPr>
          <w:rFonts w:cs="Times New Roman"/>
          <w:color w:val="232323"/>
        </w:rPr>
        <w:t>Notice of Withdrawal</w:t>
      </w:r>
      <w:r>
        <w:rPr>
          <w:rFonts w:cs="Times New Roman"/>
          <w:color w:val="232323"/>
        </w:rPr>
        <w:t>”</w:t>
      </w:r>
      <w:r w:rsidRPr="009E6C25">
        <w:rPr>
          <w:rFonts w:cs="Times New Roman"/>
          <w:color w:val="232323"/>
        </w:rPr>
        <w:t>) (</w:t>
      </w:r>
      <w:r w:rsidRPr="009E6C25">
        <w:rPr>
          <w:rFonts w:cs="Times New Roman"/>
        </w:rPr>
        <w:t xml:space="preserve">If any party withdraws as a signatory party to the Stipulation, </w:t>
      </w:r>
      <w:r>
        <w:rPr>
          <w:rFonts w:cs="Times New Roman"/>
        </w:rPr>
        <w:t>“</w:t>
      </w:r>
      <w:r w:rsidRPr="009E6C25">
        <w:rPr>
          <w:rFonts w:cs="Times New Roman"/>
        </w:rPr>
        <w:t>the Commission will convene an evidentiary hearing to afford that Signatory Party the opportunity to contest the Stipulation by presenting evidence through witnesses, to cross-examine witnesses, to present rebuttal testimony, and to brief all issues that the Commission shall decide based upon the record and briefs.</w:t>
      </w:r>
      <w:r>
        <w:rPr>
          <w:rFonts w:cs="Times New Roman"/>
        </w:rPr>
        <w:t>”</w:t>
      </w:r>
      <w:r w:rsidRPr="009E6C25">
        <w:rPr>
          <w:rFonts w:cs="Times New Roman"/>
        </w:rPr>
        <w:t>).</w:t>
      </w:r>
    </w:p>
  </w:footnote>
  <w:footnote w:id="14">
    <w:p w:rsidR="00484B1D" w:rsidRPr="009E6C25" w:rsidP="009E6C25" w14:paraId="74460406"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color w:val="232323"/>
        </w:rPr>
        <w:t>Id.</w:t>
      </w:r>
    </w:p>
  </w:footnote>
  <w:footnote w:id="15">
    <w:p w:rsidR="00484B1D" w:rsidRPr="009E6C25" w:rsidP="009E6C25" w14:paraId="3D154122" w14:textId="2FED0F02">
      <w:pPr>
        <w:pStyle w:val="FootnoteText"/>
        <w:spacing w:after="120"/>
        <w:rPr>
          <w:rFonts w:cs="Times New Roman"/>
        </w:rPr>
      </w:pPr>
      <w:r w:rsidRPr="009E6C25">
        <w:rPr>
          <w:rStyle w:val="FootnoteReference"/>
          <w:rFonts w:cs="Times New Roman"/>
        </w:rPr>
        <w:footnoteRef/>
      </w:r>
      <w:r w:rsidRPr="009E6C25">
        <w:rPr>
          <w:rFonts w:cs="Times New Roman"/>
        </w:rPr>
        <w:t xml:space="preserve"> Supplemental Direct Testimony of Matthew White on Behalf of Interstate Gas Supply, Inc. (February 12, 2019) (</w:t>
      </w:r>
      <w:r>
        <w:rPr>
          <w:rFonts w:cs="Times New Roman"/>
        </w:rPr>
        <w:t>“</w:t>
      </w:r>
      <w:r w:rsidRPr="009E6C25">
        <w:rPr>
          <w:rFonts w:cs="Times New Roman"/>
        </w:rPr>
        <w:t>White</w:t>
      </w:r>
      <w:r>
        <w:rPr>
          <w:rFonts w:cs="Times New Roman"/>
        </w:rPr>
        <w:t>’</w:t>
      </w:r>
      <w:r w:rsidRPr="009E6C25">
        <w:rPr>
          <w:rFonts w:cs="Times New Roman"/>
        </w:rPr>
        <w:t>s Testimony</w:t>
      </w:r>
      <w:r>
        <w:rPr>
          <w:rFonts w:cs="Times New Roman"/>
        </w:rPr>
        <w:t>”</w:t>
      </w:r>
      <w:r w:rsidRPr="009E6C25">
        <w:rPr>
          <w:rFonts w:cs="Times New Roman"/>
        </w:rPr>
        <w:t>).</w:t>
      </w:r>
    </w:p>
  </w:footnote>
  <w:footnote w:id="16">
    <w:p w:rsidR="00484B1D" w:rsidRPr="009E6C25" w:rsidP="009E6C25" w14:paraId="73707F01"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Hearing Transcript, Vol. III at 1399:19-22. </w:t>
      </w:r>
    </w:p>
  </w:footnote>
  <w:footnote w:id="17">
    <w:p w:rsidR="00484B1D" w:rsidRPr="009E6C25" w:rsidP="009E6C25" w14:paraId="3DC53868" w14:textId="40944CC3">
      <w:pPr>
        <w:pStyle w:val="FootnoteText"/>
        <w:spacing w:after="120"/>
        <w:rPr>
          <w:rFonts w:cs="Times New Roman"/>
        </w:rPr>
      </w:pPr>
      <w:r w:rsidRPr="009E6C25">
        <w:rPr>
          <w:rStyle w:val="FootnoteReference"/>
          <w:rFonts w:cs="Times New Roman"/>
        </w:rPr>
        <w:footnoteRef/>
      </w:r>
      <w:r w:rsidRPr="009E6C25">
        <w:rPr>
          <w:rFonts w:cs="Times New Roman"/>
        </w:rPr>
        <w:t xml:space="preserve"> Hearing Transcript Vol. III at 1401:18-19; Willis Testimony at 3:18-20. </w:t>
      </w:r>
    </w:p>
  </w:footnote>
  <w:footnote w:id="18">
    <w:p w:rsidR="00484B1D" w:rsidRPr="009E6C25" w:rsidP="009E6C25" w14:paraId="5211CF1D" w14:textId="36D2B798">
      <w:pPr>
        <w:pStyle w:val="FootnoteText"/>
        <w:spacing w:after="120"/>
        <w:rPr>
          <w:rFonts w:cs="Times New Roman"/>
        </w:rPr>
      </w:pPr>
      <w:r w:rsidRPr="009E6C25">
        <w:rPr>
          <w:rStyle w:val="FootnoteReference"/>
          <w:rFonts w:cs="Times New Roman"/>
        </w:rPr>
        <w:footnoteRef/>
      </w:r>
      <w:r w:rsidRPr="009E6C25">
        <w:rPr>
          <w:rFonts w:cs="Times New Roman"/>
        </w:rPr>
        <w:t xml:space="preserve"> White</w:t>
      </w:r>
      <w:r>
        <w:rPr>
          <w:rFonts w:cs="Times New Roman"/>
        </w:rPr>
        <w:t>’</w:t>
      </w:r>
      <w:r w:rsidRPr="009E6C25">
        <w:rPr>
          <w:rFonts w:cs="Times New Roman"/>
        </w:rPr>
        <w:t>s Testimony at 4:7-9.</w:t>
      </w:r>
    </w:p>
  </w:footnote>
  <w:footnote w:id="19">
    <w:p w:rsidR="00484B1D" w:rsidRPr="009E6C25" w:rsidP="009E6C25" w14:paraId="10436381" w14:textId="635FA08E">
      <w:pPr>
        <w:pStyle w:val="FootnoteText"/>
        <w:spacing w:after="120"/>
        <w:rPr>
          <w:rFonts w:cs="Times New Roman"/>
        </w:rPr>
      </w:pPr>
      <w:r w:rsidRPr="009E6C25">
        <w:rPr>
          <w:rStyle w:val="FootnoteReference"/>
          <w:rFonts w:cs="Times New Roman"/>
        </w:rPr>
        <w:footnoteRef/>
      </w:r>
      <w:r w:rsidRPr="009E6C25">
        <w:rPr>
          <w:rFonts w:cs="Times New Roman"/>
        </w:rPr>
        <w:t xml:space="preserve"> White</w:t>
      </w:r>
      <w:r>
        <w:rPr>
          <w:rFonts w:cs="Times New Roman"/>
        </w:rPr>
        <w:t>’</w:t>
      </w:r>
      <w:r w:rsidRPr="009E6C25">
        <w:rPr>
          <w:rFonts w:cs="Times New Roman"/>
        </w:rPr>
        <w:t>s Testimony at 5:14-18.</w:t>
      </w:r>
    </w:p>
  </w:footnote>
  <w:footnote w:id="20">
    <w:p w:rsidR="00484B1D" w:rsidRPr="009E6C25" w:rsidP="009E6C25" w14:paraId="044D08C9" w14:textId="090AA857">
      <w:pPr>
        <w:pStyle w:val="FootnoteText"/>
        <w:spacing w:after="120"/>
        <w:rPr>
          <w:rFonts w:cs="Times New Roman"/>
        </w:rPr>
      </w:pPr>
      <w:r w:rsidRPr="009E6C25">
        <w:rPr>
          <w:rStyle w:val="FootnoteReference"/>
          <w:rFonts w:cs="Times New Roman"/>
        </w:rPr>
        <w:footnoteRef/>
      </w:r>
      <w:r w:rsidRPr="009E6C25">
        <w:rPr>
          <w:rFonts w:cs="Times New Roman"/>
        </w:rPr>
        <w:t xml:space="preserve"> White</w:t>
      </w:r>
      <w:r>
        <w:rPr>
          <w:rFonts w:cs="Times New Roman"/>
        </w:rPr>
        <w:t>’</w:t>
      </w:r>
      <w:r w:rsidRPr="009E6C25">
        <w:rPr>
          <w:rFonts w:cs="Times New Roman"/>
        </w:rPr>
        <w:t>s Testimony at 3:17-20, 9:21,10:11-21.</w:t>
      </w:r>
    </w:p>
  </w:footnote>
  <w:footnote w:id="21">
    <w:p w:rsidR="00484B1D" w:rsidRPr="009E6C25" w:rsidP="009E6C25" w14:paraId="1A56ADFC"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rPr>
        <w:t>Id.</w:t>
      </w:r>
    </w:p>
  </w:footnote>
  <w:footnote w:id="22">
    <w:p w:rsidR="00484B1D" w:rsidRPr="009E6C25" w:rsidP="009E6C25" w14:paraId="0A5D6169" w14:textId="77777777">
      <w:pPr>
        <w:pStyle w:val="FootnoteText"/>
        <w:spacing w:after="120"/>
        <w:rPr>
          <w:rFonts w:cs="Times New Roman"/>
          <w:i/>
        </w:rPr>
      </w:pPr>
      <w:r w:rsidRPr="009E6C25">
        <w:rPr>
          <w:rStyle w:val="FootnoteReference"/>
          <w:rFonts w:cs="Times New Roman"/>
        </w:rPr>
        <w:footnoteRef/>
      </w:r>
      <w:r w:rsidRPr="009E6C25">
        <w:rPr>
          <w:rFonts w:cs="Times New Roman"/>
        </w:rPr>
        <w:t xml:space="preserve"> </w:t>
      </w:r>
      <w:r w:rsidRPr="009E6C25">
        <w:rPr>
          <w:rFonts w:cs="Times New Roman"/>
          <w:i/>
        </w:rPr>
        <w:t>Id.</w:t>
      </w:r>
    </w:p>
  </w:footnote>
  <w:footnote w:id="23">
    <w:p w:rsidR="00484B1D" w:rsidRPr="009E6C25" w:rsidP="009E6C25" w14:paraId="3B6EA9D9"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Entry (July 2, 2019) at 2.</w:t>
      </w:r>
    </w:p>
  </w:footnote>
  <w:footnote w:id="24">
    <w:p w:rsidR="00484B1D" w:rsidRPr="009E6C25" w:rsidP="009E6C25" w14:paraId="2A9F2AC3"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id. </w:t>
      </w:r>
      <w:r w:rsidRPr="009E6C25">
        <w:rPr>
          <w:rFonts w:cs="Times New Roman"/>
        </w:rPr>
        <w:t>at 3.</w:t>
      </w:r>
    </w:p>
  </w:footnote>
  <w:footnote w:id="25">
    <w:p w:rsidR="00484B1D" w:rsidRPr="009E6C25" w:rsidP="009E6C25" w14:paraId="1BEF565D" w14:textId="6EBD5962">
      <w:pPr>
        <w:spacing w:after="120" w:line="240" w:lineRule="auto"/>
        <w:rPr>
          <w:sz w:val="20"/>
        </w:rPr>
      </w:pPr>
      <w:r w:rsidRPr="009E6C25">
        <w:rPr>
          <w:rStyle w:val="FootnoteReference"/>
          <w:sz w:val="20"/>
        </w:rPr>
        <w:footnoteRef/>
      </w:r>
      <w:r w:rsidRPr="009E6C25">
        <w:rPr>
          <w:sz w:val="20"/>
        </w:rPr>
        <w:t xml:space="preserve"> </w:t>
      </w:r>
      <w:r w:rsidRPr="00D345A3">
        <w:rPr>
          <w:i/>
          <w:iCs/>
          <w:sz w:val="20"/>
        </w:rPr>
        <w:t>In the Matter of the Application of Ohio Edison Company, The Cleveland Electric Illuminating Company, and The Toledo Edison Company for Authority to Provide for a Standard Service Offer Pursuant to R.C. 4928.143 in the form of an Electric Security Plan</w:t>
      </w:r>
      <w:r w:rsidRPr="009E6C25">
        <w:rPr>
          <w:sz w:val="20"/>
        </w:rPr>
        <w:t>, S.Ct. Case No. 2017-1664, Reconsideration Entry (filed August 20, 2019).</w:t>
      </w:r>
    </w:p>
  </w:footnote>
  <w:footnote w:id="26">
    <w:p w:rsidR="00484B1D" w:rsidRPr="009E6C25" w:rsidP="009E6C25" w14:paraId="37383B34" w14:textId="77777777">
      <w:pPr>
        <w:pStyle w:val="FootnoteText"/>
        <w:spacing w:after="120"/>
        <w:rPr>
          <w:rFonts w:cs="Times New Roman"/>
          <w:i/>
          <w:iCs/>
        </w:rPr>
      </w:pPr>
      <w:r w:rsidRPr="009E6C25">
        <w:rPr>
          <w:rStyle w:val="FootnoteReference"/>
          <w:rFonts w:cs="Times New Roman"/>
        </w:rPr>
        <w:footnoteRef/>
      </w:r>
      <w:r w:rsidRPr="009E6C25">
        <w:rPr>
          <w:rFonts w:cs="Times New Roman"/>
        </w:rPr>
        <w:t xml:space="preserve"> </w:t>
      </w:r>
      <w:r w:rsidRPr="009E6C25">
        <w:rPr>
          <w:rFonts w:cs="Times New Roman"/>
          <w:i/>
          <w:iCs/>
        </w:rPr>
        <w:t>See id.</w:t>
      </w:r>
    </w:p>
  </w:footnote>
  <w:footnote w:id="27">
    <w:p w:rsidR="00484B1D" w:rsidRPr="009E6C25" w:rsidP="009E6C25" w14:paraId="348D4E5C" w14:textId="051FA1E1">
      <w:pPr>
        <w:pStyle w:val="FootnoteText"/>
        <w:spacing w:after="120"/>
        <w:rPr>
          <w:i/>
          <w:iCs/>
        </w:rPr>
      </w:pPr>
      <w:r w:rsidRPr="009E6C25">
        <w:rPr>
          <w:rStyle w:val="FootnoteReference"/>
        </w:rPr>
        <w:footnoteRef/>
      </w:r>
      <w:r w:rsidRPr="009E6C25">
        <w:t xml:space="preserve"> </w:t>
      </w:r>
      <w:r w:rsidRPr="009E6C25">
        <w:rPr>
          <w:i/>
          <w:iCs/>
        </w:rPr>
        <w:t>See id.</w:t>
      </w:r>
    </w:p>
  </w:footnote>
  <w:footnote w:id="28">
    <w:p w:rsidR="00484B1D" w:rsidRPr="009E6C25" w:rsidP="009E6C25" w14:paraId="034414DC" w14:textId="77777777">
      <w:pPr>
        <w:pStyle w:val="FootnoteText"/>
        <w:spacing w:after="120"/>
        <w:rPr>
          <w:rFonts w:cs="Times New Roman"/>
          <w:i/>
          <w:iCs/>
        </w:rPr>
      </w:pPr>
      <w:r w:rsidRPr="009E6C25">
        <w:rPr>
          <w:rStyle w:val="FootnoteReference"/>
          <w:rFonts w:cs="Times New Roman"/>
        </w:rPr>
        <w:footnoteRef/>
      </w:r>
      <w:r w:rsidRPr="009E6C25">
        <w:rPr>
          <w:rFonts w:cs="Times New Roman"/>
        </w:rPr>
        <w:t xml:space="preserve"> </w:t>
      </w:r>
      <w:r w:rsidRPr="009E6C25">
        <w:rPr>
          <w:rFonts w:cs="Times New Roman"/>
          <w:i/>
          <w:iCs/>
        </w:rPr>
        <w:t>See id.</w:t>
      </w:r>
    </w:p>
  </w:footnote>
  <w:footnote w:id="29">
    <w:p w:rsidR="00484B1D" w:rsidRPr="009E6C25" w:rsidP="009E6C25" w14:paraId="65E0DCAA" w14:textId="5B413A47">
      <w:pPr>
        <w:pStyle w:val="FootnoteText"/>
        <w:spacing w:after="120"/>
        <w:rPr>
          <w:rFonts w:cs="Times New Roman"/>
        </w:rPr>
      </w:pPr>
      <w:r w:rsidRPr="009E6C25">
        <w:rPr>
          <w:rStyle w:val="FootnoteReference"/>
          <w:rFonts w:cs="Times New Roman"/>
        </w:rPr>
        <w:footnoteRef/>
      </w:r>
      <w:r w:rsidRPr="009E6C25">
        <w:rPr>
          <w:rFonts w:cs="Times New Roman"/>
        </w:rPr>
        <w:t xml:space="preserve"> Parties filing supplemental briefs included DP&amp;L, OCC, IGS, and the Environmental Group. </w:t>
      </w:r>
      <w:r w:rsidRPr="009E6C25">
        <w:rPr>
          <w:rFonts w:cs="Times New Roman"/>
          <w:i/>
          <w:iCs/>
        </w:rPr>
        <w:t xml:space="preserve">See </w:t>
      </w:r>
      <w:r w:rsidRPr="009E6C25">
        <w:rPr>
          <w:rFonts w:cs="Times New Roman"/>
        </w:rPr>
        <w:t>Docket.</w:t>
      </w:r>
    </w:p>
  </w:footnote>
  <w:footnote w:id="30">
    <w:p w:rsidR="00484B1D" w:rsidRPr="009E6C25" w:rsidP="009E6C25" w14:paraId="7E7E4E0F"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Entry.</w:t>
      </w:r>
    </w:p>
  </w:footnote>
  <w:footnote w:id="31">
    <w:p w:rsidR="00484B1D" w:rsidRPr="009E6C25" w:rsidP="009E6C25" w14:paraId="7297BE58" w14:textId="13A15688">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OCC</w:t>
      </w:r>
      <w:r>
        <w:rPr>
          <w:rFonts w:cs="Times New Roman"/>
        </w:rPr>
        <w:t>’</w:t>
      </w:r>
      <w:r w:rsidRPr="009E6C25">
        <w:rPr>
          <w:rFonts w:cs="Times New Roman"/>
        </w:rPr>
        <w:t>s Supplemental Brief (August 1, 2019).</w:t>
      </w:r>
    </w:p>
  </w:footnote>
  <w:footnote w:id="32">
    <w:p w:rsidR="00484B1D" w:rsidRPr="009E6C25" w:rsidP="009E6C25" w14:paraId="426E34E6"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Supplemental Briefs of IGS and Environmental Group (August 1, 2019).</w:t>
      </w:r>
    </w:p>
  </w:footnote>
  <w:footnote w:id="33">
    <w:p w:rsidR="00484B1D" w:rsidRPr="009E6C25" w:rsidP="009E6C25" w14:paraId="18F02A02" w14:textId="0E3606B6">
      <w:pPr>
        <w:pStyle w:val="FootnoteText"/>
        <w:spacing w:after="120"/>
        <w:rPr>
          <w:rFonts w:cs="Times New Roman"/>
          <w:i/>
          <w:iCs/>
        </w:rPr>
      </w:pPr>
      <w:r w:rsidRPr="009E6C25">
        <w:rPr>
          <w:rStyle w:val="FootnoteReference"/>
          <w:rFonts w:cs="Times New Roman"/>
        </w:rPr>
        <w:footnoteRef/>
      </w:r>
      <w:r w:rsidRPr="009E6C25">
        <w:rPr>
          <w:rFonts w:cs="Times New Roman"/>
        </w:rPr>
        <w:t xml:space="preserve"> </w:t>
      </w:r>
      <w:r w:rsidRPr="009E6C25">
        <w:rPr>
          <w:rFonts w:cs="Times New Roman"/>
          <w:i/>
          <w:iCs/>
        </w:rPr>
        <w:t>See</w:t>
      </w:r>
      <w:r w:rsidRPr="009E6C25">
        <w:rPr>
          <w:rFonts w:cs="Times New Roman"/>
        </w:rPr>
        <w:t xml:space="preserve"> DP&amp;L</w:t>
      </w:r>
      <w:r>
        <w:rPr>
          <w:rFonts w:cs="Times New Roman"/>
        </w:rPr>
        <w:t>’</w:t>
      </w:r>
      <w:r w:rsidRPr="009E6C25">
        <w:rPr>
          <w:rFonts w:cs="Times New Roman"/>
        </w:rPr>
        <w:t xml:space="preserve">s Supplemental Brief (August 1, 2019). DP&amp;L also asserted additional grounds for its charge. </w:t>
      </w:r>
      <w:r w:rsidRPr="009E6C25">
        <w:rPr>
          <w:rFonts w:cs="Times New Roman"/>
          <w:i/>
          <w:iCs/>
        </w:rPr>
        <w:t>See</w:t>
      </w:r>
      <w:r w:rsidRPr="009E6C25">
        <w:rPr>
          <w:rFonts w:cs="Times New Roman"/>
        </w:rPr>
        <w:t xml:space="preserve"> </w:t>
      </w:r>
      <w:r w:rsidRPr="009E6C25">
        <w:rPr>
          <w:rFonts w:cs="Times New Roman"/>
          <w:i/>
          <w:iCs/>
        </w:rPr>
        <w:t>id.</w:t>
      </w:r>
    </w:p>
  </w:footnote>
  <w:footnote w:id="34">
    <w:p w:rsidR="00484B1D" w:rsidRPr="009E6C25" w:rsidP="009E6C25" w14:paraId="50884905" w14:textId="45D26D46">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See id.</w:t>
      </w:r>
      <w:r w:rsidRPr="009E6C25">
        <w:rPr>
          <w:rFonts w:cs="Times New Roman"/>
        </w:rPr>
        <w:t xml:space="preserve"> Doing so is a little far-fetched. Parties could not have waived the right to argue for the applicability of a new development in the law to this proceeding that occurred </w:t>
      </w:r>
      <w:r w:rsidRPr="009E6C25">
        <w:rPr>
          <w:rFonts w:cs="Times New Roman"/>
          <w:i/>
          <w:iCs/>
        </w:rPr>
        <w:t xml:space="preserve">after </w:t>
      </w:r>
      <w:r w:rsidRPr="009E6C25">
        <w:rPr>
          <w:rFonts w:cs="Times New Roman"/>
        </w:rPr>
        <w:t xml:space="preserve">initial briefing but </w:t>
      </w:r>
      <w:r w:rsidRPr="009E6C25">
        <w:rPr>
          <w:rFonts w:cs="Times New Roman"/>
          <w:i/>
          <w:iCs/>
        </w:rPr>
        <w:t>while</w:t>
      </w:r>
      <w:r w:rsidRPr="009E6C25">
        <w:rPr>
          <w:rFonts w:cs="Times New Roman"/>
        </w:rPr>
        <w:t xml:space="preserve"> this proceeding is ongoing.</w:t>
      </w:r>
    </w:p>
  </w:footnote>
  <w:footnote w:id="35">
    <w:p w:rsidR="00484B1D" w:rsidRPr="009E6C25" w:rsidP="009E6C25" w14:paraId="17662ACC"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O.A.C. 4901-1-15.</w:t>
      </w:r>
    </w:p>
  </w:footnote>
  <w:footnote w:id="36">
    <w:p w:rsidR="00484B1D" w:rsidRPr="009E6C25" w:rsidP="009E6C25" w14:paraId="55797557" w14:textId="73B8B3DD">
      <w:pPr>
        <w:pStyle w:val="FootnoteText"/>
        <w:spacing w:after="120"/>
      </w:pPr>
      <w:r w:rsidRPr="009E6C25">
        <w:rPr>
          <w:rStyle w:val="FootnoteReference"/>
        </w:rPr>
        <w:footnoteRef/>
      </w:r>
      <w:r w:rsidRPr="009E6C25">
        <w:t xml:space="preserve"> </w:t>
      </w:r>
      <w:r w:rsidRPr="009E6C25">
        <w:rPr>
          <w:i/>
          <w:iCs/>
        </w:rPr>
        <w:t xml:space="preserve">See </w:t>
      </w:r>
      <w:r w:rsidRPr="009E6C25">
        <w:t>Entry.</w:t>
      </w:r>
    </w:p>
  </w:footnote>
  <w:footnote w:id="37">
    <w:p w:rsidR="00484B1D" w:rsidRPr="009E6C25" w:rsidP="009E6C25" w14:paraId="3CDAEC38" w14:textId="19DEAE42">
      <w:pPr>
        <w:pStyle w:val="FootnoteText"/>
        <w:spacing w:after="120"/>
      </w:pPr>
      <w:r w:rsidRPr="009E6C25">
        <w:rPr>
          <w:rStyle w:val="FootnoteReference"/>
        </w:rPr>
        <w:footnoteRef/>
      </w:r>
      <w:r w:rsidRPr="009E6C25">
        <w:t xml:space="preserve"> </w:t>
      </w:r>
      <w:r w:rsidRPr="009E6C25">
        <w:rPr>
          <w:i/>
          <w:iCs/>
        </w:rPr>
        <w:t xml:space="preserve">See, e.g., </w:t>
      </w:r>
      <w:r w:rsidRPr="009E6C25">
        <w:t>O.A.C. 4901-1-14 (attorney examiners have the authority to rule on procedural matters); O.A.C. 4901-1-27 (attorney examiners have broad authority to manage hearings).</w:t>
      </w:r>
    </w:p>
  </w:footnote>
  <w:footnote w:id="38">
    <w:p w:rsidR="00484B1D" w:rsidRPr="009E6C25" w:rsidP="009E6C25" w14:paraId="47862424" w14:textId="625737E4">
      <w:pPr>
        <w:pStyle w:val="FootnoteText"/>
        <w:spacing w:after="120"/>
        <w:rPr>
          <w:rFonts w:cs="Times New Roman"/>
          <w:i/>
          <w:iCs/>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Entry.</w:t>
      </w:r>
    </w:p>
  </w:footnote>
  <w:footnote w:id="39">
    <w:p w:rsidR="00484B1D" w:rsidRPr="009E6C25" w:rsidP="009E6C25" w14:paraId="45848FC1" w14:textId="03132DBA">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Entry</w:t>
      </w:r>
      <w:r w:rsidRPr="009E6C25">
        <w:rPr>
          <w:rFonts w:cs="Times New Roman"/>
          <w:i/>
          <w:iCs/>
        </w:rPr>
        <w:t xml:space="preserve"> </w:t>
      </w:r>
      <w:r w:rsidRPr="009E6C25">
        <w:rPr>
          <w:rFonts w:cs="Times New Roman"/>
        </w:rPr>
        <w:t>at 3.</w:t>
      </w:r>
    </w:p>
  </w:footnote>
  <w:footnote w:id="40">
    <w:p w:rsidR="00484B1D" w:rsidRPr="009E6C25" w:rsidP="009E6C25" w14:paraId="098BA912"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Amended Stipulation and Recommendation (March 13, 2017) at 39.</w:t>
      </w:r>
    </w:p>
  </w:footnote>
  <w:footnote w:id="41">
    <w:p w:rsidR="00484B1D" w:rsidRPr="009E6C25" w:rsidP="009E6C25" w14:paraId="4DE1D5BB"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Prehearing Conference Transcript (December 5, 2018) at 10.</w:t>
      </w:r>
    </w:p>
  </w:footnote>
  <w:footnote w:id="42">
    <w:p w:rsidR="00484B1D" w:rsidRPr="009E6C25" w:rsidP="009E6C25" w14:paraId="6BD137A1" w14:textId="59DACFDE">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R.C. 4903.10 (</w:t>
      </w:r>
      <w:r>
        <w:rPr>
          <w:rFonts w:cs="Times New Roman"/>
        </w:rPr>
        <w:t>“</w:t>
      </w:r>
      <w:r w:rsidRPr="009E6C25">
        <w:rPr>
          <w:rFonts w:cs="Times New Roman"/>
        </w:rPr>
        <w:t xml:space="preserve">After </w:t>
      </w:r>
      <w:r w:rsidRPr="009E6C25">
        <w:rPr>
          <w:rFonts w:cs="Times New Roman"/>
          <w:i/>
          <w:iCs/>
        </w:rPr>
        <w:t xml:space="preserve">any </w:t>
      </w:r>
      <w:r w:rsidRPr="009E6C25">
        <w:rPr>
          <w:rFonts w:cs="Times New Roman"/>
        </w:rPr>
        <w:t xml:space="preserve">order has been made by the public utilities commission, </w:t>
      </w:r>
      <w:r w:rsidRPr="009E6C25">
        <w:rPr>
          <w:rFonts w:cs="Times New Roman"/>
          <w:i/>
          <w:iCs/>
        </w:rPr>
        <w:t xml:space="preserve">any </w:t>
      </w:r>
      <w:r w:rsidRPr="009E6C25">
        <w:rPr>
          <w:rFonts w:cs="Times New Roman"/>
        </w:rPr>
        <w:t>party . . . may apply for a rehearing . . . .</w:t>
      </w:r>
      <w:r>
        <w:rPr>
          <w:rFonts w:cs="Times New Roman"/>
        </w:rPr>
        <w:t>”</w:t>
      </w:r>
      <w:r w:rsidRPr="009E6C25">
        <w:rPr>
          <w:rFonts w:cs="Times New Roman"/>
        </w:rPr>
        <w:t xml:space="preserve">); </w:t>
      </w:r>
      <w:r w:rsidRPr="009E6C25">
        <w:rPr>
          <w:rFonts w:cs="Times New Roman"/>
          <w:i/>
          <w:iCs/>
        </w:rPr>
        <w:t>In re Application of Columbus Southern Power Co.</w:t>
      </w:r>
      <w:r w:rsidRPr="009E6C25">
        <w:rPr>
          <w:rFonts w:cs="Times New Roman"/>
        </w:rPr>
        <w:t>, 2011-Ohio-958 (2011).</w:t>
      </w:r>
    </w:p>
  </w:footnote>
  <w:footnote w:id="43">
    <w:p w:rsidR="00484B1D" w:rsidRPr="009E6C25" w:rsidP="009E6C25" w14:paraId="54500D61" w14:textId="2EA0815A">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Prehearing Conference Transcript at 9.</w:t>
      </w:r>
    </w:p>
  </w:footnote>
  <w:footnote w:id="44">
    <w:p w:rsidR="00484B1D" w:rsidRPr="009E6C25" w:rsidP="009E6C25" w14:paraId="1E1E1FAD" w14:textId="34B6E3FC">
      <w:pPr>
        <w:pStyle w:val="FootnoteText"/>
        <w:spacing w:after="120"/>
        <w:rPr>
          <w:rFonts w:cs="Times New Roman"/>
          <w:i/>
          <w:iCs/>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Entry.</w:t>
      </w:r>
    </w:p>
  </w:footnote>
  <w:footnote w:id="45">
    <w:p w:rsidR="00484B1D" w:rsidRPr="009E6C25" w:rsidP="009E6C25" w14:paraId="04B1F6BC" w14:textId="77777777">
      <w:pPr>
        <w:pStyle w:val="FootnoteText"/>
        <w:spacing w:after="120"/>
        <w:rPr>
          <w:rFonts w:cs="Times New Roman"/>
          <w:i/>
          <w:iCs/>
        </w:rPr>
      </w:pPr>
      <w:r w:rsidRPr="009E6C25">
        <w:rPr>
          <w:rStyle w:val="FootnoteReference"/>
          <w:rFonts w:cs="Times New Roman"/>
        </w:rPr>
        <w:footnoteRef/>
      </w:r>
      <w:r w:rsidRPr="009E6C25">
        <w:rPr>
          <w:rFonts w:cs="Times New Roman"/>
        </w:rPr>
        <w:t xml:space="preserve"> </w:t>
      </w:r>
      <w:r w:rsidRPr="009E6C25">
        <w:rPr>
          <w:rFonts w:cs="Times New Roman"/>
          <w:i/>
          <w:iCs/>
        </w:rPr>
        <w:t>See id.</w:t>
      </w:r>
    </w:p>
  </w:footnote>
  <w:footnote w:id="46">
    <w:p w:rsidR="00484B1D" w:rsidRPr="009E6C25" w:rsidP="009E6C25" w14:paraId="3A533754" w14:textId="4D4509C5">
      <w:pPr>
        <w:pStyle w:val="FootnoteText"/>
        <w:spacing w:after="120"/>
        <w:rPr>
          <w:rFonts w:cs="Times New Roman"/>
        </w:rPr>
      </w:pPr>
      <w:r w:rsidRPr="009E6C25">
        <w:rPr>
          <w:rStyle w:val="FootnoteReference"/>
          <w:rFonts w:cs="Times New Roman"/>
        </w:rPr>
        <w:footnoteRef/>
      </w:r>
      <w:r w:rsidRPr="009E6C25">
        <w:rPr>
          <w:rFonts w:cs="Times New Roman"/>
        </w:rPr>
        <w:t xml:space="preserve"> Parties filing supplemental briefs included DP&amp;L, OCC, IGS, and the Environmental Group. </w:t>
      </w:r>
      <w:r w:rsidRPr="009E6C25">
        <w:rPr>
          <w:rFonts w:cs="Times New Roman"/>
          <w:i/>
          <w:iCs/>
        </w:rPr>
        <w:t xml:space="preserve">See </w:t>
      </w:r>
      <w:r w:rsidRPr="009E6C25">
        <w:rPr>
          <w:rFonts w:cs="Times New Roman"/>
        </w:rPr>
        <w:t>Docket.</w:t>
      </w:r>
    </w:p>
  </w:footnote>
  <w:footnote w:id="47">
    <w:p w:rsidR="00484B1D" w:rsidRPr="009E6C25" w:rsidP="009E6C25" w14:paraId="257E71BA"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Entry.</w:t>
      </w:r>
    </w:p>
  </w:footnote>
  <w:footnote w:id="48">
    <w:p w:rsidR="00484B1D" w:rsidRPr="009E6C25" w:rsidP="009E6C25" w14:paraId="7EDDA8BC" w14:textId="11CDE502">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O.A.C. 4901-1-15.</w:t>
      </w:r>
    </w:p>
  </w:footnote>
  <w:footnote w:id="49">
    <w:p w:rsidR="00484B1D" w:rsidRPr="009E6C25" w:rsidP="009E6C25" w14:paraId="21B80702" w14:textId="3FFCBAAD">
      <w:pPr>
        <w:pStyle w:val="FootnoteText"/>
        <w:spacing w:after="120"/>
      </w:pPr>
      <w:r w:rsidRPr="009E6C25">
        <w:rPr>
          <w:rStyle w:val="FootnoteReference"/>
        </w:rPr>
        <w:footnoteRef/>
      </w:r>
      <w:r w:rsidRPr="009E6C25">
        <w:t xml:space="preserve"> </w:t>
      </w:r>
      <w:r w:rsidRPr="009E6C25">
        <w:rPr>
          <w:i/>
          <w:iCs/>
        </w:rPr>
        <w:t xml:space="preserve">See id. </w:t>
      </w:r>
      <w:r w:rsidRPr="009E6C25">
        <w:t xml:space="preserve">at (C) (identifying time in which interlocutory appeal must be filed as five days after the ruling appealed from is issued); </w:t>
      </w:r>
      <w:r w:rsidRPr="009E6C25">
        <w:rPr>
          <w:i/>
          <w:iCs/>
        </w:rPr>
        <w:t>In the Matter of the Complaint of Westside Cellular, Inc.</w:t>
      </w:r>
      <w:r w:rsidRPr="009E6C25">
        <w:t>, Case No. 93-1758-RC-CSS, March 23, 1995 Entry (denying late filed interlocutory appeal).</w:t>
      </w:r>
    </w:p>
  </w:footnote>
  <w:footnote w:id="50">
    <w:p w:rsidR="00484B1D" w:rsidRPr="009E6C25" w:rsidP="009E6C25" w14:paraId="189F2F08" w14:textId="5593C7DD">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e.g., </w:t>
      </w:r>
      <w:r w:rsidRPr="009E6C25">
        <w:rPr>
          <w:rFonts w:cs="Times New Roman"/>
        </w:rPr>
        <w:t>OCC</w:t>
      </w:r>
      <w:r>
        <w:rPr>
          <w:rFonts w:cs="Times New Roman"/>
        </w:rPr>
        <w:t>’</w:t>
      </w:r>
      <w:r w:rsidRPr="009E6C25">
        <w:rPr>
          <w:rFonts w:cs="Times New Roman"/>
        </w:rPr>
        <w:t>s Reply Brief (May 15, 2017) at 6-8 (DP&amp;L</w:t>
      </w:r>
      <w:r>
        <w:rPr>
          <w:rFonts w:cs="Times New Roman"/>
        </w:rPr>
        <w:t>’</w:t>
      </w:r>
      <w:r w:rsidRPr="009E6C25">
        <w:rPr>
          <w:rFonts w:cs="Times New Roman"/>
        </w:rPr>
        <w:t xml:space="preserve">s </w:t>
      </w:r>
      <w:r>
        <w:rPr>
          <w:rFonts w:cs="Times New Roman"/>
        </w:rPr>
        <w:t>“</w:t>
      </w:r>
      <w:r w:rsidRPr="009E6C25">
        <w:rPr>
          <w:rFonts w:cs="Times New Roman"/>
        </w:rPr>
        <w:t>technical defenses</w:t>
      </w:r>
      <w:r>
        <w:rPr>
          <w:rFonts w:cs="Times New Roman"/>
        </w:rPr>
        <w:t>”</w:t>
      </w:r>
      <w:r w:rsidRPr="009E6C25">
        <w:rPr>
          <w:rFonts w:cs="Times New Roman"/>
        </w:rPr>
        <w:t xml:space="preserve"> of the DMR under R.C. 4928.143(B)(2)(h) are inadequate and should be rejected to protect consumers); (</w:t>
      </w:r>
      <w:r>
        <w:rPr>
          <w:rFonts w:cs="Times New Roman"/>
        </w:rPr>
        <w:t>“</w:t>
      </w:r>
      <w:r w:rsidRPr="009E6C25">
        <w:rPr>
          <w:rFonts w:cs="Times New Roman"/>
        </w:rPr>
        <w:t>The DMR proposed by DP&amp;L is not authorized under R.C. 4928.143(B)(2)(h) . . . and should be rejected to protect consumers</w:t>
      </w:r>
      <w:r>
        <w:rPr>
          <w:rFonts w:cs="Times New Roman"/>
        </w:rPr>
        <w:t>”</w:t>
      </w:r>
      <w:r w:rsidRPr="009E6C25">
        <w:rPr>
          <w:rFonts w:cs="Times New Roman"/>
        </w:rPr>
        <w:t xml:space="preserve">); </w:t>
      </w:r>
      <w:r w:rsidRPr="009E6C25">
        <w:rPr>
          <w:rFonts w:cs="Times New Roman"/>
          <w:i/>
          <w:iCs/>
        </w:rPr>
        <w:t xml:space="preserve">see also </w:t>
      </w:r>
      <w:r w:rsidRPr="009E6C25">
        <w:rPr>
          <w:rFonts w:cs="Times New Roman"/>
        </w:rPr>
        <w:t>Application for Rehearing of the Opinion and Order, Entered October 20, 2017, by the Ohio Environmental Council and Environmental Defense Fund (November 17, 2017) at 12-14; OCC</w:t>
      </w:r>
      <w:r>
        <w:rPr>
          <w:rFonts w:cs="Times New Roman"/>
        </w:rPr>
        <w:t>’</w:t>
      </w:r>
      <w:r w:rsidRPr="009E6C25">
        <w:rPr>
          <w:rFonts w:cs="Times New Roman"/>
        </w:rPr>
        <w:t>s Application for Rehearing (November 20, 2017) at 5 (by arguing that DP&amp;L</w:t>
      </w:r>
      <w:r>
        <w:rPr>
          <w:rFonts w:cs="Times New Roman"/>
        </w:rPr>
        <w:t>’</w:t>
      </w:r>
      <w:r w:rsidRPr="009E6C25">
        <w:rPr>
          <w:rFonts w:cs="Times New Roman"/>
        </w:rPr>
        <w:t>s charge was an illegal transition charge, OCC was by necessity affirming that it could not have been legally authorized under R.C. 4928.143(B)(2)(h)); IGS</w:t>
      </w:r>
      <w:r>
        <w:rPr>
          <w:rFonts w:cs="Times New Roman"/>
        </w:rPr>
        <w:t>’</w:t>
      </w:r>
      <w:r w:rsidRPr="009E6C25">
        <w:rPr>
          <w:rFonts w:cs="Times New Roman"/>
        </w:rPr>
        <w:t>s Supplemental Post-Hearing Brief (May 15, 2019) at 30 (</w:t>
      </w:r>
      <w:r>
        <w:rPr>
          <w:rFonts w:cs="Times New Roman"/>
        </w:rPr>
        <w:t>“</w:t>
      </w:r>
      <w:r w:rsidRPr="009E6C25">
        <w:rPr>
          <w:rFonts w:cs="Times New Roman"/>
        </w:rPr>
        <w:t>The DMR is not justifiable under R.C. 4928.143(B)(2)(h).</w:t>
      </w:r>
      <w:r>
        <w:rPr>
          <w:rFonts w:cs="Times New Roman"/>
        </w:rPr>
        <w:t>”</w:t>
      </w:r>
      <w:r w:rsidRPr="009E6C25">
        <w:rPr>
          <w:rFonts w:cs="Times New Roman"/>
        </w:rPr>
        <w:t xml:space="preserve">). The application for rehearing filed by the Ohio Environmental Council and Environmental Defense Fund confirms that OCC, IGS, ELPC, and Sierra Club have </w:t>
      </w:r>
      <w:r w:rsidRPr="009E6C25">
        <w:rPr>
          <w:rFonts w:cs="Times New Roman"/>
          <w:i/>
          <w:iCs/>
        </w:rPr>
        <w:t xml:space="preserve">not </w:t>
      </w:r>
      <w:r w:rsidRPr="009E6C25">
        <w:rPr>
          <w:rFonts w:cs="Times New Roman"/>
        </w:rPr>
        <w:t>waived the argument that DP&amp;L</w:t>
      </w:r>
      <w:r>
        <w:rPr>
          <w:rFonts w:cs="Times New Roman"/>
        </w:rPr>
        <w:t>’</w:t>
      </w:r>
      <w:r w:rsidRPr="009E6C25">
        <w:rPr>
          <w:rFonts w:cs="Times New Roman"/>
        </w:rPr>
        <w:t xml:space="preserve">s charge is not an </w:t>
      </w:r>
      <w:r>
        <w:rPr>
          <w:rFonts w:cs="Times New Roman"/>
        </w:rPr>
        <w:t>“</w:t>
      </w:r>
      <w:r w:rsidRPr="009E6C25">
        <w:rPr>
          <w:rFonts w:cs="Times New Roman"/>
        </w:rPr>
        <w:t>incentive</w:t>
      </w:r>
      <w:r>
        <w:rPr>
          <w:rFonts w:cs="Times New Roman"/>
        </w:rPr>
        <w:t>”</w:t>
      </w:r>
      <w:r w:rsidRPr="009E6C25">
        <w:rPr>
          <w:rFonts w:cs="Times New Roman"/>
        </w:rPr>
        <w:t xml:space="preserve"> authorized by R.C. 4928.143(B)(2)(h). As the Ohio Supreme Court has explained, </w:t>
      </w:r>
      <w:r>
        <w:rPr>
          <w:rFonts w:cs="Times New Roman"/>
        </w:rPr>
        <w:t>“</w:t>
      </w:r>
      <w:r w:rsidRPr="009E6C25">
        <w:rPr>
          <w:rFonts w:cs="Times New Roman"/>
        </w:rPr>
        <w:t xml:space="preserve">R.C. 4903.10 does not require that [an] error be alleged in the </w:t>
      </w:r>
      <w:r w:rsidRPr="009E6C25">
        <w:rPr>
          <w:rFonts w:cs="Times New Roman"/>
          <w:i/>
          <w:iCs/>
        </w:rPr>
        <w:t>appellant</w:t>
      </w:r>
      <w:r>
        <w:rPr>
          <w:rFonts w:cs="Times New Roman"/>
          <w:i/>
          <w:iCs/>
        </w:rPr>
        <w:t>’</w:t>
      </w:r>
      <w:r w:rsidRPr="009E6C25">
        <w:rPr>
          <w:rFonts w:cs="Times New Roman"/>
          <w:i/>
          <w:iCs/>
        </w:rPr>
        <w:t>s</w:t>
      </w:r>
      <w:r w:rsidRPr="009E6C25">
        <w:rPr>
          <w:rFonts w:cs="Times New Roman"/>
        </w:rPr>
        <w:t xml:space="preserve"> application for rehearing; it can be in an application for rehearing filed by a </w:t>
      </w:r>
      <w:r w:rsidRPr="009E6C25">
        <w:rPr>
          <w:rFonts w:cs="Times New Roman"/>
          <w:i/>
          <w:iCs/>
        </w:rPr>
        <w:t>nonappellant</w:t>
      </w:r>
      <w:r w:rsidRPr="009E6C25">
        <w:rPr>
          <w:rFonts w:cs="Times New Roman"/>
        </w:rPr>
        <w:t xml:space="preserve"> intervening party.</w:t>
      </w:r>
      <w:r>
        <w:rPr>
          <w:rFonts w:cs="Times New Roman"/>
        </w:rPr>
        <w:t>”</w:t>
      </w:r>
      <w:r w:rsidRPr="009E6C25">
        <w:rPr>
          <w:rFonts w:cs="Times New Roman"/>
        </w:rPr>
        <w:t xml:space="preserve"> </w:t>
      </w:r>
      <w:r w:rsidRPr="009E6C25">
        <w:rPr>
          <w:rFonts w:cs="Times New Roman"/>
          <w:i/>
          <w:iCs/>
        </w:rPr>
        <w:t>See In re Application of Columbus Southern Power Co.</w:t>
      </w:r>
      <w:r w:rsidRPr="009E6C25">
        <w:rPr>
          <w:rFonts w:cs="Times New Roman"/>
        </w:rPr>
        <w:t>, 2011-Ohio-958, ¶ 16. So the argument that DP&amp;L</w:t>
      </w:r>
      <w:r>
        <w:rPr>
          <w:rFonts w:cs="Times New Roman"/>
        </w:rPr>
        <w:t>’</w:t>
      </w:r>
      <w:r w:rsidRPr="009E6C25">
        <w:rPr>
          <w:rFonts w:cs="Times New Roman"/>
        </w:rPr>
        <w:t xml:space="preserve">s charge is not an </w:t>
      </w:r>
      <w:r>
        <w:rPr>
          <w:rFonts w:cs="Times New Roman"/>
        </w:rPr>
        <w:t>“</w:t>
      </w:r>
      <w:r w:rsidRPr="009E6C25">
        <w:rPr>
          <w:rFonts w:cs="Times New Roman"/>
        </w:rPr>
        <w:t>incentive</w:t>
      </w:r>
      <w:r>
        <w:rPr>
          <w:rFonts w:cs="Times New Roman"/>
        </w:rPr>
        <w:t>”</w:t>
      </w:r>
      <w:r w:rsidRPr="009E6C25">
        <w:rPr>
          <w:rFonts w:cs="Times New Roman"/>
        </w:rPr>
        <w:t xml:space="preserve"> authorized by R.C. 4928.143(B)(2)(h) is and has been preserved, in the most granular fashion, for all parties.</w:t>
      </w:r>
    </w:p>
  </w:footnote>
  <w:footnote w:id="51">
    <w:p w:rsidR="00484B1D" w:rsidRPr="009E6C25" w:rsidP="009E6C25" w14:paraId="2DDC0DC4" w14:textId="117B74D1">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DP&amp;L</w:t>
      </w:r>
      <w:r>
        <w:rPr>
          <w:rFonts w:cs="Times New Roman"/>
        </w:rPr>
        <w:t>’</w:t>
      </w:r>
      <w:r w:rsidRPr="009E6C25">
        <w:rPr>
          <w:rFonts w:cs="Times New Roman"/>
        </w:rPr>
        <w:t>s Initial Brief (May 5, 2017) at 27-29.</w:t>
      </w:r>
    </w:p>
  </w:footnote>
  <w:footnote w:id="52">
    <w:p w:rsidR="00484B1D" w:rsidRPr="009E6C25" w:rsidP="009E6C25" w14:paraId="6E08D318" w14:textId="6FD14A69">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DP&amp;L</w:t>
      </w:r>
      <w:r>
        <w:rPr>
          <w:rFonts w:cs="Times New Roman"/>
        </w:rPr>
        <w:t>’</w:t>
      </w:r>
      <w:r w:rsidRPr="009E6C25">
        <w:rPr>
          <w:rFonts w:cs="Times New Roman"/>
        </w:rPr>
        <w:t>s Supplemental Brief. That it did not is revealing in-and-of itself. It shows that DP&amp;L does not have the conscience of its convictions.</w:t>
      </w:r>
    </w:p>
  </w:footnote>
  <w:footnote w:id="53">
    <w:p w:rsidR="00484B1D" w:rsidRPr="009E6C25" w:rsidP="009E6C25" w14:paraId="63973714" w14:textId="6727453A">
      <w:pPr>
        <w:pStyle w:val="FootnoteText"/>
        <w:spacing w:after="120"/>
        <w:rPr>
          <w:rFonts w:cs="Times New Roman"/>
          <w:b/>
          <w:bCs/>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e.g., </w:t>
      </w:r>
      <w:r w:rsidRPr="009E6C25">
        <w:rPr>
          <w:rFonts w:cs="Times New Roman"/>
        </w:rPr>
        <w:t xml:space="preserve">Motion at 2 (on one hand, asserting that IGS had the opportunity to contest the DMR as not being an </w:t>
      </w:r>
      <w:r>
        <w:rPr>
          <w:rFonts w:cs="Times New Roman"/>
        </w:rPr>
        <w:t>“</w:t>
      </w:r>
      <w:r w:rsidRPr="009E6C25">
        <w:rPr>
          <w:rFonts w:cs="Times New Roman"/>
        </w:rPr>
        <w:t>incentive</w:t>
      </w:r>
      <w:r>
        <w:rPr>
          <w:rFonts w:cs="Times New Roman"/>
        </w:rPr>
        <w:t>”</w:t>
      </w:r>
      <w:r w:rsidRPr="009E6C25">
        <w:rPr>
          <w:rFonts w:cs="Times New Roman"/>
        </w:rPr>
        <w:t xml:space="preserve"> after it withdrew from the settlement, while on the other hand saying that IGS does not have standing to challenge the DMR); Motion at 3 (citing to the PUCO</w:t>
      </w:r>
      <w:r>
        <w:rPr>
          <w:rFonts w:cs="Times New Roman"/>
        </w:rPr>
        <w:t>’</w:t>
      </w:r>
      <w:r w:rsidRPr="009E6C25">
        <w:rPr>
          <w:rFonts w:cs="Times New Roman"/>
        </w:rPr>
        <w:t>s Third Entry on Rehearing to support assertion that the PUCO should not tolerate a second bite at the apple, where the cited paragraph in the Third Entry has nothing to do with the assertion). The PUCO should take note of the inconsistencies and inaccuracies in DP&amp;L</w:t>
      </w:r>
      <w:r>
        <w:rPr>
          <w:rFonts w:cs="Times New Roman"/>
        </w:rPr>
        <w:t>’</w:t>
      </w:r>
      <w:r w:rsidRPr="009E6C25">
        <w:rPr>
          <w:rFonts w:cs="Times New Roman"/>
        </w:rPr>
        <w:t>s Motion.</w:t>
      </w:r>
    </w:p>
  </w:footnote>
  <w:footnote w:id="54">
    <w:p w:rsidR="00484B1D" w:rsidRPr="009E6C25" w:rsidP="009E6C25" w14:paraId="3B28E1BE"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Motion at 2 (underline in original).</w:t>
      </w:r>
    </w:p>
  </w:footnote>
  <w:footnote w:id="55">
    <w:p w:rsidR="00484B1D" w:rsidRPr="009E6C25" w:rsidP="009E6C25" w14:paraId="2A6909F2"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id. </w:t>
      </w:r>
      <w:r w:rsidRPr="009E6C25">
        <w:rPr>
          <w:rFonts w:cs="Times New Roman"/>
        </w:rPr>
        <w:t>at 4.</w:t>
      </w:r>
    </w:p>
  </w:footnote>
  <w:footnote w:id="56">
    <w:p w:rsidR="00484B1D" w:rsidRPr="009E6C25" w:rsidP="009E6C25" w14:paraId="1AAF4D2D" w14:textId="77777777">
      <w:pPr>
        <w:pStyle w:val="FootnoteText"/>
        <w:spacing w:after="120"/>
        <w:rPr>
          <w:rFonts w:cs="Times New Roman"/>
          <w:i/>
          <w:iCs/>
        </w:rPr>
      </w:pPr>
      <w:r w:rsidRPr="009E6C25">
        <w:rPr>
          <w:rStyle w:val="FootnoteReference"/>
          <w:rFonts w:cs="Times New Roman"/>
        </w:rPr>
        <w:footnoteRef/>
      </w:r>
      <w:r w:rsidRPr="009E6C25">
        <w:rPr>
          <w:rFonts w:cs="Times New Roman"/>
        </w:rPr>
        <w:t xml:space="preserve"> </w:t>
      </w:r>
      <w:r w:rsidRPr="009E6C25">
        <w:rPr>
          <w:rFonts w:cs="Times New Roman"/>
          <w:i/>
          <w:iCs/>
        </w:rPr>
        <w:t>See id.</w:t>
      </w:r>
    </w:p>
  </w:footnote>
  <w:footnote w:id="57">
    <w:p w:rsidR="00484B1D" w:rsidRPr="009E6C25" w:rsidP="009E6C25" w14:paraId="52307D08"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Amended Stipulation and Recommendation (March 13, 2017) at 39.</w:t>
      </w:r>
    </w:p>
  </w:footnote>
  <w:footnote w:id="58">
    <w:p w:rsidR="00484B1D" w:rsidRPr="009E6C25" w:rsidP="009E6C25" w14:paraId="293972E6"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Prehearing Conference Transcript (December 5, 2018) at 10.</w:t>
      </w:r>
    </w:p>
  </w:footnote>
  <w:footnote w:id="59">
    <w:p w:rsidR="00484B1D" w:rsidRPr="009E6C25" w:rsidP="009E6C25" w14:paraId="1BF9B6FA" w14:textId="70C96950">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R.C. 4903.10 (</w:t>
      </w:r>
      <w:r>
        <w:rPr>
          <w:rFonts w:cs="Times New Roman"/>
        </w:rPr>
        <w:t>“</w:t>
      </w:r>
      <w:r w:rsidRPr="009E6C25">
        <w:rPr>
          <w:rFonts w:cs="Times New Roman"/>
        </w:rPr>
        <w:t xml:space="preserve">After </w:t>
      </w:r>
      <w:r w:rsidRPr="009E6C25">
        <w:rPr>
          <w:rFonts w:cs="Times New Roman"/>
          <w:i/>
          <w:iCs/>
        </w:rPr>
        <w:t xml:space="preserve">any </w:t>
      </w:r>
      <w:r w:rsidRPr="009E6C25">
        <w:rPr>
          <w:rFonts w:cs="Times New Roman"/>
        </w:rPr>
        <w:t xml:space="preserve">order has been made by the public utilities commission, </w:t>
      </w:r>
      <w:r w:rsidRPr="009E6C25">
        <w:rPr>
          <w:rFonts w:cs="Times New Roman"/>
          <w:i/>
          <w:iCs/>
        </w:rPr>
        <w:t xml:space="preserve">any </w:t>
      </w:r>
      <w:r w:rsidRPr="009E6C25">
        <w:rPr>
          <w:rFonts w:cs="Times New Roman"/>
        </w:rPr>
        <w:t>party . . . may apply for a rehearing . . . .</w:t>
      </w:r>
      <w:r>
        <w:rPr>
          <w:rFonts w:cs="Times New Roman"/>
        </w:rPr>
        <w:t>”</w:t>
      </w:r>
      <w:r w:rsidRPr="009E6C25">
        <w:rPr>
          <w:rFonts w:cs="Times New Roman"/>
        </w:rPr>
        <w:t xml:space="preserve">); </w:t>
      </w:r>
      <w:r w:rsidRPr="009E6C25">
        <w:rPr>
          <w:rFonts w:cs="Times New Roman"/>
          <w:i/>
          <w:iCs/>
        </w:rPr>
        <w:t>In re Application of Columbus Southern Power Co.</w:t>
      </w:r>
      <w:r w:rsidRPr="009E6C25">
        <w:rPr>
          <w:rFonts w:cs="Times New Roman"/>
        </w:rPr>
        <w:t>, 2011-Ohio-958 (2011).</w:t>
      </w:r>
    </w:p>
  </w:footnote>
  <w:footnote w:id="60">
    <w:p w:rsidR="00484B1D" w:rsidRPr="009E6C25" w:rsidP="009E6C25" w14:paraId="55ED4AFE"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id. </w:t>
      </w:r>
      <w:r w:rsidRPr="009E6C25">
        <w:rPr>
          <w:rFonts w:cs="Times New Roman"/>
        </w:rPr>
        <w:t>at 9.</w:t>
      </w:r>
    </w:p>
  </w:footnote>
  <w:footnote w:id="61">
    <w:p w:rsidR="00484B1D" w:rsidRPr="009E6C25" w:rsidP="009E6C25" w14:paraId="7B8E5CDA" w14:textId="17C54BCE">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Ohio Edison </w:t>
      </w:r>
      <w:r w:rsidRPr="009E6C25">
        <w:rPr>
          <w:rFonts w:cs="Times New Roman"/>
        </w:rPr>
        <w:t>at 3.</w:t>
      </w:r>
    </w:p>
  </w:footnote>
  <w:footnote w:id="62">
    <w:p w:rsidR="00484B1D" w:rsidRPr="009E6C25" w:rsidP="009E6C25" w14:paraId="7C712AF6" w14:textId="17721B43">
      <w:pPr>
        <w:pStyle w:val="FootnoteText"/>
        <w:spacing w:after="120"/>
        <w:rPr>
          <w:i/>
          <w:iCs/>
        </w:rPr>
      </w:pPr>
      <w:r w:rsidRPr="009E6C25">
        <w:rPr>
          <w:rStyle w:val="FootnoteReference"/>
        </w:rPr>
        <w:footnoteRef/>
      </w:r>
      <w:r w:rsidRPr="009E6C25">
        <w:t xml:space="preserve"> </w:t>
      </w:r>
      <w:r w:rsidRPr="009E6C25">
        <w:rPr>
          <w:i/>
          <w:iCs/>
        </w:rPr>
        <w:t>See Ohio Edison.</w:t>
      </w:r>
    </w:p>
  </w:footnote>
  <w:footnote w:id="63">
    <w:p w:rsidR="00484B1D" w:rsidRPr="009E6C25" w:rsidP="009E6C25" w14:paraId="5D18D661" w14:textId="5B565DCF">
      <w:pPr>
        <w:pStyle w:val="FootnoteText"/>
        <w:spacing w:after="120"/>
      </w:pPr>
      <w:r w:rsidRPr="009E6C25">
        <w:rPr>
          <w:rStyle w:val="FootnoteReference"/>
        </w:rPr>
        <w:footnoteRef/>
      </w:r>
      <w:r w:rsidRPr="009E6C25">
        <w:t xml:space="preserve"> It is worth reiterating that DP&amp;L is asking the PUCO to strike briefs that the Attorney Examiners specifically permitted.</w:t>
      </w:r>
    </w:p>
  </w:footnote>
  <w:footnote w:id="64">
    <w:p w:rsidR="00484B1D" w:rsidRPr="009E6C25" w:rsidP="009E6C25" w14:paraId="0B62D8A1"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Case No. 89-616-GA-AIR; </w:t>
      </w:r>
      <w:r w:rsidRPr="009E6C25">
        <w:rPr>
          <w:rFonts w:cs="Times New Roman"/>
          <w:i/>
          <w:iCs/>
        </w:rPr>
        <w:t xml:space="preserve">see </w:t>
      </w:r>
      <w:r w:rsidRPr="009E6C25">
        <w:rPr>
          <w:rFonts w:cs="Times New Roman"/>
        </w:rPr>
        <w:t>Motion at 4.</w:t>
      </w:r>
    </w:p>
  </w:footnote>
  <w:footnote w:id="65">
    <w:p w:rsidR="00484B1D" w:rsidRPr="009E6C25" w:rsidP="009E6C25" w14:paraId="0B36AE56" w14:textId="281695AB">
      <w:pPr>
        <w:pStyle w:val="FootnoteText"/>
        <w:spacing w:after="120"/>
      </w:pPr>
      <w:r w:rsidRPr="009E6C25">
        <w:rPr>
          <w:rStyle w:val="FootnoteReference"/>
        </w:rPr>
        <w:footnoteRef/>
      </w:r>
      <w:r w:rsidRPr="009E6C25">
        <w:t xml:space="preserve"> </w:t>
      </w:r>
      <w:r w:rsidRPr="009E6C25">
        <w:rPr>
          <w:i/>
          <w:iCs/>
        </w:rPr>
        <w:t xml:space="preserve">See </w:t>
      </w:r>
      <w:r w:rsidRPr="009E6C25">
        <w:t>O.A.C. 4901-1-28(D).</w:t>
      </w:r>
    </w:p>
  </w:footnote>
  <w:footnote w:id="66">
    <w:p w:rsidR="00484B1D" w:rsidRPr="009E6C25" w:rsidP="009E6C25" w14:paraId="6A1D509B" w14:textId="7C2C9239">
      <w:pPr>
        <w:pStyle w:val="FootnoteText"/>
        <w:spacing w:after="120"/>
        <w:rPr>
          <w:rFonts w:cs="Times New Roman"/>
        </w:rPr>
      </w:pPr>
      <w:r w:rsidRPr="009E6C25">
        <w:rPr>
          <w:rStyle w:val="FootnoteReference"/>
          <w:rFonts w:cs="Times New Roman"/>
        </w:rPr>
        <w:footnoteRef/>
      </w:r>
      <w:r w:rsidRPr="009E6C25">
        <w:rPr>
          <w:rFonts w:cs="Times New Roman"/>
        </w:rPr>
        <w:t xml:space="preserve"> 111 Ohio St.3d 300 (2006); </w:t>
      </w:r>
      <w:r w:rsidRPr="009E6C25">
        <w:rPr>
          <w:rFonts w:cs="Times New Roman"/>
          <w:i/>
          <w:iCs/>
        </w:rPr>
        <w:t xml:space="preserve">see </w:t>
      </w:r>
      <w:r w:rsidRPr="009E6C25">
        <w:rPr>
          <w:rFonts w:cs="Times New Roman"/>
        </w:rPr>
        <w:t>Motion at 4.</w:t>
      </w:r>
    </w:p>
  </w:footnote>
  <w:footnote w:id="67">
    <w:p w:rsidR="00484B1D" w:rsidRPr="009E6C25" w:rsidP="009E6C25" w14:paraId="01AA4C63" w14:textId="3D43AFAA">
      <w:pPr>
        <w:pStyle w:val="FootnoteText"/>
        <w:spacing w:after="120"/>
        <w:rPr>
          <w:rFonts w:cs="Times New Roman"/>
        </w:rPr>
      </w:pPr>
      <w:r w:rsidRPr="009E6C25">
        <w:rPr>
          <w:rStyle w:val="FootnoteReference"/>
          <w:rFonts w:cs="Times New Roman"/>
        </w:rPr>
        <w:footnoteRef/>
      </w:r>
      <w:r w:rsidRPr="009E6C25">
        <w:rPr>
          <w:rFonts w:cs="Times New Roman"/>
        </w:rPr>
        <w:t xml:space="preserve"> 112 Ohio St.3d 360 (2005); </w:t>
      </w:r>
      <w:r w:rsidRPr="009E6C25">
        <w:rPr>
          <w:rFonts w:cs="Times New Roman"/>
          <w:i/>
          <w:iCs/>
        </w:rPr>
        <w:t xml:space="preserve">see </w:t>
      </w:r>
      <w:r w:rsidRPr="009E6C25">
        <w:rPr>
          <w:rFonts w:cs="Times New Roman"/>
        </w:rPr>
        <w:t>Motion at 4.</w:t>
      </w:r>
    </w:p>
  </w:footnote>
  <w:footnote w:id="68">
    <w:p w:rsidR="00484B1D" w:rsidRPr="009E6C25" w:rsidP="009E6C25" w14:paraId="7D413206" w14:textId="73889950">
      <w:pPr>
        <w:pStyle w:val="FootnoteText"/>
        <w:spacing w:after="120"/>
        <w:rPr>
          <w:rFonts w:cs="Times New Roman"/>
        </w:rPr>
      </w:pPr>
      <w:r w:rsidRPr="009E6C25">
        <w:rPr>
          <w:rStyle w:val="FootnoteReference"/>
          <w:rFonts w:cs="Times New Roman"/>
        </w:rPr>
        <w:footnoteRef/>
      </w:r>
      <w:r w:rsidRPr="009E6C25">
        <w:rPr>
          <w:rFonts w:cs="Times New Roman"/>
        </w:rPr>
        <w:t xml:space="preserve"> 40 Ohio St.3d 329 (1988); </w:t>
      </w:r>
      <w:r w:rsidRPr="009E6C25">
        <w:rPr>
          <w:rFonts w:cs="Times New Roman"/>
          <w:i/>
          <w:iCs/>
        </w:rPr>
        <w:t xml:space="preserve">see </w:t>
      </w:r>
      <w:r w:rsidRPr="009E6C25">
        <w:rPr>
          <w:rFonts w:cs="Times New Roman"/>
        </w:rPr>
        <w:t>Motion at 4.</w:t>
      </w:r>
    </w:p>
  </w:footnote>
  <w:footnote w:id="69">
    <w:p w:rsidR="00484B1D" w:rsidRPr="009E6C25" w:rsidP="009E6C25" w14:paraId="4923E8C4" w14:textId="7D0F61DC">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e.g., </w:t>
      </w:r>
      <w:r w:rsidRPr="009E6C25">
        <w:rPr>
          <w:rFonts w:cs="Times New Roman"/>
        </w:rPr>
        <w:t>OCC</w:t>
      </w:r>
      <w:r>
        <w:rPr>
          <w:rFonts w:cs="Times New Roman"/>
        </w:rPr>
        <w:t>’</w:t>
      </w:r>
      <w:r w:rsidRPr="009E6C25">
        <w:rPr>
          <w:rFonts w:cs="Times New Roman"/>
        </w:rPr>
        <w:t>s Reply Brief (May 15, 2017) at 6-8 (DP&amp;L</w:t>
      </w:r>
      <w:r>
        <w:rPr>
          <w:rFonts w:cs="Times New Roman"/>
        </w:rPr>
        <w:t>’</w:t>
      </w:r>
      <w:r w:rsidRPr="009E6C25">
        <w:rPr>
          <w:rFonts w:cs="Times New Roman"/>
        </w:rPr>
        <w:t xml:space="preserve">s </w:t>
      </w:r>
      <w:r>
        <w:rPr>
          <w:rFonts w:cs="Times New Roman"/>
        </w:rPr>
        <w:t>“</w:t>
      </w:r>
      <w:r w:rsidRPr="009E6C25">
        <w:rPr>
          <w:rFonts w:cs="Times New Roman"/>
        </w:rPr>
        <w:t>technical defenses</w:t>
      </w:r>
      <w:r>
        <w:rPr>
          <w:rFonts w:cs="Times New Roman"/>
        </w:rPr>
        <w:t>”</w:t>
      </w:r>
      <w:r w:rsidRPr="009E6C25">
        <w:rPr>
          <w:rFonts w:cs="Times New Roman"/>
        </w:rPr>
        <w:t xml:space="preserve"> of the DMR under R.C. 4928.143(B)(2)(h) are inadequate and should be rejected to protect consumers); (</w:t>
      </w:r>
      <w:r>
        <w:rPr>
          <w:rFonts w:cs="Times New Roman"/>
        </w:rPr>
        <w:t>“</w:t>
      </w:r>
      <w:r w:rsidRPr="009E6C25">
        <w:rPr>
          <w:rFonts w:cs="Times New Roman"/>
        </w:rPr>
        <w:t>The DMR proposed by DP&amp;L is not authorized under R.C. 4928.143(B)(2)(h) . . . and should be rejected to protect consumers</w:t>
      </w:r>
      <w:r>
        <w:rPr>
          <w:rFonts w:cs="Times New Roman"/>
        </w:rPr>
        <w:t>”</w:t>
      </w:r>
      <w:r w:rsidRPr="009E6C25">
        <w:rPr>
          <w:rFonts w:cs="Times New Roman"/>
        </w:rPr>
        <w:t>).</w:t>
      </w:r>
    </w:p>
  </w:footnote>
  <w:footnote w:id="70">
    <w:p w:rsidR="00484B1D" w:rsidRPr="009E6C25" w:rsidP="009E6C25" w14:paraId="01A58CF6" w14:textId="350343E1">
      <w:pPr>
        <w:pStyle w:val="FootnoteText"/>
        <w:spacing w:after="120"/>
        <w:rPr>
          <w:rFonts w:cs="Times New Roman"/>
        </w:rPr>
      </w:pPr>
      <w:r w:rsidRPr="009E6C25">
        <w:rPr>
          <w:rStyle w:val="FootnoteReference"/>
          <w:rFonts w:cs="Times New Roman"/>
        </w:rPr>
        <w:footnoteRef/>
      </w:r>
      <w:r w:rsidRPr="009E6C25">
        <w:rPr>
          <w:rFonts w:cs="Times New Roman"/>
        </w:rPr>
        <w:t xml:space="preserve"> OCC</w:t>
      </w:r>
      <w:r>
        <w:rPr>
          <w:rFonts w:cs="Times New Roman"/>
        </w:rPr>
        <w:t>’</w:t>
      </w:r>
      <w:r w:rsidRPr="009E6C25">
        <w:rPr>
          <w:rFonts w:cs="Times New Roman"/>
        </w:rPr>
        <w:t>s Reply at 7-8 (italics, internal quotations, and citations omitted).</w:t>
      </w:r>
    </w:p>
  </w:footnote>
  <w:footnote w:id="71">
    <w:p w:rsidR="00484B1D" w:rsidRPr="009E6C25" w:rsidP="009E6C25" w14:paraId="17B03486" w14:textId="77777777">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 xml:space="preserve">See </w:t>
      </w:r>
      <w:r w:rsidRPr="009E6C25">
        <w:rPr>
          <w:rFonts w:cs="Times New Roman"/>
        </w:rPr>
        <w:t>Application for Rehearing of the Opinion and Order, Entered October 20, 2017, by the Ohio Environmental Council and Environmental Defense Fund (November 17, 2017) at 12-14.</w:t>
      </w:r>
    </w:p>
  </w:footnote>
  <w:footnote w:id="72">
    <w:p w:rsidR="00484B1D" w:rsidRPr="009E6C25" w:rsidP="009E6C25" w14:paraId="5DDBA58F" w14:textId="77777777">
      <w:pPr>
        <w:pStyle w:val="FootnoteText"/>
        <w:spacing w:after="120"/>
        <w:rPr>
          <w:rFonts w:cs="Times New Roman"/>
          <w:i/>
          <w:iCs/>
        </w:rPr>
      </w:pPr>
      <w:r w:rsidRPr="009E6C25">
        <w:rPr>
          <w:rStyle w:val="FootnoteReference"/>
          <w:rFonts w:cs="Times New Roman"/>
        </w:rPr>
        <w:footnoteRef/>
      </w:r>
      <w:r w:rsidRPr="009E6C25">
        <w:rPr>
          <w:rFonts w:cs="Times New Roman"/>
        </w:rPr>
        <w:t xml:space="preserve"> </w:t>
      </w:r>
      <w:r w:rsidRPr="009E6C25">
        <w:rPr>
          <w:rFonts w:cs="Times New Roman"/>
          <w:i/>
          <w:iCs/>
        </w:rPr>
        <w:t>See id.</w:t>
      </w:r>
    </w:p>
  </w:footnote>
  <w:footnote w:id="73">
    <w:p w:rsidR="00484B1D" w:rsidRPr="009E6C25" w:rsidP="009E6C25" w14:paraId="4E6B5795" w14:textId="2BFBB022">
      <w:pPr>
        <w:pStyle w:val="FootnoteText"/>
        <w:spacing w:after="120"/>
        <w:rPr>
          <w:rFonts w:cs="Times New Roman"/>
        </w:rPr>
      </w:pPr>
      <w:r w:rsidRPr="009E6C25">
        <w:rPr>
          <w:rStyle w:val="FootnoteReference"/>
          <w:rFonts w:cs="Times New Roman"/>
        </w:rPr>
        <w:footnoteRef/>
      </w:r>
      <w:r w:rsidRPr="009E6C25">
        <w:rPr>
          <w:rFonts w:cs="Times New Roman"/>
        </w:rPr>
        <w:t xml:space="preserve"> </w:t>
      </w:r>
      <w:r w:rsidRPr="009E6C25">
        <w:rPr>
          <w:rFonts w:cs="Times New Roman"/>
          <w:i/>
          <w:iCs/>
        </w:rPr>
        <w:t>See In re Application of Columbus Southern Power Co.</w:t>
      </w:r>
      <w:r w:rsidRPr="009E6C25">
        <w:rPr>
          <w:rFonts w:cs="Times New Roman"/>
        </w:rPr>
        <w:t>, 2011-Ohio-958, ¶ 16. In light of this well-known and well-established authority, DP&amp;L</w:t>
      </w:r>
      <w:r>
        <w:rPr>
          <w:rFonts w:cs="Times New Roman"/>
        </w:rPr>
        <w:t>’</w:t>
      </w:r>
      <w:r w:rsidRPr="009E6C25">
        <w:rPr>
          <w:rFonts w:cs="Times New Roman"/>
        </w:rPr>
        <w:t xml:space="preserve">s assertion that OCC </w:t>
      </w:r>
      <w:r>
        <w:rPr>
          <w:rFonts w:cs="Times New Roman"/>
        </w:rPr>
        <w:t>“</w:t>
      </w:r>
      <w:r w:rsidRPr="009E6C25">
        <w:rPr>
          <w:rFonts w:cs="Times New Roman"/>
        </w:rPr>
        <w:t>[b]y failing to set forth this specific ground in its first application for rehearing,</w:t>
      </w:r>
      <w:r>
        <w:rPr>
          <w:rFonts w:cs="Times New Roman"/>
        </w:rPr>
        <w:t>”</w:t>
      </w:r>
      <w:r w:rsidRPr="009E6C25">
        <w:rPr>
          <w:rFonts w:cs="Times New Roman"/>
        </w:rPr>
        <w:t xml:space="preserve"> has waived the issue is yet another example of the inconsistencies and inaccuracies in DP&amp;L</w:t>
      </w:r>
      <w:r>
        <w:rPr>
          <w:rFonts w:cs="Times New Roman"/>
        </w:rPr>
        <w:t>’</w:t>
      </w:r>
      <w:r w:rsidRPr="009E6C25">
        <w:rPr>
          <w:rFonts w:cs="Times New Roman"/>
        </w:rPr>
        <w:t>s Motion.</w:t>
      </w:r>
    </w:p>
  </w:footnote>
  <w:footnote w:id="74">
    <w:p w:rsidR="00484B1D" w:rsidRPr="009E6C25" w:rsidP="009E6C25" w14:paraId="6B87AC11" w14:textId="1607691A">
      <w:pPr>
        <w:pStyle w:val="FootnoteText"/>
        <w:spacing w:after="120"/>
      </w:pPr>
      <w:r w:rsidRPr="009E6C25">
        <w:rPr>
          <w:rStyle w:val="FootnoteReference"/>
        </w:rPr>
        <w:footnoteRef/>
      </w:r>
      <w:r w:rsidRPr="009E6C25">
        <w:t xml:space="preserve"> </w:t>
      </w:r>
      <w:r w:rsidRPr="009E6C25">
        <w:rPr>
          <w:i/>
          <w:iCs/>
        </w:rPr>
        <w:t>See In the Matter of the Complaint of Suburban Natural Gas Company</w:t>
      </w:r>
      <w:r w:rsidRPr="009E6C25">
        <w:t xml:space="preserve">, Case No. 92-1876-GA-CSS, Entry (January 12, 1993) (denying memorandum contra motion to file surreply where the PUCO was </w:t>
      </w:r>
      <w:r>
        <w:t>“</w:t>
      </w:r>
      <w:r w:rsidRPr="009E6C25">
        <w:t>concerned, given the novelty of the legal issues presented in these proceedings, that the[] issues be fully explored.</w:t>
      </w:r>
      <w:r>
        <w:t xml:space="preserve"> </w:t>
      </w:r>
      <w:r w:rsidRPr="009E6C25">
        <w:t>[A surreply] should tend to enhance the Commission</w:t>
      </w:r>
      <w:r>
        <w:t>’</w:t>
      </w:r>
      <w:r w:rsidRPr="009E6C25">
        <w:t>s resolution of the issues involved.</w:t>
      </w:r>
      <w:r>
        <w:t>”</w:t>
      </w:r>
      <w:r w:rsidRPr="009E6C25">
        <w:t xml:space="preserve">); </w:t>
      </w:r>
      <w:r w:rsidRPr="009E6C25">
        <w:rPr>
          <w:i/>
          <w:iCs/>
        </w:rPr>
        <w:t>Pub. Util. Comm. v. Pollak</w:t>
      </w:r>
      <w:r w:rsidRPr="009E6C25">
        <w:t>, 343 U.S. 451, 465 (1952) (The PUCO meets due process requirements only when it</w:t>
      </w:r>
      <w:r>
        <w:t>’</w:t>
      </w:r>
      <w:r w:rsidRPr="009E6C25">
        <w:t xml:space="preserve">s authority </w:t>
      </w:r>
      <w:r>
        <w:t>“</w:t>
      </w:r>
      <w:r w:rsidRPr="009E6C25">
        <w:t>is not arbitrarily and capriciously exercised.</w:t>
      </w:r>
      <w:r>
        <w:t>”</w:t>
      </w:r>
      <w:r w:rsidRPr="009E6C25">
        <w:t xml:space="preserve">); </w:t>
      </w:r>
      <w:r w:rsidRPr="009E6C25">
        <w:rPr>
          <w:i/>
          <w:iCs/>
        </w:rPr>
        <w:t>Vectren Energy Delivery of Ohio, Inc. v. Pub. Util. Comm.</w:t>
      </w:r>
      <w:r w:rsidRPr="009E6C25">
        <w:t xml:space="preserve">, 113 Ohio </w:t>
      </w:r>
      <w:r>
        <w:t>St.3d</w:t>
      </w:r>
      <w:r w:rsidRPr="009E6C25">
        <w:t xml:space="preserve"> 180, 2006-Ohio=1386 at ¶53 (Due process requires ample notice, an opportunity to present evidence, cross-examine witnesses, introduce exhibits, post-hearing briefs, and challenges through applications for rehearing.).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028" w14:paraId="5DF2EC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028" w14:paraId="5889FF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028" w14:paraId="5BE7FDC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B1D" w14:paraId="66D00B8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B1D" w14:paraId="27DA5A5D"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4B1D" w14:paraId="0248A4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6704762"/>
    <w:lvl w:ilvl="0">
      <w:start w:val="1"/>
      <w:numFmt w:val="decimal"/>
      <w:lvlText w:val="%1."/>
      <w:lvlJc w:val="left"/>
      <w:pPr>
        <w:tabs>
          <w:tab w:val="num" w:pos="1800"/>
        </w:tabs>
        <w:ind w:left="1800" w:hanging="360"/>
      </w:pPr>
    </w:lvl>
  </w:abstractNum>
  <w:abstractNum w:abstractNumId="1">
    <w:nsid w:val="FFFFFF7D"/>
    <w:multiLevelType w:val="singleLevel"/>
    <w:tmpl w:val="24DE9F1A"/>
    <w:lvl w:ilvl="0">
      <w:start w:val="1"/>
      <w:numFmt w:val="decimal"/>
      <w:lvlText w:val="%1."/>
      <w:lvlJc w:val="left"/>
      <w:pPr>
        <w:tabs>
          <w:tab w:val="num" w:pos="1440"/>
        </w:tabs>
        <w:ind w:left="1440" w:hanging="360"/>
      </w:pPr>
    </w:lvl>
  </w:abstractNum>
  <w:abstractNum w:abstractNumId="2">
    <w:nsid w:val="FFFFFF7E"/>
    <w:multiLevelType w:val="singleLevel"/>
    <w:tmpl w:val="E88A7FBE"/>
    <w:lvl w:ilvl="0">
      <w:start w:val="1"/>
      <w:numFmt w:val="decimal"/>
      <w:lvlText w:val="%1."/>
      <w:lvlJc w:val="left"/>
      <w:pPr>
        <w:tabs>
          <w:tab w:val="num" w:pos="1080"/>
        </w:tabs>
        <w:ind w:left="1080" w:hanging="360"/>
      </w:pPr>
    </w:lvl>
  </w:abstractNum>
  <w:abstractNum w:abstractNumId="3">
    <w:nsid w:val="FFFFFF7F"/>
    <w:multiLevelType w:val="singleLevel"/>
    <w:tmpl w:val="FA16BE2A"/>
    <w:lvl w:ilvl="0">
      <w:start w:val="1"/>
      <w:numFmt w:val="decimal"/>
      <w:lvlText w:val="%1."/>
      <w:lvlJc w:val="left"/>
      <w:pPr>
        <w:tabs>
          <w:tab w:val="num" w:pos="720"/>
        </w:tabs>
        <w:ind w:left="720" w:hanging="360"/>
      </w:pPr>
    </w:lvl>
  </w:abstractNum>
  <w:abstractNum w:abstractNumId="4">
    <w:nsid w:val="FFFFFF80"/>
    <w:multiLevelType w:val="singleLevel"/>
    <w:tmpl w:val="70A87C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B4E2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F2B4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9068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800CF8"/>
    <w:lvl w:ilvl="0">
      <w:start w:val="1"/>
      <w:numFmt w:val="decimal"/>
      <w:lvlText w:val="%1."/>
      <w:lvlJc w:val="left"/>
      <w:pPr>
        <w:tabs>
          <w:tab w:val="num" w:pos="360"/>
        </w:tabs>
        <w:ind w:left="360" w:hanging="360"/>
      </w:pPr>
    </w:lvl>
  </w:abstractNum>
  <w:abstractNum w:abstractNumId="9">
    <w:nsid w:val="FFFFFF89"/>
    <w:multiLevelType w:val="singleLevel"/>
    <w:tmpl w:val="8CAC3BE2"/>
    <w:lvl w:ilvl="0">
      <w:start w:val="1"/>
      <w:numFmt w:val="bullet"/>
      <w:lvlText w:val=""/>
      <w:lvlJc w:val="left"/>
      <w:pPr>
        <w:tabs>
          <w:tab w:val="num" w:pos="360"/>
        </w:tabs>
        <w:ind w:left="360" w:hanging="360"/>
      </w:pPr>
      <w:rPr>
        <w:rFonts w:ascii="Symbol" w:hAnsi="Symbol" w:hint="default"/>
      </w:rPr>
    </w:lvl>
  </w:abstractNum>
  <w:abstractNum w:abstractNumId="10">
    <w:nsid w:val="020D6352"/>
    <w:multiLevelType w:val="hybridMultilevel"/>
    <w:tmpl w:val="42120E6C"/>
    <w:lvl w:ilvl="0">
      <w:start w:val="1"/>
      <w:numFmt w:val="decimal"/>
      <w:lvlText w:val="%1."/>
      <w:lvlJc w:val="left"/>
      <w:pPr>
        <w:ind w:left="1800" w:hanging="360"/>
      </w:pPr>
      <w:rPr>
        <w:rFonts w:hint="default"/>
        <w:b/>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9CF0572"/>
    <w:multiLevelType w:val="hybridMultilevel"/>
    <w:tmpl w:val="2E8C3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B51370F"/>
    <w:multiLevelType w:val="hybridMultilevel"/>
    <w:tmpl w:val="5352DF8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FA66DCA"/>
    <w:multiLevelType w:val="hybridMultilevel"/>
    <w:tmpl w:val="A7F603E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FC572AE"/>
    <w:multiLevelType w:val="hybridMultilevel"/>
    <w:tmpl w:val="571C674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2D635E4"/>
    <w:multiLevelType w:val="hybridMultilevel"/>
    <w:tmpl w:val="3FA4D90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19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E67C79"/>
    <w:multiLevelType w:val="hybridMultilevel"/>
    <w:tmpl w:val="1C0421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38118E9"/>
    <w:multiLevelType w:val="hybridMultilevel"/>
    <w:tmpl w:val="B5C25C5C"/>
    <w:lvl w:ilvl="0">
      <w:start w:val="1"/>
      <w:numFmt w:val="upperRoman"/>
      <w:lvlText w:val="%1."/>
      <w:lvlJc w:val="left"/>
      <w:pPr>
        <w:ind w:left="1080" w:hanging="72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5570348"/>
    <w:multiLevelType w:val="hybridMultilevel"/>
    <w:tmpl w:val="2EFE3AA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415B7B"/>
    <w:multiLevelType w:val="hybridMultilevel"/>
    <w:tmpl w:val="D93A337A"/>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0">
    <w:nsid w:val="388D43EA"/>
    <w:multiLevelType w:val="hybridMultilevel"/>
    <w:tmpl w:val="B07C311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04F523E"/>
    <w:multiLevelType w:val="hybridMultilevel"/>
    <w:tmpl w:val="474EF79A"/>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0FD6A8C"/>
    <w:multiLevelType w:val="hybridMultilevel"/>
    <w:tmpl w:val="C55AB4C2"/>
    <w:lvl w:ilvl="0">
      <w:start w:val="3"/>
      <w:numFmt w:val="decimal"/>
      <w:lvlText w:val="%1."/>
      <w:lvlJc w:val="left"/>
      <w:pPr>
        <w:ind w:left="180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439D16EF"/>
    <w:multiLevelType w:val="hybridMultilevel"/>
    <w:tmpl w:val="FCF2755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81B07ED"/>
    <w:multiLevelType w:val="hybridMultilevel"/>
    <w:tmpl w:val="5B3C91C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484E26D6"/>
    <w:multiLevelType w:val="hybridMultilevel"/>
    <w:tmpl w:val="E4844ED4"/>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4EEF7DF3"/>
    <w:multiLevelType w:val="hybridMultilevel"/>
    <w:tmpl w:val="A7586ADC"/>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F1F2E92"/>
    <w:multiLevelType w:val="hybridMultilevel"/>
    <w:tmpl w:val="962ECBC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00173D6"/>
    <w:multiLevelType w:val="hybridMultilevel"/>
    <w:tmpl w:val="193698F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2780983"/>
    <w:multiLevelType w:val="hybridMultilevel"/>
    <w:tmpl w:val="56A0A0C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27F0993"/>
    <w:multiLevelType w:val="hybridMultilevel"/>
    <w:tmpl w:val="D6389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2961796"/>
    <w:multiLevelType w:val="hybridMultilevel"/>
    <w:tmpl w:val="0A30257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4312DCA"/>
    <w:multiLevelType w:val="hybridMultilevel"/>
    <w:tmpl w:val="BB16E1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C24333"/>
    <w:multiLevelType w:val="hybridMultilevel"/>
    <w:tmpl w:val="D4AED7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AE26595"/>
    <w:multiLevelType w:val="hybridMultilevel"/>
    <w:tmpl w:val="8B5A73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5B243A89"/>
    <w:multiLevelType w:val="hybridMultilevel"/>
    <w:tmpl w:val="4BF2E716"/>
    <w:lvl w:ilvl="0">
      <w:start w:val="1"/>
      <w:numFmt w:val="upperRoman"/>
      <w:lvlText w:val="%1."/>
      <w:lvlJc w:val="left"/>
      <w:pPr>
        <w:ind w:left="1440" w:hanging="72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5B3E1702"/>
    <w:multiLevelType w:val="hybridMultilevel"/>
    <w:tmpl w:val="B6C2B3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5D345775"/>
    <w:multiLevelType w:val="hybridMultilevel"/>
    <w:tmpl w:val="DA72F27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2743A51"/>
    <w:multiLevelType w:val="hybridMultilevel"/>
    <w:tmpl w:val="E8F23C4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55D5D78"/>
    <w:multiLevelType w:val="hybridMultilevel"/>
    <w:tmpl w:val="3CB8D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6E8285C"/>
    <w:multiLevelType w:val="hybridMultilevel"/>
    <w:tmpl w:val="4A2E4D6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9B05F0B"/>
    <w:multiLevelType w:val="hybridMultilevel"/>
    <w:tmpl w:val="13005C28"/>
    <w:lvl w:ilvl="0">
      <w:start w:val="1"/>
      <w:numFmt w:val="decimal"/>
      <w:lvlText w:val="%1."/>
      <w:lvlJc w:val="left"/>
      <w:pPr>
        <w:ind w:left="2160" w:hanging="360"/>
      </w:pPr>
      <w:rPr>
        <w:rFonts w:hint="default"/>
        <w:b/>
        <w:i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2">
    <w:nsid w:val="6EF91E7C"/>
    <w:multiLevelType w:val="hybridMultilevel"/>
    <w:tmpl w:val="198443B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70914534"/>
    <w:multiLevelType w:val="hybridMultilevel"/>
    <w:tmpl w:val="FFC258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2B43616"/>
    <w:multiLevelType w:val="hybridMultilevel"/>
    <w:tmpl w:val="2E528A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40072FB"/>
    <w:multiLevelType w:val="hybridMultilevel"/>
    <w:tmpl w:val="09CE6234"/>
    <w:lvl w:ilvl="0">
      <w:start w:val="1"/>
      <w:numFmt w:val="decimal"/>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4E42307"/>
    <w:multiLevelType w:val="hybridMultilevel"/>
    <w:tmpl w:val="B87AB80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5"/>
  </w:num>
  <w:num w:numId="2">
    <w:abstractNumId w:val="14"/>
  </w:num>
  <w:num w:numId="3">
    <w:abstractNumId w:val="13"/>
  </w:num>
  <w:num w:numId="4">
    <w:abstractNumId w:val="37"/>
  </w:num>
  <w:num w:numId="5">
    <w:abstractNumId w:val="44"/>
  </w:num>
  <w:num w:numId="6">
    <w:abstractNumId w:val="21"/>
  </w:num>
  <w:num w:numId="7">
    <w:abstractNumId w:val="46"/>
  </w:num>
  <w:num w:numId="8">
    <w:abstractNumId w:val="11"/>
  </w:num>
  <w:num w:numId="9">
    <w:abstractNumId w:val="16"/>
  </w:num>
  <w:num w:numId="10">
    <w:abstractNumId w:val="30"/>
  </w:num>
  <w:num w:numId="11">
    <w:abstractNumId w:val="33"/>
  </w:num>
  <w:num w:numId="12">
    <w:abstractNumId w:val="20"/>
  </w:num>
  <w:num w:numId="13">
    <w:abstractNumId w:val="39"/>
  </w:num>
  <w:num w:numId="14">
    <w:abstractNumId w:val="34"/>
  </w:num>
  <w:num w:numId="15">
    <w:abstractNumId w:val="32"/>
  </w:num>
  <w:num w:numId="16">
    <w:abstractNumId w:val="18"/>
  </w:num>
  <w:num w:numId="17">
    <w:abstractNumId w:val="38"/>
  </w:num>
  <w:num w:numId="18">
    <w:abstractNumId w:val="28"/>
  </w:num>
  <w:num w:numId="19">
    <w:abstractNumId w:val="36"/>
  </w:num>
  <w:num w:numId="20">
    <w:abstractNumId w:val="42"/>
  </w:num>
  <w:num w:numId="21">
    <w:abstractNumId w:val="24"/>
  </w:num>
  <w:num w:numId="22">
    <w:abstractNumId w:val="27"/>
  </w:num>
  <w:num w:numId="23">
    <w:abstractNumId w:val="15"/>
  </w:num>
  <w:num w:numId="24">
    <w:abstractNumId w:val="29"/>
  </w:num>
  <w:num w:numId="25">
    <w:abstractNumId w:val="19"/>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25"/>
  </w:num>
  <w:num w:numId="39">
    <w:abstractNumId w:val="40"/>
  </w:num>
  <w:num w:numId="40">
    <w:abstractNumId w:val="10"/>
  </w:num>
  <w:num w:numId="41">
    <w:abstractNumId w:val="41"/>
  </w:num>
  <w:num w:numId="42">
    <w:abstractNumId w:val="22"/>
  </w:num>
  <w:num w:numId="43">
    <w:abstractNumId w:val="17"/>
  </w:num>
  <w:num w:numId="44">
    <w:abstractNumId w:val="43"/>
  </w:num>
  <w:num w:numId="45">
    <w:abstractNumId w:val="45"/>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A5"/>
    <w:rsid w:val="000001A5"/>
    <w:rsid w:val="00000E80"/>
    <w:rsid w:val="00014546"/>
    <w:rsid w:val="000A65B9"/>
    <w:rsid w:val="000C072F"/>
    <w:rsid w:val="000F394F"/>
    <w:rsid w:val="0017718F"/>
    <w:rsid w:val="00180497"/>
    <w:rsid w:val="001A0658"/>
    <w:rsid w:val="001C25A7"/>
    <w:rsid w:val="001C3BA1"/>
    <w:rsid w:val="001F777F"/>
    <w:rsid w:val="002268D8"/>
    <w:rsid w:val="0023025B"/>
    <w:rsid w:val="00230D4C"/>
    <w:rsid w:val="00261191"/>
    <w:rsid w:val="002639B9"/>
    <w:rsid w:val="00267F68"/>
    <w:rsid w:val="0029496E"/>
    <w:rsid w:val="002A6EFD"/>
    <w:rsid w:val="00303090"/>
    <w:rsid w:val="003048B1"/>
    <w:rsid w:val="00310D1F"/>
    <w:rsid w:val="00335CE6"/>
    <w:rsid w:val="003724E5"/>
    <w:rsid w:val="003A3C61"/>
    <w:rsid w:val="003F3938"/>
    <w:rsid w:val="004122FF"/>
    <w:rsid w:val="00421FDA"/>
    <w:rsid w:val="004255F1"/>
    <w:rsid w:val="00476CC8"/>
    <w:rsid w:val="00484B1D"/>
    <w:rsid w:val="004A07F1"/>
    <w:rsid w:val="004F3054"/>
    <w:rsid w:val="004F5BF6"/>
    <w:rsid w:val="00500704"/>
    <w:rsid w:val="005100C3"/>
    <w:rsid w:val="00532027"/>
    <w:rsid w:val="0053360C"/>
    <w:rsid w:val="00567CBE"/>
    <w:rsid w:val="00585EEA"/>
    <w:rsid w:val="005F505B"/>
    <w:rsid w:val="00627B72"/>
    <w:rsid w:val="006434FF"/>
    <w:rsid w:val="00667E1B"/>
    <w:rsid w:val="006713A7"/>
    <w:rsid w:val="006A4D75"/>
    <w:rsid w:val="006D4388"/>
    <w:rsid w:val="007318B0"/>
    <w:rsid w:val="0074619C"/>
    <w:rsid w:val="00746EE2"/>
    <w:rsid w:val="00765AE7"/>
    <w:rsid w:val="007E2022"/>
    <w:rsid w:val="007E486A"/>
    <w:rsid w:val="00811CCB"/>
    <w:rsid w:val="0082386D"/>
    <w:rsid w:val="00827B4A"/>
    <w:rsid w:val="0084093E"/>
    <w:rsid w:val="008433C2"/>
    <w:rsid w:val="00867B12"/>
    <w:rsid w:val="008A5B98"/>
    <w:rsid w:val="008C1BE9"/>
    <w:rsid w:val="008D5FEC"/>
    <w:rsid w:val="008F0C09"/>
    <w:rsid w:val="00903046"/>
    <w:rsid w:val="00957BF7"/>
    <w:rsid w:val="00957C5A"/>
    <w:rsid w:val="009902B9"/>
    <w:rsid w:val="009A245E"/>
    <w:rsid w:val="009E2339"/>
    <w:rsid w:val="009E6C25"/>
    <w:rsid w:val="00A24EEF"/>
    <w:rsid w:val="00A32580"/>
    <w:rsid w:val="00A5645F"/>
    <w:rsid w:val="00A76564"/>
    <w:rsid w:val="00A970EA"/>
    <w:rsid w:val="00AA625D"/>
    <w:rsid w:val="00AD21EE"/>
    <w:rsid w:val="00B50028"/>
    <w:rsid w:val="00B62B50"/>
    <w:rsid w:val="00BB6402"/>
    <w:rsid w:val="00BE5D7C"/>
    <w:rsid w:val="00C13A61"/>
    <w:rsid w:val="00C92B03"/>
    <w:rsid w:val="00CB435D"/>
    <w:rsid w:val="00CB76DA"/>
    <w:rsid w:val="00CD3CAD"/>
    <w:rsid w:val="00D226CB"/>
    <w:rsid w:val="00D23E28"/>
    <w:rsid w:val="00D345A3"/>
    <w:rsid w:val="00D83868"/>
    <w:rsid w:val="00DD6397"/>
    <w:rsid w:val="00E5241E"/>
    <w:rsid w:val="00E70793"/>
    <w:rsid w:val="00E721ED"/>
    <w:rsid w:val="00F03399"/>
    <w:rsid w:val="00F069AE"/>
    <w:rsid w:val="00F2718B"/>
    <w:rsid w:val="00F55247"/>
    <w:rsid w:val="00F66BBE"/>
    <w:rsid w:val="00F753AF"/>
    <w:rsid w:val="00F945CC"/>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25"/>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F2798"/>
    <w:pPr>
      <w:keepNext/>
      <w:keepLines/>
      <w:spacing w:after="240" w:line="240" w:lineRule="auto"/>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903046"/>
    <w:pPr>
      <w:keepNext/>
      <w:keepLines/>
      <w:numPr>
        <w:numId w:val="47"/>
      </w:numPr>
      <w:spacing w:after="240" w:line="240" w:lineRule="auto"/>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2E6045"/>
    <w:pPr>
      <w:keepNext/>
      <w:keepLines/>
      <w:spacing w:line="240" w:lineRule="auto"/>
      <w:ind w:left="2160" w:hanging="720"/>
      <w:outlineLvl w:val="2"/>
    </w:pPr>
    <w:rPr>
      <w:rFonts w:ascii="Times New Roman Bold" w:hAnsi="Times New Roman Bold" w:eastAsiaTheme="majorEastAsia" w:cstheme="majorBidi"/>
      <w:b/>
      <w:iCs/>
      <w:szCs w:val="24"/>
    </w:rPr>
  </w:style>
  <w:style w:type="paragraph" w:styleId="Heading4">
    <w:name w:val="heading 4"/>
    <w:basedOn w:val="Normal"/>
    <w:next w:val="Normal"/>
    <w:link w:val="Heading4Char"/>
    <w:autoRedefine/>
    <w:uiPriority w:val="9"/>
    <w:unhideWhenUsed/>
    <w:qFormat/>
    <w:rsid w:val="002E6045"/>
    <w:pPr>
      <w:keepNext/>
      <w:keepLines/>
      <w:spacing w:after="240" w:line="240" w:lineRule="auto"/>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A7"/>
    <w:pPr>
      <w:tabs>
        <w:tab w:val="center" w:pos="4680"/>
        <w:tab w:val="right" w:pos="9360"/>
      </w:tabs>
      <w:spacing w:line="240" w:lineRule="auto"/>
    </w:pPr>
  </w:style>
  <w:style w:type="character" w:customStyle="1" w:styleId="HeaderChar">
    <w:name w:val="Header Char"/>
    <w:basedOn w:val="DefaultParagraphFont"/>
    <w:link w:val="Header"/>
    <w:uiPriority w:val="99"/>
    <w:rsid w:val="00C350A7"/>
  </w:style>
  <w:style w:type="paragraph" w:styleId="Footer">
    <w:name w:val="footer"/>
    <w:basedOn w:val="Normal"/>
    <w:link w:val="FooterChar"/>
    <w:uiPriority w:val="99"/>
    <w:unhideWhenUsed/>
    <w:rsid w:val="00C350A7"/>
    <w:pPr>
      <w:tabs>
        <w:tab w:val="center" w:pos="4680"/>
        <w:tab w:val="right" w:pos="9360"/>
      </w:tabs>
      <w:spacing w:line="240" w:lineRule="auto"/>
    </w:pPr>
  </w:style>
  <w:style w:type="character" w:customStyle="1" w:styleId="FooterChar">
    <w:name w:val="Footer Char"/>
    <w:basedOn w:val="DefaultParagraphFont"/>
    <w:link w:val="Footer"/>
    <w:uiPriority w:val="99"/>
    <w:rsid w:val="00C350A7"/>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rsid w:val="009F196F"/>
    <w:pPr>
      <w:spacing w:line="240" w:lineRule="auto"/>
    </w:pPr>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rsid w:val="009F196F"/>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9F196F"/>
    <w:rPr>
      <w:vertAlign w:val="superscript"/>
    </w:rPr>
  </w:style>
  <w:style w:type="paragraph" w:styleId="ListParagraph">
    <w:name w:val="List Paragraph"/>
    <w:basedOn w:val="Normal"/>
    <w:uiPriority w:val="34"/>
    <w:qFormat/>
    <w:rsid w:val="00751350"/>
    <w:pPr>
      <w:ind w:left="720"/>
      <w:contextualSpacing/>
    </w:pPr>
  </w:style>
  <w:style w:type="paragraph" w:styleId="HTMLPreformatted">
    <w:name w:val="HTML Preformatted"/>
    <w:basedOn w:val="Normal"/>
    <w:link w:val="HTMLPreformattedChar"/>
    <w:unhideWhenUsed/>
    <w:rsid w:val="00A1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107DD"/>
    <w:rPr>
      <w:rFonts w:ascii="Courier New" w:eastAsia="Courier New" w:hAnsi="Courier New" w:cs="Courier New"/>
      <w:sz w:val="20"/>
      <w:szCs w:val="20"/>
    </w:rPr>
  </w:style>
  <w:style w:type="character" w:styleId="Hyperlink">
    <w:name w:val="Hyperlink"/>
    <w:basedOn w:val="DefaultParagraphFont"/>
    <w:uiPriority w:val="99"/>
    <w:unhideWhenUsed/>
    <w:rsid w:val="00A107DD"/>
    <w:rPr>
      <w:color w:val="0563C1" w:themeColor="hyperlink"/>
      <w:u w:val="single"/>
    </w:rPr>
  </w:style>
  <w:style w:type="character" w:customStyle="1" w:styleId="UnresolvedMention1">
    <w:name w:val="Unresolved Mention1"/>
    <w:basedOn w:val="DefaultParagraphFont"/>
    <w:uiPriority w:val="99"/>
    <w:semiHidden/>
    <w:unhideWhenUsed/>
    <w:rsid w:val="00A107DD"/>
    <w:rPr>
      <w:color w:val="605E5C"/>
      <w:shd w:val="clear" w:color="auto" w:fill="E1DFDD"/>
    </w:rPr>
  </w:style>
  <w:style w:type="character" w:customStyle="1" w:styleId="Heading2Char">
    <w:name w:val="Heading 2 Char"/>
    <w:basedOn w:val="DefaultParagraphFont"/>
    <w:link w:val="Heading2"/>
    <w:uiPriority w:val="9"/>
    <w:rsid w:val="00903046"/>
    <w:rPr>
      <w:rFonts w:ascii="Times New Roman Bold" w:hAnsi="Times New Roman Bold" w:eastAsiaTheme="majorEastAsia" w:cstheme="majorBidi"/>
      <w:b/>
      <w:sz w:val="24"/>
      <w:szCs w:val="26"/>
    </w:rPr>
  </w:style>
  <w:style w:type="character" w:customStyle="1" w:styleId="Heading1Char">
    <w:name w:val="Heading 1 Char"/>
    <w:basedOn w:val="DefaultParagraphFont"/>
    <w:link w:val="Heading1"/>
    <w:uiPriority w:val="9"/>
    <w:rsid w:val="006F2798"/>
    <w:rPr>
      <w:rFonts w:ascii="Times New Roman" w:hAnsi="Times New Roman" w:eastAsiaTheme="majorEastAsia" w:cstheme="majorBidi"/>
      <w:b/>
      <w:caps/>
      <w:sz w:val="24"/>
      <w:szCs w:val="32"/>
    </w:rPr>
  </w:style>
  <w:style w:type="character" w:customStyle="1" w:styleId="ALTSFOOTNOTEChar">
    <w:name w:val="ALTS FOOTNOTE Char"/>
    <w:aliases w:val="Footnote Text Char Char Char Char Char1,Footnote Text Char1 Char Char1 Char Char Char Char1,Footnote Text Char1 Char Char1 Char1,fn Char1"/>
    <w:semiHidden/>
    <w:locked/>
    <w:rsid w:val="000075C2"/>
    <w:rPr>
      <w:sz w:val="20"/>
      <w:szCs w:val="20"/>
    </w:rPr>
  </w:style>
  <w:style w:type="character" w:styleId="LineNumber">
    <w:name w:val="line number"/>
    <w:basedOn w:val="DefaultParagraphFont"/>
    <w:uiPriority w:val="99"/>
    <w:semiHidden/>
    <w:unhideWhenUsed/>
    <w:rsid w:val="000075C2"/>
  </w:style>
  <w:style w:type="paragraph" w:styleId="BalloonText">
    <w:name w:val="Balloon Text"/>
    <w:basedOn w:val="Normal"/>
    <w:link w:val="BalloonTextChar"/>
    <w:uiPriority w:val="99"/>
    <w:semiHidden/>
    <w:unhideWhenUsed/>
    <w:rsid w:val="004267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28"/>
    <w:rPr>
      <w:rFonts w:ascii="Segoe UI" w:hAnsi="Segoe UI" w:cs="Segoe UI"/>
      <w:sz w:val="18"/>
      <w:szCs w:val="18"/>
    </w:rPr>
  </w:style>
  <w:style w:type="paragraph" w:styleId="TOC1">
    <w:name w:val="toc 1"/>
    <w:basedOn w:val="Normal"/>
    <w:next w:val="Normal"/>
    <w:autoRedefine/>
    <w:uiPriority w:val="39"/>
    <w:unhideWhenUsed/>
    <w:rsid w:val="00FA60F5"/>
    <w:pPr>
      <w:tabs>
        <w:tab w:val="left" w:pos="720"/>
        <w:tab w:val="decimal" w:leader="dot" w:pos="8640"/>
      </w:tabs>
      <w:spacing w:after="240" w:line="240" w:lineRule="auto"/>
    </w:pPr>
    <w:rPr>
      <w:caps/>
    </w:rPr>
  </w:style>
  <w:style w:type="paragraph" w:styleId="TOC2">
    <w:name w:val="toc 2"/>
    <w:basedOn w:val="Normal"/>
    <w:next w:val="Normal"/>
    <w:autoRedefine/>
    <w:uiPriority w:val="39"/>
    <w:unhideWhenUsed/>
    <w:rsid w:val="00FA60F5"/>
    <w:pPr>
      <w:tabs>
        <w:tab w:val="left" w:pos="720"/>
        <w:tab w:val="decimal" w:leader="dot" w:pos="8640"/>
      </w:tabs>
      <w:spacing w:after="240" w:line="240" w:lineRule="auto"/>
      <w:ind w:left="1440" w:hanging="720"/>
    </w:pPr>
  </w:style>
  <w:style w:type="table" w:styleId="TableGrid">
    <w:name w:val="Table Grid"/>
    <w:basedOn w:val="TableNormal"/>
    <w:rsid w:val="00775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77517B"/>
    <w:pPr>
      <w:spacing w:line="240" w:lineRule="auto"/>
    </w:pPr>
    <w:rPr>
      <w:rFonts w:eastAsia="Times New Roman" w:cs="Times New Roman"/>
      <w:szCs w:val="24"/>
    </w:rPr>
  </w:style>
  <w:style w:type="character" w:customStyle="1" w:styleId="CommentTextChar">
    <w:name w:val="Comment Text Char"/>
    <w:basedOn w:val="DefaultParagraphFont"/>
    <w:link w:val="CommentText"/>
    <w:semiHidden/>
    <w:rsid w:val="0077517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C08"/>
    <w:rPr>
      <w:sz w:val="16"/>
      <w:szCs w:val="16"/>
    </w:rPr>
  </w:style>
  <w:style w:type="paragraph" w:styleId="CommentSubject">
    <w:name w:val="annotation subject"/>
    <w:basedOn w:val="CommentText"/>
    <w:next w:val="CommentText"/>
    <w:link w:val="CommentSubjectChar"/>
    <w:uiPriority w:val="99"/>
    <w:semiHidden/>
    <w:unhideWhenUsed/>
    <w:rsid w:val="00EF7C08"/>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EF7C08"/>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rsid w:val="00084D2A"/>
    <w:rPr>
      <w:color w:val="605E5C"/>
      <w:shd w:val="clear" w:color="auto" w:fill="E1DFDD"/>
    </w:rPr>
  </w:style>
  <w:style w:type="character" w:customStyle="1" w:styleId="Heading3Char">
    <w:name w:val="Heading 3 Char"/>
    <w:basedOn w:val="DefaultParagraphFont"/>
    <w:link w:val="Heading3"/>
    <w:uiPriority w:val="9"/>
    <w:rsid w:val="002E6045"/>
    <w:rPr>
      <w:rFonts w:ascii="Times New Roman Bold" w:hAnsi="Times New Roman Bold" w:eastAsiaTheme="majorEastAsia" w:cstheme="majorBidi"/>
      <w:b/>
      <w:iCs/>
      <w:sz w:val="24"/>
      <w:szCs w:val="24"/>
    </w:rPr>
  </w:style>
  <w:style w:type="paragraph" w:styleId="TOC3">
    <w:name w:val="toc 3"/>
    <w:basedOn w:val="Normal"/>
    <w:next w:val="Normal"/>
    <w:autoRedefine/>
    <w:uiPriority w:val="39"/>
    <w:unhideWhenUsed/>
    <w:qFormat/>
    <w:rsid w:val="007318B0"/>
    <w:pPr>
      <w:tabs>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2E6045"/>
    <w:rPr>
      <w:rFonts w:ascii="Times New Roman Bold" w:hAnsi="Times New Roman Bold" w:eastAsiaTheme="majorEastAsia" w:cstheme="majorBidi"/>
      <w:b/>
      <w:iCs/>
      <w:sz w:val="24"/>
    </w:rPr>
  </w:style>
  <w:style w:type="paragraph" w:styleId="TOC4">
    <w:name w:val="toc 4"/>
    <w:basedOn w:val="Normal"/>
    <w:next w:val="Normal"/>
    <w:autoRedefine/>
    <w:uiPriority w:val="39"/>
    <w:unhideWhenUsed/>
    <w:qFormat/>
    <w:rsid w:val="00042A25"/>
    <w:pPr>
      <w:tabs>
        <w:tab w:val="decimal" w:leader="dot" w:pos="8640"/>
      </w:tabs>
      <w:spacing w:after="240" w:line="240" w:lineRule="auto"/>
      <w:ind w:left="2880" w:hanging="720"/>
      <w:outlineLvl w:val="3"/>
    </w:pPr>
  </w:style>
  <w:style w:type="character" w:customStyle="1" w:styleId="UnresolvedMention3">
    <w:name w:val="Unresolved Mention3"/>
    <w:basedOn w:val="DefaultParagraphFont"/>
    <w:uiPriority w:val="99"/>
    <w:rsid w:val="00F66BBE"/>
    <w:rPr>
      <w:color w:val="605E5C"/>
      <w:shd w:val="clear" w:color="auto" w:fill="E1DFDD"/>
    </w:rPr>
  </w:style>
  <w:style w:type="paragraph" w:styleId="Revision">
    <w:name w:val="Revision"/>
    <w:hidden/>
    <w:uiPriority w:val="99"/>
    <w:semiHidden/>
    <w:rsid w:val="0084093E"/>
    <w:pPr>
      <w:spacing w:after="0" w:line="240" w:lineRule="auto"/>
    </w:pPr>
    <w:rPr>
      <w:rFonts w:ascii="Times New Roman" w:hAnsi="Times New Roman"/>
      <w:sz w:val="24"/>
    </w:rPr>
  </w:style>
  <w:style w:type="character" w:customStyle="1" w:styleId="UnresolvedMention4">
    <w:name w:val="Unresolved Mention4"/>
    <w:basedOn w:val="DefaultParagraphFont"/>
    <w:uiPriority w:val="99"/>
    <w:rsid w:val="00567CBE"/>
    <w:rPr>
      <w:color w:val="605E5C"/>
      <w:shd w:val="clear" w:color="auto" w:fill="E1DFDD"/>
    </w:rPr>
  </w:style>
  <w:style w:type="character" w:customStyle="1" w:styleId="UnresolvedMention">
    <w:name w:val="Unresolved Mention"/>
    <w:basedOn w:val="DefaultParagraphFont"/>
    <w:uiPriority w:val="99"/>
    <w:rsid w:val="007E4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header" Target="header5.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39F3-C20F-4441-8D8B-753F94FF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DPL Reply.docx</vt:lpstr>
    </vt:vector>
  </TitlesOfParts>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2019-09-05T18:41:40Z</dcterms:created>
  <dcterms:modified xsi:type="dcterms:W3CDTF">2019-09-05T18:41:40Z</dcterms:modified>
</cp:coreProperties>
</file>