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2E" w:rsidRPr="001714F4" w:rsidRDefault="00C53C2E" w:rsidP="00A44681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714F4">
        <w:rPr>
          <w:rFonts w:ascii="Times New Roman" w:hAnsi="Times New Roman"/>
          <w:b/>
        </w:rPr>
        <w:t>BEFORE</w:t>
      </w:r>
    </w:p>
    <w:p w:rsidR="00BC7531" w:rsidRPr="004F7D5C" w:rsidRDefault="00C53C2E" w:rsidP="00A44681">
      <w:pPr>
        <w:spacing w:line="240" w:lineRule="auto"/>
        <w:jc w:val="center"/>
        <w:rPr>
          <w:rFonts w:ascii="Times New Roman" w:hAnsi="Times New Roman"/>
          <w:b/>
        </w:rPr>
      </w:pPr>
      <w:r w:rsidRPr="001714F4">
        <w:rPr>
          <w:rFonts w:ascii="Times New Roman" w:hAnsi="Times New Roman"/>
          <w:b/>
        </w:rPr>
        <w:t>THE PUB</w:t>
      </w:r>
      <w:r w:rsidR="004F7D5C">
        <w:rPr>
          <w:rFonts w:ascii="Times New Roman" w:hAnsi="Times New Roman"/>
          <w:b/>
        </w:rPr>
        <w:t>LIC UTILITIES COMMISSION OF OHIO</w:t>
      </w:r>
      <w:r>
        <w:rPr>
          <w:rFonts w:ascii="Times New Roman" w:hAnsi="Times New Roman"/>
        </w:rPr>
        <w:tab/>
      </w:r>
    </w:p>
    <w:p w:rsidR="00BC7531" w:rsidRDefault="00BC7531" w:rsidP="00BC7531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Matter of the Joint Application</w:t>
      </w:r>
      <w:r>
        <w:rPr>
          <w:rFonts w:ascii="Times New Roman" w:hAnsi="Times New Roman"/>
        </w:rPr>
        <w:tab/>
        <w:t xml:space="preserve">) </w:t>
      </w:r>
    </w:p>
    <w:p w:rsidR="00BC7531" w:rsidRDefault="00BC7531" w:rsidP="00BC7531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Ohio Power Company and</w:t>
      </w:r>
      <w:r>
        <w:rPr>
          <w:rFonts w:ascii="Times New Roman" w:hAnsi="Times New Roman"/>
        </w:rPr>
        <w:tab/>
        <w:t>)</w:t>
      </w:r>
      <w:r w:rsidRPr="00813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Case No. 14</w:t>
      </w:r>
      <w:r w:rsidRPr="00C36C8F">
        <w:rPr>
          <w:rFonts w:ascii="Times New Roman" w:hAnsi="Times New Roman"/>
        </w:rPr>
        <w:t>-</w:t>
      </w:r>
      <w:r>
        <w:rPr>
          <w:rFonts w:ascii="Times New Roman" w:hAnsi="Times New Roman"/>
        </w:rPr>
        <w:t>2304</w:t>
      </w:r>
      <w:r w:rsidRPr="00C36C8F">
        <w:rPr>
          <w:rFonts w:ascii="Times New Roman" w:hAnsi="Times New Roman"/>
        </w:rPr>
        <w:t>-</w:t>
      </w:r>
      <w:r>
        <w:rPr>
          <w:rFonts w:ascii="Times New Roman" w:hAnsi="Times New Roman"/>
        </w:rPr>
        <w:t>EL-</w:t>
      </w:r>
      <w:smartTag w:uri="urn:schemas-microsoft-com:office:smarttags" w:element="stockticker">
        <w:r>
          <w:rPr>
            <w:rFonts w:ascii="Times New Roman" w:hAnsi="Times New Roman"/>
          </w:rPr>
          <w:t>EEC</w:t>
        </w:r>
      </w:smartTag>
    </w:p>
    <w:p w:rsidR="00BC7531" w:rsidRDefault="00BC7531" w:rsidP="00BC7531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Kraton</w:t>
      </w:r>
      <w:proofErr w:type="spellEnd"/>
      <w:r>
        <w:rPr>
          <w:rFonts w:ascii="Times New Roman" w:hAnsi="Times New Roman"/>
        </w:rPr>
        <w:t xml:space="preserve"> Polymers U.S. LLC for Approval </w:t>
      </w:r>
      <w:r>
        <w:rPr>
          <w:rFonts w:ascii="Times New Roman" w:hAnsi="Times New Roman"/>
        </w:rPr>
        <w:tab/>
        <w:t>)</w:t>
      </w:r>
      <w:r w:rsidRPr="00813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BC7531" w:rsidRDefault="00BC7531" w:rsidP="00BC7531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 a Special Arrangement Agreement</w:t>
      </w:r>
      <w:r>
        <w:rPr>
          <w:rFonts w:ascii="Times New Roman" w:hAnsi="Times New Roman"/>
        </w:rPr>
        <w:tab/>
        <w:t xml:space="preserve">) </w:t>
      </w:r>
      <w:r>
        <w:rPr>
          <w:rFonts w:ascii="Times New Roman" w:hAnsi="Times New Roman"/>
        </w:rPr>
        <w:tab/>
      </w:r>
    </w:p>
    <w:p w:rsidR="00C53C2E" w:rsidRDefault="00C53C2E" w:rsidP="00BC7531">
      <w:pPr>
        <w:tabs>
          <w:tab w:val="left" w:pos="4320"/>
        </w:tabs>
        <w:spacing w:after="0" w:line="240" w:lineRule="auto"/>
        <w:rPr>
          <w:rFonts w:ascii="Times New Roman" w:hAnsi="Times New Roman"/>
          <w:highlight w:val="magenta"/>
        </w:rPr>
      </w:pPr>
    </w:p>
    <w:p w:rsidR="00C53C2E" w:rsidRPr="00BC7531" w:rsidRDefault="00C53C2E" w:rsidP="00BC7531">
      <w:pPr>
        <w:tabs>
          <w:tab w:val="left" w:pos="4080"/>
        </w:tabs>
        <w:spacing w:after="0"/>
        <w:rPr>
          <w:rFonts w:ascii="Times New Roman" w:hAnsi="Times New Roman"/>
          <w:b/>
          <w:sz w:val="16"/>
          <w:szCs w:val="16"/>
          <w:u w:val="single"/>
        </w:rPr>
      </w:pPr>
      <w:r w:rsidRPr="00BC7531">
        <w:rPr>
          <w:rFonts w:ascii="Times New Roman" w:hAnsi="Times New Roman"/>
          <w:b/>
          <w:u w:val="single"/>
        </w:rPr>
        <w:tab/>
      </w:r>
      <w:r w:rsidR="00BC7531">
        <w:rPr>
          <w:rFonts w:ascii="Times New Roman" w:hAnsi="Times New Roman"/>
          <w:b/>
          <w:u w:val="single"/>
        </w:rPr>
        <w:tab/>
      </w:r>
      <w:r w:rsidRPr="00BC7531">
        <w:rPr>
          <w:rFonts w:ascii="Times New Roman" w:hAnsi="Times New Roman"/>
          <w:b/>
          <w:u w:val="single"/>
        </w:rPr>
        <w:tab/>
      </w:r>
      <w:r w:rsidRPr="00BC7531">
        <w:rPr>
          <w:rFonts w:ascii="Times New Roman" w:hAnsi="Times New Roman"/>
          <w:b/>
          <w:u w:val="single"/>
        </w:rPr>
        <w:tab/>
      </w:r>
      <w:r w:rsidRPr="00BC7531">
        <w:rPr>
          <w:rFonts w:ascii="Times New Roman" w:hAnsi="Times New Roman"/>
          <w:b/>
          <w:u w:val="single"/>
        </w:rPr>
        <w:tab/>
      </w:r>
      <w:r w:rsidRPr="00BC7531">
        <w:rPr>
          <w:rFonts w:ascii="Times New Roman" w:hAnsi="Times New Roman"/>
          <w:b/>
          <w:u w:val="single"/>
        </w:rPr>
        <w:tab/>
      </w:r>
      <w:r w:rsidRPr="00BC7531">
        <w:rPr>
          <w:rFonts w:ascii="Times New Roman" w:hAnsi="Times New Roman"/>
          <w:b/>
          <w:u w:val="single"/>
        </w:rPr>
        <w:tab/>
      </w:r>
      <w:r w:rsidRPr="00BC7531">
        <w:rPr>
          <w:rFonts w:ascii="Times New Roman" w:hAnsi="Times New Roman"/>
          <w:b/>
          <w:u w:val="single"/>
        </w:rPr>
        <w:tab/>
      </w:r>
      <w:r w:rsidRPr="00BC7531">
        <w:rPr>
          <w:rFonts w:ascii="Times New Roman" w:hAnsi="Times New Roman"/>
          <w:b/>
          <w:u w:val="single"/>
        </w:rPr>
        <w:tab/>
      </w:r>
    </w:p>
    <w:p w:rsidR="00BC7531" w:rsidRDefault="00BC7531" w:rsidP="00BC7531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bCs/>
        </w:rPr>
      </w:pPr>
    </w:p>
    <w:p w:rsidR="00D81FC3" w:rsidRDefault="00707959" w:rsidP="00BC7531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ADDITIONAL REPLY </w:t>
      </w:r>
      <w:r w:rsidR="00BC7531" w:rsidRPr="00BC7531">
        <w:rPr>
          <w:rFonts w:ascii="Times New Roman" w:hAnsi="Times New Roman"/>
          <w:b/>
          <w:bCs/>
        </w:rPr>
        <w:t xml:space="preserve">COMMENTS </w:t>
      </w:r>
      <w:r w:rsidR="00D81FC3">
        <w:rPr>
          <w:rFonts w:ascii="Times New Roman" w:hAnsi="Times New Roman"/>
          <w:b/>
          <w:bCs/>
        </w:rPr>
        <w:t xml:space="preserve">BY </w:t>
      </w:r>
      <w:r w:rsidR="00BC7531" w:rsidRPr="00BC7531">
        <w:rPr>
          <w:rFonts w:ascii="Times New Roman" w:hAnsi="Times New Roman"/>
          <w:b/>
          <w:bCs/>
        </w:rPr>
        <w:t xml:space="preserve">KRATON POLYMERS U.S. LLC, </w:t>
      </w:r>
    </w:p>
    <w:p w:rsidR="000224DF" w:rsidRDefault="00D81FC3" w:rsidP="00BC7531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 </w:t>
      </w:r>
      <w:r w:rsidR="00BC7531" w:rsidRPr="00BC7531">
        <w:rPr>
          <w:rFonts w:ascii="Times New Roman" w:hAnsi="Times New Roman"/>
          <w:b/>
          <w:bCs/>
        </w:rPr>
        <w:t xml:space="preserve">RESPONSE TO THE </w:t>
      </w:r>
      <w:r w:rsidR="000224DF">
        <w:rPr>
          <w:rFonts w:ascii="Times New Roman" w:hAnsi="Times New Roman"/>
          <w:b/>
          <w:bCs/>
        </w:rPr>
        <w:t xml:space="preserve">COMMISSION’S </w:t>
      </w:r>
    </w:p>
    <w:p w:rsidR="00C53C2E" w:rsidRDefault="00BC7531" w:rsidP="00BC7531">
      <w:pPr>
        <w:tabs>
          <w:tab w:val="left" w:pos="4080"/>
        </w:tabs>
        <w:spacing w:after="0"/>
        <w:jc w:val="center"/>
        <w:rPr>
          <w:rFonts w:ascii="Times New Roman" w:hAnsi="Times New Roman"/>
          <w:b/>
        </w:rPr>
      </w:pPr>
      <w:r w:rsidRPr="00BC7531">
        <w:rPr>
          <w:rFonts w:ascii="Times New Roman" w:hAnsi="Times New Roman"/>
          <w:b/>
          <w:bCs/>
        </w:rPr>
        <w:t>MARCH 16, 2015 ENTRY</w:t>
      </w:r>
    </w:p>
    <w:p w:rsidR="00BC7531" w:rsidRPr="00BC7531" w:rsidRDefault="00BC7531" w:rsidP="00BC7531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BC7531" w:rsidRPr="00BA641A" w:rsidRDefault="00BC7531" w:rsidP="00BC753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E75F3" w:rsidRPr="00BA641A" w:rsidRDefault="00CE75F3" w:rsidP="00CE75F3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BA641A">
        <w:rPr>
          <w:rFonts w:ascii="Times New Roman" w:hAnsi="Times New Roman"/>
          <w:b/>
          <w:sz w:val="24"/>
          <w:szCs w:val="24"/>
        </w:rPr>
        <w:t>ADDITIONAL BACKGROUN REGARDING THE APPLICANT.</w:t>
      </w:r>
    </w:p>
    <w:p w:rsidR="00CE75F3" w:rsidRPr="00DD3F79" w:rsidRDefault="00CE75F3" w:rsidP="00DD3F79">
      <w:pPr>
        <w:spacing w:line="480" w:lineRule="auto"/>
        <w:ind w:left="720" w:firstLine="720"/>
        <w:rPr>
          <w:rFonts w:ascii="Times New Roman" w:hAnsi="Times New Roman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Kraton</w:t>
      </w:r>
      <w:proofErr w:type="spellEnd"/>
      <w:r>
        <w:rPr>
          <w:rFonts w:ascii="Times New Roman" w:hAnsi="Times New Roman"/>
          <w:sz w:val="24"/>
          <w:szCs w:val="24"/>
        </w:rPr>
        <w:t xml:space="preserve"> Polymers,</w:t>
      </w:r>
      <w:r w:rsidR="00CB232C">
        <w:rPr>
          <w:rFonts w:ascii="Times New Roman" w:hAnsi="Times New Roman"/>
          <w:sz w:val="24"/>
          <w:szCs w:val="24"/>
        </w:rPr>
        <w:t xml:space="preserve"> LLC</w:t>
      </w:r>
      <w:r>
        <w:rPr>
          <w:rFonts w:ascii="Times New Roman" w:hAnsi="Times New Roman"/>
          <w:sz w:val="24"/>
          <w:szCs w:val="24"/>
        </w:rPr>
        <w:t xml:space="preserve"> (the “Company”) is a leading global producer of engineered polymers.  These polymers are used in a wide variety of applicat</w:t>
      </w:r>
      <w:r w:rsidR="00DD3F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including consumer and personal care items, adhesives and coatings, electronics, medical supplies, automotive components, and paving a</w:t>
      </w:r>
      <w:r w:rsidR="00DD3F79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roofing materials.  The Company operates research and development facilities in the United States and Europe</w:t>
      </w:r>
      <w:r w:rsidR="00E226A0">
        <w:rPr>
          <w:rFonts w:ascii="Times New Roman" w:hAnsi="Times New Roman"/>
          <w:sz w:val="24"/>
          <w:szCs w:val="24"/>
        </w:rPr>
        <w:t>;</w:t>
      </w:r>
      <w:r w:rsidR="00BB2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manufacturing facilities in the United States, Germany, France, Japan</w:t>
      </w:r>
      <w:r w:rsidR="00DD3F7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Brazil</w:t>
      </w:r>
      <w:r w:rsidR="00E226A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and technical service laboratories in Japan, China and Brazil.  It supplies products to customers in over 60 countries, worldwide, and generated more than $1.23 Billion in 2014 revenue.</w:t>
      </w:r>
      <w:r w:rsidR="00BA641A">
        <w:rPr>
          <w:rFonts w:ascii="Times New Roman" w:hAnsi="Times New Roman"/>
          <w:sz w:val="24"/>
          <w:szCs w:val="24"/>
        </w:rPr>
        <w:t xml:space="preserve">  Its United States subsidiary, </w:t>
      </w:r>
      <w:proofErr w:type="spellStart"/>
      <w:r w:rsidR="00BA641A">
        <w:rPr>
          <w:rFonts w:ascii="Times New Roman" w:hAnsi="Times New Roman"/>
          <w:sz w:val="24"/>
          <w:szCs w:val="24"/>
        </w:rPr>
        <w:t>Kraton</w:t>
      </w:r>
      <w:proofErr w:type="spellEnd"/>
      <w:r w:rsidR="00BA641A">
        <w:rPr>
          <w:rFonts w:ascii="Times New Roman" w:hAnsi="Times New Roman"/>
          <w:sz w:val="24"/>
          <w:szCs w:val="24"/>
        </w:rPr>
        <w:t xml:space="preserve"> Polymers, USA, LLC (“</w:t>
      </w:r>
      <w:proofErr w:type="spellStart"/>
      <w:r w:rsidR="00BA641A">
        <w:rPr>
          <w:rFonts w:ascii="Times New Roman" w:hAnsi="Times New Roman"/>
          <w:sz w:val="24"/>
          <w:szCs w:val="24"/>
        </w:rPr>
        <w:t>Kraton</w:t>
      </w:r>
      <w:proofErr w:type="spellEnd"/>
      <w:r w:rsidR="00BA641A">
        <w:rPr>
          <w:rFonts w:ascii="Times New Roman" w:hAnsi="Times New Roman"/>
          <w:sz w:val="24"/>
          <w:szCs w:val="24"/>
        </w:rPr>
        <w:t xml:space="preserve">”) is headquartered in Houston, Texas.  </w:t>
      </w:r>
      <w:proofErr w:type="spellStart"/>
      <w:r w:rsidR="00BA641A">
        <w:rPr>
          <w:rFonts w:ascii="Times New Roman" w:hAnsi="Times New Roman"/>
          <w:sz w:val="24"/>
          <w:szCs w:val="24"/>
        </w:rPr>
        <w:t>Kraton’s</w:t>
      </w:r>
      <w:proofErr w:type="spellEnd"/>
      <w:r w:rsidR="00BA641A">
        <w:rPr>
          <w:rFonts w:ascii="Times New Roman" w:hAnsi="Times New Roman"/>
          <w:sz w:val="24"/>
          <w:szCs w:val="24"/>
        </w:rPr>
        <w:t xml:space="preserve"> operations include a manufacturing facility in Belpre (Washington County) Ohio that presently employs more than 400 individuals.</w:t>
      </w:r>
    </w:p>
    <w:p w:rsidR="00CE75F3" w:rsidRPr="00DD3F79" w:rsidRDefault="00CE75F3" w:rsidP="00DD3F79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DD3F79">
        <w:rPr>
          <w:rFonts w:ascii="Times New Roman" w:hAnsi="Times New Roman"/>
          <w:b/>
          <w:sz w:val="24"/>
          <w:szCs w:val="24"/>
        </w:rPr>
        <w:t>BRIEF SUMMARY OF THE APPLICATION</w:t>
      </w:r>
      <w:r w:rsidR="00DD3F79" w:rsidRPr="00DD3F79">
        <w:rPr>
          <w:rFonts w:ascii="Times New Roman" w:hAnsi="Times New Roman"/>
          <w:b/>
          <w:sz w:val="24"/>
          <w:szCs w:val="24"/>
        </w:rPr>
        <w:t>.</w:t>
      </w:r>
    </w:p>
    <w:p w:rsidR="007A3504" w:rsidRPr="00707959" w:rsidRDefault="00A44681" w:rsidP="00707959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07959">
        <w:rPr>
          <w:rFonts w:ascii="Times New Roman" w:hAnsi="Times New Roman" w:cs="Times New Roman"/>
          <w:sz w:val="24"/>
          <w:szCs w:val="24"/>
        </w:rPr>
        <w:t xml:space="preserve">Acting </w:t>
      </w:r>
      <w:r w:rsidR="003671F0" w:rsidRPr="00707959">
        <w:rPr>
          <w:rFonts w:ascii="Times New Roman" w:hAnsi="Times New Roman" w:cs="Times New Roman"/>
          <w:sz w:val="24"/>
          <w:szCs w:val="24"/>
        </w:rPr>
        <w:t>for itself</w:t>
      </w:r>
      <w:r w:rsidRPr="00707959">
        <w:rPr>
          <w:rFonts w:ascii="Times New Roman" w:hAnsi="Times New Roman" w:cs="Times New Roman"/>
          <w:sz w:val="24"/>
          <w:szCs w:val="24"/>
        </w:rPr>
        <w:t xml:space="preserve"> and on behalf of </w:t>
      </w:r>
      <w:proofErr w:type="spellStart"/>
      <w:r w:rsidRPr="00707959">
        <w:rPr>
          <w:rFonts w:ascii="Times New Roman" w:hAnsi="Times New Roman" w:cs="Times New Roman"/>
          <w:sz w:val="24"/>
          <w:szCs w:val="24"/>
        </w:rPr>
        <w:t>Krat</w:t>
      </w:r>
      <w:r w:rsidR="007A3504" w:rsidRPr="0070795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A3504" w:rsidRPr="00707959">
        <w:rPr>
          <w:rFonts w:ascii="Times New Roman" w:hAnsi="Times New Roman" w:cs="Times New Roman"/>
          <w:sz w:val="24"/>
          <w:szCs w:val="24"/>
        </w:rPr>
        <w:t>,</w:t>
      </w:r>
      <w:r w:rsidR="004F7D5C" w:rsidRPr="00707959">
        <w:rPr>
          <w:rFonts w:ascii="Times New Roman" w:hAnsi="Times New Roman" w:cs="Times New Roman"/>
          <w:sz w:val="24"/>
          <w:szCs w:val="24"/>
        </w:rPr>
        <w:t xml:space="preserve"> the Ohio Power Company </w:t>
      </w:r>
      <w:r w:rsidR="007A3504" w:rsidRPr="00707959">
        <w:rPr>
          <w:rFonts w:ascii="Times New Roman" w:hAnsi="Times New Roman" w:cs="Times New Roman"/>
          <w:sz w:val="24"/>
          <w:szCs w:val="24"/>
        </w:rPr>
        <w:t xml:space="preserve">filed </w:t>
      </w:r>
      <w:r w:rsidR="004F7D5C" w:rsidRPr="00707959">
        <w:rPr>
          <w:rFonts w:ascii="Times New Roman" w:hAnsi="Times New Roman" w:cs="Times New Roman"/>
          <w:sz w:val="24"/>
          <w:szCs w:val="24"/>
        </w:rPr>
        <w:t xml:space="preserve">the joint </w:t>
      </w:r>
      <w:r w:rsidRPr="00707959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4F7D5C" w:rsidRPr="00707959">
        <w:rPr>
          <w:rFonts w:ascii="Times New Roman" w:hAnsi="Times New Roman" w:cs="Times New Roman"/>
          <w:sz w:val="24"/>
          <w:szCs w:val="24"/>
        </w:rPr>
        <w:t>that is the subject of this proceeding</w:t>
      </w:r>
      <w:r w:rsidR="007A3504" w:rsidRPr="00707959">
        <w:rPr>
          <w:rFonts w:ascii="Times New Roman" w:hAnsi="Times New Roman" w:cs="Times New Roman"/>
          <w:sz w:val="24"/>
          <w:szCs w:val="24"/>
        </w:rPr>
        <w:t xml:space="preserve"> in late December, 2014</w:t>
      </w:r>
      <w:r w:rsidR="004F7D5C" w:rsidRPr="00707959">
        <w:rPr>
          <w:rFonts w:ascii="Times New Roman" w:hAnsi="Times New Roman" w:cs="Times New Roman"/>
          <w:sz w:val="24"/>
          <w:szCs w:val="24"/>
        </w:rPr>
        <w:t xml:space="preserve">.  That application explains that </w:t>
      </w:r>
      <w:proofErr w:type="spellStart"/>
      <w:r w:rsidR="004F7D5C"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4F7D5C" w:rsidRPr="00707959">
        <w:rPr>
          <w:rFonts w:ascii="Times New Roman" w:hAnsi="Times New Roman" w:cs="Times New Roman"/>
          <w:sz w:val="24"/>
          <w:szCs w:val="24"/>
        </w:rPr>
        <w:t xml:space="preserve"> has agreed to commit its “prospective planned CHP System </w:t>
      </w:r>
      <w:r w:rsidR="004F7D5C" w:rsidRPr="00707959">
        <w:rPr>
          <w:rFonts w:ascii="Times New Roman" w:hAnsi="Times New Roman" w:cs="Times New Roman"/>
          <w:sz w:val="24"/>
          <w:szCs w:val="24"/>
        </w:rPr>
        <w:lastRenderedPageBreak/>
        <w:t>electricity generation” to AEP’s “energy efficiency and peak demand reduction requirements.”</w:t>
      </w:r>
      <w:r w:rsidRPr="00707959">
        <w:rPr>
          <w:rFonts w:ascii="Times New Roman" w:hAnsi="Times New Roman" w:cs="Times New Roman"/>
          <w:sz w:val="24"/>
          <w:szCs w:val="24"/>
        </w:rPr>
        <w:t xml:space="preserve"> </w:t>
      </w:r>
      <w:r w:rsidR="003671F0" w:rsidRPr="00707959">
        <w:rPr>
          <w:rFonts w:ascii="Times New Roman" w:hAnsi="Times New Roman" w:cs="Times New Roman"/>
          <w:sz w:val="24"/>
          <w:szCs w:val="24"/>
        </w:rPr>
        <w:t xml:space="preserve"> </w:t>
      </w:r>
      <w:r w:rsidR="004F7D5C" w:rsidRPr="00707959">
        <w:rPr>
          <w:rFonts w:ascii="Times New Roman" w:hAnsi="Times New Roman" w:cs="Times New Roman"/>
          <w:sz w:val="24"/>
          <w:szCs w:val="24"/>
        </w:rPr>
        <w:t>In exchange fo</w:t>
      </w:r>
      <w:r w:rsidRPr="0070795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3671F0" w:rsidRPr="00707959">
        <w:rPr>
          <w:rFonts w:ascii="Times New Roman" w:hAnsi="Times New Roman" w:cs="Times New Roman"/>
          <w:sz w:val="24"/>
          <w:szCs w:val="24"/>
        </w:rPr>
        <w:t>Kraton’s</w:t>
      </w:r>
      <w:proofErr w:type="spellEnd"/>
      <w:r w:rsidR="003671F0" w:rsidRPr="00707959">
        <w:rPr>
          <w:rFonts w:ascii="Times New Roman" w:hAnsi="Times New Roman" w:cs="Times New Roman"/>
          <w:sz w:val="24"/>
          <w:szCs w:val="24"/>
        </w:rPr>
        <w:t xml:space="preserve"> commitment, AEP in turn </w:t>
      </w:r>
      <w:r w:rsidR="004F7D5C" w:rsidRPr="00707959">
        <w:rPr>
          <w:rFonts w:ascii="Times New Roman" w:hAnsi="Times New Roman" w:cs="Times New Roman"/>
          <w:sz w:val="24"/>
          <w:szCs w:val="24"/>
        </w:rPr>
        <w:t xml:space="preserve">committed to make annual incentive payments to </w:t>
      </w:r>
      <w:proofErr w:type="spellStart"/>
      <w:r w:rsidR="004F7D5C"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4F7D5C" w:rsidRPr="00707959">
        <w:rPr>
          <w:rFonts w:ascii="Times New Roman" w:hAnsi="Times New Roman" w:cs="Times New Roman"/>
          <w:sz w:val="24"/>
          <w:szCs w:val="24"/>
        </w:rPr>
        <w:t xml:space="preserve"> for five years, beginning in 2015, at </w:t>
      </w:r>
      <w:r w:rsidRPr="00707959">
        <w:rPr>
          <w:rFonts w:ascii="Times New Roman" w:hAnsi="Times New Roman" w:cs="Times New Roman"/>
          <w:sz w:val="24"/>
          <w:szCs w:val="24"/>
        </w:rPr>
        <w:t xml:space="preserve">$0.005 per kWh. </w:t>
      </w:r>
      <w:r w:rsidR="004F7D5C" w:rsidRPr="00707959">
        <w:rPr>
          <w:rFonts w:ascii="Times New Roman" w:hAnsi="Times New Roman" w:cs="Times New Roman"/>
          <w:sz w:val="24"/>
          <w:szCs w:val="24"/>
        </w:rPr>
        <w:t xml:space="preserve"> Such incentive payments are estimated to </w:t>
      </w:r>
      <w:r w:rsidR="007A3504" w:rsidRPr="00707959">
        <w:rPr>
          <w:rFonts w:ascii="Times New Roman" w:hAnsi="Times New Roman" w:cs="Times New Roman"/>
          <w:sz w:val="24"/>
          <w:szCs w:val="24"/>
        </w:rPr>
        <w:t xml:space="preserve">equal </w:t>
      </w:r>
      <w:r w:rsidR="004F7D5C" w:rsidRPr="00707959">
        <w:rPr>
          <w:rFonts w:ascii="Times New Roman" w:hAnsi="Times New Roman" w:cs="Times New Roman"/>
          <w:sz w:val="24"/>
          <w:szCs w:val="24"/>
        </w:rPr>
        <w:t>$158,120 per year, with the five-year incentive payme</w:t>
      </w:r>
      <w:r w:rsidR="007A3504" w:rsidRPr="00707959">
        <w:rPr>
          <w:rFonts w:ascii="Times New Roman" w:hAnsi="Times New Roman" w:cs="Times New Roman"/>
          <w:sz w:val="24"/>
          <w:szCs w:val="24"/>
        </w:rPr>
        <w:t>nt total estimated at $790,600</w:t>
      </w:r>
      <w:r w:rsidR="004F7D5C" w:rsidRPr="007079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6030" w:rsidRPr="00707959" w:rsidRDefault="007B6030" w:rsidP="00707959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07959">
        <w:rPr>
          <w:rFonts w:ascii="Times New Roman" w:hAnsi="Times New Roman" w:cs="Times New Roman"/>
          <w:sz w:val="24"/>
          <w:szCs w:val="24"/>
        </w:rPr>
        <w:t xml:space="preserve">Numerous factors, including the initial project </w:t>
      </w:r>
      <w:r w:rsidR="006379F2" w:rsidRPr="00707959">
        <w:rPr>
          <w:rFonts w:ascii="Times New Roman" w:hAnsi="Times New Roman" w:cs="Times New Roman"/>
          <w:sz w:val="24"/>
          <w:szCs w:val="24"/>
        </w:rPr>
        <w:t>costs and</w:t>
      </w:r>
      <w:r w:rsidRPr="00707959">
        <w:rPr>
          <w:rFonts w:ascii="Times New Roman" w:hAnsi="Times New Roman" w:cs="Times New Roman"/>
          <w:sz w:val="24"/>
          <w:szCs w:val="24"/>
        </w:rPr>
        <w:t xml:space="preserve"> estimated O&amp;M costs influenced </w:t>
      </w:r>
      <w:proofErr w:type="spellStart"/>
      <w:r w:rsidRPr="00707959">
        <w:rPr>
          <w:rFonts w:ascii="Times New Roman" w:hAnsi="Times New Roman" w:cs="Times New Roman"/>
          <w:sz w:val="24"/>
          <w:szCs w:val="24"/>
        </w:rPr>
        <w:t>Kraton’s</w:t>
      </w:r>
      <w:proofErr w:type="spellEnd"/>
      <w:r w:rsidRPr="00707959">
        <w:rPr>
          <w:rFonts w:ascii="Times New Roman" w:hAnsi="Times New Roman" w:cs="Times New Roman"/>
          <w:sz w:val="24"/>
          <w:szCs w:val="24"/>
        </w:rPr>
        <w:t xml:space="preserve"> decision to construct its CHP facilities.</w:t>
      </w:r>
      <w:r w:rsidR="001B4FB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1B4FBA">
        <w:rPr>
          <w:rFonts w:ascii="Times New Roman" w:hAnsi="Times New Roman" w:cs="Times New Roman"/>
          <w:sz w:val="24"/>
          <w:szCs w:val="24"/>
        </w:rPr>
        <w:t xml:space="preserve"> </w:t>
      </w:r>
      <w:r w:rsidR="006379F2" w:rsidRPr="00707959">
        <w:rPr>
          <w:rFonts w:ascii="Times New Roman" w:hAnsi="Times New Roman" w:cs="Times New Roman"/>
          <w:sz w:val="24"/>
          <w:szCs w:val="24"/>
        </w:rPr>
        <w:t>T</w:t>
      </w:r>
      <w:r w:rsidRPr="00707959">
        <w:rPr>
          <w:rFonts w:ascii="Times New Roman" w:hAnsi="Times New Roman" w:cs="Times New Roman"/>
          <w:sz w:val="24"/>
          <w:szCs w:val="24"/>
        </w:rPr>
        <w:t xml:space="preserve">he availability of incentive </w:t>
      </w:r>
      <w:r w:rsidRPr="001B4FBA">
        <w:rPr>
          <w:rFonts w:ascii="Times New Roman" w:hAnsi="Times New Roman" w:cs="Times New Roman"/>
          <w:sz w:val="24"/>
          <w:szCs w:val="24"/>
        </w:rPr>
        <w:t xml:space="preserve">payments </w:t>
      </w:r>
      <w:r w:rsidR="006379F2" w:rsidRPr="001B4FBA">
        <w:rPr>
          <w:rFonts w:ascii="Times New Roman" w:hAnsi="Times New Roman" w:cs="Times New Roman"/>
          <w:sz w:val="24"/>
          <w:szCs w:val="24"/>
        </w:rPr>
        <w:t xml:space="preserve">under Ohio law </w:t>
      </w:r>
      <w:r w:rsidRPr="001B4FBA">
        <w:rPr>
          <w:rFonts w:ascii="Times New Roman" w:hAnsi="Times New Roman" w:cs="Times New Roman"/>
          <w:sz w:val="24"/>
          <w:szCs w:val="24"/>
        </w:rPr>
        <w:t xml:space="preserve">was </w:t>
      </w:r>
      <w:r w:rsidR="006379F2" w:rsidRPr="001B4FBA">
        <w:rPr>
          <w:rFonts w:ascii="Times New Roman" w:hAnsi="Times New Roman" w:cs="Times New Roman"/>
          <w:sz w:val="24"/>
          <w:szCs w:val="24"/>
        </w:rPr>
        <w:t xml:space="preserve">among the </w:t>
      </w:r>
      <w:r w:rsidRPr="001B4FBA">
        <w:rPr>
          <w:rFonts w:ascii="Times New Roman" w:hAnsi="Times New Roman" w:cs="Times New Roman"/>
          <w:sz w:val="24"/>
          <w:szCs w:val="24"/>
        </w:rPr>
        <w:t>material factor</w:t>
      </w:r>
      <w:r w:rsidR="006379F2" w:rsidRPr="001B4FBA">
        <w:rPr>
          <w:rFonts w:ascii="Times New Roman" w:hAnsi="Times New Roman" w:cs="Times New Roman"/>
          <w:sz w:val="24"/>
          <w:szCs w:val="24"/>
        </w:rPr>
        <w:t>s</w:t>
      </w:r>
      <w:r w:rsidRPr="001B4F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4FBA">
        <w:rPr>
          <w:rFonts w:ascii="Times New Roman" w:hAnsi="Times New Roman" w:cs="Times New Roman"/>
          <w:sz w:val="24"/>
          <w:szCs w:val="24"/>
        </w:rPr>
        <w:t>Kraton’s</w:t>
      </w:r>
      <w:proofErr w:type="spellEnd"/>
      <w:r w:rsidRPr="001B4FBA">
        <w:rPr>
          <w:rFonts w:ascii="Times New Roman" w:hAnsi="Times New Roman" w:cs="Times New Roman"/>
          <w:sz w:val="24"/>
          <w:szCs w:val="24"/>
        </w:rPr>
        <w:t xml:space="preserve"> decision to develop the CHP project in the first place</w:t>
      </w:r>
      <w:r w:rsidR="001B4FBA" w:rsidRPr="001B4FBA">
        <w:rPr>
          <w:rFonts w:ascii="Times New Roman" w:hAnsi="Times New Roman" w:cs="Times New Roman"/>
          <w:sz w:val="24"/>
          <w:szCs w:val="24"/>
        </w:rPr>
        <w:t xml:space="preserve">, as was this Commission’s prior approval of AEP’s </w:t>
      </w:r>
      <w:r w:rsidR="001B4FBA" w:rsidRPr="001B4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comprehensive energy efficiency and peak-demand reduction program portfolio plan.</w:t>
      </w:r>
    </w:p>
    <w:p w:rsidR="007B6030" w:rsidRPr="001B4FBA" w:rsidRDefault="007B6030" w:rsidP="00DD3F79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b/>
          <w:sz w:val="24"/>
          <w:szCs w:val="24"/>
          <w:shd w:val="clear" w:color="auto" w:fill="EDEEF0"/>
        </w:rPr>
      </w:pPr>
      <w:r w:rsidRPr="001B4FBA">
        <w:rPr>
          <w:rFonts w:ascii="Times New Roman" w:hAnsi="Times New Roman"/>
          <w:b/>
          <w:sz w:val="24"/>
          <w:szCs w:val="24"/>
        </w:rPr>
        <w:t>COMMENTS AND OBJECTI</w:t>
      </w:r>
      <w:r w:rsidR="001B4FBA">
        <w:rPr>
          <w:rFonts w:ascii="Times New Roman" w:hAnsi="Times New Roman"/>
          <w:b/>
          <w:sz w:val="24"/>
          <w:szCs w:val="24"/>
        </w:rPr>
        <w:t>ONS BY THIRD PARTIES TO THE AGREEMENT BETWEEN AEP AND KRATON.</w:t>
      </w:r>
    </w:p>
    <w:p w:rsidR="001B4FBA" w:rsidRPr="001B4FBA" w:rsidRDefault="001B4FBA" w:rsidP="001B4FBA">
      <w:pPr>
        <w:pStyle w:val="ListParagraph"/>
        <w:rPr>
          <w:rFonts w:ascii="Times New Roman" w:hAnsi="Times New Roman"/>
          <w:b/>
          <w:sz w:val="24"/>
          <w:szCs w:val="24"/>
          <w:shd w:val="clear" w:color="auto" w:fill="EDEEF0"/>
        </w:rPr>
      </w:pPr>
    </w:p>
    <w:p w:rsidR="00BB2EF0" w:rsidRDefault="003671F0" w:rsidP="00BB2EF0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707959">
        <w:rPr>
          <w:rFonts w:ascii="Times New Roman" w:hAnsi="Times New Roman" w:cs="Times New Roman"/>
          <w:sz w:val="24"/>
          <w:szCs w:val="24"/>
        </w:rPr>
        <w:t>E</w:t>
      </w:r>
      <w:r w:rsidR="00A44681" w:rsidRPr="00707959">
        <w:rPr>
          <w:rFonts w:ascii="Times New Roman" w:hAnsi="Times New Roman" w:cs="Times New Roman"/>
          <w:sz w:val="24"/>
          <w:szCs w:val="24"/>
        </w:rPr>
        <w:t xml:space="preserve">ntities </w:t>
      </w:r>
      <w:r w:rsidRPr="00707959">
        <w:rPr>
          <w:rFonts w:ascii="Times New Roman" w:hAnsi="Times New Roman" w:cs="Times New Roman"/>
          <w:sz w:val="24"/>
          <w:szCs w:val="24"/>
        </w:rPr>
        <w:t>that have inter</w:t>
      </w:r>
      <w:r w:rsidR="007A3504" w:rsidRPr="00707959">
        <w:rPr>
          <w:rFonts w:ascii="Times New Roman" w:hAnsi="Times New Roman" w:cs="Times New Roman"/>
          <w:sz w:val="24"/>
          <w:szCs w:val="24"/>
        </w:rPr>
        <w:t xml:space="preserve">vened in this proceeding </w:t>
      </w:r>
      <w:r w:rsidRPr="00707959">
        <w:rPr>
          <w:rFonts w:ascii="Times New Roman" w:hAnsi="Times New Roman" w:cs="Times New Roman"/>
          <w:sz w:val="24"/>
          <w:szCs w:val="24"/>
        </w:rPr>
        <w:t xml:space="preserve">are all generally supportive of </w:t>
      </w:r>
      <w:r w:rsidR="00A44681" w:rsidRPr="00707959">
        <w:rPr>
          <w:rFonts w:ascii="Times New Roman" w:hAnsi="Times New Roman" w:cs="Times New Roman"/>
          <w:sz w:val="24"/>
          <w:szCs w:val="24"/>
        </w:rPr>
        <w:t xml:space="preserve">the application.  </w:t>
      </w:r>
      <w:proofErr w:type="spellStart"/>
      <w:r w:rsidR="001B4FBA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3332EB">
        <w:rPr>
          <w:rFonts w:ascii="Times New Roman" w:hAnsi="Times New Roman" w:cs="Times New Roman"/>
          <w:sz w:val="24"/>
          <w:szCs w:val="24"/>
        </w:rPr>
        <w:t xml:space="preserve"> sincerely</w:t>
      </w:r>
      <w:r w:rsidR="001B4FBA">
        <w:rPr>
          <w:rFonts w:ascii="Times New Roman" w:hAnsi="Times New Roman" w:cs="Times New Roman"/>
          <w:sz w:val="24"/>
          <w:szCs w:val="24"/>
        </w:rPr>
        <w:t xml:space="preserve"> appreciates that support.  </w:t>
      </w:r>
      <w:r w:rsidRPr="00BB2EF0">
        <w:rPr>
          <w:rFonts w:ascii="Times New Roman" w:hAnsi="Times New Roman"/>
          <w:sz w:val="24"/>
          <w:szCs w:val="24"/>
        </w:rPr>
        <w:t xml:space="preserve">Each of those </w:t>
      </w:r>
      <w:r w:rsidR="007A3504" w:rsidRPr="00BB2EF0">
        <w:rPr>
          <w:rFonts w:ascii="Times New Roman" w:hAnsi="Times New Roman"/>
          <w:sz w:val="24"/>
          <w:szCs w:val="24"/>
        </w:rPr>
        <w:t xml:space="preserve">entities, however, </w:t>
      </w:r>
      <w:r w:rsidR="007B6030" w:rsidRPr="00BB2EF0">
        <w:rPr>
          <w:rFonts w:ascii="Times New Roman" w:hAnsi="Times New Roman"/>
          <w:sz w:val="24"/>
          <w:szCs w:val="24"/>
        </w:rPr>
        <w:t xml:space="preserve">has also used </w:t>
      </w:r>
      <w:r w:rsidR="007A3504" w:rsidRPr="00BB2EF0">
        <w:rPr>
          <w:rFonts w:ascii="Times New Roman" w:hAnsi="Times New Roman"/>
          <w:sz w:val="24"/>
          <w:szCs w:val="24"/>
        </w:rPr>
        <w:t xml:space="preserve">the </w:t>
      </w:r>
      <w:r w:rsidR="00052C8F" w:rsidRPr="00BB2EF0">
        <w:rPr>
          <w:rFonts w:ascii="Times New Roman" w:hAnsi="Times New Roman"/>
          <w:sz w:val="24"/>
          <w:szCs w:val="24"/>
        </w:rPr>
        <w:t xml:space="preserve">docketing of this </w:t>
      </w:r>
      <w:r w:rsidR="007A3504" w:rsidRPr="00BB2EF0">
        <w:rPr>
          <w:rFonts w:ascii="Times New Roman" w:hAnsi="Times New Roman"/>
          <w:sz w:val="24"/>
          <w:szCs w:val="24"/>
        </w:rPr>
        <w:t xml:space="preserve">application </w:t>
      </w:r>
      <w:r w:rsidRPr="00BB2EF0">
        <w:rPr>
          <w:rFonts w:ascii="Times New Roman" w:hAnsi="Times New Roman"/>
          <w:sz w:val="24"/>
          <w:szCs w:val="24"/>
        </w:rPr>
        <w:t xml:space="preserve">as an opportunity to raise </w:t>
      </w:r>
      <w:r w:rsidR="004F7D5C" w:rsidRPr="00BB2EF0">
        <w:rPr>
          <w:rFonts w:ascii="Times New Roman" w:hAnsi="Times New Roman"/>
          <w:sz w:val="24"/>
          <w:szCs w:val="24"/>
        </w:rPr>
        <w:t xml:space="preserve">various </w:t>
      </w:r>
      <w:r w:rsidR="00A44681" w:rsidRPr="00BB2EF0">
        <w:rPr>
          <w:rFonts w:ascii="Times New Roman" w:hAnsi="Times New Roman"/>
          <w:sz w:val="24"/>
          <w:szCs w:val="24"/>
        </w:rPr>
        <w:t xml:space="preserve">public </w:t>
      </w:r>
      <w:r w:rsidR="004F7D5C" w:rsidRPr="00BB2EF0">
        <w:rPr>
          <w:rFonts w:ascii="Times New Roman" w:hAnsi="Times New Roman"/>
          <w:sz w:val="24"/>
          <w:szCs w:val="24"/>
        </w:rPr>
        <w:t>policy concern</w:t>
      </w:r>
      <w:r w:rsidR="007A3504" w:rsidRPr="00BB2EF0">
        <w:rPr>
          <w:rFonts w:ascii="Times New Roman" w:hAnsi="Times New Roman"/>
          <w:sz w:val="24"/>
          <w:szCs w:val="24"/>
        </w:rPr>
        <w:t xml:space="preserve">s each </w:t>
      </w:r>
      <w:r w:rsidR="001B4FBA" w:rsidRPr="00BB2EF0">
        <w:rPr>
          <w:rFonts w:ascii="Times New Roman" w:hAnsi="Times New Roman"/>
          <w:sz w:val="24"/>
          <w:szCs w:val="24"/>
        </w:rPr>
        <w:t>believes this Commission should find</w:t>
      </w:r>
      <w:r w:rsidR="007A3504" w:rsidRPr="00BB2EF0">
        <w:rPr>
          <w:rFonts w:ascii="Times New Roman" w:hAnsi="Times New Roman"/>
          <w:sz w:val="24"/>
          <w:szCs w:val="24"/>
        </w:rPr>
        <w:t xml:space="preserve"> important</w:t>
      </w:r>
      <w:r w:rsidRPr="00BB2EF0">
        <w:rPr>
          <w:rFonts w:ascii="Times New Roman" w:hAnsi="Times New Roman"/>
          <w:sz w:val="24"/>
          <w:szCs w:val="24"/>
        </w:rPr>
        <w:t>, and</w:t>
      </w:r>
      <w:r w:rsidR="001B4FBA" w:rsidRPr="00BB2EF0">
        <w:rPr>
          <w:rFonts w:ascii="Times New Roman" w:hAnsi="Times New Roman"/>
          <w:sz w:val="24"/>
          <w:szCs w:val="24"/>
        </w:rPr>
        <w:t xml:space="preserve"> to press solutions to tho</w:t>
      </w:r>
      <w:r w:rsidRPr="00BB2EF0">
        <w:rPr>
          <w:rFonts w:ascii="Times New Roman" w:hAnsi="Times New Roman"/>
          <w:sz w:val="24"/>
          <w:szCs w:val="24"/>
        </w:rPr>
        <w:t>se concerns</w:t>
      </w:r>
      <w:r w:rsidR="00052C8F" w:rsidRPr="00BB2EF0">
        <w:rPr>
          <w:rFonts w:ascii="Times New Roman" w:hAnsi="Times New Roman"/>
          <w:sz w:val="24"/>
          <w:szCs w:val="24"/>
        </w:rPr>
        <w:t xml:space="preserve"> they believe to be sound policy</w:t>
      </w:r>
      <w:r w:rsidR="004F7D5C" w:rsidRPr="00BB2EF0">
        <w:rPr>
          <w:rFonts w:ascii="Times New Roman" w:hAnsi="Times New Roman"/>
          <w:sz w:val="24"/>
          <w:szCs w:val="24"/>
        </w:rPr>
        <w:t xml:space="preserve">.  </w:t>
      </w:r>
      <w:r w:rsidR="00A44681" w:rsidRPr="00BB2EF0">
        <w:rPr>
          <w:rFonts w:ascii="Times New Roman" w:hAnsi="Times New Roman"/>
          <w:sz w:val="24"/>
          <w:szCs w:val="24"/>
        </w:rPr>
        <w:t xml:space="preserve"> For example,</w:t>
      </w:r>
      <w:r w:rsidRPr="00BB2EF0">
        <w:rPr>
          <w:rFonts w:ascii="Times New Roman" w:hAnsi="Times New Roman"/>
          <w:sz w:val="24"/>
          <w:szCs w:val="24"/>
        </w:rPr>
        <w:t xml:space="preserve"> the Industrial Energy Users of Ohio</w:t>
      </w:r>
      <w:r w:rsidR="00A44681" w:rsidRPr="00BB2EF0">
        <w:rPr>
          <w:rFonts w:ascii="Times New Roman" w:hAnsi="Times New Roman"/>
          <w:sz w:val="24"/>
          <w:szCs w:val="24"/>
        </w:rPr>
        <w:t xml:space="preserve"> </w:t>
      </w:r>
      <w:r w:rsidRPr="00BB2EF0">
        <w:rPr>
          <w:rFonts w:ascii="Times New Roman" w:hAnsi="Times New Roman"/>
          <w:sz w:val="24"/>
          <w:szCs w:val="24"/>
        </w:rPr>
        <w:t>(IEU-Ohio)</w:t>
      </w:r>
      <w:r w:rsidR="007A3504" w:rsidRPr="00BB2EF0">
        <w:rPr>
          <w:rFonts w:ascii="Times New Roman" w:hAnsi="Times New Roman"/>
          <w:sz w:val="24"/>
          <w:szCs w:val="24"/>
        </w:rPr>
        <w:t xml:space="preserve"> suggests that </w:t>
      </w:r>
      <w:r w:rsidR="004F7D5C" w:rsidRPr="00BB2EF0">
        <w:rPr>
          <w:rFonts w:ascii="Times New Roman" w:hAnsi="Times New Roman"/>
          <w:sz w:val="24"/>
          <w:szCs w:val="24"/>
        </w:rPr>
        <w:t>AEP is modifying its portfolio plan to create an</w:t>
      </w:r>
      <w:r w:rsidR="006E55F3" w:rsidRPr="00BB2EF0">
        <w:rPr>
          <w:rFonts w:ascii="Times New Roman" w:hAnsi="Times New Roman"/>
          <w:sz w:val="24"/>
          <w:szCs w:val="24"/>
        </w:rPr>
        <w:t xml:space="preserve"> opt-ou</w:t>
      </w:r>
      <w:r w:rsidRPr="00BB2EF0">
        <w:rPr>
          <w:rFonts w:ascii="Times New Roman" w:hAnsi="Times New Roman"/>
          <w:sz w:val="24"/>
          <w:szCs w:val="24"/>
        </w:rPr>
        <w:t xml:space="preserve">t opportunity for </w:t>
      </w:r>
      <w:proofErr w:type="spellStart"/>
      <w:r w:rsidRPr="00BB2EF0">
        <w:rPr>
          <w:rFonts w:ascii="Times New Roman" w:hAnsi="Times New Roman"/>
          <w:sz w:val="24"/>
          <w:szCs w:val="24"/>
        </w:rPr>
        <w:t>Kraton</w:t>
      </w:r>
      <w:proofErr w:type="spellEnd"/>
      <w:r w:rsidRPr="00BB2EF0">
        <w:rPr>
          <w:rFonts w:ascii="Times New Roman" w:hAnsi="Times New Roman"/>
          <w:sz w:val="24"/>
          <w:szCs w:val="24"/>
        </w:rPr>
        <w:t xml:space="preserve">, and indicates it </w:t>
      </w:r>
      <w:r w:rsidR="007A3504" w:rsidRPr="00BB2EF0">
        <w:rPr>
          <w:rFonts w:ascii="Times New Roman" w:hAnsi="Times New Roman"/>
          <w:sz w:val="24"/>
          <w:szCs w:val="24"/>
        </w:rPr>
        <w:t xml:space="preserve">would like to secure </w:t>
      </w:r>
      <w:r w:rsidRPr="00BB2EF0">
        <w:rPr>
          <w:rFonts w:ascii="Times New Roman" w:hAnsi="Times New Roman"/>
          <w:sz w:val="24"/>
          <w:szCs w:val="24"/>
        </w:rPr>
        <w:t xml:space="preserve">a similar opt-out option for </w:t>
      </w:r>
      <w:r w:rsidR="007A3504" w:rsidRPr="00BB2EF0">
        <w:rPr>
          <w:rFonts w:ascii="Times New Roman" w:hAnsi="Times New Roman"/>
          <w:sz w:val="24"/>
          <w:szCs w:val="24"/>
        </w:rPr>
        <w:t>others</w:t>
      </w:r>
      <w:r w:rsidRPr="00BB2EF0">
        <w:rPr>
          <w:rFonts w:ascii="Times New Roman" w:hAnsi="Times New Roman"/>
          <w:sz w:val="24"/>
          <w:szCs w:val="24"/>
        </w:rPr>
        <w:t xml:space="preserve"> </w:t>
      </w:r>
      <w:r w:rsidR="001B4FBA" w:rsidRPr="00BB2EF0">
        <w:rPr>
          <w:rFonts w:ascii="Times New Roman" w:hAnsi="Times New Roman"/>
          <w:sz w:val="24"/>
          <w:szCs w:val="24"/>
        </w:rPr>
        <w:t>represented by IEU-Ohio</w:t>
      </w:r>
      <w:r w:rsidRPr="00BB2EF0">
        <w:rPr>
          <w:rFonts w:ascii="Times New Roman" w:hAnsi="Times New Roman"/>
          <w:sz w:val="24"/>
          <w:szCs w:val="24"/>
        </w:rPr>
        <w:t>.  It also opposes granting AEP relief from the shared savings cap</w:t>
      </w:r>
      <w:r w:rsidR="007A3504" w:rsidRPr="00BB2EF0">
        <w:rPr>
          <w:rFonts w:ascii="Times New Roman" w:hAnsi="Times New Roman"/>
          <w:sz w:val="24"/>
          <w:szCs w:val="24"/>
        </w:rPr>
        <w:t xml:space="preserve">.  </w:t>
      </w:r>
      <w:r w:rsidRPr="00BB2EF0">
        <w:rPr>
          <w:rFonts w:ascii="Times New Roman" w:hAnsi="Times New Roman"/>
          <w:sz w:val="24"/>
          <w:szCs w:val="24"/>
        </w:rPr>
        <w:t>The Ohio Manufac</w:t>
      </w:r>
      <w:r w:rsidR="001B4FBA" w:rsidRPr="00BB2EF0">
        <w:rPr>
          <w:rFonts w:ascii="Times New Roman" w:hAnsi="Times New Roman"/>
          <w:sz w:val="24"/>
          <w:szCs w:val="24"/>
        </w:rPr>
        <w:t>turing Association Energy Group</w:t>
      </w:r>
      <w:r w:rsidRPr="00BB2EF0">
        <w:rPr>
          <w:rFonts w:ascii="Times New Roman" w:hAnsi="Times New Roman"/>
          <w:sz w:val="24"/>
          <w:szCs w:val="24"/>
        </w:rPr>
        <w:t xml:space="preserve"> (</w:t>
      </w:r>
      <w:r w:rsidR="007B6030" w:rsidRPr="00BB2EF0">
        <w:rPr>
          <w:rFonts w:ascii="Times New Roman" w:hAnsi="Times New Roman"/>
          <w:sz w:val="24"/>
          <w:szCs w:val="24"/>
        </w:rPr>
        <w:t>“</w:t>
      </w:r>
      <w:r w:rsidR="007A3504" w:rsidRPr="00BB2EF0">
        <w:rPr>
          <w:rFonts w:ascii="Times New Roman" w:hAnsi="Times New Roman"/>
          <w:sz w:val="24"/>
          <w:szCs w:val="24"/>
        </w:rPr>
        <w:t>OMAEG</w:t>
      </w:r>
      <w:r w:rsidR="007B6030" w:rsidRPr="00BB2EF0">
        <w:rPr>
          <w:rFonts w:ascii="Times New Roman" w:hAnsi="Times New Roman"/>
          <w:sz w:val="24"/>
          <w:szCs w:val="24"/>
        </w:rPr>
        <w:t>”</w:t>
      </w:r>
      <w:r w:rsidRPr="00BB2EF0">
        <w:rPr>
          <w:rFonts w:ascii="Times New Roman" w:hAnsi="Times New Roman"/>
          <w:sz w:val="24"/>
          <w:szCs w:val="24"/>
        </w:rPr>
        <w:t>), joined b</w:t>
      </w:r>
      <w:r w:rsidR="0081791C" w:rsidRPr="00BB2EF0">
        <w:rPr>
          <w:rFonts w:ascii="Times New Roman" w:hAnsi="Times New Roman"/>
          <w:sz w:val="24"/>
          <w:szCs w:val="24"/>
        </w:rPr>
        <w:t>y the Ohio Environmental Council, Natural Resources Defense Council, Envi</w:t>
      </w:r>
      <w:r w:rsidR="006E55F3" w:rsidRPr="00BB2EF0">
        <w:rPr>
          <w:rFonts w:ascii="Times New Roman" w:hAnsi="Times New Roman"/>
          <w:sz w:val="24"/>
          <w:szCs w:val="24"/>
        </w:rPr>
        <w:t>ronmental Law &amp; Policy Center, a</w:t>
      </w:r>
      <w:r w:rsidR="0081791C" w:rsidRPr="00BB2EF0">
        <w:rPr>
          <w:rFonts w:ascii="Times New Roman" w:hAnsi="Times New Roman"/>
          <w:sz w:val="24"/>
          <w:szCs w:val="24"/>
        </w:rPr>
        <w:t>nd Environmental Defense Fund (</w:t>
      </w:r>
      <w:r w:rsidR="007B6030" w:rsidRPr="00BB2EF0">
        <w:rPr>
          <w:rFonts w:ascii="Times New Roman" w:hAnsi="Times New Roman"/>
          <w:sz w:val="24"/>
          <w:szCs w:val="24"/>
        </w:rPr>
        <w:t>the “</w:t>
      </w:r>
      <w:r w:rsidR="0081791C" w:rsidRPr="00BB2EF0">
        <w:rPr>
          <w:rFonts w:ascii="Times New Roman" w:hAnsi="Times New Roman"/>
          <w:sz w:val="24"/>
          <w:szCs w:val="24"/>
        </w:rPr>
        <w:t>Environmental</w:t>
      </w:r>
      <w:r w:rsidR="007B6030" w:rsidRPr="00BB2EF0">
        <w:rPr>
          <w:rFonts w:ascii="Times New Roman" w:hAnsi="Times New Roman"/>
          <w:sz w:val="24"/>
          <w:szCs w:val="24"/>
        </w:rPr>
        <w:t xml:space="preserve"> Advocate Groups”</w:t>
      </w:r>
      <w:r w:rsidR="0081791C" w:rsidRPr="00BB2EF0">
        <w:rPr>
          <w:rFonts w:ascii="Times New Roman" w:hAnsi="Times New Roman"/>
          <w:sz w:val="24"/>
          <w:szCs w:val="24"/>
        </w:rPr>
        <w:t>), all complain</w:t>
      </w:r>
      <w:r w:rsidR="007A3504" w:rsidRPr="00BB2EF0">
        <w:rPr>
          <w:rFonts w:ascii="Times New Roman" w:hAnsi="Times New Roman"/>
          <w:sz w:val="24"/>
          <w:szCs w:val="24"/>
        </w:rPr>
        <w:t xml:space="preserve"> that the incentive payment AEP is </w:t>
      </w:r>
      <w:r w:rsidR="007B6030" w:rsidRPr="00BB2EF0">
        <w:rPr>
          <w:rFonts w:ascii="Times New Roman" w:hAnsi="Times New Roman"/>
          <w:sz w:val="24"/>
          <w:szCs w:val="24"/>
        </w:rPr>
        <w:lastRenderedPageBreak/>
        <w:t xml:space="preserve">providing </w:t>
      </w:r>
      <w:r w:rsidRPr="00BB2EF0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BB2EF0">
        <w:rPr>
          <w:rFonts w:ascii="Times New Roman" w:hAnsi="Times New Roman"/>
          <w:sz w:val="24"/>
          <w:szCs w:val="24"/>
        </w:rPr>
        <w:t>Kraton</w:t>
      </w:r>
      <w:proofErr w:type="spellEnd"/>
      <w:r w:rsidRPr="00BB2EF0">
        <w:rPr>
          <w:rFonts w:ascii="Times New Roman" w:hAnsi="Times New Roman"/>
          <w:sz w:val="24"/>
          <w:szCs w:val="24"/>
        </w:rPr>
        <w:t xml:space="preserve"> is too low to incent </w:t>
      </w:r>
      <w:r w:rsidR="007B6030" w:rsidRPr="00BB2EF0">
        <w:rPr>
          <w:rFonts w:ascii="Times New Roman" w:hAnsi="Times New Roman"/>
          <w:sz w:val="24"/>
          <w:szCs w:val="24"/>
        </w:rPr>
        <w:t xml:space="preserve">similar </w:t>
      </w:r>
      <w:r w:rsidRPr="00BB2EF0">
        <w:rPr>
          <w:rFonts w:ascii="Times New Roman" w:hAnsi="Times New Roman"/>
          <w:sz w:val="24"/>
          <w:szCs w:val="24"/>
        </w:rPr>
        <w:t>development</w:t>
      </w:r>
      <w:r w:rsidR="007B6030" w:rsidRPr="00BB2EF0">
        <w:rPr>
          <w:rFonts w:ascii="Times New Roman" w:hAnsi="Times New Roman"/>
          <w:sz w:val="24"/>
          <w:szCs w:val="24"/>
        </w:rPr>
        <w:t>s</w:t>
      </w:r>
      <w:r w:rsidRPr="00BB2EF0">
        <w:rPr>
          <w:rFonts w:ascii="Times New Roman" w:hAnsi="Times New Roman"/>
          <w:sz w:val="24"/>
          <w:szCs w:val="24"/>
        </w:rPr>
        <w:t xml:space="preserve"> </w:t>
      </w:r>
      <w:r w:rsidR="001B4FBA" w:rsidRPr="00BB2EF0">
        <w:rPr>
          <w:rFonts w:ascii="Times New Roman" w:hAnsi="Times New Roman"/>
          <w:sz w:val="24"/>
          <w:szCs w:val="24"/>
        </w:rPr>
        <w:t xml:space="preserve"> by other mercantile customers </w:t>
      </w:r>
      <w:r w:rsidRPr="00BB2EF0">
        <w:rPr>
          <w:rFonts w:ascii="Times New Roman" w:hAnsi="Times New Roman"/>
          <w:sz w:val="24"/>
          <w:szCs w:val="24"/>
        </w:rPr>
        <w:t>(even though</w:t>
      </w:r>
      <w:r w:rsidR="007A3504" w:rsidRPr="00BB2EF0">
        <w:rPr>
          <w:rFonts w:ascii="Times New Roman" w:hAnsi="Times New Roman"/>
          <w:sz w:val="24"/>
          <w:szCs w:val="24"/>
        </w:rPr>
        <w:t>,</w:t>
      </w:r>
      <w:r w:rsidR="007B6030" w:rsidRPr="00BB2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030" w:rsidRPr="00BB2EF0">
        <w:rPr>
          <w:rFonts w:ascii="Times New Roman" w:hAnsi="Times New Roman"/>
          <w:sz w:val="24"/>
          <w:szCs w:val="24"/>
        </w:rPr>
        <w:t>Kraton</w:t>
      </w:r>
      <w:proofErr w:type="spellEnd"/>
      <w:r w:rsidR="007B6030" w:rsidRPr="00BB2EF0">
        <w:rPr>
          <w:rFonts w:ascii="Times New Roman" w:hAnsi="Times New Roman"/>
          <w:sz w:val="24"/>
          <w:szCs w:val="24"/>
        </w:rPr>
        <w:t xml:space="preserve"> presumes</w:t>
      </w:r>
      <w:r w:rsidR="007A3504" w:rsidRPr="00BB2EF0">
        <w:rPr>
          <w:rFonts w:ascii="Times New Roman" w:hAnsi="Times New Roman"/>
          <w:sz w:val="24"/>
          <w:szCs w:val="24"/>
        </w:rPr>
        <w:t xml:space="preserve">, </w:t>
      </w:r>
      <w:r w:rsidR="001B4FBA" w:rsidRPr="00BB2EF0">
        <w:rPr>
          <w:rFonts w:ascii="Times New Roman" w:hAnsi="Times New Roman"/>
          <w:sz w:val="24"/>
          <w:szCs w:val="24"/>
        </w:rPr>
        <w:t xml:space="preserve">any increase in incentive payments paid by </w:t>
      </w:r>
      <w:r w:rsidR="00DD3F79" w:rsidRPr="00BB2EF0">
        <w:rPr>
          <w:rFonts w:ascii="Times New Roman" w:hAnsi="Times New Roman"/>
          <w:sz w:val="24"/>
          <w:szCs w:val="24"/>
        </w:rPr>
        <w:t>Ohio Power</w:t>
      </w:r>
      <w:r w:rsidR="007A3504" w:rsidRPr="00BB2EF0">
        <w:rPr>
          <w:rFonts w:ascii="Times New Roman" w:hAnsi="Times New Roman"/>
          <w:sz w:val="24"/>
          <w:szCs w:val="24"/>
        </w:rPr>
        <w:t xml:space="preserve"> </w:t>
      </w:r>
      <w:r w:rsidR="00E5432D" w:rsidRPr="00BB2EF0">
        <w:rPr>
          <w:rFonts w:ascii="Times New Roman" w:hAnsi="Times New Roman"/>
          <w:sz w:val="24"/>
          <w:szCs w:val="24"/>
        </w:rPr>
        <w:t xml:space="preserve">will justify a </w:t>
      </w:r>
      <w:r w:rsidR="00DD3F79" w:rsidRPr="00BB2EF0">
        <w:rPr>
          <w:rFonts w:ascii="Times New Roman" w:hAnsi="Times New Roman"/>
          <w:sz w:val="24"/>
          <w:szCs w:val="24"/>
        </w:rPr>
        <w:t xml:space="preserve">larger </w:t>
      </w:r>
      <w:r w:rsidRPr="00BB2EF0">
        <w:rPr>
          <w:rFonts w:ascii="Times New Roman" w:hAnsi="Times New Roman"/>
          <w:sz w:val="24"/>
          <w:szCs w:val="24"/>
        </w:rPr>
        <w:t>recover</w:t>
      </w:r>
      <w:r w:rsidR="00E5432D" w:rsidRPr="00BB2EF0">
        <w:rPr>
          <w:rFonts w:ascii="Times New Roman" w:hAnsi="Times New Roman"/>
          <w:sz w:val="24"/>
          <w:szCs w:val="24"/>
        </w:rPr>
        <w:t>y</w:t>
      </w:r>
      <w:r w:rsidRPr="00BB2EF0">
        <w:rPr>
          <w:rFonts w:ascii="Times New Roman" w:hAnsi="Times New Roman"/>
          <w:sz w:val="24"/>
          <w:szCs w:val="24"/>
        </w:rPr>
        <w:t xml:space="preserve"> </w:t>
      </w:r>
      <w:r w:rsidR="00DD3F79" w:rsidRPr="00BB2EF0">
        <w:rPr>
          <w:rFonts w:ascii="Times New Roman" w:hAnsi="Times New Roman"/>
          <w:sz w:val="24"/>
          <w:szCs w:val="24"/>
        </w:rPr>
        <w:t xml:space="preserve">from customers of Ohio Power, </w:t>
      </w:r>
      <w:r w:rsidR="007A3504" w:rsidRPr="00BB2EF0">
        <w:rPr>
          <w:rFonts w:ascii="Times New Roman" w:hAnsi="Times New Roman"/>
          <w:sz w:val="24"/>
          <w:szCs w:val="24"/>
        </w:rPr>
        <w:t>through its energy efficiency recovery rid</w:t>
      </w:r>
      <w:r w:rsidR="008030A4" w:rsidRPr="00BB2EF0">
        <w:rPr>
          <w:rFonts w:ascii="Times New Roman" w:hAnsi="Times New Roman"/>
          <w:sz w:val="24"/>
          <w:szCs w:val="24"/>
        </w:rPr>
        <w:t>er</w:t>
      </w:r>
      <w:r w:rsidRPr="00BB2EF0">
        <w:rPr>
          <w:rFonts w:ascii="Times New Roman" w:hAnsi="Times New Roman"/>
          <w:sz w:val="24"/>
          <w:szCs w:val="24"/>
        </w:rPr>
        <w:t>)</w:t>
      </w:r>
      <w:r w:rsidR="008030A4" w:rsidRPr="00BB2EF0">
        <w:rPr>
          <w:rFonts w:ascii="Times New Roman" w:hAnsi="Times New Roman"/>
          <w:sz w:val="24"/>
          <w:szCs w:val="24"/>
        </w:rPr>
        <w:t xml:space="preserve">.  </w:t>
      </w:r>
      <w:r w:rsidR="007B6030" w:rsidRPr="00BB2EF0">
        <w:rPr>
          <w:rFonts w:ascii="Times New Roman" w:hAnsi="Times New Roman"/>
          <w:sz w:val="24"/>
          <w:szCs w:val="24"/>
        </w:rPr>
        <w:t xml:space="preserve">Moreover, </w:t>
      </w:r>
      <w:r w:rsidR="0081791C" w:rsidRPr="00BB2EF0">
        <w:rPr>
          <w:rFonts w:ascii="Times New Roman" w:hAnsi="Times New Roman"/>
          <w:sz w:val="24"/>
          <w:szCs w:val="24"/>
        </w:rPr>
        <w:t xml:space="preserve">both the Environmental </w:t>
      </w:r>
      <w:r w:rsidR="007B6030" w:rsidRPr="00BB2EF0">
        <w:rPr>
          <w:rFonts w:ascii="Times New Roman" w:hAnsi="Times New Roman"/>
          <w:sz w:val="24"/>
          <w:szCs w:val="24"/>
        </w:rPr>
        <w:t xml:space="preserve">Advocacy </w:t>
      </w:r>
      <w:r w:rsidR="0081791C" w:rsidRPr="00BB2EF0">
        <w:rPr>
          <w:rFonts w:ascii="Times New Roman" w:hAnsi="Times New Roman"/>
          <w:sz w:val="24"/>
          <w:szCs w:val="24"/>
        </w:rPr>
        <w:t>Groups and OMAEG</w:t>
      </w:r>
      <w:r w:rsidR="007B6030" w:rsidRPr="00BB2EF0">
        <w:rPr>
          <w:rFonts w:ascii="Times New Roman" w:hAnsi="Times New Roman"/>
          <w:sz w:val="24"/>
          <w:szCs w:val="24"/>
        </w:rPr>
        <w:t xml:space="preserve"> </w:t>
      </w:r>
      <w:r w:rsidR="0081791C" w:rsidRPr="00BB2EF0">
        <w:rPr>
          <w:rFonts w:ascii="Times New Roman" w:hAnsi="Times New Roman"/>
          <w:sz w:val="24"/>
          <w:szCs w:val="24"/>
        </w:rPr>
        <w:t>want this Commission to direct AEP to</w:t>
      </w:r>
      <w:r w:rsidR="00E5432D" w:rsidRPr="00BB2EF0">
        <w:rPr>
          <w:rFonts w:ascii="Times New Roman" w:hAnsi="Times New Roman"/>
          <w:sz w:val="24"/>
          <w:szCs w:val="24"/>
        </w:rPr>
        <w:t xml:space="preserve"> at least attempt to </w:t>
      </w:r>
      <w:r w:rsidR="0081791C" w:rsidRPr="00BB2EF0">
        <w:rPr>
          <w:rFonts w:ascii="Times New Roman" w:hAnsi="Times New Roman"/>
          <w:sz w:val="24"/>
          <w:szCs w:val="24"/>
        </w:rPr>
        <w:t xml:space="preserve"> convince</w:t>
      </w:r>
      <w:r w:rsidR="00D34124">
        <w:rPr>
          <w:rFonts w:ascii="Times New Roman" w:hAnsi="Times New Roman"/>
          <w:sz w:val="24"/>
          <w:szCs w:val="24"/>
        </w:rPr>
        <w:t xml:space="preserve"> </w:t>
      </w:r>
      <w:r w:rsidR="0081791C" w:rsidRPr="00BB2EF0">
        <w:rPr>
          <w:rFonts w:ascii="Times New Roman" w:hAnsi="Times New Roman"/>
          <w:sz w:val="24"/>
          <w:szCs w:val="24"/>
        </w:rPr>
        <w:t xml:space="preserve">PJM </w:t>
      </w:r>
      <w:r w:rsidR="006379F2" w:rsidRPr="00BB2EF0">
        <w:rPr>
          <w:rFonts w:ascii="Times New Roman" w:hAnsi="Times New Roman"/>
          <w:sz w:val="24"/>
          <w:szCs w:val="24"/>
        </w:rPr>
        <w:t xml:space="preserve">Interconnection, LLC (“PJM”) </w:t>
      </w:r>
      <w:r w:rsidR="0081791C" w:rsidRPr="00BB2EF0">
        <w:rPr>
          <w:rFonts w:ascii="Times New Roman" w:hAnsi="Times New Roman"/>
          <w:sz w:val="24"/>
          <w:szCs w:val="24"/>
        </w:rPr>
        <w:t xml:space="preserve">to amend the type </w:t>
      </w:r>
      <w:r w:rsidR="006379F2" w:rsidRPr="00BB2EF0">
        <w:rPr>
          <w:rFonts w:ascii="Times New Roman" w:hAnsi="Times New Roman"/>
          <w:sz w:val="24"/>
          <w:szCs w:val="24"/>
        </w:rPr>
        <w:t xml:space="preserve">of </w:t>
      </w:r>
      <w:r w:rsidR="0081791C" w:rsidRPr="00BB2EF0">
        <w:rPr>
          <w:rFonts w:ascii="Times New Roman" w:hAnsi="Times New Roman"/>
          <w:sz w:val="24"/>
          <w:szCs w:val="24"/>
        </w:rPr>
        <w:t xml:space="preserve">(or size) energy efficiency technologies eligible for inclusion for PJM’s demand reduction/response programs </w:t>
      </w:r>
      <w:r w:rsidR="007B6030" w:rsidRPr="00BB2EF0">
        <w:rPr>
          <w:rFonts w:ascii="Times New Roman" w:hAnsi="Times New Roman"/>
          <w:sz w:val="24"/>
          <w:szCs w:val="24"/>
        </w:rPr>
        <w:t xml:space="preserve">in order to </w:t>
      </w:r>
      <w:r w:rsidR="0081791C" w:rsidRPr="00BB2EF0">
        <w:rPr>
          <w:rFonts w:ascii="Times New Roman" w:hAnsi="Times New Roman"/>
          <w:sz w:val="24"/>
          <w:szCs w:val="24"/>
        </w:rPr>
        <w:t xml:space="preserve">obtain the inclusion of </w:t>
      </w:r>
      <w:proofErr w:type="spellStart"/>
      <w:r w:rsidR="0081791C" w:rsidRPr="00BB2EF0">
        <w:rPr>
          <w:rFonts w:ascii="Times New Roman" w:hAnsi="Times New Roman"/>
          <w:sz w:val="24"/>
          <w:szCs w:val="24"/>
        </w:rPr>
        <w:t>Kraton’s</w:t>
      </w:r>
      <w:proofErr w:type="spellEnd"/>
      <w:r w:rsidR="0081791C" w:rsidRPr="00BB2EF0">
        <w:rPr>
          <w:rFonts w:ascii="Times New Roman" w:hAnsi="Times New Roman"/>
          <w:sz w:val="24"/>
          <w:szCs w:val="24"/>
        </w:rPr>
        <w:t xml:space="preserve"> CHP project.</w:t>
      </w:r>
      <w:r w:rsidR="007B6030" w:rsidRPr="00BB2EF0">
        <w:rPr>
          <w:rFonts w:ascii="Times New Roman" w:hAnsi="Times New Roman"/>
          <w:sz w:val="24"/>
          <w:szCs w:val="24"/>
        </w:rPr>
        <w:t xml:space="preserve">  The Environmental Advocacy Groups opine that there is at least “no reason not to pursue </w:t>
      </w:r>
      <w:r w:rsidR="00BB2EF0">
        <w:rPr>
          <w:rFonts w:ascii="Times New Roman" w:hAnsi="Times New Roman"/>
          <w:sz w:val="24"/>
          <w:szCs w:val="24"/>
        </w:rPr>
        <w:t>this issue with PJM.</w:t>
      </w:r>
      <w:r w:rsidR="00AF034C">
        <w:rPr>
          <w:rFonts w:ascii="Times New Roman" w:hAnsi="Times New Roman"/>
          <w:sz w:val="24"/>
          <w:szCs w:val="24"/>
        </w:rPr>
        <w:t>”</w:t>
      </w:r>
    </w:p>
    <w:p w:rsidR="007B6030" w:rsidRPr="00BB2EF0" w:rsidRDefault="007B6030" w:rsidP="00BB2EF0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BB2EF0">
        <w:rPr>
          <w:rFonts w:ascii="Times New Roman" w:hAnsi="Times New Roman"/>
          <w:b/>
          <w:sz w:val="24"/>
          <w:szCs w:val="24"/>
        </w:rPr>
        <w:t xml:space="preserve">KRATON’S RESPONSE TO THESE COMMENTS.  </w:t>
      </w:r>
    </w:p>
    <w:p w:rsidR="00AF034C" w:rsidRDefault="00BF6AF6" w:rsidP="00707959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7959">
        <w:rPr>
          <w:rFonts w:ascii="Times New Roman" w:hAnsi="Times New Roman" w:cs="Times New Roman"/>
          <w:sz w:val="24"/>
          <w:szCs w:val="24"/>
        </w:rPr>
        <w:tab/>
      </w:r>
      <w:r w:rsidR="00AF034C">
        <w:rPr>
          <w:rFonts w:ascii="Times New Roman" w:hAnsi="Times New Roman" w:cs="Times New Roman"/>
          <w:sz w:val="24"/>
          <w:szCs w:val="24"/>
        </w:rPr>
        <w:t xml:space="preserve">Ohio Power Company filed initial comments in this matter on behalf of itself and </w:t>
      </w:r>
      <w:proofErr w:type="spellStart"/>
      <w:r w:rsidR="00AF034C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AF034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F034C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AF034C">
        <w:rPr>
          <w:rFonts w:ascii="Times New Roman" w:hAnsi="Times New Roman" w:cs="Times New Roman"/>
          <w:sz w:val="24"/>
          <w:szCs w:val="24"/>
        </w:rPr>
        <w:t xml:space="preserve"> joins Ohio Power Company in the Reply Comments it is filing contemporaneously with these comments.  </w:t>
      </w:r>
      <w:proofErr w:type="spellStart"/>
      <w:r w:rsidR="00AF034C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AF034C">
        <w:rPr>
          <w:rFonts w:ascii="Times New Roman" w:hAnsi="Times New Roman" w:cs="Times New Roman"/>
          <w:sz w:val="24"/>
          <w:szCs w:val="24"/>
        </w:rPr>
        <w:t xml:space="preserve"> submits these Additional Reply Comments simply to emphasize its view, as a mercantile customer.</w:t>
      </w:r>
    </w:p>
    <w:p w:rsidR="008D3DCA" w:rsidRPr="00707959" w:rsidRDefault="008D3DCA" w:rsidP="00AF034C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Pr="00707959">
        <w:rPr>
          <w:rFonts w:ascii="Times New Roman" w:hAnsi="Times New Roman" w:cs="Times New Roman"/>
          <w:sz w:val="24"/>
          <w:szCs w:val="24"/>
        </w:rPr>
        <w:t xml:space="preserve"> has no position </w:t>
      </w:r>
      <w:r w:rsidR="00AF034C">
        <w:rPr>
          <w:rFonts w:ascii="Times New Roman" w:hAnsi="Times New Roman" w:cs="Times New Roman"/>
          <w:sz w:val="24"/>
          <w:szCs w:val="24"/>
        </w:rPr>
        <w:t xml:space="preserve">at this point in time </w:t>
      </w:r>
      <w:r w:rsidRPr="00707959">
        <w:rPr>
          <w:rFonts w:ascii="Times New Roman" w:hAnsi="Times New Roman" w:cs="Times New Roman"/>
          <w:sz w:val="24"/>
          <w:szCs w:val="24"/>
        </w:rPr>
        <w:t xml:space="preserve">regarding any of the </w:t>
      </w:r>
      <w:r w:rsidR="00052C8F">
        <w:rPr>
          <w:rFonts w:ascii="Times New Roman" w:hAnsi="Times New Roman" w:cs="Times New Roman"/>
          <w:sz w:val="24"/>
          <w:szCs w:val="24"/>
        </w:rPr>
        <w:t xml:space="preserve">policy </w:t>
      </w:r>
      <w:r w:rsidRPr="00707959">
        <w:rPr>
          <w:rFonts w:ascii="Times New Roman" w:hAnsi="Times New Roman" w:cs="Times New Roman"/>
          <w:sz w:val="24"/>
          <w:szCs w:val="24"/>
        </w:rPr>
        <w:t xml:space="preserve">concerns expressed by the various interveners.  Those positions are obviously important to each of them, and may – or may not – </w:t>
      </w:r>
      <w:proofErr w:type="spellStart"/>
      <w:r w:rsidRPr="00707959">
        <w:rPr>
          <w:rFonts w:ascii="Times New Roman" w:hAnsi="Times New Roman" w:cs="Times New Roman"/>
          <w:sz w:val="24"/>
          <w:szCs w:val="24"/>
        </w:rPr>
        <w:t>some day</w:t>
      </w:r>
      <w:proofErr w:type="spellEnd"/>
      <w:r w:rsidRPr="00707959">
        <w:rPr>
          <w:rFonts w:ascii="Times New Roman" w:hAnsi="Times New Roman" w:cs="Times New Roman"/>
          <w:sz w:val="24"/>
          <w:szCs w:val="24"/>
        </w:rPr>
        <w:t xml:space="preserve"> be important to </w:t>
      </w:r>
      <w:proofErr w:type="spellStart"/>
      <w:r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Pr="00707959">
        <w:rPr>
          <w:rFonts w:ascii="Times New Roman" w:hAnsi="Times New Roman" w:cs="Times New Roman"/>
          <w:sz w:val="24"/>
          <w:szCs w:val="24"/>
        </w:rPr>
        <w:t xml:space="preserve">, as well.  But this proceeding is the wrong proceeding in which to engage in debate over those issues.   </w:t>
      </w:r>
      <w:proofErr w:type="spellStart"/>
      <w:r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Pr="00707959">
        <w:rPr>
          <w:rFonts w:ascii="Times New Roman" w:hAnsi="Times New Roman" w:cs="Times New Roman"/>
          <w:sz w:val="24"/>
          <w:szCs w:val="24"/>
        </w:rPr>
        <w:t xml:space="preserve"> understands this Commission has opened a docket</w:t>
      </w:r>
      <w:r w:rsidR="00C043C1" w:rsidRPr="00707959">
        <w:rPr>
          <w:rFonts w:ascii="Times New Roman" w:hAnsi="Times New Roman" w:cs="Times New Roman"/>
          <w:sz w:val="24"/>
          <w:szCs w:val="24"/>
        </w:rPr>
        <w:t xml:space="preserve"> (Case No. 12-2156-EL-ORD)</w:t>
      </w:r>
      <w:r w:rsidRPr="00707959">
        <w:rPr>
          <w:rFonts w:ascii="Times New Roman" w:hAnsi="Times New Roman" w:cs="Times New Roman"/>
          <w:sz w:val="24"/>
          <w:szCs w:val="24"/>
        </w:rPr>
        <w:t xml:space="preserve"> in which those issues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can </w:t>
      </w:r>
      <w:r w:rsidR="00DD3F79">
        <w:rPr>
          <w:rFonts w:ascii="Times New Roman" w:hAnsi="Times New Roman" w:cs="Times New Roman"/>
          <w:sz w:val="24"/>
          <w:szCs w:val="24"/>
        </w:rPr>
        <w:t xml:space="preserve">all </w:t>
      </w:r>
      <w:r w:rsidR="00296B0F" w:rsidRPr="00707959">
        <w:rPr>
          <w:rFonts w:ascii="Times New Roman" w:hAnsi="Times New Roman" w:cs="Times New Roman"/>
          <w:sz w:val="24"/>
          <w:szCs w:val="24"/>
        </w:rPr>
        <w:t>be raised</w:t>
      </w:r>
      <w:r w:rsidR="00C043C1" w:rsidRPr="00707959">
        <w:rPr>
          <w:rFonts w:ascii="Times New Roman" w:hAnsi="Times New Roman" w:cs="Times New Roman"/>
          <w:sz w:val="24"/>
          <w:szCs w:val="24"/>
        </w:rPr>
        <w:t xml:space="preserve">, and </w:t>
      </w:r>
      <w:r w:rsidR="00DD3F79">
        <w:rPr>
          <w:rFonts w:ascii="Times New Roman" w:hAnsi="Times New Roman" w:cs="Times New Roman"/>
          <w:sz w:val="24"/>
          <w:szCs w:val="24"/>
        </w:rPr>
        <w:t xml:space="preserve">where they all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may </w:t>
      </w:r>
      <w:r w:rsidR="00C043C1" w:rsidRPr="00707959">
        <w:rPr>
          <w:rFonts w:ascii="Times New Roman" w:hAnsi="Times New Roman" w:cs="Times New Roman"/>
          <w:sz w:val="24"/>
          <w:szCs w:val="24"/>
        </w:rPr>
        <w:t>be adjudicated</w:t>
      </w:r>
      <w:r w:rsidR="00DD3F79">
        <w:rPr>
          <w:rFonts w:ascii="Times New Roman" w:hAnsi="Times New Roman" w:cs="Times New Roman"/>
          <w:sz w:val="24"/>
          <w:szCs w:val="24"/>
        </w:rPr>
        <w:t xml:space="preserve"> by this Commission</w:t>
      </w:r>
      <w:r w:rsidRPr="007079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6B0F" w:rsidRPr="00707959" w:rsidRDefault="006379F2" w:rsidP="00707959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07959">
        <w:rPr>
          <w:rFonts w:ascii="Times New Roman" w:hAnsi="Times New Roman" w:cs="Times New Roman"/>
          <w:sz w:val="24"/>
          <w:szCs w:val="24"/>
        </w:rPr>
        <w:t>This</w:t>
      </w:r>
      <w:r w:rsidR="008D3DCA" w:rsidRPr="00707959">
        <w:rPr>
          <w:rFonts w:ascii="Times New Roman" w:hAnsi="Times New Roman" w:cs="Times New Roman"/>
          <w:sz w:val="24"/>
          <w:szCs w:val="24"/>
        </w:rPr>
        <w:t xml:space="preserve"> docket is about </w:t>
      </w:r>
      <w:proofErr w:type="spellStart"/>
      <w:r w:rsidR="008D3DCA" w:rsidRPr="00707959">
        <w:rPr>
          <w:rFonts w:ascii="Times New Roman" w:hAnsi="Times New Roman" w:cs="Times New Roman"/>
          <w:sz w:val="24"/>
          <w:szCs w:val="24"/>
        </w:rPr>
        <w:t>Kraton’s</w:t>
      </w:r>
      <w:proofErr w:type="spellEnd"/>
      <w:r w:rsidR="008D3DCA" w:rsidRPr="00707959">
        <w:rPr>
          <w:rFonts w:ascii="Times New Roman" w:hAnsi="Times New Roman" w:cs="Times New Roman"/>
          <w:sz w:val="24"/>
          <w:szCs w:val="24"/>
        </w:rPr>
        <w:t xml:space="preserve"> project and more specifically, its agreement with</w:t>
      </w:r>
      <w:r w:rsidR="00DD3F79">
        <w:rPr>
          <w:rFonts w:ascii="Times New Roman" w:hAnsi="Times New Roman" w:cs="Times New Roman"/>
          <w:sz w:val="24"/>
          <w:szCs w:val="24"/>
        </w:rPr>
        <w:t xml:space="preserve"> Ohio Power Company</w:t>
      </w:r>
      <w:r w:rsidR="008D3DCA" w:rsidRPr="0070795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D3DCA" w:rsidRPr="00707959">
        <w:rPr>
          <w:rFonts w:ascii="Times New Roman" w:hAnsi="Times New Roman" w:cs="Times New Roman"/>
          <w:sz w:val="24"/>
          <w:szCs w:val="24"/>
        </w:rPr>
        <w:t>Kraton’s</w:t>
      </w:r>
      <w:proofErr w:type="spellEnd"/>
      <w:r w:rsidR="008D3DCA" w:rsidRPr="00707959">
        <w:rPr>
          <w:rFonts w:ascii="Times New Roman" w:hAnsi="Times New Roman" w:cs="Times New Roman"/>
          <w:sz w:val="24"/>
          <w:szCs w:val="24"/>
        </w:rPr>
        <w:t xml:space="preserve"> decision to enter into an agreement with </w:t>
      </w:r>
      <w:r w:rsidR="00DD3F79">
        <w:rPr>
          <w:rFonts w:ascii="Times New Roman" w:hAnsi="Times New Roman" w:cs="Times New Roman"/>
          <w:sz w:val="24"/>
          <w:szCs w:val="24"/>
        </w:rPr>
        <w:t xml:space="preserve">Ohio Power </w:t>
      </w:r>
      <w:r w:rsidR="00DD3F79">
        <w:rPr>
          <w:rFonts w:ascii="Times New Roman" w:hAnsi="Times New Roman" w:cs="Times New Roman"/>
          <w:sz w:val="24"/>
          <w:szCs w:val="24"/>
        </w:rPr>
        <w:lastRenderedPageBreak/>
        <w:t xml:space="preserve">Company </w:t>
      </w:r>
      <w:r w:rsidR="008D3DCA" w:rsidRPr="00707959">
        <w:rPr>
          <w:rFonts w:ascii="Times New Roman" w:hAnsi="Times New Roman" w:cs="Times New Roman"/>
          <w:sz w:val="24"/>
          <w:szCs w:val="24"/>
        </w:rPr>
        <w:t xml:space="preserve">and to accept the incentive payments offered by AEP should be recognized to be one business decision made at one point in time by one company based upon one </w:t>
      </w:r>
      <w:r w:rsidR="00BF6AF6" w:rsidRPr="00707959">
        <w:rPr>
          <w:rFonts w:ascii="Times New Roman" w:hAnsi="Times New Roman" w:cs="Times New Roman"/>
          <w:sz w:val="24"/>
          <w:szCs w:val="24"/>
        </w:rPr>
        <w:t xml:space="preserve">set </w:t>
      </w:r>
      <w:r w:rsidR="008D3DCA" w:rsidRPr="00707959">
        <w:rPr>
          <w:rFonts w:ascii="Times New Roman" w:hAnsi="Times New Roman" w:cs="Times New Roman"/>
          <w:sz w:val="24"/>
          <w:szCs w:val="24"/>
        </w:rPr>
        <w:t xml:space="preserve">of unique </w:t>
      </w:r>
      <w:r w:rsidR="00C043C1" w:rsidRPr="00707959">
        <w:rPr>
          <w:rFonts w:ascii="Times New Roman" w:hAnsi="Times New Roman" w:cs="Times New Roman"/>
          <w:sz w:val="24"/>
          <w:szCs w:val="24"/>
        </w:rPr>
        <w:t xml:space="preserve">economic </w:t>
      </w:r>
      <w:r w:rsidR="008D3DCA" w:rsidRPr="00707959">
        <w:rPr>
          <w:rFonts w:ascii="Times New Roman" w:hAnsi="Times New Roman" w:cs="Times New Roman"/>
          <w:sz w:val="24"/>
          <w:szCs w:val="24"/>
        </w:rPr>
        <w:t>facts applicable to that one company.</w:t>
      </w:r>
      <w:r w:rsidR="00052C8F">
        <w:rPr>
          <w:rFonts w:ascii="Times New Roman" w:hAnsi="Times New Roman" w:cs="Times New Roman"/>
          <w:sz w:val="24"/>
          <w:szCs w:val="24"/>
        </w:rPr>
        <w:t xml:space="preserve">  Accordingly, that agreement </w:t>
      </w:r>
      <w:r w:rsidR="00052C8F" w:rsidRPr="00707959">
        <w:rPr>
          <w:rFonts w:ascii="Times New Roman" w:hAnsi="Times New Roman" w:cs="Times New Roman"/>
          <w:sz w:val="24"/>
          <w:szCs w:val="24"/>
        </w:rPr>
        <w:t xml:space="preserve">should not be deemed </w:t>
      </w:r>
      <w:r w:rsidR="00052C8F">
        <w:rPr>
          <w:rFonts w:ascii="Times New Roman" w:hAnsi="Times New Roman" w:cs="Times New Roman"/>
          <w:sz w:val="24"/>
          <w:szCs w:val="24"/>
        </w:rPr>
        <w:t xml:space="preserve">to set </w:t>
      </w:r>
      <w:r w:rsidR="00052C8F" w:rsidRPr="00707959">
        <w:rPr>
          <w:rFonts w:ascii="Times New Roman" w:hAnsi="Times New Roman" w:cs="Times New Roman"/>
          <w:sz w:val="24"/>
          <w:szCs w:val="24"/>
        </w:rPr>
        <w:t xml:space="preserve">any sort of precedent, nor should the level of incentives in this case be understood to be a “last word” upon </w:t>
      </w:r>
      <w:r w:rsidR="00052C8F">
        <w:rPr>
          <w:rFonts w:ascii="Times New Roman" w:hAnsi="Times New Roman" w:cs="Times New Roman"/>
          <w:sz w:val="24"/>
          <w:szCs w:val="24"/>
        </w:rPr>
        <w:t xml:space="preserve">the merits of </w:t>
      </w:r>
      <w:r w:rsidR="00052C8F" w:rsidRPr="00707959">
        <w:rPr>
          <w:rFonts w:ascii="Times New Roman" w:hAnsi="Times New Roman" w:cs="Times New Roman"/>
          <w:sz w:val="24"/>
          <w:szCs w:val="24"/>
        </w:rPr>
        <w:t xml:space="preserve">any other deal between any other company and </w:t>
      </w:r>
      <w:r w:rsidR="00C335EB">
        <w:rPr>
          <w:rFonts w:ascii="Times New Roman" w:hAnsi="Times New Roman" w:cs="Times New Roman"/>
          <w:sz w:val="24"/>
          <w:szCs w:val="24"/>
        </w:rPr>
        <w:t xml:space="preserve">Ohio Power Company, </w:t>
      </w:r>
      <w:r w:rsidR="00052C8F" w:rsidRPr="00707959">
        <w:rPr>
          <w:rFonts w:ascii="Times New Roman" w:hAnsi="Times New Roman" w:cs="Times New Roman"/>
          <w:sz w:val="24"/>
          <w:szCs w:val="24"/>
        </w:rPr>
        <w:t xml:space="preserve">or </w:t>
      </w:r>
      <w:r w:rsidR="00C335EB">
        <w:rPr>
          <w:rFonts w:ascii="Times New Roman" w:hAnsi="Times New Roman" w:cs="Times New Roman"/>
          <w:sz w:val="24"/>
          <w:szCs w:val="24"/>
        </w:rPr>
        <w:t xml:space="preserve">indeed, </w:t>
      </w:r>
      <w:r w:rsidR="00052C8F" w:rsidRPr="00707959">
        <w:rPr>
          <w:rFonts w:ascii="Times New Roman" w:hAnsi="Times New Roman" w:cs="Times New Roman"/>
          <w:sz w:val="24"/>
          <w:szCs w:val="24"/>
        </w:rPr>
        <w:t xml:space="preserve">any other </w:t>
      </w:r>
      <w:r w:rsidR="00052C8F">
        <w:rPr>
          <w:rFonts w:ascii="Times New Roman" w:hAnsi="Times New Roman" w:cs="Times New Roman"/>
          <w:sz w:val="24"/>
          <w:szCs w:val="24"/>
        </w:rPr>
        <w:t>electric service provider.</w:t>
      </w:r>
      <w:r w:rsidR="00052C8F" w:rsidRPr="0070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2D" w:rsidRPr="00052C8F" w:rsidRDefault="00C043C1" w:rsidP="00707959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07959">
        <w:rPr>
          <w:rFonts w:ascii="Times New Roman" w:hAnsi="Times New Roman" w:cs="Times New Roman"/>
          <w:sz w:val="24"/>
          <w:szCs w:val="24"/>
        </w:rPr>
        <w:t xml:space="preserve">Further,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this Commission should recognize that </w:t>
      </w:r>
      <w:proofErr w:type="spellStart"/>
      <w:r w:rsidR="00296B0F" w:rsidRPr="00707959">
        <w:rPr>
          <w:rFonts w:ascii="Times New Roman" w:hAnsi="Times New Roman" w:cs="Times New Roman"/>
          <w:sz w:val="24"/>
          <w:szCs w:val="24"/>
        </w:rPr>
        <w:t>Kraton’s</w:t>
      </w:r>
      <w:proofErr w:type="spellEnd"/>
      <w:r w:rsidR="00296B0F" w:rsidRPr="00707959">
        <w:rPr>
          <w:rFonts w:ascii="Times New Roman" w:hAnsi="Times New Roman" w:cs="Times New Roman"/>
          <w:sz w:val="24"/>
          <w:szCs w:val="24"/>
        </w:rPr>
        <w:t xml:space="preserve"> agreement with Ohio Power </w:t>
      </w:r>
      <w:r w:rsidR="00DD3F79">
        <w:rPr>
          <w:rFonts w:ascii="Times New Roman" w:hAnsi="Times New Roman" w:cs="Times New Roman"/>
          <w:sz w:val="24"/>
          <w:szCs w:val="24"/>
        </w:rPr>
        <w:t xml:space="preserve">Company </w:t>
      </w:r>
      <w:r w:rsidR="00296B0F" w:rsidRPr="00707959">
        <w:rPr>
          <w:rFonts w:ascii="Times New Roman" w:hAnsi="Times New Roman" w:cs="Times New Roman"/>
          <w:sz w:val="24"/>
          <w:szCs w:val="24"/>
        </w:rPr>
        <w:t>is based upon</w:t>
      </w:r>
      <w:r w:rsidR="00E5432D">
        <w:rPr>
          <w:rFonts w:ascii="Times New Roman" w:hAnsi="Times New Roman" w:cs="Times New Roman"/>
          <w:sz w:val="24"/>
          <w:szCs w:val="24"/>
        </w:rPr>
        <w:t xml:space="preserve"> </w:t>
      </w:r>
      <w:r w:rsidR="00296B0F" w:rsidRPr="00707959">
        <w:rPr>
          <w:rFonts w:ascii="Times New Roman" w:hAnsi="Times New Roman" w:cs="Times New Roman"/>
          <w:sz w:val="24"/>
          <w:szCs w:val="24"/>
        </w:rPr>
        <w:t>existing regulations and upon Ohio Power</w:t>
      </w:r>
      <w:r w:rsidR="00DD3F79">
        <w:rPr>
          <w:rFonts w:ascii="Times New Roman" w:hAnsi="Times New Roman" w:cs="Times New Roman"/>
          <w:sz w:val="24"/>
          <w:szCs w:val="24"/>
        </w:rPr>
        <w:t xml:space="preserve"> Company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’s existing </w:t>
      </w:r>
      <w:r w:rsidR="00E5432D">
        <w:rPr>
          <w:rFonts w:ascii="Times New Roman" w:hAnsi="Times New Roman" w:cs="Times New Roman"/>
          <w:sz w:val="24"/>
          <w:szCs w:val="24"/>
        </w:rPr>
        <w:t xml:space="preserve">approved </w:t>
      </w:r>
      <w:r w:rsidR="00296B0F" w:rsidRPr="00707959">
        <w:rPr>
          <w:rFonts w:ascii="Times New Roman" w:hAnsi="Times New Roman" w:cs="Times New Roman"/>
          <w:sz w:val="24"/>
          <w:szCs w:val="24"/>
        </w:rPr>
        <w:t>plan.  Changes to Ohio Power</w:t>
      </w:r>
      <w:r w:rsidR="00DD3F79">
        <w:rPr>
          <w:rFonts w:ascii="Times New Roman" w:hAnsi="Times New Roman" w:cs="Times New Roman"/>
          <w:sz w:val="24"/>
          <w:szCs w:val="24"/>
        </w:rPr>
        <w:t xml:space="preserve"> Company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’s </w:t>
      </w:r>
      <w:r w:rsidR="00DD3F79">
        <w:rPr>
          <w:rFonts w:ascii="Times New Roman" w:hAnsi="Times New Roman" w:cs="Times New Roman"/>
          <w:sz w:val="24"/>
          <w:szCs w:val="24"/>
        </w:rPr>
        <w:t xml:space="preserve">approved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plan will </w:t>
      </w:r>
      <w:r w:rsidR="00E5432D">
        <w:rPr>
          <w:rFonts w:ascii="Times New Roman" w:hAnsi="Times New Roman" w:cs="Times New Roman"/>
          <w:sz w:val="24"/>
          <w:szCs w:val="24"/>
        </w:rPr>
        <w:t xml:space="preserve">almost certainly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modify </w:t>
      </w:r>
      <w:r w:rsidR="00DD3F79">
        <w:rPr>
          <w:rFonts w:ascii="Times New Roman" w:hAnsi="Times New Roman" w:cs="Times New Roman"/>
          <w:sz w:val="24"/>
          <w:szCs w:val="24"/>
        </w:rPr>
        <w:t xml:space="preserve">certain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risk factors to entities such as </w:t>
      </w:r>
      <w:proofErr w:type="spellStart"/>
      <w:r w:rsidR="00296B0F"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296B0F" w:rsidRPr="00707959">
        <w:rPr>
          <w:rFonts w:ascii="Times New Roman" w:hAnsi="Times New Roman" w:cs="Times New Roman"/>
          <w:sz w:val="24"/>
          <w:szCs w:val="24"/>
        </w:rPr>
        <w:t>.  This Commission may ultimately decide that</w:t>
      </w:r>
      <w:r w:rsidR="003332EB">
        <w:rPr>
          <w:rFonts w:ascii="Times New Roman" w:hAnsi="Times New Roman" w:cs="Times New Roman"/>
          <w:sz w:val="24"/>
          <w:szCs w:val="24"/>
        </w:rPr>
        <w:t xml:space="preserve"> some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 such modifications are sound public policy</w:t>
      </w:r>
      <w:r w:rsidR="00052C8F">
        <w:rPr>
          <w:rFonts w:ascii="Times New Roman" w:hAnsi="Times New Roman" w:cs="Times New Roman"/>
          <w:sz w:val="24"/>
          <w:szCs w:val="24"/>
        </w:rPr>
        <w:t>, and thus should be adopted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.  </w:t>
      </w:r>
      <w:r w:rsidR="003332EB">
        <w:rPr>
          <w:rFonts w:ascii="Times New Roman" w:hAnsi="Times New Roman" w:cs="Times New Roman"/>
          <w:sz w:val="24"/>
          <w:szCs w:val="24"/>
        </w:rPr>
        <w:t xml:space="preserve">It may decide others are not. 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Even so, this Commission should recognize that </w:t>
      </w:r>
      <w:r w:rsidR="00E5432D">
        <w:rPr>
          <w:rFonts w:ascii="Times New Roman" w:hAnsi="Times New Roman" w:cs="Times New Roman"/>
          <w:sz w:val="24"/>
          <w:szCs w:val="24"/>
        </w:rPr>
        <w:t xml:space="preserve">any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changes it may impose </w:t>
      </w:r>
      <w:r w:rsidR="00E5432D">
        <w:rPr>
          <w:rFonts w:ascii="Times New Roman" w:hAnsi="Times New Roman" w:cs="Times New Roman"/>
          <w:sz w:val="24"/>
          <w:szCs w:val="24"/>
        </w:rPr>
        <w:t xml:space="preserve">will likely also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result in changes to the economic risks </w:t>
      </w:r>
      <w:r w:rsidR="00AF034C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by entities such as </w:t>
      </w:r>
      <w:proofErr w:type="spellStart"/>
      <w:r w:rsidR="00296B0F"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296B0F" w:rsidRPr="00707959">
        <w:rPr>
          <w:rFonts w:ascii="Times New Roman" w:hAnsi="Times New Roman" w:cs="Times New Roman"/>
          <w:sz w:val="24"/>
          <w:szCs w:val="24"/>
        </w:rPr>
        <w:t xml:space="preserve">, who are prepared to proceed </w:t>
      </w:r>
      <w:r w:rsidR="00DD3F79">
        <w:rPr>
          <w:rFonts w:ascii="Times New Roman" w:hAnsi="Times New Roman" w:cs="Times New Roman"/>
          <w:sz w:val="24"/>
          <w:szCs w:val="24"/>
        </w:rPr>
        <w:t xml:space="preserve">based upon risks known to exist </w:t>
      </w:r>
      <w:r w:rsidR="00AF034C">
        <w:rPr>
          <w:rFonts w:ascii="Times New Roman" w:hAnsi="Times New Roman" w:cs="Times New Roman"/>
          <w:sz w:val="24"/>
          <w:szCs w:val="24"/>
        </w:rPr>
        <w:t xml:space="preserve">and thus evaluated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at </w:t>
      </w:r>
      <w:r w:rsidR="00296B0F" w:rsidRPr="00707959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296B0F" w:rsidRPr="00707959">
        <w:rPr>
          <w:rFonts w:ascii="Times New Roman" w:hAnsi="Times New Roman" w:cs="Times New Roman"/>
          <w:sz w:val="24"/>
          <w:szCs w:val="24"/>
        </w:rPr>
        <w:t>point in time</w:t>
      </w:r>
      <w:r w:rsidR="00E5432D">
        <w:rPr>
          <w:rFonts w:ascii="Times New Roman" w:hAnsi="Times New Roman" w:cs="Times New Roman"/>
          <w:sz w:val="24"/>
          <w:szCs w:val="24"/>
        </w:rPr>
        <w:t xml:space="preserve">, before this Commission has had the opportunity to weigh fully the positives </w:t>
      </w:r>
      <w:r w:rsidR="00E5432D" w:rsidRPr="00052C8F">
        <w:rPr>
          <w:rFonts w:ascii="Times New Roman" w:hAnsi="Times New Roman" w:cs="Times New Roman"/>
          <w:sz w:val="24"/>
          <w:szCs w:val="24"/>
        </w:rPr>
        <w:t xml:space="preserve">and negatives of the issues raised by third party </w:t>
      </w:r>
      <w:proofErr w:type="spellStart"/>
      <w:r w:rsidR="00E5432D" w:rsidRPr="00052C8F">
        <w:rPr>
          <w:rFonts w:ascii="Times New Roman" w:hAnsi="Times New Roman" w:cs="Times New Roman"/>
          <w:sz w:val="24"/>
          <w:szCs w:val="24"/>
        </w:rPr>
        <w:t>intervenors</w:t>
      </w:r>
      <w:proofErr w:type="spellEnd"/>
      <w:r w:rsidR="00296B0F" w:rsidRPr="00052C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32EB" w:rsidRDefault="003332EB" w:rsidP="00707959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For example, </w:t>
      </w:r>
      <w:proofErr w:type="spellStart"/>
      <w:r w:rsidRPr="00052C8F">
        <w:rPr>
          <w:rFonts w:ascii="Times New Roman" w:eastAsia="Calibri" w:hAnsi="Times New Roman" w:cs="Times New Roman"/>
          <w:sz w:val="24"/>
          <w:szCs w:val="24"/>
        </w:rPr>
        <w:t>Kraton</w:t>
      </w:r>
      <w:proofErr w:type="spellEnd"/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 acknowledge</w:t>
      </w:r>
      <w:r w:rsidR="00052C8F">
        <w:rPr>
          <w:rFonts w:ascii="Times New Roman" w:eastAsia="Calibri" w:hAnsi="Times New Roman" w:cs="Times New Roman"/>
          <w:sz w:val="24"/>
          <w:szCs w:val="24"/>
        </w:rPr>
        <w:t>s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 the debate between Ohio Power </w:t>
      </w:r>
      <w:r w:rsidR="00DD3F79">
        <w:rPr>
          <w:rFonts w:ascii="Times New Roman" w:eastAsia="Calibri" w:hAnsi="Times New Roman" w:cs="Times New Roman"/>
          <w:sz w:val="24"/>
          <w:szCs w:val="24"/>
        </w:rPr>
        <w:t xml:space="preserve">Company and IEU-Ohio on the one hand, </w:t>
      </w:r>
      <w:r w:rsidRPr="00052C8F">
        <w:rPr>
          <w:rFonts w:ascii="Times New Roman" w:eastAsia="Calibri" w:hAnsi="Times New Roman" w:cs="Times New Roman"/>
          <w:sz w:val="24"/>
          <w:szCs w:val="24"/>
        </w:rPr>
        <w:t>and OMAEG and the Environment</w:t>
      </w:r>
      <w:r w:rsidR="00DD3F79">
        <w:rPr>
          <w:rFonts w:ascii="Times New Roman" w:eastAsia="Calibri" w:hAnsi="Times New Roman" w:cs="Times New Roman"/>
          <w:sz w:val="24"/>
          <w:szCs w:val="24"/>
        </w:rPr>
        <w:t xml:space="preserve">al Advocacy Groups on the other, </w:t>
      </w:r>
      <w:r w:rsidRPr="00052C8F">
        <w:rPr>
          <w:rFonts w:ascii="Times New Roman" w:eastAsia="Calibri" w:hAnsi="Times New Roman" w:cs="Times New Roman"/>
          <w:sz w:val="24"/>
          <w:szCs w:val="24"/>
        </w:rPr>
        <w:t>regarding whether the Com</w:t>
      </w:r>
      <w:r w:rsidR="00DD3F79">
        <w:rPr>
          <w:rFonts w:ascii="Times New Roman" w:eastAsia="Calibri" w:hAnsi="Times New Roman" w:cs="Times New Roman"/>
          <w:sz w:val="24"/>
          <w:szCs w:val="24"/>
        </w:rPr>
        <w:t xml:space="preserve">mission should require AEP 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C335EB">
        <w:rPr>
          <w:rFonts w:ascii="Times New Roman" w:eastAsia="Calibri" w:hAnsi="Times New Roman" w:cs="Times New Roman"/>
          <w:sz w:val="24"/>
          <w:szCs w:val="24"/>
        </w:rPr>
        <w:t xml:space="preserve">develop and pursue 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a plan to qualify CHP projects as a capacity resource so that the energy efficiency attributes may be bid into </w:t>
      </w:r>
      <w:r w:rsidR="00D3412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PJM capacity market.   Without regard to which side </w:t>
      </w:r>
      <w:r w:rsidR="00DD3F79">
        <w:rPr>
          <w:rFonts w:ascii="Times New Roman" w:eastAsia="Calibri" w:hAnsi="Times New Roman" w:cs="Times New Roman"/>
          <w:sz w:val="24"/>
          <w:szCs w:val="24"/>
        </w:rPr>
        <w:t xml:space="preserve">ultimately may have 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the better public policy argument, this Commission should recognize </w:t>
      </w:r>
      <w:r w:rsidRPr="00052C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that </w:t>
      </w:r>
      <w:proofErr w:type="spellStart"/>
      <w:r w:rsidRPr="00052C8F">
        <w:rPr>
          <w:rFonts w:ascii="Times New Roman" w:eastAsia="Calibri" w:hAnsi="Times New Roman" w:cs="Times New Roman"/>
          <w:sz w:val="24"/>
          <w:szCs w:val="24"/>
        </w:rPr>
        <w:t>Kraton’s</w:t>
      </w:r>
      <w:proofErr w:type="spellEnd"/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 decision to commit its CHP resource to Ohio Power for purposes of the Ohio Economic Efficiency Portfolio did not </w:t>
      </w:r>
      <w:r w:rsidR="00052C8F">
        <w:rPr>
          <w:rFonts w:ascii="Times New Roman" w:eastAsia="Calibri" w:hAnsi="Times New Roman" w:cs="Times New Roman"/>
          <w:sz w:val="24"/>
          <w:szCs w:val="24"/>
        </w:rPr>
        <w:t xml:space="preserve">consider </w:t>
      </w:r>
      <w:r w:rsidRPr="00052C8F">
        <w:rPr>
          <w:rFonts w:ascii="Times New Roman" w:eastAsia="Calibri" w:hAnsi="Times New Roman" w:cs="Times New Roman"/>
          <w:sz w:val="24"/>
          <w:szCs w:val="24"/>
        </w:rPr>
        <w:t>the risks / rewards of a commitment of the resource into PJM</w:t>
      </w:r>
      <w:r w:rsidR="00052C8F">
        <w:rPr>
          <w:rFonts w:ascii="Times New Roman" w:eastAsia="Calibri" w:hAnsi="Times New Roman" w:cs="Times New Roman"/>
          <w:sz w:val="24"/>
          <w:szCs w:val="24"/>
        </w:rPr>
        <w:t>, because currently such a commitment isn’t even an option under PJM rules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.  In the event such a commitment might </w:t>
      </w:r>
      <w:r w:rsidR="00052C8F">
        <w:rPr>
          <w:rFonts w:ascii="Times New Roman" w:eastAsia="Calibri" w:hAnsi="Times New Roman" w:cs="Times New Roman"/>
          <w:sz w:val="24"/>
          <w:szCs w:val="24"/>
        </w:rPr>
        <w:t xml:space="preserve">someday </w:t>
      </w:r>
      <w:r w:rsidRPr="00052C8F">
        <w:rPr>
          <w:rFonts w:ascii="Times New Roman" w:eastAsia="Calibri" w:hAnsi="Times New Roman" w:cs="Times New Roman"/>
          <w:sz w:val="24"/>
          <w:szCs w:val="24"/>
        </w:rPr>
        <w:t>be</w:t>
      </w:r>
      <w:r w:rsidR="00DD3F79">
        <w:rPr>
          <w:rFonts w:ascii="Times New Roman" w:eastAsia="Calibri" w:hAnsi="Times New Roman" w:cs="Times New Roman"/>
          <w:sz w:val="24"/>
          <w:szCs w:val="24"/>
        </w:rPr>
        <w:t>come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 required, both Ohio Power and </w:t>
      </w:r>
      <w:proofErr w:type="spellStart"/>
      <w:r w:rsidRPr="00052C8F">
        <w:rPr>
          <w:rFonts w:ascii="Times New Roman" w:eastAsia="Calibri" w:hAnsi="Times New Roman" w:cs="Times New Roman"/>
          <w:sz w:val="24"/>
          <w:szCs w:val="24"/>
        </w:rPr>
        <w:t>Kraton</w:t>
      </w:r>
      <w:proofErr w:type="spellEnd"/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 should be afforded an opportunity to re-assess the economics of their present commitment.  The failure to provide such an opportunity threatens to “trap” parties into arrangements rendered uneconomic </w:t>
      </w:r>
      <w:r w:rsidR="00DD3F79">
        <w:rPr>
          <w:rFonts w:ascii="Times New Roman" w:eastAsia="Calibri" w:hAnsi="Times New Roman" w:cs="Times New Roman"/>
          <w:sz w:val="24"/>
          <w:szCs w:val="24"/>
        </w:rPr>
        <w:t xml:space="preserve">solely </w:t>
      </w:r>
      <w:r w:rsidRPr="00052C8F">
        <w:rPr>
          <w:rFonts w:ascii="Times New Roman" w:eastAsia="Calibri" w:hAnsi="Times New Roman" w:cs="Times New Roman"/>
          <w:sz w:val="24"/>
          <w:szCs w:val="24"/>
        </w:rPr>
        <w:t>due to regulatory change, and wo</w:t>
      </w:r>
      <w:r w:rsidR="00052C8F">
        <w:rPr>
          <w:rFonts w:ascii="Times New Roman" w:eastAsia="Calibri" w:hAnsi="Times New Roman" w:cs="Times New Roman"/>
          <w:sz w:val="24"/>
          <w:szCs w:val="24"/>
        </w:rPr>
        <w:t>u</w:t>
      </w:r>
      <w:r w:rsidRPr="00052C8F">
        <w:rPr>
          <w:rFonts w:ascii="Times New Roman" w:eastAsia="Calibri" w:hAnsi="Times New Roman" w:cs="Times New Roman"/>
          <w:sz w:val="24"/>
          <w:szCs w:val="24"/>
        </w:rPr>
        <w:t xml:space="preserve">ld </w:t>
      </w:r>
      <w:r w:rsidR="00052C8F">
        <w:rPr>
          <w:rFonts w:ascii="Times New Roman" w:eastAsia="Calibri" w:hAnsi="Times New Roman" w:cs="Times New Roman"/>
          <w:sz w:val="24"/>
          <w:szCs w:val="24"/>
        </w:rPr>
        <w:t xml:space="preserve">represent </w:t>
      </w:r>
      <w:r w:rsidRPr="00052C8F">
        <w:rPr>
          <w:rFonts w:ascii="Times New Roman" w:eastAsia="Calibri" w:hAnsi="Times New Roman" w:cs="Times New Roman"/>
          <w:sz w:val="24"/>
          <w:szCs w:val="24"/>
        </w:rPr>
        <w:t>an enormous dis-incentive to parties who might otherwise be willing to commit resources to Ohio’s EE program</w:t>
      </w:r>
      <w:r w:rsidR="00052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C8F">
        <w:rPr>
          <w:rFonts w:ascii="Times New Roman" w:eastAsia="Calibri" w:hAnsi="Times New Roman" w:cs="Times New Roman"/>
          <w:i/>
          <w:sz w:val="24"/>
          <w:szCs w:val="24"/>
        </w:rPr>
        <w:t>today</w:t>
      </w:r>
      <w:r w:rsidRPr="00052C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eastAsia="Calibri" w:cs="Times New Roman"/>
        </w:rPr>
        <w:t xml:space="preserve">  </w:t>
      </w:r>
    </w:p>
    <w:p w:rsidR="00296B0F" w:rsidRPr="00707959" w:rsidRDefault="003332EB" w:rsidP="00707959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2C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short,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urges </w:t>
      </w:r>
      <w:r w:rsidR="00E5432D">
        <w:rPr>
          <w:rFonts w:ascii="Times New Roman" w:hAnsi="Times New Roman" w:cs="Times New Roman"/>
          <w:sz w:val="24"/>
          <w:szCs w:val="24"/>
        </w:rPr>
        <w:t xml:space="preserve">this Commission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B56FA">
        <w:rPr>
          <w:rFonts w:ascii="Times New Roman" w:hAnsi="Times New Roman" w:cs="Times New Roman"/>
          <w:sz w:val="24"/>
          <w:szCs w:val="24"/>
        </w:rPr>
        <w:t xml:space="preserve">respect the economic decisions made by individual actors, and </w:t>
      </w:r>
      <w:r w:rsidR="00E5432D">
        <w:rPr>
          <w:rFonts w:ascii="Times New Roman" w:hAnsi="Times New Roman" w:cs="Times New Roman"/>
          <w:sz w:val="24"/>
          <w:szCs w:val="24"/>
        </w:rPr>
        <w:t>approve the agreement bet</w:t>
      </w:r>
      <w:r w:rsidR="004B56FA">
        <w:rPr>
          <w:rFonts w:ascii="Times New Roman" w:hAnsi="Times New Roman" w:cs="Times New Roman"/>
          <w:sz w:val="24"/>
          <w:szCs w:val="24"/>
        </w:rPr>
        <w:t>ween</w:t>
      </w:r>
      <w:r w:rsidR="00DD3F79">
        <w:rPr>
          <w:rFonts w:ascii="Times New Roman" w:hAnsi="Times New Roman" w:cs="Times New Roman"/>
          <w:sz w:val="24"/>
          <w:szCs w:val="24"/>
        </w:rPr>
        <w:t xml:space="preserve"> Ohio Power Company</w:t>
      </w:r>
      <w:r w:rsidR="004B56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B56FA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="004B56FA">
        <w:rPr>
          <w:rFonts w:ascii="Times New Roman" w:hAnsi="Times New Roman" w:cs="Times New Roman"/>
          <w:sz w:val="24"/>
          <w:szCs w:val="24"/>
        </w:rPr>
        <w:t xml:space="preserve"> as negotiat</w:t>
      </w:r>
      <w:r w:rsidR="00E5432D">
        <w:rPr>
          <w:rFonts w:ascii="Times New Roman" w:hAnsi="Times New Roman" w:cs="Times New Roman"/>
          <w:sz w:val="24"/>
          <w:szCs w:val="24"/>
        </w:rPr>
        <w:t xml:space="preserve">ed.   </w:t>
      </w:r>
      <w:r w:rsidR="004B56FA">
        <w:rPr>
          <w:rFonts w:ascii="Times New Roman" w:hAnsi="Times New Roman" w:cs="Times New Roman"/>
          <w:sz w:val="24"/>
          <w:szCs w:val="24"/>
        </w:rPr>
        <w:t>S</w:t>
      </w:r>
      <w:r w:rsidR="004B56FA" w:rsidRPr="00707959">
        <w:rPr>
          <w:rFonts w:ascii="Times New Roman" w:hAnsi="Times New Roman" w:cs="Times New Roman"/>
          <w:sz w:val="24"/>
          <w:szCs w:val="24"/>
        </w:rPr>
        <w:t xml:space="preserve">hould this Commission ultimately direct changes to </w:t>
      </w:r>
      <w:r w:rsidR="00052C8F">
        <w:rPr>
          <w:rFonts w:ascii="Times New Roman" w:hAnsi="Times New Roman" w:cs="Times New Roman"/>
          <w:sz w:val="24"/>
          <w:szCs w:val="24"/>
        </w:rPr>
        <w:t xml:space="preserve">the portfolio </w:t>
      </w:r>
      <w:r w:rsidR="004B56FA" w:rsidRPr="00707959">
        <w:rPr>
          <w:rFonts w:ascii="Times New Roman" w:hAnsi="Times New Roman" w:cs="Times New Roman"/>
          <w:sz w:val="24"/>
          <w:szCs w:val="24"/>
        </w:rPr>
        <w:t>plan</w:t>
      </w:r>
      <w:r w:rsidR="00052C8F">
        <w:rPr>
          <w:rFonts w:ascii="Times New Roman" w:hAnsi="Times New Roman" w:cs="Times New Roman"/>
          <w:sz w:val="24"/>
          <w:szCs w:val="24"/>
        </w:rPr>
        <w:t>s of Ohio electric service providers</w:t>
      </w:r>
      <w:r w:rsidR="004B56FA" w:rsidRPr="00707959">
        <w:rPr>
          <w:rFonts w:ascii="Times New Roman" w:hAnsi="Times New Roman" w:cs="Times New Roman"/>
          <w:sz w:val="24"/>
          <w:szCs w:val="24"/>
        </w:rPr>
        <w:t xml:space="preserve">, it should </w:t>
      </w:r>
      <w:r w:rsidR="004B56FA">
        <w:rPr>
          <w:rFonts w:ascii="Times New Roman" w:hAnsi="Times New Roman" w:cs="Times New Roman"/>
          <w:sz w:val="24"/>
          <w:szCs w:val="24"/>
        </w:rPr>
        <w:t xml:space="preserve">do so in a docket specifically intended to consider the public policy implications. </w:t>
      </w:r>
      <w:r>
        <w:rPr>
          <w:rFonts w:ascii="Times New Roman" w:hAnsi="Times New Roman" w:cs="Times New Roman"/>
          <w:sz w:val="24"/>
          <w:szCs w:val="24"/>
        </w:rPr>
        <w:t xml:space="preserve"> In addition, should this Commission direct changes </w:t>
      </w:r>
      <w:r w:rsidR="00052C8F">
        <w:rPr>
          <w:rFonts w:ascii="Times New Roman" w:hAnsi="Times New Roman" w:cs="Times New Roman"/>
          <w:sz w:val="24"/>
          <w:szCs w:val="24"/>
        </w:rPr>
        <w:t xml:space="preserve">to portfolio plans </w:t>
      </w:r>
      <w:r>
        <w:rPr>
          <w:rFonts w:ascii="Times New Roman" w:hAnsi="Times New Roman" w:cs="Times New Roman"/>
          <w:sz w:val="24"/>
          <w:szCs w:val="24"/>
        </w:rPr>
        <w:t xml:space="preserve">that will materially alter the economic risks of any agreement </w:t>
      </w:r>
      <w:r w:rsidR="00052C8F">
        <w:rPr>
          <w:rFonts w:ascii="Times New Roman" w:hAnsi="Times New Roman" w:cs="Times New Roman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sz w:val="24"/>
          <w:szCs w:val="24"/>
        </w:rPr>
        <w:t xml:space="preserve">struck by parties, it should provide the parties with an opportunity to amend their arrangements to account for those changed risks. </w:t>
      </w:r>
    </w:p>
    <w:p w:rsidR="00F71335" w:rsidRPr="004B56FA" w:rsidRDefault="004B56FA" w:rsidP="00DD3F79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F67644" w:rsidRPr="00707959" w:rsidRDefault="004B56FA" w:rsidP="00707959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Joint Applicants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 have presented</w:t>
      </w:r>
      <w:r>
        <w:rPr>
          <w:rFonts w:ascii="Times New Roman" w:hAnsi="Times New Roman" w:cs="Times New Roman"/>
          <w:sz w:val="24"/>
          <w:szCs w:val="24"/>
        </w:rPr>
        <w:t xml:space="preserve"> this Commission with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 a custom</w:t>
      </w:r>
      <w:r>
        <w:rPr>
          <w:rFonts w:ascii="Times New Roman" w:hAnsi="Times New Roman" w:cs="Times New Roman"/>
          <w:sz w:val="24"/>
          <w:szCs w:val="24"/>
        </w:rPr>
        <w:t xml:space="preserve">ized contract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with agreed incentives that comply with </w:t>
      </w:r>
      <w:r>
        <w:rPr>
          <w:rFonts w:ascii="Times New Roman" w:hAnsi="Times New Roman" w:cs="Times New Roman"/>
          <w:sz w:val="24"/>
          <w:szCs w:val="24"/>
        </w:rPr>
        <w:t xml:space="preserve">AEP’s </w:t>
      </w:r>
      <w:r w:rsidR="00F71335" w:rsidRPr="00707959">
        <w:rPr>
          <w:rFonts w:ascii="Times New Roman" w:hAnsi="Times New Roman" w:cs="Times New Roman"/>
          <w:sz w:val="24"/>
          <w:szCs w:val="24"/>
        </w:rPr>
        <w:t>authorized plan.</w:t>
      </w:r>
      <w:r w:rsidR="00922CEB">
        <w:rPr>
          <w:rFonts w:ascii="Times New Roman" w:hAnsi="Times New Roman" w:cs="Times New Roman"/>
          <w:sz w:val="24"/>
          <w:szCs w:val="24"/>
        </w:rPr>
        <w:t xml:space="preserve">  All intervening parties note their general support for the application.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  </w:t>
      </w:r>
      <w:r w:rsidR="00922CEB">
        <w:rPr>
          <w:rFonts w:ascii="Times New Roman" w:hAnsi="Times New Roman" w:cs="Times New Roman"/>
          <w:sz w:val="24"/>
          <w:szCs w:val="24"/>
        </w:rPr>
        <w:t xml:space="preserve">The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application should therefore be approved by the Commission. 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The </w:t>
      </w:r>
      <w:r w:rsidR="00296B0F" w:rsidRPr="00707959">
        <w:rPr>
          <w:rFonts w:ascii="Times New Roman" w:hAnsi="Times New Roman" w:cs="Times New Roman"/>
          <w:sz w:val="24"/>
          <w:szCs w:val="24"/>
        </w:rPr>
        <w:t xml:space="preserve">merits of goals 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pursued by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third parties 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are without doubt important, and this Commission may ultimately decide that some of those goals, at </w:t>
      </w:r>
      <w:r w:rsidR="00707959" w:rsidRPr="00707959">
        <w:rPr>
          <w:rFonts w:ascii="Times New Roman" w:hAnsi="Times New Roman" w:cs="Times New Roman"/>
          <w:sz w:val="24"/>
          <w:szCs w:val="24"/>
        </w:rPr>
        <w:lastRenderedPageBreak/>
        <w:t>least,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="00922CEB">
        <w:rPr>
          <w:rFonts w:ascii="Times New Roman" w:hAnsi="Times New Roman" w:cs="Times New Roman"/>
          <w:sz w:val="24"/>
          <w:szCs w:val="24"/>
        </w:rPr>
        <w:t xml:space="preserve">reflected in Commission rules or Opinions and Orders, in order to better promote </w:t>
      </w:r>
      <w:r>
        <w:rPr>
          <w:rFonts w:ascii="Times New Roman" w:hAnsi="Times New Roman" w:cs="Times New Roman"/>
          <w:sz w:val="24"/>
          <w:szCs w:val="24"/>
        </w:rPr>
        <w:t>Ohio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 public policy.  But those determination</w:t>
      </w:r>
      <w:r w:rsidR="00CA371C" w:rsidRPr="00707959">
        <w:rPr>
          <w:rFonts w:ascii="Times New Roman" w:hAnsi="Times New Roman" w:cs="Times New Roman"/>
          <w:sz w:val="24"/>
          <w:szCs w:val="24"/>
        </w:rPr>
        <w:t>s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 should not occur in this docket</w:t>
      </w:r>
      <w:r w:rsidR="00CA371C" w:rsidRPr="00707959">
        <w:rPr>
          <w:rFonts w:ascii="Times New Roman" w:hAnsi="Times New Roman" w:cs="Times New Roman"/>
          <w:sz w:val="24"/>
          <w:szCs w:val="24"/>
        </w:rPr>
        <w:t xml:space="preserve">.  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Entities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doing business 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now,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and </w:t>
      </w:r>
      <w:r w:rsidR="00922CEB">
        <w:rPr>
          <w:rFonts w:ascii="Times New Roman" w:hAnsi="Times New Roman" w:cs="Times New Roman"/>
          <w:sz w:val="24"/>
          <w:szCs w:val="24"/>
        </w:rPr>
        <w:t xml:space="preserve">prepared to provide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a real benefit to Ohio </w:t>
      </w:r>
      <w:r w:rsidR="00707959" w:rsidRPr="00707959">
        <w:rPr>
          <w:rFonts w:ascii="Times New Roman" w:hAnsi="Times New Roman" w:cs="Times New Roman"/>
          <w:sz w:val="24"/>
          <w:szCs w:val="24"/>
        </w:rPr>
        <w:t xml:space="preserve">now, are best incented if they are able to measure the risks and rewards of a course of action taken now, and if they are confident that the agreements they negotiate in conformity with the existing plans of electric suppliers will be approved.  </w:t>
      </w:r>
      <w:r w:rsidR="00F71335" w:rsidRPr="0070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31" w:rsidRDefault="00707959" w:rsidP="00707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31" w:rsidRPr="00707959">
        <w:rPr>
          <w:rFonts w:ascii="Times New Roman" w:hAnsi="Times New Roman" w:cs="Times New Roman"/>
          <w:sz w:val="24"/>
          <w:szCs w:val="24"/>
        </w:rPr>
        <w:tab/>
      </w:r>
      <w:r w:rsidR="00BC7531" w:rsidRPr="00707959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707959" w:rsidRDefault="00707959" w:rsidP="00707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07959" w:rsidRPr="00052C8F" w:rsidRDefault="00707959" w:rsidP="00707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/s/ Michael D. Dortch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5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8F" w:rsidRPr="00052C8F" w:rsidRDefault="00052C8F" w:rsidP="00052C8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D. Dortch (0043897)</w:t>
      </w:r>
    </w:p>
    <w:p w:rsidR="00707959" w:rsidRDefault="00707959" w:rsidP="00707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KRAVITZ, BROWN &amp; DORTCH, LLC</w:t>
      </w:r>
    </w:p>
    <w:p w:rsidR="00707959" w:rsidRDefault="00707959" w:rsidP="00707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East State Street Suite 200</w:t>
      </w:r>
    </w:p>
    <w:p w:rsidR="00707959" w:rsidRDefault="00707959" w:rsidP="00707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Columbus, OH 43215</w:t>
      </w:r>
    </w:p>
    <w:p w:rsidR="00707959" w:rsidRDefault="00707959" w:rsidP="00707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614.464.2000</w:t>
      </w:r>
    </w:p>
    <w:p w:rsidR="00707959" w:rsidRPr="00707959" w:rsidRDefault="00707959" w:rsidP="00707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F2759C">
          <w:rPr>
            <w:rStyle w:val="Hyperlink"/>
            <w:rFonts w:ascii="Times New Roman" w:hAnsi="Times New Roman" w:cs="Times New Roman"/>
            <w:sz w:val="24"/>
            <w:szCs w:val="24"/>
          </w:rPr>
          <w:t>mdortch@kravitzllc.com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(will accept emailed service)</w:t>
      </w:r>
    </w:p>
    <w:p w:rsidR="00F33660" w:rsidRPr="00707959" w:rsidRDefault="00052C8F" w:rsidP="00052C8F">
      <w:pPr>
        <w:spacing w:after="0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Attorneys for </w:t>
      </w:r>
      <w:proofErr w:type="spellStart"/>
      <w:r w:rsidR="004322B9" w:rsidRPr="00707959">
        <w:rPr>
          <w:rFonts w:ascii="Times New Roman" w:hAnsi="Times New Roman" w:cs="Times New Roman"/>
          <w:i/>
          <w:sz w:val="24"/>
          <w:szCs w:val="24"/>
        </w:rPr>
        <w:t>Kraton</w:t>
      </w:r>
      <w:proofErr w:type="spellEnd"/>
      <w:r w:rsidR="004322B9" w:rsidRPr="00707959">
        <w:rPr>
          <w:rFonts w:ascii="Times New Roman" w:hAnsi="Times New Roman" w:cs="Times New Roman"/>
          <w:i/>
          <w:sz w:val="24"/>
          <w:szCs w:val="24"/>
        </w:rPr>
        <w:t xml:space="preserve"> Polymers U.S. LLC</w:t>
      </w:r>
    </w:p>
    <w:p w:rsidR="00F33660" w:rsidRPr="00707959" w:rsidRDefault="00F33660" w:rsidP="00707959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079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33660" w:rsidRPr="00707959" w:rsidRDefault="00F33660" w:rsidP="0070795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95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CERTIFICATION OF SERVICE</w:t>
      </w:r>
    </w:p>
    <w:p w:rsidR="00F33660" w:rsidRPr="00707959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60" w:rsidRPr="00707959" w:rsidRDefault="00F33660" w:rsidP="00F336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60" w:rsidRPr="00707959" w:rsidRDefault="00F33660" w:rsidP="00F336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7959">
        <w:rPr>
          <w:rFonts w:ascii="Times New Roman" w:hAnsi="Times New Roman" w:cs="Times New Roman"/>
          <w:color w:val="000000"/>
          <w:sz w:val="24"/>
          <w:szCs w:val="24"/>
        </w:rPr>
        <w:t>I hereby certi</w:t>
      </w:r>
      <w:r w:rsidR="00707959">
        <w:rPr>
          <w:rFonts w:ascii="Times New Roman" w:hAnsi="Times New Roman" w:cs="Times New Roman"/>
          <w:color w:val="000000"/>
          <w:sz w:val="24"/>
          <w:szCs w:val="24"/>
        </w:rPr>
        <w:t>fy that a copy of the Comment</w:t>
      </w:r>
      <w:r w:rsidR="00707959" w:rsidRPr="007079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07959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707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959">
        <w:rPr>
          <w:rFonts w:ascii="Times New Roman" w:hAnsi="Times New Roman" w:cs="Times New Roman"/>
          <w:sz w:val="24"/>
          <w:szCs w:val="24"/>
        </w:rPr>
        <w:t>Kraton</w:t>
      </w:r>
      <w:proofErr w:type="spellEnd"/>
      <w:r w:rsidRPr="00707959">
        <w:rPr>
          <w:rFonts w:ascii="Times New Roman" w:hAnsi="Times New Roman" w:cs="Times New Roman"/>
          <w:sz w:val="24"/>
          <w:szCs w:val="24"/>
        </w:rPr>
        <w:t xml:space="preserve"> </w:t>
      </w:r>
      <w:r w:rsidRPr="00707959">
        <w:rPr>
          <w:rFonts w:ascii="Times New Roman" w:hAnsi="Times New Roman"/>
          <w:sz w:val="24"/>
          <w:szCs w:val="24"/>
        </w:rPr>
        <w:t>Polymers U.S. LLC</w:t>
      </w:r>
      <w:r w:rsidRPr="00707959">
        <w:rPr>
          <w:rFonts w:ascii="Times New Roman" w:hAnsi="Times New Roman" w:cs="Times New Roman"/>
          <w:color w:val="000000"/>
          <w:sz w:val="24"/>
          <w:szCs w:val="24"/>
        </w:rPr>
        <w:t xml:space="preserve"> was served on the persons stated below by electronic mail, this </w:t>
      </w:r>
      <w:r w:rsidR="00C11C5A" w:rsidRPr="0070795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707959">
        <w:rPr>
          <w:rFonts w:ascii="Times New Roman" w:hAnsi="Times New Roman" w:cs="Times New Roman"/>
          <w:color w:val="000000"/>
          <w:sz w:val="24"/>
          <w:szCs w:val="24"/>
        </w:rPr>
        <w:t>th day of April 2015.</w:t>
      </w:r>
    </w:p>
    <w:p w:rsidR="00F33660" w:rsidRDefault="00F33660" w:rsidP="00F33660">
      <w:pPr>
        <w:autoSpaceDE w:val="0"/>
        <w:autoSpaceDN w:val="0"/>
        <w:adjustRightInd w:val="0"/>
        <w:spacing w:after="0" w:line="480" w:lineRule="auto"/>
        <w:ind w:left="3600" w:firstLine="720"/>
        <w:rPr>
          <w:rFonts w:ascii="Times New Roman" w:hAnsi="Times New Roman" w:cs="Times New Roman"/>
          <w:color w:val="000000"/>
        </w:rPr>
      </w:pPr>
    </w:p>
    <w:p w:rsidR="00F33660" w:rsidRPr="00F33660" w:rsidRDefault="00707959" w:rsidP="00F3366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//s/ Michael D. Dortch</w:t>
      </w:r>
      <w:r w:rsidR="00F33660">
        <w:rPr>
          <w:rFonts w:ascii="Times New Roman" w:hAnsi="Times New Roman" w:cs="Times New Roman"/>
          <w:color w:val="000000"/>
          <w:u w:val="single"/>
        </w:rPr>
        <w:tab/>
      </w: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7959">
        <w:rPr>
          <w:rFonts w:ascii="Times New Roman" w:hAnsi="Times New Roman" w:cs="Times New Roman"/>
          <w:color w:val="000000"/>
        </w:rPr>
        <w:t>Michael D. Dortch</w:t>
      </w: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SERVICE LIST</w:t>
      </w:r>
    </w:p>
    <w:p w:rsidR="00707959" w:rsidRDefault="00707959" w:rsidP="0070795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959" w:rsidRDefault="006D1367" w:rsidP="0070795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7959" w:rsidRPr="00707959">
          <w:rPr>
            <w:rStyle w:val="Hyperlink"/>
            <w:rFonts w:ascii="Times New Roman" w:hAnsi="Times New Roman" w:cs="Times New Roman"/>
            <w:sz w:val="24"/>
            <w:szCs w:val="24"/>
          </w:rPr>
          <w:t>mjsatterwhite@aep.com</w:t>
        </w:r>
      </w:hyperlink>
    </w:p>
    <w:p w:rsidR="00707959" w:rsidRPr="00707959" w:rsidRDefault="006D1367" w:rsidP="0070795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7959" w:rsidRPr="00707959">
          <w:rPr>
            <w:rStyle w:val="Hyperlink"/>
            <w:rFonts w:ascii="Times New Roman" w:hAnsi="Times New Roman" w:cs="Times New Roman"/>
            <w:sz w:val="24"/>
            <w:szCs w:val="24"/>
          </w:rPr>
          <w:t>stnourse@aep.com</w:t>
        </w:r>
      </w:hyperlink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C"/>
          <w:sz w:val="24"/>
          <w:szCs w:val="24"/>
        </w:rPr>
      </w:pPr>
      <w:r>
        <w:rPr>
          <w:rFonts w:ascii="Times New Roman" w:hAnsi="Times New Roman" w:cs="Times New Roman"/>
          <w:color w:val="00008C"/>
          <w:sz w:val="24"/>
          <w:szCs w:val="24"/>
        </w:rPr>
        <w:t>fdarr@mwncmh.com</w:t>
      </w: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C"/>
          <w:sz w:val="24"/>
          <w:szCs w:val="24"/>
        </w:rPr>
      </w:pPr>
      <w:r>
        <w:rPr>
          <w:rFonts w:ascii="Times New Roman" w:hAnsi="Times New Roman" w:cs="Times New Roman"/>
          <w:color w:val="00008C"/>
          <w:sz w:val="24"/>
          <w:szCs w:val="24"/>
        </w:rPr>
        <w:t>mpritchard@mwncmh.com</w:t>
      </w: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C"/>
          <w:sz w:val="24"/>
          <w:szCs w:val="24"/>
        </w:rPr>
      </w:pPr>
      <w:r>
        <w:rPr>
          <w:rFonts w:ascii="Times New Roman" w:hAnsi="Times New Roman" w:cs="Times New Roman"/>
          <w:color w:val="00008C"/>
          <w:sz w:val="24"/>
          <w:szCs w:val="24"/>
        </w:rPr>
        <w:t>Bojko@carpenterlipps.com</w:t>
      </w:r>
    </w:p>
    <w:p w:rsidR="00F33660" w:rsidRDefault="00F33660" w:rsidP="00F3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C"/>
          <w:sz w:val="24"/>
          <w:szCs w:val="24"/>
        </w:rPr>
      </w:pPr>
      <w:r>
        <w:rPr>
          <w:rFonts w:ascii="Times New Roman" w:hAnsi="Times New Roman" w:cs="Times New Roman"/>
          <w:color w:val="00008C"/>
          <w:sz w:val="24"/>
          <w:szCs w:val="24"/>
        </w:rPr>
        <w:t>Hussey@carpenterlipps.com</w:t>
      </w:r>
    </w:p>
    <w:p w:rsidR="00E333CE" w:rsidRDefault="006D1367" w:rsidP="00F33660">
      <w:pPr>
        <w:spacing w:after="0"/>
        <w:rPr>
          <w:rFonts w:ascii="Times New Roman" w:hAnsi="Times New Roman" w:cs="Times New Roman"/>
          <w:color w:val="00008C"/>
          <w:sz w:val="24"/>
          <w:szCs w:val="24"/>
        </w:rPr>
      </w:pPr>
      <w:hyperlink r:id="rId12" w:history="1">
        <w:r w:rsidR="00F33660" w:rsidRPr="008E6CDD">
          <w:rPr>
            <w:rStyle w:val="Hyperlink"/>
            <w:rFonts w:ascii="Times New Roman" w:hAnsi="Times New Roman" w:cs="Times New Roman"/>
            <w:sz w:val="24"/>
            <w:szCs w:val="24"/>
          </w:rPr>
          <w:t>William.Wright@puc.state.oh.us</w:t>
        </w:r>
      </w:hyperlink>
    </w:p>
    <w:p w:rsidR="00F33660" w:rsidRDefault="00F33660" w:rsidP="00F33660">
      <w:pPr>
        <w:spacing w:after="0"/>
        <w:rPr>
          <w:rFonts w:ascii="Times New Roman" w:hAnsi="Times New Roman" w:cs="Times New Roman"/>
          <w:color w:val="00008C"/>
          <w:sz w:val="24"/>
          <w:szCs w:val="24"/>
        </w:rPr>
      </w:pPr>
    </w:p>
    <w:p w:rsidR="00F33660" w:rsidRDefault="00F33660" w:rsidP="00F33660">
      <w:pPr>
        <w:spacing w:after="0"/>
        <w:rPr>
          <w:rFonts w:ascii="Times New Roman" w:hAnsi="Times New Roman" w:cs="Times New Roman"/>
          <w:color w:val="00008C"/>
          <w:sz w:val="24"/>
          <w:szCs w:val="24"/>
        </w:rPr>
      </w:pPr>
    </w:p>
    <w:p w:rsidR="00F33660" w:rsidRPr="00F33660" w:rsidRDefault="00F33660" w:rsidP="00F33660">
      <w:pPr>
        <w:spacing w:after="0"/>
        <w:rPr>
          <w:rFonts w:ascii="Times New Roman" w:hAnsi="Times New Roman" w:cs="Times New Roman"/>
          <w:i/>
          <w:color w:val="00008C"/>
          <w:sz w:val="24"/>
          <w:szCs w:val="24"/>
        </w:rPr>
      </w:pPr>
      <w:r w:rsidRPr="00F33660">
        <w:rPr>
          <w:rFonts w:ascii="Times New Roman" w:hAnsi="Times New Roman" w:cs="Times New Roman"/>
          <w:i/>
          <w:color w:val="00008C"/>
          <w:sz w:val="24"/>
          <w:szCs w:val="24"/>
        </w:rPr>
        <w:t>Administrative Law Judge</w:t>
      </w:r>
    </w:p>
    <w:p w:rsidR="00F33660" w:rsidRPr="004322B9" w:rsidRDefault="006D1367" w:rsidP="00F336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="00F33660" w:rsidRPr="008E6CDD">
          <w:rPr>
            <w:rStyle w:val="Hyperlink"/>
            <w:rFonts w:ascii="Times New Roman" w:hAnsi="Times New Roman" w:cs="Times New Roman"/>
            <w:sz w:val="24"/>
            <w:szCs w:val="24"/>
          </w:rPr>
          <w:t>Richard.bulgrin@puc.state.oh.us</w:t>
        </w:r>
      </w:hyperlink>
      <w:r w:rsidR="00F33660">
        <w:rPr>
          <w:rFonts w:ascii="Times New Roman" w:hAnsi="Times New Roman" w:cs="Times New Roman"/>
          <w:color w:val="00008C"/>
          <w:sz w:val="24"/>
          <w:szCs w:val="24"/>
        </w:rPr>
        <w:t xml:space="preserve"> </w:t>
      </w:r>
    </w:p>
    <w:p w:rsidR="00707959" w:rsidRPr="00707959" w:rsidRDefault="00707959" w:rsidP="007079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CE" w:rsidRDefault="00E333CE" w:rsidP="00BC753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1F497D"/>
          <w:sz w:val="32"/>
          <w:szCs w:val="32"/>
        </w:rPr>
      </w:pPr>
    </w:p>
    <w:sectPr w:rsidR="00E333C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3B" w:rsidRDefault="00384A3B" w:rsidP="003575F7">
      <w:pPr>
        <w:spacing w:after="0" w:line="240" w:lineRule="auto"/>
      </w:pPr>
      <w:r>
        <w:separator/>
      </w:r>
    </w:p>
  </w:endnote>
  <w:endnote w:type="continuationSeparator" w:id="0">
    <w:p w:rsidR="00384A3B" w:rsidRDefault="00384A3B" w:rsidP="003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527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531" w:rsidRDefault="00BC7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531" w:rsidRDefault="00BC7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3B" w:rsidRDefault="00384A3B" w:rsidP="003575F7">
      <w:pPr>
        <w:spacing w:after="0" w:line="240" w:lineRule="auto"/>
      </w:pPr>
      <w:r>
        <w:separator/>
      </w:r>
    </w:p>
  </w:footnote>
  <w:footnote w:type="continuationSeparator" w:id="0">
    <w:p w:rsidR="00384A3B" w:rsidRDefault="00384A3B" w:rsidP="0035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D8A"/>
    <w:multiLevelType w:val="hybridMultilevel"/>
    <w:tmpl w:val="C8921E20"/>
    <w:lvl w:ilvl="0" w:tplc="B3FC69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B72CE8"/>
    <w:multiLevelType w:val="hybridMultilevel"/>
    <w:tmpl w:val="B35A07D0"/>
    <w:lvl w:ilvl="0" w:tplc="14F451A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63150F"/>
    <w:multiLevelType w:val="hybridMultilevel"/>
    <w:tmpl w:val="0B0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E"/>
    <w:rsid w:val="000041AA"/>
    <w:rsid w:val="000074FB"/>
    <w:rsid w:val="00016E97"/>
    <w:rsid w:val="000224DF"/>
    <w:rsid w:val="00050ED0"/>
    <w:rsid w:val="00052C8F"/>
    <w:rsid w:val="00052F77"/>
    <w:rsid w:val="000A6B5E"/>
    <w:rsid w:val="000E585B"/>
    <w:rsid w:val="00100BCE"/>
    <w:rsid w:val="001154E3"/>
    <w:rsid w:val="001B4FBA"/>
    <w:rsid w:val="001E6FC8"/>
    <w:rsid w:val="002405B1"/>
    <w:rsid w:val="0024658C"/>
    <w:rsid w:val="00296B0F"/>
    <w:rsid w:val="002B288A"/>
    <w:rsid w:val="002E4CCD"/>
    <w:rsid w:val="002F53D0"/>
    <w:rsid w:val="002F5B95"/>
    <w:rsid w:val="003320E5"/>
    <w:rsid w:val="003332EB"/>
    <w:rsid w:val="003575F7"/>
    <w:rsid w:val="003671F0"/>
    <w:rsid w:val="003713F3"/>
    <w:rsid w:val="00381297"/>
    <w:rsid w:val="00384A3B"/>
    <w:rsid w:val="00390776"/>
    <w:rsid w:val="004148C9"/>
    <w:rsid w:val="004322B9"/>
    <w:rsid w:val="0043690A"/>
    <w:rsid w:val="004B56FA"/>
    <w:rsid w:val="004E41BA"/>
    <w:rsid w:val="004F7D5C"/>
    <w:rsid w:val="00521BC3"/>
    <w:rsid w:val="005430C0"/>
    <w:rsid w:val="005439FB"/>
    <w:rsid w:val="005504C9"/>
    <w:rsid w:val="00603707"/>
    <w:rsid w:val="006379F2"/>
    <w:rsid w:val="006D1367"/>
    <w:rsid w:val="006E55F3"/>
    <w:rsid w:val="00707959"/>
    <w:rsid w:val="0071038D"/>
    <w:rsid w:val="00753AFE"/>
    <w:rsid w:val="007A2347"/>
    <w:rsid w:val="007A3504"/>
    <w:rsid w:val="007B6030"/>
    <w:rsid w:val="008030A4"/>
    <w:rsid w:val="0081313D"/>
    <w:rsid w:val="0081791C"/>
    <w:rsid w:val="00841B9E"/>
    <w:rsid w:val="008D3DCA"/>
    <w:rsid w:val="00922CEB"/>
    <w:rsid w:val="00936187"/>
    <w:rsid w:val="009D3F47"/>
    <w:rsid w:val="00A27B8C"/>
    <w:rsid w:val="00A44681"/>
    <w:rsid w:val="00AF034C"/>
    <w:rsid w:val="00AF10A7"/>
    <w:rsid w:val="00B130C6"/>
    <w:rsid w:val="00B62CEF"/>
    <w:rsid w:val="00B86D29"/>
    <w:rsid w:val="00B90DDB"/>
    <w:rsid w:val="00BA641A"/>
    <w:rsid w:val="00BB2EF0"/>
    <w:rsid w:val="00BC7531"/>
    <w:rsid w:val="00BF6AF6"/>
    <w:rsid w:val="00C043C1"/>
    <w:rsid w:val="00C11C5A"/>
    <w:rsid w:val="00C335EB"/>
    <w:rsid w:val="00C53C2E"/>
    <w:rsid w:val="00C62FF3"/>
    <w:rsid w:val="00CA371C"/>
    <w:rsid w:val="00CB232C"/>
    <w:rsid w:val="00CC70EE"/>
    <w:rsid w:val="00CE75F3"/>
    <w:rsid w:val="00CF6C3E"/>
    <w:rsid w:val="00D04E61"/>
    <w:rsid w:val="00D34124"/>
    <w:rsid w:val="00D37FA4"/>
    <w:rsid w:val="00D640F1"/>
    <w:rsid w:val="00D81FC3"/>
    <w:rsid w:val="00DA146A"/>
    <w:rsid w:val="00DD3F79"/>
    <w:rsid w:val="00E226A0"/>
    <w:rsid w:val="00E333CE"/>
    <w:rsid w:val="00E351BA"/>
    <w:rsid w:val="00E50A98"/>
    <w:rsid w:val="00E5432D"/>
    <w:rsid w:val="00E8204B"/>
    <w:rsid w:val="00EB7B40"/>
    <w:rsid w:val="00EE35F3"/>
    <w:rsid w:val="00EE792E"/>
    <w:rsid w:val="00F20CDD"/>
    <w:rsid w:val="00F33660"/>
    <w:rsid w:val="00F67644"/>
    <w:rsid w:val="00F71335"/>
    <w:rsid w:val="00F7679D"/>
    <w:rsid w:val="00F91428"/>
    <w:rsid w:val="00F96013"/>
    <w:rsid w:val="00FB0EF7"/>
    <w:rsid w:val="00FC6597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3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F7"/>
  </w:style>
  <w:style w:type="paragraph" w:styleId="Footer">
    <w:name w:val="footer"/>
    <w:basedOn w:val="Normal"/>
    <w:link w:val="FooterChar"/>
    <w:uiPriority w:val="99"/>
    <w:unhideWhenUsed/>
    <w:rsid w:val="0035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F7"/>
  </w:style>
  <w:style w:type="paragraph" w:styleId="BalloonText">
    <w:name w:val="Balloon Text"/>
    <w:basedOn w:val="Normal"/>
    <w:link w:val="BalloonTextChar"/>
    <w:uiPriority w:val="99"/>
    <w:semiHidden/>
    <w:unhideWhenUsed/>
    <w:rsid w:val="003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5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5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5F7"/>
    <w:rPr>
      <w:vertAlign w:val="superscript"/>
    </w:rPr>
  </w:style>
  <w:style w:type="character" w:styleId="Hyperlink">
    <w:name w:val="Hyperlink"/>
    <w:rsid w:val="00BC7531"/>
    <w:rPr>
      <w:color w:val="0000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3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F7"/>
  </w:style>
  <w:style w:type="paragraph" w:styleId="Footer">
    <w:name w:val="footer"/>
    <w:basedOn w:val="Normal"/>
    <w:link w:val="FooterChar"/>
    <w:uiPriority w:val="99"/>
    <w:unhideWhenUsed/>
    <w:rsid w:val="0035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F7"/>
  </w:style>
  <w:style w:type="paragraph" w:styleId="BalloonText">
    <w:name w:val="Balloon Text"/>
    <w:basedOn w:val="Normal"/>
    <w:link w:val="BalloonTextChar"/>
    <w:uiPriority w:val="99"/>
    <w:semiHidden/>
    <w:unhideWhenUsed/>
    <w:rsid w:val="003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5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5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5F7"/>
    <w:rPr>
      <w:vertAlign w:val="superscript"/>
    </w:rPr>
  </w:style>
  <w:style w:type="character" w:styleId="Hyperlink">
    <w:name w:val="Hyperlink"/>
    <w:rsid w:val="00BC7531"/>
    <w:rPr>
      <w:color w:val="0000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hard.bulgrin@puc.state.oh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lliam.Wright@puc.state.oh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nourse@aep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jsatterwhite@ae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rtch@kravitzll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DC7B-3E4F-4CCD-A24D-7ADAA361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DefaultUser</cp:lastModifiedBy>
  <cp:revision>2</cp:revision>
  <cp:lastPrinted>2015-04-27T20:52:00Z</cp:lastPrinted>
  <dcterms:created xsi:type="dcterms:W3CDTF">2015-04-27T21:24:00Z</dcterms:created>
  <dcterms:modified xsi:type="dcterms:W3CDTF">2015-04-27T21:24:00Z</dcterms:modified>
</cp:coreProperties>
</file>