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36BDA" w:rsidRPr="00A45537" w:rsidP="00D4185C" w14:paraId="0FDE94D0" w14:textId="77777777">
      <w:pPr>
        <w:pStyle w:val="HTMLPreformatted"/>
        <w:jc w:val="center"/>
        <w:rPr>
          <w:rFonts w:ascii="Times New Roman" w:hAnsi="Times New Roman" w:cs="Times New Roman"/>
          <w:b/>
          <w:bCs/>
          <w:sz w:val="24"/>
          <w:szCs w:val="24"/>
        </w:rPr>
      </w:pPr>
      <w:r w:rsidRPr="00A45537">
        <w:rPr>
          <w:rFonts w:ascii="Times New Roman" w:hAnsi="Times New Roman" w:cs="Times New Roman"/>
          <w:b/>
          <w:bCs/>
          <w:sz w:val="24"/>
          <w:szCs w:val="24"/>
        </w:rPr>
        <w:t>BEFORE</w:t>
      </w:r>
    </w:p>
    <w:p w:rsidR="00836BDA" w:rsidRPr="00A45537" w:rsidP="00D4185C" w14:paraId="68FF964C" w14:textId="77777777">
      <w:pPr>
        <w:pStyle w:val="HTMLPreformatted"/>
        <w:jc w:val="center"/>
        <w:rPr>
          <w:rFonts w:ascii="Times New Roman" w:hAnsi="Times New Roman" w:cs="Times New Roman"/>
          <w:sz w:val="24"/>
          <w:szCs w:val="24"/>
        </w:rPr>
      </w:pPr>
      <w:r w:rsidRPr="00A45537">
        <w:rPr>
          <w:rFonts w:ascii="Times New Roman" w:hAnsi="Times New Roman" w:cs="Times New Roman"/>
          <w:b/>
          <w:bCs/>
          <w:sz w:val="24"/>
          <w:szCs w:val="24"/>
        </w:rPr>
        <w:t>THE PUBLIC UTILITIES COMMISSION OF OHIO</w:t>
      </w:r>
    </w:p>
    <w:p w:rsidR="00836BDA" w:rsidRPr="00A45537" w:rsidP="00D4185C" w14:paraId="3035DE4B" w14:textId="77777777">
      <w:pPr>
        <w:pStyle w:val="HTMLPreformatted"/>
        <w:rPr>
          <w:rFonts w:ascii="Times New Roman" w:hAnsi="Times New Roman" w:cs="Times New Roman"/>
          <w:sz w:val="24"/>
          <w:szCs w:val="24"/>
        </w:rPr>
      </w:pPr>
    </w:p>
    <w:tbl>
      <w:tblPr>
        <w:tblW w:w="9126" w:type="dxa"/>
        <w:tblLook w:val="01E0"/>
      </w:tblPr>
      <w:tblGrid>
        <w:gridCol w:w="9360"/>
      </w:tblGrid>
      <w:tr w14:paraId="18B9DF74" w14:textId="77777777" w:rsidTr="00B771EF">
        <w:tblPrEx>
          <w:tblW w:w="9126" w:type="dxa"/>
          <w:tblLook w:val="01E0"/>
        </w:tblPrEx>
        <w:trPr>
          <w:trHeight w:val="807"/>
        </w:trPr>
        <w:tc>
          <w:tcPr>
            <w:tcW w:w="9126" w:type="dxa"/>
            <w:shd w:val="clear" w:color="auto" w:fill="auto"/>
          </w:tcPr>
          <w:tbl>
            <w:tblPr>
              <w:tblW w:w="9161" w:type="dxa"/>
              <w:jc w:val="center"/>
              <w:tblLook w:val="01E0"/>
            </w:tblPr>
            <w:tblGrid>
              <w:gridCol w:w="4408"/>
              <w:gridCol w:w="296"/>
              <w:gridCol w:w="4457"/>
            </w:tblGrid>
            <w:tr w14:paraId="2E27934B" w14:textId="77777777" w:rsidTr="00B771EF">
              <w:tblPrEx>
                <w:tblW w:w="9161" w:type="dxa"/>
                <w:jc w:val="center"/>
                <w:tblLook w:val="01E0"/>
              </w:tblPrEx>
              <w:trPr>
                <w:trHeight w:val="807"/>
                <w:jc w:val="center"/>
              </w:trPr>
              <w:tc>
                <w:tcPr>
                  <w:tcW w:w="4408" w:type="dxa"/>
                  <w:shd w:val="clear" w:color="auto" w:fill="auto"/>
                </w:tcPr>
                <w:p w:rsidR="00B771EF" w:rsidRPr="0044715E" w:rsidP="00FE1F02" w14:paraId="3795DCDD" w14:textId="3A4E618B">
                  <w:pPr>
                    <w:autoSpaceDE w:val="0"/>
                    <w:autoSpaceDN w:val="0"/>
                    <w:adjustRightInd w:val="0"/>
                  </w:pPr>
                  <w:r w:rsidRPr="00A044B5">
                    <w:t>In the Matter of</w:t>
                  </w:r>
                  <w:r>
                    <w:t xml:space="preserve"> the Application of </w:t>
                  </w:r>
                  <w:bookmarkStart w:id="0" w:name="_Hlk81733177"/>
                  <w:r>
                    <w:t xml:space="preserve">the East Ohio Gas Company d/b/a Dominion Energy Ohio </w:t>
                  </w:r>
                  <w:bookmarkEnd w:id="0"/>
                  <w:r>
                    <w:t>for Approval of An Alternative Form of Regulation to Continue Its Pipeline Infrastructure Replacement Program</w:t>
                  </w:r>
                  <w:r w:rsidR="00620F9B">
                    <w:t>.</w:t>
                  </w:r>
                </w:p>
              </w:tc>
              <w:tc>
                <w:tcPr>
                  <w:tcW w:w="296" w:type="dxa"/>
                  <w:shd w:val="clear" w:color="auto" w:fill="auto"/>
                </w:tcPr>
                <w:p w:rsidR="00B771EF" w:rsidRPr="00A044B5" w:rsidP="00FE1F02" w14:paraId="0B46CA47" w14:textId="77777777">
                  <w:pPr>
                    <w:pStyle w:val="HTMLPreformatted"/>
                    <w:rPr>
                      <w:rFonts w:ascii="Times New Roman" w:hAnsi="Times New Roman"/>
                      <w:sz w:val="24"/>
                    </w:rPr>
                  </w:pPr>
                  <w:r w:rsidRPr="00A044B5">
                    <w:rPr>
                      <w:rFonts w:ascii="Times New Roman" w:hAnsi="Times New Roman"/>
                      <w:sz w:val="24"/>
                    </w:rPr>
                    <w:t>)</w:t>
                  </w:r>
                </w:p>
                <w:p w:rsidR="00B771EF" w:rsidRPr="00A044B5" w:rsidP="00FE1F02" w14:paraId="35CABDEA" w14:textId="77777777">
                  <w:pPr>
                    <w:pStyle w:val="HTMLPreformatted"/>
                    <w:rPr>
                      <w:rFonts w:ascii="Times New Roman" w:hAnsi="Times New Roman"/>
                      <w:sz w:val="24"/>
                    </w:rPr>
                  </w:pPr>
                  <w:r w:rsidRPr="00A044B5">
                    <w:rPr>
                      <w:rFonts w:ascii="Times New Roman" w:hAnsi="Times New Roman"/>
                      <w:sz w:val="24"/>
                    </w:rPr>
                    <w:t>)</w:t>
                  </w:r>
                </w:p>
                <w:p w:rsidR="00B771EF" w:rsidP="00FE1F02" w14:paraId="3DE495B8" w14:textId="77777777">
                  <w:pPr>
                    <w:pStyle w:val="HTMLPreformatted"/>
                    <w:rPr>
                      <w:rFonts w:ascii="Times New Roman" w:hAnsi="Times New Roman"/>
                      <w:sz w:val="24"/>
                    </w:rPr>
                  </w:pPr>
                  <w:r w:rsidRPr="00A044B5">
                    <w:rPr>
                      <w:rFonts w:ascii="Times New Roman" w:hAnsi="Times New Roman"/>
                      <w:sz w:val="24"/>
                    </w:rPr>
                    <w:t>)</w:t>
                  </w:r>
                </w:p>
                <w:p w:rsidR="00B771EF" w:rsidP="00FE1F02" w14:paraId="05509A46" w14:textId="77777777">
                  <w:pPr>
                    <w:pStyle w:val="HTMLPreformatted"/>
                    <w:rPr>
                      <w:rFonts w:ascii="Times New Roman" w:hAnsi="Times New Roman"/>
                      <w:sz w:val="24"/>
                    </w:rPr>
                  </w:pPr>
                  <w:r>
                    <w:rPr>
                      <w:rFonts w:ascii="Times New Roman" w:hAnsi="Times New Roman"/>
                      <w:sz w:val="24"/>
                    </w:rPr>
                    <w:t>)</w:t>
                  </w:r>
                </w:p>
                <w:p w:rsidR="00B771EF" w:rsidP="00FE1F02" w14:paraId="33107974" w14:textId="77777777">
                  <w:pPr>
                    <w:pStyle w:val="HTMLPreformatted"/>
                    <w:rPr>
                      <w:rFonts w:ascii="Times New Roman" w:hAnsi="Times New Roman"/>
                      <w:sz w:val="24"/>
                      <w:szCs w:val="24"/>
                    </w:rPr>
                  </w:pPr>
                  <w:r>
                    <w:rPr>
                      <w:rFonts w:ascii="Times New Roman" w:hAnsi="Times New Roman"/>
                      <w:sz w:val="24"/>
                      <w:szCs w:val="24"/>
                    </w:rPr>
                    <w:t>)</w:t>
                  </w:r>
                </w:p>
                <w:p w:rsidR="00B771EF" w:rsidRPr="0044715E" w:rsidP="00FE1F02" w14:paraId="003B2E86" w14:textId="1A103674">
                  <w:pPr>
                    <w:pStyle w:val="HTMLPreformatted"/>
                    <w:rPr>
                      <w:rFonts w:ascii="Times New Roman" w:hAnsi="Times New Roman" w:cs="Times New Roman"/>
                      <w:sz w:val="24"/>
                      <w:szCs w:val="24"/>
                    </w:rPr>
                  </w:pPr>
                  <w:r>
                    <w:rPr>
                      <w:rFonts w:ascii="Times New Roman" w:hAnsi="Times New Roman"/>
                      <w:sz w:val="24"/>
                      <w:szCs w:val="24"/>
                    </w:rPr>
                    <w:t>)</w:t>
                  </w:r>
                </w:p>
              </w:tc>
              <w:tc>
                <w:tcPr>
                  <w:tcW w:w="4457" w:type="dxa"/>
                  <w:shd w:val="clear" w:color="auto" w:fill="auto"/>
                </w:tcPr>
                <w:p w:rsidR="00B771EF" w:rsidRPr="00A044B5" w:rsidP="00FE1F02" w14:paraId="79747BE8" w14:textId="77777777">
                  <w:pPr>
                    <w:pStyle w:val="HTMLPreformatted"/>
                    <w:rPr>
                      <w:rFonts w:ascii="Times New Roman" w:hAnsi="Times New Roman"/>
                      <w:sz w:val="24"/>
                    </w:rPr>
                  </w:pPr>
                </w:p>
                <w:p w:rsidR="00B771EF" w:rsidP="00FE1F02" w14:paraId="04C25A17" w14:textId="77777777">
                  <w:pPr>
                    <w:pStyle w:val="HTMLPreformatted"/>
                    <w:rPr>
                      <w:rFonts w:ascii="Times New Roman" w:hAnsi="Times New Roman" w:cs="Times New Roman"/>
                      <w:sz w:val="24"/>
                      <w:szCs w:val="24"/>
                    </w:rPr>
                  </w:pPr>
                </w:p>
                <w:p w:rsidR="00B771EF" w:rsidRPr="00A044B5" w:rsidP="00FE1F02" w14:paraId="2F06C7F3" w14:textId="7D227A0A">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20-1634-GA-ALT</w:t>
                  </w:r>
                </w:p>
                <w:p w:rsidR="00B771EF" w:rsidRPr="0044715E" w:rsidP="00FE1F02" w14:paraId="32317378" w14:textId="77777777">
                  <w:pPr>
                    <w:pStyle w:val="HTMLPreformatted"/>
                    <w:rPr>
                      <w:rFonts w:ascii="Times New Roman" w:hAnsi="Times New Roman" w:cs="Times New Roman"/>
                      <w:sz w:val="24"/>
                      <w:szCs w:val="24"/>
                    </w:rPr>
                  </w:pPr>
                </w:p>
              </w:tc>
            </w:tr>
          </w:tbl>
          <w:p w:rsidR="00B771EF" w:rsidRPr="00A45537" w:rsidP="00EA6C58" w14:paraId="287AA416" w14:textId="4657F66F">
            <w:pPr>
              <w:pStyle w:val="HTMLPreformatted"/>
              <w:rPr>
                <w:rFonts w:ascii="Times New Roman" w:hAnsi="Times New Roman" w:cs="Times New Roman"/>
                <w:sz w:val="24"/>
                <w:szCs w:val="24"/>
              </w:rPr>
            </w:pPr>
          </w:p>
        </w:tc>
      </w:tr>
    </w:tbl>
    <w:p w:rsidR="00836BDA" w:rsidRPr="00A45537" w:rsidP="00D4185C" w14:paraId="01168CE6" w14:textId="77777777">
      <w:pPr>
        <w:pStyle w:val="HTMLPreformatted"/>
        <w:rPr>
          <w:rFonts w:ascii="Times New Roman" w:hAnsi="Times New Roman" w:cs="Times New Roman"/>
          <w:sz w:val="24"/>
          <w:szCs w:val="24"/>
        </w:rPr>
      </w:pPr>
    </w:p>
    <w:p w:rsidR="00836BDA" w:rsidRPr="00A45537" w:rsidP="00D4185C" w14:paraId="592801EF" w14:textId="77777777">
      <w:pPr>
        <w:pStyle w:val="HTMLPreformatted"/>
        <w:pBdr>
          <w:top w:val="single" w:sz="12" w:space="1" w:color="auto"/>
        </w:pBdr>
        <w:rPr>
          <w:rFonts w:ascii="Times New Roman" w:hAnsi="Times New Roman" w:cs="Times New Roman"/>
          <w:sz w:val="24"/>
          <w:szCs w:val="24"/>
        </w:rPr>
      </w:pPr>
    </w:p>
    <w:p w:rsidR="00B20BB6" w:rsidRPr="00A45537" w:rsidP="00B20BB6" w14:paraId="3474001A" w14:textId="12CE3F0B">
      <w:pPr>
        <w:jc w:val="center"/>
        <w:rPr>
          <w:b/>
          <w:bCs/>
          <w:szCs w:val="24"/>
        </w:rPr>
      </w:pPr>
      <w:r>
        <w:rPr>
          <w:b/>
          <w:bCs/>
          <w:szCs w:val="24"/>
        </w:rPr>
        <w:t>REPLY</w:t>
      </w:r>
      <w:r w:rsidRPr="00A45537" w:rsidR="00A423E6">
        <w:rPr>
          <w:b/>
          <w:bCs/>
          <w:szCs w:val="24"/>
        </w:rPr>
        <w:t xml:space="preserve"> BRIEF</w:t>
      </w:r>
      <w:r w:rsidR="00A423E6">
        <w:rPr>
          <w:b/>
          <w:bCs/>
          <w:szCs w:val="24"/>
        </w:rPr>
        <w:t xml:space="preserve"> FOR CONSUMER PROTECTION</w:t>
      </w:r>
    </w:p>
    <w:p w:rsidR="00836BDA" w:rsidRPr="00A45537" w:rsidP="00D4185C" w14:paraId="7FB6E50D" w14:textId="77777777">
      <w:pPr>
        <w:jc w:val="center"/>
        <w:rPr>
          <w:b/>
          <w:bCs/>
          <w:szCs w:val="24"/>
        </w:rPr>
      </w:pPr>
      <w:r w:rsidRPr="00A45537">
        <w:rPr>
          <w:b/>
          <w:bCs/>
          <w:szCs w:val="24"/>
        </w:rPr>
        <w:t>BY</w:t>
      </w:r>
    </w:p>
    <w:p w:rsidR="00836BDA" w:rsidRPr="00A45537" w:rsidP="00D4185C" w14:paraId="267E1D55" w14:textId="43EF8A2A">
      <w:pPr>
        <w:jc w:val="center"/>
        <w:rPr>
          <w:b/>
          <w:bCs/>
          <w:szCs w:val="24"/>
        </w:rPr>
      </w:pPr>
      <w:r w:rsidRPr="00A45537">
        <w:rPr>
          <w:b/>
          <w:bCs/>
          <w:szCs w:val="24"/>
        </w:rPr>
        <w:t>OFFICE OF THE OHIO CONSUMERS’ COUNSEL</w:t>
      </w:r>
    </w:p>
    <w:p w:rsidR="00836BDA" w:rsidRPr="00A45537" w:rsidP="00D4185C" w14:paraId="4F381839" w14:textId="77777777">
      <w:pPr>
        <w:pBdr>
          <w:bottom w:val="single" w:sz="12" w:space="1" w:color="auto"/>
        </w:pBdr>
        <w:tabs>
          <w:tab w:val="left" w:pos="4320"/>
        </w:tabs>
        <w:rPr>
          <w:szCs w:val="24"/>
        </w:rPr>
      </w:pPr>
    </w:p>
    <w:p w:rsidR="00836BDA" w:rsidP="00D4185C" w14:paraId="36063473" w14:textId="5F1F01AC">
      <w:pPr>
        <w:tabs>
          <w:tab w:val="left" w:pos="4320"/>
        </w:tabs>
        <w:rPr>
          <w:szCs w:val="24"/>
        </w:rPr>
      </w:pPr>
    </w:p>
    <w:p w:rsidR="00CD6F70" w:rsidP="00D4185C" w14:paraId="4390032B" w14:textId="06D660BE">
      <w:pPr>
        <w:tabs>
          <w:tab w:val="left" w:pos="4320"/>
        </w:tabs>
        <w:rPr>
          <w:szCs w:val="24"/>
        </w:rPr>
      </w:pPr>
    </w:p>
    <w:p w:rsidR="00CD6F70" w:rsidP="00D4185C" w14:paraId="6949FD83" w14:textId="7844D18B">
      <w:pPr>
        <w:tabs>
          <w:tab w:val="left" w:pos="4320"/>
        </w:tabs>
        <w:rPr>
          <w:szCs w:val="24"/>
        </w:rPr>
      </w:pPr>
    </w:p>
    <w:p w:rsidR="00CD6F70" w:rsidP="00D4185C" w14:paraId="0327C167" w14:textId="60E61C2D">
      <w:pPr>
        <w:tabs>
          <w:tab w:val="left" w:pos="4320"/>
        </w:tabs>
        <w:rPr>
          <w:szCs w:val="24"/>
        </w:rPr>
      </w:pPr>
    </w:p>
    <w:p w:rsidR="001572D1" w:rsidP="008633E2" w14:paraId="22E42679" w14:textId="77777777">
      <w:pPr>
        <w:pStyle w:val="Footer"/>
        <w:tabs>
          <w:tab w:val="left" w:pos="4320"/>
          <w:tab w:val="clear" w:pos="8640"/>
        </w:tabs>
        <w:spacing w:before="240"/>
        <w:ind w:firstLine="4320"/>
        <w:rPr>
          <w:sz w:val="24"/>
          <w:szCs w:val="24"/>
        </w:rPr>
      </w:pPr>
    </w:p>
    <w:p w:rsidR="008633E2" w:rsidP="008633E2" w14:paraId="08AC9A8E" w14:textId="25A4A396">
      <w:pPr>
        <w:pStyle w:val="Footer"/>
        <w:tabs>
          <w:tab w:val="left" w:pos="4320"/>
          <w:tab w:val="clear" w:pos="8640"/>
        </w:tabs>
        <w:spacing w:before="240"/>
        <w:ind w:firstLine="4320"/>
        <w:rPr>
          <w:sz w:val="24"/>
          <w:szCs w:val="24"/>
        </w:rPr>
      </w:pPr>
      <w:r>
        <w:rPr>
          <w:sz w:val="24"/>
          <w:szCs w:val="24"/>
        </w:rPr>
        <w:t>Bruce Weston (0016973)</w:t>
      </w:r>
    </w:p>
    <w:p w:rsidR="008633E2" w:rsidP="008633E2" w14:paraId="60B1FBF9" w14:textId="77777777">
      <w:pPr>
        <w:tabs>
          <w:tab w:val="left" w:pos="4320"/>
        </w:tabs>
        <w:rPr>
          <w:szCs w:val="24"/>
        </w:rPr>
      </w:pPr>
      <w:r>
        <w:rPr>
          <w:szCs w:val="24"/>
        </w:rPr>
        <w:tab/>
        <w:t>Ohio Consumers’ Counsel</w:t>
      </w:r>
    </w:p>
    <w:p w:rsidR="008633E2" w:rsidP="008633E2" w14:paraId="271C56C0" w14:textId="77777777">
      <w:pPr>
        <w:tabs>
          <w:tab w:val="left" w:pos="4320"/>
        </w:tabs>
        <w:rPr>
          <w:szCs w:val="24"/>
        </w:rPr>
      </w:pPr>
      <w:r>
        <w:rPr>
          <w:szCs w:val="24"/>
        </w:rPr>
        <w:tab/>
      </w:r>
    </w:p>
    <w:p w:rsidR="008633E2" w:rsidRPr="00D069CE" w:rsidP="008633E2" w14:paraId="0538CEAF" w14:textId="5D481C9C">
      <w:pPr>
        <w:tabs>
          <w:tab w:val="left" w:pos="4320"/>
        </w:tabs>
        <w:rPr>
          <w:szCs w:val="24"/>
        </w:rPr>
      </w:pPr>
      <w:r>
        <w:rPr>
          <w:szCs w:val="24"/>
        </w:rPr>
        <w:tab/>
      </w:r>
      <w:r w:rsidRPr="00D069CE" w:rsidR="00D069CE">
        <w:rPr>
          <w:szCs w:val="24"/>
        </w:rPr>
        <w:t>Amy Botschner O’Brien</w:t>
      </w:r>
      <w:r w:rsidRPr="00D069CE">
        <w:rPr>
          <w:szCs w:val="24"/>
        </w:rPr>
        <w:t xml:space="preserve"> (0070921)</w:t>
      </w:r>
    </w:p>
    <w:p w:rsidR="008633E2" w:rsidRPr="00D069CE" w:rsidP="008633E2" w14:paraId="6F5DB543" w14:textId="77777777">
      <w:pPr>
        <w:tabs>
          <w:tab w:val="left" w:pos="4320"/>
        </w:tabs>
        <w:ind w:firstLine="4320"/>
        <w:rPr>
          <w:szCs w:val="24"/>
        </w:rPr>
      </w:pPr>
      <w:r w:rsidRPr="00D069CE">
        <w:rPr>
          <w:szCs w:val="24"/>
        </w:rPr>
        <w:t>Counsel of Record</w:t>
      </w:r>
    </w:p>
    <w:p w:rsidR="008633E2" w:rsidRPr="00D069CE" w:rsidP="008633E2" w14:paraId="78FFB330" w14:textId="77777777">
      <w:pPr>
        <w:tabs>
          <w:tab w:val="left" w:pos="4320"/>
        </w:tabs>
        <w:rPr>
          <w:szCs w:val="24"/>
        </w:rPr>
      </w:pPr>
      <w:r w:rsidRPr="00D069CE">
        <w:rPr>
          <w:szCs w:val="24"/>
        </w:rPr>
        <w:tab/>
        <w:t>Ambrosia E. Wilson (0096598)</w:t>
      </w:r>
    </w:p>
    <w:p w:rsidR="008633E2" w:rsidRPr="00D069CE" w:rsidP="0061365F" w14:paraId="44474D5D" w14:textId="0A931B71">
      <w:pPr>
        <w:tabs>
          <w:tab w:val="left" w:pos="4320"/>
        </w:tabs>
        <w:rPr>
          <w:szCs w:val="24"/>
        </w:rPr>
      </w:pPr>
      <w:r w:rsidRPr="00D069CE">
        <w:rPr>
          <w:szCs w:val="24"/>
        </w:rPr>
        <w:tab/>
        <w:t>Assistant Consumers’ Counsel</w:t>
      </w:r>
    </w:p>
    <w:p w:rsidR="008633E2" w:rsidRPr="00D069CE" w:rsidP="008633E2" w14:paraId="7E6FAF10" w14:textId="77777777">
      <w:r w:rsidRPr="00D069CE">
        <w:tab/>
      </w:r>
    </w:p>
    <w:p w:rsidR="008633E2" w:rsidRPr="00D069CE" w:rsidP="008633E2" w14:paraId="1D9C078E" w14:textId="77777777">
      <w:pPr>
        <w:rPr>
          <w:b/>
          <w:bCs/>
        </w:rPr>
      </w:pPr>
      <w:r w:rsidRPr="00D069CE">
        <w:tab/>
      </w:r>
      <w:r w:rsidRPr="00D069CE">
        <w:tab/>
      </w:r>
      <w:r w:rsidRPr="00D069CE">
        <w:tab/>
      </w:r>
      <w:r w:rsidRPr="00D069CE">
        <w:tab/>
      </w:r>
      <w:r w:rsidRPr="00D069CE">
        <w:tab/>
      </w:r>
      <w:r w:rsidRPr="00D069CE">
        <w:tab/>
      </w:r>
      <w:r w:rsidRPr="00D069CE">
        <w:rPr>
          <w:b/>
          <w:bCs/>
        </w:rPr>
        <w:t>Office of the Ohio Consumers’ Counsel</w:t>
      </w:r>
    </w:p>
    <w:p w:rsidR="008633E2" w:rsidRPr="00D069CE" w:rsidP="008633E2" w14:paraId="05DA871D" w14:textId="38323573">
      <w:pPr>
        <w:rPr>
          <w:b/>
        </w:rPr>
      </w:pPr>
      <w:r w:rsidRPr="00D069CE">
        <w:tab/>
      </w:r>
      <w:r w:rsidRPr="00D069CE">
        <w:tab/>
      </w:r>
      <w:r w:rsidRPr="00D069CE">
        <w:tab/>
      </w:r>
      <w:r w:rsidRPr="00D069CE">
        <w:tab/>
      </w:r>
      <w:r w:rsidRPr="00D069CE">
        <w:tab/>
      </w:r>
      <w:r w:rsidRPr="00D069CE">
        <w:tab/>
        <w:t xml:space="preserve">65 East State Street, </w:t>
      </w:r>
      <w:r w:rsidR="00B771EF">
        <w:t>Suite 700</w:t>
      </w:r>
    </w:p>
    <w:p w:rsidR="008633E2" w:rsidRPr="00D069CE" w:rsidP="008633E2" w14:paraId="2B7E23AD" w14:textId="77777777">
      <w:pPr>
        <w:rPr>
          <w:b/>
        </w:rPr>
      </w:pPr>
      <w:r w:rsidRPr="00D069CE">
        <w:tab/>
      </w:r>
      <w:r w:rsidRPr="00D069CE">
        <w:tab/>
      </w:r>
      <w:r w:rsidRPr="00D069CE">
        <w:tab/>
      </w:r>
      <w:r w:rsidRPr="00D069CE">
        <w:tab/>
      </w:r>
      <w:r w:rsidRPr="00D069CE">
        <w:tab/>
      </w:r>
      <w:r w:rsidRPr="00D069CE">
        <w:tab/>
        <w:t>Columbus, Ohio 43215-4213</w:t>
      </w:r>
    </w:p>
    <w:p w:rsidR="008633E2" w:rsidRPr="00D069CE" w:rsidP="008633E2" w14:paraId="212B69E8" w14:textId="46D78EDF">
      <w:pPr>
        <w:autoSpaceDE w:val="0"/>
        <w:autoSpaceDN w:val="0"/>
        <w:adjustRightInd w:val="0"/>
        <w:ind w:left="3600" w:firstLine="720"/>
        <w:rPr>
          <w:szCs w:val="24"/>
        </w:rPr>
      </w:pPr>
      <w:r w:rsidRPr="00D069CE">
        <w:rPr>
          <w:szCs w:val="24"/>
        </w:rPr>
        <w:t>Telephone [</w:t>
      </w:r>
      <w:r w:rsidRPr="00D069CE" w:rsidR="00D069CE">
        <w:rPr>
          <w:szCs w:val="24"/>
        </w:rPr>
        <w:t>Botschner O’Brien</w:t>
      </w:r>
      <w:r w:rsidRPr="00D069CE">
        <w:rPr>
          <w:szCs w:val="24"/>
        </w:rPr>
        <w:t>]: (614) 466-</w:t>
      </w:r>
      <w:r w:rsidRPr="00D069CE" w:rsidR="00D069CE">
        <w:rPr>
          <w:szCs w:val="24"/>
        </w:rPr>
        <w:t>9575</w:t>
      </w:r>
      <w:r w:rsidRPr="00D069CE">
        <w:rPr>
          <w:szCs w:val="24"/>
        </w:rPr>
        <w:tab/>
        <w:t>Telephone [Wilson]: (614) 466-1292</w:t>
      </w:r>
    </w:p>
    <w:p w:rsidR="00D069CE" w:rsidRPr="00D069CE" w:rsidP="008633E2" w14:paraId="4F16F347" w14:textId="0C9FEBC4">
      <w:pPr>
        <w:rPr>
          <w:szCs w:val="24"/>
        </w:rPr>
      </w:pPr>
      <w:r w:rsidRPr="00D069CE">
        <w:rPr>
          <w:szCs w:val="24"/>
        </w:rPr>
        <w:tab/>
      </w:r>
      <w:r w:rsidRPr="00D069CE">
        <w:rPr>
          <w:szCs w:val="24"/>
        </w:rPr>
        <w:tab/>
      </w:r>
      <w:r w:rsidRPr="00D069CE">
        <w:rPr>
          <w:szCs w:val="24"/>
        </w:rPr>
        <w:tab/>
      </w:r>
      <w:r w:rsidRPr="00D069CE">
        <w:rPr>
          <w:szCs w:val="24"/>
        </w:rPr>
        <w:tab/>
      </w:r>
      <w:r w:rsidRPr="00D069CE">
        <w:rPr>
          <w:szCs w:val="24"/>
        </w:rPr>
        <w:tab/>
      </w:r>
      <w:r w:rsidRPr="00D069CE">
        <w:rPr>
          <w:szCs w:val="24"/>
        </w:rPr>
        <w:tab/>
      </w:r>
      <w:hyperlink r:id="rId6" w:history="1">
        <w:r w:rsidRPr="00C74EAA" w:rsidR="00B771EF">
          <w:rPr>
            <w:rStyle w:val="Hyperlink"/>
            <w:szCs w:val="24"/>
          </w:rPr>
          <w:t>amy.botschner.obrien@occ.ohio.gov</w:t>
        </w:r>
      </w:hyperlink>
    </w:p>
    <w:p w:rsidR="008633E2" w:rsidRPr="00D069CE" w:rsidP="008633E2" w14:paraId="7A77F8EC" w14:textId="681FA5CE">
      <w:pPr>
        <w:rPr>
          <w:szCs w:val="24"/>
        </w:rPr>
      </w:pPr>
      <w:r w:rsidRPr="00D069CE">
        <w:rPr>
          <w:szCs w:val="24"/>
        </w:rPr>
        <w:tab/>
      </w:r>
      <w:r w:rsidRPr="00D069CE">
        <w:rPr>
          <w:szCs w:val="24"/>
        </w:rPr>
        <w:tab/>
      </w:r>
      <w:r w:rsidRPr="00D069CE">
        <w:rPr>
          <w:szCs w:val="24"/>
        </w:rPr>
        <w:tab/>
      </w:r>
      <w:r w:rsidRPr="00D069CE">
        <w:rPr>
          <w:szCs w:val="24"/>
        </w:rPr>
        <w:tab/>
      </w:r>
      <w:r w:rsidRPr="00D069CE">
        <w:rPr>
          <w:szCs w:val="24"/>
        </w:rPr>
        <w:tab/>
      </w:r>
      <w:r w:rsidRPr="00D069CE">
        <w:rPr>
          <w:szCs w:val="24"/>
        </w:rPr>
        <w:tab/>
      </w:r>
      <w:hyperlink r:id="rId7" w:history="1">
        <w:r w:rsidRPr="00D069CE" w:rsidR="00D069CE">
          <w:rPr>
            <w:rStyle w:val="Hyperlink"/>
            <w:szCs w:val="24"/>
          </w:rPr>
          <w:t>ambrosia.wilson@occ.ohio.gov</w:t>
        </w:r>
      </w:hyperlink>
    </w:p>
    <w:p w:rsidR="00B771EF" w:rsidP="008633E2" w14:paraId="71020F51" w14:textId="2816C662">
      <w:pPr>
        <w:rPr>
          <w:szCs w:val="24"/>
        </w:rPr>
        <w:sectPr w:rsidSect="002450F8">
          <w:footerReference w:type="default" r:id="rId8"/>
          <w:footerReference w:type="first" r:id="rId9"/>
          <w:pgSz w:w="12240" w:h="15840"/>
          <w:pgMar w:top="1440" w:right="1440" w:bottom="1440" w:left="1440" w:header="720" w:footer="720" w:gutter="0"/>
          <w:pgNumType w:start="2"/>
          <w:cols w:space="720"/>
          <w:titlePg/>
          <w:docGrid w:linePitch="326"/>
        </w:sectPr>
      </w:pPr>
      <w:r>
        <w:rPr>
          <w:szCs w:val="24"/>
        </w:rPr>
        <w:t>December 8, 2021</w:t>
      </w:r>
      <w:r w:rsidRPr="00D069CE" w:rsidR="008633E2">
        <w:rPr>
          <w:szCs w:val="24"/>
        </w:rPr>
        <w:tab/>
      </w:r>
      <w:r w:rsidRPr="00D069CE" w:rsidR="008633E2">
        <w:rPr>
          <w:szCs w:val="24"/>
        </w:rPr>
        <w:tab/>
      </w:r>
      <w:r w:rsidRPr="00D069CE" w:rsidR="008633E2">
        <w:rPr>
          <w:szCs w:val="24"/>
        </w:rPr>
        <w:tab/>
      </w:r>
      <w:r w:rsidRPr="00D069CE" w:rsidR="008633E2">
        <w:rPr>
          <w:szCs w:val="24"/>
        </w:rPr>
        <w:tab/>
        <w:t>(willing to accept service by email)</w:t>
      </w:r>
    </w:p>
    <w:p w:rsidR="008633E2" w:rsidRPr="00D8474B" w:rsidP="00D8474B" w14:paraId="6C89A1F8" w14:textId="47241CEB">
      <w:pPr>
        <w:jc w:val="center"/>
        <w:rPr>
          <w:b/>
          <w:bCs/>
          <w:szCs w:val="24"/>
          <w:u w:val="single"/>
        </w:rPr>
      </w:pPr>
      <w:r w:rsidRPr="00D8474B">
        <w:rPr>
          <w:b/>
          <w:bCs/>
          <w:u w:val="single"/>
        </w:rPr>
        <w:t>TABLE OF CONTENTS</w:t>
      </w:r>
    </w:p>
    <w:p w:rsidR="00630969" w:rsidP="00DC6F51" w14:paraId="7FE5BD1A" w14:textId="54F79DC7">
      <w:pPr>
        <w:tabs>
          <w:tab w:val="left" w:pos="4320"/>
        </w:tabs>
        <w:jc w:val="right"/>
        <w:rPr>
          <w:b/>
          <w:bCs/>
          <w:szCs w:val="24"/>
        </w:rPr>
      </w:pPr>
      <w:r>
        <w:rPr>
          <w:b/>
          <w:bCs/>
          <w:szCs w:val="24"/>
        </w:rPr>
        <w:t>PAGE</w:t>
      </w:r>
    </w:p>
    <w:p w:rsidR="009A50AF" w:rsidP="00DC6F51" w14:paraId="3A6CBD13" w14:textId="77777777">
      <w:pPr>
        <w:tabs>
          <w:tab w:val="left" w:pos="4320"/>
        </w:tabs>
        <w:jc w:val="right"/>
        <w:rPr>
          <w:b/>
          <w:bCs/>
          <w:szCs w:val="24"/>
        </w:rPr>
      </w:pPr>
    </w:p>
    <w:sdt>
      <w:sdtPr>
        <w:id w:val="-819258465"/>
        <w:docPartObj>
          <w:docPartGallery w:val="Table of Contents"/>
          <w:docPartUnique/>
        </w:docPartObj>
      </w:sdtPr>
      <w:sdtEndPr>
        <w:rPr>
          <w:b/>
          <w:bCs/>
          <w:noProof/>
        </w:rPr>
      </w:sdtEndPr>
      <w:sdtContent>
        <w:p w:rsidR="00C12D4B" w14:paraId="747F83B8" w14:textId="4D56C3A5">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9863759" w:history="1">
            <w:r w:rsidRPr="0031601F">
              <w:rPr>
                <w:rStyle w:val="Hyperlink"/>
                <w:noProof/>
              </w:rPr>
              <w:t>I.</w:t>
            </w:r>
            <w:r>
              <w:rPr>
                <w:rFonts w:asciiTheme="minorHAnsi" w:eastAsiaTheme="minorEastAsia" w:hAnsiTheme="minorHAnsi" w:cstheme="minorBidi"/>
                <w:noProof/>
                <w:sz w:val="22"/>
                <w:szCs w:val="22"/>
              </w:rPr>
              <w:tab/>
            </w:r>
            <w:r w:rsidRPr="0031601F">
              <w:rPr>
                <w:rStyle w:val="Hyperlink"/>
                <w:noProof/>
              </w:rPr>
              <w:t>INTRODUCTION</w:t>
            </w:r>
            <w:r>
              <w:rPr>
                <w:noProof/>
                <w:webHidden/>
              </w:rPr>
              <w:tab/>
            </w:r>
            <w:r>
              <w:rPr>
                <w:noProof/>
                <w:webHidden/>
              </w:rPr>
              <w:fldChar w:fldCharType="begin"/>
            </w:r>
            <w:r>
              <w:rPr>
                <w:noProof/>
                <w:webHidden/>
              </w:rPr>
              <w:instrText xml:space="preserve"> PAGEREF _Toc89863759 \h </w:instrText>
            </w:r>
            <w:r>
              <w:rPr>
                <w:noProof/>
                <w:webHidden/>
              </w:rPr>
              <w:fldChar w:fldCharType="separate"/>
            </w:r>
            <w:r>
              <w:rPr>
                <w:noProof/>
                <w:webHidden/>
              </w:rPr>
              <w:t>1</w:t>
            </w:r>
            <w:r>
              <w:rPr>
                <w:noProof/>
                <w:webHidden/>
              </w:rPr>
              <w:fldChar w:fldCharType="end"/>
            </w:r>
          </w:hyperlink>
        </w:p>
        <w:p w:rsidR="00C12D4B" w14:paraId="5AED0EFF" w14:textId="2F3B3607">
          <w:pPr>
            <w:pStyle w:val="TOC1"/>
            <w:rPr>
              <w:rFonts w:asciiTheme="minorHAnsi" w:eastAsiaTheme="minorEastAsia" w:hAnsiTheme="minorHAnsi" w:cstheme="minorBidi"/>
              <w:noProof/>
              <w:sz w:val="22"/>
              <w:szCs w:val="22"/>
            </w:rPr>
          </w:pPr>
          <w:hyperlink w:anchor="_Toc89863760" w:history="1">
            <w:r w:rsidRPr="0031601F" w:rsidR="00D51E89">
              <w:rPr>
                <w:rStyle w:val="Hyperlink"/>
                <w:noProof/>
              </w:rPr>
              <w:t>II.</w:t>
            </w:r>
            <w:r w:rsidR="00D51E89">
              <w:rPr>
                <w:rFonts w:asciiTheme="minorHAnsi" w:eastAsiaTheme="minorEastAsia" w:hAnsiTheme="minorHAnsi" w:cstheme="minorBidi"/>
                <w:noProof/>
                <w:sz w:val="22"/>
                <w:szCs w:val="22"/>
              </w:rPr>
              <w:tab/>
            </w:r>
            <w:r w:rsidRPr="0031601F" w:rsidR="00D51E89">
              <w:rPr>
                <w:rStyle w:val="Hyperlink"/>
                <w:noProof/>
              </w:rPr>
              <w:t>REPLY</w:t>
            </w:r>
            <w:r w:rsidR="00D51E89">
              <w:rPr>
                <w:noProof/>
                <w:webHidden/>
              </w:rPr>
              <w:tab/>
            </w:r>
            <w:r w:rsidR="00D51E89">
              <w:rPr>
                <w:noProof/>
                <w:webHidden/>
              </w:rPr>
              <w:fldChar w:fldCharType="begin"/>
            </w:r>
            <w:r w:rsidR="00D51E89">
              <w:rPr>
                <w:noProof/>
                <w:webHidden/>
              </w:rPr>
              <w:instrText xml:space="preserve"> PAGEREF _Toc89863760 \h </w:instrText>
            </w:r>
            <w:r w:rsidR="00D51E89">
              <w:rPr>
                <w:noProof/>
                <w:webHidden/>
              </w:rPr>
              <w:fldChar w:fldCharType="separate"/>
            </w:r>
            <w:r w:rsidR="00D51E89">
              <w:rPr>
                <w:noProof/>
                <w:webHidden/>
              </w:rPr>
              <w:t>3</w:t>
            </w:r>
            <w:r w:rsidR="00D51E89">
              <w:rPr>
                <w:noProof/>
                <w:webHidden/>
              </w:rPr>
              <w:fldChar w:fldCharType="end"/>
            </w:r>
          </w:hyperlink>
        </w:p>
        <w:p w:rsidR="00C12D4B" w14:paraId="53652EDE" w14:textId="294C495E">
          <w:pPr>
            <w:pStyle w:val="TOC2"/>
            <w:rPr>
              <w:rFonts w:asciiTheme="minorHAnsi" w:eastAsiaTheme="minorEastAsia" w:hAnsiTheme="minorHAnsi" w:cstheme="minorBidi"/>
              <w:noProof/>
              <w:sz w:val="22"/>
              <w:szCs w:val="22"/>
            </w:rPr>
          </w:pPr>
          <w:hyperlink w:anchor="_Toc89863761" w:history="1">
            <w:r w:rsidRPr="0031601F" w:rsidR="00D51E89">
              <w:rPr>
                <w:rStyle w:val="Hyperlink"/>
                <w:noProof/>
              </w:rPr>
              <w:t>A.</w:t>
            </w:r>
            <w:r w:rsidR="00D51E89">
              <w:rPr>
                <w:rFonts w:asciiTheme="minorHAnsi" w:eastAsiaTheme="minorEastAsia" w:hAnsiTheme="minorHAnsi" w:cstheme="minorBidi"/>
                <w:noProof/>
                <w:sz w:val="22"/>
                <w:szCs w:val="22"/>
              </w:rPr>
              <w:tab/>
            </w:r>
            <w:r w:rsidRPr="0031601F" w:rsidR="00D51E89">
              <w:rPr>
                <w:rStyle w:val="Hyperlink"/>
                <w:noProof/>
              </w:rPr>
              <w:t>The PUCO should modify the Settlement’s outdated and inflated rate of return for the continuation of Dominion’s PIR program because as currently structured this alternative rate plan violates Ohio law in that it is neither just nor reasonable.</w:t>
            </w:r>
            <w:r w:rsidR="00D51E89">
              <w:rPr>
                <w:noProof/>
                <w:webHidden/>
              </w:rPr>
              <w:tab/>
            </w:r>
            <w:r w:rsidR="00D51E89">
              <w:rPr>
                <w:noProof/>
                <w:webHidden/>
              </w:rPr>
              <w:fldChar w:fldCharType="begin"/>
            </w:r>
            <w:r w:rsidR="00D51E89">
              <w:rPr>
                <w:noProof/>
                <w:webHidden/>
              </w:rPr>
              <w:instrText xml:space="preserve"> PAGEREF _Toc89863761 \h </w:instrText>
            </w:r>
            <w:r w:rsidR="00D51E89">
              <w:rPr>
                <w:noProof/>
                <w:webHidden/>
              </w:rPr>
              <w:fldChar w:fldCharType="separate"/>
            </w:r>
            <w:r w:rsidR="00D51E89">
              <w:rPr>
                <w:noProof/>
                <w:webHidden/>
              </w:rPr>
              <w:t>3</w:t>
            </w:r>
            <w:r w:rsidR="00D51E89">
              <w:rPr>
                <w:noProof/>
                <w:webHidden/>
              </w:rPr>
              <w:fldChar w:fldCharType="end"/>
            </w:r>
          </w:hyperlink>
        </w:p>
        <w:p w:rsidR="00C12D4B" w14:paraId="6BC3D981" w14:textId="2D319364">
          <w:pPr>
            <w:pStyle w:val="TOC2"/>
            <w:rPr>
              <w:rFonts w:asciiTheme="minorHAnsi" w:eastAsiaTheme="minorEastAsia" w:hAnsiTheme="minorHAnsi" w:cstheme="minorBidi"/>
              <w:noProof/>
              <w:sz w:val="22"/>
              <w:szCs w:val="22"/>
            </w:rPr>
          </w:pPr>
          <w:hyperlink w:anchor="_Toc89863762" w:history="1">
            <w:r w:rsidRPr="0031601F" w:rsidR="00D51E89">
              <w:rPr>
                <w:rStyle w:val="Hyperlink"/>
                <w:noProof/>
              </w:rPr>
              <w:t>B.</w:t>
            </w:r>
            <w:r w:rsidR="00D51E89">
              <w:rPr>
                <w:rFonts w:asciiTheme="minorHAnsi" w:eastAsiaTheme="minorEastAsia" w:hAnsiTheme="minorHAnsi" w:cstheme="minorBidi"/>
                <w:noProof/>
                <w:sz w:val="22"/>
                <w:szCs w:val="22"/>
              </w:rPr>
              <w:tab/>
            </w:r>
            <w:r w:rsidRPr="0031601F" w:rsidR="00D51E89">
              <w:rPr>
                <w:rStyle w:val="Hyperlink"/>
                <w:noProof/>
              </w:rPr>
              <w:t>The Settlement’s use of Dominion’s outdated and inflated rate of return harms consumers and is not in the public interest, thus failing the PUCO’s second prong of its three-part test. The PUCO should adjust Dominion’s rate of return, an especially important action given the harms to consumers facing the pandemic and expected rising gas prices.</w:t>
            </w:r>
            <w:r w:rsidR="00D51E89">
              <w:rPr>
                <w:noProof/>
                <w:webHidden/>
              </w:rPr>
              <w:tab/>
            </w:r>
            <w:r w:rsidR="00D51E89">
              <w:rPr>
                <w:noProof/>
                <w:webHidden/>
              </w:rPr>
              <w:fldChar w:fldCharType="begin"/>
            </w:r>
            <w:r w:rsidR="00D51E89">
              <w:rPr>
                <w:noProof/>
                <w:webHidden/>
              </w:rPr>
              <w:instrText xml:space="preserve"> PAGEREF _Toc89863762 \h </w:instrText>
            </w:r>
            <w:r w:rsidR="00D51E89">
              <w:rPr>
                <w:noProof/>
                <w:webHidden/>
              </w:rPr>
              <w:fldChar w:fldCharType="separate"/>
            </w:r>
            <w:r w:rsidR="00D51E89">
              <w:rPr>
                <w:noProof/>
                <w:webHidden/>
              </w:rPr>
              <w:t>6</w:t>
            </w:r>
            <w:r w:rsidR="00D51E89">
              <w:rPr>
                <w:noProof/>
                <w:webHidden/>
              </w:rPr>
              <w:fldChar w:fldCharType="end"/>
            </w:r>
          </w:hyperlink>
        </w:p>
        <w:p w:rsidR="00C12D4B" w14:paraId="537C286B" w14:textId="6569A281">
          <w:pPr>
            <w:pStyle w:val="TOC2"/>
            <w:rPr>
              <w:rFonts w:asciiTheme="minorHAnsi" w:eastAsiaTheme="minorEastAsia" w:hAnsiTheme="minorHAnsi" w:cstheme="minorBidi"/>
              <w:noProof/>
              <w:sz w:val="22"/>
              <w:szCs w:val="22"/>
            </w:rPr>
          </w:pPr>
          <w:hyperlink w:anchor="_Toc89863763" w:history="1">
            <w:r w:rsidRPr="0031601F" w:rsidR="00D51E89">
              <w:rPr>
                <w:rStyle w:val="Hyperlink"/>
                <w:noProof/>
              </w:rPr>
              <w:t>C.</w:t>
            </w:r>
            <w:r w:rsidR="00D51E89">
              <w:rPr>
                <w:rFonts w:asciiTheme="minorHAnsi" w:eastAsiaTheme="minorEastAsia" w:hAnsiTheme="minorHAnsi" w:cstheme="minorBidi"/>
                <w:noProof/>
                <w:sz w:val="22"/>
                <w:szCs w:val="22"/>
              </w:rPr>
              <w:tab/>
            </w:r>
            <w:r w:rsidRPr="0031601F" w:rsidR="00D51E89">
              <w:rPr>
                <w:rStyle w:val="Hyperlink"/>
                <w:noProof/>
              </w:rPr>
              <w:t>Contrary to claims by Dominion and the PUCO Staff, the Settlement violates important regulatory and state principles and practices to consumers’ detriment.</w:t>
            </w:r>
            <w:r w:rsidR="00D51E89">
              <w:rPr>
                <w:noProof/>
                <w:webHidden/>
              </w:rPr>
              <w:tab/>
            </w:r>
            <w:r w:rsidR="00D51E89">
              <w:rPr>
                <w:noProof/>
                <w:webHidden/>
              </w:rPr>
              <w:fldChar w:fldCharType="begin"/>
            </w:r>
            <w:r w:rsidR="00D51E89">
              <w:rPr>
                <w:noProof/>
                <w:webHidden/>
              </w:rPr>
              <w:instrText xml:space="preserve"> PAGEREF _Toc89863763 \h </w:instrText>
            </w:r>
            <w:r w:rsidR="00D51E89">
              <w:rPr>
                <w:noProof/>
                <w:webHidden/>
              </w:rPr>
              <w:fldChar w:fldCharType="separate"/>
            </w:r>
            <w:r w:rsidR="00D51E89">
              <w:rPr>
                <w:noProof/>
                <w:webHidden/>
              </w:rPr>
              <w:t>8</w:t>
            </w:r>
            <w:r w:rsidR="00D51E89">
              <w:rPr>
                <w:noProof/>
                <w:webHidden/>
              </w:rPr>
              <w:fldChar w:fldCharType="end"/>
            </w:r>
          </w:hyperlink>
        </w:p>
        <w:p w:rsidR="00C12D4B" w14:paraId="5D2762C4" w14:textId="218112B9">
          <w:pPr>
            <w:pStyle w:val="TOC1"/>
            <w:rPr>
              <w:rFonts w:asciiTheme="minorHAnsi" w:eastAsiaTheme="minorEastAsia" w:hAnsiTheme="minorHAnsi" w:cstheme="minorBidi"/>
              <w:noProof/>
              <w:sz w:val="22"/>
              <w:szCs w:val="22"/>
            </w:rPr>
          </w:pPr>
          <w:hyperlink w:anchor="_Toc89863764" w:history="1">
            <w:r w:rsidRPr="0031601F" w:rsidR="00D51E89">
              <w:rPr>
                <w:rStyle w:val="Hyperlink"/>
                <w:noProof/>
              </w:rPr>
              <w:t>III.</w:t>
            </w:r>
            <w:r w:rsidR="00D51E89">
              <w:rPr>
                <w:rFonts w:asciiTheme="minorHAnsi" w:eastAsiaTheme="minorEastAsia" w:hAnsiTheme="minorHAnsi" w:cstheme="minorBidi"/>
                <w:noProof/>
                <w:sz w:val="22"/>
                <w:szCs w:val="22"/>
              </w:rPr>
              <w:tab/>
            </w:r>
            <w:r w:rsidRPr="0031601F" w:rsidR="00D51E89">
              <w:rPr>
                <w:rStyle w:val="Hyperlink"/>
                <w:noProof/>
              </w:rPr>
              <w:t>CONCLUSION</w:t>
            </w:r>
            <w:r w:rsidR="00D51E89">
              <w:rPr>
                <w:noProof/>
                <w:webHidden/>
              </w:rPr>
              <w:tab/>
            </w:r>
            <w:r w:rsidR="00D51E89">
              <w:rPr>
                <w:noProof/>
                <w:webHidden/>
              </w:rPr>
              <w:fldChar w:fldCharType="begin"/>
            </w:r>
            <w:r w:rsidR="00D51E89">
              <w:rPr>
                <w:noProof/>
                <w:webHidden/>
              </w:rPr>
              <w:instrText xml:space="preserve"> PAGEREF _Toc89863764 \h </w:instrText>
            </w:r>
            <w:r w:rsidR="00D51E89">
              <w:rPr>
                <w:noProof/>
                <w:webHidden/>
              </w:rPr>
              <w:fldChar w:fldCharType="separate"/>
            </w:r>
            <w:r w:rsidR="00D51E89">
              <w:rPr>
                <w:noProof/>
                <w:webHidden/>
              </w:rPr>
              <w:t>12</w:t>
            </w:r>
            <w:r w:rsidR="00D51E89">
              <w:rPr>
                <w:noProof/>
                <w:webHidden/>
              </w:rPr>
              <w:fldChar w:fldCharType="end"/>
            </w:r>
          </w:hyperlink>
        </w:p>
        <w:p w:rsidR="00A85520" w14:paraId="1996F798" w14:textId="4B04E77F">
          <w:r>
            <w:rPr>
              <w:b/>
              <w:bCs/>
              <w:noProof/>
            </w:rPr>
            <w:fldChar w:fldCharType="end"/>
          </w:r>
        </w:p>
      </w:sdtContent>
    </w:sdt>
    <w:p w:rsidR="00651A7C" w:rsidP="00D8474B" w14:paraId="6123D5B2" w14:textId="77777777">
      <w:pPr>
        <w:pStyle w:val="HTMLPreformatted"/>
        <w:jc w:val="center"/>
        <w:rPr>
          <w:rFonts w:ascii="Times New Roman" w:hAnsi="Times New Roman" w:cs="Times New Roman"/>
          <w:b/>
          <w:bCs/>
          <w:sz w:val="24"/>
          <w:szCs w:val="24"/>
        </w:rPr>
        <w:sectPr w:rsidSect="002644BF">
          <w:footerReference w:type="first" r:id="rId10"/>
          <w:pgSz w:w="12240" w:h="15840"/>
          <w:pgMar w:top="1440" w:right="1440" w:bottom="1440" w:left="1440" w:header="720" w:footer="720" w:gutter="0"/>
          <w:pgNumType w:fmt="lowerRoman" w:start="1"/>
          <w:cols w:space="720"/>
          <w:titlePg/>
          <w:docGrid w:linePitch="326"/>
        </w:sectPr>
      </w:pPr>
    </w:p>
    <w:p w:rsidR="00D8474B" w:rsidRPr="00A45537" w:rsidP="00D8474B" w14:paraId="72F1483F" w14:textId="3C81F86A">
      <w:pPr>
        <w:pStyle w:val="HTMLPreformatted"/>
        <w:jc w:val="center"/>
        <w:rPr>
          <w:rFonts w:ascii="Times New Roman" w:hAnsi="Times New Roman" w:cs="Times New Roman"/>
          <w:b/>
          <w:bCs/>
          <w:sz w:val="24"/>
          <w:szCs w:val="24"/>
        </w:rPr>
      </w:pPr>
      <w:r w:rsidRPr="00A45537">
        <w:rPr>
          <w:rFonts w:ascii="Times New Roman" w:hAnsi="Times New Roman" w:cs="Times New Roman"/>
          <w:b/>
          <w:bCs/>
          <w:sz w:val="24"/>
          <w:szCs w:val="24"/>
        </w:rPr>
        <w:t>BEFORE</w:t>
      </w:r>
    </w:p>
    <w:p w:rsidR="00D8474B" w:rsidRPr="00A45537" w:rsidP="00D8474B" w14:paraId="2D6D8516" w14:textId="77777777">
      <w:pPr>
        <w:pStyle w:val="HTMLPreformatted"/>
        <w:jc w:val="center"/>
        <w:rPr>
          <w:rFonts w:ascii="Times New Roman" w:hAnsi="Times New Roman" w:cs="Times New Roman"/>
          <w:sz w:val="24"/>
          <w:szCs w:val="24"/>
        </w:rPr>
      </w:pPr>
      <w:r w:rsidRPr="00A45537">
        <w:rPr>
          <w:rFonts w:ascii="Times New Roman" w:hAnsi="Times New Roman" w:cs="Times New Roman"/>
          <w:b/>
          <w:bCs/>
          <w:sz w:val="24"/>
          <w:szCs w:val="24"/>
        </w:rPr>
        <w:t>THE PUBLIC UTILITIES COMMISSION OF OHIO</w:t>
      </w:r>
    </w:p>
    <w:p w:rsidR="00D8474B" w:rsidRPr="00A45537" w:rsidP="00D8474B" w14:paraId="5D975B8E" w14:textId="77777777">
      <w:pPr>
        <w:pStyle w:val="HTMLPreformatted"/>
        <w:rPr>
          <w:rFonts w:ascii="Times New Roman" w:hAnsi="Times New Roman" w:cs="Times New Roman"/>
          <w:sz w:val="24"/>
          <w:szCs w:val="24"/>
        </w:rPr>
      </w:pPr>
    </w:p>
    <w:tbl>
      <w:tblPr>
        <w:tblW w:w="9126" w:type="dxa"/>
        <w:tblLook w:val="01E0"/>
      </w:tblPr>
      <w:tblGrid>
        <w:gridCol w:w="9360"/>
      </w:tblGrid>
      <w:tr w14:paraId="3C1DDA1D" w14:textId="77777777" w:rsidTr="002644BF">
        <w:tblPrEx>
          <w:tblW w:w="9126" w:type="dxa"/>
          <w:tblLook w:val="01E0"/>
        </w:tblPrEx>
        <w:trPr>
          <w:trHeight w:val="807"/>
        </w:trPr>
        <w:tc>
          <w:tcPr>
            <w:tcW w:w="9126" w:type="dxa"/>
            <w:shd w:val="clear" w:color="auto" w:fill="auto"/>
          </w:tcPr>
          <w:tbl>
            <w:tblPr>
              <w:tblW w:w="9161" w:type="dxa"/>
              <w:jc w:val="center"/>
              <w:tblLook w:val="01E0"/>
            </w:tblPr>
            <w:tblGrid>
              <w:gridCol w:w="4408"/>
              <w:gridCol w:w="296"/>
              <w:gridCol w:w="4457"/>
            </w:tblGrid>
            <w:tr w14:paraId="3FD2DFBA" w14:textId="77777777" w:rsidTr="002644BF">
              <w:tblPrEx>
                <w:tblW w:w="9161" w:type="dxa"/>
                <w:jc w:val="center"/>
                <w:tblLook w:val="01E0"/>
              </w:tblPrEx>
              <w:trPr>
                <w:trHeight w:val="807"/>
                <w:jc w:val="center"/>
              </w:trPr>
              <w:tc>
                <w:tcPr>
                  <w:tcW w:w="4408" w:type="dxa"/>
                  <w:shd w:val="clear" w:color="auto" w:fill="auto"/>
                </w:tcPr>
                <w:p w:rsidR="002644BF" w:rsidRPr="00D069CE" w:rsidP="00337218" w14:paraId="12A04A21" w14:textId="2B7262A9">
                  <w:pPr>
                    <w:autoSpaceDE w:val="0"/>
                    <w:autoSpaceDN w:val="0"/>
                    <w:adjustRightInd w:val="0"/>
                  </w:pPr>
                  <w:r w:rsidRPr="00D069CE">
                    <w:t>In the Matter of the Application of the East Ohio Gas Company d/b/a Dominion Energy Ohio for Approval of an Alternative Form of Regulation to Continue its Pipeline Infrastructure Replacement Program.</w:t>
                  </w:r>
                </w:p>
              </w:tc>
              <w:tc>
                <w:tcPr>
                  <w:tcW w:w="296" w:type="dxa"/>
                  <w:shd w:val="clear" w:color="auto" w:fill="auto"/>
                </w:tcPr>
                <w:p w:rsidR="002644BF" w:rsidRPr="00D069CE" w:rsidP="00337218" w14:paraId="2A488AEA" w14:textId="77777777">
                  <w:pPr>
                    <w:pStyle w:val="HTMLPreformatted"/>
                    <w:rPr>
                      <w:rFonts w:ascii="Times New Roman" w:hAnsi="Times New Roman"/>
                      <w:sz w:val="24"/>
                    </w:rPr>
                  </w:pPr>
                  <w:r w:rsidRPr="00D069CE">
                    <w:rPr>
                      <w:rFonts w:ascii="Times New Roman" w:hAnsi="Times New Roman"/>
                      <w:sz w:val="24"/>
                    </w:rPr>
                    <w:t>)</w:t>
                  </w:r>
                </w:p>
                <w:p w:rsidR="002644BF" w:rsidRPr="00D069CE" w:rsidP="00337218" w14:paraId="3C05EBF4" w14:textId="77777777">
                  <w:pPr>
                    <w:pStyle w:val="HTMLPreformatted"/>
                    <w:rPr>
                      <w:rFonts w:ascii="Times New Roman" w:hAnsi="Times New Roman"/>
                      <w:sz w:val="24"/>
                    </w:rPr>
                  </w:pPr>
                  <w:r w:rsidRPr="00D069CE">
                    <w:rPr>
                      <w:rFonts w:ascii="Times New Roman" w:hAnsi="Times New Roman"/>
                      <w:sz w:val="24"/>
                    </w:rPr>
                    <w:t>)</w:t>
                  </w:r>
                </w:p>
                <w:p w:rsidR="002644BF" w:rsidRPr="00D069CE" w:rsidP="00337218" w14:paraId="4A39CB47" w14:textId="77777777">
                  <w:pPr>
                    <w:pStyle w:val="HTMLPreformatted"/>
                    <w:rPr>
                      <w:rFonts w:ascii="Times New Roman" w:hAnsi="Times New Roman"/>
                      <w:sz w:val="24"/>
                    </w:rPr>
                  </w:pPr>
                  <w:r w:rsidRPr="00D069CE">
                    <w:rPr>
                      <w:rFonts w:ascii="Times New Roman" w:hAnsi="Times New Roman"/>
                      <w:sz w:val="24"/>
                    </w:rPr>
                    <w:t>)</w:t>
                  </w:r>
                </w:p>
                <w:p w:rsidR="002644BF" w:rsidRPr="00D069CE" w:rsidP="00337218" w14:paraId="26384241" w14:textId="77777777">
                  <w:pPr>
                    <w:pStyle w:val="HTMLPreformatted"/>
                    <w:rPr>
                      <w:rFonts w:ascii="Times New Roman" w:hAnsi="Times New Roman"/>
                      <w:sz w:val="24"/>
                    </w:rPr>
                  </w:pPr>
                  <w:r w:rsidRPr="00D069CE">
                    <w:rPr>
                      <w:rFonts w:ascii="Times New Roman" w:hAnsi="Times New Roman"/>
                      <w:sz w:val="24"/>
                    </w:rPr>
                    <w:t>)</w:t>
                  </w:r>
                </w:p>
                <w:p w:rsidR="002644BF" w:rsidP="00337218" w14:paraId="4CFCCB67" w14:textId="77777777">
                  <w:pPr>
                    <w:pStyle w:val="HTMLPreformatted"/>
                    <w:rPr>
                      <w:rFonts w:ascii="Times New Roman" w:hAnsi="Times New Roman"/>
                      <w:sz w:val="24"/>
                      <w:szCs w:val="24"/>
                    </w:rPr>
                  </w:pPr>
                  <w:r w:rsidRPr="00D069CE">
                    <w:rPr>
                      <w:rFonts w:ascii="Times New Roman" w:hAnsi="Times New Roman"/>
                      <w:sz w:val="24"/>
                      <w:szCs w:val="24"/>
                    </w:rPr>
                    <w:t>)</w:t>
                  </w:r>
                </w:p>
                <w:p w:rsidR="002644BF" w:rsidRPr="00D069CE" w:rsidP="00337218" w14:paraId="57527AD3" w14:textId="1913FDC5">
                  <w:pPr>
                    <w:pStyle w:val="HTMLPreformatted"/>
                    <w:rPr>
                      <w:rFonts w:ascii="Times New Roman" w:hAnsi="Times New Roman" w:cs="Times New Roman"/>
                      <w:sz w:val="24"/>
                      <w:szCs w:val="24"/>
                    </w:rPr>
                  </w:pPr>
                  <w:r>
                    <w:rPr>
                      <w:rFonts w:ascii="Times New Roman" w:hAnsi="Times New Roman"/>
                      <w:sz w:val="24"/>
                      <w:szCs w:val="24"/>
                    </w:rPr>
                    <w:t>)</w:t>
                  </w:r>
                </w:p>
              </w:tc>
              <w:tc>
                <w:tcPr>
                  <w:tcW w:w="4457" w:type="dxa"/>
                  <w:shd w:val="clear" w:color="auto" w:fill="auto"/>
                </w:tcPr>
                <w:p w:rsidR="002644BF" w:rsidRPr="00D069CE" w:rsidP="00337218" w14:paraId="123EC7DF" w14:textId="77777777">
                  <w:pPr>
                    <w:pStyle w:val="HTMLPreformatted"/>
                    <w:rPr>
                      <w:rFonts w:ascii="Times New Roman" w:hAnsi="Times New Roman"/>
                      <w:sz w:val="24"/>
                    </w:rPr>
                  </w:pPr>
                </w:p>
                <w:p w:rsidR="002644BF" w:rsidRPr="00D069CE" w:rsidP="00337218" w14:paraId="0D8679FA" w14:textId="77777777">
                  <w:pPr>
                    <w:pStyle w:val="HTMLPreformatted"/>
                    <w:rPr>
                      <w:rFonts w:ascii="Times New Roman" w:hAnsi="Times New Roman" w:cs="Times New Roman"/>
                      <w:sz w:val="24"/>
                      <w:szCs w:val="24"/>
                    </w:rPr>
                  </w:pPr>
                </w:p>
                <w:p w:rsidR="002644BF" w:rsidRPr="00D069CE" w:rsidP="00337218" w14:paraId="7B0215A1" w14:textId="13336E7F">
                  <w:pPr>
                    <w:pStyle w:val="HTMLPreformatted"/>
                    <w:rPr>
                      <w:rFonts w:ascii="Times New Roman" w:hAnsi="Times New Roman"/>
                      <w:sz w:val="24"/>
                    </w:rPr>
                  </w:pPr>
                  <w:r w:rsidRPr="00D069CE">
                    <w:rPr>
                      <w:rFonts w:ascii="Times New Roman" w:hAnsi="Times New Roman"/>
                      <w:sz w:val="24"/>
                    </w:rPr>
                    <w:t>Case No. 20-1634-GA-ALT</w:t>
                  </w:r>
                </w:p>
                <w:p w:rsidR="002644BF" w:rsidRPr="00D069CE" w:rsidP="00337218" w14:paraId="1A04A8F8" w14:textId="77777777">
                  <w:pPr>
                    <w:pStyle w:val="HTMLPreformatted"/>
                    <w:rPr>
                      <w:rFonts w:ascii="Times New Roman" w:hAnsi="Times New Roman" w:cs="Times New Roman"/>
                      <w:sz w:val="24"/>
                      <w:szCs w:val="24"/>
                    </w:rPr>
                  </w:pPr>
                </w:p>
              </w:tc>
            </w:tr>
          </w:tbl>
          <w:p w:rsidR="002644BF" w:rsidRPr="00A45537" w:rsidP="00337218" w14:paraId="17DDADCD" w14:textId="77777777">
            <w:pPr>
              <w:pStyle w:val="HTMLPreformatted"/>
              <w:rPr>
                <w:rFonts w:ascii="Times New Roman" w:hAnsi="Times New Roman" w:cs="Times New Roman"/>
                <w:sz w:val="24"/>
                <w:szCs w:val="24"/>
              </w:rPr>
            </w:pPr>
          </w:p>
        </w:tc>
      </w:tr>
    </w:tbl>
    <w:p w:rsidR="00D8474B" w:rsidRPr="00A45537" w:rsidP="00D8474B" w14:paraId="60455277" w14:textId="77777777">
      <w:pPr>
        <w:pStyle w:val="HTMLPreformatted"/>
        <w:rPr>
          <w:rFonts w:ascii="Times New Roman" w:hAnsi="Times New Roman" w:cs="Times New Roman"/>
          <w:sz w:val="24"/>
          <w:szCs w:val="24"/>
        </w:rPr>
      </w:pPr>
    </w:p>
    <w:p w:rsidR="00D8474B" w:rsidRPr="00A45537" w:rsidP="00D8474B" w14:paraId="5E798774" w14:textId="77777777">
      <w:pPr>
        <w:pStyle w:val="HTMLPreformatted"/>
        <w:pBdr>
          <w:top w:val="single" w:sz="12" w:space="1" w:color="auto"/>
        </w:pBdr>
        <w:rPr>
          <w:rFonts w:ascii="Times New Roman" w:hAnsi="Times New Roman" w:cs="Times New Roman"/>
          <w:sz w:val="24"/>
          <w:szCs w:val="24"/>
        </w:rPr>
      </w:pPr>
    </w:p>
    <w:p w:rsidR="00D8474B" w:rsidRPr="00A45537" w:rsidP="00D8474B" w14:paraId="774E6061" w14:textId="02224FB3">
      <w:pPr>
        <w:jc w:val="center"/>
        <w:rPr>
          <w:b/>
          <w:bCs/>
          <w:szCs w:val="24"/>
        </w:rPr>
      </w:pPr>
      <w:r>
        <w:rPr>
          <w:b/>
          <w:bCs/>
          <w:szCs w:val="24"/>
        </w:rPr>
        <w:t>REPLY</w:t>
      </w:r>
      <w:r w:rsidRPr="00A45537" w:rsidR="00A423E6">
        <w:rPr>
          <w:b/>
          <w:bCs/>
          <w:szCs w:val="24"/>
        </w:rPr>
        <w:t xml:space="preserve"> BRIEF</w:t>
      </w:r>
      <w:r w:rsidR="00A423E6">
        <w:rPr>
          <w:b/>
          <w:bCs/>
          <w:szCs w:val="24"/>
        </w:rPr>
        <w:t xml:space="preserve"> FOR CONSUMER PROTECTION</w:t>
      </w:r>
    </w:p>
    <w:p w:rsidR="00D8474B" w:rsidRPr="00A45537" w:rsidP="00D8474B" w14:paraId="14D45104" w14:textId="77777777">
      <w:pPr>
        <w:jc w:val="center"/>
        <w:rPr>
          <w:b/>
          <w:bCs/>
          <w:szCs w:val="24"/>
        </w:rPr>
      </w:pPr>
      <w:r w:rsidRPr="00A45537">
        <w:rPr>
          <w:b/>
          <w:bCs/>
          <w:szCs w:val="24"/>
        </w:rPr>
        <w:t>BY</w:t>
      </w:r>
    </w:p>
    <w:p w:rsidR="00D8474B" w:rsidRPr="00A45537" w:rsidP="00D8474B" w14:paraId="3034CFF6" w14:textId="77777777">
      <w:pPr>
        <w:jc w:val="center"/>
        <w:rPr>
          <w:b/>
          <w:bCs/>
          <w:szCs w:val="24"/>
        </w:rPr>
      </w:pPr>
      <w:r w:rsidRPr="00A45537">
        <w:rPr>
          <w:b/>
          <w:bCs/>
          <w:szCs w:val="24"/>
        </w:rPr>
        <w:t>OFFICE OF THE OHIO CONSUMERS’ COUNSEL</w:t>
      </w:r>
    </w:p>
    <w:p w:rsidR="00D8474B" w:rsidRPr="00A45537" w:rsidP="00D8474B" w14:paraId="751ACB1C" w14:textId="77777777">
      <w:pPr>
        <w:pBdr>
          <w:bottom w:val="single" w:sz="12" w:space="1" w:color="auto"/>
        </w:pBdr>
        <w:tabs>
          <w:tab w:val="left" w:pos="4320"/>
        </w:tabs>
        <w:rPr>
          <w:szCs w:val="24"/>
        </w:rPr>
      </w:pPr>
    </w:p>
    <w:p w:rsidR="00D8474B" w:rsidP="00D8474B" w14:paraId="1FEEDA99" w14:textId="77777777">
      <w:pPr>
        <w:tabs>
          <w:tab w:val="left" w:pos="4320"/>
        </w:tabs>
        <w:rPr>
          <w:szCs w:val="24"/>
        </w:rPr>
      </w:pPr>
    </w:p>
    <w:p w:rsidR="0069402D" w:rsidRPr="00A45537" w:rsidP="00CD2C14" w14:paraId="2716EF47" w14:textId="19DD969A">
      <w:pPr>
        <w:pStyle w:val="Heading1"/>
      </w:pPr>
      <w:bookmarkStart w:id="1" w:name="_Toc74571227"/>
      <w:bookmarkStart w:id="2" w:name="_Toc89863759"/>
      <w:r w:rsidRPr="00A45537">
        <w:t>INTRODUCTION</w:t>
      </w:r>
      <w:bookmarkEnd w:id="1"/>
      <w:bookmarkEnd w:id="2"/>
    </w:p>
    <w:p w:rsidR="006A2070" w:rsidP="006A2070" w14:paraId="0E7ED4EB" w14:textId="4416EE96">
      <w:pPr>
        <w:spacing w:line="480" w:lineRule="auto"/>
        <w:ind w:firstLine="720"/>
      </w:pPr>
      <w:r>
        <w:t xml:space="preserve">Dominion’s application for an alternative rate plan seeks to continue its pipeline infrastructure replacement </w:t>
      </w:r>
      <w:r w:rsidR="00C26AC4">
        <w:t xml:space="preserve">(PIR) </w:t>
      </w:r>
      <w:r>
        <w:t xml:space="preserve">program and charge </w:t>
      </w:r>
      <w:r w:rsidR="009A047F">
        <w:t>consumers for the program’s costs.</w:t>
      </w:r>
      <w:r>
        <w:t xml:space="preserve"> The statutes governing alternative rate plans provide that the PUCO shall approve a program filed under the plan only if it finds the program to be </w:t>
      </w:r>
      <w:r w:rsidRPr="000A1934">
        <w:rPr>
          <w:i/>
          <w:iCs/>
        </w:rPr>
        <w:t>just and reasonable</w:t>
      </w:r>
      <w:r>
        <w:t>.</w:t>
      </w:r>
      <w:r>
        <w:rPr>
          <w:rStyle w:val="FootnoteReference"/>
        </w:rPr>
        <w:footnoteReference w:id="2"/>
      </w:r>
      <w:r w:rsidRPr="0072615D">
        <w:t xml:space="preserve"> </w:t>
      </w:r>
      <w:r>
        <w:t>But the Settlement</w:t>
      </w:r>
      <w:r>
        <w:rPr>
          <w:rStyle w:val="FootnoteReference"/>
        </w:rPr>
        <w:footnoteReference w:id="3"/>
      </w:r>
      <w:r w:rsidR="00023779">
        <w:t xml:space="preserve"> </w:t>
      </w:r>
      <w:r w:rsidR="00437FD8">
        <w:t xml:space="preserve">which resolves Dominion’s application </w:t>
      </w:r>
      <w:r w:rsidR="00023779">
        <w:t xml:space="preserve">is not just and reasonable, especially </w:t>
      </w:r>
      <w:r w:rsidR="001E570F">
        <w:t xml:space="preserve">because of </w:t>
      </w:r>
      <w:r w:rsidR="00023779">
        <w:t>it</w:t>
      </w:r>
      <w:r>
        <w:t>s use of Dominion’s inflated and outdated rate of return (for profits and debt)</w:t>
      </w:r>
      <w:r w:rsidR="00984A8B">
        <w:t>.</w:t>
      </w:r>
      <w:r>
        <w:t xml:space="preserve"> </w:t>
      </w:r>
      <w:r w:rsidR="00984A8B">
        <w:t xml:space="preserve">That outdated rate of return </w:t>
      </w:r>
      <w:r>
        <w:t>harms consumers by making them pay too much, a result that is neither just nor reasonable</w:t>
      </w:r>
      <w:r w:rsidR="00343457">
        <w:t xml:space="preserve"> </w:t>
      </w:r>
      <w:r w:rsidR="00984A8B">
        <w:t xml:space="preserve">in </w:t>
      </w:r>
      <w:r w:rsidR="00343457">
        <w:t>violat</w:t>
      </w:r>
      <w:r w:rsidR="00984A8B">
        <w:t>ion of</w:t>
      </w:r>
      <w:r w:rsidR="00343457">
        <w:t xml:space="preserve"> Ohio law</w:t>
      </w:r>
      <w:r>
        <w:t>. The PUCO should protect residential consumers by rejecting or modifying the Settlement as recommended by OCC</w:t>
      </w:r>
      <w:r w:rsidR="00343457">
        <w:t xml:space="preserve"> in our initial brief</w:t>
      </w:r>
      <w:r>
        <w:t>.</w:t>
      </w:r>
      <w:r>
        <w:rPr>
          <w:rStyle w:val="FootnoteReference"/>
        </w:rPr>
        <w:footnoteReference w:id="4"/>
      </w:r>
      <w:r>
        <w:t xml:space="preserve"> </w:t>
      </w:r>
    </w:p>
    <w:p w:rsidR="00424105" w:rsidP="00424105" w14:paraId="04271645" w14:textId="5295FB64">
      <w:pPr>
        <w:pStyle w:val="BodyTextIndent3"/>
        <w:spacing w:line="480" w:lineRule="auto"/>
      </w:pPr>
      <w:r>
        <w:t>The PUCO should modify the Settlement and adopt a lower and more reasonable pre-tax rate of return of 7.20% as recommended in the unchallenged testimony of OCC witness Dr. Daniel J. Duann.</w:t>
      </w:r>
      <w:r>
        <w:rPr>
          <w:rStyle w:val="FootnoteReference"/>
        </w:rPr>
        <w:footnoteReference w:id="5"/>
      </w:r>
      <w:r>
        <w:t xml:space="preserve"> By adopting this lower pre-tax rate of return, consumers will be protected from paying unjust and unreasonable PIR charges, and Dominion will have the opportunity to earn a return (profits) comparable to that available of other similarly situated gas utilities. </w:t>
      </w:r>
    </w:p>
    <w:p w:rsidR="004E3E3C" w:rsidP="00510C8C" w14:paraId="39E2526D" w14:textId="6209C7E8">
      <w:pPr>
        <w:spacing w:line="480" w:lineRule="auto"/>
        <w:ind w:firstLine="720"/>
      </w:pPr>
      <w:r>
        <w:t xml:space="preserve">It is </w:t>
      </w:r>
      <w:r w:rsidR="009F3910">
        <w:t>neither just nor reasonable</w:t>
      </w:r>
      <w:r>
        <w:t xml:space="preserve"> to force Dominion’s 1.1 million residential consumers</w:t>
      </w:r>
      <w:r w:rsidR="00A15242">
        <w:t xml:space="preserve"> to</w:t>
      </w:r>
      <w:r>
        <w:t xml:space="preserve"> </w:t>
      </w:r>
      <w:r w:rsidR="00343457">
        <w:t xml:space="preserve">continue to </w:t>
      </w:r>
      <w:r>
        <w:t xml:space="preserve">pay </w:t>
      </w:r>
      <w:r w:rsidR="009F3910">
        <w:t>charges for the PIR program based on a</w:t>
      </w:r>
      <w:r w:rsidR="00A15242">
        <w:t xml:space="preserve"> 13</w:t>
      </w:r>
      <w:r w:rsidR="00F6776F">
        <w:t>-</w:t>
      </w:r>
      <w:r w:rsidR="00A15242">
        <w:t>year-old</w:t>
      </w:r>
      <w:r w:rsidR="00903BFC">
        <w:t xml:space="preserve"> </w:t>
      </w:r>
      <w:r w:rsidR="00A15242">
        <w:t xml:space="preserve">and excessive </w:t>
      </w:r>
      <w:r w:rsidR="00903BFC">
        <w:t xml:space="preserve">9.91% pre-tax rate of return </w:t>
      </w:r>
      <w:r w:rsidR="0017233A">
        <w:t xml:space="preserve">included </w:t>
      </w:r>
      <w:r w:rsidR="00E376F7">
        <w:t>in the Settlement</w:t>
      </w:r>
      <w:r w:rsidR="00903BFC">
        <w:t>.</w:t>
      </w:r>
      <w:r>
        <w:rPr>
          <w:rStyle w:val="FootnoteReference"/>
        </w:rPr>
        <w:footnoteReference w:id="6"/>
      </w:r>
      <w:r w:rsidR="00903BFC">
        <w:t xml:space="preserve"> </w:t>
      </w:r>
      <w:r w:rsidR="00A423E6">
        <w:t xml:space="preserve">The stale rate of return will result in </w:t>
      </w:r>
      <w:r w:rsidR="009A047F">
        <w:t xml:space="preserve">consumers overpaying and </w:t>
      </w:r>
      <w:r w:rsidR="00A423E6">
        <w:t>Dominion earning profits that are too high for current financial market conditions</w:t>
      </w:r>
      <w:r w:rsidR="009A047F">
        <w:t xml:space="preserve">. Under the Settlement the </w:t>
      </w:r>
      <w:r w:rsidR="00A423E6">
        <w:t xml:space="preserve">Utility </w:t>
      </w:r>
      <w:r w:rsidR="004952F1">
        <w:t>will</w:t>
      </w:r>
      <w:r w:rsidR="00A423E6">
        <w:t xml:space="preserve"> collect a cost of debt from customers that is </w:t>
      </w:r>
      <w:r w:rsidR="00413EE5">
        <w:t xml:space="preserve">nearly three </w:t>
      </w:r>
      <w:r w:rsidR="00A423E6">
        <w:t xml:space="preserve">times </w:t>
      </w:r>
      <w:r w:rsidR="0031141D">
        <w:t>its</w:t>
      </w:r>
      <w:r w:rsidR="00A423E6">
        <w:t xml:space="preserve"> actual cost of debt. </w:t>
      </w:r>
    </w:p>
    <w:p w:rsidR="009B5D1B" w:rsidP="00510C8C" w14:paraId="548F48F3" w14:textId="6169A359">
      <w:pPr>
        <w:spacing w:line="480" w:lineRule="auto"/>
        <w:ind w:firstLine="720"/>
      </w:pPr>
      <w:r>
        <w:t xml:space="preserve">The initial briefs filed by Dominion and the PUCO Staff </w:t>
      </w:r>
      <w:r w:rsidR="00023779">
        <w:t>fail to demonstrate th</w:t>
      </w:r>
      <w:r w:rsidR="002F67FB">
        <w:t>at the</w:t>
      </w:r>
      <w:r w:rsidR="00023779">
        <w:t xml:space="preserve"> proposed pre-tax rate of return of 9.91% is just and reasonable. Overcharging </w:t>
      </w:r>
      <w:r w:rsidR="009D5C6B">
        <w:t xml:space="preserve">consumers </w:t>
      </w:r>
      <w:r w:rsidR="00023779">
        <w:t>is not</w:t>
      </w:r>
      <w:r w:rsidR="009D5C6B">
        <w:t xml:space="preserve"> just and reasonable</w:t>
      </w:r>
      <w:r w:rsidR="00023779">
        <w:t xml:space="preserve">. </w:t>
      </w:r>
      <w:r w:rsidR="004E3E3C">
        <w:t xml:space="preserve">Knowingly requiring consumers to pay more to provide a utility windfall </w:t>
      </w:r>
      <w:r w:rsidR="00437FD8">
        <w:t>where the consumers receive nothing of value in exchange</w:t>
      </w:r>
      <w:r w:rsidR="004E3E3C">
        <w:t xml:space="preserve"> is </w:t>
      </w:r>
      <w:r w:rsidR="00023779">
        <w:t>unconscionable</w:t>
      </w:r>
      <w:r w:rsidR="00437FD8">
        <w:t>. And it comes at</w:t>
      </w:r>
      <w:r w:rsidR="00023779">
        <w:t xml:space="preserve"> </w:t>
      </w:r>
      <w:r w:rsidR="00437FD8">
        <w:t>an especially troublesome time --</w:t>
      </w:r>
      <w:r w:rsidR="004E3E3C">
        <w:t xml:space="preserve"> </w:t>
      </w:r>
      <w:r w:rsidR="009D5C6B">
        <w:t xml:space="preserve">during a pandemic and </w:t>
      </w:r>
      <w:r w:rsidR="004E3E3C">
        <w:t xml:space="preserve">a period of </w:t>
      </w:r>
      <w:r w:rsidR="009D5C6B">
        <w:t>rising gas prices.</w:t>
      </w:r>
      <w:r w:rsidR="004E3E3C">
        <w:t xml:space="preserve"> In addition, requiring consumers to pay </w:t>
      </w:r>
      <w:r w:rsidR="00437FD8">
        <w:t>profits to the utility tha</w:t>
      </w:r>
      <w:r w:rsidR="00884BFB">
        <w:t>t</w:t>
      </w:r>
      <w:r w:rsidR="00437FD8">
        <w:t xml:space="preserve"> are excessive </w:t>
      </w:r>
      <w:r w:rsidR="004E3E3C">
        <w:t xml:space="preserve">violates the basic regulatory compact between consumers and utilities, where consumers should only pay </w:t>
      </w:r>
      <w:r w:rsidR="006F560A">
        <w:t xml:space="preserve">a </w:t>
      </w:r>
      <w:r w:rsidR="004E3E3C">
        <w:t>fair and reasonable rate of return for monopoly services.</w:t>
      </w:r>
    </w:p>
    <w:p w:rsidR="009B5D1B" w14:paraId="2CAC75A2" w14:textId="77777777">
      <w:r>
        <w:br w:type="page"/>
      </w:r>
    </w:p>
    <w:p w:rsidR="006A2070" w:rsidP="00F10C1E" w14:paraId="7F4ED1F7" w14:textId="77777777">
      <w:pPr>
        <w:pStyle w:val="Heading1"/>
      </w:pPr>
      <w:bookmarkStart w:id="3" w:name="_Toc89863760"/>
      <w:bookmarkStart w:id="4" w:name="_Toc74571228"/>
      <w:r w:rsidRPr="00A45537">
        <w:t>RE</w:t>
      </w:r>
      <w:r>
        <w:t>PLY</w:t>
      </w:r>
      <w:bookmarkEnd w:id="3"/>
    </w:p>
    <w:p w:rsidR="007C368A" w:rsidP="006A2070" w14:paraId="0C0F9CF9" w14:textId="779734E8">
      <w:pPr>
        <w:pStyle w:val="Heading2"/>
      </w:pPr>
      <w:bookmarkStart w:id="5" w:name="_Toc89863761"/>
      <w:bookmarkEnd w:id="4"/>
      <w:r>
        <w:t xml:space="preserve">The </w:t>
      </w:r>
      <w:r w:rsidR="00717A2D">
        <w:t xml:space="preserve">PUCO should modify the </w:t>
      </w:r>
      <w:r>
        <w:t>Settlement</w:t>
      </w:r>
      <w:r w:rsidR="00717A2D">
        <w:t xml:space="preserve">’s outdated and inflated rate of return for the continuation of </w:t>
      </w:r>
      <w:r w:rsidR="00F51E5C">
        <w:t>Dominion’s</w:t>
      </w:r>
      <w:r w:rsidR="00717A2D">
        <w:t xml:space="preserve"> PIR program because </w:t>
      </w:r>
      <w:r w:rsidR="009624CE">
        <w:t>as currently structured th</w:t>
      </w:r>
      <w:r w:rsidR="0088606A">
        <w:t>is</w:t>
      </w:r>
      <w:r w:rsidR="009624CE">
        <w:t xml:space="preserve"> alternative rate plan </w:t>
      </w:r>
      <w:r w:rsidR="00984A8B">
        <w:t xml:space="preserve">violates Ohio law in that it </w:t>
      </w:r>
      <w:r w:rsidR="009624CE">
        <w:t>is neither just nor reasonable</w:t>
      </w:r>
      <w:r w:rsidR="009F3910">
        <w:t>.</w:t>
      </w:r>
      <w:bookmarkEnd w:id="5"/>
      <w:r w:rsidR="0031141D">
        <w:t xml:space="preserve"> </w:t>
      </w:r>
    </w:p>
    <w:p w:rsidR="007552CC" w:rsidP="00F10005" w14:paraId="258E25C8" w14:textId="7D50FA4B">
      <w:pPr>
        <w:pStyle w:val="BodyTextIndent3"/>
        <w:spacing w:line="480" w:lineRule="auto"/>
      </w:pPr>
      <w:r>
        <w:t>The initial briefs of Dominion</w:t>
      </w:r>
      <w:r>
        <w:rPr>
          <w:rStyle w:val="FootnoteReference"/>
        </w:rPr>
        <w:footnoteReference w:id="7"/>
      </w:r>
      <w:r>
        <w:t xml:space="preserve"> and the PUCO Staff</w:t>
      </w:r>
      <w:r>
        <w:rPr>
          <w:rStyle w:val="FootnoteReference"/>
        </w:rPr>
        <w:footnoteReference w:id="8"/>
      </w:r>
      <w:r>
        <w:t xml:space="preserve"> </w:t>
      </w:r>
      <w:r w:rsidR="006F560A">
        <w:t>try</w:t>
      </w:r>
      <w:r>
        <w:t xml:space="preserve"> to demonstrate that the Settlement meets the three-part test for approving stipulations. But nowhere in their briefs do they address the statutory requirement fo</w:t>
      </w:r>
      <w:r w:rsidR="00E60B89">
        <w:t xml:space="preserve">und in R.C. 4929.05(A)(3). </w:t>
      </w:r>
      <w:r w:rsidR="00D91905">
        <w:t xml:space="preserve">Dominion’s </w:t>
      </w:r>
      <w:r w:rsidR="0088606A">
        <w:t xml:space="preserve">pipeline infrastructure replacement </w:t>
      </w:r>
      <w:r w:rsidR="00D91905">
        <w:t xml:space="preserve">Application in this case was filed as an alternative rate plan. </w:t>
      </w:r>
      <w:r w:rsidR="001D0559">
        <w:t>Under Ohio law (R.C. 4929.05 (A)(3)), the PUCO must find an alternative rate plan is just and reasonable in order to approve it.</w:t>
      </w:r>
      <w:r w:rsidR="00834B0F">
        <w:t xml:space="preserve"> </w:t>
      </w:r>
    </w:p>
    <w:p w:rsidR="00245F60" w:rsidP="00F10005" w14:paraId="0CEEC394" w14:textId="7A3DF3D5">
      <w:pPr>
        <w:pStyle w:val="BodyTextIndent3"/>
        <w:spacing w:line="480" w:lineRule="auto"/>
      </w:pPr>
      <w:r>
        <w:t xml:space="preserve">The PUCO cannot </w:t>
      </w:r>
      <w:r w:rsidR="006F560A">
        <w:t xml:space="preserve">approve the </w:t>
      </w:r>
      <w:r>
        <w:t>Settlement based on the three-part test</w:t>
      </w:r>
      <w:r w:rsidR="007552CC">
        <w:t xml:space="preserve"> without also considering the underlying Ohio law.</w:t>
      </w:r>
      <w:r>
        <w:t xml:space="preserve"> </w:t>
      </w:r>
      <w:r w:rsidR="00C61DFF">
        <w:t>Because the PUCO is required by statute to address the just and reasonable standard, it must be considered separate and apart from the Settlement.</w:t>
      </w:r>
      <w:r>
        <w:rPr>
          <w:rStyle w:val="FootnoteReference"/>
        </w:rPr>
        <w:footnoteReference w:id="9"/>
      </w:r>
      <w:r w:rsidR="00C61DFF">
        <w:t xml:space="preserve"> </w:t>
      </w:r>
      <w:r w:rsidR="00D20047">
        <w:t>And w</w:t>
      </w:r>
      <w:r w:rsidR="00FF1F28">
        <w:t>hen a settlement violates a law, the part of the settlement that is unlawful cannot be approved, regardless of the three-part test.</w:t>
      </w:r>
      <w:r>
        <w:rPr>
          <w:rStyle w:val="FootnoteReference"/>
        </w:rPr>
        <w:footnoteReference w:id="10"/>
      </w:r>
      <w:r w:rsidR="00D20047">
        <w:t xml:space="preserve"> </w:t>
      </w:r>
    </w:p>
    <w:p w:rsidR="00D91905" w:rsidP="00F10005" w14:paraId="71F4B703" w14:textId="38ED915F">
      <w:pPr>
        <w:pStyle w:val="BodyTextIndent3"/>
        <w:spacing w:line="480" w:lineRule="auto"/>
      </w:pPr>
      <w:r>
        <w:t>In order to approve</w:t>
      </w:r>
      <w:r w:rsidR="009A047F">
        <w:t xml:space="preserve"> Dominion’s</w:t>
      </w:r>
      <w:r>
        <w:t xml:space="preserve"> PIR Program for a new five-year period, the PUCO must find that the Program is just and reasonable according to R.C. 4929.05(A)(3). And it must make this finding based on the record in this case.</w:t>
      </w:r>
      <w:r>
        <w:rPr>
          <w:rStyle w:val="FootnoteReference"/>
        </w:rPr>
        <w:footnoteReference w:id="11"/>
      </w:r>
      <w:r>
        <w:t xml:space="preserve"> If the PUCO is going to approve the PIR for a new five-year period with its more than 13-year</w:t>
      </w:r>
      <w:r w:rsidR="000940D6">
        <w:t>-</w:t>
      </w:r>
      <w:r>
        <w:t xml:space="preserve">old rate of return </w:t>
      </w:r>
      <w:r w:rsidR="006F560A">
        <w:t>(</w:t>
      </w:r>
      <w:r w:rsidR="000940D6">
        <w:t xml:space="preserve">getting </w:t>
      </w:r>
      <w:r>
        <w:t>older and more outdated each year</w:t>
      </w:r>
      <w:r w:rsidR="000940D6">
        <w:t xml:space="preserve">) </w:t>
      </w:r>
      <w:r>
        <w:t xml:space="preserve">then it must </w:t>
      </w:r>
      <w:r w:rsidR="006F560A">
        <w:t xml:space="preserve">determine </w:t>
      </w:r>
      <w:r>
        <w:rPr>
          <w:rStyle w:val="FootnoteReference"/>
        </w:rPr>
        <w:footnoteReference w:id="12"/>
      </w:r>
      <w:r>
        <w:t xml:space="preserve"> </w:t>
      </w:r>
      <w:r w:rsidR="006F560A">
        <w:t xml:space="preserve">that </w:t>
      </w:r>
      <w:r>
        <w:t xml:space="preserve">the outdated and inflated rate of return is just </w:t>
      </w:r>
      <w:r w:rsidR="006F560A">
        <w:t xml:space="preserve">and </w:t>
      </w:r>
      <w:r>
        <w:t xml:space="preserve">reasonable. </w:t>
      </w:r>
      <w:r w:rsidR="006F560A">
        <w:t>I</w:t>
      </w:r>
      <w:r w:rsidR="000F566D">
        <w:t xml:space="preserve">t is </w:t>
      </w:r>
      <w:r w:rsidR="006F560A">
        <w:t xml:space="preserve">not, and there is no record support for such a finding. </w:t>
      </w:r>
    </w:p>
    <w:p w:rsidR="00334EAD" w:rsidP="00F10005" w14:paraId="3E19BA6E" w14:textId="61CE0484">
      <w:pPr>
        <w:pStyle w:val="BodyTextIndent3"/>
        <w:spacing w:line="480" w:lineRule="auto"/>
      </w:pPr>
      <w:r>
        <w:t>There is no dispute that Dominion’s rate of return—set more than 13 years ago in Case No. 07-829-GA-AIR—is outdated and inflated.</w:t>
      </w:r>
      <w:r>
        <w:rPr>
          <w:rStyle w:val="FootnoteReference"/>
        </w:rPr>
        <w:footnoteReference w:id="13"/>
      </w:r>
      <w:r>
        <w:t xml:space="preserve"> No party challenged OCC’s expert witness Dr. Daniel Duann’s testimony that the rate of return includes a 6.5% cost of debt component when Dominion’s current ac</w:t>
      </w:r>
      <w:r w:rsidR="007552CC">
        <w:t xml:space="preserve">tual cost </w:t>
      </w:r>
      <w:r>
        <w:t xml:space="preserve">of debt </w:t>
      </w:r>
      <w:r w:rsidR="00C26AC4">
        <w:t>is 2.9%.</w:t>
      </w:r>
      <w:r>
        <w:rPr>
          <w:rStyle w:val="FootnoteReference"/>
        </w:rPr>
        <w:footnoteReference w:id="14"/>
      </w:r>
      <w:r w:rsidR="00C26AC4">
        <w:t xml:space="preserve"> Similarly, no party challenged or disputed Dr. Duann’s testimony that the proposed PIR rate of return includes a 10.38% return on equity</w:t>
      </w:r>
      <w:r>
        <w:rPr>
          <w:rStyle w:val="FootnoteReference"/>
        </w:rPr>
        <w:footnoteReference w:id="15"/>
      </w:r>
      <w:r w:rsidR="00C26AC4">
        <w:t xml:space="preserve"> that no longer reflects Dominion’s current business risk or return on equities attained by utilities comparable to Dominion in today’s business climate</w:t>
      </w:r>
      <w:r>
        <w:rPr>
          <w:rStyle w:val="FootnoteReference"/>
        </w:rPr>
        <w:footnoteReference w:id="16"/>
      </w:r>
      <w:r w:rsidR="00C26AC4">
        <w:t xml:space="preserve"> (as required by the U.S. Supreme Court’s </w:t>
      </w:r>
      <w:r w:rsidRPr="00C26AC4" w:rsidR="00C26AC4">
        <w:rPr>
          <w:i/>
          <w:iCs/>
        </w:rPr>
        <w:t>Bluefield</w:t>
      </w:r>
      <w:r>
        <w:rPr>
          <w:rStyle w:val="FootnoteReference"/>
        </w:rPr>
        <w:footnoteReference w:id="17"/>
      </w:r>
      <w:r w:rsidR="00C26AC4">
        <w:t xml:space="preserve"> decision).</w:t>
      </w:r>
      <w:r>
        <w:t xml:space="preserve"> And nobody challenged Dr. Duann’s conclusion that Dominion’s rate of return in this case should be no higher than 7.2% based on Dominion’s current actual cost of debt and current business risk and business climate.</w:t>
      </w:r>
      <w:r>
        <w:rPr>
          <w:rStyle w:val="FootnoteReference"/>
        </w:rPr>
        <w:footnoteReference w:id="18"/>
      </w:r>
      <w:r>
        <w:t xml:space="preserve"> </w:t>
      </w:r>
    </w:p>
    <w:p w:rsidR="002665B0" w:rsidP="00F10005" w14:paraId="4AD30CAE" w14:textId="7D9C4084">
      <w:pPr>
        <w:pStyle w:val="BodyTextIndent3"/>
        <w:spacing w:line="480" w:lineRule="auto"/>
      </w:pPr>
      <w:r>
        <w:t>The parties waived cross</w:t>
      </w:r>
      <w:r w:rsidR="00F51E5C">
        <w:t>-</w:t>
      </w:r>
      <w:r>
        <w:t xml:space="preserve">examination in this case. No party other than OCC sponsored any rate of return witnesses of their own in this case to challenge Dr. Duann’s recommendations. No party is able to support </w:t>
      </w:r>
      <w:r w:rsidR="006F560A">
        <w:t xml:space="preserve">using a </w:t>
      </w:r>
      <w:r>
        <w:t xml:space="preserve">rate of return set more than 13 years ago in Dominion’s </w:t>
      </w:r>
      <w:r w:rsidR="00023779">
        <w:t>base rate</w:t>
      </w:r>
      <w:r>
        <w:t xml:space="preserve"> case </w:t>
      </w:r>
      <w:r w:rsidR="00023779">
        <w:t xml:space="preserve">(Case No. 07-829-GA-AIR). </w:t>
      </w:r>
      <w:r w:rsidR="006F560A">
        <w:t xml:space="preserve">And yet, </w:t>
      </w:r>
      <w:r>
        <w:t xml:space="preserve">the </w:t>
      </w:r>
      <w:r w:rsidR="00F51E5C">
        <w:t xml:space="preserve">Settlement’s </w:t>
      </w:r>
      <w:r>
        <w:t xml:space="preserve">rate of return includes a cost of debt that is </w:t>
      </w:r>
      <w:r w:rsidR="00806F6A">
        <w:t>nearly three</w:t>
      </w:r>
      <w:r>
        <w:t xml:space="preserve"> times higher than Dominions’ actual cost of debt and a 10.38% return on equity that is much higher than the return on equity earned by comparable utilities and no longer reflects Dominion’s business risk.</w:t>
      </w:r>
      <w:r>
        <w:rPr>
          <w:rStyle w:val="FootnoteReference"/>
        </w:rPr>
        <w:footnoteReference w:id="19"/>
      </w:r>
    </w:p>
    <w:p w:rsidR="00E60B89" w:rsidP="00F10005" w14:paraId="06E30C97" w14:textId="3526A851">
      <w:pPr>
        <w:pStyle w:val="BodyTextIndent3"/>
        <w:spacing w:line="480" w:lineRule="auto"/>
      </w:pPr>
      <w:r>
        <w:t>Dominion</w:t>
      </w:r>
      <w:r w:rsidR="00F51E5C">
        <w:t xml:space="preserve"> briefly notes</w:t>
      </w:r>
      <w:r>
        <w:t xml:space="preserve"> the PUCO’s “practice” of utilizing the cost of capital and capital structure approved in the utility’s last rate case in subsequent alternative rate plan and rider proceedings.</w:t>
      </w:r>
      <w:r>
        <w:rPr>
          <w:rStyle w:val="FootnoteReference"/>
        </w:rPr>
        <w:footnoteReference w:id="20"/>
      </w:r>
      <w:r>
        <w:t xml:space="preserve"> </w:t>
      </w:r>
      <w:r w:rsidR="00AC5B41">
        <w:t>(</w:t>
      </w:r>
      <w:r>
        <w:t>The PUCO Staff</w:t>
      </w:r>
      <w:r w:rsidR="001135F5">
        <w:t>’s</w:t>
      </w:r>
      <w:r>
        <w:t xml:space="preserve"> brief avoid</w:t>
      </w:r>
      <w:r w:rsidR="001135F5">
        <w:t>s</w:t>
      </w:r>
      <w:r>
        <w:t xml:space="preserve"> this </w:t>
      </w:r>
      <w:r w:rsidR="00023779">
        <w:t xml:space="preserve">rate of return </w:t>
      </w:r>
      <w:r>
        <w:t>topic entirely</w:t>
      </w:r>
      <w:r w:rsidR="001135F5">
        <w:t>.</w:t>
      </w:r>
      <w:r w:rsidR="00AC5B41">
        <w:t>)</w:t>
      </w:r>
      <w:r>
        <w:t xml:space="preserve"> But the PUCO is not required to use the rate of return decided in the last rate case</w:t>
      </w:r>
      <w:r w:rsidR="00023779">
        <w:t xml:space="preserve"> in a subsequent proceeding</w:t>
      </w:r>
      <w:r>
        <w:t xml:space="preserve">, especially one set 13 years ago, </w:t>
      </w:r>
      <w:r w:rsidR="00023779">
        <w:t>and e</w:t>
      </w:r>
      <w:r w:rsidR="00E2531C">
        <w:t xml:space="preserve">specially when using such a stale rate of return leads to excessive charges to consumers, thus violating </w:t>
      </w:r>
      <w:r w:rsidR="00D33F62">
        <w:t>Ohio law.</w:t>
      </w:r>
      <w:r>
        <w:rPr>
          <w:rStyle w:val="FootnoteReference"/>
        </w:rPr>
        <w:footnoteReference w:id="21"/>
      </w:r>
      <w:r w:rsidR="00E2531C">
        <w:t xml:space="preserve"> </w:t>
      </w:r>
      <w:r w:rsidR="000F566D">
        <w:t xml:space="preserve">Past practice should not be followed where the rate plan that the return is pulled from is more than ten years old and where the current financial conditions surrounding the cost of capital have changed dramatically. </w:t>
      </w:r>
    </w:p>
    <w:p w:rsidR="00E60C8F" w:rsidP="00F10005" w14:paraId="3BAC7462" w14:textId="1A9AE6B4">
      <w:pPr>
        <w:pStyle w:val="BodyTextIndent3"/>
        <w:spacing w:line="480" w:lineRule="auto"/>
      </w:pPr>
      <w:r>
        <w:t>Under Ohio law</w:t>
      </w:r>
      <w:r w:rsidR="008860A3">
        <w:t xml:space="preserve"> (</w:t>
      </w:r>
      <w:r>
        <w:t>R.C. 4929.05 (A)(3)</w:t>
      </w:r>
      <w:r w:rsidR="008860A3">
        <w:t>)</w:t>
      </w:r>
      <w:r>
        <w:t xml:space="preserve">, the PUCO must find that </w:t>
      </w:r>
      <w:r w:rsidR="00023779">
        <w:t xml:space="preserve">an </w:t>
      </w:r>
      <w:r>
        <w:t>alternative rate plan</w:t>
      </w:r>
      <w:r w:rsidR="00023779">
        <w:t xml:space="preserve"> is</w:t>
      </w:r>
      <w:r>
        <w:t xml:space="preserve"> “just and reasonable”</w:t>
      </w:r>
      <w:r w:rsidR="00834B0F">
        <w:t xml:space="preserve"> </w:t>
      </w:r>
      <w:r w:rsidR="00023779">
        <w:t xml:space="preserve">before approving it. </w:t>
      </w:r>
      <w:r>
        <w:t xml:space="preserve">The PUCO also has a duty under R.C. 4905.22 to require Dominion, a regulated utility, to provide necessary and adequate services for just and reasonable charges. Consumers should not be made to pay more for </w:t>
      </w:r>
      <w:r w:rsidR="008860A3">
        <w:t>PIR</w:t>
      </w:r>
      <w:r>
        <w:t xml:space="preserve"> investments solely due to the continued use of an out of date and inflated rate of return that only benefit</w:t>
      </w:r>
      <w:r w:rsidR="00E2531C">
        <w:t>s</w:t>
      </w:r>
      <w:r>
        <w:t xml:space="preserve"> Dominion’s shareholders. </w:t>
      </w:r>
    </w:p>
    <w:p w:rsidR="008860A3" w:rsidP="009624CE" w14:paraId="41E30350" w14:textId="76CE7649">
      <w:pPr>
        <w:spacing w:line="480" w:lineRule="auto"/>
        <w:ind w:firstLine="720"/>
      </w:pPr>
      <w:r>
        <w:t>Ohio law requires all utility rates to be just and reasonable.</w:t>
      </w:r>
      <w:r>
        <w:rPr>
          <w:rStyle w:val="FootnoteReference"/>
        </w:rPr>
        <w:footnoteReference w:id="22"/>
      </w:r>
      <w:r>
        <w:t xml:space="preserve"> </w:t>
      </w:r>
      <w:r w:rsidR="00B077BE">
        <w:t>T</w:t>
      </w:r>
      <w:r>
        <w:t xml:space="preserve">he proposed Settlement </w:t>
      </w:r>
      <w:r w:rsidRPr="00340405">
        <w:t>is contrary to the policy of the state in Revised Code 4929.02(A)(1) for natural gas service to be reasonably priced.</w:t>
      </w:r>
      <w:r>
        <w:rPr>
          <w:rStyle w:val="FootnoteReference"/>
        </w:rPr>
        <w:footnoteReference w:id="23"/>
      </w:r>
      <w:r>
        <w:t xml:space="preserve"> </w:t>
      </w:r>
      <w:r w:rsidRPr="00AB04D3">
        <w:t xml:space="preserve">And, specifically, R.C. 4929.05(A)(3) provides that the PUCO </w:t>
      </w:r>
      <w:r w:rsidR="00D33F62">
        <w:t>should approve an</w:t>
      </w:r>
      <w:r w:rsidRPr="00AB04D3">
        <w:t xml:space="preserve"> alternative rate plan</w:t>
      </w:r>
      <w:r w:rsidR="002214E3">
        <w:t xml:space="preserve">, like Dominion’s PIR program, only </w:t>
      </w:r>
      <w:r w:rsidRPr="00AB04D3">
        <w:t>if the utility has shown and the PUCO finds that the alternative rate plan is just and reasonable.</w:t>
      </w:r>
      <w:r>
        <w:rPr>
          <w:vertAlign w:val="superscript"/>
        </w:rPr>
        <w:footnoteReference w:id="24"/>
      </w:r>
      <w:r w:rsidRPr="00AB04D3">
        <w:t xml:space="preserve"> </w:t>
      </w:r>
      <w:r w:rsidR="00AC5B41">
        <w:t>Th</w:t>
      </w:r>
      <w:r w:rsidR="0031035E">
        <w:t>e</w:t>
      </w:r>
      <w:r w:rsidR="00806F6A">
        <w:t xml:space="preserve"> </w:t>
      </w:r>
      <w:r>
        <w:t xml:space="preserve">Settlement’s use of an outdated and inflated pre-tax rate of return leads to rates that are unjust and unreasonable for consumers, thus violating Ohio law. </w:t>
      </w:r>
    </w:p>
    <w:p w:rsidR="00EE21A6" w:rsidP="002644BF" w14:paraId="7BA9DB43" w14:textId="62C97C9F">
      <w:pPr>
        <w:pStyle w:val="Heading2"/>
        <w:tabs>
          <w:tab w:val="clear" w:pos="4320"/>
        </w:tabs>
      </w:pPr>
      <w:bookmarkStart w:id="6" w:name="_Toc89863762"/>
      <w:bookmarkStart w:id="7" w:name="_Toc84671826"/>
      <w:bookmarkStart w:id="8" w:name="_Toc45699261"/>
      <w:bookmarkStart w:id="9" w:name="_Toc74571229"/>
      <w:r>
        <w:t xml:space="preserve">The Settlement’s use of Dominion’s outdated and inflated rate of return harms </w:t>
      </w:r>
      <w:r w:rsidR="002C7320">
        <w:t>consumers and is not in the public interest, thus failing the PUCO’s second prong of its three-part test.</w:t>
      </w:r>
      <w:r w:rsidR="00806F6A">
        <w:t xml:space="preserve"> The</w:t>
      </w:r>
      <w:r w:rsidR="009624CE">
        <w:t xml:space="preserve"> PUCO </w:t>
      </w:r>
      <w:r w:rsidR="00BE6DEF">
        <w:t xml:space="preserve">should </w:t>
      </w:r>
      <w:r w:rsidR="009624CE">
        <w:t xml:space="preserve">adjust Dominion’s rate of return, </w:t>
      </w:r>
      <w:r w:rsidR="0088606A">
        <w:t xml:space="preserve">an </w:t>
      </w:r>
      <w:r w:rsidR="009624CE">
        <w:t xml:space="preserve">especially important </w:t>
      </w:r>
      <w:r w:rsidR="0088606A">
        <w:t xml:space="preserve">action </w:t>
      </w:r>
      <w:r w:rsidR="009624CE">
        <w:t xml:space="preserve">given the </w:t>
      </w:r>
      <w:r w:rsidR="00115106">
        <w:t xml:space="preserve">harms to consumers facing the </w:t>
      </w:r>
      <w:r w:rsidR="009624CE">
        <w:t>pandemic and expected rising gas prices.</w:t>
      </w:r>
      <w:bookmarkEnd w:id="6"/>
    </w:p>
    <w:p w:rsidR="00E035B2" w:rsidP="00BE6DEF" w14:paraId="071D509E" w14:textId="4D5EB1CB">
      <w:pPr>
        <w:spacing w:line="480" w:lineRule="auto"/>
        <w:ind w:firstLine="720"/>
      </w:pPr>
      <w:r>
        <w:t>Dominion and the PUCO Staff claim that the Settlement includes all kinds of customer benefits.</w:t>
      </w:r>
      <w:r>
        <w:rPr>
          <w:rStyle w:val="FootnoteReference"/>
        </w:rPr>
        <w:footnoteReference w:id="25"/>
      </w:r>
      <w:r w:rsidR="009B5D1B">
        <w:t xml:space="preserve"> </w:t>
      </w:r>
      <w:r w:rsidR="00BE6DEF">
        <w:t xml:space="preserve">But any purported benefits are diminished by the excessive profits consumers pay to Dominion under this Settlement. </w:t>
      </w:r>
      <w:r w:rsidR="002C7320">
        <w:t>A</w:t>
      </w:r>
      <w:r w:rsidR="00B077BE">
        <w:t xml:space="preserve">s pointed out in </w:t>
      </w:r>
      <w:r w:rsidR="00813401">
        <w:t xml:space="preserve">testimony and in </w:t>
      </w:r>
      <w:r w:rsidR="002214E3">
        <w:t>OCC’s</w:t>
      </w:r>
      <w:r w:rsidR="00B077BE">
        <w:t xml:space="preserve"> initial brief,</w:t>
      </w:r>
      <w:r>
        <w:rPr>
          <w:rStyle w:val="FootnoteReference"/>
        </w:rPr>
        <w:footnoteReference w:id="26"/>
      </w:r>
      <w:r w:rsidR="00B077BE">
        <w:t xml:space="preserve"> customers will still get all of these purported benefits if the PUCO were to adjust Dominion’s rate of return as recommended by OCC</w:t>
      </w:r>
      <w:r w:rsidR="006F11BF">
        <w:t>.</w:t>
      </w:r>
    </w:p>
    <w:p w:rsidR="0031035E" w:rsidRPr="00300915" w:rsidP="0031035E" w14:paraId="605E2021" w14:textId="009D2E6A">
      <w:pPr>
        <w:pStyle w:val="FootnoteText"/>
        <w:spacing w:line="480" w:lineRule="auto"/>
        <w:ind w:firstLine="720"/>
        <w:rPr>
          <w:sz w:val="24"/>
          <w:szCs w:val="24"/>
        </w:rPr>
      </w:pPr>
      <w:r w:rsidRPr="00884BFB">
        <w:rPr>
          <w:sz w:val="24"/>
          <w:szCs w:val="24"/>
        </w:rPr>
        <w:t>T</w:t>
      </w:r>
      <w:r w:rsidRPr="00884BFB" w:rsidR="00F02048">
        <w:rPr>
          <w:sz w:val="24"/>
          <w:szCs w:val="24"/>
        </w:rPr>
        <w:t xml:space="preserve">here is no question that consumers in Dominion’s service area </w:t>
      </w:r>
      <w:r w:rsidRPr="00884BFB" w:rsidR="00F02048">
        <w:rPr>
          <w:i/>
          <w:iCs/>
          <w:sz w:val="24"/>
          <w:szCs w:val="24"/>
        </w:rPr>
        <w:t>will</w:t>
      </w:r>
      <w:r w:rsidRPr="00884BFB" w:rsidR="00F02048">
        <w:rPr>
          <w:sz w:val="24"/>
          <w:szCs w:val="24"/>
        </w:rPr>
        <w:t xml:space="preserve"> be harmed substantially by the excessively high and unreasonable pre-tax rate of return of 9</w:t>
      </w:r>
      <w:r w:rsidRPr="00884BFB" w:rsidR="00E035B2">
        <w:rPr>
          <w:sz w:val="24"/>
          <w:szCs w:val="24"/>
        </w:rPr>
        <w:t>.</w:t>
      </w:r>
      <w:r w:rsidRPr="00884BFB" w:rsidR="00F02048">
        <w:rPr>
          <w:sz w:val="24"/>
          <w:szCs w:val="24"/>
        </w:rPr>
        <w:t>91% included in the Settlement.</w:t>
      </w:r>
      <w:r>
        <w:rPr>
          <w:rStyle w:val="FootnoteReference"/>
          <w:sz w:val="24"/>
          <w:szCs w:val="24"/>
        </w:rPr>
        <w:footnoteReference w:id="27"/>
      </w:r>
      <w:r w:rsidRPr="00884BFB" w:rsidR="00F02048">
        <w:rPr>
          <w:sz w:val="24"/>
          <w:szCs w:val="24"/>
        </w:rPr>
        <w:t xml:space="preserve"> </w:t>
      </w:r>
      <w:r w:rsidRPr="00884BFB" w:rsidR="006F11BF">
        <w:rPr>
          <w:sz w:val="24"/>
          <w:szCs w:val="24"/>
        </w:rPr>
        <w:t>OCC calculated that, “the harm to consumers from adopting the 9.91% pre-tax rate of return will be even greater than what OCC calculated for Dominion’s CEP program (approximately $18.6 million) in Case No. 21-619-GA-RDR.”</w:t>
      </w:r>
      <w:r>
        <w:rPr>
          <w:rStyle w:val="FootnoteReference"/>
          <w:sz w:val="24"/>
          <w:szCs w:val="24"/>
        </w:rPr>
        <w:footnoteReference w:id="28"/>
      </w:r>
      <w:r w:rsidRPr="00884BFB" w:rsidR="006F11BF">
        <w:rPr>
          <w:sz w:val="24"/>
          <w:szCs w:val="24"/>
        </w:rPr>
        <w:t xml:space="preserve"> </w:t>
      </w:r>
      <w:r w:rsidRPr="00884BFB" w:rsidR="00D33F62">
        <w:rPr>
          <w:sz w:val="24"/>
          <w:szCs w:val="24"/>
        </w:rPr>
        <w:t>Dominion and the PUCO Staff did not dispute or challenge Dr. Duann’s calculation</w:t>
      </w:r>
      <w:r w:rsidRPr="00884BFB">
        <w:rPr>
          <w:sz w:val="24"/>
          <w:szCs w:val="24"/>
        </w:rPr>
        <w:t xml:space="preserve"> in that case (CEP Program) or in this case (PIR Program). </w:t>
      </w:r>
      <w:r w:rsidR="00806F6A">
        <w:rPr>
          <w:sz w:val="24"/>
          <w:szCs w:val="24"/>
        </w:rPr>
        <w:t>Moreover, t</w:t>
      </w:r>
      <w:r w:rsidRPr="003F42DB">
        <w:rPr>
          <w:sz w:val="24"/>
          <w:szCs w:val="24"/>
        </w:rPr>
        <w:t>his unreasonably high rate of return is likely to provide an a</w:t>
      </w:r>
      <w:r w:rsidRPr="0031035E">
        <w:rPr>
          <w:sz w:val="24"/>
          <w:szCs w:val="24"/>
        </w:rPr>
        <w:t>dded incentive for Dominion to make even greater capital investments to generate an even higher profits at the expense of its gas consumers.</w:t>
      </w:r>
      <w:r>
        <w:rPr>
          <w:rStyle w:val="FootnoteReference"/>
          <w:sz w:val="24"/>
          <w:szCs w:val="24"/>
        </w:rPr>
        <w:footnoteReference w:id="29"/>
      </w:r>
      <w:r w:rsidRPr="0031035E">
        <w:rPr>
          <w:sz w:val="24"/>
          <w:szCs w:val="24"/>
        </w:rPr>
        <w:t xml:space="preserve"> </w:t>
      </w:r>
    </w:p>
    <w:p w:rsidR="003E23B1" w:rsidP="00F02048" w14:paraId="1F82346F" w14:textId="08BBEF20">
      <w:pPr>
        <w:pStyle w:val="FootnoteText"/>
        <w:spacing w:line="480" w:lineRule="auto"/>
        <w:ind w:firstLine="720"/>
        <w:rPr>
          <w:sz w:val="24"/>
          <w:szCs w:val="24"/>
        </w:rPr>
      </w:pPr>
      <w:r>
        <w:rPr>
          <w:sz w:val="24"/>
          <w:szCs w:val="24"/>
        </w:rPr>
        <w:t>T</w:t>
      </w:r>
      <w:r w:rsidR="00115106">
        <w:rPr>
          <w:sz w:val="24"/>
          <w:szCs w:val="24"/>
        </w:rPr>
        <w:t>he harms to consumers and the public interest of adopting the Settlement is further compounded by the recent and rapid rise in energy costs, especially the prices of natural gas in the Midwest region</w:t>
      </w:r>
      <w:r>
        <w:rPr>
          <w:sz w:val="24"/>
          <w:szCs w:val="24"/>
        </w:rPr>
        <w:t>; occurring during a pandemic with arising variants and no end in sight.</w:t>
      </w:r>
      <w:r>
        <w:rPr>
          <w:rStyle w:val="FootnoteReference"/>
          <w:sz w:val="24"/>
          <w:szCs w:val="24"/>
        </w:rPr>
        <w:footnoteReference w:id="30"/>
      </w:r>
      <w:r w:rsidR="00115106">
        <w:rPr>
          <w:sz w:val="24"/>
          <w:szCs w:val="24"/>
        </w:rPr>
        <w:t xml:space="preserve"> As OCC explained</w:t>
      </w:r>
      <w:r>
        <w:rPr>
          <w:sz w:val="24"/>
          <w:szCs w:val="24"/>
        </w:rPr>
        <w:t xml:space="preserve"> in Dr. Duann’s testimony</w:t>
      </w:r>
      <w:r w:rsidR="00115106">
        <w:rPr>
          <w:sz w:val="24"/>
          <w:szCs w:val="24"/>
        </w:rPr>
        <w:t>,</w:t>
      </w:r>
      <w:r>
        <w:rPr>
          <w:rStyle w:val="FootnoteReference"/>
          <w:sz w:val="24"/>
          <w:szCs w:val="24"/>
        </w:rPr>
        <w:footnoteReference w:id="31"/>
      </w:r>
      <w:r w:rsidR="00115106">
        <w:rPr>
          <w:sz w:val="24"/>
          <w:szCs w:val="24"/>
        </w:rPr>
        <w:t xml:space="preserve"> </w:t>
      </w:r>
      <w:r>
        <w:rPr>
          <w:sz w:val="24"/>
          <w:szCs w:val="24"/>
        </w:rPr>
        <w:t xml:space="preserve">the U.S. Energy Information Administration recently warned: </w:t>
      </w:r>
    </w:p>
    <w:p w:rsidR="003E23B1" w:rsidP="003E23B1" w14:paraId="612259A5" w14:textId="2CD143FA">
      <w:pPr>
        <w:ind w:left="720"/>
      </w:pPr>
      <w:r>
        <w:t>We expect that the nearly half of U.S. households that heat primarily with natural gas will spend 30% more than they spent last winter on average—50% more if the winter is 10% colder-than-average and 22% more if the winter is 10% warmer-than-average. For the Midwest Region (where Ohio is located), the increase in natural gas expenditure is expected to be even higher at 48.6%, from $551 to $818. The unit price ($/Mcf) of natural gas in the Midwest Region is forecasted to increase by 44.7% from $7.80 to $11.28.</w:t>
      </w:r>
      <w:r>
        <w:rPr>
          <w:rStyle w:val="FootnoteReference"/>
        </w:rPr>
        <w:footnoteReference w:id="32"/>
      </w:r>
      <w:r>
        <w:t xml:space="preserve"> </w:t>
      </w:r>
    </w:p>
    <w:p w:rsidR="00AF6908" w:rsidP="00AF6908" w14:paraId="2CD7463F" w14:textId="77777777">
      <w:pPr>
        <w:ind w:firstLine="720"/>
      </w:pPr>
    </w:p>
    <w:p w:rsidR="001B0AEC" w:rsidP="001B0AEC" w14:paraId="555939AB" w14:textId="489C3CDA">
      <w:pPr>
        <w:spacing w:line="480" w:lineRule="auto"/>
        <w:ind w:firstLine="720"/>
      </w:pPr>
      <w:r>
        <w:t xml:space="preserve">The PUCO may have little control over the gas commodity prices as they are largely determined in the marketplace. But the PUCO does have the power (and </w:t>
      </w:r>
      <w:r w:rsidR="00D33F62">
        <w:t xml:space="preserve">the </w:t>
      </w:r>
      <w:r>
        <w:t>responsibility) to set reasonable profits (authorized return on equity) and debt costs for Dominion’s PIR program to protect consumers from paying unreasonable rates</w:t>
      </w:r>
      <w:r w:rsidR="00D33F62">
        <w:t>,</w:t>
      </w:r>
      <w:r>
        <w:t xml:space="preserve"> especially important during these challenging times. The PUCO should redouble its efforts to lower the costs of gas services, including the PIR charge, to protect consumers, especially those at-risk population.</w:t>
      </w:r>
      <w:r>
        <w:rPr>
          <w:rStyle w:val="FootnoteReference"/>
        </w:rPr>
        <w:footnoteReference w:id="33"/>
      </w:r>
    </w:p>
    <w:p w:rsidR="001B0AEC" w:rsidP="001B0AEC" w14:paraId="5B063627" w14:textId="07A30D7F">
      <w:pPr>
        <w:spacing w:line="480" w:lineRule="auto"/>
        <w:ind w:firstLine="720"/>
        <w:rPr>
          <w:bCs/>
        </w:rPr>
      </w:pPr>
      <w:r>
        <w:rPr>
          <w:bCs/>
        </w:rPr>
        <w:t xml:space="preserve">The </w:t>
      </w:r>
      <w:r w:rsidR="00C659CB">
        <w:rPr>
          <w:bCs/>
        </w:rPr>
        <w:t xml:space="preserve">Settlement harms customers </w:t>
      </w:r>
      <w:r w:rsidR="00C85D6F">
        <w:rPr>
          <w:bCs/>
        </w:rPr>
        <w:t>and is not in the public interest</w:t>
      </w:r>
      <w:r w:rsidR="00C659CB">
        <w:rPr>
          <w:bCs/>
        </w:rPr>
        <w:t xml:space="preserve"> in violation of the PUCO’s test to evaluate settlements. Therefore, the </w:t>
      </w:r>
      <w:r>
        <w:rPr>
          <w:bCs/>
        </w:rPr>
        <w:t xml:space="preserve">PUCO should reject or modify the Settlement </w:t>
      </w:r>
      <w:r w:rsidR="00C659CB">
        <w:rPr>
          <w:bCs/>
        </w:rPr>
        <w:t>by</w:t>
      </w:r>
      <w:r>
        <w:rPr>
          <w:bCs/>
        </w:rPr>
        <w:t xml:space="preserve"> implement</w:t>
      </w:r>
      <w:r w:rsidR="00C659CB">
        <w:rPr>
          <w:bCs/>
        </w:rPr>
        <w:t>ing</w:t>
      </w:r>
      <w:r>
        <w:rPr>
          <w:bCs/>
        </w:rPr>
        <w:t xml:space="preserve"> Dr. Duann’s recommended rate of return of 7.20% to protect consumers.</w:t>
      </w:r>
      <w:r w:rsidR="00C659CB">
        <w:rPr>
          <w:bCs/>
        </w:rPr>
        <w:t xml:space="preserve"> </w:t>
      </w:r>
    </w:p>
    <w:p w:rsidR="00FB4EC9" w:rsidP="00957261" w14:paraId="38A27F94" w14:textId="33AEA206">
      <w:pPr>
        <w:pStyle w:val="Heading2"/>
        <w:tabs>
          <w:tab w:val="clear" w:pos="4320"/>
        </w:tabs>
      </w:pPr>
      <w:bookmarkStart w:id="10" w:name="_Toc84671828"/>
      <w:bookmarkStart w:id="11" w:name="_Toc89863763"/>
      <w:bookmarkEnd w:id="7"/>
      <w:r>
        <w:t>Contrary to claims by Dominion</w:t>
      </w:r>
      <w:r w:rsidR="00C972B7">
        <w:t xml:space="preserve"> and the PUCO Staff</w:t>
      </w:r>
      <w:r>
        <w:t xml:space="preserve">, the Settlement violates important regulatory </w:t>
      </w:r>
      <w:r w:rsidR="0027555F">
        <w:t xml:space="preserve">and state </w:t>
      </w:r>
      <w:r>
        <w:t>principles and practices to consumers’ detriment.</w:t>
      </w:r>
      <w:bookmarkEnd w:id="10"/>
      <w:bookmarkEnd w:id="11"/>
    </w:p>
    <w:p w:rsidR="00C12D4B" w:rsidP="001B0AEC" w14:paraId="47317412" w14:textId="664F3E38">
      <w:pPr>
        <w:pStyle w:val="NoSpacing"/>
        <w:spacing w:line="480" w:lineRule="auto"/>
        <w:ind w:firstLine="720"/>
        <w:rPr>
          <w:rFonts w:ascii="Times New Roman" w:hAnsi="Times New Roman" w:cs="Times New Roman"/>
          <w:sz w:val="24"/>
          <w:szCs w:val="24"/>
        </w:rPr>
      </w:pPr>
      <w:r w:rsidRPr="001421A7">
        <w:rPr>
          <w:rFonts w:ascii="Times New Roman" w:hAnsi="Times New Roman" w:cs="Times New Roman"/>
          <w:sz w:val="24"/>
          <w:szCs w:val="24"/>
        </w:rPr>
        <w:t>Dominion assert</w:t>
      </w:r>
      <w:r>
        <w:rPr>
          <w:rFonts w:ascii="Times New Roman" w:hAnsi="Times New Roman" w:cs="Times New Roman"/>
          <w:sz w:val="24"/>
          <w:szCs w:val="24"/>
        </w:rPr>
        <w:t>s</w:t>
      </w:r>
      <w:r w:rsidRPr="001421A7">
        <w:rPr>
          <w:rFonts w:ascii="Times New Roman" w:hAnsi="Times New Roman" w:cs="Times New Roman"/>
          <w:sz w:val="24"/>
          <w:szCs w:val="24"/>
        </w:rPr>
        <w:t xml:space="preserve"> that the Settlement does not violate any important regulatory principles or practices.</w:t>
      </w:r>
      <w:r>
        <w:rPr>
          <w:rStyle w:val="FootnoteReference"/>
          <w:rFonts w:ascii="Times New Roman" w:hAnsi="Times New Roman" w:cs="Times New Roman"/>
          <w:sz w:val="24"/>
          <w:szCs w:val="24"/>
        </w:rPr>
        <w:footnoteReference w:id="34"/>
      </w:r>
      <w:r w:rsidRPr="001421A7">
        <w:rPr>
          <w:rFonts w:ascii="Times New Roman" w:hAnsi="Times New Roman" w:cs="Times New Roman"/>
          <w:sz w:val="24"/>
          <w:szCs w:val="24"/>
        </w:rPr>
        <w:t xml:space="preserve"> </w:t>
      </w:r>
      <w:r>
        <w:rPr>
          <w:rFonts w:ascii="Times New Roman" w:hAnsi="Times New Roman" w:cs="Times New Roman"/>
          <w:sz w:val="24"/>
          <w:szCs w:val="24"/>
        </w:rPr>
        <w:t xml:space="preserve">But as OCC explained in its brief, the Settlement violates </w:t>
      </w:r>
      <w:r w:rsidR="00C972B7">
        <w:rPr>
          <w:rFonts w:ascii="Times New Roman" w:hAnsi="Times New Roman" w:cs="Times New Roman"/>
          <w:sz w:val="24"/>
          <w:szCs w:val="24"/>
        </w:rPr>
        <w:t xml:space="preserve">important </w:t>
      </w:r>
      <w:r w:rsidRPr="001421A7">
        <w:rPr>
          <w:rFonts w:ascii="Times New Roman" w:hAnsi="Times New Roman" w:cs="Times New Roman"/>
          <w:sz w:val="24"/>
          <w:szCs w:val="24"/>
        </w:rPr>
        <w:t xml:space="preserve">regulatory </w:t>
      </w:r>
      <w:r w:rsidR="0027555F">
        <w:rPr>
          <w:rFonts w:ascii="Times New Roman" w:hAnsi="Times New Roman" w:cs="Times New Roman"/>
          <w:sz w:val="24"/>
          <w:szCs w:val="24"/>
        </w:rPr>
        <w:t xml:space="preserve">and state </w:t>
      </w:r>
      <w:r w:rsidRPr="001421A7">
        <w:rPr>
          <w:rFonts w:ascii="Times New Roman" w:hAnsi="Times New Roman" w:cs="Times New Roman"/>
          <w:sz w:val="24"/>
          <w:szCs w:val="24"/>
        </w:rPr>
        <w:t xml:space="preserve">principles </w:t>
      </w:r>
      <w:r w:rsidR="00C972B7">
        <w:rPr>
          <w:rFonts w:ascii="Times New Roman" w:hAnsi="Times New Roman" w:cs="Times New Roman"/>
          <w:sz w:val="24"/>
          <w:szCs w:val="24"/>
        </w:rPr>
        <w:t>identified</w:t>
      </w:r>
      <w:r w:rsidRPr="001421A7">
        <w:rPr>
          <w:rFonts w:ascii="Times New Roman" w:hAnsi="Times New Roman" w:cs="Times New Roman"/>
          <w:sz w:val="24"/>
          <w:szCs w:val="24"/>
        </w:rPr>
        <w:t xml:space="preserve"> in OCC witness Duann’s testimon</w:t>
      </w:r>
      <w:r w:rsidR="00221266">
        <w:rPr>
          <w:rFonts w:ascii="Times New Roman" w:hAnsi="Times New Roman" w:cs="Times New Roman"/>
          <w:sz w:val="24"/>
          <w:szCs w:val="24"/>
        </w:rPr>
        <w:t>y</w:t>
      </w:r>
      <w:r w:rsidRPr="001421A7">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Pr="00FD4715" w:rsidR="00CE2F7B">
        <w:rPr>
          <w:rFonts w:ascii="Times New Roman" w:hAnsi="Times New Roman" w:cs="Times New Roman"/>
          <w:sz w:val="24"/>
          <w:szCs w:val="24"/>
        </w:rPr>
        <w:t>The Settlement’s use of a rate of return decided in the last rate case over 13 years ago as a proxy for the current rate of return for Dominion</w:t>
      </w:r>
      <w:r w:rsidR="00CE2F7B">
        <w:rPr>
          <w:rFonts w:ascii="Times New Roman" w:hAnsi="Times New Roman" w:cs="Times New Roman"/>
          <w:sz w:val="24"/>
          <w:szCs w:val="24"/>
        </w:rPr>
        <w:t xml:space="preserve"> is not just and reasonable, does not comport with the</w:t>
      </w:r>
      <w:r w:rsidRPr="00FD4715" w:rsidR="00CE2F7B">
        <w:rPr>
          <w:rFonts w:ascii="Times New Roman" w:hAnsi="Times New Roman" w:cs="Times New Roman"/>
          <w:sz w:val="24"/>
          <w:szCs w:val="24"/>
        </w:rPr>
        <w:t xml:space="preserve"> important regulatory principle</w:t>
      </w:r>
      <w:r w:rsidR="00AA684A">
        <w:rPr>
          <w:rFonts w:ascii="Times New Roman" w:hAnsi="Times New Roman" w:cs="Times New Roman"/>
          <w:sz w:val="24"/>
          <w:szCs w:val="24"/>
        </w:rPr>
        <w:t>s</w:t>
      </w:r>
      <w:r w:rsidR="00CE2F7B">
        <w:rPr>
          <w:rFonts w:ascii="Times New Roman" w:hAnsi="Times New Roman" w:cs="Times New Roman"/>
          <w:sz w:val="24"/>
          <w:szCs w:val="24"/>
        </w:rPr>
        <w:t xml:space="preserve"> established in </w:t>
      </w:r>
      <w:r w:rsidRPr="00884BFB" w:rsidR="00CE2F7B">
        <w:rPr>
          <w:rFonts w:ascii="Times New Roman" w:hAnsi="Times New Roman" w:cs="Times New Roman"/>
          <w:i/>
          <w:iCs/>
          <w:sz w:val="24"/>
          <w:szCs w:val="24"/>
        </w:rPr>
        <w:t>Bluefield</w:t>
      </w:r>
      <w:r>
        <w:rPr>
          <w:rStyle w:val="FootnoteReference"/>
          <w:rFonts w:ascii="Times New Roman" w:hAnsi="Times New Roman" w:cs="Times New Roman"/>
          <w:sz w:val="24"/>
          <w:szCs w:val="24"/>
        </w:rPr>
        <w:footnoteReference w:id="36"/>
      </w:r>
      <w:r w:rsidRPr="00FD4715" w:rsidR="00CE2F7B">
        <w:rPr>
          <w:rFonts w:ascii="Times New Roman" w:hAnsi="Times New Roman" w:cs="Times New Roman"/>
          <w:sz w:val="24"/>
          <w:szCs w:val="24"/>
        </w:rPr>
        <w:t xml:space="preserve"> and state policies</w:t>
      </w:r>
      <w:r w:rsidR="00AA684A">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Pr="00FD4715" w:rsidR="00CE2F7B">
        <w:rPr>
          <w:rFonts w:ascii="Times New Roman" w:hAnsi="Times New Roman" w:cs="Times New Roman"/>
          <w:sz w:val="24"/>
          <w:szCs w:val="24"/>
        </w:rPr>
        <w:t xml:space="preserve"> </w:t>
      </w:r>
      <w:r w:rsidR="00CE2F7B">
        <w:rPr>
          <w:rFonts w:ascii="Times New Roman" w:hAnsi="Times New Roman" w:cs="Times New Roman"/>
          <w:sz w:val="24"/>
          <w:szCs w:val="24"/>
        </w:rPr>
        <w:t>and thus necessarily violates the third prong of the PUCO’s three-part test for considering settlements.</w:t>
      </w:r>
    </w:p>
    <w:p w:rsidR="00C12D4B" w14:paraId="5A9A1D29" w14:textId="77777777">
      <w:pPr>
        <w:rPr>
          <w:rFonts w:eastAsiaTheme="minorHAnsi"/>
          <w:szCs w:val="24"/>
        </w:rPr>
      </w:pPr>
      <w:r>
        <w:rPr>
          <w:szCs w:val="24"/>
        </w:rPr>
        <w:br w:type="page"/>
      </w:r>
    </w:p>
    <w:p w:rsidR="00C659CB" w:rsidP="00221266" w14:paraId="75CAE154" w14:textId="2738E4FE">
      <w:pPr>
        <w:spacing w:line="480" w:lineRule="auto"/>
        <w:ind w:firstLine="720"/>
      </w:pPr>
      <w:r>
        <w:rPr>
          <w:szCs w:val="24"/>
        </w:rPr>
        <w:t>First, the Settlement</w:t>
      </w:r>
      <w:r w:rsidRPr="001421A7" w:rsidR="001B0AEC">
        <w:rPr>
          <w:szCs w:val="24"/>
        </w:rPr>
        <w:t xml:space="preserve"> violates the fundamental regulatory principle</w:t>
      </w:r>
      <w:r w:rsidR="00CE2F7B">
        <w:rPr>
          <w:szCs w:val="24"/>
        </w:rPr>
        <w:t xml:space="preserve"> of </w:t>
      </w:r>
      <w:r w:rsidRPr="001421A7" w:rsidR="001B0AEC">
        <w:rPr>
          <w:szCs w:val="24"/>
        </w:rPr>
        <w:t>the regulatory compact</w:t>
      </w:r>
      <w:r w:rsidRPr="000C7F39" w:rsidR="000C7F39">
        <w:t xml:space="preserve"> </w:t>
      </w:r>
      <w:r w:rsidR="000C7F39">
        <w:t>between consumers and utilities, where consumers should only pay a fair and reasonable rate of return for monopoly services.</w:t>
      </w:r>
      <w:r>
        <w:rPr>
          <w:rStyle w:val="FootnoteReference"/>
          <w:szCs w:val="24"/>
        </w:rPr>
        <w:footnoteReference w:id="38"/>
      </w:r>
      <w:r w:rsidR="001B0AEC">
        <w:rPr>
          <w:szCs w:val="24"/>
        </w:rPr>
        <w:t xml:space="preserve"> </w:t>
      </w:r>
      <w:r w:rsidR="00221266">
        <w:t xml:space="preserve">As discussed by OCC witness Dr. Daniel J. Duann, Dominion’s residential consumers are being asked to pay more – a lot more in PIR charges if the proposed Settlement is approved. Dominion’s current PIR Rider rate for residential consumers is $14.98 per month ($179.76 per year). </w:t>
      </w:r>
    </w:p>
    <w:p w:rsidR="00221266" w:rsidP="00221266" w14:paraId="4F52160A" w14:textId="2DB29811">
      <w:pPr>
        <w:spacing w:line="480" w:lineRule="auto"/>
        <w:ind w:firstLine="720"/>
      </w:pPr>
      <w:r>
        <w:t xml:space="preserve">Under the Settlement, </w:t>
      </w:r>
      <w:r w:rsidR="00E81522">
        <w:t>the charges go up. R</w:t>
      </w:r>
      <w:r>
        <w:t>esidential consumers could be paying as much as $20.27 per month ($243.24 per year) for the PIR in 2025 by the time that new base distribution rates using an updated rate of return will take effect from the base rate case that Dominion has committed to file in October 2024.</w:t>
      </w:r>
      <w:r>
        <w:rPr>
          <w:rStyle w:val="FootnoteReference"/>
        </w:rPr>
        <w:footnoteReference w:id="39"/>
      </w:r>
      <w:r>
        <w:t xml:space="preserve"> </w:t>
      </w:r>
      <w:r w:rsidR="00AA684A">
        <w:t>Th</w:t>
      </w:r>
      <w:r w:rsidR="00D33F62">
        <w:t>is</w:t>
      </w:r>
      <w:r>
        <w:t xml:space="preserve"> </w:t>
      </w:r>
      <w:r w:rsidR="00E81522">
        <w:t>represents</w:t>
      </w:r>
      <w:r>
        <w:t xml:space="preserve"> almost four years of unreasonable charges until the time when that rate case is decided in late 2025. Th</w:t>
      </w:r>
      <w:r w:rsidR="00AA684A">
        <w:t>e</w:t>
      </w:r>
      <w:r>
        <w:t xml:space="preserve"> additional burden to consumers from using an outdated and inflated pre-tax rate of return is more alarming now with the very rapid rise in natural gas and other energy costs in recent months and potentially over an extended time into the future.</w:t>
      </w:r>
      <w:r>
        <w:rPr>
          <w:rStyle w:val="FootnoteReference"/>
        </w:rPr>
        <w:footnoteReference w:id="40"/>
      </w:r>
      <w:r>
        <w:t xml:space="preserve"> </w:t>
      </w:r>
    </w:p>
    <w:p w:rsidR="00221266" w:rsidP="00221266" w14:paraId="1B245394" w14:textId="77777777">
      <w:pPr>
        <w:spacing w:line="480" w:lineRule="auto"/>
        <w:ind w:firstLine="720"/>
      </w:pPr>
      <w:r>
        <w:t>Dominion’s insistence of continuing to use an unreasonably high rate of return as applied to the very high upcoming PIR charges in light of this challenging economic environment is unconscionable. The PUCO should stop this. The PUCO should not permit</w:t>
      </w:r>
      <w:r w:rsidRPr="002C65B4">
        <w:t xml:space="preserve"> Dominion to add substantial new charges</w:t>
      </w:r>
      <w:r>
        <w:t>,</w:t>
      </w:r>
      <w:r w:rsidRPr="002C65B4">
        <w:t xml:space="preserve"> </w:t>
      </w:r>
      <w:r>
        <w:t xml:space="preserve">that are </w:t>
      </w:r>
      <w:r w:rsidRPr="002644BF">
        <w:t>unjust and unreasonable, to consumers’ bills given the challenging economic time experienced by many Ohioans.</w:t>
      </w:r>
    </w:p>
    <w:p w:rsidR="001B0AEC" w:rsidP="001B0AEC" w14:paraId="4F3EB253" w14:textId="621A3F5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Dominion has other pending charges to consumers using </w:t>
      </w:r>
      <w:r w:rsidR="00472C3F">
        <w:rPr>
          <w:rFonts w:ascii="Times New Roman" w:hAnsi="Times New Roman" w:cs="Times New Roman"/>
          <w:sz w:val="24"/>
          <w:szCs w:val="24"/>
        </w:rPr>
        <w:t>the</w:t>
      </w:r>
      <w:r>
        <w:rPr>
          <w:rFonts w:ascii="Times New Roman" w:hAnsi="Times New Roman" w:cs="Times New Roman"/>
          <w:sz w:val="24"/>
          <w:szCs w:val="24"/>
        </w:rPr>
        <w:t xml:space="preserve"> inflated rate of return. Dominion’s r</w:t>
      </w:r>
      <w:r w:rsidRPr="001421A7">
        <w:rPr>
          <w:rFonts w:ascii="Times New Roman" w:hAnsi="Times New Roman" w:cs="Times New Roman"/>
          <w:sz w:val="24"/>
          <w:szCs w:val="24"/>
        </w:rPr>
        <w:t xml:space="preserve">esidential consumers currently pay </w:t>
      </w:r>
      <w:r>
        <w:rPr>
          <w:rFonts w:ascii="Times New Roman" w:hAnsi="Times New Roman" w:cs="Times New Roman"/>
          <w:sz w:val="24"/>
          <w:szCs w:val="24"/>
        </w:rPr>
        <w:t xml:space="preserve">a CEP rate of </w:t>
      </w:r>
      <w:r w:rsidRPr="001421A7">
        <w:rPr>
          <w:rFonts w:ascii="Times New Roman" w:hAnsi="Times New Roman" w:cs="Times New Roman"/>
          <w:sz w:val="24"/>
          <w:szCs w:val="24"/>
        </w:rPr>
        <w:t>$3.86</w:t>
      </w:r>
      <w:r>
        <w:rPr>
          <w:rFonts w:ascii="Times New Roman" w:hAnsi="Times New Roman" w:cs="Times New Roman"/>
          <w:sz w:val="24"/>
          <w:szCs w:val="24"/>
        </w:rPr>
        <w:t xml:space="preserve"> per </w:t>
      </w:r>
      <w:r w:rsidRPr="001421A7">
        <w:rPr>
          <w:rFonts w:ascii="Times New Roman" w:hAnsi="Times New Roman" w:cs="Times New Roman"/>
          <w:sz w:val="24"/>
          <w:szCs w:val="24"/>
        </w:rPr>
        <w:t>month.</w:t>
      </w:r>
      <w:r>
        <w:rPr>
          <w:rFonts w:ascii="Times New Roman" w:hAnsi="Times New Roman" w:cs="Times New Roman"/>
          <w:sz w:val="24"/>
          <w:szCs w:val="24"/>
        </w:rPr>
        <w:t xml:space="preserve"> But if the PUCO approves the Settlement in that case, </w:t>
      </w:r>
      <w:r w:rsidRPr="001421A7">
        <w:rPr>
          <w:rFonts w:ascii="Times New Roman" w:hAnsi="Times New Roman" w:cs="Times New Roman"/>
          <w:sz w:val="24"/>
          <w:szCs w:val="24"/>
        </w:rPr>
        <w:t>this rate will rise to $5.50</w:t>
      </w:r>
      <w:r>
        <w:rPr>
          <w:rFonts w:ascii="Times New Roman" w:hAnsi="Times New Roman" w:cs="Times New Roman"/>
          <w:sz w:val="24"/>
          <w:szCs w:val="24"/>
        </w:rPr>
        <w:t xml:space="preserve"> per </w:t>
      </w:r>
      <w:r w:rsidRPr="001421A7">
        <w:rPr>
          <w:rFonts w:ascii="Times New Roman" w:hAnsi="Times New Roman" w:cs="Times New Roman"/>
          <w:sz w:val="24"/>
          <w:szCs w:val="24"/>
        </w:rPr>
        <w:t>month.</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Pr="001421A7">
        <w:rPr>
          <w:rFonts w:ascii="Times New Roman" w:hAnsi="Times New Roman" w:cs="Times New Roman"/>
          <w:sz w:val="24"/>
          <w:szCs w:val="24"/>
        </w:rPr>
        <w:t xml:space="preserve">And under </w:t>
      </w:r>
      <w:r>
        <w:rPr>
          <w:rFonts w:ascii="Times New Roman" w:hAnsi="Times New Roman" w:cs="Times New Roman"/>
          <w:sz w:val="24"/>
          <w:szCs w:val="24"/>
        </w:rPr>
        <w:t>a similar</w:t>
      </w:r>
      <w:r w:rsidRPr="001421A7">
        <w:rPr>
          <w:rFonts w:ascii="Times New Roman" w:hAnsi="Times New Roman" w:cs="Times New Roman"/>
          <w:sz w:val="24"/>
          <w:szCs w:val="24"/>
        </w:rPr>
        <w:t xml:space="preserve"> Settlement in Case No. 19-468-GA-ALT</w:t>
      </w:r>
      <w:r>
        <w:rPr>
          <w:rFonts w:ascii="Times New Roman" w:hAnsi="Times New Roman" w:cs="Times New Roman"/>
          <w:sz w:val="24"/>
          <w:szCs w:val="24"/>
        </w:rPr>
        <w:t>,</w:t>
      </w:r>
      <w:r w:rsidRPr="001421A7">
        <w:rPr>
          <w:rFonts w:ascii="Times New Roman" w:hAnsi="Times New Roman" w:cs="Times New Roman"/>
          <w:sz w:val="24"/>
          <w:szCs w:val="24"/>
        </w:rPr>
        <w:t xml:space="preserve"> by 2024</w:t>
      </w:r>
      <w:r>
        <w:rPr>
          <w:rFonts w:ascii="Times New Roman" w:hAnsi="Times New Roman" w:cs="Times New Roman"/>
          <w:sz w:val="24"/>
          <w:szCs w:val="24"/>
        </w:rPr>
        <w:t>,</w:t>
      </w:r>
      <w:r w:rsidRPr="001421A7">
        <w:rPr>
          <w:rFonts w:ascii="Times New Roman" w:hAnsi="Times New Roman" w:cs="Times New Roman"/>
          <w:sz w:val="24"/>
          <w:szCs w:val="24"/>
        </w:rPr>
        <w:t xml:space="preserve"> residential consumers can be paying as much as $7.51</w:t>
      </w:r>
      <w:r>
        <w:rPr>
          <w:rFonts w:ascii="Times New Roman" w:hAnsi="Times New Roman" w:cs="Times New Roman"/>
          <w:sz w:val="24"/>
          <w:szCs w:val="24"/>
        </w:rPr>
        <w:t xml:space="preserve"> per </w:t>
      </w:r>
      <w:r w:rsidRPr="001421A7">
        <w:rPr>
          <w:rFonts w:ascii="Times New Roman" w:hAnsi="Times New Roman" w:cs="Times New Roman"/>
          <w:sz w:val="24"/>
          <w:szCs w:val="24"/>
        </w:rPr>
        <w:t xml:space="preserve">month </w:t>
      </w:r>
      <w:r>
        <w:rPr>
          <w:rFonts w:ascii="Times New Roman" w:hAnsi="Times New Roman" w:cs="Times New Roman"/>
          <w:sz w:val="24"/>
          <w:szCs w:val="24"/>
        </w:rPr>
        <w:t>(</w:t>
      </w:r>
      <w:r w:rsidRPr="001421A7">
        <w:rPr>
          <w:rFonts w:ascii="Times New Roman" w:hAnsi="Times New Roman" w:cs="Times New Roman"/>
          <w:sz w:val="24"/>
          <w:szCs w:val="24"/>
        </w:rPr>
        <w:t>or more than $90.00</w:t>
      </w:r>
      <w:r>
        <w:rPr>
          <w:rFonts w:ascii="Times New Roman" w:hAnsi="Times New Roman" w:cs="Times New Roman"/>
          <w:sz w:val="24"/>
          <w:szCs w:val="24"/>
        </w:rPr>
        <w:t xml:space="preserve"> per </w:t>
      </w:r>
      <w:r w:rsidRPr="001421A7">
        <w:rPr>
          <w:rFonts w:ascii="Times New Roman" w:hAnsi="Times New Roman" w:cs="Times New Roman"/>
          <w:sz w:val="24"/>
          <w:szCs w:val="24"/>
        </w:rPr>
        <w:t>year</w:t>
      </w:r>
      <w:r>
        <w:rPr>
          <w:rFonts w:ascii="Times New Roman" w:hAnsi="Times New Roman" w:cs="Times New Roman"/>
          <w:sz w:val="24"/>
          <w:szCs w:val="24"/>
        </w:rPr>
        <w:t>)</w:t>
      </w:r>
      <w:r w:rsidRPr="001421A7">
        <w:rPr>
          <w:rFonts w:ascii="Times New Roman" w:hAnsi="Times New Roman" w:cs="Times New Roman"/>
          <w:sz w:val="24"/>
          <w:szCs w:val="24"/>
        </w:rPr>
        <w:t>.</w:t>
      </w:r>
      <w:r>
        <w:rPr>
          <w:rFonts w:ascii="Times New Roman" w:hAnsi="Times New Roman" w:cs="Times New Roman"/>
          <w:sz w:val="24"/>
          <w:szCs w:val="24"/>
        </w:rPr>
        <w:t xml:space="preserve"> </w:t>
      </w:r>
    </w:p>
    <w:p w:rsidR="0031035E" w:rsidP="001B0AEC" w14:paraId="2CD5F0D1" w14:textId="777777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Like Dominion’s other riders, a</w:t>
      </w:r>
      <w:r w:rsidR="001B0AEC">
        <w:rPr>
          <w:rFonts w:ascii="Times New Roman" w:hAnsi="Times New Roman" w:cs="Times New Roman"/>
          <w:sz w:val="24"/>
          <w:szCs w:val="24"/>
        </w:rPr>
        <w:t xml:space="preserve"> significant po</w:t>
      </w:r>
      <w:r w:rsidRPr="001421A7" w:rsidR="001B0AEC">
        <w:rPr>
          <w:rFonts w:ascii="Times New Roman" w:hAnsi="Times New Roman" w:cs="Times New Roman"/>
          <w:sz w:val="24"/>
          <w:szCs w:val="24"/>
        </w:rPr>
        <w:t xml:space="preserve">rtion of the </w:t>
      </w:r>
      <w:r w:rsidR="00FE6132">
        <w:rPr>
          <w:rFonts w:ascii="Times New Roman" w:hAnsi="Times New Roman" w:cs="Times New Roman"/>
          <w:sz w:val="24"/>
          <w:szCs w:val="24"/>
        </w:rPr>
        <w:t>PIR</w:t>
      </w:r>
      <w:r w:rsidRPr="001421A7" w:rsidR="001B0AEC">
        <w:rPr>
          <w:rFonts w:ascii="Times New Roman" w:hAnsi="Times New Roman" w:cs="Times New Roman"/>
          <w:sz w:val="24"/>
          <w:szCs w:val="24"/>
        </w:rPr>
        <w:t xml:space="preserve"> r</w:t>
      </w:r>
      <w:r>
        <w:rPr>
          <w:rFonts w:ascii="Times New Roman" w:hAnsi="Times New Roman" w:cs="Times New Roman"/>
          <w:sz w:val="24"/>
          <w:szCs w:val="24"/>
        </w:rPr>
        <w:t>ider r</w:t>
      </w:r>
      <w:r w:rsidRPr="001421A7" w:rsidR="001B0AEC">
        <w:rPr>
          <w:rFonts w:ascii="Times New Roman" w:hAnsi="Times New Roman" w:cs="Times New Roman"/>
          <w:sz w:val="24"/>
          <w:szCs w:val="24"/>
        </w:rPr>
        <w:t xml:space="preserve">ate is the inflated and outdated </w:t>
      </w:r>
      <w:r w:rsidR="001B0AEC">
        <w:rPr>
          <w:rFonts w:ascii="Times New Roman" w:hAnsi="Times New Roman" w:cs="Times New Roman"/>
          <w:sz w:val="24"/>
          <w:szCs w:val="24"/>
        </w:rPr>
        <w:t>9.91% rate of return,</w:t>
      </w:r>
      <w:r w:rsidRPr="001421A7" w:rsidR="001B0AEC">
        <w:rPr>
          <w:rFonts w:ascii="Times New Roman" w:hAnsi="Times New Roman" w:cs="Times New Roman"/>
          <w:sz w:val="24"/>
          <w:szCs w:val="24"/>
        </w:rPr>
        <w:t xml:space="preserve"> which causes Dominion’s captive utility customers to </w:t>
      </w:r>
      <w:r w:rsidR="001B0AEC">
        <w:rPr>
          <w:rFonts w:ascii="Times New Roman" w:hAnsi="Times New Roman" w:cs="Times New Roman"/>
          <w:sz w:val="24"/>
          <w:szCs w:val="24"/>
        </w:rPr>
        <w:t xml:space="preserve">pay </w:t>
      </w:r>
      <w:r w:rsidRPr="001421A7" w:rsidR="001B0AEC">
        <w:rPr>
          <w:rFonts w:ascii="Times New Roman" w:hAnsi="Times New Roman" w:cs="Times New Roman"/>
          <w:sz w:val="24"/>
          <w:szCs w:val="24"/>
        </w:rPr>
        <w:t>substantially more than they should be paying</w:t>
      </w:r>
      <w:r w:rsidR="00FE6132">
        <w:rPr>
          <w:rFonts w:ascii="Times New Roman" w:hAnsi="Times New Roman" w:cs="Times New Roman"/>
          <w:sz w:val="24"/>
          <w:szCs w:val="24"/>
        </w:rPr>
        <w:t xml:space="preserve"> and thus violat</w:t>
      </w:r>
      <w:r>
        <w:rPr>
          <w:rFonts w:ascii="Times New Roman" w:hAnsi="Times New Roman" w:cs="Times New Roman"/>
          <w:sz w:val="24"/>
          <w:szCs w:val="24"/>
        </w:rPr>
        <w:t>ing</w:t>
      </w:r>
      <w:r w:rsidR="00FE6132">
        <w:rPr>
          <w:rFonts w:ascii="Times New Roman" w:hAnsi="Times New Roman" w:cs="Times New Roman"/>
          <w:sz w:val="24"/>
          <w:szCs w:val="24"/>
        </w:rPr>
        <w:t xml:space="preserve"> the regulatory compact</w:t>
      </w:r>
      <w:r w:rsidR="001B0AEC">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Pr="001421A7" w:rsidR="001B0AEC">
        <w:rPr>
          <w:rFonts w:ascii="Times New Roman" w:hAnsi="Times New Roman" w:cs="Times New Roman"/>
          <w:sz w:val="24"/>
          <w:szCs w:val="24"/>
        </w:rPr>
        <w:t xml:space="preserve"> </w:t>
      </w:r>
    </w:p>
    <w:p w:rsidR="001E3FF9" w:rsidP="001B0AEC" w14:paraId="5568B78D" w14:textId="2AEE949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Second, a</w:t>
      </w:r>
      <w:r w:rsidRPr="00335161" w:rsidR="001B0AEC">
        <w:rPr>
          <w:rFonts w:ascii="Times New Roman" w:hAnsi="Times New Roman" w:cs="Times New Roman"/>
          <w:sz w:val="24"/>
          <w:szCs w:val="24"/>
        </w:rPr>
        <w:t xml:space="preserve">s OCC </w:t>
      </w:r>
      <w:r w:rsidR="00D20047">
        <w:rPr>
          <w:rFonts w:ascii="Times New Roman" w:hAnsi="Times New Roman" w:cs="Times New Roman"/>
          <w:sz w:val="24"/>
          <w:szCs w:val="24"/>
        </w:rPr>
        <w:t>has explained</w:t>
      </w:r>
      <w:r w:rsidRPr="00583891" w:rsidR="001B0AEC">
        <w:rPr>
          <w:rFonts w:ascii="Times New Roman" w:hAnsi="Times New Roman" w:cs="Times New Roman"/>
          <w:sz w:val="24"/>
          <w:szCs w:val="24"/>
        </w:rPr>
        <w:t xml:space="preserve">, </w:t>
      </w:r>
      <w:r w:rsidRPr="007D4CC0" w:rsidR="001B0AEC">
        <w:rPr>
          <w:rFonts w:ascii="Times New Roman" w:hAnsi="Times New Roman" w:cs="Times New Roman"/>
          <w:sz w:val="24"/>
          <w:szCs w:val="24"/>
        </w:rPr>
        <w:t>t</w:t>
      </w:r>
      <w:r w:rsidRPr="00FD4715" w:rsidR="001B0AEC">
        <w:rPr>
          <w:rFonts w:ascii="Times New Roman" w:hAnsi="Times New Roman" w:cs="Times New Roman"/>
          <w:sz w:val="24"/>
          <w:szCs w:val="24"/>
        </w:rPr>
        <w:t xml:space="preserve">he 9.91% pre-tax rate of return proposed by Dominion is </w:t>
      </w:r>
      <w:r w:rsidR="00CE2F7B">
        <w:rPr>
          <w:rFonts w:ascii="Times New Roman" w:hAnsi="Times New Roman" w:cs="Times New Roman"/>
          <w:sz w:val="24"/>
          <w:szCs w:val="24"/>
        </w:rPr>
        <w:t>not just and reasonable</w:t>
      </w:r>
      <w:r w:rsidRPr="00FD4715" w:rsidR="001B0AEC">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sidRPr="00FD4715" w:rsidR="001B0AEC">
        <w:rPr>
          <w:rFonts w:ascii="Times New Roman" w:hAnsi="Times New Roman" w:cs="Times New Roman"/>
          <w:sz w:val="24"/>
          <w:szCs w:val="24"/>
        </w:rPr>
        <w:t xml:space="preserve"> </w:t>
      </w:r>
      <w:r w:rsidR="00300915">
        <w:rPr>
          <w:rFonts w:ascii="Times New Roman" w:hAnsi="Times New Roman" w:cs="Times New Roman"/>
          <w:sz w:val="24"/>
          <w:szCs w:val="24"/>
        </w:rPr>
        <w:t xml:space="preserve">It </w:t>
      </w:r>
      <w:r w:rsidR="00AA684A">
        <w:rPr>
          <w:rFonts w:ascii="Times New Roman" w:hAnsi="Times New Roman" w:cs="Times New Roman"/>
          <w:sz w:val="24"/>
          <w:szCs w:val="24"/>
        </w:rPr>
        <w:t xml:space="preserve">clearly </w:t>
      </w:r>
      <w:r w:rsidR="00300915">
        <w:rPr>
          <w:rFonts w:ascii="Times New Roman" w:hAnsi="Times New Roman" w:cs="Times New Roman"/>
          <w:sz w:val="24"/>
          <w:szCs w:val="24"/>
        </w:rPr>
        <w:t xml:space="preserve">violates the regulatory principle established in the </w:t>
      </w:r>
      <w:r w:rsidRPr="008E4AD9" w:rsidR="00300915">
        <w:rPr>
          <w:rFonts w:ascii="Times New Roman" w:hAnsi="Times New Roman" w:cs="Times New Roman"/>
          <w:sz w:val="24"/>
          <w:szCs w:val="24"/>
        </w:rPr>
        <w:t xml:space="preserve">U.S. Supreme Court’s </w:t>
      </w:r>
      <w:r w:rsidRPr="008E4AD9" w:rsidR="00300915">
        <w:rPr>
          <w:rFonts w:ascii="Times New Roman" w:hAnsi="Times New Roman" w:cs="Times New Roman"/>
          <w:i/>
          <w:iCs/>
          <w:sz w:val="24"/>
          <w:szCs w:val="24"/>
        </w:rPr>
        <w:t>Bluefield</w:t>
      </w:r>
      <w:r w:rsidRPr="008E4AD9" w:rsidR="00300915">
        <w:rPr>
          <w:rFonts w:ascii="Times New Roman" w:hAnsi="Times New Roman" w:cs="Times New Roman"/>
          <w:sz w:val="24"/>
          <w:szCs w:val="24"/>
        </w:rPr>
        <w:t xml:space="preserve"> decision</w:t>
      </w:r>
      <w:r w:rsidR="00E825EA">
        <w:rPr>
          <w:rFonts w:ascii="Times New Roman" w:hAnsi="Times New Roman" w:cs="Times New Roman"/>
          <w:sz w:val="24"/>
          <w:szCs w:val="24"/>
        </w:rPr>
        <w:t>;</w:t>
      </w:r>
      <w:r w:rsidR="00300915">
        <w:rPr>
          <w:rFonts w:ascii="Times New Roman" w:hAnsi="Times New Roman" w:cs="Times New Roman"/>
          <w:sz w:val="24"/>
          <w:szCs w:val="24"/>
        </w:rPr>
        <w:t xml:space="preserve"> that is the rate of return set of a regulated utility must </w:t>
      </w:r>
      <w:r w:rsidR="00CE2F7B">
        <w:rPr>
          <w:rFonts w:ascii="Times New Roman" w:hAnsi="Times New Roman" w:cs="Times New Roman"/>
          <w:sz w:val="24"/>
          <w:szCs w:val="24"/>
        </w:rPr>
        <w:t>be based</w:t>
      </w:r>
      <w:r w:rsidR="00300915">
        <w:rPr>
          <w:rFonts w:ascii="Times New Roman" w:hAnsi="Times New Roman" w:cs="Times New Roman"/>
          <w:sz w:val="24"/>
          <w:szCs w:val="24"/>
        </w:rPr>
        <w:t xml:space="preserve"> on the current market conditions and the current return earned by business</w:t>
      </w:r>
      <w:r w:rsidR="00E825EA">
        <w:rPr>
          <w:rFonts w:ascii="Times New Roman" w:hAnsi="Times New Roman" w:cs="Times New Roman"/>
          <w:sz w:val="24"/>
          <w:szCs w:val="24"/>
        </w:rPr>
        <w:t>es</w:t>
      </w:r>
      <w:r w:rsidR="00300915">
        <w:rPr>
          <w:rFonts w:ascii="Times New Roman" w:hAnsi="Times New Roman" w:cs="Times New Roman"/>
          <w:sz w:val="24"/>
          <w:szCs w:val="24"/>
        </w:rPr>
        <w:t xml:space="preserve"> with comparable financial and risks.</w:t>
      </w:r>
      <w:r>
        <w:rPr>
          <w:rStyle w:val="FootnoteReference"/>
          <w:rFonts w:ascii="Times New Roman" w:hAnsi="Times New Roman" w:cs="Times New Roman"/>
          <w:sz w:val="24"/>
          <w:szCs w:val="24"/>
        </w:rPr>
        <w:footnoteReference w:id="44"/>
      </w:r>
      <w:r w:rsidR="00300915">
        <w:rPr>
          <w:rFonts w:ascii="Times New Roman" w:hAnsi="Times New Roman" w:cs="Times New Roman"/>
          <w:sz w:val="24"/>
          <w:szCs w:val="24"/>
        </w:rPr>
        <w:t xml:space="preserve"> </w:t>
      </w:r>
      <w:r w:rsidR="00085763">
        <w:rPr>
          <w:rFonts w:ascii="Times New Roman" w:hAnsi="Times New Roman" w:cs="Times New Roman"/>
          <w:sz w:val="24"/>
          <w:szCs w:val="24"/>
        </w:rPr>
        <w:t xml:space="preserve">Here, </w:t>
      </w:r>
      <w:r w:rsidRPr="00FD4715" w:rsidR="001B0AEC">
        <w:rPr>
          <w:rFonts w:ascii="Times New Roman" w:hAnsi="Times New Roman" w:cs="Times New Roman"/>
          <w:sz w:val="24"/>
          <w:szCs w:val="24"/>
        </w:rPr>
        <w:t xml:space="preserve">the financial market conditions and the business and financial risks facing Dominion have improved significantly since </w:t>
      </w:r>
      <w:r w:rsidR="00FE6132">
        <w:rPr>
          <w:rFonts w:ascii="Times New Roman" w:hAnsi="Times New Roman" w:cs="Times New Roman"/>
          <w:sz w:val="24"/>
          <w:szCs w:val="24"/>
        </w:rPr>
        <w:t xml:space="preserve">Dominion’s last rate case in </w:t>
      </w:r>
      <w:r w:rsidRPr="00FD4715" w:rsidR="001B0AEC">
        <w:rPr>
          <w:rFonts w:ascii="Times New Roman" w:hAnsi="Times New Roman" w:cs="Times New Roman"/>
          <w:sz w:val="24"/>
          <w:szCs w:val="24"/>
        </w:rPr>
        <w:t>2008.</w:t>
      </w:r>
      <w:r>
        <w:rPr>
          <w:rStyle w:val="FootnoteReference"/>
          <w:rFonts w:ascii="Times New Roman" w:hAnsi="Times New Roman" w:cs="Times New Roman"/>
          <w:sz w:val="24"/>
          <w:szCs w:val="24"/>
        </w:rPr>
        <w:footnoteReference w:id="45"/>
      </w:r>
      <w:r w:rsidRPr="00FD4715" w:rsidR="001B0AEC">
        <w:rPr>
          <w:rFonts w:ascii="Times New Roman" w:hAnsi="Times New Roman" w:cs="Times New Roman"/>
          <w:sz w:val="24"/>
          <w:szCs w:val="24"/>
        </w:rPr>
        <w:t xml:space="preserve"> Dominion’s current cost of debt is 2.29%</w:t>
      </w:r>
      <w:r w:rsidR="001B0AEC">
        <w:rPr>
          <w:rFonts w:ascii="Times New Roman" w:hAnsi="Times New Roman" w:cs="Times New Roman"/>
          <w:sz w:val="24"/>
          <w:szCs w:val="24"/>
        </w:rPr>
        <w:t>--</w:t>
      </w:r>
      <w:r w:rsidRPr="00FD4715" w:rsidR="001B0AEC">
        <w:rPr>
          <w:rFonts w:ascii="Times New Roman" w:hAnsi="Times New Roman" w:cs="Times New Roman"/>
          <w:sz w:val="24"/>
          <w:szCs w:val="24"/>
        </w:rPr>
        <w:t xml:space="preserve">merely a third of the debt rate that </w:t>
      </w:r>
      <w:r>
        <w:rPr>
          <w:rFonts w:ascii="Times New Roman" w:hAnsi="Times New Roman" w:cs="Times New Roman"/>
          <w:sz w:val="24"/>
          <w:szCs w:val="24"/>
        </w:rPr>
        <w:t xml:space="preserve">was established 13 years ago that </w:t>
      </w:r>
      <w:r w:rsidRPr="00FD4715" w:rsidR="001B0AEC">
        <w:rPr>
          <w:rFonts w:ascii="Times New Roman" w:hAnsi="Times New Roman" w:cs="Times New Roman"/>
          <w:sz w:val="24"/>
          <w:szCs w:val="24"/>
        </w:rPr>
        <w:t>Dominion wants to charge consumer</w:t>
      </w:r>
      <w:r>
        <w:rPr>
          <w:rFonts w:ascii="Times New Roman" w:hAnsi="Times New Roman" w:cs="Times New Roman"/>
          <w:sz w:val="24"/>
          <w:szCs w:val="24"/>
        </w:rPr>
        <w:t>s</w:t>
      </w:r>
      <w:r w:rsidRPr="00FD4715" w:rsidR="001B0AEC">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r w:rsidR="001B0AEC">
        <w:t xml:space="preserve"> </w:t>
      </w:r>
      <w:r>
        <w:rPr>
          <w:rFonts w:ascii="Times New Roman" w:hAnsi="Times New Roman" w:cs="Times New Roman"/>
          <w:sz w:val="24"/>
          <w:szCs w:val="24"/>
        </w:rPr>
        <w:t xml:space="preserve">Under the Settlement, </w:t>
      </w:r>
      <w:r w:rsidRPr="001421A7">
        <w:rPr>
          <w:rFonts w:ascii="Times New Roman" w:hAnsi="Times New Roman" w:cs="Times New Roman"/>
          <w:sz w:val="24"/>
          <w:szCs w:val="24"/>
        </w:rPr>
        <w:t>Dominion</w:t>
      </w:r>
      <w:r>
        <w:rPr>
          <w:rFonts w:ascii="Times New Roman" w:hAnsi="Times New Roman" w:cs="Times New Roman"/>
          <w:sz w:val="24"/>
          <w:szCs w:val="24"/>
        </w:rPr>
        <w:t xml:space="preserve"> shareholders</w:t>
      </w:r>
      <w:r w:rsidRPr="001421A7">
        <w:rPr>
          <w:rFonts w:ascii="Times New Roman" w:hAnsi="Times New Roman" w:cs="Times New Roman"/>
          <w:sz w:val="24"/>
          <w:szCs w:val="24"/>
        </w:rPr>
        <w:t xml:space="preserve"> get an undeserved windfall, and consumers get in return a </w:t>
      </w:r>
      <w:r>
        <w:rPr>
          <w:rFonts w:ascii="Times New Roman" w:hAnsi="Times New Roman" w:cs="Times New Roman"/>
          <w:sz w:val="24"/>
          <w:szCs w:val="24"/>
        </w:rPr>
        <w:t xml:space="preserve">much </w:t>
      </w:r>
      <w:r w:rsidRPr="001421A7">
        <w:rPr>
          <w:rFonts w:ascii="Times New Roman" w:hAnsi="Times New Roman" w:cs="Times New Roman"/>
          <w:sz w:val="24"/>
          <w:szCs w:val="24"/>
        </w:rPr>
        <w:t>higher bill</w:t>
      </w:r>
      <w:r>
        <w:rPr>
          <w:rFonts w:ascii="Times New Roman" w:hAnsi="Times New Roman" w:cs="Times New Roman"/>
          <w:sz w:val="24"/>
          <w:szCs w:val="24"/>
        </w:rPr>
        <w:t>.</w:t>
      </w:r>
    </w:p>
    <w:p w:rsidR="001B0AEC" w:rsidRPr="00C85D6F" w:rsidP="001B0AEC" w14:paraId="1DE59AC5" w14:textId="655D89C1">
      <w:pPr>
        <w:pStyle w:val="NoSpacing"/>
        <w:spacing w:line="480" w:lineRule="auto"/>
        <w:ind w:firstLine="720"/>
        <w:rPr>
          <w:rFonts w:ascii="Times New Roman" w:hAnsi="Times New Roman" w:cs="Times New Roman"/>
          <w:sz w:val="24"/>
          <w:szCs w:val="24"/>
        </w:rPr>
      </w:pPr>
      <w:r w:rsidRPr="00C85D6F">
        <w:rPr>
          <w:rFonts w:ascii="Times New Roman" w:hAnsi="Times New Roman" w:cs="Times New Roman"/>
          <w:bCs/>
          <w:sz w:val="24"/>
          <w:szCs w:val="24"/>
        </w:rPr>
        <w:t>The proposed Settlement violates important regulatory principles and practices by</w:t>
      </w:r>
      <w:bookmarkStart w:id="12" w:name="_Hlk84633357"/>
      <w:r w:rsidRPr="00C85D6F">
        <w:rPr>
          <w:rFonts w:ascii="Times New Roman" w:hAnsi="Times New Roman" w:cs="Times New Roman"/>
          <w:sz w:val="24"/>
          <w:szCs w:val="24"/>
        </w:rPr>
        <w:t xml:space="preserve"> using an outdated and inflated pre-tax rate of return that will increase the revenue requirement for the PIR program and lead to rates that are unjust and unreasonable (and too high) for consumers.</w:t>
      </w:r>
      <w:r>
        <w:rPr>
          <w:rStyle w:val="FootnoteReference"/>
          <w:rFonts w:ascii="Times New Roman" w:hAnsi="Times New Roman" w:cs="Times New Roman"/>
          <w:sz w:val="24"/>
          <w:szCs w:val="24"/>
        </w:rPr>
        <w:footnoteReference w:id="47"/>
      </w:r>
      <w:r w:rsidRPr="00C85D6F">
        <w:rPr>
          <w:rFonts w:ascii="Times New Roman" w:hAnsi="Times New Roman" w:cs="Times New Roman"/>
          <w:sz w:val="24"/>
          <w:szCs w:val="24"/>
        </w:rPr>
        <w:t xml:space="preserve"> </w:t>
      </w:r>
      <w:bookmarkEnd w:id="12"/>
      <w:r w:rsidRPr="00C85D6F">
        <w:rPr>
          <w:rFonts w:ascii="Times New Roman" w:hAnsi="Times New Roman" w:cs="Times New Roman"/>
          <w:sz w:val="24"/>
          <w:szCs w:val="24"/>
        </w:rPr>
        <w:t>This violates the fundamental regulatory principle that all rates for monopoly utility services should be just and reasonable for consumers.</w:t>
      </w:r>
      <w:r>
        <w:rPr>
          <w:rStyle w:val="FootnoteReference"/>
          <w:rFonts w:ascii="Times New Roman" w:hAnsi="Times New Roman" w:cs="Times New Roman"/>
          <w:sz w:val="24"/>
          <w:szCs w:val="24"/>
        </w:rPr>
        <w:footnoteReference w:id="48"/>
      </w:r>
      <w:r w:rsidR="009B5D1B">
        <w:rPr>
          <w:rFonts w:ascii="Times New Roman" w:hAnsi="Times New Roman" w:cs="Times New Roman"/>
          <w:sz w:val="24"/>
          <w:szCs w:val="24"/>
        </w:rPr>
        <w:t xml:space="preserve"> </w:t>
      </w:r>
    </w:p>
    <w:p w:rsidR="0027555F" w:rsidP="0027555F" w14:paraId="6B74440A" w14:textId="3C7EC5E5">
      <w:pPr>
        <w:spacing w:line="480" w:lineRule="auto"/>
        <w:ind w:firstLine="720"/>
      </w:pPr>
      <w:r>
        <w:t>Ohio law also requires all utility rates to be just and reasonable.</w:t>
      </w:r>
      <w:r>
        <w:rPr>
          <w:rStyle w:val="FootnoteReference"/>
        </w:rPr>
        <w:footnoteReference w:id="49"/>
      </w:r>
      <w:r>
        <w:t xml:space="preserve"> </w:t>
      </w:r>
      <w:r w:rsidRPr="00AB04D3">
        <w:t>And, specifically, R.C. 4929.05(A)(3) provides that the PUCO may only approve an alternative rate plan if the utility has shown and the PUCO finds that the alternative rate plan is just and reasonable.</w:t>
      </w:r>
      <w:r>
        <w:rPr>
          <w:vertAlign w:val="superscript"/>
        </w:rPr>
        <w:footnoteReference w:id="50"/>
      </w:r>
      <w:r w:rsidRPr="00AB04D3">
        <w:t xml:space="preserve"> </w:t>
      </w:r>
      <w:r>
        <w:t>The Settlement’s use of an outdated and inflated pre-tax rate of return leads to rates that are unjust and unreasonable for consumers, thus violating Ohio law</w:t>
      </w:r>
      <w:r w:rsidR="002F67FB">
        <w:t xml:space="preserve"> and thus failing the third prong of the PUCO’s settlement test</w:t>
      </w:r>
      <w:r>
        <w:t xml:space="preserve">. </w:t>
      </w:r>
      <w:r w:rsidR="006E6809">
        <w:t>In addition, t</w:t>
      </w:r>
      <w:r w:rsidR="00E825EA">
        <w:t xml:space="preserve">he proposed Settlement </w:t>
      </w:r>
      <w:r w:rsidRPr="00340405" w:rsidR="00E825EA">
        <w:t>is contrary to the policy of the state in Revised Code 4929.02(A)(1) for natural gas service to be reasonably priced.</w:t>
      </w:r>
      <w:r>
        <w:rPr>
          <w:rStyle w:val="FootnoteReference"/>
        </w:rPr>
        <w:footnoteReference w:id="51"/>
      </w:r>
    </w:p>
    <w:p w:rsidR="001B0AEC" w:rsidP="002464CF" w14:paraId="0C6F347D" w14:textId="220E706F">
      <w:pPr>
        <w:pStyle w:val="BodyTextIndent3"/>
        <w:spacing w:line="480" w:lineRule="auto"/>
        <w:rPr>
          <w:szCs w:val="24"/>
        </w:rPr>
      </w:pPr>
      <w:r>
        <w:rPr>
          <w:szCs w:val="24"/>
        </w:rPr>
        <w:t xml:space="preserve">The PUCO Staff failed to address the rate of return issue in its brief, despite OCC’s expert </w:t>
      </w:r>
      <w:r w:rsidR="006E6809">
        <w:rPr>
          <w:szCs w:val="24"/>
        </w:rPr>
        <w:t xml:space="preserve">witness </w:t>
      </w:r>
      <w:r>
        <w:rPr>
          <w:szCs w:val="24"/>
        </w:rPr>
        <w:t xml:space="preserve">Dr. Daniel Duann’s compelling and unopposed testimony on the matter. </w:t>
      </w:r>
      <w:r w:rsidR="00FE5380">
        <w:rPr>
          <w:szCs w:val="24"/>
        </w:rPr>
        <w:t>Dominion’s assertion that the</w:t>
      </w:r>
      <w:r w:rsidRPr="00472A7B">
        <w:rPr>
          <w:szCs w:val="24"/>
        </w:rPr>
        <w:t xml:space="preserve"> rate of return agreed to in the Settlement is consistent with the PUCO’s </w:t>
      </w:r>
      <w:r w:rsidR="006E6809">
        <w:rPr>
          <w:szCs w:val="24"/>
        </w:rPr>
        <w:t>“</w:t>
      </w:r>
      <w:r w:rsidR="00FE5380">
        <w:rPr>
          <w:szCs w:val="24"/>
        </w:rPr>
        <w:t>practice</w:t>
      </w:r>
      <w:r w:rsidR="00E81522">
        <w:rPr>
          <w:szCs w:val="24"/>
        </w:rPr>
        <w:t>”</w:t>
      </w:r>
      <w:r>
        <w:rPr>
          <w:rStyle w:val="FootnoteReference"/>
          <w:szCs w:val="24"/>
        </w:rPr>
        <w:footnoteReference w:id="52"/>
      </w:r>
      <w:r w:rsidR="00E81522">
        <w:rPr>
          <w:szCs w:val="24"/>
        </w:rPr>
        <w:t xml:space="preserve"> </w:t>
      </w:r>
      <w:r w:rsidR="00300915">
        <w:rPr>
          <w:szCs w:val="24"/>
        </w:rPr>
        <w:t xml:space="preserve">is </w:t>
      </w:r>
      <w:r w:rsidR="00E81522">
        <w:rPr>
          <w:szCs w:val="24"/>
        </w:rPr>
        <w:t>not persuasive.</w:t>
      </w:r>
      <w:r w:rsidRPr="00472A7B">
        <w:rPr>
          <w:szCs w:val="24"/>
        </w:rPr>
        <w:t xml:space="preserve"> </w:t>
      </w:r>
      <w:r w:rsidR="002464CF">
        <w:t>Past practice should not be followed where the rate plan that the return is pulled from is more than ten years old and where the current financial conditions surrounding the cost of capital have changed dramatically.</w:t>
      </w:r>
      <w:r>
        <w:rPr>
          <w:rStyle w:val="FootnoteReference"/>
        </w:rPr>
        <w:footnoteReference w:id="53"/>
      </w:r>
      <w:r w:rsidR="002464CF">
        <w:t xml:space="preserve"> </w:t>
      </w:r>
    </w:p>
    <w:p w:rsidR="001B0AEC" w:rsidRPr="004722CF" w:rsidP="001B0AEC" w14:paraId="213D4660" w14:textId="5F109F1E">
      <w:pPr>
        <w:pStyle w:val="NoSpacing"/>
        <w:spacing w:line="480" w:lineRule="auto"/>
        <w:ind w:firstLine="720"/>
        <w:rPr>
          <w:rFonts w:ascii="Times New Roman" w:hAnsi="Times New Roman" w:cs="Times New Roman"/>
          <w:sz w:val="24"/>
          <w:szCs w:val="24"/>
        </w:rPr>
      </w:pPr>
      <w:r w:rsidRPr="00472A7B">
        <w:rPr>
          <w:rFonts w:ascii="Times New Roman" w:hAnsi="Times New Roman" w:cs="Times New Roman"/>
          <w:sz w:val="24"/>
          <w:szCs w:val="24"/>
        </w:rPr>
        <w:t>The legal standard applicable here is “just and reasonable” as established by R.C. 4929.05(A)(3).</w:t>
      </w:r>
      <w:r>
        <w:rPr>
          <w:rFonts w:ascii="Times New Roman" w:hAnsi="Times New Roman" w:cs="Times New Roman"/>
          <w:sz w:val="24"/>
          <w:szCs w:val="24"/>
        </w:rPr>
        <w:t xml:space="preserve"> </w:t>
      </w:r>
      <w:r w:rsidRPr="00472A7B">
        <w:rPr>
          <w:rFonts w:ascii="Times New Roman" w:hAnsi="Times New Roman" w:cs="Times New Roman"/>
          <w:sz w:val="24"/>
          <w:szCs w:val="24"/>
        </w:rPr>
        <w:t xml:space="preserve">And </w:t>
      </w:r>
      <w:r>
        <w:rPr>
          <w:rFonts w:ascii="Times New Roman" w:hAnsi="Times New Roman" w:cs="Times New Roman"/>
          <w:sz w:val="24"/>
          <w:szCs w:val="24"/>
        </w:rPr>
        <w:t>using</w:t>
      </w:r>
      <w:r w:rsidRPr="00472A7B">
        <w:rPr>
          <w:rFonts w:ascii="Times New Roman" w:hAnsi="Times New Roman" w:cs="Times New Roman"/>
          <w:sz w:val="24"/>
          <w:szCs w:val="24"/>
        </w:rPr>
        <w:t xml:space="preserve"> the outdated and inflated </w:t>
      </w:r>
      <w:r>
        <w:rPr>
          <w:rFonts w:ascii="Times New Roman" w:hAnsi="Times New Roman" w:cs="Times New Roman"/>
          <w:sz w:val="24"/>
          <w:szCs w:val="24"/>
        </w:rPr>
        <w:t>rate of return</w:t>
      </w:r>
      <w:r w:rsidRPr="00472A7B">
        <w:rPr>
          <w:rFonts w:ascii="Times New Roman" w:hAnsi="Times New Roman" w:cs="Times New Roman"/>
          <w:sz w:val="24"/>
          <w:szCs w:val="24"/>
        </w:rPr>
        <w:t xml:space="preserve"> that was set more than 13 years ago is clearly unjust and unreasonable.</w:t>
      </w:r>
      <w:r>
        <w:rPr>
          <w:rFonts w:ascii="Times New Roman" w:hAnsi="Times New Roman" w:cs="Times New Roman"/>
          <w:sz w:val="24"/>
          <w:szCs w:val="24"/>
        </w:rPr>
        <w:t xml:space="preserve"> </w:t>
      </w:r>
      <w:r w:rsidRPr="00472A7B">
        <w:rPr>
          <w:rFonts w:ascii="Times New Roman" w:hAnsi="Times New Roman" w:cs="Times New Roman"/>
          <w:sz w:val="24"/>
          <w:szCs w:val="24"/>
        </w:rPr>
        <w:t xml:space="preserve">Consumers </w:t>
      </w:r>
      <w:r w:rsidR="00E81522">
        <w:rPr>
          <w:rFonts w:ascii="Times New Roman" w:hAnsi="Times New Roman" w:cs="Times New Roman"/>
          <w:sz w:val="24"/>
          <w:szCs w:val="24"/>
        </w:rPr>
        <w:t xml:space="preserve">unnecessarily </w:t>
      </w:r>
      <w:r w:rsidRPr="00472A7B">
        <w:rPr>
          <w:rFonts w:ascii="Times New Roman" w:hAnsi="Times New Roman" w:cs="Times New Roman"/>
          <w:sz w:val="24"/>
          <w:szCs w:val="24"/>
        </w:rPr>
        <w:t xml:space="preserve">pay more than they should for the </w:t>
      </w:r>
      <w:r w:rsidR="00E81522">
        <w:rPr>
          <w:rFonts w:ascii="Times New Roman" w:hAnsi="Times New Roman" w:cs="Times New Roman"/>
          <w:sz w:val="24"/>
          <w:szCs w:val="24"/>
        </w:rPr>
        <w:t>PIR program</w:t>
      </w:r>
      <w:r w:rsidRPr="00472A7B">
        <w:rPr>
          <w:rFonts w:ascii="Times New Roman" w:hAnsi="Times New Roman" w:cs="Times New Roman"/>
          <w:sz w:val="24"/>
          <w:szCs w:val="24"/>
        </w:rPr>
        <w:t>.</w:t>
      </w:r>
      <w:r>
        <w:rPr>
          <w:rFonts w:ascii="Times New Roman" w:hAnsi="Times New Roman" w:cs="Times New Roman"/>
          <w:sz w:val="24"/>
          <w:szCs w:val="24"/>
        </w:rPr>
        <w:t xml:space="preserve"> </w:t>
      </w:r>
      <w:r w:rsidRPr="00472A7B">
        <w:rPr>
          <w:rFonts w:ascii="Times New Roman" w:hAnsi="Times New Roman" w:cs="Times New Roman"/>
          <w:sz w:val="24"/>
          <w:szCs w:val="24"/>
        </w:rPr>
        <w:t>Dominion gets a windfall and consumers get a higher bill.</w:t>
      </w:r>
      <w:r>
        <w:rPr>
          <w:rFonts w:ascii="Times New Roman" w:hAnsi="Times New Roman" w:cs="Times New Roman"/>
          <w:sz w:val="24"/>
          <w:szCs w:val="24"/>
        </w:rPr>
        <w:t xml:space="preserve"> </w:t>
      </w:r>
    </w:p>
    <w:p w:rsidR="001B0AEC" w:rsidP="001B0AEC" w14:paraId="46C195BC" w14:textId="5D00BE0F">
      <w:pPr>
        <w:pStyle w:val="BodyTextIndent3"/>
        <w:spacing w:line="480" w:lineRule="auto"/>
      </w:pPr>
      <w:r>
        <w:t>As the Settlement is inconsistent with well-established regulatory principles and state policies, it</w:t>
      </w:r>
      <w:r w:rsidR="00334AE3">
        <w:t xml:space="preserve"> violates the third prong of the </w:t>
      </w:r>
      <w:r>
        <w:t>PUCO</w:t>
      </w:r>
      <w:r w:rsidR="00334AE3">
        <w:t>’s settlement standard and</w:t>
      </w:r>
      <w:r>
        <w:t xml:space="preserve"> should</w:t>
      </w:r>
      <w:r w:rsidR="00334AE3">
        <w:t xml:space="preserve"> therefore be</w:t>
      </w:r>
      <w:r>
        <w:t xml:space="preserve"> reject</w:t>
      </w:r>
      <w:r w:rsidR="00334AE3">
        <w:t>ed</w:t>
      </w:r>
      <w:r>
        <w:t xml:space="preserve"> or modif</w:t>
      </w:r>
      <w:r w:rsidR="00334AE3">
        <w:t>ied</w:t>
      </w:r>
      <w:r>
        <w:t xml:space="preserve"> based on OCC’s consumer protection recommendations. </w:t>
      </w:r>
    </w:p>
    <w:p w:rsidR="002644BF" w:rsidP="002644BF" w14:paraId="266B7C1C" w14:textId="77777777">
      <w:pPr>
        <w:ind w:firstLine="720"/>
      </w:pPr>
      <w:bookmarkStart w:id="13" w:name="_Toc84671831"/>
    </w:p>
    <w:p w:rsidR="00E522A9" w:rsidRPr="00A45537" w:rsidP="00F10C1E" w14:paraId="3F3FDD76" w14:textId="0B388424">
      <w:pPr>
        <w:pStyle w:val="Heading1"/>
      </w:pPr>
      <w:bookmarkStart w:id="14" w:name="_Toc74571231"/>
      <w:bookmarkStart w:id="15" w:name="_Toc89863764"/>
      <w:bookmarkEnd w:id="8"/>
      <w:bookmarkEnd w:id="9"/>
      <w:bookmarkEnd w:id="13"/>
      <w:r w:rsidRPr="00A45537">
        <w:t>CONCLUSION</w:t>
      </w:r>
      <w:bookmarkEnd w:id="14"/>
      <w:bookmarkEnd w:id="15"/>
    </w:p>
    <w:p w:rsidR="00F6776F" w:rsidP="00F6776F" w14:paraId="6DB40A69" w14:textId="513A1961">
      <w:pPr>
        <w:spacing w:line="480" w:lineRule="auto"/>
        <w:ind w:firstLine="720"/>
      </w:pPr>
      <w:r>
        <w:t>The PUCO</w:t>
      </w:r>
      <w:r w:rsidR="0088606A">
        <w:t>’s approval of</w:t>
      </w:r>
      <w:r>
        <w:t xml:space="preserve"> </w:t>
      </w:r>
      <w:r w:rsidR="006C528C">
        <w:t xml:space="preserve">Dominion’s Application to continue the </w:t>
      </w:r>
      <w:r w:rsidR="00905488">
        <w:t xml:space="preserve">PIR </w:t>
      </w:r>
      <w:r w:rsidR="00E81522">
        <w:t xml:space="preserve">program </w:t>
      </w:r>
      <w:r w:rsidR="006C528C">
        <w:t xml:space="preserve">for a new five-year period </w:t>
      </w:r>
      <w:r w:rsidR="00E81522">
        <w:t xml:space="preserve">must </w:t>
      </w:r>
      <w:r w:rsidR="0088606A">
        <w:t xml:space="preserve">hinge on whether </w:t>
      </w:r>
      <w:r>
        <w:t>the PUCO finds the program</w:t>
      </w:r>
      <w:r w:rsidR="0088606A">
        <w:t>’s</w:t>
      </w:r>
      <w:r>
        <w:t xml:space="preserve"> </w:t>
      </w:r>
      <w:r w:rsidR="0088606A">
        <w:t xml:space="preserve">charges </w:t>
      </w:r>
      <w:r>
        <w:t xml:space="preserve">to be </w:t>
      </w:r>
      <w:r w:rsidRPr="0072615D">
        <w:t>just and reasonable</w:t>
      </w:r>
      <w:r>
        <w:t>.</w:t>
      </w:r>
      <w:r w:rsidRPr="0072615D">
        <w:t xml:space="preserve"> </w:t>
      </w:r>
      <w:r w:rsidR="0088606A">
        <w:t xml:space="preserve">But </w:t>
      </w:r>
      <w:r w:rsidR="002214E3">
        <w:t>Dominion’s</w:t>
      </w:r>
      <w:r w:rsidR="006C528C">
        <w:t xml:space="preserve"> proposal to continue to use the outdated and inflated rate of return set more than 13 years ago</w:t>
      </w:r>
      <w:r w:rsidR="00E177B3">
        <w:t>, as proposed in the Settlement, is</w:t>
      </w:r>
      <w:r w:rsidR="0064281F">
        <w:t xml:space="preserve"> </w:t>
      </w:r>
      <w:r w:rsidR="006C528C">
        <w:t>neither just nor reasonable</w:t>
      </w:r>
      <w:r w:rsidR="0064281F">
        <w:t>.</w:t>
      </w:r>
      <w:r>
        <w:t xml:space="preserve"> </w:t>
      </w:r>
      <w:r w:rsidR="00B96BA1">
        <w:t xml:space="preserve">The </w:t>
      </w:r>
      <w:r w:rsidR="00334AE3">
        <w:t>Settlement violates the PUCO’s settlement standard and should</w:t>
      </w:r>
      <w:r w:rsidR="00D66A51">
        <w:t>,</w:t>
      </w:r>
      <w:r w:rsidR="00334AE3">
        <w:t xml:space="preserve"> therefore, be</w:t>
      </w:r>
      <w:r w:rsidR="00B96BA1">
        <w:t xml:space="preserve"> reject</w:t>
      </w:r>
      <w:r w:rsidR="00334AE3">
        <w:t>ed</w:t>
      </w:r>
      <w:r w:rsidR="00B96BA1">
        <w:t xml:space="preserve"> or modif</w:t>
      </w:r>
      <w:r w:rsidR="00334AE3">
        <w:t>ied to protect consumers.</w:t>
      </w:r>
      <w:r w:rsidR="00B96BA1">
        <w:t xml:space="preserve"> </w:t>
      </w:r>
      <w:r w:rsidR="006E6809">
        <w:t xml:space="preserve">As OCC recommends, </w:t>
      </w:r>
      <w:r>
        <w:t xml:space="preserve">the Settlement </w:t>
      </w:r>
      <w:r w:rsidR="00334AE3">
        <w:t>should be modified by</w:t>
      </w:r>
      <w:r>
        <w:t xml:space="preserve"> a</w:t>
      </w:r>
      <w:r w:rsidRPr="00340405" w:rsidR="00475DBF">
        <w:t>dopt</w:t>
      </w:r>
      <w:r w:rsidR="00334AE3">
        <w:t>ing</w:t>
      </w:r>
      <w:r w:rsidRPr="00340405" w:rsidR="00475DBF">
        <w:t xml:space="preserve"> a fair and reasonable pre-tax rate of return of 7.20%</w:t>
      </w:r>
      <w:r w:rsidR="00934355">
        <w:t>, instead of the 13</w:t>
      </w:r>
      <w:r w:rsidR="00BE027E">
        <w:t>-</w:t>
      </w:r>
      <w:r w:rsidR="00934355">
        <w:t>year-old 9.91%</w:t>
      </w:r>
      <w:r w:rsidR="002F67FB">
        <w:t xml:space="preserve"> rate, for</w:t>
      </w:r>
      <w:r>
        <w:t xml:space="preserve"> PIR</w:t>
      </w:r>
      <w:r w:rsidRPr="00340405" w:rsidR="00475DBF">
        <w:t xml:space="preserve"> </w:t>
      </w:r>
      <w:r w:rsidR="00475DBF">
        <w:t>charges</w:t>
      </w:r>
      <w:r w:rsidR="00934355">
        <w:t xml:space="preserve"> to con</w:t>
      </w:r>
      <w:r w:rsidR="00B96BA1">
        <w:t>s</w:t>
      </w:r>
      <w:r w:rsidR="00934355">
        <w:t>umers</w:t>
      </w:r>
      <w:r w:rsidR="00475DBF">
        <w:t xml:space="preserve">. </w:t>
      </w:r>
    </w:p>
    <w:p w:rsidR="00C12D4B" w14:paraId="64B47752" w14:textId="507AA57A">
      <w:pPr>
        <w:rPr>
          <w:szCs w:val="24"/>
        </w:rPr>
      </w:pPr>
      <w:r>
        <w:rPr>
          <w:szCs w:val="24"/>
        </w:rPr>
        <w:br w:type="page"/>
      </w:r>
    </w:p>
    <w:p w:rsidR="00836BDA" w:rsidRPr="00A45537" w:rsidP="005B6625" w14:paraId="220BB8E5" w14:textId="4BC17C3A">
      <w:pPr>
        <w:ind w:left="3600" w:firstLine="720"/>
        <w:rPr>
          <w:szCs w:val="24"/>
        </w:rPr>
      </w:pPr>
      <w:r w:rsidRPr="00A45537">
        <w:rPr>
          <w:szCs w:val="24"/>
        </w:rPr>
        <w:t>Respectfully submitted,</w:t>
      </w:r>
    </w:p>
    <w:p w:rsidR="00286BA8" w:rsidP="00286BA8" w14:paraId="732A4146" w14:textId="77777777">
      <w:pPr>
        <w:pStyle w:val="Footer"/>
        <w:tabs>
          <w:tab w:val="left" w:pos="4320"/>
          <w:tab w:val="clear" w:pos="8640"/>
        </w:tabs>
        <w:spacing w:before="240"/>
        <w:ind w:firstLine="4320"/>
        <w:rPr>
          <w:sz w:val="24"/>
          <w:szCs w:val="24"/>
        </w:rPr>
      </w:pPr>
      <w:r>
        <w:rPr>
          <w:sz w:val="24"/>
          <w:szCs w:val="24"/>
        </w:rPr>
        <w:t>Bruce Weston (0016973)</w:t>
      </w:r>
    </w:p>
    <w:p w:rsidR="00286BA8" w:rsidP="00286BA8" w14:paraId="3716FFE2" w14:textId="77777777">
      <w:pPr>
        <w:tabs>
          <w:tab w:val="left" w:pos="4320"/>
        </w:tabs>
        <w:rPr>
          <w:szCs w:val="24"/>
        </w:rPr>
      </w:pPr>
      <w:r>
        <w:rPr>
          <w:szCs w:val="24"/>
        </w:rPr>
        <w:tab/>
        <w:t>Ohio Consumers’ Counsel</w:t>
      </w:r>
    </w:p>
    <w:p w:rsidR="00286BA8" w:rsidP="00286BA8" w14:paraId="086358D9" w14:textId="77777777">
      <w:pPr>
        <w:tabs>
          <w:tab w:val="left" w:pos="4320"/>
        </w:tabs>
        <w:rPr>
          <w:szCs w:val="24"/>
        </w:rPr>
      </w:pPr>
      <w:r>
        <w:rPr>
          <w:szCs w:val="24"/>
        </w:rPr>
        <w:tab/>
      </w:r>
    </w:p>
    <w:p w:rsidR="001572D1" w:rsidP="00286BA8" w14:paraId="57307153" w14:textId="6916CEB3">
      <w:pPr>
        <w:tabs>
          <w:tab w:val="left" w:pos="4320"/>
        </w:tabs>
        <w:rPr>
          <w:szCs w:val="24"/>
        </w:rPr>
      </w:pPr>
      <w:r>
        <w:rPr>
          <w:i/>
          <w:iCs/>
          <w:szCs w:val="24"/>
        </w:rPr>
        <w:tab/>
      </w:r>
      <w:r>
        <w:rPr>
          <w:i/>
          <w:iCs/>
          <w:szCs w:val="24"/>
          <w:u w:val="single"/>
        </w:rPr>
        <w:t>/s/ Amy Botschner O’Brien</w:t>
      </w:r>
      <w:r w:rsidR="00286BA8">
        <w:rPr>
          <w:szCs w:val="24"/>
        </w:rPr>
        <w:tab/>
      </w:r>
    </w:p>
    <w:p w:rsidR="00286BA8" w:rsidRPr="0013572E" w:rsidP="001572D1" w14:paraId="665424D7" w14:textId="01CE0207">
      <w:pPr>
        <w:tabs>
          <w:tab w:val="left" w:pos="4320"/>
        </w:tabs>
        <w:ind w:firstLine="4320"/>
        <w:rPr>
          <w:szCs w:val="24"/>
        </w:rPr>
      </w:pPr>
      <w:r>
        <w:rPr>
          <w:szCs w:val="24"/>
        </w:rPr>
        <w:t xml:space="preserve">Amy Botschner </w:t>
      </w:r>
      <w:r w:rsidRPr="0013572E">
        <w:rPr>
          <w:szCs w:val="24"/>
        </w:rPr>
        <w:t>O’Brien (0074423)</w:t>
      </w:r>
    </w:p>
    <w:p w:rsidR="00286BA8" w:rsidRPr="0013572E" w:rsidP="00286BA8" w14:paraId="45164C28" w14:textId="77777777">
      <w:pPr>
        <w:tabs>
          <w:tab w:val="left" w:pos="4320"/>
        </w:tabs>
        <w:ind w:firstLine="4320"/>
        <w:rPr>
          <w:szCs w:val="24"/>
        </w:rPr>
      </w:pPr>
      <w:r w:rsidRPr="0013572E">
        <w:rPr>
          <w:szCs w:val="24"/>
        </w:rPr>
        <w:t>Counsel of Record</w:t>
      </w:r>
    </w:p>
    <w:p w:rsidR="00286BA8" w:rsidRPr="0013572E" w:rsidP="00286BA8" w14:paraId="037484A2" w14:textId="77777777">
      <w:pPr>
        <w:tabs>
          <w:tab w:val="left" w:pos="4320"/>
        </w:tabs>
        <w:rPr>
          <w:szCs w:val="24"/>
        </w:rPr>
      </w:pPr>
      <w:r w:rsidRPr="0013572E">
        <w:rPr>
          <w:szCs w:val="24"/>
        </w:rPr>
        <w:tab/>
        <w:t>Ambrosia E. Wilson (0096598)</w:t>
      </w:r>
    </w:p>
    <w:p w:rsidR="00286BA8" w:rsidRPr="0013572E" w:rsidP="00286BA8" w14:paraId="2810F61F" w14:textId="77777777">
      <w:pPr>
        <w:tabs>
          <w:tab w:val="left" w:pos="4320"/>
        </w:tabs>
        <w:rPr>
          <w:szCs w:val="24"/>
        </w:rPr>
      </w:pPr>
      <w:r w:rsidRPr="0013572E">
        <w:rPr>
          <w:szCs w:val="24"/>
        </w:rPr>
        <w:tab/>
        <w:t>Assistant Consumers’ Counsel</w:t>
      </w:r>
    </w:p>
    <w:p w:rsidR="00286BA8" w:rsidRPr="0013572E" w:rsidP="00286BA8" w14:paraId="2DBED0BD" w14:textId="77777777">
      <w:r w:rsidRPr="0013572E">
        <w:tab/>
      </w:r>
    </w:p>
    <w:p w:rsidR="00286BA8" w:rsidRPr="0013572E" w:rsidP="00286BA8" w14:paraId="0C5AB576" w14:textId="77777777">
      <w:pPr>
        <w:rPr>
          <w:b/>
          <w:bCs/>
        </w:rPr>
      </w:pPr>
      <w:r w:rsidRPr="0013572E">
        <w:tab/>
      </w:r>
      <w:r w:rsidRPr="0013572E">
        <w:tab/>
      </w:r>
      <w:r w:rsidRPr="0013572E">
        <w:tab/>
      </w:r>
      <w:r w:rsidRPr="0013572E">
        <w:tab/>
      </w:r>
      <w:r w:rsidRPr="0013572E">
        <w:tab/>
      </w:r>
      <w:r w:rsidRPr="0013572E">
        <w:tab/>
      </w:r>
      <w:r w:rsidRPr="0013572E">
        <w:rPr>
          <w:b/>
          <w:bCs/>
        </w:rPr>
        <w:t>Office of the Ohio Consumers’ Counsel</w:t>
      </w:r>
    </w:p>
    <w:p w:rsidR="00286BA8" w:rsidRPr="0013572E" w:rsidP="00286BA8" w14:paraId="0EF01855" w14:textId="1E6E05DA">
      <w:pPr>
        <w:rPr>
          <w:b/>
        </w:rPr>
      </w:pPr>
      <w:r w:rsidRPr="0013572E">
        <w:tab/>
      </w:r>
      <w:r w:rsidRPr="0013572E">
        <w:tab/>
      </w:r>
      <w:r w:rsidRPr="0013572E">
        <w:tab/>
      </w:r>
      <w:r w:rsidRPr="0013572E">
        <w:tab/>
      </w:r>
      <w:r w:rsidRPr="0013572E">
        <w:tab/>
      </w:r>
      <w:r w:rsidRPr="0013572E">
        <w:tab/>
        <w:t xml:space="preserve">65 East State Street, </w:t>
      </w:r>
      <w:r w:rsidR="002644BF">
        <w:t>Suite 700</w:t>
      </w:r>
    </w:p>
    <w:p w:rsidR="00286BA8" w:rsidRPr="0013572E" w:rsidP="00286BA8" w14:paraId="2BE22BA7" w14:textId="77777777">
      <w:pPr>
        <w:rPr>
          <w:b/>
        </w:rPr>
      </w:pPr>
      <w:r w:rsidRPr="0013572E">
        <w:tab/>
      </w:r>
      <w:r w:rsidRPr="0013572E">
        <w:tab/>
      </w:r>
      <w:r w:rsidRPr="0013572E">
        <w:tab/>
      </w:r>
      <w:r w:rsidRPr="0013572E">
        <w:tab/>
      </w:r>
      <w:r w:rsidRPr="0013572E">
        <w:tab/>
      </w:r>
      <w:r w:rsidRPr="0013572E">
        <w:tab/>
        <w:t>Columbus, Ohio 43215-4213</w:t>
      </w:r>
    </w:p>
    <w:p w:rsidR="00286BA8" w:rsidRPr="0013572E" w:rsidP="00286BA8" w14:paraId="1EB1770B" w14:textId="63DB3C04">
      <w:pPr>
        <w:autoSpaceDE w:val="0"/>
        <w:autoSpaceDN w:val="0"/>
        <w:adjustRightInd w:val="0"/>
        <w:ind w:left="3600" w:firstLine="720"/>
        <w:rPr>
          <w:szCs w:val="24"/>
        </w:rPr>
      </w:pPr>
      <w:r w:rsidRPr="0013572E">
        <w:rPr>
          <w:szCs w:val="24"/>
        </w:rPr>
        <w:t>Telephone [</w:t>
      </w:r>
      <w:r w:rsidRPr="0013572E" w:rsidR="0013572E">
        <w:rPr>
          <w:szCs w:val="24"/>
        </w:rPr>
        <w:t>Botschner O’Brien</w:t>
      </w:r>
      <w:r w:rsidRPr="0013572E">
        <w:rPr>
          <w:szCs w:val="24"/>
        </w:rPr>
        <w:t>]: (614) 466-</w:t>
      </w:r>
      <w:r w:rsidRPr="0013572E" w:rsidR="0013572E">
        <w:rPr>
          <w:szCs w:val="24"/>
        </w:rPr>
        <w:t>9575</w:t>
      </w:r>
      <w:r w:rsidRPr="0013572E">
        <w:rPr>
          <w:szCs w:val="24"/>
        </w:rPr>
        <w:br/>
      </w:r>
      <w:r w:rsidRPr="0013572E">
        <w:rPr>
          <w:szCs w:val="24"/>
        </w:rPr>
        <w:tab/>
        <w:t>Telephone [Wilson]: (614) 466-1292</w:t>
      </w:r>
    </w:p>
    <w:p w:rsidR="0013572E" w:rsidRPr="0013572E" w:rsidP="00286BA8" w14:paraId="4A91D2BA" w14:textId="716A2E20">
      <w:pPr>
        <w:rPr>
          <w:szCs w:val="24"/>
        </w:rPr>
      </w:pPr>
      <w:r w:rsidRPr="0013572E">
        <w:rPr>
          <w:szCs w:val="24"/>
        </w:rPr>
        <w:tab/>
      </w:r>
      <w:r w:rsidRPr="0013572E">
        <w:rPr>
          <w:szCs w:val="24"/>
        </w:rPr>
        <w:tab/>
      </w:r>
      <w:r w:rsidRPr="0013572E">
        <w:rPr>
          <w:szCs w:val="24"/>
        </w:rPr>
        <w:tab/>
      </w:r>
      <w:r w:rsidRPr="0013572E">
        <w:rPr>
          <w:szCs w:val="24"/>
        </w:rPr>
        <w:tab/>
      </w:r>
      <w:r w:rsidRPr="0013572E">
        <w:rPr>
          <w:szCs w:val="24"/>
        </w:rPr>
        <w:tab/>
      </w:r>
      <w:r w:rsidRPr="0013572E">
        <w:rPr>
          <w:szCs w:val="24"/>
        </w:rPr>
        <w:tab/>
      </w:r>
      <w:hyperlink r:id="rId6" w:history="1">
        <w:r w:rsidRPr="00FB5F34" w:rsidR="00AA7752">
          <w:rPr>
            <w:rStyle w:val="Hyperlink"/>
            <w:szCs w:val="24"/>
          </w:rPr>
          <w:t>amy.botschner.obrien@occ.ohio.gov</w:t>
        </w:r>
      </w:hyperlink>
    </w:p>
    <w:p w:rsidR="00286BA8" w:rsidRPr="0013572E" w:rsidP="00286BA8" w14:paraId="19309E84" w14:textId="3FEA5DFC">
      <w:pPr>
        <w:rPr>
          <w:szCs w:val="24"/>
        </w:rPr>
      </w:pPr>
      <w:r w:rsidRPr="0013572E">
        <w:rPr>
          <w:szCs w:val="24"/>
        </w:rPr>
        <w:t xml:space="preserve"> </w:t>
      </w:r>
      <w:r w:rsidRPr="0013572E">
        <w:rPr>
          <w:szCs w:val="24"/>
        </w:rPr>
        <w:tab/>
      </w:r>
      <w:r w:rsidRPr="0013572E">
        <w:rPr>
          <w:szCs w:val="24"/>
        </w:rPr>
        <w:tab/>
      </w:r>
      <w:r w:rsidRPr="0013572E">
        <w:rPr>
          <w:szCs w:val="24"/>
        </w:rPr>
        <w:tab/>
      </w:r>
      <w:r w:rsidRPr="0013572E">
        <w:rPr>
          <w:szCs w:val="24"/>
        </w:rPr>
        <w:tab/>
      </w:r>
      <w:r w:rsidRPr="0013572E">
        <w:rPr>
          <w:szCs w:val="24"/>
        </w:rPr>
        <w:tab/>
      </w:r>
      <w:r w:rsidRPr="0013572E">
        <w:rPr>
          <w:szCs w:val="24"/>
        </w:rPr>
        <w:tab/>
      </w:r>
      <w:hyperlink r:id="rId7" w:history="1">
        <w:r w:rsidRPr="0013572E">
          <w:rPr>
            <w:rStyle w:val="Hyperlink"/>
            <w:szCs w:val="24"/>
          </w:rPr>
          <w:t>ambrosia.wilson@occ.ohio.gov</w:t>
        </w:r>
      </w:hyperlink>
    </w:p>
    <w:p w:rsidR="00CB5D16" w:rsidRPr="00A45537" w:rsidP="0078620B" w14:paraId="57293913" w14:textId="0C640E22">
      <w:pPr>
        <w:rPr>
          <w:b/>
          <w:bCs/>
          <w:szCs w:val="24"/>
          <w:u w:val="single"/>
        </w:rPr>
      </w:pPr>
      <w:r w:rsidRPr="0013572E">
        <w:rPr>
          <w:szCs w:val="24"/>
        </w:rPr>
        <w:tab/>
      </w:r>
      <w:r w:rsidRPr="0013572E">
        <w:rPr>
          <w:szCs w:val="24"/>
        </w:rPr>
        <w:tab/>
      </w:r>
      <w:r w:rsidRPr="0013572E">
        <w:rPr>
          <w:szCs w:val="24"/>
        </w:rPr>
        <w:tab/>
      </w:r>
      <w:r w:rsidRPr="0013572E">
        <w:rPr>
          <w:szCs w:val="24"/>
        </w:rPr>
        <w:tab/>
      </w:r>
      <w:r w:rsidRPr="0013572E">
        <w:rPr>
          <w:szCs w:val="24"/>
        </w:rPr>
        <w:tab/>
      </w:r>
      <w:r w:rsidRPr="0013572E">
        <w:rPr>
          <w:szCs w:val="24"/>
        </w:rPr>
        <w:tab/>
        <w:t>(willing to accept service by email)</w:t>
      </w:r>
      <w:r w:rsidRPr="00A45537" w:rsidR="001008CF">
        <w:rPr>
          <w:b/>
          <w:bCs/>
          <w:szCs w:val="24"/>
          <w:u w:val="single"/>
        </w:rPr>
        <w:br w:type="page"/>
      </w:r>
    </w:p>
    <w:p w:rsidR="00CD2C14" w:rsidRPr="00A45537" w:rsidP="00CD2C14" w14:paraId="637F8051" w14:textId="77777777">
      <w:pPr>
        <w:pStyle w:val="ANSWER"/>
        <w:suppressLineNumbers/>
        <w:ind w:left="720"/>
        <w:jc w:val="center"/>
        <w:rPr>
          <w:b/>
          <w:szCs w:val="24"/>
          <w:u w:val="single"/>
        </w:rPr>
      </w:pPr>
      <w:r w:rsidRPr="00A45537">
        <w:rPr>
          <w:b/>
          <w:szCs w:val="24"/>
          <w:u w:val="single"/>
        </w:rPr>
        <w:t>CERTIFICATE OF SERVICE</w:t>
      </w:r>
    </w:p>
    <w:p w:rsidR="00CD2C14" w:rsidRPr="00F6776F" w:rsidP="00CD2C14" w14:paraId="2D6A8B47" w14:textId="41FA5208">
      <w:pPr>
        <w:spacing w:line="480" w:lineRule="atLeast"/>
        <w:ind w:firstLine="720"/>
        <w:rPr>
          <w:szCs w:val="24"/>
        </w:rPr>
      </w:pPr>
      <w:r w:rsidRPr="00A45537">
        <w:rPr>
          <w:szCs w:val="24"/>
        </w:rPr>
        <w:t xml:space="preserve">I hereby certify that a copy of this </w:t>
      </w:r>
      <w:r>
        <w:rPr>
          <w:szCs w:val="24"/>
        </w:rPr>
        <w:t>Reply</w:t>
      </w:r>
      <w:r w:rsidRPr="00A45537">
        <w:rPr>
          <w:szCs w:val="24"/>
        </w:rPr>
        <w:t xml:space="preserve"> Brief was served on the persons stated below via electronic transmission</w:t>
      </w:r>
      <w:r w:rsidRPr="00F6776F">
        <w:rPr>
          <w:szCs w:val="24"/>
        </w:rPr>
        <w:t xml:space="preserve">, this </w:t>
      </w:r>
      <w:r w:rsidR="009A047F">
        <w:rPr>
          <w:szCs w:val="24"/>
        </w:rPr>
        <w:t>8</w:t>
      </w:r>
      <w:r w:rsidRPr="009A047F" w:rsidR="009A047F">
        <w:rPr>
          <w:szCs w:val="24"/>
          <w:vertAlign w:val="superscript"/>
        </w:rPr>
        <w:t>th</w:t>
      </w:r>
      <w:r w:rsidR="009A047F">
        <w:rPr>
          <w:szCs w:val="24"/>
        </w:rPr>
        <w:t xml:space="preserve"> </w:t>
      </w:r>
      <w:r w:rsidRPr="00F6776F">
        <w:rPr>
          <w:szCs w:val="24"/>
        </w:rPr>
        <w:t xml:space="preserve">day of </w:t>
      </w:r>
      <w:r w:rsidR="009A047F">
        <w:rPr>
          <w:szCs w:val="24"/>
        </w:rPr>
        <w:t xml:space="preserve">December </w:t>
      </w:r>
      <w:r w:rsidRPr="00F6776F">
        <w:rPr>
          <w:szCs w:val="24"/>
        </w:rPr>
        <w:t>202</w:t>
      </w:r>
      <w:r w:rsidRPr="0044516D" w:rsidR="006615B0">
        <w:rPr>
          <w:szCs w:val="24"/>
        </w:rPr>
        <w:t>1</w:t>
      </w:r>
      <w:r w:rsidRPr="0044516D">
        <w:rPr>
          <w:szCs w:val="24"/>
        </w:rPr>
        <w:t>.</w:t>
      </w:r>
    </w:p>
    <w:p w:rsidR="00CD2C14" w:rsidRPr="00F6776F" w:rsidP="00CD2C14" w14:paraId="6B6DF330" w14:textId="77777777">
      <w:pPr>
        <w:suppressLineNumbers/>
        <w:ind w:firstLine="720"/>
        <w:rPr>
          <w:szCs w:val="24"/>
        </w:rPr>
      </w:pPr>
    </w:p>
    <w:p w:rsidR="00CD2C14" w:rsidRPr="0044516D" w:rsidP="00CD2C14" w14:paraId="741774D1" w14:textId="63216E29">
      <w:pPr>
        <w:suppressLineNumbers/>
        <w:tabs>
          <w:tab w:val="left" w:pos="4320"/>
        </w:tabs>
        <w:rPr>
          <w:i/>
          <w:szCs w:val="24"/>
          <w:u w:val="single"/>
        </w:rPr>
      </w:pPr>
      <w:r w:rsidRPr="00F6776F">
        <w:rPr>
          <w:i/>
          <w:szCs w:val="24"/>
        </w:rPr>
        <w:tab/>
      </w:r>
      <w:r w:rsidRPr="00F6776F">
        <w:rPr>
          <w:i/>
          <w:szCs w:val="24"/>
          <w:u w:val="single"/>
        </w:rPr>
        <w:t xml:space="preserve">/s/ </w:t>
      </w:r>
      <w:r w:rsidRPr="00F6776F" w:rsidR="00F6776F">
        <w:rPr>
          <w:i/>
          <w:szCs w:val="24"/>
          <w:u w:val="single"/>
        </w:rPr>
        <w:t>Amy Botschner O’Brien</w:t>
      </w:r>
      <w:r w:rsidRPr="00F6776F">
        <w:rPr>
          <w:i/>
          <w:szCs w:val="24"/>
          <w:u w:val="single"/>
        </w:rPr>
        <w:tab/>
      </w:r>
    </w:p>
    <w:p w:rsidR="00CD2C14" w:rsidRPr="00F6776F" w:rsidP="00CD2C14" w14:paraId="42E963D9" w14:textId="29B5C72C">
      <w:pPr>
        <w:suppressLineNumbers/>
        <w:tabs>
          <w:tab w:val="left" w:pos="4320"/>
        </w:tabs>
        <w:rPr>
          <w:szCs w:val="24"/>
        </w:rPr>
      </w:pPr>
      <w:r w:rsidRPr="0044516D">
        <w:rPr>
          <w:szCs w:val="24"/>
        </w:rPr>
        <w:tab/>
      </w:r>
      <w:r w:rsidRPr="00F6776F" w:rsidR="00F6776F">
        <w:rPr>
          <w:szCs w:val="24"/>
        </w:rPr>
        <w:t>Amy Botschner O’Brien</w:t>
      </w:r>
    </w:p>
    <w:p w:rsidR="00CD2C14" w:rsidRPr="00A45537" w:rsidP="00CD2C14" w14:paraId="0EA8414B" w14:textId="77777777">
      <w:pPr>
        <w:suppressLineNumbers/>
        <w:tabs>
          <w:tab w:val="left" w:pos="4320"/>
        </w:tabs>
        <w:rPr>
          <w:szCs w:val="24"/>
        </w:rPr>
      </w:pPr>
      <w:r w:rsidRPr="0044516D">
        <w:rPr>
          <w:szCs w:val="24"/>
        </w:rPr>
        <w:tab/>
        <w:t>Assistant Consumers’ Counsel</w:t>
      </w:r>
    </w:p>
    <w:p w:rsidR="00CD2C14" w:rsidRPr="00A45537" w:rsidP="00CD2C14" w14:paraId="67DD9C55" w14:textId="77777777">
      <w:pPr>
        <w:suppressLineNumbers/>
        <w:spacing w:line="480" w:lineRule="auto"/>
        <w:ind w:firstLine="720"/>
        <w:rPr>
          <w:szCs w:val="24"/>
        </w:rPr>
      </w:pPr>
    </w:p>
    <w:p w:rsidR="006B5EC6" w:rsidRPr="008A21A4" w:rsidP="006B5EC6" w14:paraId="3E70E495" w14:textId="77777777">
      <w:r w:rsidRPr="008A21A4">
        <w:t>The PUCO’s e-filing system will electronically serve notice of the filing of this document on the following parties:</w:t>
      </w:r>
    </w:p>
    <w:p w:rsidR="006B5EC6" w:rsidRPr="008A21A4" w:rsidP="006B5EC6" w14:paraId="0BFE0AF6" w14:textId="77777777">
      <w:pPr>
        <w:pStyle w:val="CommentText"/>
        <w:jc w:val="center"/>
        <w:rPr>
          <w:b/>
          <w:u w:val="single"/>
        </w:rPr>
      </w:pPr>
    </w:p>
    <w:p w:rsidR="006B5EC6" w:rsidRPr="008A21A4" w:rsidP="006B5EC6" w14:paraId="2BF7493F" w14:textId="77777777">
      <w:pPr>
        <w:pStyle w:val="CommentText"/>
        <w:jc w:val="center"/>
        <w:rPr>
          <w:b/>
          <w:u w:val="single"/>
        </w:rPr>
      </w:pPr>
      <w:r w:rsidRPr="008A21A4">
        <w:rPr>
          <w:b/>
          <w:u w:val="single"/>
        </w:rPr>
        <w:t>SERVICE LIST</w:t>
      </w:r>
    </w:p>
    <w:p w:rsidR="006B5EC6" w:rsidRPr="008A21A4" w:rsidP="006B5EC6" w14:paraId="4EDA9DC6" w14:textId="77777777">
      <w:pPr>
        <w:pStyle w:val="BodyText"/>
        <w:rPr>
          <w:b/>
          <w:bCs/>
          <w:szCs w:val="24"/>
        </w:rPr>
      </w:pPr>
    </w:p>
    <w:tbl>
      <w:tblPr>
        <w:tblW w:w="0" w:type="auto"/>
        <w:tblLayout w:type="fixed"/>
        <w:tblLook w:val="01E0"/>
      </w:tblPr>
      <w:tblGrid>
        <w:gridCol w:w="4338"/>
        <w:gridCol w:w="4842"/>
      </w:tblGrid>
      <w:tr w14:paraId="748BD767" w14:textId="77777777" w:rsidTr="004C110F">
        <w:tblPrEx>
          <w:tblW w:w="0" w:type="auto"/>
          <w:tblLayout w:type="fixed"/>
          <w:tblLook w:val="01E0"/>
        </w:tblPrEx>
        <w:tc>
          <w:tcPr>
            <w:tcW w:w="4338" w:type="dxa"/>
            <w:shd w:val="clear" w:color="auto" w:fill="auto"/>
          </w:tcPr>
          <w:p w:rsidR="002644BF" w:rsidRPr="00F13341" w:rsidP="004C110F" w14:paraId="49F6BDD0" w14:textId="77777777">
            <w:pPr>
              <w:rPr>
                <w:b/>
                <w:color w:val="0000FF"/>
                <w:u w:val="single"/>
              </w:rPr>
            </w:pPr>
            <w:hyperlink r:id="rId11" w:history="1">
              <w:r w:rsidRPr="00F13341" w:rsidR="00BB7920">
                <w:rPr>
                  <w:color w:val="0000FF"/>
                  <w:u w:val="single"/>
                </w:rPr>
                <w:t>kyle.kern@ohioattorneygeneral.gov</w:t>
              </w:r>
            </w:hyperlink>
          </w:p>
          <w:p w:rsidR="002644BF" w:rsidRPr="00F13341" w:rsidP="004C110F" w14:paraId="19DCA5F0" w14:textId="77777777">
            <w:pPr>
              <w:rPr>
                <w:rStyle w:val="Hyperlink"/>
              </w:rPr>
            </w:pPr>
            <w:hyperlink r:id="rId12" w:history="1">
              <w:r w:rsidRPr="00F13341" w:rsidR="00BB7920">
                <w:rPr>
                  <w:rStyle w:val="Hyperlink"/>
                </w:rPr>
                <w:t>jodi.bair@ohioattorneygeneral.gov</w:t>
              </w:r>
            </w:hyperlink>
          </w:p>
          <w:p w:rsidR="002644BF" w:rsidRPr="00F13341" w:rsidP="004C110F" w14:paraId="40D6A5B4" w14:textId="77777777">
            <w:pPr>
              <w:rPr>
                <w:b/>
                <w:color w:val="0000FF"/>
                <w:u w:val="single"/>
              </w:rPr>
            </w:pPr>
          </w:p>
          <w:p w:rsidR="002644BF" w:rsidRPr="00F13341" w:rsidP="004C110F" w14:paraId="059FC91B" w14:textId="77777777">
            <w:pPr>
              <w:rPr>
                <w:b/>
              </w:rPr>
            </w:pPr>
            <w:r w:rsidRPr="00F13341">
              <w:t>Attorney Examiners:</w:t>
            </w:r>
          </w:p>
          <w:p w:rsidR="002644BF" w:rsidRPr="00F13341" w:rsidP="004C110F" w14:paraId="5DF2B4B3" w14:textId="77777777">
            <w:pPr>
              <w:rPr>
                <w:rStyle w:val="Hyperlink"/>
              </w:rPr>
            </w:pPr>
            <w:hyperlink r:id="rId13" w:history="1">
              <w:r w:rsidRPr="00F13341" w:rsidR="00BB7920">
                <w:rPr>
                  <w:rStyle w:val="Hyperlink"/>
                </w:rPr>
                <w:t>sarah.parrot@puco.ohio.gov</w:t>
              </w:r>
            </w:hyperlink>
          </w:p>
          <w:p w:rsidR="002644BF" w:rsidRPr="00F13341" w:rsidP="004C110F" w14:paraId="430B1117" w14:textId="77777777">
            <w:pPr>
              <w:rPr>
                <w:rStyle w:val="Hyperlink"/>
              </w:rPr>
            </w:pPr>
            <w:hyperlink r:id="rId14" w:history="1">
              <w:r w:rsidRPr="00F13341" w:rsidR="00BB7920">
                <w:rPr>
                  <w:rStyle w:val="Hyperlink"/>
                </w:rPr>
                <w:t>Jacqueline.st.john@puco.ohio.gov</w:t>
              </w:r>
            </w:hyperlink>
          </w:p>
          <w:p w:rsidR="002644BF" w:rsidRPr="00F13341" w:rsidP="004C110F" w14:paraId="1A9B85EF" w14:textId="77777777">
            <w:pPr>
              <w:spacing w:line="480" w:lineRule="auto"/>
              <w:rPr>
                <w:b/>
              </w:rPr>
            </w:pPr>
          </w:p>
        </w:tc>
        <w:tc>
          <w:tcPr>
            <w:tcW w:w="4842" w:type="dxa"/>
            <w:shd w:val="clear" w:color="auto" w:fill="auto"/>
          </w:tcPr>
          <w:p w:rsidR="002644BF" w:rsidRPr="00F13341" w:rsidP="004C110F" w14:paraId="5B6DEED9" w14:textId="77777777">
            <w:pPr>
              <w:autoSpaceDE w:val="0"/>
              <w:autoSpaceDN w:val="0"/>
              <w:adjustRightInd w:val="0"/>
              <w:ind w:left="430"/>
              <w:rPr>
                <w:b/>
              </w:rPr>
            </w:pPr>
            <w:hyperlink r:id="rId15" w:history="1">
              <w:r w:rsidRPr="00F13341" w:rsidR="00BB7920">
                <w:rPr>
                  <w:rStyle w:val="Hyperlink"/>
                </w:rPr>
                <w:t>whitt@whitt-sturtevant.com</w:t>
              </w:r>
            </w:hyperlink>
          </w:p>
          <w:p w:rsidR="002644BF" w:rsidRPr="00F13341" w:rsidP="004C110F" w14:paraId="2370F08C" w14:textId="77777777">
            <w:pPr>
              <w:autoSpaceDE w:val="0"/>
              <w:autoSpaceDN w:val="0"/>
              <w:adjustRightInd w:val="0"/>
              <w:ind w:left="430"/>
              <w:rPr>
                <w:bCs/>
                <w:color w:val="0000FF"/>
                <w:u w:val="single"/>
              </w:rPr>
            </w:pPr>
            <w:hyperlink r:id="rId16" w:history="1">
              <w:r w:rsidRPr="00F13341" w:rsidR="00BB7920">
                <w:rPr>
                  <w:rStyle w:val="Hyperlink"/>
                </w:rPr>
                <w:t>kennedy@whitt-sturtevant.com</w:t>
              </w:r>
            </w:hyperlink>
          </w:p>
          <w:p w:rsidR="002644BF" w:rsidRPr="00F13341" w:rsidP="004C110F" w14:paraId="3EC8EC0C" w14:textId="77777777">
            <w:pPr>
              <w:autoSpaceDE w:val="0"/>
              <w:autoSpaceDN w:val="0"/>
              <w:adjustRightInd w:val="0"/>
              <w:ind w:left="430"/>
              <w:rPr>
                <w:bCs/>
              </w:rPr>
            </w:pPr>
            <w:hyperlink r:id="rId17" w:history="1">
              <w:r w:rsidRPr="00F13341" w:rsidR="00BB7920">
                <w:rPr>
                  <w:rStyle w:val="Hyperlink"/>
                </w:rPr>
                <w:t>fykes@whitt-sturtevant.com</w:t>
              </w:r>
            </w:hyperlink>
          </w:p>
          <w:p w:rsidR="002644BF" w:rsidRPr="00F13341" w:rsidP="004C110F" w14:paraId="3D14633F" w14:textId="77777777">
            <w:pPr>
              <w:autoSpaceDE w:val="0"/>
              <w:autoSpaceDN w:val="0"/>
              <w:adjustRightInd w:val="0"/>
              <w:ind w:left="430" w:right="-16"/>
              <w:rPr>
                <w:bCs/>
              </w:rPr>
            </w:pPr>
            <w:hyperlink r:id="rId18" w:history="1">
              <w:r w:rsidRPr="00F13341" w:rsidR="00BB7920">
                <w:rPr>
                  <w:rStyle w:val="Hyperlink"/>
                </w:rPr>
                <w:t>Andrew.j.campbell@dominionenergy.co</w:t>
              </w:r>
            </w:hyperlink>
            <w:r w:rsidRPr="00F13341" w:rsidR="00BB7920">
              <w:rPr>
                <w:rStyle w:val="Hyperlink"/>
              </w:rPr>
              <w:t>m</w:t>
            </w:r>
          </w:p>
          <w:p w:rsidR="002644BF" w:rsidRPr="00F13341" w:rsidP="004C110F" w14:paraId="52304E63" w14:textId="77777777">
            <w:pPr>
              <w:ind w:left="430"/>
              <w:rPr>
                <w:rStyle w:val="Hyperlink"/>
                <w:bCs/>
              </w:rPr>
            </w:pPr>
            <w:hyperlink r:id="rId19" w:history="1">
              <w:r w:rsidRPr="00F13341" w:rsidR="00BB7920">
                <w:rPr>
                  <w:rStyle w:val="Hyperlink"/>
                  <w:bCs/>
                </w:rPr>
                <w:t>rdove@keglerbrown.com</w:t>
              </w:r>
            </w:hyperlink>
          </w:p>
          <w:p w:rsidR="002644BF" w:rsidRPr="00F13341" w:rsidP="004C110F" w14:paraId="223C1863" w14:textId="77777777">
            <w:pPr>
              <w:autoSpaceDE w:val="0"/>
              <w:autoSpaceDN w:val="0"/>
              <w:adjustRightInd w:val="0"/>
              <w:ind w:left="426"/>
            </w:pPr>
            <w:hyperlink r:id="rId20" w:history="1">
              <w:r w:rsidRPr="00F13341" w:rsidR="00BB7920">
                <w:rPr>
                  <w:rStyle w:val="Hyperlink"/>
                </w:rPr>
                <w:t>mpritchard@mcneeslaw.com</w:t>
              </w:r>
            </w:hyperlink>
          </w:p>
          <w:p w:rsidR="002644BF" w:rsidRPr="00F13341" w:rsidP="004C110F" w14:paraId="7680616F" w14:textId="77777777">
            <w:pPr>
              <w:ind w:left="430"/>
            </w:pPr>
            <w:hyperlink r:id="rId21" w:history="1">
              <w:r w:rsidRPr="00F13341" w:rsidR="00BB7920">
                <w:rPr>
                  <w:rStyle w:val="Hyperlink"/>
                </w:rPr>
                <w:t>bmckenney@mcneeslaw.com</w:t>
              </w:r>
            </w:hyperlink>
          </w:p>
          <w:p w:rsidR="002644BF" w:rsidRPr="00F13341" w:rsidP="004C110F" w14:paraId="3626C680" w14:textId="77777777">
            <w:pPr>
              <w:ind w:left="430"/>
              <w:rPr>
                <w:bCs/>
                <w:color w:val="0000FF"/>
              </w:rPr>
            </w:pPr>
          </w:p>
          <w:p w:rsidR="002644BF" w:rsidRPr="00F13341" w:rsidP="004C110F" w14:paraId="0899FAFD" w14:textId="77777777">
            <w:pPr>
              <w:autoSpaceDE w:val="0"/>
              <w:autoSpaceDN w:val="0"/>
              <w:adjustRightInd w:val="0"/>
              <w:ind w:left="636"/>
              <w:rPr>
                <w:bCs/>
              </w:rPr>
            </w:pPr>
          </w:p>
          <w:p w:rsidR="002644BF" w:rsidRPr="00F13341" w:rsidP="004C110F" w14:paraId="163E7143" w14:textId="77777777">
            <w:pPr>
              <w:autoSpaceDE w:val="0"/>
              <w:autoSpaceDN w:val="0"/>
              <w:adjustRightInd w:val="0"/>
              <w:rPr>
                <w:b/>
              </w:rPr>
            </w:pPr>
          </w:p>
        </w:tc>
      </w:tr>
    </w:tbl>
    <w:p w:rsidR="00D4185C" w:rsidRPr="00A45537" w:rsidP="006B5EC6" w14:paraId="72AC3DF8" w14:textId="77777777">
      <w:pPr>
        <w:rPr>
          <w:b/>
          <w:bCs/>
          <w:szCs w:val="24"/>
        </w:rPr>
      </w:pPr>
    </w:p>
    <w:sectPr w:rsidSect="002644BF">
      <w:footerReference w:type="first" r:id="rId22"/>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1146061"/>
      <w:docPartObj>
        <w:docPartGallery w:val="Page Numbers (Bottom of Page)"/>
        <w:docPartUnique/>
      </w:docPartObj>
    </w:sdtPr>
    <w:sdtEndPr>
      <w:rPr>
        <w:noProof/>
        <w:sz w:val="24"/>
        <w:szCs w:val="24"/>
      </w:rPr>
    </w:sdtEndPr>
    <w:sdtContent>
      <w:p w:rsidR="002665B0" w:rsidRPr="002644BF" w14:paraId="644A096A" w14:textId="57B3F3EF">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5B0" w:rsidRPr="00A603F0" w14:paraId="437F90C3" w14:textId="6AAACC09">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8546031"/>
      <w:docPartObj>
        <w:docPartGallery w:val="Page Numbers (Bottom of Page)"/>
        <w:docPartUnique/>
      </w:docPartObj>
    </w:sdtPr>
    <w:sdtEndPr>
      <w:rPr>
        <w:noProof/>
        <w:sz w:val="24"/>
        <w:szCs w:val="24"/>
      </w:rPr>
    </w:sdtEndPr>
    <w:sdtContent>
      <w:p w:rsidR="002665B0" w:rsidRPr="002644BF" w14:paraId="669CA11D" w14:textId="5515D413">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6250831"/>
      <w:docPartObj>
        <w:docPartGallery w:val="Page Numbers (Bottom of Page)"/>
        <w:docPartUnique/>
      </w:docPartObj>
    </w:sdtPr>
    <w:sdtEndPr>
      <w:rPr>
        <w:noProof/>
        <w:sz w:val="24"/>
        <w:szCs w:val="24"/>
      </w:rPr>
    </w:sdtEndPr>
    <w:sdtContent>
      <w:p w:rsidR="002665B0" w:rsidRPr="002644BF" w14:paraId="13E4B3CD" w14:textId="700680A5">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37A00" w14:paraId="2A0CE7DA" w14:textId="77777777">
      <w:r>
        <w:separator/>
      </w:r>
    </w:p>
  </w:footnote>
  <w:footnote w:type="continuationSeparator" w:id="1">
    <w:p w:rsidR="00737A00" w14:paraId="1DEB3300" w14:textId="77777777">
      <w:r>
        <w:continuationSeparator/>
      </w:r>
    </w:p>
  </w:footnote>
  <w:footnote w:id="2">
    <w:p w:rsidR="002665B0" w:rsidRPr="00E6681B" w:rsidP="00E6681B" w14:paraId="32BAFC7C" w14:textId="77777777">
      <w:pPr>
        <w:pStyle w:val="FootnoteText"/>
        <w:spacing w:after="120"/>
      </w:pPr>
      <w:r w:rsidRPr="00E6681B">
        <w:rPr>
          <w:rStyle w:val="FootnoteReference"/>
        </w:rPr>
        <w:footnoteRef/>
      </w:r>
      <w:r w:rsidRPr="00E6681B">
        <w:t xml:space="preserve"> R.C. 4929.05(A)(3) (emphasis added).</w:t>
      </w:r>
    </w:p>
  </w:footnote>
  <w:footnote w:id="3">
    <w:p w:rsidR="00023779" w:rsidRPr="00E6681B" w:rsidP="00E6681B" w14:paraId="64A2ADC7" w14:textId="1130639F">
      <w:pPr>
        <w:pStyle w:val="FootnoteText"/>
        <w:spacing w:after="120"/>
      </w:pPr>
      <w:r w:rsidRPr="00E6681B">
        <w:rPr>
          <w:rStyle w:val="FootnoteReference"/>
        </w:rPr>
        <w:footnoteRef/>
      </w:r>
      <w:r w:rsidRPr="00E6681B">
        <w:t xml:space="preserve"> </w:t>
      </w:r>
      <w:r w:rsidRPr="00E6681B">
        <w:rPr>
          <w:i/>
          <w:iCs/>
        </w:rPr>
        <w:t xml:space="preserve">In the Matter of The East Ohio Gas Company d/b/a Dominion Energy Ohio for Approval of an Alternative Form of Regulation, </w:t>
      </w:r>
      <w:r w:rsidRPr="00E6681B">
        <w:t xml:space="preserve">Case No. 20-1634-GA-ALT, </w:t>
      </w:r>
      <w:r w:rsidR="00D80965">
        <w:t xml:space="preserve">Joint Ex. 1.0, </w:t>
      </w:r>
      <w:r w:rsidRPr="00E6681B">
        <w:t xml:space="preserve">Stipulation and Recommendation </w:t>
      </w:r>
      <w:r w:rsidR="00D80965">
        <w:t>(“Settlement”)</w:t>
      </w:r>
      <w:r w:rsidR="00D54880">
        <w:t xml:space="preserve"> </w:t>
      </w:r>
      <w:r w:rsidRPr="00E6681B">
        <w:t>(October 12, 2021).</w:t>
      </w:r>
    </w:p>
  </w:footnote>
  <w:footnote w:id="4">
    <w:p w:rsidR="002665B0" w:rsidRPr="00E6681B" w:rsidP="00E6681B" w14:paraId="4A74F4F7" w14:textId="71BD459D">
      <w:pPr>
        <w:pStyle w:val="FootnoteText"/>
        <w:spacing w:after="120"/>
      </w:pPr>
      <w:r w:rsidRPr="00E6681B">
        <w:rPr>
          <w:rStyle w:val="FootnoteReference"/>
        </w:rPr>
        <w:footnoteRef/>
      </w:r>
      <w:r w:rsidRPr="00E6681B">
        <w:t xml:space="preserve"> Case No. 20-1634, Initial Brief for Consumer Protection by Office of the Ohio Consumers’ Counsel (Nov</w:t>
      </w:r>
      <w:r w:rsidRPr="00E6681B" w:rsidR="00834B0F">
        <w:t xml:space="preserve">ember </w:t>
      </w:r>
      <w:r w:rsidRPr="00E6681B">
        <w:t>22, 2021).</w:t>
      </w:r>
    </w:p>
  </w:footnote>
  <w:footnote w:id="5">
    <w:p w:rsidR="00424105" w:rsidRPr="00E6681B" w:rsidP="00E6681B" w14:paraId="661E4BD7" w14:textId="606E1339">
      <w:pPr>
        <w:pStyle w:val="FootnoteText"/>
        <w:spacing w:after="120"/>
      </w:pPr>
      <w:r w:rsidRPr="00E6681B">
        <w:rPr>
          <w:rStyle w:val="FootnoteReference"/>
        </w:rPr>
        <w:footnoteRef/>
      </w:r>
      <w:r w:rsidRPr="00E6681B">
        <w:t xml:space="preserve"> </w:t>
      </w:r>
      <w:r w:rsidR="00D80965">
        <w:t xml:space="preserve">OCC Ex. 1.0, </w:t>
      </w:r>
      <w:r w:rsidRPr="00E6681B">
        <w:t xml:space="preserve">Direct Testimony of Daniel J. Duann, Ph.D. </w:t>
      </w:r>
      <w:r w:rsidR="00D80965">
        <w:t>Recommending Consumer Protection From the Settlement on Behalf of Office of the</w:t>
      </w:r>
      <w:r w:rsidRPr="00E6681B">
        <w:t xml:space="preserve"> Ohio Consumers’ Counsel </w:t>
      </w:r>
      <w:r w:rsidR="00D80965">
        <w:t xml:space="preserve">with Attachments DJD-01-DJD-04 </w:t>
      </w:r>
      <w:r w:rsidRPr="00E6681B">
        <w:t xml:space="preserve">(October 25, 2021) (“Duann Direct”) at 11-12; see, OCC Initial Brief at </w:t>
      </w:r>
      <w:r w:rsidRPr="00E6681B" w:rsidR="000C7F39">
        <w:t>5-7</w:t>
      </w:r>
      <w:r w:rsidRPr="00E6681B">
        <w:t>.</w:t>
      </w:r>
    </w:p>
  </w:footnote>
  <w:footnote w:id="6">
    <w:p w:rsidR="002665B0" w:rsidRPr="00E6681B" w:rsidP="00E6681B" w14:paraId="69EC537E" w14:textId="03E6CE4C">
      <w:pPr>
        <w:pStyle w:val="FootnoteText"/>
        <w:spacing w:after="120"/>
      </w:pPr>
      <w:r w:rsidRPr="00E6681B">
        <w:rPr>
          <w:rStyle w:val="FootnoteReference"/>
        </w:rPr>
        <w:footnoteRef/>
      </w:r>
      <w:r w:rsidRPr="00E6681B">
        <w:t xml:space="preserve"> OCC Initial Brief; </w:t>
      </w:r>
      <w:r w:rsidRPr="00E6681B">
        <w:rPr>
          <w:i/>
          <w:iCs/>
        </w:rPr>
        <w:t>see also</w:t>
      </w:r>
      <w:r w:rsidRPr="00E6681B">
        <w:t xml:space="preserve">, </w:t>
      </w:r>
      <w:r w:rsidR="00D80965">
        <w:t>OCC Ex. 1.0 (</w:t>
      </w:r>
      <w:r w:rsidRPr="00E6681B">
        <w:t>D</w:t>
      </w:r>
      <w:r w:rsidRPr="00E6681B" w:rsidR="00424105">
        <w:t>uann Direct</w:t>
      </w:r>
      <w:r w:rsidR="00D80965">
        <w:t>)</w:t>
      </w:r>
      <w:r w:rsidRPr="00E6681B" w:rsidR="00424105">
        <w:t xml:space="preserve"> at 4</w:t>
      </w:r>
      <w:r w:rsidRPr="00E6681B" w:rsidR="00FB4F80">
        <w:t>-5</w:t>
      </w:r>
      <w:r w:rsidRPr="00E6681B">
        <w:t>.</w:t>
      </w:r>
    </w:p>
  </w:footnote>
  <w:footnote w:id="7">
    <w:p w:rsidR="002665B0" w:rsidRPr="00E6681B" w:rsidP="00E6681B" w14:paraId="135FA9F3" w14:textId="69BC85F0">
      <w:pPr>
        <w:pStyle w:val="FootnoteText"/>
        <w:spacing w:after="120"/>
      </w:pPr>
      <w:r w:rsidRPr="00E6681B">
        <w:rPr>
          <w:rStyle w:val="FootnoteReference"/>
        </w:rPr>
        <w:footnoteRef/>
      </w:r>
      <w:r w:rsidRPr="00E6681B" w:rsidR="0088606A">
        <w:t xml:space="preserve"> </w:t>
      </w:r>
      <w:r w:rsidRPr="00E6681B">
        <w:t>Case No. 20-1634, Initial Brief of the East Ohio Gas Company d/b/a Dominion Energy Ohio (Nov</w:t>
      </w:r>
      <w:r w:rsidRPr="00E6681B" w:rsidR="00834B0F">
        <w:t>ember</w:t>
      </w:r>
      <w:r w:rsidRPr="00E6681B">
        <w:t xml:space="preserve"> 22, 2021). </w:t>
      </w:r>
    </w:p>
  </w:footnote>
  <w:footnote w:id="8">
    <w:p w:rsidR="002665B0" w:rsidRPr="00E6681B" w:rsidP="00E6681B" w14:paraId="588CCABE" w14:textId="73E3096F">
      <w:pPr>
        <w:pStyle w:val="FootnoteText"/>
        <w:spacing w:after="120"/>
      </w:pPr>
      <w:r w:rsidRPr="00E6681B">
        <w:rPr>
          <w:rStyle w:val="FootnoteReference"/>
        </w:rPr>
        <w:footnoteRef/>
      </w:r>
      <w:r w:rsidRPr="00E6681B">
        <w:t xml:space="preserve"> Case No. 20-1634, Initial Brief submitted by the Staff of the Public Utilities Commission of Ohio (Nov</w:t>
      </w:r>
      <w:r w:rsidRPr="00E6681B" w:rsidR="00834B0F">
        <w:t>ember</w:t>
      </w:r>
      <w:r w:rsidRPr="00E6681B">
        <w:t xml:space="preserve"> 22, 2021).</w:t>
      </w:r>
    </w:p>
  </w:footnote>
  <w:footnote w:id="9">
    <w:p w:rsidR="00C61DFF" w:rsidRPr="00E6681B" w:rsidP="00E6681B" w14:paraId="05F23431" w14:textId="77777777">
      <w:pPr>
        <w:pStyle w:val="FootnoteText"/>
        <w:spacing w:after="120"/>
      </w:pPr>
      <w:r w:rsidRPr="00E6681B">
        <w:rPr>
          <w:rStyle w:val="FootnoteReference"/>
        </w:rPr>
        <w:footnoteRef/>
      </w:r>
      <w:r w:rsidRPr="00E6681B">
        <w:t xml:space="preserve"> </w:t>
      </w:r>
      <w:r w:rsidRPr="00E6681B">
        <w:rPr>
          <w:i/>
          <w:iCs/>
        </w:rPr>
        <w:t>See In re Ohio Edison Co.</w:t>
      </w:r>
      <w:r w:rsidRPr="00E6681B">
        <w:t>, 2020-Ohio-5450, ¶¶ 62-64 (rejecting utility’s argument that statutory issues must be addressed in the context of the PUCO’s three-part settlement test).</w:t>
      </w:r>
    </w:p>
  </w:footnote>
  <w:footnote w:id="10">
    <w:p w:rsidR="00D20047" w:rsidRPr="00E6681B" w:rsidP="00E6681B" w14:paraId="59FE61BD" w14:textId="141DADF9">
      <w:pPr>
        <w:pStyle w:val="FootnoteText"/>
        <w:spacing w:after="120"/>
      </w:pPr>
      <w:r w:rsidRPr="00E6681B">
        <w:rPr>
          <w:rStyle w:val="FootnoteReference"/>
        </w:rPr>
        <w:footnoteRef/>
      </w:r>
      <w:r w:rsidRPr="00E6681B">
        <w:t xml:space="preserve"> </w:t>
      </w:r>
      <w:r w:rsidRPr="00E6681B">
        <w:rPr>
          <w:i/>
          <w:iCs/>
        </w:rPr>
        <w:t>See In re Determination of Existence of Significantly Excessive Earnings for 2017 Under Elec. Sec. Plan of Ohio Edison Co</w:t>
      </w:r>
      <w:r w:rsidRPr="00E6681B">
        <w:t>., 162 Ohio St.3d 651, 2020-Ohio-5450, ¶¶ 62-64 (rejecting utility’s claim that a party must couch its opposition to an unlawful settlement in terms of the PUCO’s three-part test).</w:t>
      </w:r>
    </w:p>
  </w:footnote>
  <w:footnote w:id="11">
    <w:p w:rsidR="002665B0" w:rsidRPr="00E6681B" w:rsidP="00E6681B" w14:paraId="584E2706" w14:textId="54D85053">
      <w:pPr>
        <w:pStyle w:val="FootnoteText"/>
        <w:spacing w:after="120"/>
      </w:pPr>
      <w:r w:rsidRPr="00E6681B">
        <w:rPr>
          <w:rStyle w:val="FootnoteReference"/>
        </w:rPr>
        <w:footnoteRef/>
      </w:r>
      <w:r w:rsidRPr="00E6681B">
        <w:t xml:space="preserve"> </w:t>
      </w:r>
      <w:r w:rsidRPr="00E6681B" w:rsidR="000940D6">
        <w:rPr>
          <w:i/>
          <w:iCs/>
        </w:rPr>
        <w:t>See</w:t>
      </w:r>
      <w:r w:rsidRPr="00E6681B" w:rsidR="000940D6">
        <w:t xml:space="preserve">, </w:t>
      </w:r>
      <w:r w:rsidRPr="00E6681B">
        <w:rPr>
          <w:i/>
          <w:iCs/>
        </w:rPr>
        <w:t>Tongren</w:t>
      </w:r>
      <w:r w:rsidRPr="00E6681B" w:rsidR="000940D6">
        <w:rPr>
          <w:i/>
          <w:iCs/>
        </w:rPr>
        <w:t xml:space="preserve"> v. Pub. Util. Comm</w:t>
      </w:r>
      <w:r w:rsidRPr="00E6681B" w:rsidR="000940D6">
        <w:t xml:space="preserve">., 85 Ohio St.3d 87, 89-91, 706 N.E.2d 1255 (1999); </w:t>
      </w:r>
      <w:r w:rsidRPr="00E6681B" w:rsidR="000940D6">
        <w:rPr>
          <w:i/>
          <w:iCs/>
        </w:rPr>
        <w:t>In re Application of FirstEnergy Advisors for Certification as a Competitive Retail Elec. Serv. Power Broker</w:t>
      </w:r>
      <w:r w:rsidRPr="00E6681B" w:rsidR="000F566D">
        <w:rPr>
          <w:i/>
          <w:iCs/>
        </w:rPr>
        <w:t xml:space="preserve"> Pas</w:t>
      </w:r>
      <w:r w:rsidRPr="00E6681B" w:rsidR="000940D6">
        <w:rPr>
          <w:i/>
          <w:iCs/>
        </w:rPr>
        <w:t>&amp; Aggregator</w:t>
      </w:r>
      <w:r w:rsidRPr="00E6681B" w:rsidR="000940D6">
        <w:t xml:space="preserve">, Slip Opinion No. 2021-Ohio-3630. </w:t>
      </w:r>
    </w:p>
  </w:footnote>
  <w:footnote w:id="12">
    <w:p w:rsidR="0088606A" w:rsidRPr="00E6681B" w:rsidP="00E6681B" w14:paraId="4571EB1D" w14:textId="39812175">
      <w:pPr>
        <w:pStyle w:val="FootnoteText"/>
        <w:spacing w:after="120"/>
      </w:pPr>
      <w:r w:rsidRPr="00E6681B">
        <w:rPr>
          <w:rStyle w:val="FootnoteReference"/>
        </w:rPr>
        <w:footnoteRef/>
      </w:r>
      <w:r w:rsidRPr="00E6681B">
        <w:t xml:space="preserve"> </w:t>
      </w:r>
      <w:r w:rsidRPr="00E6681B">
        <w:rPr>
          <w:i/>
          <w:iCs/>
        </w:rPr>
        <w:t>Id</w:t>
      </w:r>
      <w:r w:rsidRPr="00E6681B">
        <w:t>.</w:t>
      </w:r>
    </w:p>
  </w:footnote>
  <w:footnote w:id="13">
    <w:p w:rsidR="002665B0" w:rsidRPr="00E6681B" w:rsidP="00E6681B" w14:paraId="7612AED8" w14:textId="72C748B2">
      <w:pPr>
        <w:pStyle w:val="FootnoteText"/>
        <w:spacing w:after="120"/>
      </w:pPr>
      <w:r w:rsidRPr="00E6681B">
        <w:rPr>
          <w:rStyle w:val="FootnoteReference"/>
        </w:rPr>
        <w:footnoteRef/>
      </w:r>
      <w:r w:rsidRPr="00E6681B">
        <w:t xml:space="preserve"> </w:t>
      </w:r>
      <w:r w:rsidR="00D54880">
        <w:t>OCC Ex. 1.0 (</w:t>
      </w:r>
      <w:r w:rsidRPr="00E6681B" w:rsidR="00F51E5C">
        <w:t>Duann Direct</w:t>
      </w:r>
      <w:r w:rsidR="00D54880">
        <w:t>)</w:t>
      </w:r>
      <w:r w:rsidRPr="00E6681B" w:rsidR="00F51E5C">
        <w:t xml:space="preserve"> at 6-12; </w:t>
      </w:r>
      <w:r w:rsidRPr="00E6681B">
        <w:t>OCC Initial Brief at 4-8</w:t>
      </w:r>
      <w:r w:rsidRPr="00E6681B" w:rsidR="00834B0F">
        <w:t>.</w:t>
      </w:r>
    </w:p>
  </w:footnote>
  <w:footnote w:id="14">
    <w:p w:rsidR="002665B0" w:rsidRPr="00E6681B" w:rsidP="00E6681B" w14:paraId="2D15F3C6" w14:textId="1C3098C2">
      <w:pPr>
        <w:pStyle w:val="FootnoteText"/>
        <w:spacing w:after="120"/>
      </w:pPr>
      <w:r w:rsidRPr="00E6681B">
        <w:rPr>
          <w:rStyle w:val="FootnoteReference"/>
        </w:rPr>
        <w:footnoteRef/>
      </w:r>
      <w:r w:rsidRPr="00E6681B">
        <w:t xml:space="preserve"> </w:t>
      </w:r>
      <w:r w:rsidRPr="00E6681B">
        <w:rPr>
          <w:i/>
          <w:iCs/>
        </w:rPr>
        <w:t>Id</w:t>
      </w:r>
      <w:r w:rsidRPr="00E6681B">
        <w:t xml:space="preserve">.; </w:t>
      </w:r>
      <w:r w:rsidRPr="00E6681B">
        <w:rPr>
          <w:i/>
          <w:iCs/>
        </w:rPr>
        <w:t xml:space="preserve">see </w:t>
      </w:r>
      <w:r w:rsidR="00D54880">
        <w:t>OCC Ex. 1.0 (</w:t>
      </w:r>
      <w:r w:rsidRPr="00E6681B">
        <w:t>Duann Direct</w:t>
      </w:r>
      <w:r w:rsidR="00D54880">
        <w:t>)</w:t>
      </w:r>
      <w:r w:rsidRPr="00E6681B">
        <w:t xml:space="preserve"> at </w:t>
      </w:r>
      <w:r w:rsidRPr="00E6681B" w:rsidR="00FB4F80">
        <w:t>7-8</w:t>
      </w:r>
      <w:r w:rsidRPr="00E6681B">
        <w:t>.</w:t>
      </w:r>
    </w:p>
  </w:footnote>
  <w:footnote w:id="15">
    <w:p w:rsidR="002665B0" w:rsidRPr="00E6681B" w:rsidP="00E6681B" w14:paraId="0880C34D" w14:textId="0179E813">
      <w:pPr>
        <w:pStyle w:val="FootnoteText"/>
        <w:spacing w:after="120"/>
      </w:pPr>
      <w:r w:rsidRPr="00E6681B">
        <w:rPr>
          <w:rStyle w:val="FootnoteReference"/>
        </w:rPr>
        <w:footnoteRef/>
      </w:r>
      <w:r w:rsidRPr="00E6681B">
        <w:rPr>
          <w:i/>
          <w:iCs/>
        </w:rPr>
        <w:t xml:space="preserve"> Id</w:t>
      </w:r>
      <w:r w:rsidRPr="00E6681B">
        <w:t>.</w:t>
      </w:r>
      <w:r>
        <w:t xml:space="preserve">; </w:t>
      </w:r>
      <w:r w:rsidRPr="00DB58A9">
        <w:rPr>
          <w:i/>
          <w:iCs/>
        </w:rPr>
        <w:t xml:space="preserve">see </w:t>
      </w:r>
      <w:r w:rsidR="00D54880">
        <w:t>OCC Ex. 1.0 (</w:t>
      </w:r>
      <w:r w:rsidRPr="00E6681B" w:rsidR="00FB4F80">
        <w:t>Duann Direct</w:t>
      </w:r>
      <w:r w:rsidR="00D54880">
        <w:t>)</w:t>
      </w:r>
      <w:r w:rsidRPr="00E6681B" w:rsidR="00FB4F80">
        <w:t xml:space="preserve"> at 6-8.</w:t>
      </w:r>
    </w:p>
  </w:footnote>
  <w:footnote w:id="16">
    <w:p w:rsidR="00E035B2" w:rsidRPr="00E6681B" w:rsidP="00E6681B" w14:paraId="42F2216C" w14:textId="4E2F6A14">
      <w:pPr>
        <w:pStyle w:val="FootnoteText"/>
        <w:spacing w:after="120"/>
      </w:pPr>
      <w:r w:rsidRPr="00E6681B">
        <w:rPr>
          <w:rStyle w:val="FootnoteReference"/>
        </w:rPr>
        <w:footnoteRef/>
      </w:r>
      <w:r w:rsidRPr="00E6681B">
        <w:t xml:space="preserve"> OCC Initial Brief at </w:t>
      </w:r>
      <w:r w:rsidRPr="00E6681B" w:rsidR="00FB4F80">
        <w:t>5</w:t>
      </w:r>
      <w:r w:rsidRPr="00E6681B" w:rsidR="00F51E5C">
        <w:t>-8</w:t>
      </w:r>
      <w:r w:rsidRPr="00E6681B">
        <w:t xml:space="preserve">, 10; </w:t>
      </w:r>
      <w:r w:rsidRPr="00E6681B">
        <w:rPr>
          <w:i/>
          <w:iCs/>
        </w:rPr>
        <w:t>see also</w:t>
      </w:r>
      <w:r w:rsidRPr="00E6681B">
        <w:t xml:space="preserve"> </w:t>
      </w:r>
      <w:r w:rsidR="00D54880">
        <w:t>OCC Ex. 1.0 (D</w:t>
      </w:r>
      <w:r w:rsidRPr="00E6681B">
        <w:t>uann Direct</w:t>
      </w:r>
      <w:r w:rsidR="00D54880">
        <w:t>)</w:t>
      </w:r>
      <w:r w:rsidRPr="00E6681B">
        <w:t xml:space="preserve"> at </w:t>
      </w:r>
      <w:r w:rsidRPr="00E6681B" w:rsidR="00FB4F80">
        <w:t xml:space="preserve">6-8, </w:t>
      </w:r>
      <w:r w:rsidRPr="00E6681B">
        <w:t>11-12</w:t>
      </w:r>
      <w:r w:rsidRPr="00E6681B" w:rsidR="00834B0F">
        <w:t>.</w:t>
      </w:r>
    </w:p>
  </w:footnote>
  <w:footnote w:id="17">
    <w:p w:rsidR="002665B0" w:rsidRPr="00E6681B" w:rsidP="00E6681B" w14:paraId="2DFEBB00" w14:textId="3B642AAF">
      <w:pPr>
        <w:pStyle w:val="FootnoteText"/>
        <w:spacing w:after="120"/>
      </w:pPr>
      <w:r w:rsidRPr="00E6681B">
        <w:rPr>
          <w:rStyle w:val="FootnoteReference"/>
        </w:rPr>
        <w:footnoteRef/>
      </w:r>
      <w:r w:rsidRPr="00E6681B">
        <w:t xml:space="preserve"> </w:t>
      </w:r>
      <w:r w:rsidRPr="00E6681B">
        <w:rPr>
          <w:i/>
          <w:iCs/>
        </w:rPr>
        <w:t>Bluefield Water Works v. Public Service Comm’n</w:t>
      </w:r>
      <w:r w:rsidRPr="00E6681B">
        <w:t>, 262 U.S. 679, 692 (1923).</w:t>
      </w:r>
    </w:p>
  </w:footnote>
  <w:footnote w:id="18">
    <w:p w:rsidR="00E035B2" w:rsidRPr="00E6681B" w:rsidP="00E6681B" w14:paraId="4C98324E" w14:textId="6D1CEE47">
      <w:pPr>
        <w:pStyle w:val="FootnoteText"/>
        <w:spacing w:after="120"/>
      </w:pPr>
      <w:r w:rsidRPr="00E6681B">
        <w:rPr>
          <w:rStyle w:val="FootnoteReference"/>
        </w:rPr>
        <w:footnoteRef/>
      </w:r>
      <w:r w:rsidRPr="00E6681B">
        <w:t xml:space="preserve"> OCC Initial Brief at </w:t>
      </w:r>
      <w:r w:rsidRPr="00E6681B" w:rsidR="00FB4F80">
        <w:t>6</w:t>
      </w:r>
      <w:r w:rsidRPr="00E6681B">
        <w:t xml:space="preserve">-8; </w:t>
      </w:r>
      <w:r w:rsidR="00D54880">
        <w:t>OCC Ex. 1.0 (</w:t>
      </w:r>
      <w:r w:rsidRPr="00E6681B">
        <w:t>Duann Direct</w:t>
      </w:r>
      <w:r w:rsidR="00D54880">
        <w:t>)</w:t>
      </w:r>
      <w:r w:rsidRPr="00E6681B">
        <w:t xml:space="preserve"> at 11-12.</w:t>
      </w:r>
    </w:p>
  </w:footnote>
  <w:footnote w:id="19">
    <w:p w:rsidR="002665B0" w:rsidRPr="00E6681B" w:rsidP="00E6681B" w14:paraId="6956446F" w14:textId="1EEF7315">
      <w:pPr>
        <w:pStyle w:val="FootnoteText"/>
        <w:spacing w:after="120"/>
      </w:pPr>
      <w:r w:rsidRPr="00E6681B">
        <w:rPr>
          <w:rStyle w:val="FootnoteReference"/>
        </w:rPr>
        <w:footnoteRef/>
      </w:r>
      <w:r w:rsidRPr="00E6681B">
        <w:t xml:space="preserve"> And neither Staff nor Dominion (or anyone else) challenged Dr. Duann when he made the same recommendation and took the witness stand in Case No. 19-468-GA-ALT concerning Dominion’s Capital Expenditure Program—a very similar proceeding. In that proceeding nobody asked Dr. Duann any questions at all regarding his recommendations.</w:t>
      </w:r>
    </w:p>
  </w:footnote>
  <w:footnote w:id="20">
    <w:p w:rsidR="002665B0" w:rsidRPr="00E6681B" w:rsidP="00E6681B" w14:paraId="2519581E" w14:textId="6D207531">
      <w:pPr>
        <w:pStyle w:val="FootnoteText"/>
        <w:spacing w:after="120"/>
      </w:pPr>
      <w:r w:rsidRPr="00E6681B">
        <w:rPr>
          <w:rStyle w:val="FootnoteReference"/>
        </w:rPr>
        <w:footnoteRef/>
      </w:r>
      <w:r w:rsidRPr="00E6681B">
        <w:t xml:space="preserve"> Dominion Initial Brief at 13. </w:t>
      </w:r>
    </w:p>
  </w:footnote>
  <w:footnote w:id="21">
    <w:p w:rsidR="00D33F62" w:rsidRPr="00E6681B" w:rsidP="00E6681B" w14:paraId="40E53ED2" w14:textId="16DF5EB9">
      <w:pPr>
        <w:pStyle w:val="FootnoteText"/>
        <w:spacing w:after="120"/>
      </w:pPr>
      <w:r w:rsidRPr="00E6681B">
        <w:rPr>
          <w:rStyle w:val="FootnoteReference"/>
        </w:rPr>
        <w:footnoteRef/>
      </w:r>
      <w:r w:rsidRPr="00E6681B">
        <w:t xml:space="preserve"> Revised Code 4929.05(A)(3); 4905.22; 4929.02(A)(1).</w:t>
      </w:r>
    </w:p>
  </w:footnote>
  <w:footnote w:id="22">
    <w:p w:rsidR="002665B0" w:rsidRPr="00E6681B" w:rsidP="00E6681B" w14:paraId="361135B6" w14:textId="77777777">
      <w:pPr>
        <w:pStyle w:val="FootnoteText"/>
        <w:spacing w:after="120"/>
      </w:pPr>
      <w:r w:rsidRPr="00E6681B">
        <w:rPr>
          <w:rStyle w:val="FootnoteReference"/>
        </w:rPr>
        <w:footnoteRef/>
      </w:r>
      <w:r w:rsidRPr="00E6681B">
        <w:t xml:space="preserve"> </w:t>
      </w:r>
      <w:r w:rsidRPr="00E6681B">
        <w:rPr>
          <w:i/>
        </w:rPr>
        <w:t xml:space="preserve">See </w:t>
      </w:r>
      <w:r w:rsidRPr="00E6681B">
        <w:t xml:space="preserve">R.C. 4905.22. </w:t>
      </w:r>
    </w:p>
  </w:footnote>
  <w:footnote w:id="23">
    <w:p w:rsidR="002665B0" w:rsidRPr="00E6681B" w:rsidP="00E6681B" w14:paraId="4D464648" w14:textId="3CD0E52E">
      <w:pPr>
        <w:pStyle w:val="FootnoteText"/>
        <w:spacing w:after="120"/>
      </w:pPr>
      <w:r w:rsidRPr="00E6681B">
        <w:rPr>
          <w:rStyle w:val="FootnoteReference"/>
        </w:rPr>
        <w:footnoteRef/>
      </w:r>
      <w:r w:rsidRPr="00E6681B">
        <w:t xml:space="preserve"> </w:t>
      </w:r>
      <w:r w:rsidRPr="00E6681B" w:rsidR="006F11BF">
        <w:t xml:space="preserve">OCC Initial Brief at </w:t>
      </w:r>
      <w:r w:rsidRPr="00E6681B" w:rsidR="00806F6A">
        <w:t>10-</w:t>
      </w:r>
      <w:r w:rsidRPr="00E6681B" w:rsidR="006F11BF">
        <w:t xml:space="preserve">12; </w:t>
      </w:r>
      <w:r w:rsidR="00D54880">
        <w:t>OCC Ex. 1.0 (</w:t>
      </w:r>
      <w:r w:rsidRPr="00E6681B">
        <w:t>Duann Direct</w:t>
      </w:r>
      <w:r w:rsidR="00D54880">
        <w:t>)</w:t>
      </w:r>
      <w:r w:rsidRPr="00E6681B">
        <w:t xml:space="preserve"> at 1</w:t>
      </w:r>
      <w:r w:rsidRPr="00E6681B" w:rsidR="00813401">
        <w:t>8-20</w:t>
      </w:r>
      <w:r w:rsidRPr="00E6681B">
        <w:t>.</w:t>
      </w:r>
    </w:p>
  </w:footnote>
  <w:footnote w:id="24">
    <w:p w:rsidR="002665B0" w:rsidRPr="00E6681B" w:rsidP="00E6681B" w14:paraId="1C0316B8" w14:textId="77777777">
      <w:pPr>
        <w:pStyle w:val="FootnoteText"/>
        <w:spacing w:after="120"/>
      </w:pPr>
      <w:r w:rsidRPr="00E6681B">
        <w:rPr>
          <w:rStyle w:val="FootnoteReference"/>
        </w:rPr>
        <w:footnoteRef/>
      </w:r>
      <w:r w:rsidRPr="00E6681B">
        <w:t xml:space="preserve"> </w:t>
      </w:r>
      <w:r w:rsidRPr="00E6681B">
        <w:rPr>
          <w:i/>
          <w:iCs/>
        </w:rPr>
        <w:t>Id.</w:t>
      </w:r>
    </w:p>
  </w:footnote>
  <w:footnote w:id="25">
    <w:p w:rsidR="00B077BE" w:rsidRPr="00E6681B" w:rsidP="00E6681B" w14:paraId="53437CCA" w14:textId="2430AE04">
      <w:pPr>
        <w:pStyle w:val="FootnoteText"/>
        <w:spacing w:after="120"/>
      </w:pPr>
      <w:r w:rsidRPr="00E6681B">
        <w:rPr>
          <w:rStyle w:val="FootnoteReference"/>
        </w:rPr>
        <w:footnoteRef/>
      </w:r>
      <w:r w:rsidRPr="00E6681B">
        <w:t xml:space="preserve"> Dominion </w:t>
      </w:r>
      <w:r w:rsidRPr="00E6681B" w:rsidR="00F02048">
        <w:t xml:space="preserve">Initial </w:t>
      </w:r>
      <w:r w:rsidRPr="00E6681B">
        <w:t xml:space="preserve">Brief at 7-12; Staff Brief at 6-7. </w:t>
      </w:r>
    </w:p>
  </w:footnote>
  <w:footnote w:id="26">
    <w:p w:rsidR="00C451E1" w:rsidRPr="00E6681B" w:rsidP="00E6681B" w14:paraId="0B556E64" w14:textId="4B2CDFE7">
      <w:pPr>
        <w:pStyle w:val="FootnoteText"/>
        <w:spacing w:after="120"/>
      </w:pPr>
      <w:r w:rsidRPr="00E6681B">
        <w:rPr>
          <w:rStyle w:val="FootnoteReference"/>
        </w:rPr>
        <w:footnoteRef/>
      </w:r>
      <w:r w:rsidRPr="00E6681B">
        <w:t xml:space="preserve"> </w:t>
      </w:r>
      <w:r w:rsidR="00D54880">
        <w:t>OCC Ex. 1.0 (</w:t>
      </w:r>
      <w:r w:rsidRPr="00E6681B" w:rsidR="00813401">
        <w:t>Duann Direct</w:t>
      </w:r>
      <w:r w:rsidR="00D54880">
        <w:t>)</w:t>
      </w:r>
      <w:r w:rsidRPr="00E6681B" w:rsidR="00813401">
        <w:t xml:space="preserve"> at 16; </w:t>
      </w:r>
      <w:r w:rsidRPr="00E6681B">
        <w:t>OCC Initial Brief at 5-6.</w:t>
      </w:r>
    </w:p>
  </w:footnote>
  <w:footnote w:id="27">
    <w:p w:rsidR="00F02048" w:rsidRPr="00E6681B" w:rsidP="00E6681B" w14:paraId="215144B5" w14:textId="4CF49A4D">
      <w:pPr>
        <w:pStyle w:val="FootnoteText"/>
        <w:spacing w:after="120"/>
      </w:pPr>
      <w:r w:rsidRPr="00E6681B">
        <w:rPr>
          <w:rStyle w:val="FootnoteReference"/>
        </w:rPr>
        <w:footnoteRef/>
      </w:r>
      <w:r w:rsidRPr="00E6681B">
        <w:t xml:space="preserve"> </w:t>
      </w:r>
      <w:r w:rsidR="00D54880">
        <w:t>OCC Ex. 1.0 (</w:t>
      </w:r>
      <w:r w:rsidRPr="00E6681B" w:rsidR="00F71141">
        <w:t>Duann Direct</w:t>
      </w:r>
      <w:r w:rsidR="00D54880">
        <w:t>)</w:t>
      </w:r>
      <w:r w:rsidRPr="00E6681B" w:rsidR="00F71141">
        <w:t xml:space="preserve"> at 9-11, 15, 17, 21; OCC Initial Brief at 4-6</w:t>
      </w:r>
      <w:r w:rsidRPr="00E6681B" w:rsidR="009A43A8">
        <w:t>, 8-9</w:t>
      </w:r>
      <w:r w:rsidRPr="00E6681B" w:rsidR="00F71141">
        <w:t xml:space="preserve">. </w:t>
      </w:r>
    </w:p>
  </w:footnote>
  <w:footnote w:id="28">
    <w:p w:rsidR="006F11BF" w:rsidRPr="00E6681B" w:rsidP="00E6681B" w14:paraId="5EDA3091" w14:textId="47A40148">
      <w:pPr>
        <w:pStyle w:val="FootnoteText"/>
        <w:spacing w:after="120"/>
      </w:pPr>
      <w:r w:rsidRPr="00E6681B">
        <w:rPr>
          <w:rStyle w:val="FootnoteReference"/>
        </w:rPr>
        <w:footnoteRef/>
      </w:r>
      <w:r w:rsidRPr="00E6681B">
        <w:t xml:space="preserve"> </w:t>
      </w:r>
      <w:r w:rsidRPr="00E6681B" w:rsidR="00F02048">
        <w:rPr>
          <w:i/>
          <w:iCs/>
        </w:rPr>
        <w:t>Id</w:t>
      </w:r>
      <w:r w:rsidRPr="00E6681B" w:rsidR="00F02048">
        <w:t xml:space="preserve">.; </w:t>
      </w:r>
      <w:r w:rsidRPr="00E6681B" w:rsidR="00F02048">
        <w:rPr>
          <w:i/>
          <w:iCs/>
        </w:rPr>
        <w:t>see also</w:t>
      </w:r>
      <w:r w:rsidRPr="00E6681B" w:rsidR="00F02048">
        <w:t xml:space="preserve"> PUCO Case No. 21-619-GA-RDR, Testimony of Daniel J. Duann, Ph.D. at 13 (Sept</w:t>
      </w:r>
      <w:r w:rsidRPr="00E6681B" w:rsidR="00834B0F">
        <w:t>ember</w:t>
      </w:r>
      <w:r w:rsidRPr="00E6681B" w:rsidR="00F02048">
        <w:t xml:space="preserve"> 14, 2021).</w:t>
      </w:r>
    </w:p>
  </w:footnote>
  <w:footnote w:id="29">
    <w:p w:rsidR="0031035E" w:rsidRPr="00E6681B" w:rsidP="00E6681B" w14:paraId="1E016208" w14:textId="6B7D479C">
      <w:pPr>
        <w:pStyle w:val="FootnoteText"/>
        <w:spacing w:after="120"/>
      </w:pPr>
      <w:r w:rsidRPr="00E6681B">
        <w:rPr>
          <w:rStyle w:val="FootnoteReference"/>
        </w:rPr>
        <w:footnoteRef/>
      </w:r>
      <w:r w:rsidRPr="00E6681B">
        <w:t xml:space="preserve"> This tendency of </w:t>
      </w:r>
      <w:r w:rsidRPr="00E6681B" w:rsidR="00F71141">
        <w:t>regulated companies to engage in</w:t>
      </w:r>
      <w:r w:rsidRPr="00E6681B" w:rsidR="00413010">
        <w:t xml:space="preserve"> ove</w:t>
      </w:r>
      <w:r w:rsidRPr="00E6681B" w:rsidR="002464CF">
        <w:t>r</w:t>
      </w:r>
      <w:r w:rsidRPr="00E6681B" w:rsidR="00413010">
        <w:t>investment</w:t>
      </w:r>
      <w:r w:rsidRPr="00E6681B" w:rsidR="00F71141">
        <w:t xml:space="preserve"> in order to </w:t>
      </w:r>
      <w:r w:rsidRPr="00E6681B" w:rsidR="00413010">
        <w:t>increase profits</w:t>
      </w:r>
      <w:r w:rsidRPr="00E6681B">
        <w:t xml:space="preserve"> is referred as the Averch-Johnson Effect, or gold plating.</w:t>
      </w:r>
      <w:r w:rsidRPr="00E6681B" w:rsidR="009B5D1B">
        <w:t xml:space="preserve"> </w:t>
      </w:r>
    </w:p>
  </w:footnote>
  <w:footnote w:id="30">
    <w:p w:rsidR="00115106" w:rsidRPr="00E6681B" w:rsidP="00E6681B" w14:paraId="24395714" w14:textId="60D70032">
      <w:pPr>
        <w:pStyle w:val="FootnoteText"/>
        <w:spacing w:after="120"/>
      </w:pPr>
      <w:r w:rsidRPr="00E6681B">
        <w:rPr>
          <w:rStyle w:val="FootnoteReference"/>
        </w:rPr>
        <w:footnoteRef/>
      </w:r>
      <w:r w:rsidRPr="00E6681B">
        <w:t xml:space="preserve"> OCC Initial Brief at 8-9.</w:t>
      </w:r>
    </w:p>
  </w:footnote>
  <w:footnote w:id="31">
    <w:p w:rsidR="003E23B1" w:rsidRPr="00E6681B" w:rsidP="00E6681B" w14:paraId="22CB7A08" w14:textId="5D4B16ED">
      <w:pPr>
        <w:pStyle w:val="FootnoteText"/>
        <w:spacing w:after="120"/>
      </w:pPr>
      <w:r w:rsidRPr="00E6681B">
        <w:rPr>
          <w:rStyle w:val="FootnoteReference"/>
        </w:rPr>
        <w:footnoteRef/>
      </w:r>
      <w:r w:rsidRPr="00E6681B">
        <w:t xml:space="preserve"> </w:t>
      </w:r>
      <w:r w:rsidR="00D54880">
        <w:t>OCC Ex. 1.0 (</w:t>
      </w:r>
      <w:r w:rsidRPr="00E6681B">
        <w:t>Duann Direct</w:t>
      </w:r>
      <w:r w:rsidR="00D54880">
        <w:t>)</w:t>
      </w:r>
      <w:r w:rsidRPr="00E6681B">
        <w:t xml:space="preserve"> at </w:t>
      </w:r>
      <w:r w:rsidRPr="00E6681B" w:rsidR="00F71141">
        <w:t>9-</w:t>
      </w:r>
      <w:r w:rsidRPr="00E6681B">
        <w:t>10.</w:t>
      </w:r>
      <w:r w:rsidRPr="00E6681B" w:rsidR="00834B0F">
        <w:t xml:space="preserve"> </w:t>
      </w:r>
    </w:p>
  </w:footnote>
  <w:footnote w:id="32">
    <w:p w:rsidR="003E23B1" w:rsidRPr="00E6681B" w:rsidP="00E6681B" w14:paraId="7DD5F3AE" w14:textId="31797956">
      <w:pPr>
        <w:pStyle w:val="FootnoteText"/>
        <w:spacing w:after="120"/>
      </w:pPr>
      <w:r w:rsidRPr="00E6681B">
        <w:rPr>
          <w:rStyle w:val="FootnoteReference"/>
        </w:rPr>
        <w:footnoteRef/>
      </w:r>
      <w:r w:rsidRPr="00E6681B">
        <w:t xml:space="preserve"> </w:t>
      </w:r>
      <w:r w:rsidRPr="00E6681B">
        <w:rPr>
          <w:i/>
          <w:iCs/>
        </w:rPr>
        <w:t>Id</w:t>
      </w:r>
      <w:r w:rsidRPr="00E6681B">
        <w:t xml:space="preserve">.; </w:t>
      </w:r>
      <w:r w:rsidR="00D54880">
        <w:t xml:space="preserve">see, </w:t>
      </w:r>
      <w:r w:rsidRPr="00E6681B">
        <w:t>OCC Initial Brief at 8-9</w:t>
      </w:r>
      <w:r w:rsidRPr="00E6681B" w:rsidR="00F71141">
        <w:t xml:space="preserve"> citing U.S. Energy Information Administration, Winter Fuels Outlook (Oct. 2021) </w:t>
      </w:r>
      <w:hyperlink r:id="rId1" w:history="1">
        <w:r w:rsidRPr="00D51E89" w:rsidR="00F71141">
          <w:rPr>
            <w:rStyle w:val="Hyperlink"/>
          </w:rPr>
          <w:t>https://www.eia.gov/outlooks/steo/special/winter/2021_Winter_Fuels.pdf</w:t>
        </w:r>
      </w:hyperlink>
      <w:r w:rsidRPr="00E6681B" w:rsidR="00F71141">
        <w:t>. Attachment DJD-3.</w:t>
      </w:r>
    </w:p>
  </w:footnote>
  <w:footnote w:id="33">
    <w:p w:rsidR="001B0AEC" w:rsidRPr="00E6681B" w:rsidP="00E6681B" w14:paraId="185858A0" w14:textId="457D9C97">
      <w:pPr>
        <w:pStyle w:val="FootnoteText"/>
        <w:spacing w:after="120"/>
      </w:pPr>
      <w:r w:rsidRPr="00E6681B">
        <w:rPr>
          <w:rStyle w:val="FootnoteReference"/>
        </w:rPr>
        <w:footnoteRef/>
      </w:r>
      <w:r w:rsidRPr="00E6681B">
        <w:t xml:space="preserve"> </w:t>
      </w:r>
      <w:r w:rsidRPr="00E6681B">
        <w:rPr>
          <w:i/>
          <w:iCs/>
        </w:rPr>
        <w:t>Id</w:t>
      </w:r>
      <w:r w:rsidRPr="00E6681B" w:rsidR="00AA684A">
        <w:t>; OCC Initial Brief at 21.</w:t>
      </w:r>
      <w:r w:rsidRPr="00E6681B" w:rsidR="00AA684A">
        <w:rPr>
          <w:i/>
          <w:iCs/>
        </w:rPr>
        <w:t xml:space="preserve"> </w:t>
      </w:r>
    </w:p>
  </w:footnote>
  <w:footnote w:id="34">
    <w:p w:rsidR="001B0AEC" w:rsidRPr="00E6681B" w:rsidP="00E6681B" w14:paraId="32B1D067" w14:textId="01460827">
      <w:pPr>
        <w:pStyle w:val="FootnoteText"/>
        <w:spacing w:after="120"/>
      </w:pPr>
      <w:r w:rsidRPr="00E6681B">
        <w:rPr>
          <w:rStyle w:val="FootnoteReference"/>
        </w:rPr>
        <w:footnoteRef/>
      </w:r>
      <w:r w:rsidRPr="00E6681B">
        <w:t xml:space="preserve"> </w:t>
      </w:r>
      <w:r w:rsidRPr="00E6681B" w:rsidR="00221266">
        <w:t>Dominion Initial Brief at 12-13.</w:t>
      </w:r>
    </w:p>
  </w:footnote>
  <w:footnote w:id="35">
    <w:p w:rsidR="001B0AEC" w:rsidRPr="00E6681B" w:rsidP="00E6681B" w14:paraId="6A94BFC7" w14:textId="626A2172">
      <w:pPr>
        <w:pStyle w:val="FootnoteText"/>
        <w:spacing w:after="120"/>
      </w:pPr>
      <w:r w:rsidRPr="00E6681B">
        <w:rPr>
          <w:rStyle w:val="FootnoteReference"/>
        </w:rPr>
        <w:footnoteRef/>
      </w:r>
      <w:r w:rsidRPr="00E6681B">
        <w:t xml:space="preserve"> OCC </w:t>
      </w:r>
      <w:r w:rsidRPr="00E6681B" w:rsidR="00221266">
        <w:t xml:space="preserve">Initial </w:t>
      </w:r>
      <w:r w:rsidRPr="00E6681B">
        <w:t xml:space="preserve">Brief at </w:t>
      </w:r>
      <w:r w:rsidRPr="00E6681B" w:rsidR="00221266">
        <w:t>9-12</w:t>
      </w:r>
      <w:r w:rsidRPr="00E6681B" w:rsidR="00472C3F">
        <w:t xml:space="preserve">; </w:t>
      </w:r>
      <w:r w:rsidRPr="00E6681B" w:rsidR="00472C3F">
        <w:rPr>
          <w:i/>
          <w:iCs/>
        </w:rPr>
        <w:t>see</w:t>
      </w:r>
      <w:r w:rsidRPr="00E6681B" w:rsidR="00472C3F">
        <w:t xml:space="preserve"> </w:t>
      </w:r>
      <w:r w:rsidR="00D54880">
        <w:t>OCC Ex. 1.0 (</w:t>
      </w:r>
      <w:r w:rsidRPr="00E6681B" w:rsidR="00472C3F">
        <w:t>Duann Direct</w:t>
      </w:r>
      <w:r w:rsidR="00D54880">
        <w:t>)</w:t>
      </w:r>
      <w:r w:rsidRPr="00E6681B" w:rsidR="00472C3F">
        <w:t xml:space="preserve"> at 1</w:t>
      </w:r>
      <w:r w:rsidRPr="00E6681B" w:rsidR="00AA684A">
        <w:t>7</w:t>
      </w:r>
      <w:r w:rsidRPr="00E6681B" w:rsidR="00413010">
        <w:t>-20.</w:t>
      </w:r>
    </w:p>
  </w:footnote>
  <w:footnote w:id="36">
    <w:p w:rsidR="00CE2F7B" w:rsidRPr="00E6681B" w:rsidP="00E6681B" w14:paraId="15208859" w14:textId="77777777">
      <w:pPr>
        <w:pStyle w:val="FootnoteText"/>
        <w:spacing w:after="120"/>
      </w:pPr>
      <w:r w:rsidRPr="00E6681B">
        <w:rPr>
          <w:rStyle w:val="FootnoteReference"/>
        </w:rPr>
        <w:footnoteRef/>
      </w:r>
      <w:r w:rsidRPr="00E6681B">
        <w:t xml:space="preserve"> </w:t>
      </w:r>
      <w:r w:rsidRPr="00E6681B">
        <w:rPr>
          <w:i/>
          <w:iCs/>
        </w:rPr>
        <w:t>Id.</w:t>
      </w:r>
    </w:p>
  </w:footnote>
  <w:footnote w:id="37">
    <w:p w:rsidR="00CE2F7B" w:rsidRPr="00E6681B" w:rsidP="00E6681B" w14:paraId="1C1B7D47" w14:textId="77777777">
      <w:pPr>
        <w:pStyle w:val="FootnoteText"/>
        <w:spacing w:after="120"/>
      </w:pPr>
      <w:r w:rsidRPr="00E6681B">
        <w:rPr>
          <w:rStyle w:val="FootnoteReference"/>
        </w:rPr>
        <w:footnoteRef/>
      </w:r>
      <w:r w:rsidRPr="00E6681B">
        <w:t xml:space="preserve"> </w:t>
      </w:r>
      <w:r w:rsidRPr="00E6681B">
        <w:rPr>
          <w:i/>
          <w:iCs/>
        </w:rPr>
        <w:t>Id.</w:t>
      </w:r>
    </w:p>
  </w:footnote>
  <w:footnote w:id="38">
    <w:p w:rsidR="001B0AEC" w:rsidRPr="00E6681B" w:rsidP="00E6681B" w14:paraId="678E369E" w14:textId="77777777">
      <w:pPr>
        <w:pStyle w:val="FootnoteText"/>
        <w:spacing w:after="120"/>
      </w:pPr>
      <w:r w:rsidRPr="00E6681B">
        <w:rPr>
          <w:rStyle w:val="FootnoteReference"/>
        </w:rPr>
        <w:footnoteRef/>
      </w:r>
      <w:r w:rsidRPr="00E6681B">
        <w:t xml:space="preserve"> </w:t>
      </w:r>
      <w:r w:rsidRPr="00E6681B">
        <w:rPr>
          <w:i/>
          <w:iCs/>
        </w:rPr>
        <w:t>See</w:t>
      </w:r>
      <w:r w:rsidRPr="00E6681B">
        <w:t xml:space="preserve"> </w:t>
      </w:r>
      <w:r w:rsidRPr="00E6681B">
        <w:rPr>
          <w:color w:val="000000"/>
        </w:rPr>
        <w:t xml:space="preserve">Kenneth Rose, Ph.D., </w:t>
      </w:r>
      <w:r w:rsidRPr="00E6681B">
        <w:rPr>
          <w:i/>
          <w:iCs/>
        </w:rPr>
        <w:t xml:space="preserve">An Economic and Legal Perspective on Electric Utility Transition Costs </w:t>
      </w:r>
      <w:r w:rsidRPr="00E6681B">
        <w:t>at 6</w:t>
      </w:r>
      <w:r w:rsidRPr="00E6681B">
        <w:rPr>
          <w:i/>
          <w:iCs/>
        </w:rPr>
        <w:t xml:space="preserve">, </w:t>
      </w:r>
      <w:r w:rsidRPr="00E6681B">
        <w:t>National Regulatory Research Institute (July 1996) (“…the careful balance between compensatory rates and confiscation of utility property that allows a utility an opportunity to earn a reasonable return on investment in exchange for providing safe and reliable power at reasonable cost to all customers who request service. This is checked by the "used-and-useful" and "prudent-investment" tests, as well as from competition from government ownership, fuel substitutes, and self-generation. The regulatory compact was, by design, intended to protect ratepayers from monopoly abuse, not protect the utility from competition forever</w:t>
      </w:r>
      <w:r w:rsidRPr="00E6681B">
        <w:rPr>
          <w:color w:val="000000"/>
        </w:rPr>
        <w:t>”).</w:t>
      </w:r>
    </w:p>
  </w:footnote>
  <w:footnote w:id="39">
    <w:p w:rsidR="00221266" w:rsidRPr="00E6681B" w:rsidP="00E6681B" w14:paraId="33EB0D90" w14:textId="43FCA82C">
      <w:pPr>
        <w:pStyle w:val="FootnoteText"/>
        <w:spacing w:after="120"/>
      </w:pPr>
      <w:r w:rsidRPr="00E6681B">
        <w:rPr>
          <w:rStyle w:val="FootnoteReference"/>
        </w:rPr>
        <w:footnoteRef/>
      </w:r>
      <w:r w:rsidRPr="00E6681B">
        <w:t xml:space="preserve"> </w:t>
      </w:r>
      <w:r w:rsidRPr="00E6681B" w:rsidR="00472C3F">
        <w:t>OCC Initial Brief 8-9;</w:t>
      </w:r>
      <w:r w:rsidRPr="00E6681B">
        <w:t xml:space="preserve"> </w:t>
      </w:r>
      <w:r w:rsidR="00D54880">
        <w:t>OCC Ex. 1.0 (</w:t>
      </w:r>
      <w:r w:rsidRPr="00E6681B">
        <w:t>Duann Direct</w:t>
      </w:r>
      <w:r w:rsidR="00D54880">
        <w:t>)</w:t>
      </w:r>
      <w:r w:rsidRPr="00E6681B">
        <w:t xml:space="preserve"> at 11.</w:t>
      </w:r>
    </w:p>
  </w:footnote>
  <w:footnote w:id="40">
    <w:p w:rsidR="00221266" w:rsidRPr="00E6681B" w:rsidP="00E6681B" w14:paraId="5B742E6B" w14:textId="69ED3CDA">
      <w:pPr>
        <w:pStyle w:val="FootnoteText"/>
        <w:spacing w:after="120"/>
      </w:pPr>
      <w:r w:rsidRPr="00E6681B">
        <w:rPr>
          <w:rStyle w:val="FootnoteReference"/>
        </w:rPr>
        <w:footnoteRef/>
      </w:r>
      <w:r w:rsidRPr="00E6681B">
        <w:t xml:space="preserve"> </w:t>
      </w:r>
      <w:r w:rsidRPr="00E6681B">
        <w:rPr>
          <w:i/>
          <w:iCs/>
        </w:rPr>
        <w:t>Id.</w:t>
      </w:r>
      <w:r w:rsidRPr="00E6681B">
        <w:t xml:space="preserve">, </w:t>
      </w:r>
      <w:r w:rsidR="00D54880">
        <w:t>OCC Ex. 1.0 (</w:t>
      </w:r>
      <w:r w:rsidRPr="00E6681B">
        <w:t>Duann Direct</w:t>
      </w:r>
      <w:r w:rsidR="00D54880">
        <w:t>)</w:t>
      </w:r>
      <w:r w:rsidRPr="00E6681B">
        <w:t xml:space="preserve"> at 9</w:t>
      </w:r>
      <w:r w:rsidRPr="00E6681B" w:rsidR="00AA684A">
        <w:t>-10</w:t>
      </w:r>
      <w:r w:rsidRPr="00E6681B">
        <w:t xml:space="preserve">. </w:t>
      </w:r>
    </w:p>
  </w:footnote>
  <w:footnote w:id="41">
    <w:p w:rsidR="00FE6132" w:rsidRPr="00E6681B" w:rsidP="00E6681B" w14:paraId="7961D79C" w14:textId="74A9A626">
      <w:pPr>
        <w:pStyle w:val="FootnoteText"/>
        <w:spacing w:after="120"/>
      </w:pPr>
      <w:r w:rsidRPr="00E6681B">
        <w:rPr>
          <w:rStyle w:val="FootnoteReference"/>
        </w:rPr>
        <w:footnoteRef/>
      </w:r>
      <w:r w:rsidRPr="00E6681B">
        <w:t xml:space="preserve"> </w:t>
      </w:r>
      <w:r w:rsidRPr="00E6681B">
        <w:rPr>
          <w:i/>
          <w:iCs/>
        </w:rPr>
        <w:t>See</w:t>
      </w:r>
      <w:r w:rsidRPr="00E6681B">
        <w:t>, Case No. 21-0619-GA-RDR, Stipulation and Recommendation (Sept</w:t>
      </w:r>
      <w:r w:rsidRPr="00E6681B" w:rsidR="00834B0F">
        <w:t>ember</w:t>
      </w:r>
      <w:r w:rsidRPr="00E6681B">
        <w:t xml:space="preserve"> 7, 2021).</w:t>
      </w:r>
    </w:p>
  </w:footnote>
  <w:footnote w:id="42">
    <w:p w:rsidR="001B0AEC" w:rsidRPr="00E6681B" w:rsidP="00E6681B" w14:paraId="55D238DE" w14:textId="26C9BFD7">
      <w:pPr>
        <w:pStyle w:val="FootnoteText"/>
        <w:spacing w:after="120"/>
      </w:pPr>
      <w:r w:rsidRPr="00E6681B">
        <w:rPr>
          <w:rStyle w:val="FootnoteReference"/>
        </w:rPr>
        <w:footnoteRef/>
      </w:r>
      <w:r w:rsidRPr="00E6681B">
        <w:t xml:space="preserve"> OCC </w:t>
      </w:r>
      <w:r w:rsidRPr="00E6681B" w:rsidR="00FE6132">
        <w:t>Initial Brief at 11-12.</w:t>
      </w:r>
    </w:p>
  </w:footnote>
  <w:footnote w:id="43">
    <w:p w:rsidR="001B0AEC" w:rsidRPr="00E6681B" w:rsidP="00E6681B" w14:paraId="7CDC84F2" w14:textId="201FF1D6">
      <w:pPr>
        <w:pStyle w:val="FootnoteText"/>
        <w:spacing w:after="120"/>
      </w:pPr>
      <w:r w:rsidRPr="00E6681B">
        <w:rPr>
          <w:rStyle w:val="FootnoteReference"/>
        </w:rPr>
        <w:footnoteRef/>
      </w:r>
      <w:r w:rsidRPr="00E6681B">
        <w:t xml:space="preserve"> </w:t>
      </w:r>
      <w:r w:rsidRPr="00E6681B" w:rsidR="00FE5380">
        <w:t>OCC Initial Brief at 5-6; 7-10.</w:t>
      </w:r>
    </w:p>
  </w:footnote>
  <w:footnote w:id="44">
    <w:p w:rsidR="00E825EA" w:rsidRPr="00E6681B" w:rsidP="00E6681B" w14:paraId="1DC6EFCC" w14:textId="09B1086B">
      <w:pPr>
        <w:pStyle w:val="FootnoteText"/>
        <w:spacing w:after="120"/>
      </w:pPr>
      <w:r w:rsidRPr="00E6681B">
        <w:rPr>
          <w:rStyle w:val="FootnoteReference"/>
        </w:rPr>
        <w:footnoteRef/>
      </w:r>
      <w:r w:rsidRPr="00E6681B">
        <w:t xml:space="preserve"> </w:t>
      </w:r>
      <w:r w:rsidRPr="00E6681B">
        <w:rPr>
          <w:i/>
          <w:iCs/>
        </w:rPr>
        <w:t>Bluefield Water Works v. Public Service Comm’n</w:t>
      </w:r>
      <w:r w:rsidRPr="00E6681B">
        <w:t>, 262 U.S. 679, 692 (1923).</w:t>
      </w:r>
    </w:p>
  </w:footnote>
  <w:footnote w:id="45">
    <w:p w:rsidR="001B0AEC" w:rsidRPr="00E6681B" w:rsidP="00E6681B" w14:paraId="049F8B0D" w14:textId="32A6E71D">
      <w:pPr>
        <w:pStyle w:val="FootnoteText"/>
        <w:spacing w:after="120"/>
      </w:pPr>
      <w:r w:rsidRPr="00E6681B">
        <w:rPr>
          <w:rStyle w:val="FootnoteReference"/>
        </w:rPr>
        <w:footnoteRef/>
      </w:r>
      <w:r w:rsidR="00D54880">
        <w:t>OCC Ex. 1.0 (</w:t>
      </w:r>
      <w:r w:rsidRPr="00E6681B" w:rsidR="00E825EA">
        <w:t>Duann Direct</w:t>
      </w:r>
      <w:r w:rsidR="00D54880">
        <w:t>)</w:t>
      </w:r>
      <w:r w:rsidRPr="00E6681B" w:rsidR="00E825EA">
        <w:t xml:space="preserve"> at 6-8, 17; </w:t>
      </w:r>
      <w:r w:rsidRPr="00E6681B" w:rsidR="00FE5380">
        <w:t xml:space="preserve">OCC Initial Brief at </w:t>
      </w:r>
      <w:r w:rsidRPr="00E6681B" w:rsidR="00E825EA">
        <w:t>6-7</w:t>
      </w:r>
      <w:r w:rsidRPr="00E6681B">
        <w:rPr>
          <w:i/>
          <w:iCs/>
        </w:rPr>
        <w:t>.</w:t>
      </w:r>
    </w:p>
  </w:footnote>
  <w:footnote w:id="46">
    <w:p w:rsidR="001B0AEC" w:rsidRPr="00E6681B" w:rsidP="00E6681B" w14:paraId="79D6DFA1" w14:textId="77777777">
      <w:pPr>
        <w:pStyle w:val="FootnoteText"/>
        <w:spacing w:after="120"/>
      </w:pPr>
      <w:r w:rsidRPr="00E6681B">
        <w:rPr>
          <w:rStyle w:val="FootnoteReference"/>
        </w:rPr>
        <w:footnoteRef/>
      </w:r>
      <w:r w:rsidRPr="00E6681B">
        <w:t xml:space="preserve"> </w:t>
      </w:r>
      <w:r w:rsidRPr="00E6681B">
        <w:rPr>
          <w:i/>
          <w:iCs/>
        </w:rPr>
        <w:t>Id.</w:t>
      </w:r>
    </w:p>
  </w:footnote>
  <w:footnote w:id="47">
    <w:p w:rsidR="0027555F" w:rsidRPr="00E6681B" w:rsidP="00E6681B" w14:paraId="7A3B5D18" w14:textId="72DAC871">
      <w:pPr>
        <w:pStyle w:val="FootnoteText"/>
        <w:spacing w:after="120"/>
      </w:pPr>
      <w:r w:rsidRPr="00E6681B">
        <w:rPr>
          <w:rStyle w:val="FootnoteReference"/>
        </w:rPr>
        <w:footnoteRef/>
      </w:r>
      <w:r w:rsidRPr="00E6681B">
        <w:t xml:space="preserve"> </w:t>
      </w:r>
      <w:r w:rsidR="00D54880">
        <w:t>OCC Ex. 1.0 (</w:t>
      </w:r>
      <w:r w:rsidRPr="00E6681B">
        <w:t>Duann Direct</w:t>
      </w:r>
      <w:r w:rsidR="00D54880">
        <w:t>)</w:t>
      </w:r>
      <w:r w:rsidRPr="00E6681B">
        <w:t xml:space="preserve"> at 17</w:t>
      </w:r>
      <w:r w:rsidRPr="00E6681B" w:rsidR="006E6809">
        <w:t>; OCC Initial Brief at 11-12.</w:t>
      </w:r>
    </w:p>
  </w:footnote>
  <w:footnote w:id="48">
    <w:p w:rsidR="0027555F" w:rsidRPr="00E6681B" w:rsidP="00E6681B" w14:paraId="526F5B40" w14:textId="77777777">
      <w:pPr>
        <w:pStyle w:val="FootnoteText"/>
        <w:spacing w:after="120"/>
      </w:pPr>
      <w:r w:rsidRPr="00E6681B">
        <w:rPr>
          <w:rStyle w:val="FootnoteReference"/>
        </w:rPr>
        <w:footnoteRef/>
      </w:r>
      <w:r w:rsidRPr="00E6681B">
        <w:t xml:space="preserve"> This regulatory principle is also referred as cost-based regulation. In other words, the rates of utility services that consumers pay should be based on the prudently-incurred costs of providing these utility services to consumers, which includes a reasonable and fair rate of return on the capital invested. </w:t>
      </w:r>
      <w:r w:rsidRPr="00E6681B">
        <w:rPr>
          <w:i/>
        </w:rPr>
        <w:t>See</w:t>
      </w:r>
      <w:r w:rsidRPr="00E6681B">
        <w:t xml:space="preserve">, for example, James C. Bonbright, Principles of Public Utility Rates, Columbia University Press, New York (1961) at 240-241. </w:t>
      </w:r>
    </w:p>
  </w:footnote>
  <w:footnote w:id="49">
    <w:p w:rsidR="0027555F" w:rsidRPr="00E6681B" w:rsidP="00E6681B" w14:paraId="046FA599" w14:textId="77777777">
      <w:pPr>
        <w:pStyle w:val="FootnoteText"/>
        <w:spacing w:after="120"/>
      </w:pPr>
      <w:r w:rsidRPr="00E6681B">
        <w:rPr>
          <w:rStyle w:val="FootnoteReference"/>
        </w:rPr>
        <w:footnoteRef/>
      </w:r>
      <w:r w:rsidRPr="00E6681B">
        <w:t xml:space="preserve"> </w:t>
      </w:r>
      <w:r w:rsidRPr="00E6681B">
        <w:rPr>
          <w:i/>
        </w:rPr>
        <w:t xml:space="preserve">See </w:t>
      </w:r>
      <w:r w:rsidRPr="00E6681B">
        <w:t xml:space="preserve">R.C. 4905.22. </w:t>
      </w:r>
    </w:p>
  </w:footnote>
  <w:footnote w:id="50">
    <w:p w:rsidR="0027555F" w:rsidRPr="00E6681B" w:rsidP="00E6681B" w14:paraId="433DC82F" w14:textId="0548C48F">
      <w:pPr>
        <w:pStyle w:val="FootnoteText"/>
        <w:spacing w:after="120"/>
      </w:pPr>
      <w:r w:rsidRPr="00E6681B">
        <w:rPr>
          <w:rStyle w:val="FootnoteReference"/>
        </w:rPr>
        <w:footnoteRef/>
      </w:r>
      <w:r w:rsidRPr="00E6681B">
        <w:t xml:space="preserve"> </w:t>
      </w:r>
      <w:r w:rsidRPr="00E6681B" w:rsidR="006E6809">
        <w:t>See R.C. 4929.05(A)(3).</w:t>
      </w:r>
    </w:p>
  </w:footnote>
  <w:footnote w:id="51">
    <w:p w:rsidR="00E825EA" w:rsidRPr="00E6681B" w:rsidP="00E6681B" w14:paraId="1C263386" w14:textId="2B6CAF12">
      <w:pPr>
        <w:pStyle w:val="FootnoteText"/>
        <w:spacing w:after="120"/>
      </w:pPr>
      <w:r w:rsidRPr="00E6681B">
        <w:rPr>
          <w:rStyle w:val="FootnoteReference"/>
        </w:rPr>
        <w:footnoteRef/>
      </w:r>
      <w:r w:rsidRPr="00E6681B">
        <w:t xml:space="preserve"> </w:t>
      </w:r>
      <w:r w:rsidRPr="00E6681B" w:rsidR="006E6809">
        <w:t xml:space="preserve">OCC Initial Brief at 11-12; see also, </w:t>
      </w:r>
      <w:r w:rsidR="00D54880">
        <w:t>OCC Ex. 1.0 (</w:t>
      </w:r>
      <w:r w:rsidRPr="00E6681B">
        <w:t>Duann Direct</w:t>
      </w:r>
      <w:r w:rsidR="00D54880">
        <w:t>)</w:t>
      </w:r>
      <w:r w:rsidRPr="00E6681B">
        <w:t xml:space="preserve"> at 1</w:t>
      </w:r>
      <w:r w:rsidRPr="00E6681B" w:rsidR="006E6809">
        <w:t>9-20.</w:t>
      </w:r>
    </w:p>
  </w:footnote>
  <w:footnote w:id="52">
    <w:p w:rsidR="00E81522" w:rsidRPr="00E6681B" w:rsidP="00E6681B" w14:paraId="61988813" w14:textId="464CF8A7">
      <w:pPr>
        <w:pStyle w:val="FootnoteText"/>
        <w:spacing w:after="120"/>
      </w:pPr>
      <w:r w:rsidRPr="00E6681B">
        <w:rPr>
          <w:rStyle w:val="FootnoteReference"/>
        </w:rPr>
        <w:footnoteRef/>
      </w:r>
      <w:r w:rsidRPr="00E6681B">
        <w:t xml:space="preserve"> Dominion Initial Brief at 13.</w:t>
      </w:r>
    </w:p>
  </w:footnote>
  <w:footnote w:id="53">
    <w:p w:rsidR="002464CF" w:rsidRPr="00E6681B" w:rsidP="00E6681B" w14:paraId="65AD1D06" w14:textId="226BF122">
      <w:pPr>
        <w:pStyle w:val="FootnoteText"/>
        <w:spacing w:after="120"/>
      </w:pPr>
      <w:r w:rsidRPr="00E6681B">
        <w:rPr>
          <w:rStyle w:val="FootnoteReference"/>
        </w:rPr>
        <w:footnoteRef/>
      </w:r>
      <w:r w:rsidRPr="00E6681B">
        <w:t xml:space="preserve"> The rate of return in Case No. 19-468-GA-ALT, cited by Dominion, is subject to rehearing.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89476B4"/>
    <w:multiLevelType w:val="hybridMultilevel"/>
    <w:tmpl w:val="4E1030A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B567E4"/>
    <w:multiLevelType w:val="hybridMultilevel"/>
    <w:tmpl w:val="437ECC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6651E9"/>
    <w:multiLevelType w:val="hybridMultilevel"/>
    <w:tmpl w:val="FC747EE6"/>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
    <w:nsid w:val="39C04C7F"/>
    <w:multiLevelType w:val="hybridMultilevel"/>
    <w:tmpl w:val="88B05E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8A641DA"/>
    <w:multiLevelType w:val="hybridMultilevel"/>
    <w:tmpl w:val="FA4E33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FCA3353"/>
    <w:multiLevelType w:val="hybridMultilevel"/>
    <w:tmpl w:val="E80C915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95E3538"/>
    <w:multiLevelType w:val="multilevel"/>
    <w:tmpl w:val="314A5F6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CAA370C"/>
    <w:multiLevelType w:val="hybridMultilevel"/>
    <w:tmpl w:val="E6A610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DCD5030"/>
    <w:multiLevelType w:val="hybridMultilevel"/>
    <w:tmpl w:val="59DCDDF4"/>
    <w:lvl w:ilvl="0">
      <w:start w:val="1"/>
      <w:numFmt w:val="decimal"/>
      <w:lvlText w:val="(%1)"/>
      <w:lvlJc w:val="left"/>
      <w:pPr>
        <w:ind w:left="180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FA912FB"/>
    <w:multiLevelType w:val="hybridMultilevel"/>
    <w:tmpl w:val="A0DECB12"/>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2AD4054"/>
    <w:multiLevelType w:val="hybridMultilevel"/>
    <w:tmpl w:val="0D4EC9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BFE42E8"/>
    <w:multiLevelType w:val="hybridMultilevel"/>
    <w:tmpl w:val="F97A5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0"/>
  </w:num>
  <w:num w:numId="2">
    <w:abstractNumId w:val="8"/>
  </w:num>
  <w:num w:numId="3">
    <w:abstractNumId w:val="16"/>
  </w:num>
  <w:num w:numId="4">
    <w:abstractNumId w:val="13"/>
  </w:num>
  <w:num w:numId="5">
    <w:abstractNumId w:val="0"/>
  </w:num>
  <w:num w:numId="6">
    <w:abstractNumId w:val="18"/>
  </w:num>
  <w:num w:numId="7">
    <w:abstractNumId w:val="6"/>
  </w:num>
  <w:num w:numId="8">
    <w:abstractNumId w:val="5"/>
  </w:num>
  <w:num w:numId="9">
    <w:abstractNumId w:val="14"/>
  </w:num>
  <w:num w:numId="10">
    <w:abstractNumId w:val="17"/>
  </w:num>
  <w:num w:numId="11">
    <w:abstractNumId w:val="15"/>
  </w:num>
  <w:num w:numId="12">
    <w:abstractNumId w:val="2"/>
  </w:num>
  <w:num w:numId="13">
    <w:abstractNumId w:val="7"/>
  </w:num>
  <w:num w:numId="14">
    <w:abstractNumId w:val="7"/>
    <w:lvlOverride w:ilvl="0">
      <w:startOverride w:val="1"/>
    </w:lvlOverride>
  </w:num>
  <w:num w:numId="15">
    <w:abstractNumId w:val="7"/>
    <w:lvlOverride w:ilvl="0">
      <w:startOverride w:val="1"/>
    </w:lvlOverride>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7"/>
  </w:num>
  <w:num w:numId="21">
    <w:abstractNumId w:val="9"/>
  </w:num>
  <w:num w:numId="22">
    <w:abstractNumId w:val="4"/>
  </w:num>
  <w:num w:numId="23">
    <w:abstractNumId w:val="7"/>
    <w:lvlOverride w:ilvl="0">
      <w:startOverride w:val="1"/>
    </w:lvlOverride>
  </w:num>
  <w:num w:numId="24">
    <w:abstractNumId w:val="7"/>
  </w:num>
  <w:num w:numId="25">
    <w:abstractNumId w:val="7"/>
  </w:num>
  <w:num w:numId="26">
    <w:abstractNumId w:val="9"/>
    <w:lvlOverride w:ilvl="0">
      <w:startOverride w:val="1"/>
    </w:lvlOverride>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12"/>
  </w:num>
  <w:num w:numId="32">
    <w:abstractNumId w:val="9"/>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4A9"/>
    <w:rsid w:val="00000655"/>
    <w:rsid w:val="00001258"/>
    <w:rsid w:val="000020B1"/>
    <w:rsid w:val="00003256"/>
    <w:rsid w:val="00003362"/>
    <w:rsid w:val="0000400B"/>
    <w:rsid w:val="00004E6E"/>
    <w:rsid w:val="000052F7"/>
    <w:rsid w:val="00005B10"/>
    <w:rsid w:val="000069F5"/>
    <w:rsid w:val="00007BE4"/>
    <w:rsid w:val="0001049D"/>
    <w:rsid w:val="0001114A"/>
    <w:rsid w:val="0001155F"/>
    <w:rsid w:val="000124EC"/>
    <w:rsid w:val="000127D5"/>
    <w:rsid w:val="000130D3"/>
    <w:rsid w:val="00013757"/>
    <w:rsid w:val="000140A7"/>
    <w:rsid w:val="0001515B"/>
    <w:rsid w:val="000163F6"/>
    <w:rsid w:val="00017099"/>
    <w:rsid w:val="000170B1"/>
    <w:rsid w:val="00017DF3"/>
    <w:rsid w:val="000202A4"/>
    <w:rsid w:val="00022C03"/>
    <w:rsid w:val="00023779"/>
    <w:rsid w:val="00023E2B"/>
    <w:rsid w:val="000251B3"/>
    <w:rsid w:val="000256A7"/>
    <w:rsid w:val="0002599B"/>
    <w:rsid w:val="00025DD2"/>
    <w:rsid w:val="00025FC8"/>
    <w:rsid w:val="000265E4"/>
    <w:rsid w:val="0003106F"/>
    <w:rsid w:val="00033389"/>
    <w:rsid w:val="000348AC"/>
    <w:rsid w:val="00034AEC"/>
    <w:rsid w:val="00034BE7"/>
    <w:rsid w:val="000350C4"/>
    <w:rsid w:val="00035497"/>
    <w:rsid w:val="00041185"/>
    <w:rsid w:val="00041C64"/>
    <w:rsid w:val="00041E9D"/>
    <w:rsid w:val="000427E1"/>
    <w:rsid w:val="00042FA3"/>
    <w:rsid w:val="000432ED"/>
    <w:rsid w:val="00043DF6"/>
    <w:rsid w:val="00043E1A"/>
    <w:rsid w:val="000453B2"/>
    <w:rsid w:val="000470C7"/>
    <w:rsid w:val="00047396"/>
    <w:rsid w:val="000503C1"/>
    <w:rsid w:val="0005111E"/>
    <w:rsid w:val="0005145B"/>
    <w:rsid w:val="000520C5"/>
    <w:rsid w:val="00052217"/>
    <w:rsid w:val="000533CB"/>
    <w:rsid w:val="0005455D"/>
    <w:rsid w:val="000553C5"/>
    <w:rsid w:val="00055C96"/>
    <w:rsid w:val="00056A1A"/>
    <w:rsid w:val="000573DD"/>
    <w:rsid w:val="000575B2"/>
    <w:rsid w:val="0006002D"/>
    <w:rsid w:val="000607D9"/>
    <w:rsid w:val="000609D6"/>
    <w:rsid w:val="00060BD8"/>
    <w:rsid w:val="00061367"/>
    <w:rsid w:val="000614DD"/>
    <w:rsid w:val="00061BAD"/>
    <w:rsid w:val="000623A7"/>
    <w:rsid w:val="000626AC"/>
    <w:rsid w:val="0006279D"/>
    <w:rsid w:val="00062F9A"/>
    <w:rsid w:val="0006316B"/>
    <w:rsid w:val="000633B5"/>
    <w:rsid w:val="00064835"/>
    <w:rsid w:val="00064C81"/>
    <w:rsid w:val="00064C85"/>
    <w:rsid w:val="000651DF"/>
    <w:rsid w:val="00065D2D"/>
    <w:rsid w:val="000665F9"/>
    <w:rsid w:val="00070FF6"/>
    <w:rsid w:val="0007167D"/>
    <w:rsid w:val="000726E7"/>
    <w:rsid w:val="00072F26"/>
    <w:rsid w:val="000745C8"/>
    <w:rsid w:val="00074B5E"/>
    <w:rsid w:val="00074C12"/>
    <w:rsid w:val="00074CC9"/>
    <w:rsid w:val="00075735"/>
    <w:rsid w:val="00076C96"/>
    <w:rsid w:val="000810E1"/>
    <w:rsid w:val="000844F0"/>
    <w:rsid w:val="00084DD4"/>
    <w:rsid w:val="00085763"/>
    <w:rsid w:val="00087268"/>
    <w:rsid w:val="00090FDC"/>
    <w:rsid w:val="00091365"/>
    <w:rsid w:val="000932BF"/>
    <w:rsid w:val="00093A89"/>
    <w:rsid w:val="00093E59"/>
    <w:rsid w:val="000940D6"/>
    <w:rsid w:val="00096830"/>
    <w:rsid w:val="00096CAE"/>
    <w:rsid w:val="000A02FB"/>
    <w:rsid w:val="000A0D04"/>
    <w:rsid w:val="000A1934"/>
    <w:rsid w:val="000A1CA9"/>
    <w:rsid w:val="000A2304"/>
    <w:rsid w:val="000A3240"/>
    <w:rsid w:val="000A3649"/>
    <w:rsid w:val="000A4BD4"/>
    <w:rsid w:val="000A5613"/>
    <w:rsid w:val="000A56B0"/>
    <w:rsid w:val="000A6315"/>
    <w:rsid w:val="000A651A"/>
    <w:rsid w:val="000A6C2F"/>
    <w:rsid w:val="000A7362"/>
    <w:rsid w:val="000A791D"/>
    <w:rsid w:val="000A7B2E"/>
    <w:rsid w:val="000A7EA6"/>
    <w:rsid w:val="000B0EF2"/>
    <w:rsid w:val="000B1CEE"/>
    <w:rsid w:val="000B2FC4"/>
    <w:rsid w:val="000B2FF8"/>
    <w:rsid w:val="000B3316"/>
    <w:rsid w:val="000B3907"/>
    <w:rsid w:val="000B3D25"/>
    <w:rsid w:val="000B5600"/>
    <w:rsid w:val="000B591F"/>
    <w:rsid w:val="000B6682"/>
    <w:rsid w:val="000C02C1"/>
    <w:rsid w:val="000C16B2"/>
    <w:rsid w:val="000C1CF9"/>
    <w:rsid w:val="000C2218"/>
    <w:rsid w:val="000C257E"/>
    <w:rsid w:val="000C2B8B"/>
    <w:rsid w:val="000C4587"/>
    <w:rsid w:val="000C473D"/>
    <w:rsid w:val="000C5B5E"/>
    <w:rsid w:val="000C5DB7"/>
    <w:rsid w:val="000C6514"/>
    <w:rsid w:val="000C7F39"/>
    <w:rsid w:val="000D1BA7"/>
    <w:rsid w:val="000D29BB"/>
    <w:rsid w:val="000D2DF7"/>
    <w:rsid w:val="000D3CB7"/>
    <w:rsid w:val="000D3FB6"/>
    <w:rsid w:val="000D48A4"/>
    <w:rsid w:val="000D4A0C"/>
    <w:rsid w:val="000D6056"/>
    <w:rsid w:val="000E04DA"/>
    <w:rsid w:val="000E07C6"/>
    <w:rsid w:val="000E0D0D"/>
    <w:rsid w:val="000E0DA2"/>
    <w:rsid w:val="000E11E3"/>
    <w:rsid w:val="000E2FCF"/>
    <w:rsid w:val="000E3362"/>
    <w:rsid w:val="000E3423"/>
    <w:rsid w:val="000E46C0"/>
    <w:rsid w:val="000E4979"/>
    <w:rsid w:val="000E4A32"/>
    <w:rsid w:val="000E4ABF"/>
    <w:rsid w:val="000E51BB"/>
    <w:rsid w:val="000E56DB"/>
    <w:rsid w:val="000E62DA"/>
    <w:rsid w:val="000E6B41"/>
    <w:rsid w:val="000E72BD"/>
    <w:rsid w:val="000E7D1A"/>
    <w:rsid w:val="000F0355"/>
    <w:rsid w:val="000F09A3"/>
    <w:rsid w:val="000F1144"/>
    <w:rsid w:val="000F3A80"/>
    <w:rsid w:val="000F3C7E"/>
    <w:rsid w:val="000F3D8D"/>
    <w:rsid w:val="000F55E4"/>
    <w:rsid w:val="000F566D"/>
    <w:rsid w:val="000F5768"/>
    <w:rsid w:val="000F57AF"/>
    <w:rsid w:val="000F6BF3"/>
    <w:rsid w:val="000F6E94"/>
    <w:rsid w:val="000F7B77"/>
    <w:rsid w:val="000F7E3A"/>
    <w:rsid w:val="00100295"/>
    <w:rsid w:val="001008CF"/>
    <w:rsid w:val="00100B5A"/>
    <w:rsid w:val="00101991"/>
    <w:rsid w:val="00101DC9"/>
    <w:rsid w:val="00102009"/>
    <w:rsid w:val="00102660"/>
    <w:rsid w:val="00103132"/>
    <w:rsid w:val="00103FB9"/>
    <w:rsid w:val="001053B0"/>
    <w:rsid w:val="00106ED6"/>
    <w:rsid w:val="00107E50"/>
    <w:rsid w:val="00110041"/>
    <w:rsid w:val="00110AAF"/>
    <w:rsid w:val="00111A9E"/>
    <w:rsid w:val="00111C81"/>
    <w:rsid w:val="00112B46"/>
    <w:rsid w:val="001135F5"/>
    <w:rsid w:val="00113C2A"/>
    <w:rsid w:val="00115106"/>
    <w:rsid w:val="001151DA"/>
    <w:rsid w:val="001219F1"/>
    <w:rsid w:val="001225ED"/>
    <w:rsid w:val="00122BA6"/>
    <w:rsid w:val="0012327B"/>
    <w:rsid w:val="00123FCE"/>
    <w:rsid w:val="001245A2"/>
    <w:rsid w:val="00124BC2"/>
    <w:rsid w:val="00126A6B"/>
    <w:rsid w:val="001277C8"/>
    <w:rsid w:val="00127F40"/>
    <w:rsid w:val="00131442"/>
    <w:rsid w:val="001316C1"/>
    <w:rsid w:val="001319E8"/>
    <w:rsid w:val="00131DB5"/>
    <w:rsid w:val="00131E2B"/>
    <w:rsid w:val="00132670"/>
    <w:rsid w:val="00132DD1"/>
    <w:rsid w:val="00134110"/>
    <w:rsid w:val="00134FB0"/>
    <w:rsid w:val="001352CC"/>
    <w:rsid w:val="0013572E"/>
    <w:rsid w:val="00136437"/>
    <w:rsid w:val="00136B47"/>
    <w:rsid w:val="00136CA4"/>
    <w:rsid w:val="0013705B"/>
    <w:rsid w:val="00137637"/>
    <w:rsid w:val="0014195E"/>
    <w:rsid w:val="001421A7"/>
    <w:rsid w:val="00143B32"/>
    <w:rsid w:val="00144ED9"/>
    <w:rsid w:val="001450FB"/>
    <w:rsid w:val="00145C24"/>
    <w:rsid w:val="00145E28"/>
    <w:rsid w:val="00146B35"/>
    <w:rsid w:val="00146EBD"/>
    <w:rsid w:val="00147CF4"/>
    <w:rsid w:val="00150108"/>
    <w:rsid w:val="001506EB"/>
    <w:rsid w:val="00150D7F"/>
    <w:rsid w:val="001510DD"/>
    <w:rsid w:val="0015165F"/>
    <w:rsid w:val="00151D22"/>
    <w:rsid w:val="00152119"/>
    <w:rsid w:val="00152446"/>
    <w:rsid w:val="0015279D"/>
    <w:rsid w:val="0015340C"/>
    <w:rsid w:val="00154734"/>
    <w:rsid w:val="00154EC9"/>
    <w:rsid w:val="00155F6C"/>
    <w:rsid w:val="00156EFB"/>
    <w:rsid w:val="00156FFC"/>
    <w:rsid w:val="001572D1"/>
    <w:rsid w:val="00157400"/>
    <w:rsid w:val="001576C9"/>
    <w:rsid w:val="001579E7"/>
    <w:rsid w:val="001605D3"/>
    <w:rsid w:val="00160958"/>
    <w:rsid w:val="00161F1B"/>
    <w:rsid w:val="00163725"/>
    <w:rsid w:val="00163DD0"/>
    <w:rsid w:val="001643AC"/>
    <w:rsid w:val="001645C7"/>
    <w:rsid w:val="0016508A"/>
    <w:rsid w:val="001654C2"/>
    <w:rsid w:val="00166062"/>
    <w:rsid w:val="00171323"/>
    <w:rsid w:val="0017233A"/>
    <w:rsid w:val="00175AE2"/>
    <w:rsid w:val="001762F6"/>
    <w:rsid w:val="001777EC"/>
    <w:rsid w:val="00177FC3"/>
    <w:rsid w:val="00181164"/>
    <w:rsid w:val="00181428"/>
    <w:rsid w:val="00181727"/>
    <w:rsid w:val="00181D2D"/>
    <w:rsid w:val="001826DE"/>
    <w:rsid w:val="0018279B"/>
    <w:rsid w:val="00182E06"/>
    <w:rsid w:val="0018413B"/>
    <w:rsid w:val="00184833"/>
    <w:rsid w:val="00186C0F"/>
    <w:rsid w:val="00186DB1"/>
    <w:rsid w:val="0019116F"/>
    <w:rsid w:val="001914FA"/>
    <w:rsid w:val="001917B4"/>
    <w:rsid w:val="00191D4F"/>
    <w:rsid w:val="00192878"/>
    <w:rsid w:val="001928AF"/>
    <w:rsid w:val="001948F0"/>
    <w:rsid w:val="00194E09"/>
    <w:rsid w:val="001951B4"/>
    <w:rsid w:val="001956FF"/>
    <w:rsid w:val="00195AB7"/>
    <w:rsid w:val="00196274"/>
    <w:rsid w:val="001965C5"/>
    <w:rsid w:val="001A05E4"/>
    <w:rsid w:val="001A09CE"/>
    <w:rsid w:val="001A275E"/>
    <w:rsid w:val="001A3192"/>
    <w:rsid w:val="001A3F56"/>
    <w:rsid w:val="001A5BC6"/>
    <w:rsid w:val="001A5C4B"/>
    <w:rsid w:val="001A620E"/>
    <w:rsid w:val="001A6299"/>
    <w:rsid w:val="001A644E"/>
    <w:rsid w:val="001B0AD4"/>
    <w:rsid w:val="001B0AEC"/>
    <w:rsid w:val="001B0C84"/>
    <w:rsid w:val="001B17D4"/>
    <w:rsid w:val="001B2408"/>
    <w:rsid w:val="001B29DD"/>
    <w:rsid w:val="001B2F27"/>
    <w:rsid w:val="001B308F"/>
    <w:rsid w:val="001B3177"/>
    <w:rsid w:val="001B392D"/>
    <w:rsid w:val="001C295D"/>
    <w:rsid w:val="001C3F54"/>
    <w:rsid w:val="001C635F"/>
    <w:rsid w:val="001C6545"/>
    <w:rsid w:val="001C6CF1"/>
    <w:rsid w:val="001C76BB"/>
    <w:rsid w:val="001C79E5"/>
    <w:rsid w:val="001C7A4A"/>
    <w:rsid w:val="001C7F5A"/>
    <w:rsid w:val="001D0559"/>
    <w:rsid w:val="001D058C"/>
    <w:rsid w:val="001D0B5B"/>
    <w:rsid w:val="001D10A0"/>
    <w:rsid w:val="001D215F"/>
    <w:rsid w:val="001D285F"/>
    <w:rsid w:val="001D36F7"/>
    <w:rsid w:val="001D3914"/>
    <w:rsid w:val="001D52E1"/>
    <w:rsid w:val="001D5363"/>
    <w:rsid w:val="001D542B"/>
    <w:rsid w:val="001D563C"/>
    <w:rsid w:val="001D56C5"/>
    <w:rsid w:val="001D6D76"/>
    <w:rsid w:val="001D6E99"/>
    <w:rsid w:val="001D7B86"/>
    <w:rsid w:val="001E0885"/>
    <w:rsid w:val="001E1374"/>
    <w:rsid w:val="001E1D70"/>
    <w:rsid w:val="001E3AC1"/>
    <w:rsid w:val="001E3B09"/>
    <w:rsid w:val="001E3FF9"/>
    <w:rsid w:val="001E4CD6"/>
    <w:rsid w:val="001E560A"/>
    <w:rsid w:val="001E570F"/>
    <w:rsid w:val="001E5CD8"/>
    <w:rsid w:val="001E62A2"/>
    <w:rsid w:val="001E686E"/>
    <w:rsid w:val="001E763C"/>
    <w:rsid w:val="001E76D2"/>
    <w:rsid w:val="001E7860"/>
    <w:rsid w:val="001E79F9"/>
    <w:rsid w:val="001F0801"/>
    <w:rsid w:val="001F0BC8"/>
    <w:rsid w:val="001F1302"/>
    <w:rsid w:val="001F1355"/>
    <w:rsid w:val="001F1826"/>
    <w:rsid w:val="001F1F96"/>
    <w:rsid w:val="001F2A7E"/>
    <w:rsid w:val="001F3527"/>
    <w:rsid w:val="001F53CA"/>
    <w:rsid w:val="001F6225"/>
    <w:rsid w:val="001F6786"/>
    <w:rsid w:val="001F7611"/>
    <w:rsid w:val="001F7949"/>
    <w:rsid w:val="001F7CBF"/>
    <w:rsid w:val="00201CB9"/>
    <w:rsid w:val="00202AA2"/>
    <w:rsid w:val="00203CA3"/>
    <w:rsid w:val="00203EE6"/>
    <w:rsid w:val="0020483F"/>
    <w:rsid w:val="00204FFC"/>
    <w:rsid w:val="00205248"/>
    <w:rsid w:val="002054C3"/>
    <w:rsid w:val="00205BBE"/>
    <w:rsid w:val="00206263"/>
    <w:rsid w:val="0020664D"/>
    <w:rsid w:val="00210B64"/>
    <w:rsid w:val="00211B15"/>
    <w:rsid w:val="0021252C"/>
    <w:rsid w:val="00212563"/>
    <w:rsid w:val="00212B0D"/>
    <w:rsid w:val="00213C9B"/>
    <w:rsid w:val="00213E63"/>
    <w:rsid w:val="0021477D"/>
    <w:rsid w:val="00214A22"/>
    <w:rsid w:val="002178BD"/>
    <w:rsid w:val="00221266"/>
    <w:rsid w:val="00221324"/>
    <w:rsid w:val="002214E3"/>
    <w:rsid w:val="0022158C"/>
    <w:rsid w:val="00221B46"/>
    <w:rsid w:val="00222321"/>
    <w:rsid w:val="00222B29"/>
    <w:rsid w:val="00223013"/>
    <w:rsid w:val="00223A55"/>
    <w:rsid w:val="00223D08"/>
    <w:rsid w:val="002242D1"/>
    <w:rsid w:val="0022439D"/>
    <w:rsid w:val="00224A2D"/>
    <w:rsid w:val="002266F5"/>
    <w:rsid w:val="00226742"/>
    <w:rsid w:val="002272E3"/>
    <w:rsid w:val="00227B63"/>
    <w:rsid w:val="00227CC0"/>
    <w:rsid w:val="00231CC7"/>
    <w:rsid w:val="00231EB6"/>
    <w:rsid w:val="00232F90"/>
    <w:rsid w:val="002333AD"/>
    <w:rsid w:val="00233766"/>
    <w:rsid w:val="002342AF"/>
    <w:rsid w:val="00237852"/>
    <w:rsid w:val="0024060D"/>
    <w:rsid w:val="00240DD1"/>
    <w:rsid w:val="0024290E"/>
    <w:rsid w:val="00243094"/>
    <w:rsid w:val="00243529"/>
    <w:rsid w:val="002435B6"/>
    <w:rsid w:val="00243D57"/>
    <w:rsid w:val="002450F8"/>
    <w:rsid w:val="00245F60"/>
    <w:rsid w:val="002463CC"/>
    <w:rsid w:val="002464CF"/>
    <w:rsid w:val="002465F2"/>
    <w:rsid w:val="002470E7"/>
    <w:rsid w:val="00247D22"/>
    <w:rsid w:val="0025017D"/>
    <w:rsid w:val="00250A22"/>
    <w:rsid w:val="00250ACB"/>
    <w:rsid w:val="00250DC6"/>
    <w:rsid w:val="00250DFB"/>
    <w:rsid w:val="00251079"/>
    <w:rsid w:val="00251CD7"/>
    <w:rsid w:val="00252385"/>
    <w:rsid w:val="002543E8"/>
    <w:rsid w:val="0025583B"/>
    <w:rsid w:val="002559C8"/>
    <w:rsid w:val="00257602"/>
    <w:rsid w:val="002602D6"/>
    <w:rsid w:val="00260AFF"/>
    <w:rsid w:val="00260E04"/>
    <w:rsid w:val="00262485"/>
    <w:rsid w:val="0026401B"/>
    <w:rsid w:val="002644BF"/>
    <w:rsid w:val="002645C5"/>
    <w:rsid w:val="00265856"/>
    <w:rsid w:val="00266528"/>
    <w:rsid w:val="0026658C"/>
    <w:rsid w:val="002665B0"/>
    <w:rsid w:val="002669E1"/>
    <w:rsid w:val="00267E67"/>
    <w:rsid w:val="00270636"/>
    <w:rsid w:val="00272DD3"/>
    <w:rsid w:val="00273193"/>
    <w:rsid w:val="00273C98"/>
    <w:rsid w:val="0027542A"/>
    <w:rsid w:val="0027555F"/>
    <w:rsid w:val="00275F4A"/>
    <w:rsid w:val="00276019"/>
    <w:rsid w:val="00280058"/>
    <w:rsid w:val="0028035C"/>
    <w:rsid w:val="0028122D"/>
    <w:rsid w:val="00281258"/>
    <w:rsid w:val="002812E4"/>
    <w:rsid w:val="002815B6"/>
    <w:rsid w:val="00282774"/>
    <w:rsid w:val="00283754"/>
    <w:rsid w:val="00285164"/>
    <w:rsid w:val="00286904"/>
    <w:rsid w:val="00286BA8"/>
    <w:rsid w:val="00286F58"/>
    <w:rsid w:val="002871BB"/>
    <w:rsid w:val="00290726"/>
    <w:rsid w:val="0029454B"/>
    <w:rsid w:val="002946CB"/>
    <w:rsid w:val="00295187"/>
    <w:rsid w:val="00296226"/>
    <w:rsid w:val="00296830"/>
    <w:rsid w:val="00296900"/>
    <w:rsid w:val="00296970"/>
    <w:rsid w:val="00297971"/>
    <w:rsid w:val="00297DFB"/>
    <w:rsid w:val="002A081C"/>
    <w:rsid w:val="002A18E6"/>
    <w:rsid w:val="002A1E0A"/>
    <w:rsid w:val="002A2D5C"/>
    <w:rsid w:val="002A2D87"/>
    <w:rsid w:val="002A365A"/>
    <w:rsid w:val="002A3940"/>
    <w:rsid w:val="002A3BF0"/>
    <w:rsid w:val="002A3BF6"/>
    <w:rsid w:val="002A4DB0"/>
    <w:rsid w:val="002A505A"/>
    <w:rsid w:val="002A53E7"/>
    <w:rsid w:val="002A5621"/>
    <w:rsid w:val="002A5622"/>
    <w:rsid w:val="002A5DBB"/>
    <w:rsid w:val="002A663B"/>
    <w:rsid w:val="002A67D5"/>
    <w:rsid w:val="002A71F0"/>
    <w:rsid w:val="002B16DB"/>
    <w:rsid w:val="002B1B70"/>
    <w:rsid w:val="002B1BAB"/>
    <w:rsid w:val="002B1F0E"/>
    <w:rsid w:val="002B2801"/>
    <w:rsid w:val="002B34DA"/>
    <w:rsid w:val="002B4445"/>
    <w:rsid w:val="002B481E"/>
    <w:rsid w:val="002B5102"/>
    <w:rsid w:val="002B54B9"/>
    <w:rsid w:val="002B5BDD"/>
    <w:rsid w:val="002B6A29"/>
    <w:rsid w:val="002B6B40"/>
    <w:rsid w:val="002C099C"/>
    <w:rsid w:val="002C0C6E"/>
    <w:rsid w:val="002C243C"/>
    <w:rsid w:val="002C25A2"/>
    <w:rsid w:val="002C2D5A"/>
    <w:rsid w:val="002C41DA"/>
    <w:rsid w:val="002C4584"/>
    <w:rsid w:val="002C47A2"/>
    <w:rsid w:val="002C5855"/>
    <w:rsid w:val="002C5BF4"/>
    <w:rsid w:val="002C5CE9"/>
    <w:rsid w:val="002C5D6B"/>
    <w:rsid w:val="002C6022"/>
    <w:rsid w:val="002C61BA"/>
    <w:rsid w:val="002C64F5"/>
    <w:rsid w:val="002C65B4"/>
    <w:rsid w:val="002C6643"/>
    <w:rsid w:val="002C7320"/>
    <w:rsid w:val="002C7B00"/>
    <w:rsid w:val="002C7EBA"/>
    <w:rsid w:val="002D35CB"/>
    <w:rsid w:val="002D36B6"/>
    <w:rsid w:val="002D3B14"/>
    <w:rsid w:val="002D4CFE"/>
    <w:rsid w:val="002D524A"/>
    <w:rsid w:val="002D697B"/>
    <w:rsid w:val="002D74B3"/>
    <w:rsid w:val="002D7CE6"/>
    <w:rsid w:val="002E02F0"/>
    <w:rsid w:val="002E0F2F"/>
    <w:rsid w:val="002E119C"/>
    <w:rsid w:val="002E1520"/>
    <w:rsid w:val="002E1EE2"/>
    <w:rsid w:val="002E2195"/>
    <w:rsid w:val="002E2899"/>
    <w:rsid w:val="002E2C3F"/>
    <w:rsid w:val="002E379B"/>
    <w:rsid w:val="002E4D54"/>
    <w:rsid w:val="002E4DCF"/>
    <w:rsid w:val="002E508F"/>
    <w:rsid w:val="002E6DBD"/>
    <w:rsid w:val="002F0CDB"/>
    <w:rsid w:val="002F1E58"/>
    <w:rsid w:val="002F251E"/>
    <w:rsid w:val="002F2D3A"/>
    <w:rsid w:val="002F2E5C"/>
    <w:rsid w:val="002F3104"/>
    <w:rsid w:val="002F329A"/>
    <w:rsid w:val="002F42B8"/>
    <w:rsid w:val="002F487D"/>
    <w:rsid w:val="002F4C0B"/>
    <w:rsid w:val="002F67F3"/>
    <w:rsid w:val="002F67FB"/>
    <w:rsid w:val="00300915"/>
    <w:rsid w:val="0030104A"/>
    <w:rsid w:val="00302394"/>
    <w:rsid w:val="003024FB"/>
    <w:rsid w:val="0030298B"/>
    <w:rsid w:val="0030330C"/>
    <w:rsid w:val="00303D8A"/>
    <w:rsid w:val="00303DD9"/>
    <w:rsid w:val="00304692"/>
    <w:rsid w:val="00304D9A"/>
    <w:rsid w:val="00307D71"/>
    <w:rsid w:val="0031035E"/>
    <w:rsid w:val="00310E97"/>
    <w:rsid w:val="0031118E"/>
    <w:rsid w:val="0031141D"/>
    <w:rsid w:val="003121E7"/>
    <w:rsid w:val="00312A55"/>
    <w:rsid w:val="00313037"/>
    <w:rsid w:val="00315455"/>
    <w:rsid w:val="0031601F"/>
    <w:rsid w:val="003167B0"/>
    <w:rsid w:val="00317014"/>
    <w:rsid w:val="00317113"/>
    <w:rsid w:val="00317534"/>
    <w:rsid w:val="00321D45"/>
    <w:rsid w:val="003224C9"/>
    <w:rsid w:val="003226A0"/>
    <w:rsid w:val="0032303E"/>
    <w:rsid w:val="003248FA"/>
    <w:rsid w:val="00325170"/>
    <w:rsid w:val="00325BF9"/>
    <w:rsid w:val="00326C1E"/>
    <w:rsid w:val="00326FA5"/>
    <w:rsid w:val="00327162"/>
    <w:rsid w:val="00327AD4"/>
    <w:rsid w:val="00330001"/>
    <w:rsid w:val="0033124E"/>
    <w:rsid w:val="0033131A"/>
    <w:rsid w:val="00332A57"/>
    <w:rsid w:val="00332BB9"/>
    <w:rsid w:val="003338A1"/>
    <w:rsid w:val="00334859"/>
    <w:rsid w:val="00334AE3"/>
    <w:rsid w:val="00334EAD"/>
    <w:rsid w:val="00335161"/>
    <w:rsid w:val="0033621F"/>
    <w:rsid w:val="00337218"/>
    <w:rsid w:val="0033793E"/>
    <w:rsid w:val="00340405"/>
    <w:rsid w:val="00342D8E"/>
    <w:rsid w:val="00343457"/>
    <w:rsid w:val="003434E1"/>
    <w:rsid w:val="00344C76"/>
    <w:rsid w:val="00345110"/>
    <w:rsid w:val="00345515"/>
    <w:rsid w:val="00345867"/>
    <w:rsid w:val="00345FED"/>
    <w:rsid w:val="003461EE"/>
    <w:rsid w:val="00346565"/>
    <w:rsid w:val="00347BCC"/>
    <w:rsid w:val="00351175"/>
    <w:rsid w:val="0035122A"/>
    <w:rsid w:val="00351ACC"/>
    <w:rsid w:val="00351B66"/>
    <w:rsid w:val="00351C71"/>
    <w:rsid w:val="00352592"/>
    <w:rsid w:val="00352A8B"/>
    <w:rsid w:val="0035322E"/>
    <w:rsid w:val="00353281"/>
    <w:rsid w:val="00353FE7"/>
    <w:rsid w:val="003602EA"/>
    <w:rsid w:val="00361E43"/>
    <w:rsid w:val="00362B28"/>
    <w:rsid w:val="00363674"/>
    <w:rsid w:val="0036446E"/>
    <w:rsid w:val="003648A7"/>
    <w:rsid w:val="003666A6"/>
    <w:rsid w:val="00367582"/>
    <w:rsid w:val="00367D12"/>
    <w:rsid w:val="00367E9C"/>
    <w:rsid w:val="00367EB9"/>
    <w:rsid w:val="00370912"/>
    <w:rsid w:val="00370DEF"/>
    <w:rsid w:val="003719B7"/>
    <w:rsid w:val="00372BC4"/>
    <w:rsid w:val="00372DFE"/>
    <w:rsid w:val="00372E01"/>
    <w:rsid w:val="0037300A"/>
    <w:rsid w:val="003734EF"/>
    <w:rsid w:val="0037360C"/>
    <w:rsid w:val="003755CD"/>
    <w:rsid w:val="00375904"/>
    <w:rsid w:val="00375A86"/>
    <w:rsid w:val="003765E4"/>
    <w:rsid w:val="00376A33"/>
    <w:rsid w:val="00377818"/>
    <w:rsid w:val="00377EB4"/>
    <w:rsid w:val="00381396"/>
    <w:rsid w:val="00382058"/>
    <w:rsid w:val="003821EF"/>
    <w:rsid w:val="00383AE6"/>
    <w:rsid w:val="003847CB"/>
    <w:rsid w:val="00384C49"/>
    <w:rsid w:val="00385335"/>
    <w:rsid w:val="003858A3"/>
    <w:rsid w:val="003860B1"/>
    <w:rsid w:val="00386194"/>
    <w:rsid w:val="0038687F"/>
    <w:rsid w:val="0038752E"/>
    <w:rsid w:val="00387EAE"/>
    <w:rsid w:val="003901CC"/>
    <w:rsid w:val="003901E0"/>
    <w:rsid w:val="00390A39"/>
    <w:rsid w:val="003911C2"/>
    <w:rsid w:val="003916C0"/>
    <w:rsid w:val="00395327"/>
    <w:rsid w:val="00395C3F"/>
    <w:rsid w:val="0039644B"/>
    <w:rsid w:val="00396A2A"/>
    <w:rsid w:val="00397098"/>
    <w:rsid w:val="00397330"/>
    <w:rsid w:val="003973D7"/>
    <w:rsid w:val="00397E7C"/>
    <w:rsid w:val="003A1A81"/>
    <w:rsid w:val="003A1B6D"/>
    <w:rsid w:val="003A26C9"/>
    <w:rsid w:val="003A31C5"/>
    <w:rsid w:val="003A44E2"/>
    <w:rsid w:val="003A54FA"/>
    <w:rsid w:val="003A5E1D"/>
    <w:rsid w:val="003A5FB6"/>
    <w:rsid w:val="003A6C5D"/>
    <w:rsid w:val="003A7323"/>
    <w:rsid w:val="003A79BC"/>
    <w:rsid w:val="003A7E8D"/>
    <w:rsid w:val="003B15C6"/>
    <w:rsid w:val="003B1F57"/>
    <w:rsid w:val="003B2503"/>
    <w:rsid w:val="003B31AB"/>
    <w:rsid w:val="003B3D29"/>
    <w:rsid w:val="003B3E36"/>
    <w:rsid w:val="003B414D"/>
    <w:rsid w:val="003B4855"/>
    <w:rsid w:val="003B591D"/>
    <w:rsid w:val="003B5A48"/>
    <w:rsid w:val="003B6781"/>
    <w:rsid w:val="003B71B3"/>
    <w:rsid w:val="003B78B3"/>
    <w:rsid w:val="003B791E"/>
    <w:rsid w:val="003B7CB1"/>
    <w:rsid w:val="003C039D"/>
    <w:rsid w:val="003C04D1"/>
    <w:rsid w:val="003C2F1E"/>
    <w:rsid w:val="003C4E5B"/>
    <w:rsid w:val="003C54B7"/>
    <w:rsid w:val="003C5E89"/>
    <w:rsid w:val="003C7D83"/>
    <w:rsid w:val="003D0C51"/>
    <w:rsid w:val="003D0DDE"/>
    <w:rsid w:val="003D1CC3"/>
    <w:rsid w:val="003D2494"/>
    <w:rsid w:val="003D2DA9"/>
    <w:rsid w:val="003D30A5"/>
    <w:rsid w:val="003D3241"/>
    <w:rsid w:val="003D3A21"/>
    <w:rsid w:val="003D5071"/>
    <w:rsid w:val="003D5536"/>
    <w:rsid w:val="003D5FAA"/>
    <w:rsid w:val="003D6749"/>
    <w:rsid w:val="003D6EC8"/>
    <w:rsid w:val="003D767E"/>
    <w:rsid w:val="003E05BE"/>
    <w:rsid w:val="003E1203"/>
    <w:rsid w:val="003E1C21"/>
    <w:rsid w:val="003E23B1"/>
    <w:rsid w:val="003E2833"/>
    <w:rsid w:val="003E2A67"/>
    <w:rsid w:val="003E3849"/>
    <w:rsid w:val="003E3BEE"/>
    <w:rsid w:val="003E42F4"/>
    <w:rsid w:val="003E4768"/>
    <w:rsid w:val="003E4BA4"/>
    <w:rsid w:val="003E66CB"/>
    <w:rsid w:val="003E6D22"/>
    <w:rsid w:val="003E7E14"/>
    <w:rsid w:val="003F002C"/>
    <w:rsid w:val="003F0B1C"/>
    <w:rsid w:val="003F0B7B"/>
    <w:rsid w:val="003F1978"/>
    <w:rsid w:val="003F19D6"/>
    <w:rsid w:val="003F1D60"/>
    <w:rsid w:val="003F42DB"/>
    <w:rsid w:val="003F5E85"/>
    <w:rsid w:val="003F7472"/>
    <w:rsid w:val="003F74B7"/>
    <w:rsid w:val="00402DE1"/>
    <w:rsid w:val="00403AA3"/>
    <w:rsid w:val="00404022"/>
    <w:rsid w:val="00404F5B"/>
    <w:rsid w:val="00406DDB"/>
    <w:rsid w:val="00406E47"/>
    <w:rsid w:val="004072E0"/>
    <w:rsid w:val="00410201"/>
    <w:rsid w:val="00412148"/>
    <w:rsid w:val="00412806"/>
    <w:rsid w:val="00412DD1"/>
    <w:rsid w:val="00413010"/>
    <w:rsid w:val="00413DD0"/>
    <w:rsid w:val="00413EE5"/>
    <w:rsid w:val="0041458C"/>
    <w:rsid w:val="00414BDE"/>
    <w:rsid w:val="00420FB6"/>
    <w:rsid w:val="004217C6"/>
    <w:rsid w:val="00421A9E"/>
    <w:rsid w:val="00421C36"/>
    <w:rsid w:val="0042213C"/>
    <w:rsid w:val="0042326F"/>
    <w:rsid w:val="00423968"/>
    <w:rsid w:val="00423B34"/>
    <w:rsid w:val="00424105"/>
    <w:rsid w:val="00425E9D"/>
    <w:rsid w:val="004267F5"/>
    <w:rsid w:val="00426F61"/>
    <w:rsid w:val="00427823"/>
    <w:rsid w:val="0043109A"/>
    <w:rsid w:val="00431A64"/>
    <w:rsid w:val="00431A82"/>
    <w:rsid w:val="00432A9F"/>
    <w:rsid w:val="00432D47"/>
    <w:rsid w:val="00433849"/>
    <w:rsid w:val="0043420E"/>
    <w:rsid w:val="00434347"/>
    <w:rsid w:val="00434AFC"/>
    <w:rsid w:val="004356B0"/>
    <w:rsid w:val="004379A4"/>
    <w:rsid w:val="00437A1E"/>
    <w:rsid w:val="00437D55"/>
    <w:rsid w:val="00437ECC"/>
    <w:rsid w:val="00437FD8"/>
    <w:rsid w:val="004406F3"/>
    <w:rsid w:val="00442E0A"/>
    <w:rsid w:val="00443261"/>
    <w:rsid w:val="0044502A"/>
    <w:rsid w:val="0044516D"/>
    <w:rsid w:val="00445594"/>
    <w:rsid w:val="00445959"/>
    <w:rsid w:val="00446079"/>
    <w:rsid w:val="00446123"/>
    <w:rsid w:val="00446A1F"/>
    <w:rsid w:val="0044715E"/>
    <w:rsid w:val="00450186"/>
    <w:rsid w:val="00450AE8"/>
    <w:rsid w:val="004515C4"/>
    <w:rsid w:val="004515F8"/>
    <w:rsid w:val="00451C9E"/>
    <w:rsid w:val="0045291B"/>
    <w:rsid w:val="00455BF1"/>
    <w:rsid w:val="004560C6"/>
    <w:rsid w:val="004567C8"/>
    <w:rsid w:val="00456C56"/>
    <w:rsid w:val="0045757A"/>
    <w:rsid w:val="00457D38"/>
    <w:rsid w:val="00460648"/>
    <w:rsid w:val="00460D90"/>
    <w:rsid w:val="00460DC5"/>
    <w:rsid w:val="00461D53"/>
    <w:rsid w:val="00464EFA"/>
    <w:rsid w:val="004675D6"/>
    <w:rsid w:val="0047017D"/>
    <w:rsid w:val="00470E07"/>
    <w:rsid w:val="00471C8B"/>
    <w:rsid w:val="004722CF"/>
    <w:rsid w:val="00472A7B"/>
    <w:rsid w:val="00472C3F"/>
    <w:rsid w:val="00473C06"/>
    <w:rsid w:val="00474101"/>
    <w:rsid w:val="00474815"/>
    <w:rsid w:val="00474E0E"/>
    <w:rsid w:val="00475920"/>
    <w:rsid w:val="00475DBF"/>
    <w:rsid w:val="004772E5"/>
    <w:rsid w:val="0047730F"/>
    <w:rsid w:val="004778AF"/>
    <w:rsid w:val="00481650"/>
    <w:rsid w:val="00482004"/>
    <w:rsid w:val="00483CE7"/>
    <w:rsid w:val="004869EE"/>
    <w:rsid w:val="00486E96"/>
    <w:rsid w:val="004878AF"/>
    <w:rsid w:val="0049010B"/>
    <w:rsid w:val="00490564"/>
    <w:rsid w:val="00493C33"/>
    <w:rsid w:val="00493ECE"/>
    <w:rsid w:val="00494AF6"/>
    <w:rsid w:val="004952F1"/>
    <w:rsid w:val="00495512"/>
    <w:rsid w:val="00495AF3"/>
    <w:rsid w:val="00495C2F"/>
    <w:rsid w:val="0049615E"/>
    <w:rsid w:val="004965C0"/>
    <w:rsid w:val="00497238"/>
    <w:rsid w:val="004978C5"/>
    <w:rsid w:val="004A0253"/>
    <w:rsid w:val="004A2C2E"/>
    <w:rsid w:val="004A2CB0"/>
    <w:rsid w:val="004A445B"/>
    <w:rsid w:val="004A44C0"/>
    <w:rsid w:val="004A4814"/>
    <w:rsid w:val="004A66C2"/>
    <w:rsid w:val="004A6798"/>
    <w:rsid w:val="004A6D4E"/>
    <w:rsid w:val="004A6E22"/>
    <w:rsid w:val="004A7CBB"/>
    <w:rsid w:val="004B1C4C"/>
    <w:rsid w:val="004B2A53"/>
    <w:rsid w:val="004B341B"/>
    <w:rsid w:val="004B37C2"/>
    <w:rsid w:val="004B3D59"/>
    <w:rsid w:val="004B41CD"/>
    <w:rsid w:val="004B4543"/>
    <w:rsid w:val="004B4DFA"/>
    <w:rsid w:val="004B522B"/>
    <w:rsid w:val="004B6809"/>
    <w:rsid w:val="004C04FA"/>
    <w:rsid w:val="004C0E68"/>
    <w:rsid w:val="004C110F"/>
    <w:rsid w:val="004C1162"/>
    <w:rsid w:val="004C28EF"/>
    <w:rsid w:val="004C32A3"/>
    <w:rsid w:val="004C375D"/>
    <w:rsid w:val="004C3C36"/>
    <w:rsid w:val="004C444C"/>
    <w:rsid w:val="004C4F63"/>
    <w:rsid w:val="004C765D"/>
    <w:rsid w:val="004C7C23"/>
    <w:rsid w:val="004D37ED"/>
    <w:rsid w:val="004D4AF0"/>
    <w:rsid w:val="004D4C6D"/>
    <w:rsid w:val="004D5702"/>
    <w:rsid w:val="004D73B3"/>
    <w:rsid w:val="004E0A36"/>
    <w:rsid w:val="004E0B86"/>
    <w:rsid w:val="004E13A1"/>
    <w:rsid w:val="004E1BEF"/>
    <w:rsid w:val="004E1F68"/>
    <w:rsid w:val="004E2AE3"/>
    <w:rsid w:val="004E3259"/>
    <w:rsid w:val="004E349D"/>
    <w:rsid w:val="004E3A86"/>
    <w:rsid w:val="004E3E3C"/>
    <w:rsid w:val="004E45EA"/>
    <w:rsid w:val="004E5E89"/>
    <w:rsid w:val="004E5EA9"/>
    <w:rsid w:val="004E5EBB"/>
    <w:rsid w:val="004E6413"/>
    <w:rsid w:val="004E6ED2"/>
    <w:rsid w:val="004E7837"/>
    <w:rsid w:val="004E7BEA"/>
    <w:rsid w:val="004F049F"/>
    <w:rsid w:val="004F22BB"/>
    <w:rsid w:val="004F3292"/>
    <w:rsid w:val="004F3298"/>
    <w:rsid w:val="004F35FB"/>
    <w:rsid w:val="004F55D8"/>
    <w:rsid w:val="004F5BDC"/>
    <w:rsid w:val="004F5C33"/>
    <w:rsid w:val="004F6745"/>
    <w:rsid w:val="004F74AA"/>
    <w:rsid w:val="0050020B"/>
    <w:rsid w:val="00501E3D"/>
    <w:rsid w:val="005034C5"/>
    <w:rsid w:val="0050504E"/>
    <w:rsid w:val="005057A9"/>
    <w:rsid w:val="00506DBE"/>
    <w:rsid w:val="00510B05"/>
    <w:rsid w:val="00510C8C"/>
    <w:rsid w:val="00510EBA"/>
    <w:rsid w:val="00512101"/>
    <w:rsid w:val="00513C9C"/>
    <w:rsid w:val="00516354"/>
    <w:rsid w:val="00517420"/>
    <w:rsid w:val="00517A4A"/>
    <w:rsid w:val="00517B27"/>
    <w:rsid w:val="00520E56"/>
    <w:rsid w:val="0052135C"/>
    <w:rsid w:val="005218A9"/>
    <w:rsid w:val="00521B8C"/>
    <w:rsid w:val="00523DDE"/>
    <w:rsid w:val="00523F4C"/>
    <w:rsid w:val="00524818"/>
    <w:rsid w:val="00524A1E"/>
    <w:rsid w:val="0052576D"/>
    <w:rsid w:val="005268C4"/>
    <w:rsid w:val="00526CA5"/>
    <w:rsid w:val="005301C7"/>
    <w:rsid w:val="005311B2"/>
    <w:rsid w:val="00531C9B"/>
    <w:rsid w:val="00531F46"/>
    <w:rsid w:val="005335B7"/>
    <w:rsid w:val="00533B43"/>
    <w:rsid w:val="0053471F"/>
    <w:rsid w:val="005363EA"/>
    <w:rsid w:val="005364D8"/>
    <w:rsid w:val="00536F7F"/>
    <w:rsid w:val="005425A2"/>
    <w:rsid w:val="00543380"/>
    <w:rsid w:val="00543826"/>
    <w:rsid w:val="00543D64"/>
    <w:rsid w:val="00543D9F"/>
    <w:rsid w:val="005442AD"/>
    <w:rsid w:val="00544580"/>
    <w:rsid w:val="00544A11"/>
    <w:rsid w:val="00544AC8"/>
    <w:rsid w:val="00547630"/>
    <w:rsid w:val="00547A3B"/>
    <w:rsid w:val="00547C2F"/>
    <w:rsid w:val="00547E5C"/>
    <w:rsid w:val="005508B7"/>
    <w:rsid w:val="005529E1"/>
    <w:rsid w:val="005529E8"/>
    <w:rsid w:val="00554219"/>
    <w:rsid w:val="0055527A"/>
    <w:rsid w:val="00555314"/>
    <w:rsid w:val="00555CEC"/>
    <w:rsid w:val="00555ECC"/>
    <w:rsid w:val="00561F8E"/>
    <w:rsid w:val="005632C0"/>
    <w:rsid w:val="00563C8D"/>
    <w:rsid w:val="00564463"/>
    <w:rsid w:val="00564611"/>
    <w:rsid w:val="00564F2C"/>
    <w:rsid w:val="00565FA7"/>
    <w:rsid w:val="005674E0"/>
    <w:rsid w:val="00567C7E"/>
    <w:rsid w:val="00567F30"/>
    <w:rsid w:val="0057057C"/>
    <w:rsid w:val="00570637"/>
    <w:rsid w:val="0057094C"/>
    <w:rsid w:val="00570C9E"/>
    <w:rsid w:val="00570E3C"/>
    <w:rsid w:val="00571257"/>
    <w:rsid w:val="0057149E"/>
    <w:rsid w:val="00571E39"/>
    <w:rsid w:val="005727F2"/>
    <w:rsid w:val="005775AC"/>
    <w:rsid w:val="00577A6E"/>
    <w:rsid w:val="00580FDC"/>
    <w:rsid w:val="00581D9B"/>
    <w:rsid w:val="00583506"/>
    <w:rsid w:val="00583891"/>
    <w:rsid w:val="00583C27"/>
    <w:rsid w:val="005858A0"/>
    <w:rsid w:val="00585C41"/>
    <w:rsid w:val="00586A6E"/>
    <w:rsid w:val="005900A9"/>
    <w:rsid w:val="005926F2"/>
    <w:rsid w:val="00592AE3"/>
    <w:rsid w:val="00592F22"/>
    <w:rsid w:val="0059389D"/>
    <w:rsid w:val="00593901"/>
    <w:rsid w:val="005943BF"/>
    <w:rsid w:val="00594D4F"/>
    <w:rsid w:val="005978AF"/>
    <w:rsid w:val="005A07F0"/>
    <w:rsid w:val="005A144F"/>
    <w:rsid w:val="005A2A37"/>
    <w:rsid w:val="005A30D0"/>
    <w:rsid w:val="005A5A4E"/>
    <w:rsid w:val="005A5C1C"/>
    <w:rsid w:val="005A644B"/>
    <w:rsid w:val="005A6DC0"/>
    <w:rsid w:val="005B1F42"/>
    <w:rsid w:val="005B2C7E"/>
    <w:rsid w:val="005B3677"/>
    <w:rsid w:val="005B38DA"/>
    <w:rsid w:val="005B599D"/>
    <w:rsid w:val="005B6625"/>
    <w:rsid w:val="005B67E8"/>
    <w:rsid w:val="005B6CE3"/>
    <w:rsid w:val="005B7AC0"/>
    <w:rsid w:val="005C039B"/>
    <w:rsid w:val="005C1A15"/>
    <w:rsid w:val="005C1EDE"/>
    <w:rsid w:val="005C267E"/>
    <w:rsid w:val="005C2D46"/>
    <w:rsid w:val="005C2D8C"/>
    <w:rsid w:val="005C3E8C"/>
    <w:rsid w:val="005C43B9"/>
    <w:rsid w:val="005C47DC"/>
    <w:rsid w:val="005C50B1"/>
    <w:rsid w:val="005C5346"/>
    <w:rsid w:val="005C5690"/>
    <w:rsid w:val="005C73B4"/>
    <w:rsid w:val="005C74FC"/>
    <w:rsid w:val="005D0E73"/>
    <w:rsid w:val="005D17DD"/>
    <w:rsid w:val="005D1C42"/>
    <w:rsid w:val="005D25EA"/>
    <w:rsid w:val="005D455D"/>
    <w:rsid w:val="005D6B2F"/>
    <w:rsid w:val="005D76AF"/>
    <w:rsid w:val="005D7802"/>
    <w:rsid w:val="005D7B37"/>
    <w:rsid w:val="005D7E7C"/>
    <w:rsid w:val="005E07C4"/>
    <w:rsid w:val="005E0921"/>
    <w:rsid w:val="005E153C"/>
    <w:rsid w:val="005E1A52"/>
    <w:rsid w:val="005E23DC"/>
    <w:rsid w:val="005E2B5C"/>
    <w:rsid w:val="005E5BD9"/>
    <w:rsid w:val="005E6471"/>
    <w:rsid w:val="005F08B4"/>
    <w:rsid w:val="005F146A"/>
    <w:rsid w:val="005F1D1F"/>
    <w:rsid w:val="005F2334"/>
    <w:rsid w:val="005F28B3"/>
    <w:rsid w:val="005F34E0"/>
    <w:rsid w:val="005F5405"/>
    <w:rsid w:val="005F68AF"/>
    <w:rsid w:val="005F6E34"/>
    <w:rsid w:val="005F7BC5"/>
    <w:rsid w:val="0060150F"/>
    <w:rsid w:val="00601775"/>
    <w:rsid w:val="00601C0E"/>
    <w:rsid w:val="006026F9"/>
    <w:rsid w:val="00602CD0"/>
    <w:rsid w:val="0060363D"/>
    <w:rsid w:val="00604E6F"/>
    <w:rsid w:val="00605C87"/>
    <w:rsid w:val="0060622E"/>
    <w:rsid w:val="006062CE"/>
    <w:rsid w:val="00606E67"/>
    <w:rsid w:val="00607A42"/>
    <w:rsid w:val="00610314"/>
    <w:rsid w:val="00610512"/>
    <w:rsid w:val="00610B63"/>
    <w:rsid w:val="00611EFB"/>
    <w:rsid w:val="00612D62"/>
    <w:rsid w:val="0061365F"/>
    <w:rsid w:val="00613ED8"/>
    <w:rsid w:val="0061484A"/>
    <w:rsid w:val="00614B46"/>
    <w:rsid w:val="00614C5A"/>
    <w:rsid w:val="00615138"/>
    <w:rsid w:val="00616E9E"/>
    <w:rsid w:val="0061707C"/>
    <w:rsid w:val="006172C8"/>
    <w:rsid w:val="00617470"/>
    <w:rsid w:val="00620150"/>
    <w:rsid w:val="0062034B"/>
    <w:rsid w:val="0062083B"/>
    <w:rsid w:val="00620F9B"/>
    <w:rsid w:val="006211CF"/>
    <w:rsid w:val="00621A3E"/>
    <w:rsid w:val="00622500"/>
    <w:rsid w:val="00622AAC"/>
    <w:rsid w:val="00623FDE"/>
    <w:rsid w:val="0062437C"/>
    <w:rsid w:val="0062634A"/>
    <w:rsid w:val="00630779"/>
    <w:rsid w:val="00630969"/>
    <w:rsid w:val="0063143B"/>
    <w:rsid w:val="00631719"/>
    <w:rsid w:val="006319E7"/>
    <w:rsid w:val="00632A00"/>
    <w:rsid w:val="00632A3C"/>
    <w:rsid w:val="0063339D"/>
    <w:rsid w:val="00633BFE"/>
    <w:rsid w:val="00634080"/>
    <w:rsid w:val="006343E4"/>
    <w:rsid w:val="00636BE5"/>
    <w:rsid w:val="00637208"/>
    <w:rsid w:val="00641180"/>
    <w:rsid w:val="0064215B"/>
    <w:rsid w:val="00642606"/>
    <w:rsid w:val="0064281F"/>
    <w:rsid w:val="0064298C"/>
    <w:rsid w:val="006453ED"/>
    <w:rsid w:val="00645CEA"/>
    <w:rsid w:val="0065052C"/>
    <w:rsid w:val="00650B98"/>
    <w:rsid w:val="00650F07"/>
    <w:rsid w:val="0065139A"/>
    <w:rsid w:val="006516B6"/>
    <w:rsid w:val="00651A77"/>
    <w:rsid w:val="00651A7C"/>
    <w:rsid w:val="00651F0D"/>
    <w:rsid w:val="00652332"/>
    <w:rsid w:val="006524B8"/>
    <w:rsid w:val="00653E2F"/>
    <w:rsid w:val="00655016"/>
    <w:rsid w:val="006559E8"/>
    <w:rsid w:val="00656E9C"/>
    <w:rsid w:val="00657100"/>
    <w:rsid w:val="00657524"/>
    <w:rsid w:val="0065789C"/>
    <w:rsid w:val="00657982"/>
    <w:rsid w:val="006609E8"/>
    <w:rsid w:val="00661572"/>
    <w:rsid w:val="006615B0"/>
    <w:rsid w:val="00662B08"/>
    <w:rsid w:val="00662EB4"/>
    <w:rsid w:val="00663196"/>
    <w:rsid w:val="0066370A"/>
    <w:rsid w:val="00664067"/>
    <w:rsid w:val="006647DC"/>
    <w:rsid w:val="00664C56"/>
    <w:rsid w:val="00667078"/>
    <w:rsid w:val="00667D7D"/>
    <w:rsid w:val="00670488"/>
    <w:rsid w:val="00670963"/>
    <w:rsid w:val="00670F2F"/>
    <w:rsid w:val="0067226A"/>
    <w:rsid w:val="0067324A"/>
    <w:rsid w:val="00673450"/>
    <w:rsid w:val="006735B3"/>
    <w:rsid w:val="00673E71"/>
    <w:rsid w:val="00674AAA"/>
    <w:rsid w:val="00674D24"/>
    <w:rsid w:val="00676897"/>
    <w:rsid w:val="006777FB"/>
    <w:rsid w:val="00677F9A"/>
    <w:rsid w:val="00680680"/>
    <w:rsid w:val="006818E0"/>
    <w:rsid w:val="00681A03"/>
    <w:rsid w:val="00681FBC"/>
    <w:rsid w:val="00682615"/>
    <w:rsid w:val="006844AE"/>
    <w:rsid w:val="00684A53"/>
    <w:rsid w:val="00684C66"/>
    <w:rsid w:val="00685424"/>
    <w:rsid w:val="00685675"/>
    <w:rsid w:val="00685786"/>
    <w:rsid w:val="006861E2"/>
    <w:rsid w:val="00687244"/>
    <w:rsid w:val="006876E1"/>
    <w:rsid w:val="00687C99"/>
    <w:rsid w:val="00690203"/>
    <w:rsid w:val="00690416"/>
    <w:rsid w:val="00690567"/>
    <w:rsid w:val="00690BF3"/>
    <w:rsid w:val="00691CF4"/>
    <w:rsid w:val="006923D1"/>
    <w:rsid w:val="00692AFF"/>
    <w:rsid w:val="00692EB0"/>
    <w:rsid w:val="006935F8"/>
    <w:rsid w:val="0069402D"/>
    <w:rsid w:val="00694321"/>
    <w:rsid w:val="00694684"/>
    <w:rsid w:val="0069492D"/>
    <w:rsid w:val="006954C9"/>
    <w:rsid w:val="00695939"/>
    <w:rsid w:val="006962C6"/>
    <w:rsid w:val="00696B64"/>
    <w:rsid w:val="00696F3B"/>
    <w:rsid w:val="00697023"/>
    <w:rsid w:val="006977D1"/>
    <w:rsid w:val="006A0077"/>
    <w:rsid w:val="006A0987"/>
    <w:rsid w:val="006A0E37"/>
    <w:rsid w:val="006A1ED0"/>
    <w:rsid w:val="006A2070"/>
    <w:rsid w:val="006A314F"/>
    <w:rsid w:val="006A4BFB"/>
    <w:rsid w:val="006A5587"/>
    <w:rsid w:val="006A6F7F"/>
    <w:rsid w:val="006A7C4D"/>
    <w:rsid w:val="006A7EE3"/>
    <w:rsid w:val="006B00BB"/>
    <w:rsid w:val="006B0315"/>
    <w:rsid w:val="006B031B"/>
    <w:rsid w:val="006B13A8"/>
    <w:rsid w:val="006B1AD4"/>
    <w:rsid w:val="006B1C30"/>
    <w:rsid w:val="006B1F37"/>
    <w:rsid w:val="006B1FC1"/>
    <w:rsid w:val="006B1FE5"/>
    <w:rsid w:val="006B2D4D"/>
    <w:rsid w:val="006B2F6B"/>
    <w:rsid w:val="006B321A"/>
    <w:rsid w:val="006B33D0"/>
    <w:rsid w:val="006B38A6"/>
    <w:rsid w:val="006B3FF6"/>
    <w:rsid w:val="006B3FFE"/>
    <w:rsid w:val="006B418E"/>
    <w:rsid w:val="006B45D4"/>
    <w:rsid w:val="006B4A74"/>
    <w:rsid w:val="006B4E1A"/>
    <w:rsid w:val="006B4F8D"/>
    <w:rsid w:val="006B5EC6"/>
    <w:rsid w:val="006B6838"/>
    <w:rsid w:val="006B6E52"/>
    <w:rsid w:val="006C03EB"/>
    <w:rsid w:val="006C0BC7"/>
    <w:rsid w:val="006C187E"/>
    <w:rsid w:val="006C2064"/>
    <w:rsid w:val="006C2DAE"/>
    <w:rsid w:val="006C2EF7"/>
    <w:rsid w:val="006C3BC4"/>
    <w:rsid w:val="006C3C9D"/>
    <w:rsid w:val="006C528C"/>
    <w:rsid w:val="006C6311"/>
    <w:rsid w:val="006C7B70"/>
    <w:rsid w:val="006D00A9"/>
    <w:rsid w:val="006D0503"/>
    <w:rsid w:val="006D0BCE"/>
    <w:rsid w:val="006D17B3"/>
    <w:rsid w:val="006D235F"/>
    <w:rsid w:val="006D29B1"/>
    <w:rsid w:val="006D2C82"/>
    <w:rsid w:val="006D3966"/>
    <w:rsid w:val="006D3B58"/>
    <w:rsid w:val="006D3D5C"/>
    <w:rsid w:val="006D3EED"/>
    <w:rsid w:val="006D5389"/>
    <w:rsid w:val="006D54B0"/>
    <w:rsid w:val="006D6624"/>
    <w:rsid w:val="006D6689"/>
    <w:rsid w:val="006D7569"/>
    <w:rsid w:val="006E041C"/>
    <w:rsid w:val="006E08F4"/>
    <w:rsid w:val="006E2004"/>
    <w:rsid w:val="006E2831"/>
    <w:rsid w:val="006E2BE5"/>
    <w:rsid w:val="006E3F2E"/>
    <w:rsid w:val="006E48BC"/>
    <w:rsid w:val="006E4CF0"/>
    <w:rsid w:val="006E5A3A"/>
    <w:rsid w:val="006E6809"/>
    <w:rsid w:val="006E6AF3"/>
    <w:rsid w:val="006E7113"/>
    <w:rsid w:val="006E75D3"/>
    <w:rsid w:val="006F0279"/>
    <w:rsid w:val="006F0ABA"/>
    <w:rsid w:val="006F11BF"/>
    <w:rsid w:val="006F15A8"/>
    <w:rsid w:val="006F1A6A"/>
    <w:rsid w:val="006F1E51"/>
    <w:rsid w:val="006F243B"/>
    <w:rsid w:val="006F2CC9"/>
    <w:rsid w:val="006F3F48"/>
    <w:rsid w:val="006F4218"/>
    <w:rsid w:val="006F4841"/>
    <w:rsid w:val="006F560A"/>
    <w:rsid w:val="006F57E5"/>
    <w:rsid w:val="006F6B22"/>
    <w:rsid w:val="006F7548"/>
    <w:rsid w:val="006F7E92"/>
    <w:rsid w:val="00702FFD"/>
    <w:rsid w:val="00703E38"/>
    <w:rsid w:val="00703E8B"/>
    <w:rsid w:val="0070442F"/>
    <w:rsid w:val="00705BB3"/>
    <w:rsid w:val="0070618D"/>
    <w:rsid w:val="00706B10"/>
    <w:rsid w:val="00707830"/>
    <w:rsid w:val="00710E70"/>
    <w:rsid w:val="00710EA8"/>
    <w:rsid w:val="0071172D"/>
    <w:rsid w:val="00711BC4"/>
    <w:rsid w:val="00711C5C"/>
    <w:rsid w:val="00712669"/>
    <w:rsid w:val="007134B1"/>
    <w:rsid w:val="00713BCB"/>
    <w:rsid w:val="00714356"/>
    <w:rsid w:val="007143B9"/>
    <w:rsid w:val="00714911"/>
    <w:rsid w:val="00715205"/>
    <w:rsid w:val="007177F0"/>
    <w:rsid w:val="00717A2D"/>
    <w:rsid w:val="00717CA0"/>
    <w:rsid w:val="00720564"/>
    <w:rsid w:val="00720F7B"/>
    <w:rsid w:val="0072151A"/>
    <w:rsid w:val="00722153"/>
    <w:rsid w:val="00722C99"/>
    <w:rsid w:val="00723872"/>
    <w:rsid w:val="0072615D"/>
    <w:rsid w:val="00726376"/>
    <w:rsid w:val="007266FC"/>
    <w:rsid w:val="0072719D"/>
    <w:rsid w:val="00730061"/>
    <w:rsid w:val="0073238F"/>
    <w:rsid w:val="0073286C"/>
    <w:rsid w:val="00732917"/>
    <w:rsid w:val="0073318A"/>
    <w:rsid w:val="00733348"/>
    <w:rsid w:val="00733B6F"/>
    <w:rsid w:val="00733C63"/>
    <w:rsid w:val="00734DB9"/>
    <w:rsid w:val="00735734"/>
    <w:rsid w:val="00735E7C"/>
    <w:rsid w:val="007360B0"/>
    <w:rsid w:val="00737701"/>
    <w:rsid w:val="00737A00"/>
    <w:rsid w:val="00740659"/>
    <w:rsid w:val="007409F6"/>
    <w:rsid w:val="00740A76"/>
    <w:rsid w:val="00741212"/>
    <w:rsid w:val="0074186D"/>
    <w:rsid w:val="0074246A"/>
    <w:rsid w:val="00742532"/>
    <w:rsid w:val="00742DDD"/>
    <w:rsid w:val="00743354"/>
    <w:rsid w:val="007433F6"/>
    <w:rsid w:val="00743819"/>
    <w:rsid w:val="00744EC8"/>
    <w:rsid w:val="0074512F"/>
    <w:rsid w:val="0074632E"/>
    <w:rsid w:val="0074679C"/>
    <w:rsid w:val="0074700C"/>
    <w:rsid w:val="00751596"/>
    <w:rsid w:val="007524F6"/>
    <w:rsid w:val="007552CC"/>
    <w:rsid w:val="007574D3"/>
    <w:rsid w:val="00760330"/>
    <w:rsid w:val="0076355D"/>
    <w:rsid w:val="00763852"/>
    <w:rsid w:val="00764425"/>
    <w:rsid w:val="007644B2"/>
    <w:rsid w:val="007644ED"/>
    <w:rsid w:val="00764D1A"/>
    <w:rsid w:val="007652C5"/>
    <w:rsid w:val="00765745"/>
    <w:rsid w:val="00766453"/>
    <w:rsid w:val="00767ADF"/>
    <w:rsid w:val="00770563"/>
    <w:rsid w:val="00770F28"/>
    <w:rsid w:val="00771135"/>
    <w:rsid w:val="00771605"/>
    <w:rsid w:val="00774303"/>
    <w:rsid w:val="0077602F"/>
    <w:rsid w:val="00776962"/>
    <w:rsid w:val="007773DD"/>
    <w:rsid w:val="00777674"/>
    <w:rsid w:val="007826AF"/>
    <w:rsid w:val="007830C4"/>
    <w:rsid w:val="00783A68"/>
    <w:rsid w:val="00783BF7"/>
    <w:rsid w:val="007857D0"/>
    <w:rsid w:val="00785ABD"/>
    <w:rsid w:val="0078602A"/>
    <w:rsid w:val="0078620B"/>
    <w:rsid w:val="00786F58"/>
    <w:rsid w:val="00787E80"/>
    <w:rsid w:val="00792C59"/>
    <w:rsid w:val="00793423"/>
    <w:rsid w:val="00795DA5"/>
    <w:rsid w:val="007961EA"/>
    <w:rsid w:val="007976CC"/>
    <w:rsid w:val="007A0195"/>
    <w:rsid w:val="007A0AE3"/>
    <w:rsid w:val="007A1367"/>
    <w:rsid w:val="007A1910"/>
    <w:rsid w:val="007A28C4"/>
    <w:rsid w:val="007A2E0E"/>
    <w:rsid w:val="007A3797"/>
    <w:rsid w:val="007A42D8"/>
    <w:rsid w:val="007A45FF"/>
    <w:rsid w:val="007A4EAF"/>
    <w:rsid w:val="007A5CC1"/>
    <w:rsid w:val="007A6C83"/>
    <w:rsid w:val="007A7DA6"/>
    <w:rsid w:val="007A7FD4"/>
    <w:rsid w:val="007B0321"/>
    <w:rsid w:val="007B1CE9"/>
    <w:rsid w:val="007B35B9"/>
    <w:rsid w:val="007B4E77"/>
    <w:rsid w:val="007B5AF9"/>
    <w:rsid w:val="007B631E"/>
    <w:rsid w:val="007B6376"/>
    <w:rsid w:val="007B6F2C"/>
    <w:rsid w:val="007B750D"/>
    <w:rsid w:val="007C182E"/>
    <w:rsid w:val="007C21FE"/>
    <w:rsid w:val="007C2350"/>
    <w:rsid w:val="007C2BC9"/>
    <w:rsid w:val="007C334B"/>
    <w:rsid w:val="007C368A"/>
    <w:rsid w:val="007C434F"/>
    <w:rsid w:val="007C4ADB"/>
    <w:rsid w:val="007C4C4A"/>
    <w:rsid w:val="007C51A4"/>
    <w:rsid w:val="007C5F01"/>
    <w:rsid w:val="007C6B73"/>
    <w:rsid w:val="007C7432"/>
    <w:rsid w:val="007C7FA7"/>
    <w:rsid w:val="007D0642"/>
    <w:rsid w:val="007D227B"/>
    <w:rsid w:val="007D359D"/>
    <w:rsid w:val="007D3C7C"/>
    <w:rsid w:val="007D4CC0"/>
    <w:rsid w:val="007D5B5E"/>
    <w:rsid w:val="007D6758"/>
    <w:rsid w:val="007D7A79"/>
    <w:rsid w:val="007D7CBD"/>
    <w:rsid w:val="007D7DA6"/>
    <w:rsid w:val="007D7DB4"/>
    <w:rsid w:val="007E1820"/>
    <w:rsid w:val="007E183E"/>
    <w:rsid w:val="007E1AF0"/>
    <w:rsid w:val="007E4746"/>
    <w:rsid w:val="007E4866"/>
    <w:rsid w:val="007E4EA0"/>
    <w:rsid w:val="007E53D2"/>
    <w:rsid w:val="007E5466"/>
    <w:rsid w:val="007E5FF2"/>
    <w:rsid w:val="007E6F62"/>
    <w:rsid w:val="007F0AC4"/>
    <w:rsid w:val="007F0B15"/>
    <w:rsid w:val="007F0CC7"/>
    <w:rsid w:val="007F1440"/>
    <w:rsid w:val="007F15F5"/>
    <w:rsid w:val="007F316D"/>
    <w:rsid w:val="007F3E81"/>
    <w:rsid w:val="007F40F4"/>
    <w:rsid w:val="007F479E"/>
    <w:rsid w:val="007F4ACB"/>
    <w:rsid w:val="007F5A95"/>
    <w:rsid w:val="007F5B3C"/>
    <w:rsid w:val="007F72D1"/>
    <w:rsid w:val="00800189"/>
    <w:rsid w:val="00800247"/>
    <w:rsid w:val="0080038A"/>
    <w:rsid w:val="008012BF"/>
    <w:rsid w:val="008023CA"/>
    <w:rsid w:val="00803667"/>
    <w:rsid w:val="00803E3A"/>
    <w:rsid w:val="00804C78"/>
    <w:rsid w:val="00805109"/>
    <w:rsid w:val="0080512C"/>
    <w:rsid w:val="00805843"/>
    <w:rsid w:val="00805B9D"/>
    <w:rsid w:val="00805D0A"/>
    <w:rsid w:val="00805E00"/>
    <w:rsid w:val="00805E8A"/>
    <w:rsid w:val="00806696"/>
    <w:rsid w:val="00806F6A"/>
    <w:rsid w:val="00807B53"/>
    <w:rsid w:val="0081102F"/>
    <w:rsid w:val="00811286"/>
    <w:rsid w:val="008113FD"/>
    <w:rsid w:val="00811476"/>
    <w:rsid w:val="00812D19"/>
    <w:rsid w:val="0081302A"/>
    <w:rsid w:val="00813401"/>
    <w:rsid w:val="00814B8B"/>
    <w:rsid w:val="00814BD8"/>
    <w:rsid w:val="00814FDE"/>
    <w:rsid w:val="008152A7"/>
    <w:rsid w:val="00815E09"/>
    <w:rsid w:val="00817F15"/>
    <w:rsid w:val="00820661"/>
    <w:rsid w:val="00820F85"/>
    <w:rsid w:val="008214B9"/>
    <w:rsid w:val="00821F0E"/>
    <w:rsid w:val="00822156"/>
    <w:rsid w:val="008221D8"/>
    <w:rsid w:val="00822B05"/>
    <w:rsid w:val="00822C26"/>
    <w:rsid w:val="00823B23"/>
    <w:rsid w:val="00824146"/>
    <w:rsid w:val="00824D53"/>
    <w:rsid w:val="00824E19"/>
    <w:rsid w:val="00825126"/>
    <w:rsid w:val="00827BAA"/>
    <w:rsid w:val="008300E2"/>
    <w:rsid w:val="008311D2"/>
    <w:rsid w:val="0083155B"/>
    <w:rsid w:val="00831D37"/>
    <w:rsid w:val="00834122"/>
    <w:rsid w:val="0083461E"/>
    <w:rsid w:val="008349D9"/>
    <w:rsid w:val="00834B0F"/>
    <w:rsid w:val="00834DA4"/>
    <w:rsid w:val="008368D0"/>
    <w:rsid w:val="008369CD"/>
    <w:rsid w:val="00836BDA"/>
    <w:rsid w:val="0083745E"/>
    <w:rsid w:val="008375BB"/>
    <w:rsid w:val="00837AD3"/>
    <w:rsid w:val="00837B4B"/>
    <w:rsid w:val="00837DC3"/>
    <w:rsid w:val="00840538"/>
    <w:rsid w:val="00840E34"/>
    <w:rsid w:val="00841E5F"/>
    <w:rsid w:val="0084265D"/>
    <w:rsid w:val="008426DF"/>
    <w:rsid w:val="00842C20"/>
    <w:rsid w:val="00844F7B"/>
    <w:rsid w:val="0084528D"/>
    <w:rsid w:val="008452E7"/>
    <w:rsid w:val="008453B9"/>
    <w:rsid w:val="00845592"/>
    <w:rsid w:val="00846631"/>
    <w:rsid w:val="00846D9A"/>
    <w:rsid w:val="00847BD0"/>
    <w:rsid w:val="00847E6A"/>
    <w:rsid w:val="008512AB"/>
    <w:rsid w:val="008513BF"/>
    <w:rsid w:val="00852D28"/>
    <w:rsid w:val="00853134"/>
    <w:rsid w:val="008539FB"/>
    <w:rsid w:val="00853B6B"/>
    <w:rsid w:val="00854BEE"/>
    <w:rsid w:val="00855149"/>
    <w:rsid w:val="0085592C"/>
    <w:rsid w:val="00856168"/>
    <w:rsid w:val="008562DA"/>
    <w:rsid w:val="008564B9"/>
    <w:rsid w:val="008564FE"/>
    <w:rsid w:val="0085693F"/>
    <w:rsid w:val="00856AAB"/>
    <w:rsid w:val="008574C0"/>
    <w:rsid w:val="00857C61"/>
    <w:rsid w:val="00857EFF"/>
    <w:rsid w:val="008601F7"/>
    <w:rsid w:val="008612E3"/>
    <w:rsid w:val="008633E2"/>
    <w:rsid w:val="0086489F"/>
    <w:rsid w:val="008649E1"/>
    <w:rsid w:val="0086594D"/>
    <w:rsid w:val="0086689D"/>
    <w:rsid w:val="0086728E"/>
    <w:rsid w:val="00870F26"/>
    <w:rsid w:val="0087142E"/>
    <w:rsid w:val="008715CF"/>
    <w:rsid w:val="008729C4"/>
    <w:rsid w:val="00872BB3"/>
    <w:rsid w:val="00873123"/>
    <w:rsid w:val="00875757"/>
    <w:rsid w:val="00876AA0"/>
    <w:rsid w:val="0087780D"/>
    <w:rsid w:val="00880C10"/>
    <w:rsid w:val="00880F0C"/>
    <w:rsid w:val="0088121A"/>
    <w:rsid w:val="008816CB"/>
    <w:rsid w:val="00881872"/>
    <w:rsid w:val="008818D2"/>
    <w:rsid w:val="00881BD7"/>
    <w:rsid w:val="008820C5"/>
    <w:rsid w:val="00882E2D"/>
    <w:rsid w:val="008840DF"/>
    <w:rsid w:val="008842B5"/>
    <w:rsid w:val="00884BFB"/>
    <w:rsid w:val="0088606A"/>
    <w:rsid w:val="008860A3"/>
    <w:rsid w:val="00886172"/>
    <w:rsid w:val="00886911"/>
    <w:rsid w:val="00886EDD"/>
    <w:rsid w:val="00886F71"/>
    <w:rsid w:val="0088753C"/>
    <w:rsid w:val="00887AFA"/>
    <w:rsid w:val="00887D3B"/>
    <w:rsid w:val="00890AFE"/>
    <w:rsid w:val="00890BEE"/>
    <w:rsid w:val="0089133A"/>
    <w:rsid w:val="00891520"/>
    <w:rsid w:val="008947CD"/>
    <w:rsid w:val="00894FB0"/>
    <w:rsid w:val="00895479"/>
    <w:rsid w:val="008959A6"/>
    <w:rsid w:val="008961FD"/>
    <w:rsid w:val="008976C9"/>
    <w:rsid w:val="008A21A4"/>
    <w:rsid w:val="008A45B6"/>
    <w:rsid w:val="008A49A5"/>
    <w:rsid w:val="008A539A"/>
    <w:rsid w:val="008A584B"/>
    <w:rsid w:val="008A5D66"/>
    <w:rsid w:val="008A7F5D"/>
    <w:rsid w:val="008B063C"/>
    <w:rsid w:val="008B07EA"/>
    <w:rsid w:val="008B1298"/>
    <w:rsid w:val="008B15B7"/>
    <w:rsid w:val="008B182C"/>
    <w:rsid w:val="008B1916"/>
    <w:rsid w:val="008B3514"/>
    <w:rsid w:val="008B3A1E"/>
    <w:rsid w:val="008B3E53"/>
    <w:rsid w:val="008B3F4A"/>
    <w:rsid w:val="008B5229"/>
    <w:rsid w:val="008B54A7"/>
    <w:rsid w:val="008B689C"/>
    <w:rsid w:val="008B7286"/>
    <w:rsid w:val="008B7533"/>
    <w:rsid w:val="008B7B63"/>
    <w:rsid w:val="008C0311"/>
    <w:rsid w:val="008C1D8A"/>
    <w:rsid w:val="008C2556"/>
    <w:rsid w:val="008C27FD"/>
    <w:rsid w:val="008C3C8B"/>
    <w:rsid w:val="008C3EAB"/>
    <w:rsid w:val="008C445B"/>
    <w:rsid w:val="008C4D86"/>
    <w:rsid w:val="008C52DC"/>
    <w:rsid w:val="008C5690"/>
    <w:rsid w:val="008C669D"/>
    <w:rsid w:val="008C6B4D"/>
    <w:rsid w:val="008C7159"/>
    <w:rsid w:val="008C7E54"/>
    <w:rsid w:val="008D0A39"/>
    <w:rsid w:val="008D0C49"/>
    <w:rsid w:val="008D2D08"/>
    <w:rsid w:val="008D4207"/>
    <w:rsid w:val="008D4365"/>
    <w:rsid w:val="008D4FF4"/>
    <w:rsid w:val="008D64AB"/>
    <w:rsid w:val="008D66FB"/>
    <w:rsid w:val="008E0E5E"/>
    <w:rsid w:val="008E0F6B"/>
    <w:rsid w:val="008E153E"/>
    <w:rsid w:val="008E177E"/>
    <w:rsid w:val="008E1F42"/>
    <w:rsid w:val="008E2499"/>
    <w:rsid w:val="008E26A5"/>
    <w:rsid w:val="008E3811"/>
    <w:rsid w:val="008E3B31"/>
    <w:rsid w:val="008E3D14"/>
    <w:rsid w:val="008E3EEE"/>
    <w:rsid w:val="008E4AD9"/>
    <w:rsid w:val="008E4E01"/>
    <w:rsid w:val="008E652D"/>
    <w:rsid w:val="008E7358"/>
    <w:rsid w:val="008E7B6F"/>
    <w:rsid w:val="008F06F7"/>
    <w:rsid w:val="008F0E2E"/>
    <w:rsid w:val="008F1B0B"/>
    <w:rsid w:val="008F1C4A"/>
    <w:rsid w:val="008F2EBE"/>
    <w:rsid w:val="008F3451"/>
    <w:rsid w:val="008F3F3D"/>
    <w:rsid w:val="00903BFC"/>
    <w:rsid w:val="009040D9"/>
    <w:rsid w:val="00905488"/>
    <w:rsid w:val="0090621B"/>
    <w:rsid w:val="009100A4"/>
    <w:rsid w:val="0091023A"/>
    <w:rsid w:val="00911C11"/>
    <w:rsid w:val="00912D68"/>
    <w:rsid w:val="009133EA"/>
    <w:rsid w:val="009138DC"/>
    <w:rsid w:val="00913C29"/>
    <w:rsid w:val="009149A0"/>
    <w:rsid w:val="00915F30"/>
    <w:rsid w:val="009165CF"/>
    <w:rsid w:val="009167C1"/>
    <w:rsid w:val="00916F91"/>
    <w:rsid w:val="009175D9"/>
    <w:rsid w:val="00920B1D"/>
    <w:rsid w:val="00922397"/>
    <w:rsid w:val="0092354C"/>
    <w:rsid w:val="00925273"/>
    <w:rsid w:val="009270DF"/>
    <w:rsid w:val="00927548"/>
    <w:rsid w:val="00931066"/>
    <w:rsid w:val="009322B8"/>
    <w:rsid w:val="00932457"/>
    <w:rsid w:val="00932D82"/>
    <w:rsid w:val="00932E58"/>
    <w:rsid w:val="00932FDA"/>
    <w:rsid w:val="00933AB8"/>
    <w:rsid w:val="0093407C"/>
    <w:rsid w:val="00934355"/>
    <w:rsid w:val="00934AD6"/>
    <w:rsid w:val="009353F3"/>
    <w:rsid w:val="0093599C"/>
    <w:rsid w:val="00937325"/>
    <w:rsid w:val="009374DA"/>
    <w:rsid w:val="009406C4"/>
    <w:rsid w:val="00940CD2"/>
    <w:rsid w:val="0094295E"/>
    <w:rsid w:val="00942E22"/>
    <w:rsid w:val="00943A01"/>
    <w:rsid w:val="00945792"/>
    <w:rsid w:val="009468BB"/>
    <w:rsid w:val="009479F4"/>
    <w:rsid w:val="00951282"/>
    <w:rsid w:val="009512B5"/>
    <w:rsid w:val="00952669"/>
    <w:rsid w:val="00955926"/>
    <w:rsid w:val="00955E87"/>
    <w:rsid w:val="00955F2A"/>
    <w:rsid w:val="00957261"/>
    <w:rsid w:val="0095742D"/>
    <w:rsid w:val="00960422"/>
    <w:rsid w:val="00960F8A"/>
    <w:rsid w:val="0096114A"/>
    <w:rsid w:val="009617A4"/>
    <w:rsid w:val="00961B18"/>
    <w:rsid w:val="009624CE"/>
    <w:rsid w:val="0096330A"/>
    <w:rsid w:val="009634F8"/>
    <w:rsid w:val="009639FA"/>
    <w:rsid w:val="00963D90"/>
    <w:rsid w:val="009647B0"/>
    <w:rsid w:val="009649D5"/>
    <w:rsid w:val="00964C72"/>
    <w:rsid w:val="00964D8D"/>
    <w:rsid w:val="0096530F"/>
    <w:rsid w:val="009656A7"/>
    <w:rsid w:val="009657BB"/>
    <w:rsid w:val="00965995"/>
    <w:rsid w:val="00965B3A"/>
    <w:rsid w:val="00965DD5"/>
    <w:rsid w:val="0096720E"/>
    <w:rsid w:val="00970348"/>
    <w:rsid w:val="00972944"/>
    <w:rsid w:val="00972B04"/>
    <w:rsid w:val="00974448"/>
    <w:rsid w:val="00975692"/>
    <w:rsid w:val="00975BB5"/>
    <w:rsid w:val="00976A5E"/>
    <w:rsid w:val="00977DF3"/>
    <w:rsid w:val="0098108F"/>
    <w:rsid w:val="009827F5"/>
    <w:rsid w:val="00983B2E"/>
    <w:rsid w:val="009844AD"/>
    <w:rsid w:val="00984A8B"/>
    <w:rsid w:val="00985222"/>
    <w:rsid w:val="00985BEC"/>
    <w:rsid w:val="00985D50"/>
    <w:rsid w:val="009866AC"/>
    <w:rsid w:val="00986790"/>
    <w:rsid w:val="00987347"/>
    <w:rsid w:val="00987D45"/>
    <w:rsid w:val="009909FB"/>
    <w:rsid w:val="009910F8"/>
    <w:rsid w:val="009913AB"/>
    <w:rsid w:val="00992A4D"/>
    <w:rsid w:val="00993225"/>
    <w:rsid w:val="009957CB"/>
    <w:rsid w:val="00996B1B"/>
    <w:rsid w:val="009A0366"/>
    <w:rsid w:val="009A0444"/>
    <w:rsid w:val="009A047F"/>
    <w:rsid w:val="009A1985"/>
    <w:rsid w:val="009A1A62"/>
    <w:rsid w:val="009A27E5"/>
    <w:rsid w:val="009A2BD4"/>
    <w:rsid w:val="009A2C6B"/>
    <w:rsid w:val="009A404C"/>
    <w:rsid w:val="009A43A8"/>
    <w:rsid w:val="009A48D9"/>
    <w:rsid w:val="009A50AF"/>
    <w:rsid w:val="009A79B6"/>
    <w:rsid w:val="009B17A3"/>
    <w:rsid w:val="009B1E0C"/>
    <w:rsid w:val="009B23BA"/>
    <w:rsid w:val="009B24DC"/>
    <w:rsid w:val="009B3EF7"/>
    <w:rsid w:val="009B4A76"/>
    <w:rsid w:val="009B513C"/>
    <w:rsid w:val="009B5D1B"/>
    <w:rsid w:val="009C3B2E"/>
    <w:rsid w:val="009C49EA"/>
    <w:rsid w:val="009C5CE1"/>
    <w:rsid w:val="009C6524"/>
    <w:rsid w:val="009C6B0D"/>
    <w:rsid w:val="009D2252"/>
    <w:rsid w:val="009D328C"/>
    <w:rsid w:val="009D3373"/>
    <w:rsid w:val="009D37EA"/>
    <w:rsid w:val="009D389E"/>
    <w:rsid w:val="009D5191"/>
    <w:rsid w:val="009D5C1F"/>
    <w:rsid w:val="009D5C6B"/>
    <w:rsid w:val="009D64D2"/>
    <w:rsid w:val="009D6844"/>
    <w:rsid w:val="009D6CA9"/>
    <w:rsid w:val="009E05F6"/>
    <w:rsid w:val="009E06A5"/>
    <w:rsid w:val="009E1326"/>
    <w:rsid w:val="009E296C"/>
    <w:rsid w:val="009E4336"/>
    <w:rsid w:val="009E59CD"/>
    <w:rsid w:val="009E5DC4"/>
    <w:rsid w:val="009E6190"/>
    <w:rsid w:val="009E6541"/>
    <w:rsid w:val="009E6D6B"/>
    <w:rsid w:val="009F0AD1"/>
    <w:rsid w:val="009F0E8C"/>
    <w:rsid w:val="009F2641"/>
    <w:rsid w:val="009F2F3E"/>
    <w:rsid w:val="009F3686"/>
    <w:rsid w:val="009F3910"/>
    <w:rsid w:val="009F61EE"/>
    <w:rsid w:val="009F66ED"/>
    <w:rsid w:val="00A00ECF"/>
    <w:rsid w:val="00A01CB3"/>
    <w:rsid w:val="00A037BF"/>
    <w:rsid w:val="00A03FD5"/>
    <w:rsid w:val="00A044B5"/>
    <w:rsid w:val="00A04873"/>
    <w:rsid w:val="00A04977"/>
    <w:rsid w:val="00A04C14"/>
    <w:rsid w:val="00A058DA"/>
    <w:rsid w:val="00A059C9"/>
    <w:rsid w:val="00A06281"/>
    <w:rsid w:val="00A06F57"/>
    <w:rsid w:val="00A106FB"/>
    <w:rsid w:val="00A114C5"/>
    <w:rsid w:val="00A124DF"/>
    <w:rsid w:val="00A12CE6"/>
    <w:rsid w:val="00A134F7"/>
    <w:rsid w:val="00A13860"/>
    <w:rsid w:val="00A14554"/>
    <w:rsid w:val="00A15242"/>
    <w:rsid w:val="00A162D5"/>
    <w:rsid w:val="00A169AB"/>
    <w:rsid w:val="00A179DF"/>
    <w:rsid w:val="00A21585"/>
    <w:rsid w:val="00A225E1"/>
    <w:rsid w:val="00A22C3C"/>
    <w:rsid w:val="00A2332D"/>
    <w:rsid w:val="00A24041"/>
    <w:rsid w:val="00A24253"/>
    <w:rsid w:val="00A25F4B"/>
    <w:rsid w:val="00A26534"/>
    <w:rsid w:val="00A342E4"/>
    <w:rsid w:val="00A3485B"/>
    <w:rsid w:val="00A34C66"/>
    <w:rsid w:val="00A36F0B"/>
    <w:rsid w:val="00A37783"/>
    <w:rsid w:val="00A37932"/>
    <w:rsid w:val="00A37A13"/>
    <w:rsid w:val="00A40046"/>
    <w:rsid w:val="00A41BE3"/>
    <w:rsid w:val="00A423E6"/>
    <w:rsid w:val="00A428C9"/>
    <w:rsid w:val="00A43EC4"/>
    <w:rsid w:val="00A448AB"/>
    <w:rsid w:val="00A44AF7"/>
    <w:rsid w:val="00A45537"/>
    <w:rsid w:val="00A456B7"/>
    <w:rsid w:val="00A457B3"/>
    <w:rsid w:val="00A45A0F"/>
    <w:rsid w:val="00A46FE0"/>
    <w:rsid w:val="00A4732D"/>
    <w:rsid w:val="00A47714"/>
    <w:rsid w:val="00A47754"/>
    <w:rsid w:val="00A4799C"/>
    <w:rsid w:val="00A47CF8"/>
    <w:rsid w:val="00A47D3E"/>
    <w:rsid w:val="00A5013B"/>
    <w:rsid w:val="00A50AAF"/>
    <w:rsid w:val="00A51FFC"/>
    <w:rsid w:val="00A525D2"/>
    <w:rsid w:val="00A53EDA"/>
    <w:rsid w:val="00A548D4"/>
    <w:rsid w:val="00A5512D"/>
    <w:rsid w:val="00A55581"/>
    <w:rsid w:val="00A556D5"/>
    <w:rsid w:val="00A57578"/>
    <w:rsid w:val="00A575C5"/>
    <w:rsid w:val="00A578EC"/>
    <w:rsid w:val="00A578FB"/>
    <w:rsid w:val="00A57A0C"/>
    <w:rsid w:val="00A603F0"/>
    <w:rsid w:val="00A6087D"/>
    <w:rsid w:val="00A60F2C"/>
    <w:rsid w:val="00A613B9"/>
    <w:rsid w:val="00A61AFF"/>
    <w:rsid w:val="00A61ED4"/>
    <w:rsid w:val="00A646DF"/>
    <w:rsid w:val="00A655CE"/>
    <w:rsid w:val="00A65EF0"/>
    <w:rsid w:val="00A66D17"/>
    <w:rsid w:val="00A66E8D"/>
    <w:rsid w:val="00A66EDE"/>
    <w:rsid w:val="00A677C0"/>
    <w:rsid w:val="00A71D97"/>
    <w:rsid w:val="00A721DF"/>
    <w:rsid w:val="00A7221E"/>
    <w:rsid w:val="00A725CF"/>
    <w:rsid w:val="00A72F2D"/>
    <w:rsid w:val="00A736BE"/>
    <w:rsid w:val="00A742CC"/>
    <w:rsid w:val="00A75BB0"/>
    <w:rsid w:val="00A75FC5"/>
    <w:rsid w:val="00A766C1"/>
    <w:rsid w:val="00A76A6E"/>
    <w:rsid w:val="00A76BF2"/>
    <w:rsid w:val="00A76E36"/>
    <w:rsid w:val="00A77D5B"/>
    <w:rsid w:val="00A80EDB"/>
    <w:rsid w:val="00A810B7"/>
    <w:rsid w:val="00A81B1E"/>
    <w:rsid w:val="00A837AD"/>
    <w:rsid w:val="00A83EE0"/>
    <w:rsid w:val="00A847D5"/>
    <w:rsid w:val="00A85150"/>
    <w:rsid w:val="00A85520"/>
    <w:rsid w:val="00A865EC"/>
    <w:rsid w:val="00A87788"/>
    <w:rsid w:val="00A9040A"/>
    <w:rsid w:val="00A91671"/>
    <w:rsid w:val="00A92360"/>
    <w:rsid w:val="00A933D0"/>
    <w:rsid w:val="00A93439"/>
    <w:rsid w:val="00A937B2"/>
    <w:rsid w:val="00A93963"/>
    <w:rsid w:val="00A94640"/>
    <w:rsid w:val="00A9505D"/>
    <w:rsid w:val="00A950B7"/>
    <w:rsid w:val="00A96867"/>
    <w:rsid w:val="00AA027A"/>
    <w:rsid w:val="00AA0FF1"/>
    <w:rsid w:val="00AA179F"/>
    <w:rsid w:val="00AA2466"/>
    <w:rsid w:val="00AA25C1"/>
    <w:rsid w:val="00AA34AA"/>
    <w:rsid w:val="00AA387C"/>
    <w:rsid w:val="00AA3CF7"/>
    <w:rsid w:val="00AA50AE"/>
    <w:rsid w:val="00AA6491"/>
    <w:rsid w:val="00AA684A"/>
    <w:rsid w:val="00AA6D5E"/>
    <w:rsid w:val="00AA727C"/>
    <w:rsid w:val="00AA7752"/>
    <w:rsid w:val="00AB04D3"/>
    <w:rsid w:val="00AB22E0"/>
    <w:rsid w:val="00AB2F6B"/>
    <w:rsid w:val="00AB30A8"/>
    <w:rsid w:val="00AB3867"/>
    <w:rsid w:val="00AB3F64"/>
    <w:rsid w:val="00AB4685"/>
    <w:rsid w:val="00AB6985"/>
    <w:rsid w:val="00AB7B58"/>
    <w:rsid w:val="00AC0274"/>
    <w:rsid w:val="00AC03B0"/>
    <w:rsid w:val="00AC0983"/>
    <w:rsid w:val="00AC0C17"/>
    <w:rsid w:val="00AC1C05"/>
    <w:rsid w:val="00AC26A7"/>
    <w:rsid w:val="00AC2F9B"/>
    <w:rsid w:val="00AC37FB"/>
    <w:rsid w:val="00AC3882"/>
    <w:rsid w:val="00AC3BB4"/>
    <w:rsid w:val="00AC54A7"/>
    <w:rsid w:val="00AC5B41"/>
    <w:rsid w:val="00AC5D87"/>
    <w:rsid w:val="00AC5E1E"/>
    <w:rsid w:val="00AC75DE"/>
    <w:rsid w:val="00AD05F8"/>
    <w:rsid w:val="00AD1B42"/>
    <w:rsid w:val="00AD27E3"/>
    <w:rsid w:val="00AD2AAF"/>
    <w:rsid w:val="00AD332C"/>
    <w:rsid w:val="00AD44CB"/>
    <w:rsid w:val="00AD47B2"/>
    <w:rsid w:val="00AD4B3C"/>
    <w:rsid w:val="00AD5761"/>
    <w:rsid w:val="00AD6EF7"/>
    <w:rsid w:val="00AD738C"/>
    <w:rsid w:val="00AD7499"/>
    <w:rsid w:val="00AD79D9"/>
    <w:rsid w:val="00AD7F74"/>
    <w:rsid w:val="00AE1A76"/>
    <w:rsid w:val="00AE219A"/>
    <w:rsid w:val="00AE2337"/>
    <w:rsid w:val="00AE25B3"/>
    <w:rsid w:val="00AE4390"/>
    <w:rsid w:val="00AE4F96"/>
    <w:rsid w:val="00AE5D19"/>
    <w:rsid w:val="00AE63DF"/>
    <w:rsid w:val="00AF1261"/>
    <w:rsid w:val="00AF1AFE"/>
    <w:rsid w:val="00AF200B"/>
    <w:rsid w:val="00AF2302"/>
    <w:rsid w:val="00AF2428"/>
    <w:rsid w:val="00AF2909"/>
    <w:rsid w:val="00AF6906"/>
    <w:rsid w:val="00AF6908"/>
    <w:rsid w:val="00AF6A22"/>
    <w:rsid w:val="00AF7F4B"/>
    <w:rsid w:val="00B00277"/>
    <w:rsid w:val="00B00D01"/>
    <w:rsid w:val="00B05C2E"/>
    <w:rsid w:val="00B05CB9"/>
    <w:rsid w:val="00B067CD"/>
    <w:rsid w:val="00B06DD2"/>
    <w:rsid w:val="00B07156"/>
    <w:rsid w:val="00B077BE"/>
    <w:rsid w:val="00B07AFA"/>
    <w:rsid w:val="00B07D5C"/>
    <w:rsid w:val="00B109F4"/>
    <w:rsid w:val="00B12E69"/>
    <w:rsid w:val="00B1357D"/>
    <w:rsid w:val="00B139CE"/>
    <w:rsid w:val="00B13A30"/>
    <w:rsid w:val="00B147C1"/>
    <w:rsid w:val="00B1551F"/>
    <w:rsid w:val="00B15EA0"/>
    <w:rsid w:val="00B16E5C"/>
    <w:rsid w:val="00B20BB6"/>
    <w:rsid w:val="00B20C87"/>
    <w:rsid w:val="00B21C39"/>
    <w:rsid w:val="00B21D29"/>
    <w:rsid w:val="00B21E64"/>
    <w:rsid w:val="00B226BA"/>
    <w:rsid w:val="00B227EE"/>
    <w:rsid w:val="00B2469B"/>
    <w:rsid w:val="00B259E1"/>
    <w:rsid w:val="00B25CBB"/>
    <w:rsid w:val="00B26200"/>
    <w:rsid w:val="00B26204"/>
    <w:rsid w:val="00B26520"/>
    <w:rsid w:val="00B301F9"/>
    <w:rsid w:val="00B307CA"/>
    <w:rsid w:val="00B30B83"/>
    <w:rsid w:val="00B31F0D"/>
    <w:rsid w:val="00B327DE"/>
    <w:rsid w:val="00B32AC9"/>
    <w:rsid w:val="00B32F23"/>
    <w:rsid w:val="00B34579"/>
    <w:rsid w:val="00B34685"/>
    <w:rsid w:val="00B348CE"/>
    <w:rsid w:val="00B35495"/>
    <w:rsid w:val="00B359CE"/>
    <w:rsid w:val="00B35E2A"/>
    <w:rsid w:val="00B36294"/>
    <w:rsid w:val="00B36B99"/>
    <w:rsid w:val="00B37AE7"/>
    <w:rsid w:val="00B37FA9"/>
    <w:rsid w:val="00B404DE"/>
    <w:rsid w:val="00B41227"/>
    <w:rsid w:val="00B41B6B"/>
    <w:rsid w:val="00B42519"/>
    <w:rsid w:val="00B4299E"/>
    <w:rsid w:val="00B44DD9"/>
    <w:rsid w:val="00B44DF2"/>
    <w:rsid w:val="00B5034C"/>
    <w:rsid w:val="00B50ED6"/>
    <w:rsid w:val="00B515B2"/>
    <w:rsid w:val="00B51FE2"/>
    <w:rsid w:val="00B538D6"/>
    <w:rsid w:val="00B53EE4"/>
    <w:rsid w:val="00B5427B"/>
    <w:rsid w:val="00B55114"/>
    <w:rsid w:val="00B56A7B"/>
    <w:rsid w:val="00B572BF"/>
    <w:rsid w:val="00B57609"/>
    <w:rsid w:val="00B57876"/>
    <w:rsid w:val="00B5798C"/>
    <w:rsid w:val="00B60AE0"/>
    <w:rsid w:val="00B62269"/>
    <w:rsid w:val="00B63317"/>
    <w:rsid w:val="00B63422"/>
    <w:rsid w:val="00B638EB"/>
    <w:rsid w:val="00B63E6B"/>
    <w:rsid w:val="00B64C53"/>
    <w:rsid w:val="00B652E1"/>
    <w:rsid w:val="00B65836"/>
    <w:rsid w:val="00B65FA1"/>
    <w:rsid w:val="00B666CA"/>
    <w:rsid w:val="00B6757C"/>
    <w:rsid w:val="00B70182"/>
    <w:rsid w:val="00B70A07"/>
    <w:rsid w:val="00B70C33"/>
    <w:rsid w:val="00B70EEB"/>
    <w:rsid w:val="00B71A59"/>
    <w:rsid w:val="00B72018"/>
    <w:rsid w:val="00B72F0C"/>
    <w:rsid w:val="00B72FFD"/>
    <w:rsid w:val="00B73CFE"/>
    <w:rsid w:val="00B7455E"/>
    <w:rsid w:val="00B74BBE"/>
    <w:rsid w:val="00B75F8C"/>
    <w:rsid w:val="00B765BE"/>
    <w:rsid w:val="00B76E7C"/>
    <w:rsid w:val="00B76EB1"/>
    <w:rsid w:val="00B76F7F"/>
    <w:rsid w:val="00B771EF"/>
    <w:rsid w:val="00B80026"/>
    <w:rsid w:val="00B82213"/>
    <w:rsid w:val="00B8331D"/>
    <w:rsid w:val="00B84303"/>
    <w:rsid w:val="00B847A0"/>
    <w:rsid w:val="00B84853"/>
    <w:rsid w:val="00B85170"/>
    <w:rsid w:val="00B85570"/>
    <w:rsid w:val="00B85C06"/>
    <w:rsid w:val="00B8645F"/>
    <w:rsid w:val="00B869B8"/>
    <w:rsid w:val="00B900F3"/>
    <w:rsid w:val="00B90230"/>
    <w:rsid w:val="00B9053E"/>
    <w:rsid w:val="00B90727"/>
    <w:rsid w:val="00B9184D"/>
    <w:rsid w:val="00B9194E"/>
    <w:rsid w:val="00B9204F"/>
    <w:rsid w:val="00B93A22"/>
    <w:rsid w:val="00B94479"/>
    <w:rsid w:val="00B94C76"/>
    <w:rsid w:val="00B94E6B"/>
    <w:rsid w:val="00B94FA0"/>
    <w:rsid w:val="00B956FA"/>
    <w:rsid w:val="00B95982"/>
    <w:rsid w:val="00B96BA1"/>
    <w:rsid w:val="00B972CB"/>
    <w:rsid w:val="00B978F5"/>
    <w:rsid w:val="00B97DAF"/>
    <w:rsid w:val="00B97EE1"/>
    <w:rsid w:val="00BA01A4"/>
    <w:rsid w:val="00BA0756"/>
    <w:rsid w:val="00BA10C6"/>
    <w:rsid w:val="00BA15C2"/>
    <w:rsid w:val="00BA253E"/>
    <w:rsid w:val="00BA2B49"/>
    <w:rsid w:val="00BA3539"/>
    <w:rsid w:val="00BA4089"/>
    <w:rsid w:val="00BA4D9B"/>
    <w:rsid w:val="00BA53E8"/>
    <w:rsid w:val="00BA6157"/>
    <w:rsid w:val="00BA6957"/>
    <w:rsid w:val="00BA7F7E"/>
    <w:rsid w:val="00BB1719"/>
    <w:rsid w:val="00BB1C9C"/>
    <w:rsid w:val="00BB2B3D"/>
    <w:rsid w:val="00BB2EB1"/>
    <w:rsid w:val="00BB2FD1"/>
    <w:rsid w:val="00BB351E"/>
    <w:rsid w:val="00BB3D1A"/>
    <w:rsid w:val="00BB60CB"/>
    <w:rsid w:val="00BB6368"/>
    <w:rsid w:val="00BB6930"/>
    <w:rsid w:val="00BB7916"/>
    <w:rsid w:val="00BB7920"/>
    <w:rsid w:val="00BB796B"/>
    <w:rsid w:val="00BC05C0"/>
    <w:rsid w:val="00BC12E1"/>
    <w:rsid w:val="00BC14E5"/>
    <w:rsid w:val="00BC170B"/>
    <w:rsid w:val="00BC2120"/>
    <w:rsid w:val="00BC25A7"/>
    <w:rsid w:val="00BC27FD"/>
    <w:rsid w:val="00BC3614"/>
    <w:rsid w:val="00BC4AB4"/>
    <w:rsid w:val="00BC54C6"/>
    <w:rsid w:val="00BC6563"/>
    <w:rsid w:val="00BC6DE4"/>
    <w:rsid w:val="00BC7A15"/>
    <w:rsid w:val="00BD0049"/>
    <w:rsid w:val="00BD1909"/>
    <w:rsid w:val="00BD2060"/>
    <w:rsid w:val="00BD207B"/>
    <w:rsid w:val="00BD3849"/>
    <w:rsid w:val="00BD4138"/>
    <w:rsid w:val="00BD45F8"/>
    <w:rsid w:val="00BD4B9A"/>
    <w:rsid w:val="00BD53A8"/>
    <w:rsid w:val="00BD6B9A"/>
    <w:rsid w:val="00BD710E"/>
    <w:rsid w:val="00BE027E"/>
    <w:rsid w:val="00BE0735"/>
    <w:rsid w:val="00BE1BB1"/>
    <w:rsid w:val="00BE2B5C"/>
    <w:rsid w:val="00BE3744"/>
    <w:rsid w:val="00BE37F0"/>
    <w:rsid w:val="00BE4729"/>
    <w:rsid w:val="00BE4974"/>
    <w:rsid w:val="00BE65B6"/>
    <w:rsid w:val="00BE6DEF"/>
    <w:rsid w:val="00BE765E"/>
    <w:rsid w:val="00BE7D0D"/>
    <w:rsid w:val="00BF1920"/>
    <w:rsid w:val="00BF2D35"/>
    <w:rsid w:val="00BF3890"/>
    <w:rsid w:val="00BF4934"/>
    <w:rsid w:val="00BF49A4"/>
    <w:rsid w:val="00BF5BF5"/>
    <w:rsid w:val="00BF6EBE"/>
    <w:rsid w:val="00BF6F01"/>
    <w:rsid w:val="00BF74B4"/>
    <w:rsid w:val="00C001CF"/>
    <w:rsid w:val="00C002F0"/>
    <w:rsid w:val="00C0060E"/>
    <w:rsid w:val="00C010DD"/>
    <w:rsid w:val="00C0125F"/>
    <w:rsid w:val="00C0147B"/>
    <w:rsid w:val="00C0161F"/>
    <w:rsid w:val="00C0186B"/>
    <w:rsid w:val="00C02AB0"/>
    <w:rsid w:val="00C02BE5"/>
    <w:rsid w:val="00C0313C"/>
    <w:rsid w:val="00C03DF6"/>
    <w:rsid w:val="00C04DEF"/>
    <w:rsid w:val="00C04EDF"/>
    <w:rsid w:val="00C054DB"/>
    <w:rsid w:val="00C05F88"/>
    <w:rsid w:val="00C06536"/>
    <w:rsid w:val="00C06685"/>
    <w:rsid w:val="00C06B6A"/>
    <w:rsid w:val="00C072B2"/>
    <w:rsid w:val="00C0739A"/>
    <w:rsid w:val="00C07D11"/>
    <w:rsid w:val="00C07D3C"/>
    <w:rsid w:val="00C100BF"/>
    <w:rsid w:val="00C10425"/>
    <w:rsid w:val="00C104B7"/>
    <w:rsid w:val="00C10A2A"/>
    <w:rsid w:val="00C10CC9"/>
    <w:rsid w:val="00C10E5D"/>
    <w:rsid w:val="00C118E9"/>
    <w:rsid w:val="00C1232C"/>
    <w:rsid w:val="00C12D4B"/>
    <w:rsid w:val="00C13015"/>
    <w:rsid w:val="00C13106"/>
    <w:rsid w:val="00C134EC"/>
    <w:rsid w:val="00C155A7"/>
    <w:rsid w:val="00C15CB8"/>
    <w:rsid w:val="00C16E14"/>
    <w:rsid w:val="00C17233"/>
    <w:rsid w:val="00C17250"/>
    <w:rsid w:val="00C17BE6"/>
    <w:rsid w:val="00C20CEA"/>
    <w:rsid w:val="00C214D6"/>
    <w:rsid w:val="00C222D8"/>
    <w:rsid w:val="00C2290B"/>
    <w:rsid w:val="00C23559"/>
    <w:rsid w:val="00C25159"/>
    <w:rsid w:val="00C26AC4"/>
    <w:rsid w:val="00C30218"/>
    <w:rsid w:val="00C30A30"/>
    <w:rsid w:val="00C3140D"/>
    <w:rsid w:val="00C31946"/>
    <w:rsid w:val="00C31E64"/>
    <w:rsid w:val="00C3242C"/>
    <w:rsid w:val="00C3254F"/>
    <w:rsid w:val="00C32F0E"/>
    <w:rsid w:val="00C345F4"/>
    <w:rsid w:val="00C34AEA"/>
    <w:rsid w:val="00C35647"/>
    <w:rsid w:val="00C3634D"/>
    <w:rsid w:val="00C36354"/>
    <w:rsid w:val="00C36553"/>
    <w:rsid w:val="00C37C9F"/>
    <w:rsid w:val="00C405CE"/>
    <w:rsid w:val="00C408C8"/>
    <w:rsid w:val="00C410BE"/>
    <w:rsid w:val="00C413BD"/>
    <w:rsid w:val="00C418BD"/>
    <w:rsid w:val="00C423C2"/>
    <w:rsid w:val="00C43026"/>
    <w:rsid w:val="00C43E0C"/>
    <w:rsid w:val="00C44460"/>
    <w:rsid w:val="00C4447F"/>
    <w:rsid w:val="00C445C0"/>
    <w:rsid w:val="00C451E1"/>
    <w:rsid w:val="00C45233"/>
    <w:rsid w:val="00C45664"/>
    <w:rsid w:val="00C45B0E"/>
    <w:rsid w:val="00C45E25"/>
    <w:rsid w:val="00C4666B"/>
    <w:rsid w:val="00C51263"/>
    <w:rsid w:val="00C5173B"/>
    <w:rsid w:val="00C5213E"/>
    <w:rsid w:val="00C522BD"/>
    <w:rsid w:val="00C5337F"/>
    <w:rsid w:val="00C53762"/>
    <w:rsid w:val="00C53A92"/>
    <w:rsid w:val="00C540E2"/>
    <w:rsid w:val="00C54709"/>
    <w:rsid w:val="00C55625"/>
    <w:rsid w:val="00C56060"/>
    <w:rsid w:val="00C56932"/>
    <w:rsid w:val="00C56A32"/>
    <w:rsid w:val="00C61770"/>
    <w:rsid w:val="00C61DFF"/>
    <w:rsid w:val="00C621CA"/>
    <w:rsid w:val="00C62C8E"/>
    <w:rsid w:val="00C6360D"/>
    <w:rsid w:val="00C63E38"/>
    <w:rsid w:val="00C659CB"/>
    <w:rsid w:val="00C65CC3"/>
    <w:rsid w:val="00C70B61"/>
    <w:rsid w:val="00C71785"/>
    <w:rsid w:val="00C7186C"/>
    <w:rsid w:val="00C71BB7"/>
    <w:rsid w:val="00C71E0F"/>
    <w:rsid w:val="00C7229D"/>
    <w:rsid w:val="00C7326E"/>
    <w:rsid w:val="00C73819"/>
    <w:rsid w:val="00C74046"/>
    <w:rsid w:val="00C74C60"/>
    <w:rsid w:val="00C74EAA"/>
    <w:rsid w:val="00C75C1F"/>
    <w:rsid w:val="00C76911"/>
    <w:rsid w:val="00C77355"/>
    <w:rsid w:val="00C77544"/>
    <w:rsid w:val="00C82A3B"/>
    <w:rsid w:val="00C848C5"/>
    <w:rsid w:val="00C84E04"/>
    <w:rsid w:val="00C85200"/>
    <w:rsid w:val="00C8544C"/>
    <w:rsid w:val="00C85687"/>
    <w:rsid w:val="00C85D6F"/>
    <w:rsid w:val="00C90C4D"/>
    <w:rsid w:val="00C92F61"/>
    <w:rsid w:val="00C93953"/>
    <w:rsid w:val="00C9675A"/>
    <w:rsid w:val="00C972B7"/>
    <w:rsid w:val="00C9731F"/>
    <w:rsid w:val="00CA04C2"/>
    <w:rsid w:val="00CA0E89"/>
    <w:rsid w:val="00CA120E"/>
    <w:rsid w:val="00CA138F"/>
    <w:rsid w:val="00CA42B9"/>
    <w:rsid w:val="00CA47CF"/>
    <w:rsid w:val="00CA6EA1"/>
    <w:rsid w:val="00CA73E7"/>
    <w:rsid w:val="00CA74E0"/>
    <w:rsid w:val="00CA7AAC"/>
    <w:rsid w:val="00CB02D4"/>
    <w:rsid w:val="00CB085D"/>
    <w:rsid w:val="00CB0CC1"/>
    <w:rsid w:val="00CB1B2F"/>
    <w:rsid w:val="00CB2878"/>
    <w:rsid w:val="00CB3939"/>
    <w:rsid w:val="00CB48A3"/>
    <w:rsid w:val="00CB5D16"/>
    <w:rsid w:val="00CB6314"/>
    <w:rsid w:val="00CC0D74"/>
    <w:rsid w:val="00CC1693"/>
    <w:rsid w:val="00CC1B87"/>
    <w:rsid w:val="00CC22C3"/>
    <w:rsid w:val="00CC287A"/>
    <w:rsid w:val="00CC2AAE"/>
    <w:rsid w:val="00CC4E28"/>
    <w:rsid w:val="00CC4E4C"/>
    <w:rsid w:val="00CC5258"/>
    <w:rsid w:val="00CC574E"/>
    <w:rsid w:val="00CC79DD"/>
    <w:rsid w:val="00CC7CC4"/>
    <w:rsid w:val="00CD063E"/>
    <w:rsid w:val="00CD0C46"/>
    <w:rsid w:val="00CD0D7A"/>
    <w:rsid w:val="00CD1194"/>
    <w:rsid w:val="00CD181A"/>
    <w:rsid w:val="00CD204E"/>
    <w:rsid w:val="00CD2460"/>
    <w:rsid w:val="00CD2819"/>
    <w:rsid w:val="00CD29E4"/>
    <w:rsid w:val="00CD2C14"/>
    <w:rsid w:val="00CD4B19"/>
    <w:rsid w:val="00CD55A0"/>
    <w:rsid w:val="00CD63B1"/>
    <w:rsid w:val="00CD6642"/>
    <w:rsid w:val="00CD6C25"/>
    <w:rsid w:val="00CD6F70"/>
    <w:rsid w:val="00CD7136"/>
    <w:rsid w:val="00CE0805"/>
    <w:rsid w:val="00CE15CA"/>
    <w:rsid w:val="00CE2506"/>
    <w:rsid w:val="00CE2F47"/>
    <w:rsid w:val="00CE2F7B"/>
    <w:rsid w:val="00CE33A2"/>
    <w:rsid w:val="00CE576F"/>
    <w:rsid w:val="00CE69A6"/>
    <w:rsid w:val="00CE6FD8"/>
    <w:rsid w:val="00CE726E"/>
    <w:rsid w:val="00CF0CC2"/>
    <w:rsid w:val="00CF1A9D"/>
    <w:rsid w:val="00CF1C2F"/>
    <w:rsid w:val="00CF1CE4"/>
    <w:rsid w:val="00CF2120"/>
    <w:rsid w:val="00CF2E85"/>
    <w:rsid w:val="00CF30AE"/>
    <w:rsid w:val="00CF3990"/>
    <w:rsid w:val="00CF4919"/>
    <w:rsid w:val="00CF5A7A"/>
    <w:rsid w:val="00CF5B38"/>
    <w:rsid w:val="00CF7C43"/>
    <w:rsid w:val="00D000C8"/>
    <w:rsid w:val="00D0082C"/>
    <w:rsid w:val="00D01562"/>
    <w:rsid w:val="00D01A0B"/>
    <w:rsid w:val="00D02794"/>
    <w:rsid w:val="00D02B48"/>
    <w:rsid w:val="00D04A39"/>
    <w:rsid w:val="00D04A3A"/>
    <w:rsid w:val="00D050DB"/>
    <w:rsid w:val="00D05CA4"/>
    <w:rsid w:val="00D06195"/>
    <w:rsid w:val="00D069CE"/>
    <w:rsid w:val="00D070A6"/>
    <w:rsid w:val="00D1227E"/>
    <w:rsid w:val="00D128D6"/>
    <w:rsid w:val="00D13FE4"/>
    <w:rsid w:val="00D14C3E"/>
    <w:rsid w:val="00D14D20"/>
    <w:rsid w:val="00D15527"/>
    <w:rsid w:val="00D1575B"/>
    <w:rsid w:val="00D1700D"/>
    <w:rsid w:val="00D17557"/>
    <w:rsid w:val="00D17EE1"/>
    <w:rsid w:val="00D20047"/>
    <w:rsid w:val="00D2022E"/>
    <w:rsid w:val="00D20841"/>
    <w:rsid w:val="00D20D20"/>
    <w:rsid w:val="00D245C3"/>
    <w:rsid w:val="00D24C19"/>
    <w:rsid w:val="00D25B00"/>
    <w:rsid w:val="00D26177"/>
    <w:rsid w:val="00D26578"/>
    <w:rsid w:val="00D26696"/>
    <w:rsid w:val="00D30114"/>
    <w:rsid w:val="00D30E56"/>
    <w:rsid w:val="00D313C6"/>
    <w:rsid w:val="00D32B1D"/>
    <w:rsid w:val="00D33E54"/>
    <w:rsid w:val="00D33E96"/>
    <w:rsid w:val="00D33F62"/>
    <w:rsid w:val="00D3440C"/>
    <w:rsid w:val="00D34F1C"/>
    <w:rsid w:val="00D35CF6"/>
    <w:rsid w:val="00D36269"/>
    <w:rsid w:val="00D37351"/>
    <w:rsid w:val="00D37F70"/>
    <w:rsid w:val="00D4029F"/>
    <w:rsid w:val="00D41371"/>
    <w:rsid w:val="00D4185C"/>
    <w:rsid w:val="00D4198E"/>
    <w:rsid w:val="00D41FCB"/>
    <w:rsid w:val="00D42255"/>
    <w:rsid w:val="00D4630F"/>
    <w:rsid w:val="00D47ECF"/>
    <w:rsid w:val="00D50F10"/>
    <w:rsid w:val="00D512D9"/>
    <w:rsid w:val="00D51E89"/>
    <w:rsid w:val="00D52604"/>
    <w:rsid w:val="00D5353D"/>
    <w:rsid w:val="00D53DD8"/>
    <w:rsid w:val="00D53F0A"/>
    <w:rsid w:val="00D53FF2"/>
    <w:rsid w:val="00D54880"/>
    <w:rsid w:val="00D55226"/>
    <w:rsid w:val="00D55AC2"/>
    <w:rsid w:val="00D55BC8"/>
    <w:rsid w:val="00D55FA0"/>
    <w:rsid w:val="00D576D7"/>
    <w:rsid w:val="00D57A0A"/>
    <w:rsid w:val="00D60798"/>
    <w:rsid w:val="00D607D0"/>
    <w:rsid w:val="00D6115F"/>
    <w:rsid w:val="00D61261"/>
    <w:rsid w:val="00D614E0"/>
    <w:rsid w:val="00D620B8"/>
    <w:rsid w:val="00D623E3"/>
    <w:rsid w:val="00D643ED"/>
    <w:rsid w:val="00D646BB"/>
    <w:rsid w:val="00D66867"/>
    <w:rsid w:val="00D66A51"/>
    <w:rsid w:val="00D6741A"/>
    <w:rsid w:val="00D67734"/>
    <w:rsid w:val="00D679FA"/>
    <w:rsid w:val="00D70887"/>
    <w:rsid w:val="00D712DE"/>
    <w:rsid w:val="00D72AFE"/>
    <w:rsid w:val="00D72E87"/>
    <w:rsid w:val="00D73090"/>
    <w:rsid w:val="00D74073"/>
    <w:rsid w:val="00D74569"/>
    <w:rsid w:val="00D74612"/>
    <w:rsid w:val="00D76128"/>
    <w:rsid w:val="00D7695E"/>
    <w:rsid w:val="00D7729E"/>
    <w:rsid w:val="00D772F7"/>
    <w:rsid w:val="00D77C4D"/>
    <w:rsid w:val="00D80965"/>
    <w:rsid w:val="00D80AB9"/>
    <w:rsid w:val="00D817C3"/>
    <w:rsid w:val="00D821DE"/>
    <w:rsid w:val="00D83403"/>
    <w:rsid w:val="00D83FAE"/>
    <w:rsid w:val="00D8474B"/>
    <w:rsid w:val="00D84EC3"/>
    <w:rsid w:val="00D862C8"/>
    <w:rsid w:val="00D86317"/>
    <w:rsid w:val="00D86902"/>
    <w:rsid w:val="00D875C7"/>
    <w:rsid w:val="00D879B3"/>
    <w:rsid w:val="00D91905"/>
    <w:rsid w:val="00D91919"/>
    <w:rsid w:val="00D926EE"/>
    <w:rsid w:val="00D92E7D"/>
    <w:rsid w:val="00D937B0"/>
    <w:rsid w:val="00D94EA7"/>
    <w:rsid w:val="00D952DC"/>
    <w:rsid w:val="00D95ACF"/>
    <w:rsid w:val="00D961B0"/>
    <w:rsid w:val="00D96D4C"/>
    <w:rsid w:val="00DA1E67"/>
    <w:rsid w:val="00DA20DF"/>
    <w:rsid w:val="00DA2706"/>
    <w:rsid w:val="00DA3E0E"/>
    <w:rsid w:val="00DA3F83"/>
    <w:rsid w:val="00DA40E5"/>
    <w:rsid w:val="00DA5782"/>
    <w:rsid w:val="00DA5A1F"/>
    <w:rsid w:val="00DB0BA1"/>
    <w:rsid w:val="00DB0EF7"/>
    <w:rsid w:val="00DB1367"/>
    <w:rsid w:val="00DB1C53"/>
    <w:rsid w:val="00DB273F"/>
    <w:rsid w:val="00DB2909"/>
    <w:rsid w:val="00DB3BBC"/>
    <w:rsid w:val="00DB49CA"/>
    <w:rsid w:val="00DB4B19"/>
    <w:rsid w:val="00DB5164"/>
    <w:rsid w:val="00DB58A9"/>
    <w:rsid w:val="00DB6AED"/>
    <w:rsid w:val="00DB6F1A"/>
    <w:rsid w:val="00DB7173"/>
    <w:rsid w:val="00DB723A"/>
    <w:rsid w:val="00DC055C"/>
    <w:rsid w:val="00DC0BD3"/>
    <w:rsid w:val="00DC4AD5"/>
    <w:rsid w:val="00DC52DD"/>
    <w:rsid w:val="00DC5737"/>
    <w:rsid w:val="00DC5F76"/>
    <w:rsid w:val="00DC61DF"/>
    <w:rsid w:val="00DC6F51"/>
    <w:rsid w:val="00DC739C"/>
    <w:rsid w:val="00DC7AD6"/>
    <w:rsid w:val="00DD12A9"/>
    <w:rsid w:val="00DD2FAC"/>
    <w:rsid w:val="00DD3746"/>
    <w:rsid w:val="00DD4DEA"/>
    <w:rsid w:val="00DD50DC"/>
    <w:rsid w:val="00DD5DD9"/>
    <w:rsid w:val="00DD5EEB"/>
    <w:rsid w:val="00DD6950"/>
    <w:rsid w:val="00DD6AAD"/>
    <w:rsid w:val="00DD7B9E"/>
    <w:rsid w:val="00DD7C23"/>
    <w:rsid w:val="00DE0FE3"/>
    <w:rsid w:val="00DE26BF"/>
    <w:rsid w:val="00DE5B18"/>
    <w:rsid w:val="00DE7C69"/>
    <w:rsid w:val="00DF5A63"/>
    <w:rsid w:val="00DF6691"/>
    <w:rsid w:val="00DF6B06"/>
    <w:rsid w:val="00DF7945"/>
    <w:rsid w:val="00DF7EAF"/>
    <w:rsid w:val="00E02F99"/>
    <w:rsid w:val="00E035B2"/>
    <w:rsid w:val="00E04D51"/>
    <w:rsid w:val="00E05201"/>
    <w:rsid w:val="00E06006"/>
    <w:rsid w:val="00E074E5"/>
    <w:rsid w:val="00E11A68"/>
    <w:rsid w:val="00E12194"/>
    <w:rsid w:val="00E123F6"/>
    <w:rsid w:val="00E12912"/>
    <w:rsid w:val="00E13371"/>
    <w:rsid w:val="00E14456"/>
    <w:rsid w:val="00E16A3A"/>
    <w:rsid w:val="00E17331"/>
    <w:rsid w:val="00E1759B"/>
    <w:rsid w:val="00E177B3"/>
    <w:rsid w:val="00E21DA9"/>
    <w:rsid w:val="00E223CC"/>
    <w:rsid w:val="00E23B77"/>
    <w:rsid w:val="00E240BB"/>
    <w:rsid w:val="00E241B3"/>
    <w:rsid w:val="00E24E4B"/>
    <w:rsid w:val="00E2531C"/>
    <w:rsid w:val="00E25786"/>
    <w:rsid w:val="00E26F24"/>
    <w:rsid w:val="00E2799C"/>
    <w:rsid w:val="00E3108C"/>
    <w:rsid w:val="00E32609"/>
    <w:rsid w:val="00E332B2"/>
    <w:rsid w:val="00E34A1D"/>
    <w:rsid w:val="00E351CB"/>
    <w:rsid w:val="00E35963"/>
    <w:rsid w:val="00E36221"/>
    <w:rsid w:val="00E36F69"/>
    <w:rsid w:val="00E3733A"/>
    <w:rsid w:val="00E376F7"/>
    <w:rsid w:val="00E37AEE"/>
    <w:rsid w:val="00E37BDC"/>
    <w:rsid w:val="00E41939"/>
    <w:rsid w:val="00E41D87"/>
    <w:rsid w:val="00E41E2A"/>
    <w:rsid w:val="00E41E4C"/>
    <w:rsid w:val="00E43FC4"/>
    <w:rsid w:val="00E44386"/>
    <w:rsid w:val="00E449B4"/>
    <w:rsid w:val="00E45027"/>
    <w:rsid w:val="00E455FE"/>
    <w:rsid w:val="00E46133"/>
    <w:rsid w:val="00E46471"/>
    <w:rsid w:val="00E46BBD"/>
    <w:rsid w:val="00E473A7"/>
    <w:rsid w:val="00E47744"/>
    <w:rsid w:val="00E5046B"/>
    <w:rsid w:val="00E50749"/>
    <w:rsid w:val="00E516CB"/>
    <w:rsid w:val="00E522A9"/>
    <w:rsid w:val="00E53B79"/>
    <w:rsid w:val="00E550B3"/>
    <w:rsid w:val="00E550CC"/>
    <w:rsid w:val="00E55D3E"/>
    <w:rsid w:val="00E560CD"/>
    <w:rsid w:val="00E56451"/>
    <w:rsid w:val="00E56CC8"/>
    <w:rsid w:val="00E56E79"/>
    <w:rsid w:val="00E57B6F"/>
    <w:rsid w:val="00E601D7"/>
    <w:rsid w:val="00E604BC"/>
    <w:rsid w:val="00E60B0D"/>
    <w:rsid w:val="00E60B7E"/>
    <w:rsid w:val="00E60B89"/>
    <w:rsid w:val="00E60C8F"/>
    <w:rsid w:val="00E61238"/>
    <w:rsid w:val="00E61FA9"/>
    <w:rsid w:val="00E620E9"/>
    <w:rsid w:val="00E62F22"/>
    <w:rsid w:val="00E631C5"/>
    <w:rsid w:val="00E6336B"/>
    <w:rsid w:val="00E635EE"/>
    <w:rsid w:val="00E63943"/>
    <w:rsid w:val="00E641BA"/>
    <w:rsid w:val="00E64E45"/>
    <w:rsid w:val="00E64E9D"/>
    <w:rsid w:val="00E6534B"/>
    <w:rsid w:val="00E658AA"/>
    <w:rsid w:val="00E6621C"/>
    <w:rsid w:val="00E6672D"/>
    <w:rsid w:val="00E6681B"/>
    <w:rsid w:val="00E67914"/>
    <w:rsid w:val="00E67ACD"/>
    <w:rsid w:val="00E70248"/>
    <w:rsid w:val="00E705C3"/>
    <w:rsid w:val="00E71D03"/>
    <w:rsid w:val="00E7255E"/>
    <w:rsid w:val="00E73C9E"/>
    <w:rsid w:val="00E745A7"/>
    <w:rsid w:val="00E758EC"/>
    <w:rsid w:val="00E77B89"/>
    <w:rsid w:val="00E77BC9"/>
    <w:rsid w:val="00E81522"/>
    <w:rsid w:val="00E825EA"/>
    <w:rsid w:val="00E835D5"/>
    <w:rsid w:val="00E8403F"/>
    <w:rsid w:val="00E84146"/>
    <w:rsid w:val="00E84625"/>
    <w:rsid w:val="00E857DC"/>
    <w:rsid w:val="00E8588A"/>
    <w:rsid w:val="00E86590"/>
    <w:rsid w:val="00E90A07"/>
    <w:rsid w:val="00E9119A"/>
    <w:rsid w:val="00E91397"/>
    <w:rsid w:val="00E919F3"/>
    <w:rsid w:val="00E91FB8"/>
    <w:rsid w:val="00E91FED"/>
    <w:rsid w:val="00E928E1"/>
    <w:rsid w:val="00E929EC"/>
    <w:rsid w:val="00E934E6"/>
    <w:rsid w:val="00E93580"/>
    <w:rsid w:val="00E94638"/>
    <w:rsid w:val="00E94B6C"/>
    <w:rsid w:val="00E951E7"/>
    <w:rsid w:val="00E951E8"/>
    <w:rsid w:val="00E95278"/>
    <w:rsid w:val="00EA0AD7"/>
    <w:rsid w:val="00EA0DE9"/>
    <w:rsid w:val="00EA19F1"/>
    <w:rsid w:val="00EA2B92"/>
    <w:rsid w:val="00EA2F7C"/>
    <w:rsid w:val="00EA3704"/>
    <w:rsid w:val="00EA4AF1"/>
    <w:rsid w:val="00EA628C"/>
    <w:rsid w:val="00EA6C58"/>
    <w:rsid w:val="00EA6F81"/>
    <w:rsid w:val="00EA7B0A"/>
    <w:rsid w:val="00EB03BA"/>
    <w:rsid w:val="00EB0C76"/>
    <w:rsid w:val="00EB0E52"/>
    <w:rsid w:val="00EB1544"/>
    <w:rsid w:val="00EB177B"/>
    <w:rsid w:val="00EB1DCB"/>
    <w:rsid w:val="00EB3603"/>
    <w:rsid w:val="00EB4020"/>
    <w:rsid w:val="00EB58AF"/>
    <w:rsid w:val="00EB664A"/>
    <w:rsid w:val="00EB6BCA"/>
    <w:rsid w:val="00EC1F50"/>
    <w:rsid w:val="00EC221F"/>
    <w:rsid w:val="00EC2700"/>
    <w:rsid w:val="00EC28A7"/>
    <w:rsid w:val="00EC2BB9"/>
    <w:rsid w:val="00EC41C6"/>
    <w:rsid w:val="00EC4689"/>
    <w:rsid w:val="00EC4AD4"/>
    <w:rsid w:val="00EC5573"/>
    <w:rsid w:val="00EC5869"/>
    <w:rsid w:val="00EC69C0"/>
    <w:rsid w:val="00EC7183"/>
    <w:rsid w:val="00EC7E9F"/>
    <w:rsid w:val="00ED056B"/>
    <w:rsid w:val="00ED0783"/>
    <w:rsid w:val="00ED1AA0"/>
    <w:rsid w:val="00ED1BDE"/>
    <w:rsid w:val="00ED43DD"/>
    <w:rsid w:val="00ED53FC"/>
    <w:rsid w:val="00ED72CC"/>
    <w:rsid w:val="00ED7BE9"/>
    <w:rsid w:val="00EE21A6"/>
    <w:rsid w:val="00EE2710"/>
    <w:rsid w:val="00EE3BDC"/>
    <w:rsid w:val="00EE48DB"/>
    <w:rsid w:val="00EE5600"/>
    <w:rsid w:val="00EE5973"/>
    <w:rsid w:val="00EE5A33"/>
    <w:rsid w:val="00EE6015"/>
    <w:rsid w:val="00EE6532"/>
    <w:rsid w:val="00EE715F"/>
    <w:rsid w:val="00EE75BA"/>
    <w:rsid w:val="00EE783B"/>
    <w:rsid w:val="00EF069B"/>
    <w:rsid w:val="00EF2697"/>
    <w:rsid w:val="00EF39FE"/>
    <w:rsid w:val="00EF4251"/>
    <w:rsid w:val="00EF49E1"/>
    <w:rsid w:val="00EF6F20"/>
    <w:rsid w:val="00EF7252"/>
    <w:rsid w:val="00EF7525"/>
    <w:rsid w:val="00F00347"/>
    <w:rsid w:val="00F00B90"/>
    <w:rsid w:val="00F02048"/>
    <w:rsid w:val="00F0270A"/>
    <w:rsid w:val="00F027EB"/>
    <w:rsid w:val="00F0300B"/>
    <w:rsid w:val="00F03F20"/>
    <w:rsid w:val="00F04C5F"/>
    <w:rsid w:val="00F05736"/>
    <w:rsid w:val="00F0608D"/>
    <w:rsid w:val="00F0630F"/>
    <w:rsid w:val="00F071E5"/>
    <w:rsid w:val="00F07E93"/>
    <w:rsid w:val="00F10005"/>
    <w:rsid w:val="00F1088E"/>
    <w:rsid w:val="00F10A9F"/>
    <w:rsid w:val="00F10C1E"/>
    <w:rsid w:val="00F1253A"/>
    <w:rsid w:val="00F12D31"/>
    <w:rsid w:val="00F131C7"/>
    <w:rsid w:val="00F13341"/>
    <w:rsid w:val="00F134FB"/>
    <w:rsid w:val="00F1443A"/>
    <w:rsid w:val="00F14CF6"/>
    <w:rsid w:val="00F156B5"/>
    <w:rsid w:val="00F157D8"/>
    <w:rsid w:val="00F175A7"/>
    <w:rsid w:val="00F177C5"/>
    <w:rsid w:val="00F17A39"/>
    <w:rsid w:val="00F17B52"/>
    <w:rsid w:val="00F21029"/>
    <w:rsid w:val="00F210FF"/>
    <w:rsid w:val="00F21FEE"/>
    <w:rsid w:val="00F22829"/>
    <w:rsid w:val="00F236C1"/>
    <w:rsid w:val="00F23947"/>
    <w:rsid w:val="00F23C8D"/>
    <w:rsid w:val="00F24554"/>
    <w:rsid w:val="00F24CC2"/>
    <w:rsid w:val="00F251BD"/>
    <w:rsid w:val="00F25383"/>
    <w:rsid w:val="00F25AAE"/>
    <w:rsid w:val="00F26A1A"/>
    <w:rsid w:val="00F26D51"/>
    <w:rsid w:val="00F30438"/>
    <w:rsid w:val="00F30672"/>
    <w:rsid w:val="00F306DC"/>
    <w:rsid w:val="00F306EA"/>
    <w:rsid w:val="00F313D4"/>
    <w:rsid w:val="00F31F80"/>
    <w:rsid w:val="00F3255E"/>
    <w:rsid w:val="00F334AB"/>
    <w:rsid w:val="00F341E7"/>
    <w:rsid w:val="00F34FF6"/>
    <w:rsid w:val="00F35742"/>
    <w:rsid w:val="00F35848"/>
    <w:rsid w:val="00F35D54"/>
    <w:rsid w:val="00F36645"/>
    <w:rsid w:val="00F37869"/>
    <w:rsid w:val="00F37F33"/>
    <w:rsid w:val="00F40096"/>
    <w:rsid w:val="00F400DE"/>
    <w:rsid w:val="00F40885"/>
    <w:rsid w:val="00F40954"/>
    <w:rsid w:val="00F41175"/>
    <w:rsid w:val="00F41590"/>
    <w:rsid w:val="00F43078"/>
    <w:rsid w:val="00F436A0"/>
    <w:rsid w:val="00F45FD4"/>
    <w:rsid w:val="00F46555"/>
    <w:rsid w:val="00F46887"/>
    <w:rsid w:val="00F473B5"/>
    <w:rsid w:val="00F4752D"/>
    <w:rsid w:val="00F51703"/>
    <w:rsid w:val="00F51883"/>
    <w:rsid w:val="00F51E5C"/>
    <w:rsid w:val="00F51F30"/>
    <w:rsid w:val="00F52054"/>
    <w:rsid w:val="00F5256A"/>
    <w:rsid w:val="00F527F7"/>
    <w:rsid w:val="00F52A20"/>
    <w:rsid w:val="00F53F07"/>
    <w:rsid w:val="00F54794"/>
    <w:rsid w:val="00F54BD2"/>
    <w:rsid w:val="00F54E67"/>
    <w:rsid w:val="00F54EFA"/>
    <w:rsid w:val="00F555CD"/>
    <w:rsid w:val="00F55FD2"/>
    <w:rsid w:val="00F5628F"/>
    <w:rsid w:val="00F564E5"/>
    <w:rsid w:val="00F56D0C"/>
    <w:rsid w:val="00F57CF6"/>
    <w:rsid w:val="00F618CC"/>
    <w:rsid w:val="00F61E20"/>
    <w:rsid w:val="00F62A9F"/>
    <w:rsid w:val="00F63189"/>
    <w:rsid w:val="00F642D6"/>
    <w:rsid w:val="00F6453A"/>
    <w:rsid w:val="00F64F14"/>
    <w:rsid w:val="00F659CF"/>
    <w:rsid w:val="00F65EB4"/>
    <w:rsid w:val="00F662A1"/>
    <w:rsid w:val="00F66CC4"/>
    <w:rsid w:val="00F6776F"/>
    <w:rsid w:val="00F67B0F"/>
    <w:rsid w:val="00F707F3"/>
    <w:rsid w:val="00F71141"/>
    <w:rsid w:val="00F71929"/>
    <w:rsid w:val="00F72206"/>
    <w:rsid w:val="00F73A49"/>
    <w:rsid w:val="00F74D0C"/>
    <w:rsid w:val="00F75171"/>
    <w:rsid w:val="00F752BF"/>
    <w:rsid w:val="00F75F1B"/>
    <w:rsid w:val="00F76269"/>
    <w:rsid w:val="00F77F63"/>
    <w:rsid w:val="00F800B1"/>
    <w:rsid w:val="00F807C0"/>
    <w:rsid w:val="00F80D9B"/>
    <w:rsid w:val="00F80FED"/>
    <w:rsid w:val="00F82A07"/>
    <w:rsid w:val="00F83D32"/>
    <w:rsid w:val="00F85625"/>
    <w:rsid w:val="00F85654"/>
    <w:rsid w:val="00F87C07"/>
    <w:rsid w:val="00F900EB"/>
    <w:rsid w:val="00F9036D"/>
    <w:rsid w:val="00F906CF"/>
    <w:rsid w:val="00F908B5"/>
    <w:rsid w:val="00F9131B"/>
    <w:rsid w:val="00F92B8E"/>
    <w:rsid w:val="00F92C18"/>
    <w:rsid w:val="00F92DDA"/>
    <w:rsid w:val="00F93681"/>
    <w:rsid w:val="00F94BA0"/>
    <w:rsid w:val="00F94DA2"/>
    <w:rsid w:val="00F95410"/>
    <w:rsid w:val="00F95D1F"/>
    <w:rsid w:val="00F95FDE"/>
    <w:rsid w:val="00F96D42"/>
    <w:rsid w:val="00F96DFF"/>
    <w:rsid w:val="00F97963"/>
    <w:rsid w:val="00F97F62"/>
    <w:rsid w:val="00FA0FEB"/>
    <w:rsid w:val="00FA1483"/>
    <w:rsid w:val="00FA280C"/>
    <w:rsid w:val="00FA2B9C"/>
    <w:rsid w:val="00FA37FA"/>
    <w:rsid w:val="00FA5FDA"/>
    <w:rsid w:val="00FA6E62"/>
    <w:rsid w:val="00FB00E6"/>
    <w:rsid w:val="00FB145D"/>
    <w:rsid w:val="00FB1A9E"/>
    <w:rsid w:val="00FB1CEF"/>
    <w:rsid w:val="00FB30BF"/>
    <w:rsid w:val="00FB34D5"/>
    <w:rsid w:val="00FB3734"/>
    <w:rsid w:val="00FB4771"/>
    <w:rsid w:val="00FB48D3"/>
    <w:rsid w:val="00FB4EC9"/>
    <w:rsid w:val="00FB4F67"/>
    <w:rsid w:val="00FB4F80"/>
    <w:rsid w:val="00FB59E0"/>
    <w:rsid w:val="00FB5BDD"/>
    <w:rsid w:val="00FB5F34"/>
    <w:rsid w:val="00FB69E4"/>
    <w:rsid w:val="00FB711E"/>
    <w:rsid w:val="00FC0B73"/>
    <w:rsid w:val="00FC0F0B"/>
    <w:rsid w:val="00FC0F87"/>
    <w:rsid w:val="00FC1470"/>
    <w:rsid w:val="00FC166C"/>
    <w:rsid w:val="00FC2355"/>
    <w:rsid w:val="00FC3827"/>
    <w:rsid w:val="00FC4183"/>
    <w:rsid w:val="00FC4287"/>
    <w:rsid w:val="00FC44A5"/>
    <w:rsid w:val="00FC456D"/>
    <w:rsid w:val="00FC622B"/>
    <w:rsid w:val="00FC7EEF"/>
    <w:rsid w:val="00FD0673"/>
    <w:rsid w:val="00FD1401"/>
    <w:rsid w:val="00FD1530"/>
    <w:rsid w:val="00FD1686"/>
    <w:rsid w:val="00FD2A77"/>
    <w:rsid w:val="00FD3794"/>
    <w:rsid w:val="00FD387E"/>
    <w:rsid w:val="00FD4715"/>
    <w:rsid w:val="00FD48A5"/>
    <w:rsid w:val="00FD4F6E"/>
    <w:rsid w:val="00FD5500"/>
    <w:rsid w:val="00FD58D5"/>
    <w:rsid w:val="00FD7258"/>
    <w:rsid w:val="00FE09DD"/>
    <w:rsid w:val="00FE0BA6"/>
    <w:rsid w:val="00FE131B"/>
    <w:rsid w:val="00FE1F02"/>
    <w:rsid w:val="00FE29CB"/>
    <w:rsid w:val="00FE5246"/>
    <w:rsid w:val="00FE5380"/>
    <w:rsid w:val="00FE6095"/>
    <w:rsid w:val="00FE6132"/>
    <w:rsid w:val="00FE6D4E"/>
    <w:rsid w:val="00FE6F4B"/>
    <w:rsid w:val="00FE7727"/>
    <w:rsid w:val="00FE7830"/>
    <w:rsid w:val="00FE7C4E"/>
    <w:rsid w:val="00FE7F0A"/>
    <w:rsid w:val="00FF1261"/>
    <w:rsid w:val="00FF12B4"/>
    <w:rsid w:val="00FF18D3"/>
    <w:rsid w:val="00FF1F28"/>
    <w:rsid w:val="00FF246B"/>
    <w:rsid w:val="00FF25BF"/>
    <w:rsid w:val="00FF34D8"/>
    <w:rsid w:val="00FF47C1"/>
    <w:rsid w:val="00FF5356"/>
    <w:rsid w:val="00FF5A99"/>
    <w:rsid w:val="00FF7868"/>
    <w:rsid w:val="00FF7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numPr>
        <w:numId w:val="21"/>
      </w:numPr>
      <w:spacing w:after="240"/>
      <w:outlineLvl w:val="0"/>
    </w:pPr>
    <w:rPr>
      <w:b/>
      <w:szCs w:val="24"/>
    </w:rPr>
  </w:style>
  <w:style w:type="paragraph" w:styleId="Heading2">
    <w:name w:val="heading 2"/>
    <w:basedOn w:val="Normal"/>
    <w:next w:val="Normal"/>
    <w:qFormat/>
    <w:rsid w:val="002644BF"/>
    <w:pPr>
      <w:keepNext/>
      <w:numPr>
        <w:ilvl w:val="1"/>
        <w:numId w:val="21"/>
      </w:numPr>
      <w:tabs>
        <w:tab w:val="left" w:pos="4320"/>
      </w:tabs>
      <w:spacing w:after="240"/>
      <w:ind w:left="1440" w:hanging="720"/>
      <w:outlineLvl w:val="1"/>
    </w:pPr>
    <w:rPr>
      <w:b/>
    </w:rPr>
  </w:style>
  <w:style w:type="paragraph" w:styleId="Heading3">
    <w:name w:val="heading 3"/>
    <w:basedOn w:val="Normal"/>
    <w:next w:val="Normal"/>
    <w:link w:val="Heading3Char"/>
    <w:autoRedefine/>
    <w:qFormat/>
    <w:rsid w:val="002644BF"/>
    <w:pPr>
      <w:keepNext/>
      <w:keepLines/>
      <w:numPr>
        <w:ilvl w:val="2"/>
        <w:numId w:val="21"/>
      </w:numPr>
      <w:ind w:left="2160" w:hanging="720"/>
      <w:outlineLvl w:val="2"/>
    </w:pPr>
    <w:rPr>
      <w:b/>
      <w:bCs/>
      <w:iCs/>
    </w:rPr>
  </w:style>
  <w:style w:type="paragraph" w:styleId="Heading4">
    <w:name w:val="heading 4"/>
    <w:basedOn w:val="Normal"/>
    <w:next w:val="Normal"/>
    <w:link w:val="Heading4Char"/>
    <w:unhideWhenUsed/>
    <w:qFormat/>
    <w:rsid w:val="00547A3B"/>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47A3B"/>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47A3B"/>
    <w:pPr>
      <w:keepNext/>
      <w:keepLines/>
      <w:numPr>
        <w:ilvl w:val="5"/>
        <w:numId w:val="21"/>
      </w:numPr>
      <w:tabs>
        <w:tab w:val="num" w:pos="360"/>
      </w:tabs>
      <w:spacing w:before="40"/>
      <w:ind w:left="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47A3B"/>
    <w:pPr>
      <w:keepNext/>
      <w:keepLines/>
      <w:numPr>
        <w:ilvl w:val="6"/>
        <w:numId w:val="21"/>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47A3B"/>
    <w:pPr>
      <w:keepNext/>
      <w:keepLines/>
      <w:numPr>
        <w:ilvl w:val="7"/>
        <w:numId w:val="21"/>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A3B"/>
    <w:pPr>
      <w:keepNext/>
      <w:keepLines/>
      <w:numPr>
        <w:ilvl w:val="8"/>
        <w:numId w:val="21"/>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uiPriority w:val="99"/>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uiPriority w:val="59"/>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aliases w:val=" Char Char,Char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 w:type="character" w:customStyle="1" w:styleId="UnresolvedMention3">
    <w:name w:val="Unresolved Mention3"/>
    <w:basedOn w:val="DefaultParagraphFont"/>
    <w:rsid w:val="00033389"/>
    <w:rPr>
      <w:color w:val="605E5C"/>
      <w:shd w:val="clear" w:color="auto" w:fill="E1DFDD"/>
    </w:rPr>
  </w:style>
  <w:style w:type="table" w:customStyle="1" w:styleId="TableGrid1">
    <w:name w:val="Table Grid1"/>
    <w:basedOn w:val="TableNormal"/>
    <w:next w:val="TableGrid"/>
    <w:uiPriority w:val="59"/>
    <w:rsid w:val="00FC44A5"/>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DC055C"/>
  </w:style>
  <w:style w:type="character" w:styleId="Strong">
    <w:name w:val="Strong"/>
    <w:basedOn w:val="DefaultParagraphFont"/>
    <w:uiPriority w:val="22"/>
    <w:qFormat/>
    <w:rsid w:val="00711C5C"/>
    <w:rPr>
      <w:b/>
      <w:bCs/>
    </w:rPr>
  </w:style>
  <w:style w:type="paragraph" w:styleId="ListParagraph">
    <w:name w:val="List Paragraph"/>
    <w:basedOn w:val="Normal"/>
    <w:uiPriority w:val="34"/>
    <w:qFormat/>
    <w:rsid w:val="00375A86"/>
    <w:pPr>
      <w:ind w:left="720"/>
      <w:contextualSpacing/>
    </w:pPr>
    <w:rPr>
      <w:szCs w:val="24"/>
    </w:rPr>
  </w:style>
  <w:style w:type="paragraph" w:styleId="NoSpacing">
    <w:name w:val="No Spacing"/>
    <w:uiPriority w:val="1"/>
    <w:qFormat/>
    <w:rsid w:val="008C5690"/>
    <w:rPr>
      <w:rFonts w:asciiTheme="minorHAnsi" w:eastAsiaTheme="minorHAnsi" w:hAnsiTheme="minorHAnsi" w:cstheme="minorBidi"/>
      <w:sz w:val="22"/>
      <w:szCs w:val="22"/>
    </w:rPr>
  </w:style>
  <w:style w:type="paragraph" w:customStyle="1" w:styleId="DirectQuestion">
    <w:name w:val="Direct Question"/>
    <w:next w:val="Normal"/>
    <w:rsid w:val="00421C36"/>
    <w:pPr>
      <w:pBdr>
        <w:top w:val="nil"/>
        <w:left w:val="nil"/>
        <w:bottom w:val="nil"/>
        <w:right w:val="nil"/>
        <w:between w:val="nil"/>
        <w:bar w:val="nil"/>
      </w:pBdr>
      <w:tabs>
        <w:tab w:val="left" w:pos="1440"/>
      </w:tabs>
      <w:spacing w:line="480" w:lineRule="auto"/>
      <w:ind w:left="1440" w:hanging="1440"/>
    </w:pPr>
    <w:rPr>
      <w:rFonts w:eastAsia="Arial Unicode MS" w:hAnsi="Arial Unicode MS" w:cs="Arial Unicode MS"/>
      <w:b/>
      <w:bCs/>
      <w:i/>
      <w:iCs/>
      <w:caps/>
      <w:color w:val="000000"/>
      <w:sz w:val="24"/>
      <w:szCs w:val="24"/>
      <w:u w:color="000000"/>
      <w:bdr w:val="nil"/>
    </w:rPr>
  </w:style>
  <w:style w:type="paragraph" w:customStyle="1" w:styleId="DirectAnswer">
    <w:name w:val="Direct Answer"/>
    <w:next w:val="DirectNext"/>
    <w:rsid w:val="00421C36"/>
    <w:pPr>
      <w:pBdr>
        <w:top w:val="nil"/>
        <w:left w:val="nil"/>
        <w:bottom w:val="nil"/>
        <w:right w:val="nil"/>
        <w:between w:val="nil"/>
        <w:bar w:val="nil"/>
      </w:pBdr>
      <w:spacing w:line="480" w:lineRule="auto"/>
      <w:ind w:left="720" w:hanging="720"/>
    </w:pPr>
    <w:rPr>
      <w:rFonts w:eastAsia="Arial Unicode MS" w:hAnsi="Arial Unicode MS" w:cs="Arial Unicode MS"/>
      <w:color w:val="000000"/>
      <w:sz w:val="24"/>
      <w:szCs w:val="24"/>
      <w:u w:color="000000"/>
      <w:bdr w:val="nil"/>
    </w:rPr>
  </w:style>
  <w:style w:type="paragraph" w:customStyle="1" w:styleId="DirectNext">
    <w:name w:val="Direct Next"/>
    <w:rsid w:val="00421C36"/>
    <w:pPr>
      <w:pBdr>
        <w:top w:val="nil"/>
        <w:left w:val="nil"/>
        <w:bottom w:val="nil"/>
        <w:right w:val="nil"/>
        <w:between w:val="nil"/>
        <w:bar w:val="nil"/>
      </w:pBdr>
      <w:spacing w:line="504" w:lineRule="exact"/>
      <w:ind w:left="720"/>
    </w:pPr>
    <w:rPr>
      <w:rFonts w:eastAsia="Arial Unicode MS" w:hAnsi="Arial Unicode MS" w:cs="Arial Unicode MS"/>
      <w:color w:val="000000"/>
      <w:sz w:val="24"/>
      <w:szCs w:val="24"/>
      <w:u w:color="000000"/>
      <w:bdr w:val="nil"/>
    </w:rPr>
  </w:style>
  <w:style w:type="paragraph" w:customStyle="1" w:styleId="BodyA">
    <w:name w:val="Body A"/>
    <w:rsid w:val="003D0C5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sssh">
    <w:name w:val="ss_sh"/>
    <w:basedOn w:val="DefaultParagraphFont"/>
    <w:rsid w:val="0070618D"/>
  </w:style>
  <w:style w:type="character" w:customStyle="1" w:styleId="Heading4Char">
    <w:name w:val="Heading 4 Char"/>
    <w:basedOn w:val="DefaultParagraphFont"/>
    <w:link w:val="Heading4"/>
    <w:rsid w:val="00547A3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rsid w:val="00547A3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547A3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547A3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547A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A3B"/>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rsid w:val="006B5EC6"/>
    <w:rPr>
      <w:sz w:val="24"/>
    </w:rPr>
  </w:style>
  <w:style w:type="paragraph" w:styleId="TOCHeading">
    <w:name w:val="TOC Heading"/>
    <w:basedOn w:val="Heading1"/>
    <w:next w:val="Normal"/>
    <w:uiPriority w:val="39"/>
    <w:unhideWhenUsed/>
    <w:qFormat/>
    <w:rsid w:val="00A85520"/>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character" w:customStyle="1" w:styleId="UnresolvedMention4">
    <w:name w:val="Unresolved Mention4"/>
    <w:basedOn w:val="DefaultParagraphFont"/>
    <w:rsid w:val="0013572E"/>
    <w:rPr>
      <w:color w:val="605E5C"/>
      <w:shd w:val="clear" w:color="auto" w:fill="E1DFDD"/>
    </w:rPr>
  </w:style>
  <w:style w:type="character" w:customStyle="1" w:styleId="Heading3Char">
    <w:name w:val="Heading 3 Char"/>
    <w:basedOn w:val="DefaultParagraphFont"/>
    <w:link w:val="Heading3"/>
    <w:rsid w:val="005B6625"/>
    <w:rPr>
      <w:b/>
      <w:bCs/>
      <w:iCs/>
      <w:sz w:val="24"/>
    </w:rPr>
  </w:style>
  <w:style w:type="character" w:customStyle="1" w:styleId="UnresolvedMention5">
    <w:name w:val="Unresolved Mention5"/>
    <w:basedOn w:val="DefaultParagraphFont"/>
    <w:rsid w:val="00AA7752"/>
    <w:rPr>
      <w:color w:val="605E5C"/>
      <w:shd w:val="clear" w:color="auto" w:fill="E1DFDD"/>
    </w:rPr>
  </w:style>
  <w:style w:type="paragraph" w:styleId="Revision">
    <w:name w:val="Revision"/>
    <w:hidden/>
    <w:uiPriority w:val="99"/>
    <w:semiHidden/>
    <w:rsid w:val="00437FD8"/>
    <w:rPr>
      <w:sz w:val="24"/>
    </w:rPr>
  </w:style>
  <w:style w:type="character" w:customStyle="1" w:styleId="UnresolvedMention6">
    <w:name w:val="Unresolved Mention6"/>
    <w:basedOn w:val="DefaultParagraphFont"/>
    <w:rsid w:val="00D5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kyle.kern@ohioattorneygeneral.gov" TargetMode="External" /><Relationship Id="rId12" Type="http://schemas.openxmlformats.org/officeDocument/2006/relationships/hyperlink" Target="mailto:jodi.bair@ohioattorneygeneral.gov" TargetMode="External" /><Relationship Id="rId13" Type="http://schemas.openxmlformats.org/officeDocument/2006/relationships/hyperlink" Target="mailto:sarah.parrot@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whitt@whitt-sturtevant.com" TargetMode="External" /><Relationship Id="rId16" Type="http://schemas.openxmlformats.org/officeDocument/2006/relationships/hyperlink" Target="mailto:kennedy@whitt-sturtevant.com" TargetMode="External" /><Relationship Id="rId17" Type="http://schemas.openxmlformats.org/officeDocument/2006/relationships/hyperlink" Target="mailto:fykes@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rdove@keglerbrown.com" TargetMode="External" /><Relationship Id="rId2" Type="http://schemas.openxmlformats.org/officeDocument/2006/relationships/settings" Target="settings.xml" /><Relationship Id="rId20" Type="http://schemas.openxmlformats.org/officeDocument/2006/relationships/hyperlink" Target="mailto:mpritchard@mcneeslaw.com" TargetMode="External" /><Relationship Id="rId21" Type="http://schemas.openxmlformats.org/officeDocument/2006/relationships/hyperlink" Target="mailto:bmckenney@mcneeslaw.com" TargetMode="External"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ia.gov/outlooks/steo/special/winter/2021_Winter_Fuel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32010-9BCA-479D-BF22-D55C201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2021-12-08T21:54:18Z</dcterms:created>
  <dcterms:modified xsi:type="dcterms:W3CDTF">2021-12-08T21:54:18Z</dcterms:modified>
</cp:coreProperties>
</file>