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ED0" w:rsidRPr="005D7ACB" w:rsidRDefault="00470ED0" w:rsidP="00470ED0">
      <w:pPr>
        <w:spacing w:line="240" w:lineRule="auto"/>
        <w:ind w:firstLine="0"/>
        <w:jc w:val="center"/>
        <w:rPr>
          <w:rFonts w:eastAsia="Times New Roman" w:cs="Arial"/>
          <w:b/>
          <w:smallCaps/>
          <w:sz w:val="28"/>
        </w:rPr>
      </w:pPr>
      <w:r w:rsidRPr="005D7ACB">
        <w:rPr>
          <w:rFonts w:eastAsia="Times New Roman" w:cs="Arial"/>
          <w:b/>
          <w:smallCaps/>
          <w:sz w:val="28"/>
        </w:rPr>
        <w:t>Before</w:t>
      </w:r>
    </w:p>
    <w:p w:rsidR="00470ED0" w:rsidRPr="005D7ACB" w:rsidRDefault="00470ED0" w:rsidP="00470ED0">
      <w:pPr>
        <w:spacing w:line="240" w:lineRule="auto"/>
        <w:ind w:firstLine="0"/>
        <w:jc w:val="center"/>
        <w:rPr>
          <w:rFonts w:eastAsia="Times New Roman" w:cs="Arial"/>
          <w:smallCaps/>
          <w:sz w:val="28"/>
        </w:rPr>
      </w:pPr>
      <w:r w:rsidRPr="005D7ACB">
        <w:rPr>
          <w:rFonts w:eastAsia="Times New Roman" w:cs="Arial"/>
          <w:b/>
          <w:smallCaps/>
          <w:sz w:val="28"/>
        </w:rPr>
        <w:t xml:space="preserve">The Public Utilities Commission of </w:t>
      </w:r>
      <w:smartTag w:uri="urn:schemas-microsoft-com:office:smarttags" w:element="place">
        <w:smartTag w:uri="urn:schemas-microsoft-com:office:smarttags" w:element="State">
          <w:r w:rsidRPr="005D7ACB">
            <w:rPr>
              <w:rFonts w:eastAsia="Times New Roman" w:cs="Arial"/>
              <w:b/>
              <w:smallCaps/>
              <w:sz w:val="28"/>
            </w:rPr>
            <w:t>Ohio</w:t>
          </w:r>
        </w:smartTag>
      </w:smartTag>
    </w:p>
    <w:p w:rsidR="00470ED0" w:rsidRPr="005D7ACB" w:rsidRDefault="00470ED0" w:rsidP="00470ED0">
      <w:pPr>
        <w:spacing w:line="240" w:lineRule="auto"/>
        <w:ind w:firstLine="0"/>
        <w:rPr>
          <w:rFonts w:eastAsia="Times New Roman" w:cs="Arial"/>
        </w:rPr>
      </w:pPr>
    </w:p>
    <w:p w:rsidR="00470ED0" w:rsidRPr="005D7ACB" w:rsidRDefault="00470ED0" w:rsidP="00470ED0">
      <w:pPr>
        <w:tabs>
          <w:tab w:val="left" w:pos="4050"/>
          <w:tab w:val="left" w:pos="4680"/>
        </w:tabs>
        <w:spacing w:line="240" w:lineRule="auto"/>
        <w:ind w:firstLine="0"/>
        <w:rPr>
          <w:rFonts w:eastAsia="Times New Roman" w:cs="Arial"/>
        </w:rPr>
      </w:pPr>
      <w:r w:rsidRPr="005D7ACB">
        <w:rPr>
          <w:rFonts w:eastAsia="Times New Roman" w:cs="Arial"/>
        </w:rPr>
        <w:t>In the Matter of the Application of</w:t>
      </w:r>
      <w:r w:rsidRPr="005D7ACB">
        <w:rPr>
          <w:rFonts w:eastAsia="Times New Roman" w:cs="Arial"/>
        </w:rPr>
        <w:tab/>
        <w:t>)</w:t>
      </w:r>
    </w:p>
    <w:p w:rsidR="00470ED0" w:rsidRPr="005D7ACB" w:rsidRDefault="00470ED0" w:rsidP="00470ED0">
      <w:pPr>
        <w:tabs>
          <w:tab w:val="left" w:pos="4050"/>
          <w:tab w:val="left" w:pos="4680"/>
        </w:tabs>
        <w:spacing w:line="240" w:lineRule="auto"/>
        <w:ind w:firstLine="0"/>
        <w:rPr>
          <w:rFonts w:eastAsia="Times New Roman" w:cs="Arial"/>
        </w:rPr>
      </w:pPr>
      <w:r w:rsidRPr="005D7ACB">
        <w:rPr>
          <w:rFonts w:eastAsia="Times New Roman" w:cs="Arial"/>
        </w:rPr>
        <w:t>Ohio Power Company to Establish</w:t>
      </w:r>
      <w:r w:rsidRPr="005D7ACB">
        <w:rPr>
          <w:rFonts w:eastAsia="Times New Roman" w:cs="Arial"/>
        </w:rPr>
        <w:tab/>
        <w:t>)</w:t>
      </w:r>
      <w:r w:rsidRPr="005D7ACB">
        <w:rPr>
          <w:rFonts w:eastAsia="Times New Roman" w:cs="Arial"/>
        </w:rPr>
        <w:tab/>
        <w:t>Case No. 12-3255-EL-RDR</w:t>
      </w:r>
    </w:p>
    <w:p w:rsidR="00470ED0" w:rsidRPr="005D7ACB" w:rsidRDefault="00470ED0" w:rsidP="00470ED0">
      <w:pPr>
        <w:tabs>
          <w:tab w:val="left" w:pos="4050"/>
          <w:tab w:val="left" w:pos="4680"/>
        </w:tabs>
        <w:spacing w:line="240" w:lineRule="auto"/>
        <w:ind w:firstLine="0"/>
        <w:rPr>
          <w:rFonts w:eastAsia="Times New Roman" w:cs="Arial"/>
        </w:rPr>
      </w:pPr>
      <w:r w:rsidRPr="005D7ACB">
        <w:rPr>
          <w:rFonts w:eastAsia="Times New Roman" w:cs="Arial"/>
        </w:rPr>
        <w:t xml:space="preserve">Initial Storm Damage Recovery </w:t>
      </w:r>
      <w:r w:rsidRPr="005D7ACB">
        <w:rPr>
          <w:rFonts w:eastAsia="Times New Roman" w:cs="Arial"/>
        </w:rPr>
        <w:tab/>
        <w:t>)</w:t>
      </w:r>
    </w:p>
    <w:p w:rsidR="00470ED0" w:rsidRPr="004302B8" w:rsidRDefault="00470ED0" w:rsidP="00470ED0">
      <w:pPr>
        <w:tabs>
          <w:tab w:val="left" w:pos="4050"/>
          <w:tab w:val="left" w:pos="4680"/>
        </w:tabs>
        <w:spacing w:line="240" w:lineRule="auto"/>
        <w:ind w:firstLine="0"/>
        <w:rPr>
          <w:rFonts w:eastAsia="Times New Roman" w:cs="Arial"/>
        </w:rPr>
      </w:pPr>
      <w:r w:rsidRPr="005D7ACB">
        <w:rPr>
          <w:rFonts w:eastAsia="Times New Roman" w:cs="Arial"/>
        </w:rPr>
        <w:t>Rider Rates</w:t>
      </w:r>
      <w:r w:rsidRPr="005D7ACB">
        <w:rPr>
          <w:rFonts w:eastAsia="Times New Roman" w:cs="Arial"/>
        </w:rPr>
        <w:tab/>
        <w:t>)</w:t>
      </w:r>
    </w:p>
    <w:p w:rsidR="00470ED0" w:rsidRPr="005D7ACB" w:rsidRDefault="00470ED0" w:rsidP="00470ED0">
      <w:pPr>
        <w:tabs>
          <w:tab w:val="left" w:pos="4050"/>
          <w:tab w:val="left" w:pos="4680"/>
        </w:tabs>
        <w:spacing w:line="240" w:lineRule="auto"/>
        <w:ind w:firstLine="0"/>
        <w:rPr>
          <w:rFonts w:eastAsia="Times New Roman" w:cs="Arial"/>
        </w:rPr>
      </w:pPr>
    </w:p>
    <w:p w:rsidR="00470ED0" w:rsidRPr="005D7ACB" w:rsidRDefault="00470ED0" w:rsidP="00470ED0">
      <w:pPr>
        <w:ind w:firstLine="0"/>
        <w:rPr>
          <w:rFonts w:cs="Arial"/>
          <w:b/>
        </w:rPr>
      </w:pPr>
      <w:r w:rsidRPr="005D7ACB">
        <w:rPr>
          <w:rFonts w:cs="Arial"/>
          <w:b/>
        </w:rPr>
        <w:t>______________________________________________________________________</w:t>
      </w:r>
    </w:p>
    <w:p w:rsidR="00470ED0" w:rsidRPr="005D7ACB" w:rsidRDefault="00470ED0" w:rsidP="00470ED0">
      <w:pPr>
        <w:spacing w:line="240" w:lineRule="auto"/>
        <w:ind w:firstLine="0"/>
        <w:jc w:val="center"/>
        <w:rPr>
          <w:rFonts w:cs="Arial"/>
          <w:b/>
        </w:rPr>
      </w:pPr>
      <w:r w:rsidRPr="005D7ACB">
        <w:rPr>
          <w:rFonts w:cs="Arial"/>
          <w:b/>
        </w:rPr>
        <w:t>INDUSTRIAL ENERGY USERS-OHIO</w:t>
      </w:r>
      <w:r w:rsidR="00416C9C">
        <w:rPr>
          <w:rFonts w:cs="Arial"/>
          <w:b/>
        </w:rPr>
        <w:t>’S MEMORANDUM CONTRA THE OFFICE OF THE OHIO CONSUMERS’ COU</w:t>
      </w:r>
      <w:r w:rsidR="004B126C">
        <w:rPr>
          <w:rFonts w:cs="Arial"/>
          <w:b/>
        </w:rPr>
        <w:t>N</w:t>
      </w:r>
      <w:r w:rsidR="00416C9C">
        <w:rPr>
          <w:rFonts w:cs="Arial"/>
          <w:b/>
        </w:rPr>
        <w:t>SEL’S APPLICATION FOR REHEARING</w:t>
      </w:r>
    </w:p>
    <w:p w:rsidR="00470ED0" w:rsidRPr="005D7ACB" w:rsidRDefault="00470ED0" w:rsidP="00470ED0">
      <w:pPr>
        <w:ind w:firstLine="0"/>
        <w:rPr>
          <w:rFonts w:cs="Arial"/>
          <w:b/>
        </w:rPr>
      </w:pPr>
      <w:r w:rsidRPr="005D7ACB">
        <w:rPr>
          <w:rFonts w:cs="Arial"/>
          <w:b/>
        </w:rPr>
        <w:t>______________________________________________________________________</w:t>
      </w:r>
    </w:p>
    <w:p w:rsidR="00470ED0" w:rsidRPr="005D7ACB" w:rsidRDefault="00470ED0" w:rsidP="00470ED0">
      <w:pPr>
        <w:ind w:firstLine="0"/>
        <w:rPr>
          <w:rFonts w:cs="Arial"/>
          <w:b/>
        </w:rPr>
      </w:pPr>
    </w:p>
    <w:p w:rsidR="00470ED0" w:rsidRPr="005D7ACB" w:rsidRDefault="00470ED0" w:rsidP="00470ED0">
      <w:pPr>
        <w:ind w:firstLine="0"/>
        <w:rPr>
          <w:rFonts w:cs="Arial"/>
          <w:b/>
        </w:rPr>
      </w:pPr>
    </w:p>
    <w:p w:rsidR="00470ED0" w:rsidRPr="005D7ACB" w:rsidRDefault="00470ED0" w:rsidP="00470ED0">
      <w:pPr>
        <w:ind w:firstLine="0"/>
        <w:rPr>
          <w:rFonts w:cs="Arial"/>
          <w:b/>
        </w:rPr>
      </w:pPr>
    </w:p>
    <w:p w:rsidR="00470ED0" w:rsidRPr="005D7ACB" w:rsidRDefault="00470ED0" w:rsidP="00470ED0">
      <w:pPr>
        <w:ind w:firstLine="0"/>
        <w:rPr>
          <w:rFonts w:cs="Arial"/>
          <w:b/>
        </w:rPr>
      </w:pPr>
    </w:p>
    <w:p w:rsidR="00470ED0" w:rsidRPr="004302B8" w:rsidRDefault="00470ED0" w:rsidP="00470ED0">
      <w:pPr>
        <w:ind w:firstLine="0"/>
        <w:rPr>
          <w:rFonts w:cs="Arial"/>
          <w:b/>
        </w:rPr>
      </w:pPr>
    </w:p>
    <w:p w:rsidR="00470ED0" w:rsidRPr="004302B8" w:rsidRDefault="00470ED0" w:rsidP="00470ED0">
      <w:pPr>
        <w:ind w:firstLine="0"/>
        <w:rPr>
          <w:rFonts w:cs="Arial"/>
          <w:b/>
        </w:rPr>
      </w:pPr>
    </w:p>
    <w:p w:rsidR="00470ED0" w:rsidRPr="005D7ACB" w:rsidRDefault="00470ED0" w:rsidP="00470ED0">
      <w:pPr>
        <w:ind w:firstLine="0"/>
        <w:rPr>
          <w:rFonts w:cs="Arial"/>
          <w:b/>
        </w:rPr>
      </w:pPr>
    </w:p>
    <w:p w:rsidR="00470ED0" w:rsidRPr="005D7ACB" w:rsidRDefault="00470ED0" w:rsidP="00470ED0">
      <w:pPr>
        <w:ind w:firstLine="0"/>
        <w:rPr>
          <w:rFonts w:cs="Arial"/>
          <w:b/>
        </w:rPr>
      </w:pPr>
    </w:p>
    <w:p w:rsidR="00470ED0" w:rsidRPr="005D7ACB" w:rsidRDefault="00470ED0" w:rsidP="00470ED0">
      <w:pPr>
        <w:tabs>
          <w:tab w:val="left" w:pos="4320"/>
          <w:tab w:val="right" w:pos="8640"/>
        </w:tabs>
        <w:spacing w:line="240" w:lineRule="auto"/>
        <w:ind w:left="4320" w:firstLine="0"/>
        <w:rPr>
          <w:rFonts w:eastAsia="Times New Roman" w:cs="Arial"/>
        </w:rPr>
      </w:pPr>
      <w:r w:rsidRPr="005D7ACB">
        <w:rPr>
          <w:rFonts w:eastAsia="Times New Roman" w:cs="Arial"/>
        </w:rPr>
        <w:t>Samuel C. Randazzo (Counsel of Record)</w:t>
      </w:r>
    </w:p>
    <w:p w:rsidR="00470ED0" w:rsidRPr="005D7ACB" w:rsidRDefault="00470ED0" w:rsidP="00470ED0">
      <w:pPr>
        <w:widowControl w:val="0"/>
        <w:tabs>
          <w:tab w:val="left" w:pos="4320"/>
        </w:tabs>
        <w:spacing w:line="240" w:lineRule="auto"/>
        <w:ind w:left="4320" w:firstLine="0"/>
        <w:rPr>
          <w:rFonts w:eastAsia="Times New Roman" w:cs="Arial"/>
          <w:bCs/>
          <w:szCs w:val="20"/>
        </w:rPr>
      </w:pPr>
      <w:r w:rsidRPr="005D7ACB">
        <w:rPr>
          <w:rFonts w:eastAsia="Times New Roman" w:cs="Arial"/>
          <w:bCs/>
          <w:szCs w:val="20"/>
        </w:rPr>
        <w:t>Frank P. Darr</w:t>
      </w:r>
    </w:p>
    <w:p w:rsidR="00470ED0" w:rsidRPr="005D7ACB" w:rsidRDefault="00470ED0" w:rsidP="00470ED0">
      <w:pPr>
        <w:widowControl w:val="0"/>
        <w:tabs>
          <w:tab w:val="left" w:pos="4320"/>
        </w:tabs>
        <w:spacing w:line="240" w:lineRule="auto"/>
        <w:ind w:left="4320" w:firstLine="0"/>
        <w:rPr>
          <w:rFonts w:eastAsia="Times New Roman" w:cs="Arial"/>
          <w:bCs/>
          <w:szCs w:val="20"/>
        </w:rPr>
      </w:pPr>
      <w:r w:rsidRPr="005D7ACB">
        <w:rPr>
          <w:rFonts w:eastAsia="Times New Roman" w:cs="Arial"/>
          <w:bCs/>
          <w:szCs w:val="20"/>
        </w:rPr>
        <w:t>Matthew R. Pritchard</w:t>
      </w:r>
    </w:p>
    <w:p w:rsidR="00470ED0" w:rsidRPr="005D7ACB" w:rsidRDefault="00470ED0" w:rsidP="00470ED0">
      <w:pPr>
        <w:widowControl w:val="0"/>
        <w:tabs>
          <w:tab w:val="left" w:pos="4320"/>
        </w:tabs>
        <w:spacing w:line="240" w:lineRule="auto"/>
        <w:ind w:left="4320" w:firstLine="0"/>
        <w:rPr>
          <w:rFonts w:eastAsia="Times New Roman" w:cs="Arial"/>
          <w:bCs/>
          <w:smallCaps/>
        </w:rPr>
      </w:pPr>
      <w:r w:rsidRPr="005D7ACB">
        <w:rPr>
          <w:rFonts w:eastAsia="Times New Roman" w:cs="Arial"/>
          <w:bCs/>
          <w:smallCaps/>
        </w:rPr>
        <w:t>McNees Wallace &amp; Nurick LLC</w:t>
      </w:r>
    </w:p>
    <w:p w:rsidR="00470ED0" w:rsidRPr="005D7ACB" w:rsidRDefault="00470ED0" w:rsidP="00470ED0">
      <w:pPr>
        <w:widowControl w:val="0"/>
        <w:tabs>
          <w:tab w:val="left" w:pos="4320"/>
        </w:tabs>
        <w:spacing w:line="240" w:lineRule="auto"/>
        <w:ind w:left="4320" w:firstLine="0"/>
        <w:rPr>
          <w:rFonts w:eastAsia="Times New Roman" w:cs="Arial"/>
          <w:bCs/>
          <w:szCs w:val="20"/>
        </w:rPr>
      </w:pPr>
      <w:r w:rsidRPr="005D7ACB">
        <w:rPr>
          <w:rFonts w:eastAsia="Times New Roman" w:cs="Arial"/>
          <w:bCs/>
          <w:szCs w:val="20"/>
        </w:rPr>
        <w:t>21 East State Street, 17</w:t>
      </w:r>
      <w:r w:rsidRPr="005D7ACB">
        <w:rPr>
          <w:rFonts w:eastAsia="Times New Roman" w:cs="Arial"/>
          <w:bCs/>
          <w:szCs w:val="20"/>
          <w:vertAlign w:val="superscript"/>
        </w:rPr>
        <w:t>TH</w:t>
      </w:r>
      <w:r w:rsidRPr="005D7ACB">
        <w:rPr>
          <w:rFonts w:eastAsia="Times New Roman" w:cs="Arial"/>
          <w:bCs/>
          <w:szCs w:val="20"/>
        </w:rPr>
        <w:t xml:space="preserve"> Floor</w:t>
      </w:r>
    </w:p>
    <w:p w:rsidR="00470ED0" w:rsidRPr="005D7ACB" w:rsidRDefault="00470ED0" w:rsidP="00470ED0">
      <w:pPr>
        <w:tabs>
          <w:tab w:val="left" w:pos="4320"/>
        </w:tabs>
        <w:spacing w:line="240" w:lineRule="auto"/>
        <w:ind w:left="4320" w:firstLine="0"/>
        <w:rPr>
          <w:rFonts w:eastAsia="Times New Roman" w:cs="Arial"/>
        </w:rPr>
      </w:pPr>
      <w:r w:rsidRPr="005D7ACB">
        <w:rPr>
          <w:rFonts w:eastAsia="Times New Roman" w:cs="Arial"/>
        </w:rPr>
        <w:t>Columbus, OH  43215</w:t>
      </w:r>
    </w:p>
    <w:p w:rsidR="00470ED0" w:rsidRPr="005D7ACB" w:rsidRDefault="00470ED0" w:rsidP="00470ED0">
      <w:pPr>
        <w:tabs>
          <w:tab w:val="left" w:pos="4320"/>
        </w:tabs>
        <w:spacing w:line="240" w:lineRule="auto"/>
        <w:ind w:left="4320" w:firstLine="0"/>
        <w:rPr>
          <w:rFonts w:eastAsia="Times New Roman" w:cs="Arial"/>
        </w:rPr>
      </w:pPr>
      <w:r w:rsidRPr="005D7ACB">
        <w:rPr>
          <w:rFonts w:eastAsia="Times New Roman" w:cs="Arial"/>
        </w:rPr>
        <w:t>Telephone:  (614) 469-8000</w:t>
      </w:r>
    </w:p>
    <w:p w:rsidR="00470ED0" w:rsidRPr="005D7ACB" w:rsidRDefault="00470ED0" w:rsidP="00470ED0">
      <w:pPr>
        <w:tabs>
          <w:tab w:val="left" w:pos="4320"/>
        </w:tabs>
        <w:spacing w:line="240" w:lineRule="auto"/>
        <w:ind w:left="4320" w:firstLine="0"/>
        <w:rPr>
          <w:rFonts w:eastAsia="Times New Roman" w:cs="Arial"/>
        </w:rPr>
      </w:pPr>
      <w:r w:rsidRPr="005D7ACB">
        <w:rPr>
          <w:rFonts w:eastAsia="Times New Roman" w:cs="Arial"/>
        </w:rPr>
        <w:t>Telecopier:  (614) 469-4653</w:t>
      </w:r>
    </w:p>
    <w:p w:rsidR="00470ED0" w:rsidRPr="005D7ACB" w:rsidRDefault="00470ED0" w:rsidP="00470ED0">
      <w:pPr>
        <w:spacing w:line="240" w:lineRule="auto"/>
        <w:ind w:left="4320" w:firstLine="0"/>
        <w:rPr>
          <w:rFonts w:eastAsia="Times New Roman" w:cs="Arial"/>
        </w:rPr>
      </w:pPr>
      <w:r w:rsidRPr="005D7ACB">
        <w:rPr>
          <w:rFonts w:eastAsia="Times New Roman" w:cs="Arial"/>
        </w:rPr>
        <w:t>sam@mwncmh.com</w:t>
      </w:r>
    </w:p>
    <w:p w:rsidR="00470ED0" w:rsidRPr="005D7ACB" w:rsidRDefault="00470ED0" w:rsidP="00470ED0">
      <w:pPr>
        <w:spacing w:line="240" w:lineRule="auto"/>
        <w:ind w:left="4320" w:firstLine="0"/>
        <w:rPr>
          <w:rFonts w:eastAsia="Times New Roman" w:cs="Arial"/>
        </w:rPr>
      </w:pPr>
      <w:r w:rsidRPr="005D7ACB">
        <w:rPr>
          <w:rFonts w:eastAsia="Times New Roman" w:cs="Arial"/>
        </w:rPr>
        <w:t>fdarr@mwncmh.com</w:t>
      </w:r>
    </w:p>
    <w:p w:rsidR="00470ED0" w:rsidRPr="005D7ACB" w:rsidRDefault="00470ED0" w:rsidP="00470ED0">
      <w:pPr>
        <w:spacing w:line="240" w:lineRule="auto"/>
        <w:ind w:left="4320" w:firstLine="0"/>
        <w:rPr>
          <w:rFonts w:eastAsia="Times New Roman" w:cs="Arial"/>
        </w:rPr>
      </w:pPr>
      <w:r w:rsidRPr="005D7ACB">
        <w:rPr>
          <w:rFonts w:eastAsia="Times New Roman" w:cs="Arial"/>
        </w:rPr>
        <w:t>mpritchard@mwncmh.com</w:t>
      </w:r>
    </w:p>
    <w:p w:rsidR="00470ED0" w:rsidRPr="005D7ACB" w:rsidRDefault="00470ED0" w:rsidP="00470ED0">
      <w:pPr>
        <w:spacing w:line="240" w:lineRule="auto"/>
        <w:ind w:left="5040" w:hanging="5040"/>
        <w:rPr>
          <w:rFonts w:eastAsia="Times New Roman" w:cs="Arial"/>
        </w:rPr>
      </w:pPr>
    </w:p>
    <w:p w:rsidR="00470ED0" w:rsidRPr="005D7ACB" w:rsidRDefault="00470ED0" w:rsidP="00470ED0">
      <w:pPr>
        <w:spacing w:line="240" w:lineRule="auto"/>
        <w:ind w:left="4320" w:hanging="4320"/>
        <w:rPr>
          <w:rFonts w:eastAsia="Times New Roman" w:cs="Arial"/>
          <w:b/>
        </w:rPr>
      </w:pPr>
      <w:r>
        <w:rPr>
          <w:rFonts w:eastAsia="Times New Roman" w:cs="Arial"/>
          <w:b/>
        </w:rPr>
        <w:t xml:space="preserve">May </w:t>
      </w:r>
      <w:r w:rsidR="00416C9C">
        <w:rPr>
          <w:rFonts w:eastAsia="Times New Roman" w:cs="Arial"/>
          <w:b/>
        </w:rPr>
        <w:t>12</w:t>
      </w:r>
      <w:r w:rsidRPr="005D7ACB">
        <w:rPr>
          <w:rFonts w:eastAsia="Times New Roman" w:cs="Arial"/>
          <w:b/>
        </w:rPr>
        <w:t>, 2014</w:t>
      </w:r>
      <w:r w:rsidRPr="005D7ACB">
        <w:rPr>
          <w:rFonts w:eastAsia="Times New Roman" w:cs="Arial"/>
          <w:b/>
        </w:rPr>
        <w:tab/>
        <w:t>Attorneys for Industrial Energy Users-Ohio</w:t>
      </w:r>
    </w:p>
    <w:p w:rsidR="00470ED0" w:rsidRDefault="00470ED0" w:rsidP="00470ED0">
      <w:pPr>
        <w:spacing w:line="240" w:lineRule="auto"/>
        <w:ind w:firstLine="0"/>
        <w:jc w:val="center"/>
        <w:rPr>
          <w:rFonts w:eastAsia="Times New Roman" w:cs="Arial"/>
          <w:b/>
          <w:smallCaps/>
          <w:sz w:val="28"/>
        </w:rPr>
        <w:sectPr w:rsidR="00470ED0" w:rsidSect="00470ED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pPr>
    </w:p>
    <w:p w:rsidR="00470ED0" w:rsidRPr="005D7ACB" w:rsidRDefault="00470ED0" w:rsidP="00470ED0">
      <w:pPr>
        <w:spacing w:line="240" w:lineRule="auto"/>
        <w:ind w:firstLine="0"/>
        <w:jc w:val="center"/>
        <w:rPr>
          <w:rFonts w:eastAsia="Times New Roman" w:cs="Arial"/>
          <w:b/>
          <w:smallCaps/>
          <w:sz w:val="28"/>
        </w:rPr>
      </w:pPr>
      <w:r w:rsidRPr="005D7ACB">
        <w:rPr>
          <w:rFonts w:eastAsia="Times New Roman" w:cs="Arial"/>
          <w:b/>
          <w:smallCaps/>
          <w:sz w:val="28"/>
        </w:rPr>
        <w:lastRenderedPageBreak/>
        <w:t>Before</w:t>
      </w:r>
    </w:p>
    <w:p w:rsidR="00470ED0" w:rsidRPr="005D7ACB" w:rsidRDefault="00470ED0" w:rsidP="00470ED0">
      <w:pPr>
        <w:spacing w:line="240" w:lineRule="auto"/>
        <w:ind w:firstLine="0"/>
        <w:jc w:val="center"/>
        <w:rPr>
          <w:rFonts w:eastAsia="Times New Roman" w:cs="Arial"/>
          <w:smallCaps/>
          <w:sz w:val="28"/>
        </w:rPr>
      </w:pPr>
      <w:r w:rsidRPr="005D7ACB">
        <w:rPr>
          <w:rFonts w:eastAsia="Times New Roman" w:cs="Arial"/>
          <w:b/>
          <w:smallCaps/>
          <w:sz w:val="28"/>
        </w:rPr>
        <w:t xml:space="preserve">The Public Utilities Commission of </w:t>
      </w:r>
      <w:smartTag w:uri="urn:schemas-microsoft-com:office:smarttags" w:element="place">
        <w:smartTag w:uri="urn:schemas-microsoft-com:office:smarttags" w:element="State">
          <w:r w:rsidRPr="005D7ACB">
            <w:rPr>
              <w:rFonts w:eastAsia="Times New Roman" w:cs="Arial"/>
              <w:b/>
              <w:smallCaps/>
              <w:sz w:val="28"/>
            </w:rPr>
            <w:t>Ohio</w:t>
          </w:r>
        </w:smartTag>
      </w:smartTag>
    </w:p>
    <w:p w:rsidR="00470ED0" w:rsidRPr="005D7ACB" w:rsidRDefault="00470ED0" w:rsidP="00470ED0">
      <w:pPr>
        <w:spacing w:line="240" w:lineRule="auto"/>
        <w:ind w:firstLine="0"/>
        <w:rPr>
          <w:rFonts w:eastAsia="Times New Roman" w:cs="Arial"/>
        </w:rPr>
      </w:pPr>
    </w:p>
    <w:p w:rsidR="00470ED0" w:rsidRPr="005D7ACB" w:rsidRDefault="00470ED0" w:rsidP="00470ED0">
      <w:pPr>
        <w:tabs>
          <w:tab w:val="left" w:pos="4050"/>
          <w:tab w:val="left" w:pos="4680"/>
        </w:tabs>
        <w:spacing w:line="240" w:lineRule="auto"/>
        <w:ind w:firstLine="0"/>
        <w:rPr>
          <w:rFonts w:eastAsia="Times New Roman" w:cs="Arial"/>
        </w:rPr>
      </w:pPr>
      <w:r w:rsidRPr="005D7ACB">
        <w:rPr>
          <w:rFonts w:eastAsia="Times New Roman" w:cs="Arial"/>
        </w:rPr>
        <w:t>In the Matter of the Application of</w:t>
      </w:r>
      <w:r w:rsidRPr="005D7ACB">
        <w:rPr>
          <w:rFonts w:eastAsia="Times New Roman" w:cs="Arial"/>
        </w:rPr>
        <w:tab/>
        <w:t>)</w:t>
      </w:r>
    </w:p>
    <w:p w:rsidR="00470ED0" w:rsidRPr="005D7ACB" w:rsidRDefault="00470ED0" w:rsidP="00470ED0">
      <w:pPr>
        <w:tabs>
          <w:tab w:val="left" w:pos="4050"/>
          <w:tab w:val="left" w:pos="4680"/>
        </w:tabs>
        <w:spacing w:line="240" w:lineRule="auto"/>
        <w:ind w:firstLine="0"/>
        <w:rPr>
          <w:rFonts w:eastAsia="Times New Roman" w:cs="Arial"/>
        </w:rPr>
      </w:pPr>
      <w:r w:rsidRPr="005D7ACB">
        <w:rPr>
          <w:rFonts w:eastAsia="Times New Roman" w:cs="Arial"/>
        </w:rPr>
        <w:t>Ohio Power Company to Establish</w:t>
      </w:r>
      <w:r w:rsidRPr="005D7ACB">
        <w:rPr>
          <w:rFonts w:eastAsia="Times New Roman" w:cs="Arial"/>
        </w:rPr>
        <w:tab/>
        <w:t>)</w:t>
      </w:r>
      <w:r w:rsidRPr="005D7ACB">
        <w:rPr>
          <w:rFonts w:eastAsia="Times New Roman" w:cs="Arial"/>
        </w:rPr>
        <w:tab/>
        <w:t>Case No. 12-3255-EL-RDR</w:t>
      </w:r>
    </w:p>
    <w:p w:rsidR="00470ED0" w:rsidRPr="005D7ACB" w:rsidRDefault="00470ED0" w:rsidP="00470ED0">
      <w:pPr>
        <w:tabs>
          <w:tab w:val="left" w:pos="4050"/>
          <w:tab w:val="left" w:pos="4680"/>
        </w:tabs>
        <w:spacing w:line="240" w:lineRule="auto"/>
        <w:ind w:firstLine="0"/>
        <w:rPr>
          <w:rFonts w:eastAsia="Times New Roman" w:cs="Arial"/>
        </w:rPr>
      </w:pPr>
      <w:r w:rsidRPr="005D7ACB">
        <w:rPr>
          <w:rFonts w:eastAsia="Times New Roman" w:cs="Arial"/>
        </w:rPr>
        <w:t xml:space="preserve">Initial Storm Damage Recovery </w:t>
      </w:r>
      <w:r w:rsidRPr="005D7ACB">
        <w:rPr>
          <w:rFonts w:eastAsia="Times New Roman" w:cs="Arial"/>
        </w:rPr>
        <w:tab/>
        <w:t>)</w:t>
      </w:r>
    </w:p>
    <w:p w:rsidR="00470ED0" w:rsidRPr="004302B8" w:rsidRDefault="00470ED0" w:rsidP="00470ED0">
      <w:pPr>
        <w:tabs>
          <w:tab w:val="left" w:pos="4050"/>
          <w:tab w:val="left" w:pos="4680"/>
        </w:tabs>
        <w:spacing w:line="240" w:lineRule="auto"/>
        <w:ind w:firstLine="0"/>
        <w:rPr>
          <w:rFonts w:eastAsia="Times New Roman" w:cs="Arial"/>
        </w:rPr>
      </w:pPr>
      <w:r w:rsidRPr="005D7ACB">
        <w:rPr>
          <w:rFonts w:eastAsia="Times New Roman" w:cs="Arial"/>
        </w:rPr>
        <w:t>Rider Rates</w:t>
      </w:r>
      <w:r w:rsidRPr="005D7ACB">
        <w:rPr>
          <w:rFonts w:eastAsia="Times New Roman" w:cs="Arial"/>
        </w:rPr>
        <w:tab/>
        <w:t>)</w:t>
      </w:r>
    </w:p>
    <w:p w:rsidR="00470ED0" w:rsidRPr="005D7ACB" w:rsidRDefault="00470ED0" w:rsidP="00470ED0">
      <w:pPr>
        <w:tabs>
          <w:tab w:val="left" w:pos="4050"/>
          <w:tab w:val="left" w:pos="4680"/>
        </w:tabs>
        <w:spacing w:line="240" w:lineRule="auto"/>
        <w:ind w:firstLine="0"/>
        <w:rPr>
          <w:rFonts w:eastAsia="Times New Roman" w:cs="Arial"/>
        </w:rPr>
      </w:pPr>
    </w:p>
    <w:p w:rsidR="00470ED0" w:rsidRPr="005D7ACB" w:rsidRDefault="00470ED0" w:rsidP="00470ED0">
      <w:pPr>
        <w:ind w:firstLine="0"/>
        <w:rPr>
          <w:rFonts w:cs="Arial"/>
          <w:b/>
        </w:rPr>
      </w:pPr>
      <w:r w:rsidRPr="005D7ACB">
        <w:rPr>
          <w:rFonts w:cs="Arial"/>
          <w:b/>
        </w:rPr>
        <w:t>______________________________________________________________________</w:t>
      </w:r>
    </w:p>
    <w:p w:rsidR="00416C9C" w:rsidRPr="005D7ACB" w:rsidRDefault="00416C9C" w:rsidP="00416C9C">
      <w:pPr>
        <w:spacing w:line="240" w:lineRule="auto"/>
        <w:ind w:firstLine="0"/>
        <w:jc w:val="center"/>
        <w:rPr>
          <w:rFonts w:cs="Arial"/>
          <w:b/>
        </w:rPr>
      </w:pPr>
      <w:r w:rsidRPr="005D7ACB">
        <w:rPr>
          <w:rFonts w:cs="Arial"/>
          <w:b/>
        </w:rPr>
        <w:t>INDUSTRIAL ENERGY USERS-OHIO</w:t>
      </w:r>
      <w:r>
        <w:rPr>
          <w:rFonts w:cs="Arial"/>
          <w:b/>
        </w:rPr>
        <w:t>’S MEMORANDUM CONTRA THE OFFICE OF THE OHIO CONSUMERS’ COU</w:t>
      </w:r>
      <w:r w:rsidR="004B126C">
        <w:rPr>
          <w:rFonts w:cs="Arial"/>
          <w:b/>
        </w:rPr>
        <w:t>N</w:t>
      </w:r>
      <w:r>
        <w:rPr>
          <w:rFonts w:cs="Arial"/>
          <w:b/>
        </w:rPr>
        <w:t>SEL’S APPLICATION FOR REHEARING</w:t>
      </w:r>
    </w:p>
    <w:p w:rsidR="00470ED0" w:rsidRPr="00470ED0" w:rsidRDefault="00470ED0" w:rsidP="00470ED0">
      <w:pPr>
        <w:spacing w:after="240"/>
        <w:ind w:firstLine="0"/>
        <w:rPr>
          <w:rFonts w:cs="Arial"/>
        </w:rPr>
      </w:pPr>
      <w:r w:rsidRPr="005D7ACB">
        <w:rPr>
          <w:rFonts w:cs="Arial"/>
          <w:b/>
        </w:rPr>
        <w:t>______________________________________________________________________</w:t>
      </w:r>
    </w:p>
    <w:p w:rsidR="004A719F" w:rsidRDefault="004A719F" w:rsidP="00CF1758">
      <w:pPr>
        <w:pStyle w:val="Heading1"/>
      </w:pPr>
      <w:r>
        <w:t>Introduction</w:t>
      </w:r>
    </w:p>
    <w:p w:rsidR="004A719F" w:rsidRPr="004A719F" w:rsidRDefault="004A719F" w:rsidP="004A719F">
      <w:r w:rsidRPr="004A719F">
        <w:t>As part of its current electric security plan (“ESP”), Ohio Power Company (“AEP-Ohio”) is authorized to defer any incremental distribution expenses above or below $5 million, per year, associated with major storm expenses.</w:t>
      </w:r>
      <w:r w:rsidRPr="004A719F">
        <w:rPr>
          <w:vertAlign w:val="superscript"/>
        </w:rPr>
        <w:footnoteReference w:id="1"/>
      </w:r>
      <w:r w:rsidRPr="004A719F">
        <w:t xml:space="preserve">  Further, the Public Utilities Commission of Ohio (“Commission”) provided AEP-Ohio authority to file a separate application by December 31 of each year to secure recovery of prudently incurred and reasonable costs related to restoration of the distribution system resulting from major storms.</w:t>
      </w:r>
      <w:r w:rsidRPr="004A719F">
        <w:rPr>
          <w:vertAlign w:val="superscript"/>
        </w:rPr>
        <w:footnoteReference w:id="2"/>
      </w:r>
    </w:p>
    <w:p w:rsidR="004A719F" w:rsidRPr="004A719F" w:rsidRDefault="004A719F" w:rsidP="00CD333A">
      <w:r w:rsidRPr="004A719F">
        <w:t>AEP-Ohio filed an application commencing this proceeding and seeking major storm related costs associated with storms in 2012.</w:t>
      </w:r>
      <w:r w:rsidRPr="004A719F">
        <w:rPr>
          <w:vertAlign w:val="superscript"/>
        </w:rPr>
        <w:footnoteReference w:id="3"/>
      </w:r>
      <w:r w:rsidRPr="004A719F">
        <w:t xml:space="preserve">  In the application, it sought $62 million in costs.</w:t>
      </w:r>
      <w:r w:rsidRPr="004A719F">
        <w:rPr>
          <w:vertAlign w:val="superscript"/>
        </w:rPr>
        <w:footnoteReference w:id="4"/>
      </w:r>
      <w:r w:rsidRPr="004A719F">
        <w:t xml:space="preserve">  It subsequently revised its application, reducing the storm related </w:t>
      </w:r>
      <w:r w:rsidRPr="004A719F">
        <w:lastRenderedPageBreak/>
        <w:t>costs to $61 million.</w:t>
      </w:r>
      <w:r w:rsidRPr="004A719F">
        <w:rPr>
          <w:vertAlign w:val="superscript"/>
        </w:rPr>
        <w:footnoteReference w:id="5"/>
      </w:r>
      <w:r w:rsidRPr="004A719F">
        <w:t xml:space="preserve">  On August 22, 2013, AEP-Ohio filed a motion seeking authority to record a carrying cost at the weighted average cost of capital on the deferred major storm related costs.</w:t>
      </w:r>
      <w:r w:rsidRPr="004A719F">
        <w:rPr>
          <w:vertAlign w:val="superscript"/>
        </w:rPr>
        <w:footnoteReference w:id="6"/>
      </w:r>
    </w:p>
    <w:p w:rsidR="004A719F" w:rsidRPr="004A719F" w:rsidRDefault="004A719F" w:rsidP="004A719F">
      <w:r w:rsidRPr="004A719F">
        <w:t>The Staff of the Commission (“Staff”) filed initial comments and identified $2.4 million of deductions from AEP-Ohio’s request on May 29, 2013.</w:t>
      </w:r>
      <w:r w:rsidRPr="004A719F">
        <w:rPr>
          <w:vertAlign w:val="superscript"/>
        </w:rPr>
        <w:footnoteReference w:id="7"/>
      </w:r>
      <w:r w:rsidRPr="004A719F">
        <w:t xml:space="preserve">  On November 4, 2013, the Staff filed a nonbinding list of issues in which it increased the proposed disallowance to $4.9 million.</w:t>
      </w:r>
      <w:r w:rsidRPr="004A719F">
        <w:rPr>
          <w:vertAlign w:val="superscript"/>
        </w:rPr>
        <w:footnoteReference w:id="8"/>
      </w:r>
      <w:r w:rsidRPr="004A719F">
        <w:t xml:space="preserve">  Additionally, the Staff recommended that the amount found recoverable be collected through a fixed charge per month assessed over a recovery period of 12 months and allocated by </w:t>
      </w:r>
      <w:r w:rsidR="004D0FFF">
        <w:t xml:space="preserve">the </w:t>
      </w:r>
      <w:r w:rsidRPr="004A719F">
        <w:t>distribution revenue responsibility of residential and nonresidential customers.</w:t>
      </w:r>
      <w:r w:rsidRPr="004A719F">
        <w:rPr>
          <w:vertAlign w:val="superscript"/>
        </w:rPr>
        <w:footnoteReference w:id="9"/>
      </w:r>
    </w:p>
    <w:p w:rsidR="007B6CDA" w:rsidRPr="007B6CDA" w:rsidRDefault="004A719F" w:rsidP="007B6CDA">
      <w:r w:rsidRPr="004A719F">
        <w:t>A hearing in this matter was set to commence on December 16, 2013.</w:t>
      </w:r>
      <w:r w:rsidRPr="004A719F">
        <w:rPr>
          <w:vertAlign w:val="superscript"/>
        </w:rPr>
        <w:footnoteReference w:id="10"/>
      </w:r>
      <w:r w:rsidRPr="004A719F">
        <w:t xml:space="preserve">  A Joint Stipulation and Recommendation signed by AEP-Ohio, the Staff, and all intervenors except the Office of the Ohio Consumers’ Counsel (“OCC”) was filed on December 6, 2013.</w:t>
      </w:r>
      <w:r w:rsidRPr="004A719F">
        <w:rPr>
          <w:vertAlign w:val="superscript"/>
        </w:rPr>
        <w:footnoteReference w:id="11"/>
      </w:r>
      <w:r w:rsidRPr="004A719F">
        <w:t xml:space="preserve">  </w:t>
      </w:r>
      <w:r w:rsidR="007B6CDA" w:rsidRPr="007B6CDA">
        <w:t>Under the terms of the Stipulation, the signatory parties recommend</w:t>
      </w:r>
      <w:r w:rsidR="00C66FE7">
        <w:t>ed</w:t>
      </w:r>
      <w:r w:rsidR="007B6CDA" w:rsidRPr="007B6CDA">
        <w:t xml:space="preserve"> that the Commission set the amount t</w:t>
      </w:r>
      <w:r w:rsidR="00C66FE7">
        <w:t>o be recovered at $54.9 million.</w:t>
      </w:r>
      <w:r w:rsidR="007B6CDA" w:rsidRPr="007B6CDA">
        <w:rPr>
          <w:vertAlign w:val="superscript"/>
        </w:rPr>
        <w:footnoteReference w:id="12"/>
      </w:r>
      <w:r w:rsidR="007B6CDA" w:rsidRPr="007B6CDA">
        <w:t xml:space="preserve">  </w:t>
      </w:r>
      <w:r w:rsidR="00C66FE7">
        <w:t>The Stipulation also recommended</w:t>
      </w:r>
      <w:r w:rsidR="007B6CDA" w:rsidRPr="007B6CDA">
        <w:t xml:space="preserve"> that carrying charges be limited to the period between April 1, 2013 and </w:t>
      </w:r>
      <w:r w:rsidR="007B6CDA" w:rsidRPr="007B6CDA">
        <w:lastRenderedPageBreak/>
        <w:t>the start of collection and that the carrying charge rate be set at 5.34%.</w:t>
      </w:r>
      <w:r w:rsidR="007B6CDA" w:rsidRPr="007B6CDA">
        <w:rPr>
          <w:vertAlign w:val="superscript"/>
        </w:rPr>
        <w:footnoteReference w:id="13"/>
      </w:r>
      <w:r w:rsidR="007B6CDA" w:rsidRPr="007B6CDA">
        <w:t xml:space="preserve">  </w:t>
      </w:r>
      <w:r w:rsidR="00C66FE7">
        <w:t>The Stipulation further recommended that the</w:t>
      </w:r>
      <w:r w:rsidR="007B6CDA" w:rsidRPr="007B6CDA">
        <w:t xml:space="preserve"> proposed recovery mechanism </w:t>
      </w:r>
      <w:r w:rsidR="00C66FE7">
        <w:t>be</w:t>
      </w:r>
      <w:r w:rsidR="007B6CDA" w:rsidRPr="007B6CDA">
        <w:t xml:space="preserve"> a fixed customer charge based on residential and nonr</w:t>
      </w:r>
      <w:r w:rsidR="00C66FE7">
        <w:t>esidential distribution revenue</w:t>
      </w:r>
      <w:r w:rsidR="007B6CDA" w:rsidRPr="007B6CDA">
        <w:rPr>
          <w:vertAlign w:val="superscript"/>
        </w:rPr>
        <w:footnoteReference w:id="14"/>
      </w:r>
      <w:r w:rsidR="00C66FE7">
        <w:t xml:space="preserve"> and that </w:t>
      </w:r>
      <w:r w:rsidR="007B6CDA" w:rsidRPr="007B6CDA">
        <w:t xml:space="preserve">AEP-Ohio </w:t>
      </w:r>
      <w:r w:rsidR="00C66FE7">
        <w:t>be required to</w:t>
      </w:r>
      <w:r w:rsidR="007B6CDA" w:rsidRPr="007B6CDA">
        <w:t xml:space="preserve"> convene a meeting to discuss storm restoration practices with the intervening signatory parties.</w:t>
      </w:r>
      <w:r w:rsidR="007B6CDA" w:rsidRPr="007B6CDA">
        <w:rPr>
          <w:vertAlign w:val="superscript"/>
        </w:rPr>
        <w:footnoteReference w:id="15"/>
      </w:r>
      <w:r w:rsidR="007B6CDA" w:rsidRPr="007B6CDA">
        <w:t xml:space="preserve">  Finally, any further cost adjustments from vendors </w:t>
      </w:r>
      <w:r w:rsidR="00C66FE7">
        <w:t>are to</w:t>
      </w:r>
      <w:r w:rsidR="007B6CDA" w:rsidRPr="007B6CDA">
        <w:t xml:space="preserve"> be factored into the storm </w:t>
      </w:r>
      <w:r w:rsidR="00C66FE7">
        <w:t xml:space="preserve">recovery </w:t>
      </w:r>
      <w:r w:rsidR="007B6CDA" w:rsidRPr="007B6CDA">
        <w:t>balance.</w:t>
      </w:r>
      <w:r w:rsidR="007B6CDA" w:rsidRPr="007B6CDA">
        <w:rPr>
          <w:vertAlign w:val="superscript"/>
        </w:rPr>
        <w:footnoteReference w:id="16"/>
      </w:r>
    </w:p>
    <w:p w:rsidR="004A719F" w:rsidRDefault="00C66FE7" w:rsidP="004A719F">
      <w:r>
        <w:t>After a</w:t>
      </w:r>
      <w:r w:rsidR="004A719F" w:rsidRPr="004A719F">
        <w:t xml:space="preserve"> hearing on the Stipul</w:t>
      </w:r>
      <w:r w:rsidR="0088182A">
        <w:t>ation</w:t>
      </w:r>
      <w:r w:rsidR="004A719F">
        <w:t xml:space="preserve">, the Commission issued </w:t>
      </w:r>
      <w:r>
        <w:t>an</w:t>
      </w:r>
      <w:r w:rsidR="004A719F">
        <w:t xml:space="preserve"> Opinion and Order.  In the Opinion and Order, the Commission adopted</w:t>
      </w:r>
      <w:r w:rsidR="0088182A">
        <w:t xml:space="preserve"> and approved the Stipulation,</w:t>
      </w:r>
      <w:r w:rsidR="004A719F">
        <w:rPr>
          <w:rStyle w:val="FootnoteReference"/>
        </w:rPr>
        <w:footnoteReference w:id="17"/>
      </w:r>
      <w:r w:rsidR="0088182A">
        <w:t xml:space="preserve"> concluding</w:t>
      </w:r>
      <w:r w:rsidR="007B6CDA">
        <w:t xml:space="preserve"> that the Stipulation was the product of serious bargaining among capable and knowledgeable parties, that </w:t>
      </w:r>
      <w:r w:rsidR="003464D9">
        <w:t xml:space="preserve">the </w:t>
      </w:r>
      <w:r w:rsidR="007B6CDA">
        <w:t>Stipulation, as a package, benefited ratepayers and the public interest, and that the Stipulation did not violate any important regulatory principle or practice.</w:t>
      </w:r>
      <w:r w:rsidR="007B6CDA">
        <w:rPr>
          <w:rStyle w:val="FootnoteReference"/>
        </w:rPr>
        <w:footnoteReference w:id="18"/>
      </w:r>
    </w:p>
    <w:p w:rsidR="007B6CDA" w:rsidRDefault="007B6CDA" w:rsidP="004A719F">
      <w:r>
        <w:t xml:space="preserve">On May 2, 2014, OCC filed </w:t>
      </w:r>
      <w:r w:rsidR="003464D9">
        <w:t xml:space="preserve">an </w:t>
      </w:r>
      <w:r>
        <w:t>Application for Rehearing alleging two assignments of error.</w:t>
      </w:r>
      <w:r>
        <w:rPr>
          <w:rStyle w:val="FootnoteReference"/>
        </w:rPr>
        <w:footnoteReference w:id="19"/>
      </w:r>
      <w:r>
        <w:t xml:space="preserve">  The first assignment of </w:t>
      </w:r>
      <w:r w:rsidR="003464D9">
        <w:t xml:space="preserve">error </w:t>
      </w:r>
      <w:r>
        <w:t>claimed that the Commission</w:t>
      </w:r>
      <w:r w:rsidR="003464D9">
        <w:t>’s</w:t>
      </w:r>
      <w:r>
        <w:t xml:space="preserve"> finding that the Stipulation benefits customers and the public interest because the settlement is more </w:t>
      </w:r>
      <w:r w:rsidR="00EA7591">
        <w:t xml:space="preserve">beneficial </w:t>
      </w:r>
      <w:r>
        <w:t>than the public positions of the parties that signed the Stipulation is unjust and unreasonable and undermines the negotiation process.</w:t>
      </w:r>
      <w:r>
        <w:rPr>
          <w:rStyle w:val="FootnoteReference"/>
        </w:rPr>
        <w:footnoteReference w:id="20"/>
      </w:r>
      <w:r>
        <w:t xml:space="preserve">  The </w:t>
      </w:r>
      <w:r>
        <w:lastRenderedPageBreak/>
        <w:t>second assignment complains that the Commission erred in finding that AEP-Ohio’s use of Storm Services,</w:t>
      </w:r>
      <w:r w:rsidR="00EA7591">
        <w:t xml:space="preserve"> LLC,</w:t>
      </w:r>
      <w:r>
        <w:t xml:space="preserve"> a vendor that provided various services to AEP-Ohio during the June-July 2012 major storm restoration, was reasonable and prudent.</w:t>
      </w:r>
      <w:r>
        <w:rPr>
          <w:rStyle w:val="FootnoteReference"/>
        </w:rPr>
        <w:footnoteReference w:id="21"/>
      </w:r>
    </w:p>
    <w:p w:rsidR="00947E8B" w:rsidRPr="004A719F" w:rsidRDefault="00947E8B" w:rsidP="004A719F">
      <w:r w:rsidRPr="00947E8B">
        <w:t xml:space="preserve">Rehearing should be granted only if </w:t>
      </w:r>
      <w:r>
        <w:t>OCC</w:t>
      </w:r>
      <w:r w:rsidRPr="00947E8B">
        <w:t xml:space="preserve"> can demonstrate that the Commission’s order is unlawful or unreasonable.</w:t>
      </w:r>
      <w:r w:rsidRPr="00947E8B">
        <w:rPr>
          <w:vertAlign w:val="superscript"/>
        </w:rPr>
        <w:footnoteReference w:id="22"/>
      </w:r>
      <w:r>
        <w:t xml:space="preserve">  Because OCC has not demonstrate</w:t>
      </w:r>
      <w:r w:rsidR="00EA7591">
        <w:t>d</w:t>
      </w:r>
      <w:r>
        <w:t xml:space="preserve"> </w:t>
      </w:r>
      <w:r w:rsidR="00EA7591">
        <w:t xml:space="preserve">that </w:t>
      </w:r>
      <w:r>
        <w:t>the Commission</w:t>
      </w:r>
      <w:r w:rsidR="00EA7591">
        <w:t>’s</w:t>
      </w:r>
      <w:r>
        <w:t xml:space="preserve"> finding that the Stipulation provides benefits to ratepayers and the public interest is unlawful or unreasonable, the Commission should deny rehearing based on OCC’s first assignment of error.</w:t>
      </w:r>
      <w:r>
        <w:rPr>
          <w:rStyle w:val="FootnoteReference"/>
        </w:rPr>
        <w:footnoteReference w:id="23"/>
      </w:r>
      <w:r>
        <w:t xml:space="preserve"> </w:t>
      </w:r>
    </w:p>
    <w:p w:rsidR="008E3BF4" w:rsidRDefault="00BF62FB" w:rsidP="00CF1758">
      <w:pPr>
        <w:pStyle w:val="Heading1"/>
      </w:pPr>
      <w:r>
        <w:t>OCC fails to demonstrate that the Commission erred when it found that the Stipulation benefits ratepayers and the public interest</w:t>
      </w:r>
    </w:p>
    <w:p w:rsidR="00BF62FB" w:rsidRDefault="00BF62FB">
      <w:r>
        <w:t>In its first assignment of error, OCC asserts that the Commission erred when it found that the Stipulation benefits ratepayers and the public interest.  According to OCC, the Commission focused on the reductions the signatory parties quantified in the record and that OCC quantified a greater amount.</w:t>
      </w:r>
      <w:r>
        <w:rPr>
          <w:rStyle w:val="FootnoteReference"/>
        </w:rPr>
        <w:footnoteReference w:id="24"/>
      </w:r>
      <w:r>
        <w:t xml:space="preserve">  OCC </w:t>
      </w:r>
      <w:r w:rsidR="00C371B4">
        <w:t>continues</w:t>
      </w:r>
      <w:r>
        <w:t xml:space="preserve"> </w:t>
      </w:r>
      <w:r w:rsidR="00C371B4">
        <w:t xml:space="preserve">that </w:t>
      </w:r>
      <w:r>
        <w:t>“[the Commission] unreasonably made the public positions of the parties signing the Stipulation a factor in determining whether the settlement benefits customers.”</w:t>
      </w:r>
      <w:r>
        <w:rPr>
          <w:rStyle w:val="FootnoteReference"/>
        </w:rPr>
        <w:footnoteReference w:id="25"/>
      </w:r>
      <w:r>
        <w:t xml:space="preserve">  For </w:t>
      </w:r>
      <w:r w:rsidR="009D674A">
        <w:t>two</w:t>
      </w:r>
      <w:r>
        <w:t xml:space="preserve"> reasons, OCC’s assignment of error should be rejected.</w:t>
      </w:r>
    </w:p>
    <w:p w:rsidR="00BF62FB" w:rsidRDefault="00BF62FB">
      <w:r>
        <w:t xml:space="preserve">Initially, OCC’s assignment of error does not reflect the </w:t>
      </w:r>
      <w:r w:rsidR="0088182A">
        <w:t xml:space="preserve">scope of the </w:t>
      </w:r>
      <w:r w:rsidR="009D674A">
        <w:t>evidence supporting</w:t>
      </w:r>
      <w:r w:rsidR="0088182A">
        <w:t xml:space="preserve"> the </w:t>
      </w:r>
      <w:r>
        <w:t xml:space="preserve">Commission’s determination.  The Commission did note that the </w:t>
      </w:r>
      <w:r w:rsidR="0088182A">
        <w:t xml:space="preserve">proposed disallowance contained in </w:t>
      </w:r>
      <w:r>
        <w:t xml:space="preserve">Stipulation reflected an amount in excess of </w:t>
      </w:r>
      <w:r w:rsidR="0098580E">
        <w:t xml:space="preserve">the </w:t>
      </w:r>
      <w:r w:rsidR="0098580E">
        <w:lastRenderedPageBreak/>
        <w:t>amount identified by Staff in its prehea</w:t>
      </w:r>
      <w:r w:rsidR="0088182A">
        <w:t>ring comments.  The Staff provided a baseline that</w:t>
      </w:r>
      <w:r w:rsidR="0098580E">
        <w:t xml:space="preserve"> “was based on a lengthy and exhaustive audit of AEP Ohio’s invoices and related documentation for the storm expenses in question.”</w:t>
      </w:r>
      <w:r w:rsidR="0098580E">
        <w:rPr>
          <w:rStyle w:val="FootnoteReference"/>
        </w:rPr>
        <w:footnoteReference w:id="26"/>
      </w:r>
      <w:r w:rsidR="0098580E">
        <w:t xml:space="preserve">  </w:t>
      </w:r>
      <w:r w:rsidR="0088182A">
        <w:t xml:space="preserve">The Stipulation proposed an disallowance in excess of the baseline.  </w:t>
      </w:r>
      <w:r w:rsidR="00C66FE7">
        <w:t>The Commission, however, did not base its decision on only this factor. As noted by the Commission, t</w:t>
      </w:r>
      <w:r w:rsidR="0098580E">
        <w:t xml:space="preserve">he Stipulation </w:t>
      </w:r>
      <w:r w:rsidR="00C66FE7">
        <w:t xml:space="preserve">also </w:t>
      </w:r>
      <w:r w:rsidR="0098580E">
        <w:t>provided for additional potential reductions if AEP-Ohio receives additional refunds from vendors</w:t>
      </w:r>
      <w:r w:rsidR="0088182A">
        <w:t xml:space="preserve"> that</w:t>
      </w:r>
      <w:r w:rsidR="0098580E">
        <w:t xml:space="preserve"> will be flowed to customers through additional reductions in the customer charges.</w:t>
      </w:r>
      <w:r w:rsidR="0098580E">
        <w:rPr>
          <w:rStyle w:val="FootnoteReference"/>
        </w:rPr>
        <w:footnoteReference w:id="27"/>
      </w:r>
      <w:r w:rsidR="0098580E">
        <w:t xml:space="preserve">  The Commission further noted the revenue requirement was reflective of storm-related costs that were reasonably and prudently incurred.</w:t>
      </w:r>
      <w:r w:rsidR="0098580E">
        <w:rPr>
          <w:rStyle w:val="FootnoteReference"/>
        </w:rPr>
        <w:footnoteReference w:id="28"/>
      </w:r>
      <w:r w:rsidR="0098580E">
        <w:t xml:space="preserve">  </w:t>
      </w:r>
    </w:p>
    <w:p w:rsidR="009D674A" w:rsidRDefault="00C66FE7" w:rsidP="009D674A">
      <w:r>
        <w:t>In addition to the factors noted by the Commission, t</w:t>
      </w:r>
      <w:r w:rsidR="009D674A">
        <w:t>he</w:t>
      </w:r>
      <w:r w:rsidR="004A719F" w:rsidRPr="004A719F">
        <w:t xml:space="preserve"> parties and public also will benefit from other terms contained in the Stipulation.  The recovery mechanism, a flat customer charge,</w:t>
      </w:r>
      <w:r w:rsidR="004A719F" w:rsidRPr="004A719F">
        <w:rPr>
          <w:vertAlign w:val="superscript"/>
        </w:rPr>
        <w:footnoteReference w:id="29"/>
      </w:r>
      <w:r w:rsidR="004A719F" w:rsidRPr="004A719F">
        <w:t xml:space="preserve"> conforms with an approach similar to that used by the Commission to recover other distribution related costs arising from the gridSMART program.  Further, the allocation methodology, as noted above, assigns revenue responsibility in a manner consistent with base distribution revenue responsibility.  Finally, AEP-Ohio has committed to discuss storm restoration processes with the parties; this provision will provide parties an opportunity to address the restoration process.</w:t>
      </w:r>
      <w:r w:rsidR="004A719F" w:rsidRPr="004A719F">
        <w:rPr>
          <w:vertAlign w:val="superscript"/>
        </w:rPr>
        <w:footnoteReference w:id="30"/>
      </w:r>
      <w:r w:rsidR="009D674A">
        <w:t xml:space="preserve">  </w:t>
      </w:r>
      <w:r w:rsidR="004A719F" w:rsidRPr="004A719F">
        <w:t>As a result of the agreed reductions in recoverable costs, revenue allocation, and future commitments, the Stipulation, as a whole, is a benefit to customers and the public interest.</w:t>
      </w:r>
      <w:r w:rsidR="009D674A" w:rsidRPr="009D674A">
        <w:t xml:space="preserve"> </w:t>
      </w:r>
    </w:p>
    <w:p w:rsidR="00C66FE7" w:rsidRDefault="00C66FE7" w:rsidP="009D674A">
      <w:r>
        <w:lastRenderedPageBreak/>
        <w:t>Apart from the fact that the Commission adequately demonstrated the basis for its decision that the Stipulation provided benefits to ratepayers and the public, OCC fails to provide any legal support to demonstrate that the Commission erred in its reliance on the fact that the disallowance exceeded that urged by the Staff.  E</w:t>
      </w:r>
      <w:r>
        <w:t>ven if OCC could point to some authority for such a rule</w:t>
      </w:r>
      <w:r>
        <w:t>, the “rule” would not apply</w:t>
      </w:r>
      <w:r w:rsidRPr="00C66FE7">
        <w:t xml:space="preserve"> </w:t>
      </w:r>
      <w:r>
        <w:t>because</w:t>
      </w:r>
      <w:r>
        <w:t xml:space="preserve"> the </w:t>
      </w:r>
      <w:r>
        <w:t xml:space="preserve">relative size of </w:t>
      </w:r>
      <w:r>
        <w:t xml:space="preserve">disallowance </w:t>
      </w:r>
      <w:r>
        <w:t xml:space="preserve">to Staff’s recommendation </w:t>
      </w:r>
      <w:r>
        <w:t>was only one of several factors relied upon by the Commission</w:t>
      </w:r>
      <w:r>
        <w:t>.</w:t>
      </w:r>
    </w:p>
    <w:p w:rsidR="00C371B4" w:rsidRDefault="009D674A" w:rsidP="009D674A">
      <w:r>
        <w:t xml:space="preserve">Additionally, OCC is not presenting any new argument to the Commission.  </w:t>
      </w:r>
      <w:r w:rsidR="00683323">
        <w:t xml:space="preserve">In briefs to the Commission, </w:t>
      </w:r>
      <w:r>
        <w:t>OCC made the same claim</w:t>
      </w:r>
      <w:r w:rsidR="00C66FE7">
        <w:t xml:space="preserve"> that the Commission should not find the Stipulation benefited customers because it proposed a disallowance greater than what Staff had urged</w:t>
      </w:r>
      <w:r>
        <w:t>.</w:t>
      </w:r>
      <w:r>
        <w:rPr>
          <w:rStyle w:val="FootnoteReference"/>
        </w:rPr>
        <w:footnoteReference w:id="31"/>
      </w:r>
      <w:r>
        <w:t xml:space="preserve">  As noted above, the Commission addressed OCC’s concerns and based its determination that the Stipulation satisfied the second prong of the test on more than just the pre-settlement positions of the parties.  Accordingly, OCC’s assignment of error has been fully addressed by the Opinion and Order </w:t>
      </w:r>
      <w:bookmarkStart w:id="0" w:name="_GoBack"/>
      <w:bookmarkEnd w:id="0"/>
      <w:r>
        <w:t xml:space="preserve">and raises no </w:t>
      </w:r>
      <w:r w:rsidR="00C66FE7">
        <w:t xml:space="preserve">new </w:t>
      </w:r>
      <w:r>
        <w:t>issue.</w:t>
      </w:r>
      <w:r>
        <w:rPr>
          <w:rStyle w:val="FootnoteReference"/>
        </w:rPr>
        <w:footnoteReference w:id="32"/>
      </w:r>
    </w:p>
    <w:p w:rsidR="00000B09" w:rsidRDefault="00000B09" w:rsidP="00CF1758">
      <w:pPr>
        <w:pStyle w:val="Heading1"/>
      </w:pPr>
      <w:r>
        <w:t>Conclusion</w:t>
      </w:r>
    </w:p>
    <w:p w:rsidR="00000B09" w:rsidRDefault="00000B09" w:rsidP="004A719F">
      <w:r>
        <w:t>For the reasons discussed above, the Commission should reject OC</w:t>
      </w:r>
      <w:r w:rsidR="009D674A">
        <w:t xml:space="preserve">C’s first assignment of error because OCC has not demonstrated that the Commission’s determination that the Stipulation benefits ratepayers and the public interest is unlawful or unreasonable.  </w:t>
      </w:r>
    </w:p>
    <w:p w:rsidR="00426D07" w:rsidRPr="005D7ACB" w:rsidRDefault="00426D07" w:rsidP="00426D07">
      <w:pPr>
        <w:tabs>
          <w:tab w:val="left" w:pos="-1440"/>
          <w:tab w:val="left" w:pos="-720"/>
          <w:tab w:val="left" w:pos="3600"/>
          <w:tab w:val="left" w:pos="4320"/>
        </w:tabs>
        <w:spacing w:line="240" w:lineRule="auto"/>
        <w:ind w:left="4320" w:firstLine="0"/>
        <w:rPr>
          <w:rFonts w:eastAsia="Times New Roman" w:cs="Arial"/>
          <w:color w:val="000000"/>
          <w:lang w:val="de-DE"/>
        </w:rPr>
      </w:pPr>
      <w:r w:rsidRPr="005D7ACB">
        <w:rPr>
          <w:rFonts w:eastAsia="Times New Roman" w:cs="Arial"/>
          <w:color w:val="000000"/>
          <w:lang w:val="de-DE"/>
        </w:rPr>
        <w:lastRenderedPageBreak/>
        <w:t>Respectfully submitted,</w:t>
      </w:r>
    </w:p>
    <w:p w:rsidR="00426D07" w:rsidRPr="005D7ACB" w:rsidRDefault="00426D07" w:rsidP="00426D07">
      <w:pPr>
        <w:tabs>
          <w:tab w:val="left" w:pos="-1440"/>
          <w:tab w:val="left" w:pos="-720"/>
          <w:tab w:val="left" w:pos="3600"/>
          <w:tab w:val="left" w:pos="4320"/>
        </w:tabs>
        <w:spacing w:line="240" w:lineRule="auto"/>
        <w:ind w:left="4320" w:firstLine="0"/>
        <w:rPr>
          <w:rFonts w:eastAsia="Times New Roman" w:cs="Arial"/>
          <w:color w:val="000000"/>
          <w:lang w:val="de-DE"/>
        </w:rPr>
      </w:pPr>
    </w:p>
    <w:p w:rsidR="00426D07" w:rsidRPr="005D7ACB" w:rsidRDefault="00426D07" w:rsidP="00426D07">
      <w:pPr>
        <w:tabs>
          <w:tab w:val="left" w:pos="-1440"/>
          <w:tab w:val="left" w:pos="-720"/>
          <w:tab w:val="left" w:pos="4320"/>
          <w:tab w:val="right" w:pos="9360"/>
        </w:tabs>
        <w:spacing w:line="240" w:lineRule="auto"/>
        <w:ind w:left="4320" w:firstLine="0"/>
        <w:rPr>
          <w:rFonts w:eastAsia="Times New Roman" w:cs="Arial"/>
          <w:color w:val="000000"/>
          <w:u w:val="single"/>
          <w:lang w:val="de-DE"/>
        </w:rPr>
      </w:pPr>
      <w:r w:rsidRPr="005D7ACB">
        <w:rPr>
          <w:rFonts w:eastAsia="Times New Roman" w:cs="Arial"/>
          <w:color w:val="000000"/>
          <w:u w:val="single"/>
          <w:lang w:val="de-DE"/>
        </w:rPr>
        <w:t>/s/ Frank P. Darr</w:t>
      </w:r>
      <w:r w:rsidRPr="005D7ACB">
        <w:rPr>
          <w:rFonts w:eastAsia="Times New Roman" w:cs="Arial"/>
          <w:color w:val="000000"/>
          <w:u w:val="single"/>
          <w:lang w:val="de-DE"/>
        </w:rPr>
        <w:tab/>
      </w:r>
    </w:p>
    <w:p w:rsidR="00426D07" w:rsidRPr="005D7ACB" w:rsidRDefault="00426D07" w:rsidP="00426D07">
      <w:pPr>
        <w:tabs>
          <w:tab w:val="left" w:pos="-1440"/>
          <w:tab w:val="left" w:pos="-720"/>
          <w:tab w:val="left" w:pos="3600"/>
          <w:tab w:val="left" w:pos="4320"/>
        </w:tabs>
        <w:spacing w:line="240" w:lineRule="auto"/>
        <w:ind w:left="4320" w:firstLine="0"/>
        <w:rPr>
          <w:rFonts w:eastAsia="Times New Roman" w:cs="Arial"/>
          <w:color w:val="000000"/>
          <w:lang w:val="de-DE"/>
        </w:rPr>
      </w:pPr>
      <w:r w:rsidRPr="005D7ACB">
        <w:rPr>
          <w:rFonts w:eastAsia="Times New Roman" w:cs="Arial"/>
          <w:color w:val="000000"/>
          <w:lang w:val="de-DE"/>
        </w:rPr>
        <w:t>Samuel C. Randazzo (Counsel of Record)</w:t>
      </w:r>
    </w:p>
    <w:p w:rsidR="00426D07" w:rsidRPr="005D7ACB" w:rsidRDefault="00426D07" w:rsidP="00426D07">
      <w:pPr>
        <w:tabs>
          <w:tab w:val="left" w:pos="-1440"/>
          <w:tab w:val="left" w:pos="-720"/>
          <w:tab w:val="left" w:pos="3600"/>
          <w:tab w:val="left" w:pos="4320"/>
        </w:tabs>
        <w:spacing w:line="240" w:lineRule="auto"/>
        <w:ind w:left="4320" w:firstLine="0"/>
        <w:rPr>
          <w:rFonts w:eastAsia="Times New Roman" w:cs="Arial"/>
          <w:color w:val="000000"/>
          <w:lang w:val="de-DE"/>
        </w:rPr>
      </w:pPr>
      <w:r w:rsidRPr="005D7ACB">
        <w:rPr>
          <w:rFonts w:eastAsia="Times New Roman" w:cs="Arial"/>
          <w:color w:val="000000"/>
          <w:lang w:val="de-DE"/>
        </w:rPr>
        <w:t xml:space="preserve">Frank P. Darr </w:t>
      </w:r>
    </w:p>
    <w:p w:rsidR="00426D07" w:rsidRPr="005D7ACB" w:rsidRDefault="00426D07" w:rsidP="00426D07">
      <w:pPr>
        <w:tabs>
          <w:tab w:val="left" w:pos="-1440"/>
          <w:tab w:val="left" w:pos="-720"/>
          <w:tab w:val="left" w:pos="3600"/>
          <w:tab w:val="left" w:pos="4320"/>
        </w:tabs>
        <w:spacing w:line="240" w:lineRule="auto"/>
        <w:ind w:left="4320" w:firstLine="0"/>
        <w:rPr>
          <w:rFonts w:eastAsia="Times New Roman" w:cs="Arial"/>
          <w:color w:val="000000"/>
          <w:lang w:val="de-DE"/>
        </w:rPr>
      </w:pPr>
      <w:r w:rsidRPr="005D7ACB">
        <w:rPr>
          <w:rFonts w:eastAsia="Times New Roman" w:cs="Arial"/>
          <w:color w:val="000000"/>
          <w:lang w:val="de-DE"/>
        </w:rPr>
        <w:t>Matthew R. Pritchard</w:t>
      </w:r>
    </w:p>
    <w:p w:rsidR="00426D07" w:rsidRPr="005D7ACB" w:rsidRDefault="00426D07" w:rsidP="00426D07">
      <w:pPr>
        <w:tabs>
          <w:tab w:val="left" w:pos="-1440"/>
          <w:tab w:val="left" w:pos="-720"/>
          <w:tab w:val="left" w:pos="3600"/>
          <w:tab w:val="left" w:pos="4320"/>
        </w:tabs>
        <w:spacing w:line="240" w:lineRule="auto"/>
        <w:ind w:left="4320" w:firstLine="0"/>
        <w:rPr>
          <w:rFonts w:eastAsia="Times New Roman" w:cs="Arial"/>
          <w:smallCaps/>
          <w:color w:val="000000"/>
        </w:rPr>
      </w:pPr>
      <w:r w:rsidRPr="005D7ACB">
        <w:rPr>
          <w:rFonts w:eastAsia="Times New Roman" w:cs="Arial"/>
          <w:smallCaps/>
          <w:color w:val="000000"/>
        </w:rPr>
        <w:t>McNees Wallace &amp; Nurick LLC</w:t>
      </w:r>
    </w:p>
    <w:p w:rsidR="00426D07" w:rsidRPr="005D7ACB" w:rsidRDefault="00426D07" w:rsidP="00426D07">
      <w:pPr>
        <w:tabs>
          <w:tab w:val="left" w:pos="-1440"/>
          <w:tab w:val="left" w:pos="-720"/>
          <w:tab w:val="left" w:pos="3600"/>
          <w:tab w:val="left" w:pos="4320"/>
        </w:tabs>
        <w:spacing w:line="240" w:lineRule="auto"/>
        <w:ind w:left="4320" w:firstLine="0"/>
        <w:rPr>
          <w:rFonts w:eastAsia="Times New Roman" w:cs="Arial"/>
          <w:color w:val="000000"/>
        </w:rPr>
      </w:pPr>
      <w:r w:rsidRPr="005D7ACB">
        <w:rPr>
          <w:rFonts w:eastAsia="Times New Roman" w:cs="Arial"/>
          <w:color w:val="000000"/>
        </w:rPr>
        <w:t>21 East State Street, 17</w:t>
      </w:r>
      <w:r w:rsidRPr="005D7ACB">
        <w:rPr>
          <w:rFonts w:eastAsia="Times New Roman" w:cs="Arial"/>
          <w:color w:val="000000"/>
          <w:vertAlign w:val="superscript"/>
        </w:rPr>
        <w:t>th</w:t>
      </w:r>
      <w:r w:rsidRPr="005D7ACB">
        <w:rPr>
          <w:rFonts w:eastAsia="Times New Roman" w:cs="Arial"/>
          <w:color w:val="000000"/>
        </w:rPr>
        <w:t xml:space="preserve"> Floor</w:t>
      </w:r>
    </w:p>
    <w:p w:rsidR="00426D07" w:rsidRPr="005D7ACB" w:rsidRDefault="00426D07" w:rsidP="00426D07">
      <w:pPr>
        <w:tabs>
          <w:tab w:val="left" w:pos="-1440"/>
          <w:tab w:val="left" w:pos="-720"/>
          <w:tab w:val="left" w:pos="4320"/>
        </w:tabs>
        <w:spacing w:line="240" w:lineRule="auto"/>
        <w:ind w:left="4320" w:firstLine="0"/>
        <w:rPr>
          <w:rFonts w:eastAsia="Times New Roman" w:cs="Arial"/>
          <w:color w:val="000000"/>
        </w:rPr>
      </w:pPr>
      <w:r w:rsidRPr="005D7ACB">
        <w:rPr>
          <w:rFonts w:eastAsia="Times New Roman" w:cs="Arial"/>
          <w:color w:val="000000"/>
        </w:rPr>
        <w:t>Columbus, OH  43215-4228</w:t>
      </w:r>
    </w:p>
    <w:p w:rsidR="00426D07" w:rsidRPr="005D7ACB" w:rsidRDefault="00426D07" w:rsidP="00426D07">
      <w:pPr>
        <w:tabs>
          <w:tab w:val="left" w:pos="-1440"/>
          <w:tab w:val="left" w:pos="-720"/>
          <w:tab w:val="left" w:pos="4320"/>
        </w:tabs>
        <w:spacing w:line="240" w:lineRule="auto"/>
        <w:ind w:left="4320" w:firstLine="0"/>
        <w:rPr>
          <w:rFonts w:eastAsia="Times New Roman" w:cs="Arial"/>
          <w:color w:val="000000"/>
        </w:rPr>
      </w:pPr>
      <w:r w:rsidRPr="005D7ACB">
        <w:rPr>
          <w:rFonts w:eastAsia="Times New Roman" w:cs="Arial"/>
          <w:color w:val="000000"/>
        </w:rPr>
        <w:t>Telephone:  (614) 469-8000</w:t>
      </w:r>
    </w:p>
    <w:p w:rsidR="00426D07" w:rsidRPr="005D7ACB" w:rsidRDefault="00426D07" w:rsidP="00426D07">
      <w:pPr>
        <w:tabs>
          <w:tab w:val="left" w:pos="4320"/>
        </w:tabs>
        <w:spacing w:beforeLines="1" w:before="2" w:line="240" w:lineRule="auto"/>
        <w:ind w:left="4320" w:firstLine="0"/>
        <w:rPr>
          <w:rFonts w:eastAsia="Times New Roman" w:cs="Arial"/>
          <w:color w:val="000000"/>
        </w:rPr>
      </w:pPr>
      <w:r w:rsidRPr="005D7ACB">
        <w:rPr>
          <w:rFonts w:eastAsia="Times New Roman" w:cs="Arial"/>
          <w:color w:val="000000"/>
        </w:rPr>
        <w:t>Telecopier:  (614) 469-4653</w:t>
      </w:r>
    </w:p>
    <w:p w:rsidR="00426D07" w:rsidRPr="005D7ACB" w:rsidRDefault="00426D07" w:rsidP="00426D07">
      <w:pPr>
        <w:spacing w:beforeLines="1" w:before="2" w:line="240" w:lineRule="auto"/>
        <w:ind w:left="4320" w:firstLine="0"/>
        <w:rPr>
          <w:rFonts w:eastAsia="Times New Roman" w:cs="Arial"/>
          <w:color w:val="000000"/>
        </w:rPr>
      </w:pPr>
      <w:r w:rsidRPr="005D7ACB">
        <w:rPr>
          <w:rFonts w:eastAsia="Times New Roman" w:cs="Arial"/>
          <w:color w:val="000000"/>
        </w:rPr>
        <w:t>sam@mwncmh.com</w:t>
      </w:r>
    </w:p>
    <w:p w:rsidR="00426D07" w:rsidRPr="005D7ACB" w:rsidRDefault="00426D07" w:rsidP="00426D07">
      <w:pPr>
        <w:spacing w:beforeLines="1" w:before="2" w:line="240" w:lineRule="auto"/>
        <w:ind w:left="4320" w:firstLine="0"/>
        <w:rPr>
          <w:rFonts w:eastAsia="Times New Roman" w:cs="Arial"/>
          <w:color w:val="000000"/>
        </w:rPr>
      </w:pPr>
      <w:r w:rsidRPr="005D7ACB">
        <w:rPr>
          <w:rFonts w:eastAsia="Times New Roman" w:cs="Arial"/>
          <w:color w:val="000000"/>
        </w:rPr>
        <w:t>fdarr@mwncmh.com</w:t>
      </w:r>
    </w:p>
    <w:p w:rsidR="00426D07" w:rsidRPr="005D7ACB" w:rsidRDefault="00426D07" w:rsidP="00426D07">
      <w:pPr>
        <w:spacing w:beforeLines="1" w:before="2" w:line="240" w:lineRule="auto"/>
        <w:ind w:left="4320" w:firstLine="0"/>
        <w:rPr>
          <w:rFonts w:eastAsia="Times New Roman" w:cs="Arial"/>
          <w:color w:val="000000"/>
        </w:rPr>
      </w:pPr>
      <w:r w:rsidRPr="005D7ACB">
        <w:rPr>
          <w:rFonts w:eastAsia="Times New Roman" w:cs="Arial"/>
          <w:color w:val="000000"/>
        </w:rPr>
        <w:t>mpritchard@mwncmh.com</w:t>
      </w:r>
    </w:p>
    <w:p w:rsidR="00426D07" w:rsidRPr="005D7ACB" w:rsidRDefault="00426D07" w:rsidP="00426D07">
      <w:pPr>
        <w:spacing w:line="240" w:lineRule="auto"/>
        <w:ind w:left="4320" w:firstLine="0"/>
        <w:rPr>
          <w:rFonts w:eastAsia="Times New Roman" w:cs="Arial"/>
          <w:color w:val="000000"/>
        </w:rPr>
      </w:pPr>
    </w:p>
    <w:p w:rsidR="00426D07" w:rsidRPr="005D7ACB" w:rsidRDefault="00426D07" w:rsidP="00426D07">
      <w:pPr>
        <w:ind w:left="3600"/>
        <w:rPr>
          <w:rFonts w:eastAsia="Times New Roman" w:cs="Arial"/>
          <w:b/>
        </w:rPr>
        <w:sectPr w:rsidR="00426D07" w:rsidRPr="005D7ACB" w:rsidSect="001F6B30">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titlePg/>
          <w:docGrid w:linePitch="360"/>
        </w:sectPr>
      </w:pPr>
      <w:r w:rsidRPr="005D7ACB">
        <w:rPr>
          <w:rFonts w:eastAsia="Times New Roman" w:cs="Arial"/>
          <w:b/>
        </w:rPr>
        <w:t>Attorneys for Industrial Energy Users-Ohio</w:t>
      </w:r>
    </w:p>
    <w:p w:rsidR="00426D07" w:rsidRPr="00426D07" w:rsidRDefault="00426D07" w:rsidP="00426D07">
      <w:pPr>
        <w:spacing w:line="240" w:lineRule="auto"/>
        <w:ind w:firstLine="0"/>
        <w:jc w:val="center"/>
        <w:rPr>
          <w:rFonts w:ascii="Arial Bold" w:eastAsia="Times New Roman" w:hAnsi="Arial Bold" w:cs="Arial"/>
          <w:b/>
          <w:caps/>
          <w:smallCaps/>
        </w:rPr>
      </w:pPr>
      <w:r w:rsidRPr="00426D07">
        <w:rPr>
          <w:rFonts w:ascii="Arial Bold" w:eastAsia="Times New Roman" w:hAnsi="Arial Bold" w:cs="Arial"/>
          <w:b/>
          <w:caps/>
        </w:rPr>
        <w:lastRenderedPageBreak/>
        <w:t>Certificate of Service</w:t>
      </w:r>
    </w:p>
    <w:p w:rsidR="00426D07" w:rsidRPr="00426D07" w:rsidRDefault="00426D07" w:rsidP="00426D07">
      <w:pPr>
        <w:spacing w:line="240" w:lineRule="auto"/>
        <w:ind w:firstLine="0"/>
        <w:rPr>
          <w:rFonts w:eastAsia="Times New Roman" w:cs="Times New Roman"/>
        </w:rPr>
      </w:pPr>
    </w:p>
    <w:p w:rsidR="00426D07" w:rsidRPr="00426D07" w:rsidRDefault="00426D07" w:rsidP="00426D07">
      <w:pPr>
        <w:rPr>
          <w:rFonts w:eastAsia="Times New Roman" w:cs="Arial"/>
          <w:b/>
          <w:smallCaps/>
        </w:rPr>
      </w:pPr>
      <w:r w:rsidRPr="00426D07">
        <w:rPr>
          <w:rFonts w:eastAsia="Times New Roman" w:cs="Arial"/>
        </w:rPr>
        <w:t xml:space="preserve">I hereby certify that a copy of the foregoing </w:t>
      </w:r>
      <w:r w:rsidR="00416C9C">
        <w:rPr>
          <w:rFonts w:eastAsia="Times New Roman" w:cs="Arial"/>
          <w:i/>
          <w:iCs/>
        </w:rPr>
        <w:t>Industrial Energy Users-Ohio’s Memorandum Contra the Office of the Ohio Consumers’ Counsel’s Application for Rehearing</w:t>
      </w:r>
      <w:r w:rsidRPr="00426D07">
        <w:rPr>
          <w:rFonts w:eastAsia="Times New Roman" w:cs="Arial"/>
          <w:i/>
          <w:iCs/>
        </w:rPr>
        <w:t xml:space="preserve"> </w:t>
      </w:r>
      <w:r w:rsidRPr="00426D07">
        <w:rPr>
          <w:rFonts w:eastAsia="Times New Roman" w:cs="Arial"/>
        </w:rPr>
        <w:t xml:space="preserve">was served upon the following parties of record this </w:t>
      </w:r>
      <w:r w:rsidR="00416C9C">
        <w:rPr>
          <w:rFonts w:eastAsia="Times New Roman" w:cs="Arial"/>
        </w:rPr>
        <w:t>12</w:t>
      </w:r>
      <w:r w:rsidR="00416C9C">
        <w:rPr>
          <w:rFonts w:eastAsia="Times New Roman" w:cs="Arial"/>
          <w:vertAlign w:val="superscript"/>
        </w:rPr>
        <w:t>th</w:t>
      </w:r>
      <w:r w:rsidRPr="00426D07">
        <w:rPr>
          <w:rFonts w:eastAsia="Times New Roman" w:cs="Arial"/>
        </w:rPr>
        <w:t xml:space="preserve"> day of </w:t>
      </w:r>
      <w:r w:rsidR="00416C9C">
        <w:rPr>
          <w:rFonts w:eastAsia="Times New Roman" w:cs="Arial"/>
        </w:rPr>
        <w:t>May</w:t>
      </w:r>
      <w:r w:rsidRPr="00426D07">
        <w:rPr>
          <w:rFonts w:eastAsia="Times New Roman" w:cs="Arial"/>
        </w:rPr>
        <w:t xml:space="preserve"> 201</w:t>
      </w:r>
      <w:r w:rsidR="00416C9C">
        <w:rPr>
          <w:rFonts w:eastAsia="Times New Roman" w:cs="Arial"/>
        </w:rPr>
        <w:t>4</w:t>
      </w:r>
      <w:r w:rsidRPr="00426D07">
        <w:rPr>
          <w:rFonts w:eastAsia="Times New Roman" w:cs="Arial"/>
        </w:rPr>
        <w:t xml:space="preserve">, </w:t>
      </w:r>
      <w:r w:rsidRPr="00426D07">
        <w:rPr>
          <w:rFonts w:eastAsia="Times New Roman" w:cs="Arial"/>
          <w:i/>
        </w:rPr>
        <w:t>via</w:t>
      </w:r>
      <w:r w:rsidRPr="00426D07">
        <w:rPr>
          <w:rFonts w:eastAsia="Times New Roman" w:cs="Arial"/>
        </w:rPr>
        <w:t xml:space="preserve"> electronic transmission, hand-delivery or first class U.S. mail, postage prepaid.</w:t>
      </w:r>
    </w:p>
    <w:p w:rsidR="00426D07" w:rsidRPr="00426D07" w:rsidRDefault="00426D07" w:rsidP="00426D07">
      <w:pPr>
        <w:tabs>
          <w:tab w:val="left" w:pos="-1440"/>
          <w:tab w:val="left" w:pos="-720"/>
          <w:tab w:val="left" w:pos="5040"/>
          <w:tab w:val="center" w:pos="7200"/>
        </w:tabs>
        <w:spacing w:line="240" w:lineRule="auto"/>
        <w:ind w:firstLine="0"/>
        <w:rPr>
          <w:rFonts w:eastAsia="Times New Roman" w:cs="Arial"/>
        </w:rPr>
      </w:pPr>
    </w:p>
    <w:p w:rsidR="00426D07" w:rsidRPr="00426D07" w:rsidRDefault="00426D07" w:rsidP="00426D07">
      <w:pPr>
        <w:tabs>
          <w:tab w:val="left" w:pos="-1440"/>
          <w:tab w:val="left" w:pos="-720"/>
          <w:tab w:val="left" w:pos="5040"/>
          <w:tab w:val="center" w:pos="7200"/>
          <w:tab w:val="right" w:pos="9360"/>
        </w:tabs>
        <w:spacing w:line="240" w:lineRule="auto"/>
        <w:ind w:firstLine="5040"/>
        <w:rPr>
          <w:rFonts w:eastAsia="Times New Roman" w:cs="Arial"/>
        </w:rPr>
      </w:pPr>
      <w:r w:rsidRPr="00426D07">
        <w:rPr>
          <w:rFonts w:eastAsia="Times New Roman" w:cs="Arial"/>
          <w:u w:val="single"/>
        </w:rPr>
        <w:t xml:space="preserve">  /s/ </w:t>
      </w:r>
      <w:r>
        <w:rPr>
          <w:rFonts w:eastAsia="Times New Roman" w:cs="Arial"/>
          <w:u w:val="single"/>
        </w:rPr>
        <w:t>Frank P. Darr</w:t>
      </w:r>
      <w:r>
        <w:rPr>
          <w:rFonts w:eastAsia="Times New Roman" w:cs="Arial"/>
          <w:u w:val="single"/>
        </w:rPr>
        <w:tab/>
      </w:r>
      <w:r w:rsidRPr="00426D07">
        <w:rPr>
          <w:rFonts w:eastAsia="Times New Roman" w:cs="Arial"/>
          <w:u w:val="single"/>
        </w:rPr>
        <w:tab/>
      </w:r>
    </w:p>
    <w:p w:rsidR="00426D07" w:rsidRPr="00426D07" w:rsidRDefault="00426D07" w:rsidP="00426D07">
      <w:pPr>
        <w:tabs>
          <w:tab w:val="left" w:pos="-1440"/>
          <w:tab w:val="left" w:pos="-720"/>
          <w:tab w:val="left" w:pos="5040"/>
          <w:tab w:val="center" w:pos="7200"/>
        </w:tabs>
        <w:spacing w:line="240" w:lineRule="auto"/>
        <w:ind w:firstLine="5040"/>
        <w:rPr>
          <w:rFonts w:eastAsia="Times New Roman" w:cs="Arial"/>
        </w:rPr>
      </w:pPr>
      <w:r w:rsidRPr="00426D07">
        <w:rPr>
          <w:rFonts w:eastAsia="Times New Roman" w:cs="Arial"/>
        </w:rPr>
        <w:tab/>
      </w:r>
      <w:r>
        <w:rPr>
          <w:rFonts w:eastAsia="Times New Roman" w:cs="Arial"/>
        </w:rPr>
        <w:t>Frank P. Darr</w:t>
      </w:r>
    </w:p>
    <w:p w:rsidR="00426D07" w:rsidRPr="00426D07" w:rsidRDefault="00426D07" w:rsidP="00426D07">
      <w:pPr>
        <w:tabs>
          <w:tab w:val="left" w:pos="2160"/>
          <w:tab w:val="left" w:pos="2280"/>
        </w:tabs>
        <w:spacing w:line="240" w:lineRule="auto"/>
        <w:ind w:firstLine="0"/>
        <w:rPr>
          <w:rFonts w:eastAsia="Times New Roman" w:cs="Arial"/>
          <w:color w:val="000000" w:themeColor="text1"/>
          <w:sz w:val="22"/>
          <w:szCs w:val="22"/>
        </w:rPr>
      </w:pPr>
    </w:p>
    <w:p w:rsidR="00426D07" w:rsidRPr="00426D07" w:rsidRDefault="00426D07" w:rsidP="00426D07">
      <w:pPr>
        <w:tabs>
          <w:tab w:val="left" w:pos="2160"/>
          <w:tab w:val="left" w:pos="2280"/>
        </w:tabs>
        <w:spacing w:line="240" w:lineRule="auto"/>
        <w:ind w:firstLine="0"/>
        <w:rPr>
          <w:rFonts w:eastAsia="Times New Roman" w:cs="Arial"/>
          <w:color w:val="000000" w:themeColor="text1"/>
          <w:sz w:val="22"/>
          <w:szCs w:val="22"/>
        </w:rPr>
        <w:sectPr w:rsidR="00426D07" w:rsidRPr="00426D07">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141" w:left="1440" w:header="720" w:footer="720" w:gutter="0"/>
          <w:pgNumType w:start="1"/>
          <w:cols w:space="720"/>
          <w:titlePg/>
          <w:docGrid w:linePitch="326"/>
        </w:sectPr>
      </w:pPr>
    </w:p>
    <w:p w:rsidR="00426D07" w:rsidRPr="00426D07" w:rsidRDefault="00426D07" w:rsidP="00426D07">
      <w:pPr>
        <w:tabs>
          <w:tab w:val="left" w:pos="2160"/>
          <w:tab w:val="left" w:pos="2280"/>
        </w:tabs>
        <w:spacing w:line="240" w:lineRule="auto"/>
        <w:ind w:firstLine="0"/>
        <w:jc w:val="left"/>
        <w:rPr>
          <w:rFonts w:eastAsia="Times New Roman" w:cs="Arial"/>
          <w:color w:val="000000" w:themeColor="text1"/>
          <w:sz w:val="22"/>
          <w:szCs w:val="22"/>
        </w:rPr>
      </w:pPr>
      <w:r w:rsidRPr="00426D07">
        <w:rPr>
          <w:rFonts w:eastAsia="Times New Roman" w:cs="Arial"/>
          <w:color w:val="000000" w:themeColor="text1"/>
          <w:sz w:val="22"/>
          <w:szCs w:val="22"/>
        </w:rPr>
        <w:lastRenderedPageBreak/>
        <w:t>Steven T. Nourse</w:t>
      </w:r>
    </w:p>
    <w:p w:rsidR="00426D07" w:rsidRPr="00426D07" w:rsidRDefault="00426D07" w:rsidP="00426D07">
      <w:pPr>
        <w:tabs>
          <w:tab w:val="left" w:pos="2160"/>
          <w:tab w:val="left" w:pos="2280"/>
        </w:tabs>
        <w:spacing w:line="240" w:lineRule="auto"/>
        <w:ind w:firstLine="0"/>
        <w:jc w:val="left"/>
        <w:rPr>
          <w:rFonts w:eastAsia="Times New Roman" w:cs="Arial"/>
          <w:color w:val="000000" w:themeColor="text1"/>
          <w:sz w:val="22"/>
          <w:szCs w:val="22"/>
        </w:rPr>
      </w:pPr>
      <w:r w:rsidRPr="00426D07">
        <w:rPr>
          <w:rFonts w:eastAsia="Times New Roman" w:cs="Arial"/>
          <w:color w:val="000000" w:themeColor="text1"/>
          <w:sz w:val="22"/>
          <w:szCs w:val="22"/>
        </w:rPr>
        <w:t>Matthew J. Satterwhite</w:t>
      </w:r>
    </w:p>
    <w:p w:rsidR="00426D07" w:rsidRPr="00426D07" w:rsidRDefault="00426D07" w:rsidP="00426D07">
      <w:pPr>
        <w:tabs>
          <w:tab w:val="left" w:pos="2160"/>
          <w:tab w:val="left" w:pos="2280"/>
        </w:tabs>
        <w:spacing w:line="240" w:lineRule="auto"/>
        <w:ind w:firstLine="0"/>
        <w:jc w:val="left"/>
        <w:rPr>
          <w:rFonts w:eastAsia="Times New Roman" w:cs="Arial"/>
          <w:color w:val="000000" w:themeColor="text1"/>
          <w:sz w:val="22"/>
          <w:szCs w:val="22"/>
        </w:rPr>
      </w:pPr>
      <w:r w:rsidRPr="00426D07">
        <w:rPr>
          <w:rFonts w:eastAsia="Times New Roman" w:cs="Arial"/>
          <w:color w:val="000000" w:themeColor="text1"/>
          <w:sz w:val="22"/>
          <w:szCs w:val="22"/>
        </w:rPr>
        <w:t>American Electric Power Service Corporation</w:t>
      </w:r>
    </w:p>
    <w:p w:rsidR="00426D07" w:rsidRPr="00426D07" w:rsidRDefault="00426D07" w:rsidP="00426D07">
      <w:pPr>
        <w:tabs>
          <w:tab w:val="left" w:pos="2160"/>
          <w:tab w:val="left" w:pos="2280"/>
        </w:tabs>
        <w:spacing w:line="240" w:lineRule="auto"/>
        <w:ind w:firstLine="0"/>
        <w:jc w:val="left"/>
        <w:rPr>
          <w:rFonts w:eastAsia="Times New Roman" w:cs="Arial"/>
          <w:color w:val="000000" w:themeColor="text1"/>
          <w:sz w:val="22"/>
          <w:szCs w:val="22"/>
        </w:rPr>
      </w:pPr>
      <w:r w:rsidRPr="00426D07">
        <w:rPr>
          <w:rFonts w:eastAsia="Times New Roman" w:cs="Arial"/>
          <w:color w:val="000000" w:themeColor="text1"/>
          <w:sz w:val="22"/>
          <w:szCs w:val="22"/>
        </w:rPr>
        <w:t>1 Riverside Plaza, 29</w:t>
      </w:r>
      <w:r w:rsidRPr="00426D07">
        <w:rPr>
          <w:rFonts w:eastAsia="Times New Roman" w:cs="Arial"/>
          <w:color w:val="000000" w:themeColor="text1"/>
          <w:sz w:val="22"/>
          <w:szCs w:val="22"/>
          <w:vertAlign w:val="superscript"/>
        </w:rPr>
        <w:t>th</w:t>
      </w:r>
      <w:r w:rsidRPr="00426D07">
        <w:rPr>
          <w:rFonts w:eastAsia="Times New Roman" w:cs="Arial"/>
          <w:color w:val="000000" w:themeColor="text1"/>
          <w:sz w:val="22"/>
          <w:szCs w:val="22"/>
        </w:rPr>
        <w:t xml:space="preserve"> Floor</w:t>
      </w:r>
    </w:p>
    <w:p w:rsidR="00426D07" w:rsidRPr="00426D07" w:rsidRDefault="00426D07" w:rsidP="00426D07">
      <w:pPr>
        <w:tabs>
          <w:tab w:val="left" w:pos="2160"/>
          <w:tab w:val="left" w:pos="2280"/>
        </w:tabs>
        <w:spacing w:line="240" w:lineRule="auto"/>
        <w:ind w:firstLine="0"/>
        <w:jc w:val="left"/>
        <w:rPr>
          <w:rFonts w:eastAsia="Times New Roman" w:cs="Arial"/>
          <w:color w:val="000000" w:themeColor="text1"/>
          <w:sz w:val="22"/>
          <w:szCs w:val="22"/>
        </w:rPr>
      </w:pPr>
      <w:r w:rsidRPr="00426D07">
        <w:rPr>
          <w:rFonts w:eastAsia="Times New Roman" w:cs="Arial"/>
          <w:color w:val="000000" w:themeColor="text1"/>
          <w:sz w:val="22"/>
          <w:szCs w:val="22"/>
        </w:rPr>
        <w:t>Columbus, OH  43215</w:t>
      </w:r>
    </w:p>
    <w:p w:rsidR="00426D07" w:rsidRPr="00426D07" w:rsidRDefault="00426D07" w:rsidP="00426D07">
      <w:pPr>
        <w:tabs>
          <w:tab w:val="left" w:pos="2160"/>
          <w:tab w:val="left" w:pos="2280"/>
        </w:tabs>
        <w:spacing w:line="240" w:lineRule="auto"/>
        <w:ind w:firstLine="0"/>
        <w:jc w:val="left"/>
        <w:rPr>
          <w:rFonts w:eastAsia="Times New Roman" w:cs="Arial"/>
          <w:color w:val="000000" w:themeColor="text1"/>
          <w:sz w:val="22"/>
          <w:szCs w:val="22"/>
        </w:rPr>
      </w:pPr>
      <w:r w:rsidRPr="00426D07">
        <w:rPr>
          <w:rFonts w:eastAsia="Times New Roman" w:cs="Arial"/>
          <w:color w:val="000000" w:themeColor="text1"/>
          <w:sz w:val="22"/>
          <w:szCs w:val="22"/>
        </w:rPr>
        <w:t>stnourse@aep.com</w:t>
      </w:r>
    </w:p>
    <w:p w:rsidR="00426D07" w:rsidRPr="00426D07" w:rsidRDefault="00426D07" w:rsidP="00426D07">
      <w:pPr>
        <w:tabs>
          <w:tab w:val="left" w:pos="2160"/>
          <w:tab w:val="left" w:pos="2280"/>
        </w:tabs>
        <w:spacing w:line="240" w:lineRule="auto"/>
        <w:ind w:firstLine="0"/>
        <w:jc w:val="left"/>
        <w:rPr>
          <w:rFonts w:eastAsia="Times New Roman" w:cs="Arial"/>
          <w:color w:val="000000" w:themeColor="text1"/>
          <w:sz w:val="22"/>
          <w:szCs w:val="22"/>
        </w:rPr>
      </w:pPr>
      <w:r w:rsidRPr="00426D07">
        <w:rPr>
          <w:rFonts w:eastAsia="Times New Roman" w:cs="Arial"/>
          <w:color w:val="000000" w:themeColor="text1"/>
          <w:sz w:val="22"/>
          <w:szCs w:val="22"/>
        </w:rPr>
        <w:t>mjsatterwhite@aep.com</w:t>
      </w:r>
    </w:p>
    <w:p w:rsidR="00426D07" w:rsidRPr="00426D07" w:rsidRDefault="00426D07" w:rsidP="00426D07">
      <w:pPr>
        <w:tabs>
          <w:tab w:val="left" w:pos="2160"/>
          <w:tab w:val="left" w:pos="2280"/>
        </w:tabs>
        <w:spacing w:line="240" w:lineRule="auto"/>
        <w:ind w:firstLine="0"/>
        <w:jc w:val="left"/>
        <w:rPr>
          <w:rFonts w:eastAsia="Times New Roman" w:cs="Arial"/>
          <w:color w:val="000000" w:themeColor="text1"/>
          <w:sz w:val="22"/>
          <w:szCs w:val="22"/>
        </w:rPr>
      </w:pPr>
    </w:p>
    <w:p w:rsidR="00426D07" w:rsidRPr="00426D07" w:rsidRDefault="00426D07" w:rsidP="00426D07">
      <w:pPr>
        <w:tabs>
          <w:tab w:val="left" w:pos="2160"/>
          <w:tab w:val="left" w:pos="2280"/>
        </w:tabs>
        <w:spacing w:line="240" w:lineRule="auto"/>
        <w:ind w:firstLine="0"/>
        <w:jc w:val="left"/>
        <w:rPr>
          <w:rFonts w:eastAsia="Times New Roman" w:cs="Arial"/>
          <w:b/>
          <w:smallCaps/>
          <w:color w:val="000000" w:themeColor="text1"/>
          <w:sz w:val="22"/>
          <w:szCs w:val="22"/>
        </w:rPr>
      </w:pPr>
      <w:r w:rsidRPr="00426D07">
        <w:rPr>
          <w:rFonts w:eastAsia="Times New Roman" w:cs="Arial"/>
          <w:b/>
          <w:smallCaps/>
          <w:color w:val="000000" w:themeColor="text1"/>
          <w:sz w:val="22"/>
          <w:szCs w:val="22"/>
        </w:rPr>
        <w:t>On Behalf of Ohio Power Company</w:t>
      </w:r>
    </w:p>
    <w:p w:rsidR="00426D07" w:rsidRPr="00426D07" w:rsidRDefault="00426D07" w:rsidP="00426D07">
      <w:pPr>
        <w:tabs>
          <w:tab w:val="left" w:pos="2160"/>
          <w:tab w:val="left" w:pos="2280"/>
        </w:tabs>
        <w:spacing w:line="240" w:lineRule="auto"/>
        <w:ind w:firstLine="0"/>
        <w:jc w:val="left"/>
        <w:rPr>
          <w:rFonts w:eastAsia="Times New Roman" w:cs="Arial"/>
          <w:color w:val="000000" w:themeColor="text1"/>
          <w:sz w:val="22"/>
          <w:szCs w:val="22"/>
        </w:rPr>
      </w:pPr>
    </w:p>
    <w:p w:rsidR="00426D07" w:rsidRPr="00426D07" w:rsidRDefault="00426D07" w:rsidP="00426D07">
      <w:pPr>
        <w:spacing w:line="240" w:lineRule="auto"/>
        <w:ind w:firstLine="0"/>
        <w:jc w:val="left"/>
        <w:rPr>
          <w:rFonts w:eastAsia="Times New Roman" w:cs="Arial"/>
          <w:color w:val="000000" w:themeColor="text1"/>
          <w:sz w:val="22"/>
          <w:szCs w:val="22"/>
        </w:rPr>
      </w:pPr>
      <w:r w:rsidRPr="00426D07">
        <w:rPr>
          <w:rFonts w:eastAsia="Times New Roman" w:cs="Arial"/>
          <w:color w:val="000000" w:themeColor="text1"/>
          <w:sz w:val="22"/>
          <w:szCs w:val="22"/>
        </w:rPr>
        <w:t>David F. Boehm</w:t>
      </w:r>
    </w:p>
    <w:p w:rsidR="00426D07" w:rsidRPr="00426D07" w:rsidRDefault="00426D07" w:rsidP="00426D07">
      <w:pPr>
        <w:spacing w:line="240" w:lineRule="auto"/>
        <w:ind w:firstLine="0"/>
        <w:jc w:val="left"/>
        <w:rPr>
          <w:rFonts w:eastAsia="Times New Roman" w:cs="Arial"/>
          <w:color w:val="000000" w:themeColor="text1"/>
          <w:sz w:val="22"/>
          <w:szCs w:val="22"/>
        </w:rPr>
      </w:pPr>
      <w:r w:rsidRPr="00426D07">
        <w:rPr>
          <w:rFonts w:eastAsia="Times New Roman" w:cs="Arial"/>
          <w:color w:val="000000" w:themeColor="text1"/>
          <w:sz w:val="22"/>
          <w:szCs w:val="22"/>
        </w:rPr>
        <w:t>Michael L. Kurtz</w:t>
      </w:r>
    </w:p>
    <w:p w:rsidR="00426D07" w:rsidRPr="00426D07" w:rsidRDefault="00426D07" w:rsidP="00426D07">
      <w:pPr>
        <w:spacing w:line="240" w:lineRule="auto"/>
        <w:ind w:firstLine="0"/>
        <w:jc w:val="left"/>
        <w:rPr>
          <w:rFonts w:eastAsia="Times New Roman" w:cs="Arial"/>
          <w:color w:val="000000" w:themeColor="text1"/>
          <w:sz w:val="22"/>
          <w:szCs w:val="22"/>
        </w:rPr>
      </w:pPr>
      <w:r w:rsidRPr="00426D07">
        <w:rPr>
          <w:rFonts w:eastAsia="Times New Roman" w:cs="Arial"/>
          <w:color w:val="000000" w:themeColor="text1"/>
          <w:sz w:val="22"/>
          <w:szCs w:val="22"/>
        </w:rPr>
        <w:t>Jody Kyler Cohn</w:t>
      </w:r>
    </w:p>
    <w:p w:rsidR="00426D07" w:rsidRPr="00426D07" w:rsidRDefault="00426D07" w:rsidP="00426D07">
      <w:pPr>
        <w:spacing w:line="240" w:lineRule="auto"/>
        <w:ind w:firstLine="0"/>
        <w:jc w:val="left"/>
        <w:rPr>
          <w:rFonts w:eastAsia="Times New Roman" w:cs="Arial"/>
          <w:color w:val="000000" w:themeColor="text1"/>
          <w:sz w:val="22"/>
          <w:szCs w:val="22"/>
        </w:rPr>
      </w:pPr>
      <w:r w:rsidRPr="00426D07">
        <w:rPr>
          <w:rFonts w:eastAsia="Times New Roman" w:cs="Arial"/>
          <w:color w:val="000000" w:themeColor="text1"/>
          <w:sz w:val="22"/>
          <w:szCs w:val="22"/>
        </w:rPr>
        <w:t>Boehm, Kurtz &amp; Lowry</w:t>
      </w:r>
    </w:p>
    <w:p w:rsidR="00426D07" w:rsidRPr="00426D07" w:rsidRDefault="00426D07" w:rsidP="00426D07">
      <w:pPr>
        <w:spacing w:line="240" w:lineRule="auto"/>
        <w:ind w:firstLine="0"/>
        <w:jc w:val="left"/>
        <w:rPr>
          <w:rFonts w:eastAsia="Times New Roman" w:cs="Arial"/>
          <w:color w:val="000000" w:themeColor="text1"/>
          <w:sz w:val="22"/>
          <w:szCs w:val="22"/>
        </w:rPr>
      </w:pPr>
      <w:r w:rsidRPr="00426D07">
        <w:rPr>
          <w:rFonts w:eastAsia="Times New Roman" w:cs="Arial"/>
          <w:color w:val="000000" w:themeColor="text1"/>
          <w:sz w:val="22"/>
          <w:szCs w:val="22"/>
        </w:rPr>
        <w:t>36 East Seventh Street, Suite 1510</w:t>
      </w:r>
    </w:p>
    <w:p w:rsidR="00426D07" w:rsidRPr="00426D07" w:rsidRDefault="00426D07" w:rsidP="00426D07">
      <w:pPr>
        <w:spacing w:line="240" w:lineRule="auto"/>
        <w:ind w:firstLine="0"/>
        <w:jc w:val="left"/>
        <w:rPr>
          <w:rFonts w:eastAsia="Times New Roman" w:cs="Arial"/>
          <w:color w:val="000000" w:themeColor="text1"/>
          <w:sz w:val="22"/>
          <w:szCs w:val="22"/>
        </w:rPr>
      </w:pPr>
      <w:r w:rsidRPr="00426D07">
        <w:rPr>
          <w:rFonts w:eastAsia="Times New Roman" w:cs="Arial"/>
          <w:color w:val="000000" w:themeColor="text1"/>
          <w:sz w:val="22"/>
          <w:szCs w:val="22"/>
        </w:rPr>
        <w:t>Cincinnati, OH  45202</w:t>
      </w:r>
    </w:p>
    <w:p w:rsidR="00426D07" w:rsidRPr="00426D07" w:rsidRDefault="00042D12" w:rsidP="00426D07">
      <w:pPr>
        <w:spacing w:line="240" w:lineRule="auto"/>
        <w:ind w:firstLine="0"/>
        <w:jc w:val="left"/>
        <w:rPr>
          <w:rFonts w:eastAsia="Times New Roman" w:cs="Arial"/>
          <w:color w:val="000000" w:themeColor="text1"/>
          <w:sz w:val="22"/>
          <w:szCs w:val="22"/>
        </w:rPr>
      </w:pPr>
      <w:hyperlink r:id="rId26" w:history="1">
        <w:r w:rsidR="00426D07" w:rsidRPr="00426D07">
          <w:rPr>
            <w:rFonts w:eastAsia="Times New Roman" w:cs="Arial"/>
            <w:color w:val="000000" w:themeColor="text1"/>
            <w:sz w:val="22"/>
            <w:szCs w:val="22"/>
          </w:rPr>
          <w:t>dboehm@BKLlawfirm.com</w:t>
        </w:r>
      </w:hyperlink>
    </w:p>
    <w:p w:rsidR="00426D07" w:rsidRPr="00426D07" w:rsidRDefault="00042D12" w:rsidP="00426D07">
      <w:pPr>
        <w:spacing w:line="240" w:lineRule="auto"/>
        <w:ind w:firstLine="0"/>
        <w:jc w:val="left"/>
        <w:rPr>
          <w:rFonts w:eastAsia="Times New Roman" w:cs="Arial"/>
          <w:color w:val="000000" w:themeColor="text1"/>
          <w:sz w:val="22"/>
          <w:szCs w:val="22"/>
        </w:rPr>
      </w:pPr>
      <w:hyperlink r:id="rId27" w:history="1">
        <w:r w:rsidR="00426D07" w:rsidRPr="00426D07">
          <w:rPr>
            <w:rFonts w:eastAsia="Times New Roman" w:cs="Arial"/>
            <w:color w:val="000000" w:themeColor="text1"/>
            <w:sz w:val="22"/>
            <w:szCs w:val="22"/>
          </w:rPr>
          <w:t>mkurtz@BKLlawfirm.com</w:t>
        </w:r>
      </w:hyperlink>
    </w:p>
    <w:p w:rsidR="00426D07" w:rsidRPr="00426D07" w:rsidRDefault="00042D12" w:rsidP="00426D07">
      <w:pPr>
        <w:spacing w:line="240" w:lineRule="auto"/>
        <w:ind w:firstLine="0"/>
        <w:jc w:val="left"/>
        <w:rPr>
          <w:rFonts w:eastAsia="Times New Roman" w:cs="Arial"/>
          <w:color w:val="000000" w:themeColor="text1"/>
          <w:sz w:val="22"/>
          <w:szCs w:val="22"/>
        </w:rPr>
      </w:pPr>
      <w:hyperlink r:id="rId28" w:history="1">
        <w:r w:rsidR="00426D07" w:rsidRPr="00426D07">
          <w:rPr>
            <w:rFonts w:eastAsia="Times New Roman" w:cs="Arial"/>
            <w:color w:val="000000" w:themeColor="text1"/>
            <w:sz w:val="22"/>
            <w:szCs w:val="22"/>
          </w:rPr>
          <w:t>jkyler@BKLlawfirm.com</w:t>
        </w:r>
      </w:hyperlink>
    </w:p>
    <w:p w:rsidR="00426D07" w:rsidRPr="00426D07" w:rsidRDefault="00426D07" w:rsidP="00426D07">
      <w:pPr>
        <w:spacing w:line="240" w:lineRule="auto"/>
        <w:ind w:firstLine="0"/>
        <w:jc w:val="left"/>
        <w:rPr>
          <w:rFonts w:eastAsia="Times New Roman" w:cs="Arial"/>
          <w:color w:val="000000" w:themeColor="text1"/>
          <w:sz w:val="22"/>
          <w:szCs w:val="22"/>
        </w:rPr>
      </w:pPr>
    </w:p>
    <w:p w:rsidR="00426D07" w:rsidRPr="00426D07" w:rsidRDefault="00426D07" w:rsidP="00426D07">
      <w:pPr>
        <w:spacing w:line="240" w:lineRule="auto"/>
        <w:ind w:firstLine="0"/>
        <w:jc w:val="left"/>
        <w:rPr>
          <w:rFonts w:eastAsia="Times New Roman" w:cs="Arial"/>
          <w:b/>
          <w:smallCaps/>
          <w:color w:val="000000" w:themeColor="text1"/>
          <w:sz w:val="22"/>
          <w:szCs w:val="22"/>
        </w:rPr>
      </w:pPr>
      <w:r w:rsidRPr="00426D07">
        <w:rPr>
          <w:rFonts w:eastAsia="Times New Roman" w:cs="Arial"/>
          <w:b/>
          <w:smallCaps/>
          <w:color w:val="000000" w:themeColor="text1"/>
          <w:sz w:val="22"/>
          <w:szCs w:val="22"/>
        </w:rPr>
        <w:t>On Behalf of the Ohio Energy Group</w:t>
      </w:r>
    </w:p>
    <w:p w:rsidR="00426D07" w:rsidRPr="00426D07" w:rsidRDefault="00426D07" w:rsidP="00426D07">
      <w:pPr>
        <w:spacing w:line="240" w:lineRule="auto"/>
        <w:ind w:firstLine="0"/>
        <w:jc w:val="left"/>
        <w:rPr>
          <w:rFonts w:eastAsia="Times New Roman" w:cs="Arial"/>
          <w:color w:val="000000" w:themeColor="text1"/>
          <w:sz w:val="22"/>
          <w:szCs w:val="22"/>
        </w:rPr>
      </w:pPr>
    </w:p>
    <w:p w:rsidR="00426D07" w:rsidRPr="00426D07" w:rsidRDefault="00FB6672" w:rsidP="00426D07">
      <w:pPr>
        <w:tabs>
          <w:tab w:val="left" w:pos="2160"/>
          <w:tab w:val="left" w:pos="2280"/>
        </w:tabs>
        <w:spacing w:line="240" w:lineRule="auto"/>
        <w:ind w:firstLine="0"/>
        <w:jc w:val="left"/>
        <w:rPr>
          <w:rFonts w:eastAsia="Times New Roman" w:cs="Arial"/>
          <w:color w:val="000000" w:themeColor="text1"/>
          <w:sz w:val="22"/>
          <w:szCs w:val="22"/>
        </w:rPr>
      </w:pPr>
      <w:r>
        <w:rPr>
          <w:rFonts w:eastAsia="Times New Roman" w:cs="Arial"/>
          <w:color w:val="000000" w:themeColor="text1"/>
          <w:sz w:val="22"/>
          <w:szCs w:val="22"/>
        </w:rPr>
        <w:br w:type="column"/>
      </w:r>
      <w:r w:rsidR="00426D07" w:rsidRPr="00426D07">
        <w:rPr>
          <w:rFonts w:eastAsia="Times New Roman" w:cs="Arial"/>
          <w:color w:val="000000" w:themeColor="text1"/>
          <w:sz w:val="22"/>
          <w:szCs w:val="22"/>
        </w:rPr>
        <w:lastRenderedPageBreak/>
        <w:t>Terry L. Etter, Counsel of Record</w:t>
      </w:r>
    </w:p>
    <w:p w:rsidR="00426D07" w:rsidRPr="00426D07" w:rsidRDefault="00426D07" w:rsidP="00426D07">
      <w:pPr>
        <w:tabs>
          <w:tab w:val="left" w:pos="2160"/>
          <w:tab w:val="left" w:pos="2280"/>
        </w:tabs>
        <w:spacing w:line="240" w:lineRule="auto"/>
        <w:ind w:firstLine="0"/>
        <w:jc w:val="left"/>
        <w:rPr>
          <w:rFonts w:eastAsia="Times New Roman" w:cs="Arial"/>
          <w:color w:val="000000" w:themeColor="text1"/>
          <w:sz w:val="22"/>
          <w:szCs w:val="22"/>
        </w:rPr>
      </w:pPr>
      <w:r w:rsidRPr="00426D07">
        <w:rPr>
          <w:rFonts w:eastAsia="Times New Roman" w:cs="Arial"/>
          <w:color w:val="000000" w:themeColor="text1"/>
          <w:sz w:val="22"/>
          <w:szCs w:val="22"/>
        </w:rPr>
        <w:t>Associate Consumers’ Counsel</w:t>
      </w:r>
    </w:p>
    <w:p w:rsidR="00426D07" w:rsidRPr="00426D07" w:rsidRDefault="00426D07" w:rsidP="00426D07">
      <w:pPr>
        <w:tabs>
          <w:tab w:val="left" w:pos="2160"/>
          <w:tab w:val="left" w:pos="2280"/>
        </w:tabs>
        <w:spacing w:line="240" w:lineRule="auto"/>
        <w:ind w:firstLine="0"/>
        <w:jc w:val="left"/>
        <w:rPr>
          <w:rFonts w:eastAsia="Times New Roman" w:cs="Arial"/>
          <w:color w:val="000000" w:themeColor="text1"/>
          <w:sz w:val="22"/>
          <w:szCs w:val="22"/>
        </w:rPr>
      </w:pPr>
      <w:r w:rsidRPr="00426D07">
        <w:rPr>
          <w:rFonts w:eastAsia="Times New Roman" w:cs="Arial"/>
          <w:color w:val="000000" w:themeColor="text1"/>
          <w:sz w:val="22"/>
          <w:szCs w:val="22"/>
        </w:rPr>
        <w:t>Office of the Ohio Consumers’ Counsel</w:t>
      </w:r>
    </w:p>
    <w:p w:rsidR="00426D07" w:rsidRPr="00426D07" w:rsidRDefault="00426D07" w:rsidP="00426D07">
      <w:pPr>
        <w:tabs>
          <w:tab w:val="left" w:pos="2160"/>
          <w:tab w:val="left" w:pos="2280"/>
        </w:tabs>
        <w:spacing w:line="240" w:lineRule="auto"/>
        <w:ind w:firstLine="0"/>
        <w:jc w:val="left"/>
        <w:rPr>
          <w:rFonts w:eastAsia="Times New Roman" w:cs="Arial"/>
          <w:color w:val="000000" w:themeColor="text1"/>
          <w:sz w:val="22"/>
          <w:szCs w:val="22"/>
        </w:rPr>
      </w:pPr>
      <w:r w:rsidRPr="00426D07">
        <w:rPr>
          <w:rFonts w:eastAsia="Times New Roman" w:cs="Arial"/>
          <w:color w:val="000000" w:themeColor="text1"/>
          <w:sz w:val="22"/>
          <w:szCs w:val="22"/>
        </w:rPr>
        <w:t>10 W. Broad Street, 18</w:t>
      </w:r>
      <w:r w:rsidRPr="00426D07">
        <w:rPr>
          <w:rFonts w:eastAsia="Times New Roman" w:cs="Arial"/>
          <w:color w:val="000000" w:themeColor="text1"/>
          <w:sz w:val="22"/>
          <w:szCs w:val="22"/>
          <w:vertAlign w:val="superscript"/>
        </w:rPr>
        <w:t>th</w:t>
      </w:r>
      <w:r w:rsidRPr="00426D07">
        <w:rPr>
          <w:rFonts w:eastAsia="Times New Roman" w:cs="Arial"/>
          <w:color w:val="000000" w:themeColor="text1"/>
          <w:sz w:val="22"/>
          <w:szCs w:val="22"/>
        </w:rPr>
        <w:t xml:space="preserve"> Floor</w:t>
      </w:r>
    </w:p>
    <w:p w:rsidR="00426D07" w:rsidRPr="00426D07" w:rsidRDefault="00426D07" w:rsidP="00426D07">
      <w:pPr>
        <w:tabs>
          <w:tab w:val="left" w:pos="2160"/>
          <w:tab w:val="left" w:pos="2280"/>
        </w:tabs>
        <w:spacing w:line="240" w:lineRule="auto"/>
        <w:ind w:firstLine="0"/>
        <w:jc w:val="left"/>
        <w:rPr>
          <w:rFonts w:eastAsia="Times New Roman" w:cs="Arial"/>
          <w:color w:val="000000" w:themeColor="text1"/>
          <w:sz w:val="22"/>
          <w:szCs w:val="22"/>
        </w:rPr>
      </w:pPr>
      <w:r w:rsidRPr="00426D07">
        <w:rPr>
          <w:rFonts w:eastAsia="Times New Roman" w:cs="Arial"/>
          <w:color w:val="000000" w:themeColor="text1"/>
          <w:sz w:val="22"/>
          <w:szCs w:val="22"/>
        </w:rPr>
        <w:t>Columbus, OH  43215-3485</w:t>
      </w:r>
    </w:p>
    <w:p w:rsidR="00426D07" w:rsidRPr="00426D07" w:rsidRDefault="00426D07" w:rsidP="00426D07">
      <w:pPr>
        <w:tabs>
          <w:tab w:val="left" w:pos="2160"/>
          <w:tab w:val="left" w:pos="2280"/>
        </w:tabs>
        <w:spacing w:line="240" w:lineRule="auto"/>
        <w:ind w:firstLine="0"/>
        <w:jc w:val="left"/>
        <w:rPr>
          <w:rFonts w:eastAsia="Times New Roman" w:cs="Arial"/>
          <w:color w:val="000000" w:themeColor="text1"/>
          <w:sz w:val="22"/>
          <w:szCs w:val="22"/>
        </w:rPr>
      </w:pPr>
      <w:r w:rsidRPr="00426D07">
        <w:rPr>
          <w:rFonts w:eastAsia="Times New Roman" w:cs="Arial"/>
          <w:color w:val="000000" w:themeColor="text1"/>
          <w:sz w:val="22"/>
          <w:szCs w:val="22"/>
        </w:rPr>
        <w:t>etter@occ.state.oh.us</w:t>
      </w:r>
    </w:p>
    <w:p w:rsidR="00426D07" w:rsidRPr="00426D07" w:rsidRDefault="00426D07" w:rsidP="00426D07">
      <w:pPr>
        <w:tabs>
          <w:tab w:val="left" w:pos="2160"/>
          <w:tab w:val="left" w:pos="2280"/>
        </w:tabs>
        <w:spacing w:line="240" w:lineRule="auto"/>
        <w:ind w:firstLine="0"/>
        <w:jc w:val="left"/>
        <w:rPr>
          <w:rFonts w:eastAsia="Times New Roman" w:cs="Arial"/>
          <w:color w:val="000000" w:themeColor="text1"/>
          <w:sz w:val="22"/>
          <w:szCs w:val="22"/>
        </w:rPr>
      </w:pPr>
    </w:p>
    <w:p w:rsidR="00426D07" w:rsidRPr="00426D07" w:rsidRDefault="00426D07" w:rsidP="00426D07">
      <w:pPr>
        <w:tabs>
          <w:tab w:val="left" w:pos="2160"/>
          <w:tab w:val="left" w:pos="2280"/>
        </w:tabs>
        <w:spacing w:line="240" w:lineRule="auto"/>
        <w:ind w:firstLine="0"/>
        <w:jc w:val="left"/>
        <w:rPr>
          <w:rFonts w:eastAsia="Times New Roman" w:cs="Arial"/>
          <w:color w:val="000000" w:themeColor="text1"/>
          <w:sz w:val="22"/>
          <w:szCs w:val="22"/>
        </w:rPr>
      </w:pPr>
      <w:r w:rsidRPr="00426D07">
        <w:rPr>
          <w:rFonts w:eastAsia="Times New Roman" w:cs="Arial"/>
          <w:color w:val="000000" w:themeColor="text1"/>
          <w:sz w:val="22"/>
          <w:szCs w:val="22"/>
        </w:rPr>
        <w:t>Kimberly W. Bojko</w:t>
      </w:r>
    </w:p>
    <w:p w:rsidR="00426D07" w:rsidRPr="00426D07" w:rsidRDefault="00426D07" w:rsidP="00426D07">
      <w:pPr>
        <w:tabs>
          <w:tab w:val="left" w:pos="2160"/>
          <w:tab w:val="left" w:pos="2280"/>
        </w:tabs>
        <w:spacing w:line="240" w:lineRule="auto"/>
        <w:ind w:firstLine="0"/>
        <w:jc w:val="left"/>
        <w:rPr>
          <w:rFonts w:eastAsia="Times New Roman" w:cs="Arial"/>
          <w:color w:val="000000" w:themeColor="text1"/>
          <w:sz w:val="22"/>
          <w:szCs w:val="22"/>
        </w:rPr>
      </w:pPr>
      <w:r w:rsidRPr="00426D07">
        <w:rPr>
          <w:rFonts w:eastAsia="Times New Roman" w:cs="Arial"/>
          <w:color w:val="000000" w:themeColor="text1"/>
          <w:sz w:val="22"/>
          <w:szCs w:val="22"/>
        </w:rPr>
        <w:t>Carpenter Lipps &amp; Leland LLP</w:t>
      </w:r>
    </w:p>
    <w:p w:rsidR="00426D07" w:rsidRPr="00426D07" w:rsidRDefault="00426D07" w:rsidP="00426D07">
      <w:pPr>
        <w:tabs>
          <w:tab w:val="left" w:pos="2160"/>
          <w:tab w:val="left" w:pos="2280"/>
        </w:tabs>
        <w:spacing w:line="240" w:lineRule="auto"/>
        <w:ind w:firstLine="0"/>
        <w:jc w:val="left"/>
        <w:rPr>
          <w:rFonts w:eastAsia="Times New Roman" w:cs="Arial"/>
          <w:color w:val="000000" w:themeColor="text1"/>
          <w:sz w:val="22"/>
          <w:szCs w:val="22"/>
        </w:rPr>
      </w:pPr>
      <w:r w:rsidRPr="00426D07">
        <w:rPr>
          <w:rFonts w:eastAsia="Times New Roman" w:cs="Arial"/>
          <w:color w:val="000000" w:themeColor="text1"/>
          <w:sz w:val="22"/>
          <w:szCs w:val="22"/>
        </w:rPr>
        <w:t>280 Plaza, Suite 1300</w:t>
      </w:r>
    </w:p>
    <w:p w:rsidR="00426D07" w:rsidRPr="00426D07" w:rsidRDefault="00426D07" w:rsidP="00426D07">
      <w:pPr>
        <w:tabs>
          <w:tab w:val="left" w:pos="2160"/>
          <w:tab w:val="left" w:pos="2280"/>
        </w:tabs>
        <w:spacing w:line="240" w:lineRule="auto"/>
        <w:ind w:firstLine="0"/>
        <w:jc w:val="left"/>
        <w:rPr>
          <w:rFonts w:eastAsia="Times New Roman" w:cs="Arial"/>
          <w:color w:val="000000" w:themeColor="text1"/>
          <w:sz w:val="22"/>
          <w:szCs w:val="22"/>
        </w:rPr>
      </w:pPr>
      <w:r w:rsidRPr="00426D07">
        <w:rPr>
          <w:rFonts w:eastAsia="Times New Roman" w:cs="Arial"/>
          <w:color w:val="000000" w:themeColor="text1"/>
          <w:sz w:val="22"/>
          <w:szCs w:val="22"/>
        </w:rPr>
        <w:t>280 N. High Street</w:t>
      </w:r>
    </w:p>
    <w:p w:rsidR="00426D07" w:rsidRPr="00426D07" w:rsidRDefault="00426D07" w:rsidP="00426D07">
      <w:pPr>
        <w:tabs>
          <w:tab w:val="left" w:pos="2160"/>
          <w:tab w:val="left" w:pos="2280"/>
        </w:tabs>
        <w:spacing w:line="240" w:lineRule="auto"/>
        <w:ind w:firstLine="0"/>
        <w:jc w:val="left"/>
        <w:rPr>
          <w:rFonts w:eastAsia="Times New Roman" w:cs="Arial"/>
          <w:color w:val="000000" w:themeColor="text1"/>
          <w:sz w:val="22"/>
          <w:szCs w:val="22"/>
        </w:rPr>
      </w:pPr>
      <w:r w:rsidRPr="00426D07">
        <w:rPr>
          <w:rFonts w:eastAsia="Times New Roman" w:cs="Arial"/>
          <w:color w:val="000000" w:themeColor="text1"/>
          <w:sz w:val="22"/>
          <w:szCs w:val="22"/>
        </w:rPr>
        <w:t>Columbus, OH  43215</w:t>
      </w:r>
    </w:p>
    <w:p w:rsidR="00426D07" w:rsidRPr="00426D07" w:rsidRDefault="00426D07" w:rsidP="00426D07">
      <w:pPr>
        <w:tabs>
          <w:tab w:val="left" w:pos="2160"/>
          <w:tab w:val="left" w:pos="2280"/>
        </w:tabs>
        <w:spacing w:line="240" w:lineRule="auto"/>
        <w:ind w:firstLine="0"/>
        <w:jc w:val="left"/>
        <w:rPr>
          <w:rFonts w:eastAsia="Times New Roman" w:cs="Arial"/>
          <w:color w:val="000000" w:themeColor="text1"/>
          <w:sz w:val="22"/>
          <w:szCs w:val="22"/>
        </w:rPr>
      </w:pPr>
      <w:r w:rsidRPr="00426D07">
        <w:rPr>
          <w:rFonts w:eastAsia="Times New Roman" w:cs="Arial"/>
          <w:color w:val="000000" w:themeColor="text1"/>
          <w:sz w:val="22"/>
          <w:szCs w:val="22"/>
        </w:rPr>
        <w:t>bojko@carpenterlipps.com</w:t>
      </w:r>
    </w:p>
    <w:p w:rsidR="00426D07" w:rsidRPr="00426D07" w:rsidRDefault="00426D07" w:rsidP="00426D07">
      <w:pPr>
        <w:tabs>
          <w:tab w:val="left" w:pos="2160"/>
          <w:tab w:val="left" w:pos="2280"/>
        </w:tabs>
        <w:spacing w:line="240" w:lineRule="auto"/>
        <w:ind w:firstLine="0"/>
        <w:jc w:val="left"/>
        <w:rPr>
          <w:rFonts w:eastAsia="Times New Roman" w:cs="Arial"/>
          <w:color w:val="000000" w:themeColor="text1"/>
          <w:sz w:val="22"/>
          <w:szCs w:val="22"/>
        </w:rPr>
      </w:pPr>
    </w:p>
    <w:p w:rsidR="00426D07" w:rsidRPr="00426D07" w:rsidRDefault="00426D07" w:rsidP="00426D07">
      <w:pPr>
        <w:tabs>
          <w:tab w:val="left" w:pos="2160"/>
          <w:tab w:val="left" w:pos="2280"/>
        </w:tabs>
        <w:spacing w:line="240" w:lineRule="auto"/>
        <w:ind w:firstLine="0"/>
        <w:jc w:val="left"/>
        <w:rPr>
          <w:rFonts w:eastAsia="Times New Roman" w:cs="Arial"/>
          <w:b/>
          <w:smallCaps/>
          <w:color w:val="000000" w:themeColor="text1"/>
          <w:sz w:val="22"/>
          <w:szCs w:val="22"/>
        </w:rPr>
      </w:pPr>
      <w:r w:rsidRPr="00426D07">
        <w:rPr>
          <w:rFonts w:eastAsia="Times New Roman" w:cs="Arial"/>
          <w:b/>
          <w:smallCaps/>
          <w:color w:val="000000" w:themeColor="text1"/>
          <w:sz w:val="22"/>
          <w:szCs w:val="22"/>
        </w:rPr>
        <w:t>On Behalf of the Office of the Ohio</w:t>
      </w:r>
    </w:p>
    <w:p w:rsidR="00426D07" w:rsidRPr="00426D07" w:rsidRDefault="00426D07" w:rsidP="00426D07">
      <w:pPr>
        <w:tabs>
          <w:tab w:val="left" w:pos="2160"/>
          <w:tab w:val="left" w:pos="2280"/>
        </w:tabs>
        <w:spacing w:line="240" w:lineRule="auto"/>
        <w:ind w:firstLine="0"/>
        <w:jc w:val="left"/>
        <w:rPr>
          <w:rFonts w:eastAsia="Times New Roman" w:cs="Arial"/>
          <w:b/>
          <w:smallCaps/>
          <w:color w:val="000000" w:themeColor="text1"/>
          <w:sz w:val="22"/>
          <w:szCs w:val="22"/>
        </w:rPr>
      </w:pPr>
      <w:r w:rsidRPr="00426D07">
        <w:rPr>
          <w:rFonts w:eastAsia="Times New Roman" w:cs="Arial"/>
          <w:b/>
          <w:smallCaps/>
          <w:color w:val="000000" w:themeColor="text1"/>
          <w:sz w:val="22"/>
          <w:szCs w:val="22"/>
        </w:rPr>
        <w:t>Consumers’ Counsel</w:t>
      </w:r>
    </w:p>
    <w:p w:rsidR="00FB6672" w:rsidRDefault="00FB6672" w:rsidP="00426D07">
      <w:pPr>
        <w:tabs>
          <w:tab w:val="left" w:pos="2160"/>
          <w:tab w:val="left" w:pos="2280"/>
        </w:tabs>
        <w:spacing w:line="240" w:lineRule="auto"/>
        <w:ind w:firstLine="0"/>
        <w:jc w:val="left"/>
        <w:rPr>
          <w:rFonts w:eastAsia="Times New Roman" w:cs="Arial"/>
          <w:color w:val="000000" w:themeColor="text1"/>
          <w:sz w:val="22"/>
          <w:szCs w:val="22"/>
        </w:rPr>
      </w:pPr>
    </w:p>
    <w:p w:rsidR="00426D07" w:rsidRPr="00426D07" w:rsidRDefault="00426D07" w:rsidP="00426D07">
      <w:pPr>
        <w:tabs>
          <w:tab w:val="left" w:pos="2160"/>
          <w:tab w:val="left" w:pos="2280"/>
        </w:tabs>
        <w:spacing w:line="240" w:lineRule="auto"/>
        <w:ind w:firstLine="0"/>
        <w:jc w:val="left"/>
        <w:rPr>
          <w:rFonts w:eastAsia="Times New Roman" w:cs="Arial"/>
          <w:color w:val="000000" w:themeColor="text1"/>
          <w:sz w:val="22"/>
          <w:szCs w:val="22"/>
        </w:rPr>
      </w:pPr>
      <w:r w:rsidRPr="00426D07">
        <w:rPr>
          <w:rFonts w:eastAsia="Times New Roman" w:cs="Arial"/>
          <w:color w:val="000000" w:themeColor="text1"/>
          <w:sz w:val="22"/>
          <w:szCs w:val="22"/>
        </w:rPr>
        <w:t>Mark S. Yurick</w:t>
      </w:r>
    </w:p>
    <w:p w:rsidR="00426D07" w:rsidRPr="00426D07" w:rsidRDefault="00426D07" w:rsidP="00426D07">
      <w:pPr>
        <w:tabs>
          <w:tab w:val="left" w:pos="2160"/>
          <w:tab w:val="left" w:pos="2280"/>
        </w:tabs>
        <w:spacing w:line="240" w:lineRule="auto"/>
        <w:ind w:firstLine="0"/>
        <w:jc w:val="left"/>
        <w:rPr>
          <w:rFonts w:eastAsia="Times New Roman" w:cs="Arial"/>
          <w:color w:val="000000" w:themeColor="text1"/>
          <w:sz w:val="22"/>
          <w:szCs w:val="22"/>
        </w:rPr>
      </w:pPr>
      <w:r w:rsidRPr="00426D07">
        <w:rPr>
          <w:rFonts w:eastAsia="Times New Roman" w:cs="Arial"/>
          <w:color w:val="000000" w:themeColor="text1"/>
          <w:sz w:val="22"/>
          <w:szCs w:val="22"/>
        </w:rPr>
        <w:t>Zachary D. Kravitz</w:t>
      </w:r>
    </w:p>
    <w:p w:rsidR="00426D07" w:rsidRPr="00426D07" w:rsidRDefault="00426D07" w:rsidP="00426D07">
      <w:pPr>
        <w:tabs>
          <w:tab w:val="left" w:pos="2160"/>
          <w:tab w:val="left" w:pos="2280"/>
        </w:tabs>
        <w:spacing w:line="240" w:lineRule="auto"/>
        <w:ind w:firstLine="0"/>
        <w:jc w:val="left"/>
        <w:rPr>
          <w:rFonts w:cs="Arial"/>
          <w:color w:val="000000" w:themeColor="text1"/>
          <w:sz w:val="22"/>
          <w:szCs w:val="22"/>
        </w:rPr>
      </w:pPr>
      <w:r w:rsidRPr="00426D07">
        <w:rPr>
          <w:rFonts w:cs="Arial"/>
          <w:color w:val="000000" w:themeColor="text1"/>
          <w:sz w:val="22"/>
          <w:szCs w:val="22"/>
        </w:rPr>
        <w:t>Taft Stettinius &amp; Hollister</w:t>
      </w:r>
    </w:p>
    <w:p w:rsidR="00426D07" w:rsidRPr="00426D07" w:rsidRDefault="00426D07" w:rsidP="00426D07">
      <w:pPr>
        <w:tabs>
          <w:tab w:val="left" w:pos="2160"/>
          <w:tab w:val="left" w:pos="2280"/>
        </w:tabs>
        <w:spacing w:line="240" w:lineRule="auto"/>
        <w:ind w:firstLine="0"/>
        <w:jc w:val="left"/>
        <w:rPr>
          <w:rFonts w:eastAsia="Times New Roman" w:cs="Arial"/>
          <w:color w:val="000000" w:themeColor="text1"/>
          <w:sz w:val="22"/>
          <w:szCs w:val="22"/>
        </w:rPr>
      </w:pPr>
      <w:r w:rsidRPr="00426D07">
        <w:rPr>
          <w:rFonts w:eastAsia="Times New Roman" w:cs="Arial"/>
          <w:color w:val="000000" w:themeColor="text1"/>
          <w:sz w:val="22"/>
          <w:szCs w:val="22"/>
        </w:rPr>
        <w:t>65 East State Street, Suite 1000</w:t>
      </w:r>
    </w:p>
    <w:p w:rsidR="00426D07" w:rsidRPr="00426D07" w:rsidRDefault="00426D07" w:rsidP="00426D07">
      <w:pPr>
        <w:tabs>
          <w:tab w:val="left" w:pos="2160"/>
          <w:tab w:val="left" w:pos="2280"/>
        </w:tabs>
        <w:spacing w:line="240" w:lineRule="auto"/>
        <w:ind w:firstLine="0"/>
        <w:jc w:val="left"/>
        <w:rPr>
          <w:rFonts w:eastAsia="Times New Roman" w:cs="Arial"/>
          <w:color w:val="000000" w:themeColor="text1"/>
          <w:sz w:val="22"/>
          <w:szCs w:val="22"/>
        </w:rPr>
      </w:pPr>
      <w:r w:rsidRPr="00426D07">
        <w:rPr>
          <w:rFonts w:eastAsia="Times New Roman" w:cs="Arial"/>
          <w:color w:val="000000" w:themeColor="text1"/>
          <w:sz w:val="22"/>
          <w:szCs w:val="22"/>
        </w:rPr>
        <w:t>Columbus, OH  43215</w:t>
      </w:r>
    </w:p>
    <w:p w:rsidR="00426D07" w:rsidRPr="00426D07" w:rsidRDefault="00426D07" w:rsidP="00426D07">
      <w:pPr>
        <w:tabs>
          <w:tab w:val="left" w:pos="2160"/>
          <w:tab w:val="left" w:pos="2280"/>
        </w:tabs>
        <w:spacing w:line="240" w:lineRule="auto"/>
        <w:ind w:firstLine="0"/>
        <w:jc w:val="left"/>
        <w:rPr>
          <w:rFonts w:eastAsia="Times New Roman" w:cs="Arial"/>
          <w:color w:val="000000" w:themeColor="text1"/>
          <w:sz w:val="22"/>
          <w:szCs w:val="22"/>
        </w:rPr>
      </w:pPr>
      <w:r w:rsidRPr="00426D07">
        <w:rPr>
          <w:rFonts w:eastAsia="Times New Roman" w:cs="Arial"/>
          <w:color w:val="000000" w:themeColor="text1"/>
          <w:sz w:val="22"/>
          <w:szCs w:val="22"/>
        </w:rPr>
        <w:t>myurick@taftlaw.com</w:t>
      </w:r>
    </w:p>
    <w:p w:rsidR="00426D07" w:rsidRPr="00426D07" w:rsidRDefault="00426D07" w:rsidP="00426D07">
      <w:pPr>
        <w:tabs>
          <w:tab w:val="left" w:pos="2160"/>
          <w:tab w:val="left" w:pos="2280"/>
        </w:tabs>
        <w:spacing w:line="240" w:lineRule="auto"/>
        <w:ind w:firstLine="0"/>
        <w:jc w:val="left"/>
        <w:rPr>
          <w:rFonts w:eastAsia="Times New Roman" w:cs="Arial"/>
          <w:color w:val="000000" w:themeColor="text1"/>
          <w:sz w:val="22"/>
          <w:szCs w:val="22"/>
        </w:rPr>
      </w:pPr>
      <w:r w:rsidRPr="00426D07">
        <w:rPr>
          <w:rFonts w:eastAsia="Times New Roman" w:cs="Arial"/>
          <w:color w:val="000000" w:themeColor="text1"/>
          <w:sz w:val="22"/>
          <w:szCs w:val="22"/>
        </w:rPr>
        <w:t>zkravitz@taftlaw.com</w:t>
      </w:r>
    </w:p>
    <w:p w:rsidR="00426D07" w:rsidRPr="00426D07" w:rsidRDefault="00426D07" w:rsidP="00426D07">
      <w:pPr>
        <w:tabs>
          <w:tab w:val="left" w:pos="2160"/>
          <w:tab w:val="left" w:pos="2280"/>
        </w:tabs>
        <w:spacing w:line="240" w:lineRule="auto"/>
        <w:ind w:firstLine="0"/>
        <w:jc w:val="left"/>
        <w:rPr>
          <w:rFonts w:eastAsia="Times New Roman" w:cs="Arial"/>
          <w:color w:val="000000" w:themeColor="text1"/>
          <w:sz w:val="22"/>
          <w:szCs w:val="22"/>
        </w:rPr>
      </w:pPr>
    </w:p>
    <w:p w:rsidR="00426D07" w:rsidRPr="00426D07" w:rsidRDefault="00426D07" w:rsidP="00426D07">
      <w:pPr>
        <w:tabs>
          <w:tab w:val="left" w:pos="2160"/>
          <w:tab w:val="left" w:pos="2280"/>
        </w:tabs>
        <w:spacing w:line="240" w:lineRule="auto"/>
        <w:ind w:firstLine="0"/>
        <w:jc w:val="left"/>
        <w:rPr>
          <w:rFonts w:eastAsia="Times New Roman" w:cs="Arial"/>
          <w:b/>
          <w:smallCaps/>
          <w:color w:val="000000" w:themeColor="text1"/>
          <w:sz w:val="22"/>
          <w:szCs w:val="22"/>
        </w:rPr>
      </w:pPr>
      <w:r w:rsidRPr="00426D07">
        <w:rPr>
          <w:rFonts w:eastAsia="Times New Roman" w:cs="Arial"/>
          <w:b/>
          <w:smallCaps/>
          <w:color w:val="000000" w:themeColor="text1"/>
          <w:sz w:val="22"/>
          <w:szCs w:val="22"/>
        </w:rPr>
        <w:t>On Behalf of The Kroger Co.</w:t>
      </w:r>
    </w:p>
    <w:p w:rsidR="00426D07" w:rsidRPr="00426D07" w:rsidRDefault="00426D07" w:rsidP="00426D07">
      <w:pPr>
        <w:tabs>
          <w:tab w:val="left" w:pos="2160"/>
          <w:tab w:val="left" w:pos="2280"/>
        </w:tabs>
        <w:spacing w:line="240" w:lineRule="auto"/>
        <w:ind w:firstLine="0"/>
        <w:jc w:val="left"/>
        <w:rPr>
          <w:rFonts w:eastAsia="Times New Roman" w:cs="Arial"/>
          <w:b/>
          <w:smallCaps/>
          <w:color w:val="000000" w:themeColor="text1"/>
          <w:sz w:val="22"/>
          <w:szCs w:val="22"/>
        </w:rPr>
      </w:pPr>
    </w:p>
    <w:p w:rsidR="00FB6672" w:rsidRDefault="00FB6672" w:rsidP="00426D07">
      <w:pPr>
        <w:autoSpaceDE w:val="0"/>
        <w:autoSpaceDN w:val="0"/>
        <w:adjustRightInd w:val="0"/>
        <w:spacing w:line="240" w:lineRule="auto"/>
        <w:ind w:firstLine="0"/>
        <w:jc w:val="left"/>
        <w:rPr>
          <w:rFonts w:eastAsia="Calibri" w:cs="Arial"/>
          <w:color w:val="000000" w:themeColor="text1"/>
          <w:sz w:val="22"/>
          <w:szCs w:val="22"/>
        </w:rPr>
        <w:sectPr w:rsidR="00FB6672" w:rsidSect="00BE31C7">
          <w:headerReference w:type="even" r:id="rId29"/>
          <w:headerReference w:type="default" r:id="rId30"/>
          <w:footerReference w:type="even" r:id="rId31"/>
          <w:footerReference w:type="default" r:id="rId32"/>
          <w:headerReference w:type="first" r:id="rId33"/>
          <w:footerReference w:type="first" r:id="rId34"/>
          <w:type w:val="continuous"/>
          <w:pgSz w:w="12240" w:h="15840" w:code="1"/>
          <w:pgMar w:top="1440" w:right="1440" w:bottom="1141" w:left="1440" w:header="720" w:footer="720" w:gutter="0"/>
          <w:pgNumType w:start="1"/>
          <w:cols w:num="2" w:space="720"/>
          <w:titlePg/>
          <w:docGrid w:linePitch="326"/>
        </w:sectPr>
      </w:pPr>
    </w:p>
    <w:p w:rsidR="00426D07" w:rsidRPr="00426D07" w:rsidRDefault="00426D07" w:rsidP="00426D07">
      <w:pPr>
        <w:autoSpaceDE w:val="0"/>
        <w:autoSpaceDN w:val="0"/>
        <w:adjustRightInd w:val="0"/>
        <w:spacing w:line="240" w:lineRule="auto"/>
        <w:ind w:firstLine="0"/>
        <w:jc w:val="left"/>
        <w:rPr>
          <w:rFonts w:eastAsia="Calibri" w:cs="Arial"/>
          <w:color w:val="000000" w:themeColor="text1"/>
          <w:sz w:val="22"/>
          <w:szCs w:val="22"/>
        </w:rPr>
      </w:pPr>
      <w:r w:rsidRPr="00426D07">
        <w:rPr>
          <w:rFonts w:eastAsia="Calibri" w:cs="Arial"/>
          <w:color w:val="000000" w:themeColor="text1"/>
          <w:sz w:val="22"/>
          <w:szCs w:val="22"/>
        </w:rPr>
        <w:lastRenderedPageBreak/>
        <w:t>Robert A. Brundrett</w:t>
      </w:r>
    </w:p>
    <w:p w:rsidR="00426D07" w:rsidRPr="00426D07" w:rsidRDefault="00426D07" w:rsidP="00426D07">
      <w:pPr>
        <w:autoSpaceDE w:val="0"/>
        <w:autoSpaceDN w:val="0"/>
        <w:adjustRightInd w:val="0"/>
        <w:spacing w:line="240" w:lineRule="auto"/>
        <w:ind w:firstLine="0"/>
        <w:jc w:val="left"/>
        <w:rPr>
          <w:rFonts w:eastAsia="Calibri" w:cs="Arial"/>
          <w:color w:val="000000" w:themeColor="text1"/>
          <w:sz w:val="22"/>
          <w:szCs w:val="22"/>
        </w:rPr>
      </w:pPr>
      <w:r w:rsidRPr="00426D07">
        <w:rPr>
          <w:rFonts w:eastAsia="Calibri" w:cs="Arial"/>
          <w:color w:val="000000" w:themeColor="text1"/>
          <w:sz w:val="22"/>
          <w:szCs w:val="22"/>
        </w:rPr>
        <w:t>The Ohio Manufacturers’ Association</w:t>
      </w:r>
    </w:p>
    <w:p w:rsidR="00426D07" w:rsidRPr="00426D07" w:rsidRDefault="00426D07" w:rsidP="00426D07">
      <w:pPr>
        <w:autoSpaceDE w:val="0"/>
        <w:autoSpaceDN w:val="0"/>
        <w:adjustRightInd w:val="0"/>
        <w:spacing w:line="240" w:lineRule="auto"/>
        <w:ind w:firstLine="0"/>
        <w:jc w:val="left"/>
        <w:rPr>
          <w:rFonts w:eastAsia="Calibri" w:cs="Arial"/>
          <w:color w:val="000000" w:themeColor="text1"/>
          <w:sz w:val="22"/>
          <w:szCs w:val="22"/>
        </w:rPr>
      </w:pPr>
      <w:r w:rsidRPr="00426D07">
        <w:rPr>
          <w:rFonts w:eastAsia="Calibri" w:cs="Arial"/>
          <w:color w:val="000000" w:themeColor="text1"/>
          <w:sz w:val="22"/>
          <w:szCs w:val="22"/>
        </w:rPr>
        <w:t>33 North High Street</w:t>
      </w:r>
    </w:p>
    <w:p w:rsidR="00426D07" w:rsidRPr="00426D07" w:rsidRDefault="00426D07" w:rsidP="00426D07">
      <w:pPr>
        <w:autoSpaceDE w:val="0"/>
        <w:autoSpaceDN w:val="0"/>
        <w:adjustRightInd w:val="0"/>
        <w:spacing w:line="240" w:lineRule="auto"/>
        <w:ind w:firstLine="0"/>
        <w:jc w:val="left"/>
        <w:rPr>
          <w:rFonts w:eastAsia="Calibri" w:cs="Arial"/>
          <w:color w:val="000000" w:themeColor="text1"/>
          <w:sz w:val="22"/>
          <w:szCs w:val="22"/>
        </w:rPr>
      </w:pPr>
      <w:r w:rsidRPr="00426D07">
        <w:rPr>
          <w:rFonts w:eastAsia="Calibri" w:cs="Arial"/>
          <w:color w:val="000000" w:themeColor="text1"/>
          <w:sz w:val="22"/>
          <w:szCs w:val="22"/>
        </w:rPr>
        <w:t>Columbus, OH  43215</w:t>
      </w:r>
    </w:p>
    <w:p w:rsidR="00426D07" w:rsidRPr="00426D07" w:rsidRDefault="00426D07" w:rsidP="00426D07">
      <w:pPr>
        <w:autoSpaceDE w:val="0"/>
        <w:autoSpaceDN w:val="0"/>
        <w:adjustRightInd w:val="0"/>
        <w:spacing w:line="240" w:lineRule="auto"/>
        <w:ind w:firstLine="0"/>
        <w:jc w:val="left"/>
        <w:rPr>
          <w:rFonts w:eastAsia="Calibri" w:cs="Arial"/>
          <w:color w:val="000000" w:themeColor="text1"/>
          <w:sz w:val="22"/>
          <w:szCs w:val="22"/>
        </w:rPr>
      </w:pPr>
      <w:r w:rsidRPr="00426D07">
        <w:rPr>
          <w:rFonts w:eastAsia="Calibri" w:cs="Arial"/>
          <w:color w:val="000000" w:themeColor="text1"/>
          <w:sz w:val="22"/>
          <w:szCs w:val="22"/>
        </w:rPr>
        <w:t>rbrundrett@ohiomfg.com</w:t>
      </w:r>
    </w:p>
    <w:p w:rsidR="00426D07" w:rsidRPr="00426D07" w:rsidRDefault="00426D07" w:rsidP="00426D07">
      <w:pPr>
        <w:autoSpaceDE w:val="0"/>
        <w:autoSpaceDN w:val="0"/>
        <w:adjustRightInd w:val="0"/>
        <w:spacing w:line="240" w:lineRule="auto"/>
        <w:ind w:firstLine="0"/>
        <w:jc w:val="left"/>
        <w:rPr>
          <w:rFonts w:eastAsia="Calibri" w:cs="Arial"/>
          <w:color w:val="000000" w:themeColor="text1"/>
          <w:sz w:val="22"/>
          <w:szCs w:val="22"/>
        </w:rPr>
      </w:pPr>
    </w:p>
    <w:p w:rsidR="00426D07" w:rsidRPr="00426D07" w:rsidRDefault="00426D07" w:rsidP="00426D07">
      <w:pPr>
        <w:spacing w:line="240" w:lineRule="auto"/>
        <w:ind w:firstLine="0"/>
        <w:jc w:val="left"/>
        <w:rPr>
          <w:rFonts w:eastAsia="Calibri" w:cs="Arial"/>
          <w:b/>
          <w:smallCaps/>
          <w:color w:val="000000" w:themeColor="text1"/>
          <w:sz w:val="22"/>
          <w:szCs w:val="22"/>
        </w:rPr>
      </w:pPr>
      <w:r w:rsidRPr="00426D07">
        <w:rPr>
          <w:rFonts w:eastAsia="Calibri" w:cs="Arial"/>
          <w:b/>
          <w:smallCaps/>
          <w:color w:val="000000" w:themeColor="text1"/>
          <w:sz w:val="22"/>
          <w:szCs w:val="22"/>
        </w:rPr>
        <w:t>On Behalf of The OMA Energy Group</w:t>
      </w:r>
    </w:p>
    <w:p w:rsidR="00426D07" w:rsidRPr="00426D07" w:rsidRDefault="00426D07" w:rsidP="00426D07">
      <w:pPr>
        <w:spacing w:line="240" w:lineRule="auto"/>
        <w:ind w:firstLine="0"/>
        <w:jc w:val="left"/>
        <w:rPr>
          <w:rFonts w:eastAsia="Times New Roman" w:cs="Arial"/>
          <w:color w:val="000000" w:themeColor="text1"/>
          <w:sz w:val="22"/>
          <w:szCs w:val="22"/>
        </w:rPr>
      </w:pPr>
    </w:p>
    <w:p w:rsidR="00426D07" w:rsidRPr="00426D07" w:rsidRDefault="00426D07" w:rsidP="00426D07">
      <w:pPr>
        <w:autoSpaceDE w:val="0"/>
        <w:autoSpaceDN w:val="0"/>
        <w:adjustRightInd w:val="0"/>
        <w:spacing w:line="240" w:lineRule="auto"/>
        <w:ind w:firstLine="0"/>
        <w:jc w:val="left"/>
        <w:rPr>
          <w:rFonts w:eastAsia="Calibri" w:cs="Arial"/>
          <w:color w:val="000000" w:themeColor="text1"/>
          <w:sz w:val="22"/>
          <w:szCs w:val="22"/>
        </w:rPr>
      </w:pPr>
      <w:r w:rsidRPr="00426D07">
        <w:rPr>
          <w:rFonts w:eastAsia="Calibri" w:cs="Arial"/>
          <w:color w:val="000000" w:themeColor="text1"/>
          <w:sz w:val="22"/>
          <w:szCs w:val="22"/>
        </w:rPr>
        <w:t>Richard L. Sites</w:t>
      </w:r>
    </w:p>
    <w:p w:rsidR="00426D07" w:rsidRPr="00426D07" w:rsidRDefault="00426D07" w:rsidP="00426D07">
      <w:pPr>
        <w:autoSpaceDE w:val="0"/>
        <w:autoSpaceDN w:val="0"/>
        <w:adjustRightInd w:val="0"/>
        <w:spacing w:line="240" w:lineRule="auto"/>
        <w:ind w:firstLine="0"/>
        <w:jc w:val="left"/>
        <w:rPr>
          <w:rFonts w:eastAsia="Calibri" w:cs="Arial"/>
          <w:color w:val="000000" w:themeColor="text1"/>
          <w:sz w:val="22"/>
          <w:szCs w:val="22"/>
        </w:rPr>
      </w:pPr>
      <w:r w:rsidRPr="00426D07">
        <w:rPr>
          <w:rFonts w:eastAsia="Calibri" w:cs="Arial"/>
          <w:color w:val="000000" w:themeColor="text1"/>
          <w:sz w:val="22"/>
          <w:szCs w:val="22"/>
        </w:rPr>
        <w:t>General Counsel &amp; Senior Director of Health Policy</w:t>
      </w:r>
    </w:p>
    <w:p w:rsidR="00426D07" w:rsidRPr="00426D07" w:rsidRDefault="00426D07" w:rsidP="00426D07">
      <w:pPr>
        <w:autoSpaceDE w:val="0"/>
        <w:autoSpaceDN w:val="0"/>
        <w:adjustRightInd w:val="0"/>
        <w:spacing w:line="240" w:lineRule="auto"/>
        <w:ind w:firstLine="0"/>
        <w:jc w:val="left"/>
        <w:rPr>
          <w:rFonts w:eastAsia="Calibri" w:cs="Arial"/>
          <w:color w:val="000000" w:themeColor="text1"/>
          <w:sz w:val="22"/>
          <w:szCs w:val="22"/>
        </w:rPr>
      </w:pPr>
      <w:r w:rsidRPr="00426D07">
        <w:rPr>
          <w:rFonts w:eastAsia="Calibri" w:cs="Arial"/>
          <w:color w:val="000000" w:themeColor="text1"/>
          <w:sz w:val="22"/>
          <w:szCs w:val="22"/>
        </w:rPr>
        <w:t>Ohio Hospital Association</w:t>
      </w:r>
    </w:p>
    <w:p w:rsidR="00426D07" w:rsidRPr="00426D07" w:rsidRDefault="00426D07" w:rsidP="00426D07">
      <w:pPr>
        <w:autoSpaceDE w:val="0"/>
        <w:autoSpaceDN w:val="0"/>
        <w:adjustRightInd w:val="0"/>
        <w:spacing w:line="240" w:lineRule="auto"/>
        <w:ind w:firstLine="0"/>
        <w:jc w:val="left"/>
        <w:rPr>
          <w:rFonts w:eastAsia="Calibri" w:cs="Arial"/>
          <w:color w:val="000000" w:themeColor="text1"/>
          <w:sz w:val="22"/>
          <w:szCs w:val="22"/>
        </w:rPr>
      </w:pPr>
      <w:r w:rsidRPr="00426D07">
        <w:rPr>
          <w:rFonts w:eastAsia="Calibri" w:cs="Arial"/>
          <w:color w:val="000000" w:themeColor="text1"/>
          <w:sz w:val="22"/>
          <w:szCs w:val="22"/>
        </w:rPr>
        <w:t>155 East Broad Street, 15</w:t>
      </w:r>
      <w:r w:rsidRPr="00426D07">
        <w:rPr>
          <w:rFonts w:eastAsia="Calibri" w:cs="Arial"/>
          <w:color w:val="000000" w:themeColor="text1"/>
          <w:sz w:val="22"/>
          <w:szCs w:val="22"/>
          <w:vertAlign w:val="superscript"/>
        </w:rPr>
        <w:t>th</w:t>
      </w:r>
      <w:r w:rsidRPr="00426D07">
        <w:rPr>
          <w:rFonts w:eastAsia="Calibri" w:cs="Arial"/>
          <w:color w:val="000000" w:themeColor="text1"/>
          <w:sz w:val="22"/>
          <w:szCs w:val="22"/>
        </w:rPr>
        <w:t xml:space="preserve"> Floor</w:t>
      </w:r>
    </w:p>
    <w:p w:rsidR="00426D07" w:rsidRPr="00426D07" w:rsidRDefault="00426D07" w:rsidP="00426D07">
      <w:pPr>
        <w:autoSpaceDE w:val="0"/>
        <w:autoSpaceDN w:val="0"/>
        <w:adjustRightInd w:val="0"/>
        <w:spacing w:line="240" w:lineRule="auto"/>
        <w:ind w:firstLine="0"/>
        <w:jc w:val="left"/>
        <w:rPr>
          <w:rFonts w:eastAsia="Calibri" w:cs="Arial"/>
          <w:color w:val="000000" w:themeColor="text1"/>
          <w:sz w:val="22"/>
          <w:szCs w:val="22"/>
        </w:rPr>
      </w:pPr>
      <w:r w:rsidRPr="00426D07">
        <w:rPr>
          <w:rFonts w:eastAsia="Calibri" w:cs="Arial"/>
          <w:color w:val="000000" w:themeColor="text1"/>
          <w:sz w:val="22"/>
          <w:szCs w:val="22"/>
        </w:rPr>
        <w:t>Columbus, OH  43215-3620</w:t>
      </w:r>
    </w:p>
    <w:p w:rsidR="00426D07" w:rsidRPr="00426D07" w:rsidRDefault="00042D12" w:rsidP="00426D07">
      <w:pPr>
        <w:autoSpaceDE w:val="0"/>
        <w:autoSpaceDN w:val="0"/>
        <w:adjustRightInd w:val="0"/>
        <w:spacing w:line="240" w:lineRule="auto"/>
        <w:ind w:firstLine="0"/>
        <w:jc w:val="left"/>
        <w:rPr>
          <w:rFonts w:eastAsia="Calibri" w:cs="Arial"/>
          <w:color w:val="000000" w:themeColor="text1"/>
          <w:sz w:val="22"/>
          <w:szCs w:val="22"/>
        </w:rPr>
      </w:pPr>
      <w:hyperlink r:id="rId35" w:history="1">
        <w:r w:rsidR="00426D07" w:rsidRPr="00426D07">
          <w:rPr>
            <w:rFonts w:eastAsia="Calibri" w:cs="Arial"/>
            <w:color w:val="000000" w:themeColor="text1"/>
            <w:sz w:val="22"/>
            <w:szCs w:val="22"/>
          </w:rPr>
          <w:t>ricks@ohanet.org</w:t>
        </w:r>
      </w:hyperlink>
    </w:p>
    <w:p w:rsidR="00426D07" w:rsidRPr="00426D07" w:rsidRDefault="00426D07" w:rsidP="00426D07">
      <w:pPr>
        <w:autoSpaceDE w:val="0"/>
        <w:autoSpaceDN w:val="0"/>
        <w:adjustRightInd w:val="0"/>
        <w:spacing w:line="240" w:lineRule="auto"/>
        <w:ind w:firstLine="0"/>
        <w:jc w:val="left"/>
        <w:rPr>
          <w:rFonts w:eastAsia="Calibri" w:cs="Arial"/>
          <w:color w:val="000000" w:themeColor="text1"/>
          <w:sz w:val="22"/>
          <w:szCs w:val="22"/>
        </w:rPr>
      </w:pPr>
    </w:p>
    <w:p w:rsidR="00426D07" w:rsidRPr="00426D07" w:rsidRDefault="00426D07" w:rsidP="00426D07">
      <w:pPr>
        <w:autoSpaceDE w:val="0"/>
        <w:autoSpaceDN w:val="0"/>
        <w:adjustRightInd w:val="0"/>
        <w:spacing w:line="240" w:lineRule="auto"/>
        <w:ind w:firstLine="0"/>
        <w:jc w:val="left"/>
        <w:rPr>
          <w:rFonts w:eastAsia="Calibri" w:cs="Arial"/>
          <w:color w:val="000000" w:themeColor="text1"/>
          <w:sz w:val="22"/>
          <w:szCs w:val="22"/>
        </w:rPr>
      </w:pPr>
      <w:r w:rsidRPr="00426D07">
        <w:rPr>
          <w:rFonts w:eastAsia="Calibri" w:cs="Arial"/>
          <w:color w:val="000000" w:themeColor="text1"/>
          <w:sz w:val="22"/>
          <w:szCs w:val="22"/>
        </w:rPr>
        <w:t>Thomas J. O’Brien</w:t>
      </w:r>
    </w:p>
    <w:p w:rsidR="00426D07" w:rsidRPr="00426D07" w:rsidRDefault="00426D07" w:rsidP="00426D07">
      <w:pPr>
        <w:autoSpaceDE w:val="0"/>
        <w:autoSpaceDN w:val="0"/>
        <w:adjustRightInd w:val="0"/>
        <w:spacing w:line="240" w:lineRule="auto"/>
        <w:ind w:firstLine="0"/>
        <w:jc w:val="left"/>
        <w:rPr>
          <w:rFonts w:eastAsia="Calibri" w:cs="Arial"/>
          <w:color w:val="000000" w:themeColor="text1"/>
          <w:sz w:val="22"/>
          <w:szCs w:val="22"/>
        </w:rPr>
      </w:pPr>
      <w:r w:rsidRPr="00426D07">
        <w:rPr>
          <w:rFonts w:eastAsia="Calibri" w:cs="Arial"/>
          <w:color w:val="000000" w:themeColor="text1"/>
          <w:sz w:val="22"/>
          <w:szCs w:val="22"/>
        </w:rPr>
        <w:t>Bricker &amp; Eckler LLP</w:t>
      </w:r>
    </w:p>
    <w:p w:rsidR="00426D07" w:rsidRPr="00426D07" w:rsidRDefault="00426D07" w:rsidP="00426D07">
      <w:pPr>
        <w:autoSpaceDE w:val="0"/>
        <w:autoSpaceDN w:val="0"/>
        <w:adjustRightInd w:val="0"/>
        <w:spacing w:line="240" w:lineRule="auto"/>
        <w:ind w:firstLine="0"/>
        <w:jc w:val="left"/>
        <w:rPr>
          <w:rFonts w:eastAsia="Calibri" w:cs="Arial"/>
          <w:color w:val="000000" w:themeColor="text1"/>
          <w:sz w:val="22"/>
          <w:szCs w:val="22"/>
        </w:rPr>
      </w:pPr>
      <w:r w:rsidRPr="00426D07">
        <w:rPr>
          <w:rFonts w:eastAsia="Calibri" w:cs="Arial"/>
          <w:color w:val="000000" w:themeColor="text1"/>
          <w:sz w:val="22"/>
          <w:szCs w:val="22"/>
        </w:rPr>
        <w:t>100 South Third Street</w:t>
      </w:r>
    </w:p>
    <w:p w:rsidR="00426D07" w:rsidRPr="00426D07" w:rsidRDefault="00426D07" w:rsidP="00426D07">
      <w:pPr>
        <w:autoSpaceDE w:val="0"/>
        <w:autoSpaceDN w:val="0"/>
        <w:adjustRightInd w:val="0"/>
        <w:spacing w:line="240" w:lineRule="auto"/>
        <w:ind w:firstLine="0"/>
        <w:jc w:val="left"/>
        <w:rPr>
          <w:rFonts w:eastAsia="Calibri" w:cs="Arial"/>
          <w:color w:val="000000" w:themeColor="text1"/>
          <w:sz w:val="22"/>
          <w:szCs w:val="22"/>
        </w:rPr>
      </w:pPr>
      <w:r w:rsidRPr="00426D07">
        <w:rPr>
          <w:rFonts w:eastAsia="Calibri" w:cs="Arial"/>
          <w:color w:val="000000" w:themeColor="text1"/>
          <w:sz w:val="22"/>
          <w:szCs w:val="22"/>
        </w:rPr>
        <w:t>Columbus, OH  43215-4291</w:t>
      </w:r>
    </w:p>
    <w:p w:rsidR="00426D07" w:rsidRPr="00426D07" w:rsidRDefault="00426D07" w:rsidP="00426D07">
      <w:pPr>
        <w:autoSpaceDE w:val="0"/>
        <w:autoSpaceDN w:val="0"/>
        <w:adjustRightInd w:val="0"/>
        <w:spacing w:line="240" w:lineRule="auto"/>
        <w:ind w:firstLine="0"/>
        <w:jc w:val="left"/>
        <w:rPr>
          <w:rFonts w:eastAsia="Calibri" w:cs="Arial"/>
          <w:color w:val="000000" w:themeColor="text1"/>
          <w:sz w:val="22"/>
          <w:szCs w:val="22"/>
        </w:rPr>
      </w:pPr>
      <w:r w:rsidRPr="00426D07">
        <w:rPr>
          <w:rFonts w:eastAsia="Calibri" w:cs="Arial"/>
          <w:color w:val="000000" w:themeColor="text1"/>
          <w:sz w:val="22"/>
          <w:szCs w:val="22"/>
        </w:rPr>
        <w:t>tobrien@bricker.com</w:t>
      </w:r>
    </w:p>
    <w:p w:rsidR="00426D07" w:rsidRPr="00426D07" w:rsidRDefault="00426D07" w:rsidP="00426D07">
      <w:pPr>
        <w:autoSpaceDE w:val="0"/>
        <w:autoSpaceDN w:val="0"/>
        <w:adjustRightInd w:val="0"/>
        <w:spacing w:line="240" w:lineRule="auto"/>
        <w:ind w:firstLine="0"/>
        <w:jc w:val="left"/>
        <w:rPr>
          <w:rFonts w:eastAsia="Calibri" w:cs="Arial"/>
          <w:color w:val="000000" w:themeColor="text1"/>
          <w:sz w:val="22"/>
          <w:szCs w:val="22"/>
        </w:rPr>
      </w:pPr>
    </w:p>
    <w:p w:rsidR="00426D07" w:rsidRPr="00426D07" w:rsidRDefault="00426D07" w:rsidP="00426D07">
      <w:pPr>
        <w:spacing w:line="240" w:lineRule="auto"/>
        <w:ind w:firstLine="0"/>
        <w:jc w:val="left"/>
        <w:rPr>
          <w:rFonts w:eastAsia="Calibri" w:cs="Arial"/>
          <w:b/>
          <w:smallCaps/>
          <w:color w:val="000000" w:themeColor="text1"/>
          <w:sz w:val="22"/>
          <w:szCs w:val="22"/>
        </w:rPr>
      </w:pPr>
      <w:r w:rsidRPr="00426D07">
        <w:rPr>
          <w:rFonts w:eastAsia="Calibri" w:cs="Arial"/>
          <w:b/>
          <w:smallCaps/>
          <w:color w:val="000000" w:themeColor="text1"/>
          <w:sz w:val="22"/>
          <w:szCs w:val="22"/>
        </w:rPr>
        <w:t>On Behalf of the Ohio Hospital Association</w:t>
      </w:r>
    </w:p>
    <w:p w:rsidR="00426D07" w:rsidRPr="00426D07" w:rsidRDefault="00426D07" w:rsidP="00426D07">
      <w:pPr>
        <w:spacing w:line="240" w:lineRule="auto"/>
        <w:ind w:firstLine="0"/>
        <w:jc w:val="left"/>
        <w:rPr>
          <w:rFonts w:eastAsia="Times New Roman" w:cs="Arial"/>
          <w:color w:val="000000" w:themeColor="text1"/>
          <w:sz w:val="22"/>
          <w:szCs w:val="22"/>
        </w:rPr>
      </w:pPr>
    </w:p>
    <w:p w:rsidR="00426D07" w:rsidRPr="00426D07" w:rsidRDefault="00426D07" w:rsidP="00426D07">
      <w:pPr>
        <w:spacing w:line="240" w:lineRule="auto"/>
        <w:ind w:firstLine="0"/>
        <w:jc w:val="left"/>
        <w:rPr>
          <w:rFonts w:eastAsia="Times New Roman" w:cs="Arial"/>
          <w:color w:val="000000" w:themeColor="text1"/>
          <w:sz w:val="22"/>
          <w:szCs w:val="22"/>
        </w:rPr>
      </w:pPr>
      <w:r w:rsidRPr="00426D07">
        <w:rPr>
          <w:rFonts w:eastAsia="Times New Roman" w:cs="Arial"/>
          <w:color w:val="000000" w:themeColor="text1"/>
          <w:sz w:val="22"/>
          <w:szCs w:val="22"/>
        </w:rPr>
        <w:t>Werner Margard</w:t>
      </w:r>
    </w:p>
    <w:p w:rsidR="00426D07" w:rsidRPr="00426D07" w:rsidRDefault="00426D07" w:rsidP="00426D07">
      <w:pPr>
        <w:spacing w:line="240" w:lineRule="auto"/>
        <w:ind w:firstLine="0"/>
        <w:jc w:val="left"/>
        <w:rPr>
          <w:rFonts w:eastAsia="Times New Roman" w:cs="Arial"/>
          <w:color w:val="000000" w:themeColor="text1"/>
          <w:sz w:val="22"/>
          <w:szCs w:val="22"/>
        </w:rPr>
      </w:pPr>
      <w:r w:rsidRPr="00426D07">
        <w:rPr>
          <w:rFonts w:eastAsia="Times New Roman" w:cs="Arial"/>
          <w:color w:val="000000" w:themeColor="text1"/>
          <w:sz w:val="22"/>
          <w:szCs w:val="22"/>
        </w:rPr>
        <w:t>Ryan O’Rourke</w:t>
      </w:r>
    </w:p>
    <w:p w:rsidR="00426D07" w:rsidRPr="00426D07" w:rsidRDefault="00426D07" w:rsidP="00426D07">
      <w:pPr>
        <w:tabs>
          <w:tab w:val="left" w:pos="2160"/>
          <w:tab w:val="left" w:pos="2280"/>
        </w:tabs>
        <w:spacing w:line="240" w:lineRule="auto"/>
        <w:ind w:firstLine="0"/>
        <w:jc w:val="left"/>
        <w:rPr>
          <w:rFonts w:eastAsia="Times New Roman" w:cs="Arial"/>
          <w:color w:val="000000" w:themeColor="text1"/>
          <w:sz w:val="22"/>
          <w:szCs w:val="22"/>
        </w:rPr>
      </w:pPr>
      <w:r w:rsidRPr="00426D07">
        <w:rPr>
          <w:rFonts w:eastAsia="Times New Roman" w:cs="Arial"/>
          <w:color w:val="000000" w:themeColor="text1"/>
          <w:sz w:val="22"/>
          <w:szCs w:val="22"/>
        </w:rPr>
        <w:t>Assistant Attorneys General</w:t>
      </w:r>
    </w:p>
    <w:p w:rsidR="00426D07" w:rsidRPr="00426D07" w:rsidRDefault="00426D07" w:rsidP="00426D07">
      <w:pPr>
        <w:tabs>
          <w:tab w:val="left" w:pos="2160"/>
          <w:tab w:val="left" w:pos="2280"/>
        </w:tabs>
        <w:spacing w:line="240" w:lineRule="auto"/>
        <w:ind w:firstLine="0"/>
        <w:jc w:val="left"/>
        <w:rPr>
          <w:rFonts w:eastAsia="Times New Roman" w:cs="Arial"/>
          <w:color w:val="000000" w:themeColor="text1"/>
          <w:sz w:val="22"/>
          <w:szCs w:val="22"/>
        </w:rPr>
      </w:pPr>
      <w:r w:rsidRPr="00426D07">
        <w:rPr>
          <w:rFonts w:eastAsia="Times New Roman" w:cs="Arial"/>
          <w:color w:val="000000" w:themeColor="text1"/>
          <w:sz w:val="22"/>
          <w:szCs w:val="22"/>
        </w:rPr>
        <w:t>Public Utilities Section</w:t>
      </w:r>
    </w:p>
    <w:p w:rsidR="00426D07" w:rsidRPr="00426D07" w:rsidRDefault="00426D07" w:rsidP="00426D07">
      <w:pPr>
        <w:tabs>
          <w:tab w:val="left" w:pos="2160"/>
          <w:tab w:val="left" w:pos="2280"/>
        </w:tabs>
        <w:spacing w:line="240" w:lineRule="auto"/>
        <w:ind w:firstLine="0"/>
        <w:jc w:val="left"/>
        <w:rPr>
          <w:rFonts w:eastAsia="Times New Roman" w:cs="Arial"/>
          <w:color w:val="000000" w:themeColor="text1"/>
          <w:sz w:val="22"/>
          <w:szCs w:val="22"/>
        </w:rPr>
      </w:pPr>
      <w:r w:rsidRPr="00426D07">
        <w:rPr>
          <w:rFonts w:eastAsia="Times New Roman" w:cs="Arial"/>
          <w:color w:val="000000" w:themeColor="text1"/>
          <w:sz w:val="22"/>
          <w:szCs w:val="22"/>
        </w:rPr>
        <w:t>180 E. Broad Street, 6</w:t>
      </w:r>
      <w:r w:rsidRPr="00426D07">
        <w:rPr>
          <w:rFonts w:eastAsia="Times New Roman" w:cs="Arial"/>
          <w:color w:val="000000" w:themeColor="text1"/>
          <w:sz w:val="22"/>
          <w:szCs w:val="22"/>
          <w:vertAlign w:val="superscript"/>
        </w:rPr>
        <w:t>th</w:t>
      </w:r>
      <w:r w:rsidRPr="00426D07">
        <w:rPr>
          <w:rFonts w:eastAsia="Times New Roman" w:cs="Arial"/>
          <w:color w:val="000000" w:themeColor="text1"/>
          <w:sz w:val="22"/>
          <w:szCs w:val="22"/>
        </w:rPr>
        <w:t xml:space="preserve"> Floor</w:t>
      </w:r>
    </w:p>
    <w:p w:rsidR="00426D07" w:rsidRPr="00426D07" w:rsidRDefault="00426D07" w:rsidP="00426D07">
      <w:pPr>
        <w:tabs>
          <w:tab w:val="left" w:pos="2160"/>
          <w:tab w:val="left" w:pos="2280"/>
        </w:tabs>
        <w:spacing w:line="240" w:lineRule="auto"/>
        <w:ind w:firstLine="0"/>
        <w:jc w:val="left"/>
        <w:rPr>
          <w:rFonts w:eastAsia="Times New Roman" w:cs="Arial"/>
          <w:color w:val="000000" w:themeColor="text1"/>
          <w:sz w:val="22"/>
          <w:szCs w:val="22"/>
        </w:rPr>
      </w:pPr>
      <w:r w:rsidRPr="00426D07">
        <w:rPr>
          <w:rFonts w:eastAsia="Times New Roman" w:cs="Arial"/>
          <w:color w:val="000000" w:themeColor="text1"/>
          <w:sz w:val="22"/>
          <w:szCs w:val="22"/>
        </w:rPr>
        <w:t>Columbus, OH  43215-3793</w:t>
      </w:r>
    </w:p>
    <w:p w:rsidR="00426D07" w:rsidRPr="00426D07" w:rsidRDefault="00042D12" w:rsidP="00426D07">
      <w:pPr>
        <w:tabs>
          <w:tab w:val="left" w:pos="2160"/>
          <w:tab w:val="left" w:pos="2280"/>
        </w:tabs>
        <w:spacing w:line="240" w:lineRule="auto"/>
        <w:ind w:firstLine="0"/>
        <w:jc w:val="left"/>
        <w:rPr>
          <w:rFonts w:eastAsia="Times New Roman" w:cs="Arial"/>
          <w:color w:val="000000" w:themeColor="text1"/>
          <w:sz w:val="22"/>
          <w:szCs w:val="22"/>
        </w:rPr>
      </w:pPr>
      <w:hyperlink r:id="rId36" w:history="1">
        <w:r w:rsidR="00426D07" w:rsidRPr="00426D07">
          <w:rPr>
            <w:rFonts w:eastAsia="Times New Roman" w:cs="Arial"/>
            <w:color w:val="000000" w:themeColor="text1"/>
            <w:sz w:val="22"/>
            <w:szCs w:val="22"/>
          </w:rPr>
          <w:t>werner.margard@puc.state.oh.us</w:t>
        </w:r>
      </w:hyperlink>
    </w:p>
    <w:p w:rsidR="00426D07" w:rsidRPr="00426D07" w:rsidRDefault="00426D07" w:rsidP="00426D07">
      <w:pPr>
        <w:tabs>
          <w:tab w:val="left" w:pos="2160"/>
          <w:tab w:val="left" w:pos="2280"/>
        </w:tabs>
        <w:spacing w:line="240" w:lineRule="auto"/>
        <w:ind w:firstLine="0"/>
        <w:jc w:val="left"/>
        <w:rPr>
          <w:rFonts w:eastAsia="Times New Roman" w:cs="Arial"/>
          <w:color w:val="000000" w:themeColor="text1"/>
          <w:sz w:val="22"/>
          <w:szCs w:val="22"/>
        </w:rPr>
      </w:pPr>
      <w:r w:rsidRPr="00426D07">
        <w:rPr>
          <w:rFonts w:eastAsia="Times New Roman" w:cs="Arial"/>
          <w:color w:val="000000" w:themeColor="text1"/>
          <w:sz w:val="22"/>
          <w:szCs w:val="22"/>
        </w:rPr>
        <w:t>ryan.o'rourke@puc.state.oh.us</w:t>
      </w:r>
    </w:p>
    <w:p w:rsidR="00426D07" w:rsidRPr="00426D07" w:rsidRDefault="00426D07" w:rsidP="00426D07">
      <w:pPr>
        <w:tabs>
          <w:tab w:val="left" w:pos="2160"/>
          <w:tab w:val="left" w:pos="2280"/>
        </w:tabs>
        <w:spacing w:line="240" w:lineRule="auto"/>
        <w:ind w:firstLine="0"/>
        <w:jc w:val="left"/>
        <w:rPr>
          <w:rFonts w:eastAsia="Times New Roman" w:cs="Arial"/>
          <w:color w:val="000000" w:themeColor="text1"/>
          <w:sz w:val="22"/>
          <w:szCs w:val="22"/>
        </w:rPr>
      </w:pPr>
    </w:p>
    <w:p w:rsidR="00426D07" w:rsidRPr="00426D07" w:rsidRDefault="00426D07" w:rsidP="00426D07">
      <w:pPr>
        <w:tabs>
          <w:tab w:val="left" w:pos="2160"/>
          <w:tab w:val="left" w:pos="2280"/>
        </w:tabs>
        <w:spacing w:line="240" w:lineRule="auto"/>
        <w:ind w:firstLine="0"/>
        <w:jc w:val="left"/>
        <w:rPr>
          <w:rFonts w:eastAsia="Times New Roman" w:cs="Arial"/>
          <w:b/>
          <w:smallCaps/>
          <w:color w:val="000000" w:themeColor="text1"/>
          <w:sz w:val="22"/>
          <w:szCs w:val="22"/>
        </w:rPr>
      </w:pPr>
      <w:r w:rsidRPr="00426D07">
        <w:rPr>
          <w:rFonts w:eastAsia="Times New Roman" w:cs="Arial"/>
          <w:b/>
          <w:smallCaps/>
          <w:color w:val="000000" w:themeColor="text1"/>
          <w:sz w:val="22"/>
          <w:szCs w:val="22"/>
        </w:rPr>
        <w:t>On Behalf of the Staff of the Public Utilities Commission of Ohio</w:t>
      </w:r>
    </w:p>
    <w:p w:rsidR="00426D07" w:rsidRPr="00426D07" w:rsidRDefault="00426D07" w:rsidP="00426D07">
      <w:pPr>
        <w:tabs>
          <w:tab w:val="left" w:pos="2160"/>
          <w:tab w:val="left" w:pos="2280"/>
        </w:tabs>
        <w:spacing w:line="240" w:lineRule="auto"/>
        <w:ind w:firstLine="0"/>
        <w:jc w:val="left"/>
        <w:rPr>
          <w:rFonts w:eastAsia="Times New Roman" w:cs="Arial"/>
          <w:color w:val="000000" w:themeColor="text1"/>
          <w:sz w:val="22"/>
          <w:szCs w:val="22"/>
        </w:rPr>
      </w:pPr>
    </w:p>
    <w:p w:rsidR="00426D07" w:rsidRPr="00426D07" w:rsidRDefault="00426D07" w:rsidP="00426D07">
      <w:pPr>
        <w:tabs>
          <w:tab w:val="left" w:pos="2160"/>
          <w:tab w:val="left" w:pos="2280"/>
        </w:tabs>
        <w:spacing w:line="240" w:lineRule="auto"/>
        <w:ind w:firstLine="0"/>
        <w:jc w:val="left"/>
        <w:rPr>
          <w:rFonts w:eastAsia="Times New Roman" w:cs="Arial"/>
          <w:color w:val="000000" w:themeColor="text1"/>
          <w:sz w:val="22"/>
          <w:szCs w:val="22"/>
        </w:rPr>
      </w:pPr>
      <w:r w:rsidRPr="00426D07">
        <w:rPr>
          <w:rFonts w:eastAsia="Times New Roman" w:cs="Arial"/>
          <w:color w:val="000000" w:themeColor="text1"/>
          <w:sz w:val="22"/>
          <w:szCs w:val="22"/>
        </w:rPr>
        <w:br w:type="column"/>
      </w:r>
      <w:r w:rsidRPr="00426D07">
        <w:rPr>
          <w:rFonts w:eastAsia="Times New Roman" w:cs="Arial"/>
          <w:color w:val="000000" w:themeColor="text1"/>
          <w:sz w:val="22"/>
          <w:szCs w:val="22"/>
        </w:rPr>
        <w:lastRenderedPageBreak/>
        <w:t>Sarah Parrott</w:t>
      </w:r>
    </w:p>
    <w:p w:rsidR="00426D07" w:rsidRPr="00426D07" w:rsidRDefault="00426D07" w:rsidP="00426D07">
      <w:pPr>
        <w:tabs>
          <w:tab w:val="left" w:pos="2160"/>
          <w:tab w:val="left" w:pos="2280"/>
        </w:tabs>
        <w:spacing w:line="240" w:lineRule="auto"/>
        <w:ind w:firstLine="0"/>
        <w:jc w:val="left"/>
        <w:rPr>
          <w:rFonts w:eastAsia="Times New Roman" w:cs="Arial"/>
          <w:color w:val="000000" w:themeColor="text1"/>
          <w:sz w:val="22"/>
          <w:szCs w:val="22"/>
        </w:rPr>
      </w:pPr>
      <w:r w:rsidRPr="00426D07">
        <w:rPr>
          <w:rFonts w:eastAsia="Times New Roman" w:cs="Arial"/>
          <w:color w:val="000000" w:themeColor="text1"/>
          <w:sz w:val="22"/>
          <w:szCs w:val="22"/>
        </w:rPr>
        <w:t>Jonathan Tauber</w:t>
      </w:r>
    </w:p>
    <w:p w:rsidR="00426D07" w:rsidRPr="00426D07" w:rsidRDefault="00426D07" w:rsidP="00426D07">
      <w:pPr>
        <w:tabs>
          <w:tab w:val="left" w:pos="2160"/>
          <w:tab w:val="left" w:pos="2280"/>
        </w:tabs>
        <w:spacing w:line="240" w:lineRule="auto"/>
        <w:ind w:firstLine="0"/>
        <w:jc w:val="left"/>
        <w:rPr>
          <w:rFonts w:eastAsia="Times New Roman" w:cs="Arial"/>
          <w:color w:val="000000" w:themeColor="text1"/>
          <w:sz w:val="22"/>
          <w:szCs w:val="22"/>
        </w:rPr>
      </w:pPr>
      <w:r w:rsidRPr="00426D07">
        <w:rPr>
          <w:rFonts w:eastAsia="Times New Roman" w:cs="Arial"/>
          <w:color w:val="000000" w:themeColor="text1"/>
          <w:sz w:val="22"/>
          <w:szCs w:val="22"/>
        </w:rPr>
        <w:t>Attorney Examiners</w:t>
      </w:r>
    </w:p>
    <w:p w:rsidR="00426D07" w:rsidRPr="00426D07" w:rsidRDefault="00426D07" w:rsidP="00426D07">
      <w:pPr>
        <w:tabs>
          <w:tab w:val="left" w:pos="2160"/>
          <w:tab w:val="left" w:pos="2280"/>
        </w:tabs>
        <w:spacing w:line="240" w:lineRule="auto"/>
        <w:ind w:firstLine="0"/>
        <w:jc w:val="left"/>
        <w:rPr>
          <w:rFonts w:eastAsia="Times New Roman" w:cs="Arial"/>
          <w:color w:val="000000" w:themeColor="text1"/>
          <w:sz w:val="22"/>
          <w:szCs w:val="22"/>
        </w:rPr>
      </w:pPr>
      <w:r w:rsidRPr="00426D07">
        <w:rPr>
          <w:rFonts w:eastAsia="Times New Roman" w:cs="Arial"/>
          <w:color w:val="000000" w:themeColor="text1"/>
          <w:sz w:val="22"/>
          <w:szCs w:val="22"/>
        </w:rPr>
        <w:t>Public Utilities Commission of Ohio</w:t>
      </w:r>
    </w:p>
    <w:p w:rsidR="00426D07" w:rsidRPr="00426D07" w:rsidRDefault="00426D07" w:rsidP="00426D07">
      <w:pPr>
        <w:tabs>
          <w:tab w:val="left" w:pos="2160"/>
          <w:tab w:val="left" w:pos="2280"/>
        </w:tabs>
        <w:spacing w:line="240" w:lineRule="auto"/>
        <w:ind w:firstLine="0"/>
        <w:jc w:val="left"/>
        <w:rPr>
          <w:rFonts w:eastAsia="Times New Roman" w:cs="Arial"/>
          <w:color w:val="000000" w:themeColor="text1"/>
          <w:sz w:val="22"/>
          <w:szCs w:val="22"/>
        </w:rPr>
      </w:pPr>
      <w:r w:rsidRPr="00426D07">
        <w:rPr>
          <w:rFonts w:eastAsia="Times New Roman" w:cs="Arial"/>
          <w:color w:val="000000" w:themeColor="text1"/>
          <w:sz w:val="22"/>
          <w:szCs w:val="22"/>
        </w:rPr>
        <w:t>180 E. Broad Street, 12</w:t>
      </w:r>
      <w:r w:rsidRPr="00426D07">
        <w:rPr>
          <w:rFonts w:eastAsia="Times New Roman" w:cs="Arial"/>
          <w:color w:val="000000" w:themeColor="text1"/>
          <w:sz w:val="22"/>
          <w:szCs w:val="22"/>
          <w:vertAlign w:val="superscript"/>
        </w:rPr>
        <w:t>th</w:t>
      </w:r>
      <w:r w:rsidRPr="00426D07">
        <w:rPr>
          <w:rFonts w:eastAsia="Times New Roman" w:cs="Arial"/>
          <w:color w:val="000000" w:themeColor="text1"/>
          <w:sz w:val="22"/>
          <w:szCs w:val="22"/>
        </w:rPr>
        <w:t xml:space="preserve"> Floor</w:t>
      </w:r>
    </w:p>
    <w:p w:rsidR="00426D07" w:rsidRPr="00426D07" w:rsidRDefault="00426D07" w:rsidP="00426D07">
      <w:pPr>
        <w:tabs>
          <w:tab w:val="left" w:pos="2160"/>
          <w:tab w:val="left" w:pos="2280"/>
        </w:tabs>
        <w:spacing w:line="240" w:lineRule="auto"/>
        <w:ind w:firstLine="0"/>
        <w:jc w:val="left"/>
        <w:rPr>
          <w:rFonts w:eastAsia="Times New Roman" w:cs="Arial"/>
          <w:color w:val="000000" w:themeColor="text1"/>
          <w:sz w:val="22"/>
          <w:szCs w:val="22"/>
        </w:rPr>
      </w:pPr>
      <w:r w:rsidRPr="00426D07">
        <w:rPr>
          <w:rFonts w:eastAsia="Times New Roman" w:cs="Arial"/>
          <w:color w:val="000000" w:themeColor="text1"/>
          <w:sz w:val="22"/>
          <w:szCs w:val="22"/>
        </w:rPr>
        <w:t>Columbus, OH  43215-3793</w:t>
      </w:r>
    </w:p>
    <w:p w:rsidR="00426D07" w:rsidRPr="00426D07" w:rsidRDefault="00426D07" w:rsidP="00426D07">
      <w:pPr>
        <w:tabs>
          <w:tab w:val="left" w:pos="2160"/>
          <w:tab w:val="left" w:pos="2280"/>
        </w:tabs>
        <w:spacing w:line="240" w:lineRule="auto"/>
        <w:ind w:firstLine="0"/>
        <w:jc w:val="left"/>
        <w:rPr>
          <w:rFonts w:eastAsia="Times New Roman" w:cs="Arial"/>
          <w:color w:val="000000" w:themeColor="text1"/>
          <w:sz w:val="22"/>
          <w:szCs w:val="22"/>
        </w:rPr>
      </w:pPr>
      <w:r w:rsidRPr="00426D07">
        <w:rPr>
          <w:rFonts w:eastAsia="Times New Roman" w:cs="Arial"/>
          <w:color w:val="000000" w:themeColor="text1"/>
          <w:sz w:val="22"/>
          <w:szCs w:val="22"/>
        </w:rPr>
        <w:t>Sarah.Parrot@puc.state.oh.us</w:t>
      </w:r>
    </w:p>
    <w:p w:rsidR="00426D07" w:rsidRPr="00426D07" w:rsidRDefault="00042D12" w:rsidP="00426D07">
      <w:pPr>
        <w:tabs>
          <w:tab w:val="left" w:pos="2160"/>
          <w:tab w:val="left" w:pos="2280"/>
        </w:tabs>
        <w:spacing w:line="240" w:lineRule="auto"/>
        <w:ind w:firstLine="0"/>
        <w:jc w:val="left"/>
        <w:rPr>
          <w:rFonts w:eastAsia="Times New Roman" w:cs="Arial"/>
          <w:color w:val="000000" w:themeColor="text1"/>
          <w:sz w:val="22"/>
          <w:szCs w:val="22"/>
        </w:rPr>
      </w:pPr>
      <w:hyperlink r:id="rId37" w:history="1">
        <w:r w:rsidR="00426D07" w:rsidRPr="00426D07">
          <w:rPr>
            <w:rFonts w:eastAsia="Times New Roman" w:cs="Arial"/>
            <w:color w:val="000000" w:themeColor="text1"/>
            <w:sz w:val="22"/>
            <w:szCs w:val="22"/>
          </w:rPr>
          <w:t>jonathan.tauber@puc.state.oh.us</w:t>
        </w:r>
      </w:hyperlink>
    </w:p>
    <w:p w:rsidR="00426D07" w:rsidRPr="00426D07" w:rsidRDefault="00426D07" w:rsidP="00426D07">
      <w:pPr>
        <w:tabs>
          <w:tab w:val="left" w:pos="2160"/>
          <w:tab w:val="left" w:pos="2280"/>
        </w:tabs>
        <w:spacing w:line="240" w:lineRule="auto"/>
        <w:ind w:firstLine="0"/>
        <w:jc w:val="left"/>
        <w:rPr>
          <w:rFonts w:eastAsia="Times New Roman" w:cs="Arial"/>
          <w:color w:val="000000" w:themeColor="text1"/>
          <w:sz w:val="22"/>
          <w:szCs w:val="22"/>
        </w:rPr>
      </w:pPr>
    </w:p>
    <w:p w:rsidR="00426D07" w:rsidRPr="00426D07" w:rsidRDefault="00426D07" w:rsidP="00426D07">
      <w:pPr>
        <w:tabs>
          <w:tab w:val="left" w:pos="2160"/>
          <w:tab w:val="left" w:pos="2280"/>
        </w:tabs>
        <w:spacing w:line="240" w:lineRule="auto"/>
        <w:ind w:firstLine="0"/>
        <w:jc w:val="left"/>
        <w:rPr>
          <w:rFonts w:eastAsia="Times New Roman" w:cs="Arial"/>
          <w:b/>
          <w:smallCaps/>
          <w:color w:val="000000" w:themeColor="text1"/>
          <w:sz w:val="22"/>
          <w:szCs w:val="22"/>
        </w:rPr>
      </w:pPr>
      <w:r w:rsidRPr="00426D07">
        <w:rPr>
          <w:rFonts w:eastAsia="Times New Roman" w:cs="Arial"/>
          <w:b/>
          <w:smallCaps/>
          <w:color w:val="000000" w:themeColor="text1"/>
          <w:sz w:val="22"/>
          <w:szCs w:val="22"/>
        </w:rPr>
        <w:t>Attorney Examiners</w:t>
      </w:r>
    </w:p>
    <w:p w:rsidR="00426D07" w:rsidRPr="00426D07" w:rsidRDefault="00426D07" w:rsidP="00426D07">
      <w:pPr>
        <w:spacing w:line="240" w:lineRule="auto"/>
        <w:ind w:firstLine="0"/>
        <w:jc w:val="left"/>
        <w:rPr>
          <w:rFonts w:eastAsia="Times New Roman" w:cs="Arial"/>
          <w:color w:val="000000" w:themeColor="text1"/>
          <w:sz w:val="22"/>
          <w:szCs w:val="22"/>
        </w:rPr>
      </w:pPr>
    </w:p>
    <w:p w:rsidR="00426D07" w:rsidRPr="00426D07" w:rsidRDefault="00426D07" w:rsidP="00426D07">
      <w:pPr>
        <w:tabs>
          <w:tab w:val="left" w:pos="2160"/>
          <w:tab w:val="left" w:pos="2280"/>
        </w:tabs>
        <w:spacing w:line="240" w:lineRule="auto"/>
        <w:ind w:firstLine="0"/>
        <w:jc w:val="left"/>
        <w:rPr>
          <w:rFonts w:eastAsia="Times New Roman" w:cs="Arial"/>
          <w:b/>
          <w:smallCaps/>
          <w:color w:val="000000" w:themeColor="text1"/>
          <w:sz w:val="22"/>
          <w:szCs w:val="22"/>
        </w:rPr>
      </w:pPr>
    </w:p>
    <w:p w:rsidR="00426D07" w:rsidRPr="00426D07" w:rsidRDefault="00426D07" w:rsidP="00426D07">
      <w:pPr>
        <w:spacing w:line="240" w:lineRule="auto"/>
        <w:ind w:firstLine="0"/>
        <w:jc w:val="left"/>
        <w:rPr>
          <w:rFonts w:ascii="Times New Roman" w:eastAsia="Times New Roman" w:hAnsi="Times New Roman" w:cs="Times New Roman"/>
        </w:rPr>
      </w:pPr>
    </w:p>
    <w:p w:rsidR="00426D07" w:rsidRDefault="00426D07" w:rsidP="00426D07">
      <w:pPr>
        <w:ind w:firstLine="0"/>
      </w:pPr>
    </w:p>
    <w:sectPr w:rsidR="00426D07" w:rsidSect="00FB6672">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2FB" w:rsidRDefault="00BF62FB" w:rsidP="00BF62FB">
      <w:pPr>
        <w:spacing w:line="240" w:lineRule="auto"/>
      </w:pPr>
      <w:r>
        <w:separator/>
      </w:r>
    </w:p>
  </w:endnote>
  <w:endnote w:type="continuationSeparator" w:id="0">
    <w:p w:rsidR="00BF62FB" w:rsidRDefault="00BF62FB" w:rsidP="00BF62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8E" w:rsidRDefault="0036078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42" w:rsidRDefault="00042D12">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42" w:rsidRPr="00F16EE5" w:rsidRDefault="00042D12" w:rsidP="00905313">
    <w:pPr>
      <w:pStyle w:val="Footer"/>
      <w:ind w:firstLine="0"/>
    </w:pPr>
    <w:r w:rsidRPr="00042D12">
      <w:rPr>
        <w:noProof/>
        <w:sz w:val="16"/>
      </w:rPr>
      <w:t>{C43614:2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42" w:rsidRPr="00F16EE5" w:rsidRDefault="00042D12">
    <w:pPr>
      <w:pStyle w:val="Footer"/>
    </w:pPr>
    <w:r w:rsidRPr="00042D12">
      <w:rPr>
        <w:noProof/>
        <w:sz w:val="16"/>
      </w:rPr>
      <w:t>{C43614:2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A0E" w:rsidRPr="00131CF2" w:rsidRDefault="00042D12" w:rsidP="009D0CAF">
    <w:pPr>
      <w:pStyle w:val="Footer"/>
      <w:tabs>
        <w:tab w:val="clear" w:pos="4680"/>
        <w:tab w:val="center" w:pos="4320"/>
      </w:tabs>
      <w:ind w:firstLine="0"/>
    </w:pPr>
    <w:r w:rsidRPr="00042D12">
      <w:rPr>
        <w:noProof/>
        <w:sz w:val="16"/>
      </w:rPr>
      <w:t>{C43614:2 }</w:t>
    </w:r>
    <w:sdt>
      <w:sdtPr>
        <w:id w:val="1040087528"/>
        <w:docPartObj>
          <w:docPartGallery w:val="Page Numbers (Bottom of Page)"/>
          <w:docPartUnique/>
        </w:docPartObj>
      </w:sdtPr>
      <w:sdtEndPr>
        <w:rPr>
          <w:noProof/>
        </w:rPr>
      </w:sdtEndPr>
      <w:sdtContent>
        <w:r w:rsidR="009D0CAF">
          <w:tab/>
        </w:r>
        <w:r w:rsidR="00470ED0" w:rsidRPr="00131CF2">
          <w:fldChar w:fldCharType="begin"/>
        </w:r>
        <w:r w:rsidR="00470ED0" w:rsidRPr="00131CF2">
          <w:instrText xml:space="preserve"> PAGE   \* MERGEFORMAT </w:instrText>
        </w:r>
        <w:r w:rsidR="00470ED0" w:rsidRPr="00131CF2">
          <w:fldChar w:fldCharType="separate"/>
        </w:r>
        <w:r w:rsidR="00367438">
          <w:rPr>
            <w:noProof/>
          </w:rPr>
          <w:t>7</w:t>
        </w:r>
        <w:r w:rsidR="00470ED0" w:rsidRPr="00131CF2">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A0E" w:rsidRPr="00131CF2" w:rsidRDefault="00042D12" w:rsidP="00470ED0">
    <w:pPr>
      <w:pStyle w:val="Footer"/>
      <w:tabs>
        <w:tab w:val="clear" w:pos="4680"/>
        <w:tab w:val="center" w:pos="4320"/>
      </w:tabs>
      <w:ind w:firstLine="0"/>
    </w:pPr>
    <w:r w:rsidRPr="00042D12">
      <w:rPr>
        <w:noProof/>
        <w:sz w:val="16"/>
      </w:rPr>
      <w:t>{C43614:2 }</w:t>
    </w:r>
    <w:r w:rsidR="00470ED0" w:rsidRPr="00131CF2">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07" w:rsidRDefault="00426D0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07" w:rsidRPr="001F6B30" w:rsidRDefault="00042D12" w:rsidP="00C3640E">
    <w:pPr>
      <w:pStyle w:val="Footer"/>
      <w:ind w:firstLine="0"/>
    </w:pPr>
    <w:r w:rsidRPr="00042D12">
      <w:rPr>
        <w:noProof/>
        <w:sz w:val="16"/>
      </w:rPr>
      <w:t>{C43614:2 }</w:t>
    </w:r>
    <w:sdt>
      <w:sdtPr>
        <w:id w:val="-485930272"/>
        <w:docPartObj>
          <w:docPartGallery w:val="Page Numbers (Bottom of Page)"/>
          <w:docPartUnique/>
        </w:docPartObj>
      </w:sdtPr>
      <w:sdtEndPr>
        <w:rPr>
          <w:noProof/>
        </w:rPr>
      </w:sdtEndPr>
      <w:sdtContent>
        <w:r w:rsidR="00426D07">
          <w:tab/>
        </w:r>
        <w:r w:rsidR="00426D07" w:rsidRPr="001F6B30">
          <w:fldChar w:fldCharType="begin"/>
        </w:r>
        <w:r w:rsidR="00426D07" w:rsidRPr="001F6B30">
          <w:instrText xml:space="preserve"> PAGE   \* MERGEFORMAT </w:instrText>
        </w:r>
        <w:r w:rsidR="00426D07" w:rsidRPr="001F6B30">
          <w:fldChar w:fldCharType="separate"/>
        </w:r>
        <w:r>
          <w:rPr>
            <w:noProof/>
          </w:rPr>
          <w:t>7</w:t>
        </w:r>
        <w:r w:rsidR="00426D07" w:rsidRPr="001F6B30">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07" w:rsidRPr="001F6B30" w:rsidRDefault="00042D12" w:rsidP="00C3640E">
    <w:pPr>
      <w:pStyle w:val="Footer"/>
      <w:ind w:firstLine="0"/>
    </w:pPr>
    <w:r w:rsidRPr="00042D12">
      <w:rPr>
        <w:noProof/>
        <w:sz w:val="16"/>
      </w:rPr>
      <w:t>{C43614:2 }</w:t>
    </w:r>
    <w:r w:rsidR="00426D07">
      <w:rPr>
        <w:noProof/>
        <w:sz w:val="16"/>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07" w:rsidRDefault="00426D0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07" w:rsidRDefault="00042D12">
    <w:pPr>
      <w:pStyle w:val="Footer"/>
    </w:pPr>
    <w:r w:rsidRPr="00042D12">
      <w:rPr>
        <w:noProof/>
        <w:sz w:val="16"/>
      </w:rPr>
      <w:t>{C43614:2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07" w:rsidRDefault="00042D12" w:rsidP="00905313">
    <w:pPr>
      <w:pStyle w:val="Footer"/>
      <w:ind w:firstLine="0"/>
    </w:pPr>
    <w:r w:rsidRPr="00042D12">
      <w:rPr>
        <w:noProof/>
        <w:sz w:val="16"/>
      </w:rPr>
      <w:t>{C43614:2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2FB" w:rsidRDefault="00BF62FB" w:rsidP="00BF62FB">
      <w:pPr>
        <w:spacing w:line="240" w:lineRule="auto"/>
        <w:rPr>
          <w:noProof/>
        </w:rPr>
      </w:pPr>
      <w:r>
        <w:rPr>
          <w:noProof/>
        </w:rPr>
        <w:separator/>
      </w:r>
    </w:p>
  </w:footnote>
  <w:footnote w:type="continuationSeparator" w:id="0">
    <w:p w:rsidR="00BF62FB" w:rsidRDefault="00BF62FB" w:rsidP="00BF62FB">
      <w:pPr>
        <w:spacing w:line="240" w:lineRule="auto"/>
      </w:pPr>
      <w:r>
        <w:continuationSeparator/>
      </w:r>
    </w:p>
  </w:footnote>
  <w:footnote w:id="1">
    <w:p w:rsidR="004A719F" w:rsidRPr="006017E5" w:rsidRDefault="004A719F" w:rsidP="00CF1758">
      <w:pPr>
        <w:pStyle w:val="FootnoteText"/>
        <w:spacing w:after="120"/>
        <w:ind w:firstLine="0"/>
      </w:pPr>
      <w:r w:rsidRPr="006017E5">
        <w:rPr>
          <w:rStyle w:val="FootnoteReference"/>
        </w:rPr>
        <w:footnoteRef/>
      </w:r>
      <w:r>
        <w:t xml:space="preserve"> </w:t>
      </w:r>
      <w:r w:rsidRPr="00BC1506">
        <w:rPr>
          <w:i/>
        </w:rPr>
        <w:t>In the Matter of the Application of Columbus Southern Power Company and Ohio Power Company for Authority to Establish a Standard Service Offer Pursuant to Section 4928.143, Revised Code, in the Form of an Electric Security Plan,</w:t>
      </w:r>
      <w:r w:rsidRPr="006017E5">
        <w:t xml:space="preserve"> Case No</w:t>
      </w:r>
      <w:r w:rsidR="007D0B63">
        <w:t>s</w:t>
      </w:r>
      <w:r w:rsidRPr="006017E5">
        <w:t xml:space="preserve">. 11-346-EL-SSO, </w:t>
      </w:r>
      <w:r w:rsidRPr="00BC1506">
        <w:rPr>
          <w:i/>
        </w:rPr>
        <w:t>et al.,</w:t>
      </w:r>
      <w:r w:rsidRPr="006017E5">
        <w:t xml:space="preserve"> Opinion and Order at 68 (Aug. 8, 2012) (</w:t>
      </w:r>
      <w:r w:rsidR="007D0B63">
        <w:t>“</w:t>
      </w:r>
      <w:r w:rsidRPr="006017E5">
        <w:t>ESP II Order</w:t>
      </w:r>
      <w:r w:rsidR="007D0B63">
        <w:t>”</w:t>
      </w:r>
      <w:r w:rsidRPr="006017E5">
        <w:t>).</w:t>
      </w:r>
    </w:p>
  </w:footnote>
  <w:footnote w:id="2">
    <w:p w:rsidR="004A719F" w:rsidRPr="006017E5" w:rsidRDefault="004A719F" w:rsidP="00CF1758">
      <w:pPr>
        <w:pStyle w:val="FootnoteText"/>
        <w:spacing w:after="120"/>
        <w:ind w:firstLine="0"/>
      </w:pPr>
      <w:r w:rsidRPr="006017E5">
        <w:rPr>
          <w:rStyle w:val="FootnoteReference"/>
        </w:rPr>
        <w:footnoteRef/>
      </w:r>
      <w:r w:rsidRPr="006017E5">
        <w:t xml:space="preserve"> </w:t>
      </w:r>
      <w:r w:rsidRPr="006017E5">
        <w:rPr>
          <w:i/>
        </w:rPr>
        <w:t>Id.</w:t>
      </w:r>
      <w:r w:rsidRPr="006017E5">
        <w:t xml:space="preserve"> at 68-69.</w:t>
      </w:r>
    </w:p>
  </w:footnote>
  <w:footnote w:id="3">
    <w:p w:rsidR="004A719F" w:rsidRPr="006017E5" w:rsidRDefault="004A719F" w:rsidP="00CF1758">
      <w:pPr>
        <w:pStyle w:val="FootnoteText"/>
        <w:spacing w:after="120"/>
        <w:ind w:firstLine="0"/>
      </w:pPr>
      <w:r w:rsidRPr="006017E5">
        <w:rPr>
          <w:rStyle w:val="FootnoteReference"/>
        </w:rPr>
        <w:footnoteRef/>
      </w:r>
      <w:r w:rsidRPr="006017E5">
        <w:t xml:space="preserve"> Application (Dec. 21, 2012).</w:t>
      </w:r>
    </w:p>
  </w:footnote>
  <w:footnote w:id="4">
    <w:p w:rsidR="004A719F" w:rsidRPr="006017E5" w:rsidRDefault="004A719F" w:rsidP="00CF1758">
      <w:pPr>
        <w:pStyle w:val="FootnoteText"/>
        <w:spacing w:after="120"/>
        <w:ind w:firstLine="0"/>
      </w:pPr>
      <w:r w:rsidRPr="006017E5">
        <w:rPr>
          <w:rStyle w:val="FootnoteReference"/>
        </w:rPr>
        <w:footnoteRef/>
      </w:r>
      <w:r w:rsidRPr="006017E5">
        <w:t xml:space="preserve"> </w:t>
      </w:r>
      <w:r w:rsidRPr="00BC1506">
        <w:rPr>
          <w:i/>
        </w:rPr>
        <w:t>Id</w:t>
      </w:r>
      <w:r w:rsidRPr="006017E5">
        <w:t>., Exhibit E.</w:t>
      </w:r>
    </w:p>
  </w:footnote>
  <w:footnote w:id="5">
    <w:p w:rsidR="004A719F" w:rsidRPr="006017E5" w:rsidRDefault="004A719F" w:rsidP="00CF1758">
      <w:pPr>
        <w:pStyle w:val="FootnoteText"/>
        <w:spacing w:after="120"/>
        <w:ind w:firstLine="0"/>
      </w:pPr>
      <w:r w:rsidRPr="006017E5">
        <w:rPr>
          <w:rStyle w:val="FootnoteReference"/>
        </w:rPr>
        <w:footnoteRef/>
      </w:r>
      <w:r w:rsidRPr="006017E5">
        <w:t xml:space="preserve"> Letter from Stephen T. Nourse to Barcy F. McNeil (Mar. 1, 2013).</w:t>
      </w:r>
    </w:p>
  </w:footnote>
  <w:footnote w:id="6">
    <w:p w:rsidR="004A719F" w:rsidRPr="006017E5" w:rsidRDefault="004A719F" w:rsidP="00CF1758">
      <w:pPr>
        <w:pStyle w:val="FootnoteText"/>
        <w:spacing w:after="120"/>
        <w:ind w:firstLine="0"/>
      </w:pPr>
      <w:r w:rsidRPr="006017E5">
        <w:rPr>
          <w:rStyle w:val="FootnoteReference"/>
        </w:rPr>
        <w:footnoteRef/>
      </w:r>
      <w:r w:rsidRPr="006017E5">
        <w:t xml:space="preserve"> Motion and Memorandum in Support of Ohio Power Company to Record a Carrying Cost on the 2012 Storm Recovery Costs Subject to the Amount Determined at the Outcome of the Proceeding (Aug. 22, 2013).</w:t>
      </w:r>
    </w:p>
  </w:footnote>
  <w:footnote w:id="7">
    <w:p w:rsidR="004A719F" w:rsidRPr="006017E5" w:rsidRDefault="004A719F" w:rsidP="00CF1758">
      <w:pPr>
        <w:pStyle w:val="FootnoteText"/>
        <w:spacing w:after="120"/>
        <w:ind w:firstLine="0"/>
      </w:pPr>
      <w:r w:rsidRPr="006017E5">
        <w:rPr>
          <w:rStyle w:val="FootnoteReference"/>
        </w:rPr>
        <w:footnoteRef/>
      </w:r>
      <w:r w:rsidRPr="006017E5">
        <w:t xml:space="preserve"> Comments of the Staff of the Public Utilities Commission of Ohio at 4 (May 29, 2013).</w:t>
      </w:r>
    </w:p>
  </w:footnote>
  <w:footnote w:id="8">
    <w:p w:rsidR="004A719F" w:rsidRPr="006017E5" w:rsidRDefault="004A719F" w:rsidP="00CF1758">
      <w:pPr>
        <w:pStyle w:val="FootnoteText"/>
        <w:spacing w:after="120"/>
        <w:ind w:firstLine="0"/>
      </w:pPr>
      <w:r w:rsidRPr="006017E5">
        <w:rPr>
          <w:rStyle w:val="FootnoteReference"/>
        </w:rPr>
        <w:footnoteRef/>
      </w:r>
      <w:r w:rsidRPr="006017E5">
        <w:t xml:space="preserve"> Non-Binding List of Issues of the Staff of the Public Utilities Commission of Ohio at unnumbered page 5 (Nov. 4, 2013).</w:t>
      </w:r>
    </w:p>
  </w:footnote>
  <w:footnote w:id="9">
    <w:p w:rsidR="004A719F" w:rsidRPr="006017E5" w:rsidRDefault="004A719F" w:rsidP="00CF1758">
      <w:pPr>
        <w:pStyle w:val="FootnoteText"/>
        <w:spacing w:after="120"/>
        <w:ind w:firstLine="0"/>
      </w:pPr>
      <w:r w:rsidRPr="006017E5">
        <w:rPr>
          <w:rStyle w:val="FootnoteReference"/>
        </w:rPr>
        <w:footnoteRef/>
      </w:r>
      <w:r w:rsidRPr="006017E5">
        <w:t xml:space="preserve"> </w:t>
      </w:r>
      <w:r w:rsidRPr="0039535A">
        <w:rPr>
          <w:i/>
        </w:rPr>
        <w:t>Id</w:t>
      </w:r>
      <w:r w:rsidRPr="006017E5">
        <w:t>.</w:t>
      </w:r>
    </w:p>
  </w:footnote>
  <w:footnote w:id="10">
    <w:p w:rsidR="004A719F" w:rsidRPr="006017E5" w:rsidRDefault="004A719F" w:rsidP="00CF1758">
      <w:pPr>
        <w:pStyle w:val="FootnoteText"/>
        <w:spacing w:after="120"/>
        <w:ind w:firstLine="0"/>
      </w:pPr>
      <w:r w:rsidRPr="006017E5">
        <w:rPr>
          <w:rStyle w:val="FootnoteReference"/>
        </w:rPr>
        <w:footnoteRef/>
      </w:r>
      <w:r w:rsidRPr="006017E5">
        <w:t xml:space="preserve"> Entry at 2 (Nov. 26, 2013).</w:t>
      </w:r>
    </w:p>
  </w:footnote>
  <w:footnote w:id="11">
    <w:p w:rsidR="004A719F" w:rsidRPr="006017E5" w:rsidRDefault="004A719F" w:rsidP="00CF1758">
      <w:pPr>
        <w:pStyle w:val="FootnoteText"/>
        <w:spacing w:after="120"/>
        <w:ind w:firstLine="0"/>
      </w:pPr>
      <w:r w:rsidRPr="006017E5">
        <w:rPr>
          <w:rStyle w:val="FootnoteReference"/>
        </w:rPr>
        <w:footnoteRef/>
      </w:r>
      <w:r w:rsidRPr="006017E5">
        <w:t xml:space="preserve"> Joint Stipulation and Recommendation (December 6, 2013)</w:t>
      </w:r>
      <w:r w:rsidR="00895A0E" w:rsidRPr="00895A0E">
        <w:t xml:space="preserve"> </w:t>
      </w:r>
      <w:r w:rsidR="00895A0E" w:rsidRPr="004A719F">
        <w:t>(“Stipulation”)</w:t>
      </w:r>
      <w:r w:rsidRPr="006017E5">
        <w:t>.</w:t>
      </w:r>
    </w:p>
  </w:footnote>
  <w:footnote w:id="12">
    <w:p w:rsidR="007B6CDA" w:rsidRPr="006017E5" w:rsidRDefault="007B6CDA" w:rsidP="00CF1758">
      <w:pPr>
        <w:pStyle w:val="FootnoteText"/>
        <w:spacing w:after="120"/>
        <w:ind w:firstLine="0"/>
      </w:pPr>
      <w:r w:rsidRPr="006017E5">
        <w:rPr>
          <w:rStyle w:val="FootnoteReference"/>
        </w:rPr>
        <w:footnoteRef/>
      </w:r>
      <w:r w:rsidRPr="006017E5">
        <w:t xml:space="preserve"> </w:t>
      </w:r>
      <w:r w:rsidRPr="0039535A">
        <w:rPr>
          <w:i/>
        </w:rPr>
        <w:t>Id</w:t>
      </w:r>
      <w:r w:rsidRPr="006017E5">
        <w:t>. at 3.</w:t>
      </w:r>
    </w:p>
  </w:footnote>
  <w:footnote w:id="13">
    <w:p w:rsidR="007B6CDA" w:rsidRPr="006017E5" w:rsidRDefault="007B6CDA" w:rsidP="00CF1758">
      <w:pPr>
        <w:pStyle w:val="FootnoteText"/>
        <w:spacing w:after="120"/>
        <w:ind w:firstLine="0"/>
      </w:pPr>
      <w:r w:rsidRPr="006017E5">
        <w:rPr>
          <w:rStyle w:val="FootnoteReference"/>
        </w:rPr>
        <w:footnoteRef/>
      </w:r>
      <w:r w:rsidRPr="006017E5">
        <w:t xml:space="preserve"> </w:t>
      </w:r>
      <w:r w:rsidRPr="0039535A">
        <w:rPr>
          <w:i/>
        </w:rPr>
        <w:t>Id</w:t>
      </w:r>
      <w:r w:rsidRPr="006017E5">
        <w:t>.</w:t>
      </w:r>
      <w:r w:rsidRPr="008F027C">
        <w:t xml:space="preserve"> </w:t>
      </w:r>
      <w:r>
        <w:t xml:space="preserve"> </w:t>
      </w:r>
      <w:r w:rsidRPr="006017E5">
        <w:t>IEU-Ohio take</w:t>
      </w:r>
      <w:r>
        <w:t>s</w:t>
      </w:r>
      <w:r w:rsidRPr="006017E5">
        <w:t xml:space="preserve"> no position regarding the proposed carrying charges.  </w:t>
      </w:r>
      <w:r w:rsidRPr="0039535A">
        <w:rPr>
          <w:i/>
        </w:rPr>
        <w:t>Id</w:t>
      </w:r>
      <w:r w:rsidRPr="006017E5">
        <w:t>. at 4 n.2.</w:t>
      </w:r>
    </w:p>
  </w:footnote>
  <w:footnote w:id="14">
    <w:p w:rsidR="007B6CDA" w:rsidRPr="006017E5" w:rsidRDefault="007B6CDA" w:rsidP="00CF1758">
      <w:pPr>
        <w:pStyle w:val="FootnoteText"/>
        <w:spacing w:after="120"/>
        <w:ind w:firstLine="0"/>
      </w:pPr>
      <w:r w:rsidRPr="006017E5">
        <w:rPr>
          <w:rStyle w:val="FootnoteReference"/>
        </w:rPr>
        <w:footnoteRef/>
      </w:r>
      <w:r w:rsidRPr="006017E5">
        <w:t xml:space="preserve"> </w:t>
      </w:r>
      <w:r w:rsidRPr="0039535A">
        <w:rPr>
          <w:i/>
        </w:rPr>
        <w:t>Id</w:t>
      </w:r>
      <w:r w:rsidRPr="006017E5">
        <w:t xml:space="preserve">. at 4 and </w:t>
      </w:r>
      <w:r>
        <w:t>S</w:t>
      </w:r>
      <w:r w:rsidRPr="006017E5">
        <w:t>tipulation Exhibit 2.</w:t>
      </w:r>
    </w:p>
  </w:footnote>
  <w:footnote w:id="15">
    <w:p w:rsidR="007B6CDA" w:rsidRPr="006017E5" w:rsidRDefault="007B6CDA" w:rsidP="00CF1758">
      <w:pPr>
        <w:pStyle w:val="FootnoteText"/>
        <w:spacing w:after="120"/>
        <w:ind w:firstLine="0"/>
      </w:pPr>
      <w:r w:rsidRPr="006017E5">
        <w:rPr>
          <w:rStyle w:val="FootnoteReference"/>
        </w:rPr>
        <w:footnoteRef/>
      </w:r>
      <w:r w:rsidRPr="006017E5">
        <w:t xml:space="preserve"> </w:t>
      </w:r>
      <w:r>
        <w:rPr>
          <w:i/>
        </w:rPr>
        <w:t xml:space="preserve">Id. </w:t>
      </w:r>
      <w:r w:rsidRPr="006017E5">
        <w:t xml:space="preserve">at 4.  </w:t>
      </w:r>
    </w:p>
  </w:footnote>
  <w:footnote w:id="16">
    <w:p w:rsidR="007B6CDA" w:rsidRPr="006017E5" w:rsidRDefault="007B6CDA" w:rsidP="00CF1758">
      <w:pPr>
        <w:pStyle w:val="FootnoteText"/>
        <w:spacing w:after="120"/>
        <w:ind w:firstLine="0"/>
      </w:pPr>
      <w:r w:rsidRPr="006017E5">
        <w:rPr>
          <w:rStyle w:val="FootnoteReference"/>
        </w:rPr>
        <w:footnoteRef/>
      </w:r>
      <w:r w:rsidRPr="006017E5">
        <w:t xml:space="preserve"> </w:t>
      </w:r>
      <w:r w:rsidRPr="0039535A">
        <w:rPr>
          <w:i/>
        </w:rPr>
        <w:t>Id</w:t>
      </w:r>
      <w:r w:rsidRPr="006017E5">
        <w:t>. at 4-5.</w:t>
      </w:r>
    </w:p>
  </w:footnote>
  <w:footnote w:id="17">
    <w:p w:rsidR="004A719F" w:rsidRDefault="004A719F" w:rsidP="00CF1758">
      <w:pPr>
        <w:pStyle w:val="FootnoteText"/>
        <w:spacing w:after="120"/>
        <w:ind w:firstLine="0"/>
      </w:pPr>
      <w:r>
        <w:rPr>
          <w:rStyle w:val="FootnoteReference"/>
        </w:rPr>
        <w:footnoteRef/>
      </w:r>
      <w:r>
        <w:t xml:space="preserve"> </w:t>
      </w:r>
      <w:r w:rsidR="007B6CDA">
        <w:t>Opinion and Order at 33 (Apr. 2, 2014).</w:t>
      </w:r>
    </w:p>
  </w:footnote>
  <w:footnote w:id="18">
    <w:p w:rsidR="007B6CDA" w:rsidRDefault="007B6CDA" w:rsidP="00CF1758">
      <w:pPr>
        <w:pStyle w:val="FootnoteText"/>
        <w:spacing w:after="120"/>
        <w:ind w:firstLine="0"/>
      </w:pPr>
      <w:r>
        <w:rPr>
          <w:rStyle w:val="FootnoteReference"/>
        </w:rPr>
        <w:footnoteRef/>
      </w:r>
      <w:r>
        <w:t xml:space="preserve"> </w:t>
      </w:r>
      <w:r w:rsidRPr="00CF1758">
        <w:rPr>
          <w:i/>
        </w:rPr>
        <w:t>Id</w:t>
      </w:r>
      <w:r>
        <w:t>.</w:t>
      </w:r>
      <w:r w:rsidR="00895A0E">
        <w:t>,</w:t>
      </w:r>
      <w:r>
        <w:t xml:space="preserve"> </w:t>
      </w:r>
      <w:r w:rsidRPr="007B6CDA">
        <w:rPr>
          <w:i/>
        </w:rPr>
        <w:t>passim</w:t>
      </w:r>
      <w:r>
        <w:t>.</w:t>
      </w:r>
    </w:p>
  </w:footnote>
  <w:footnote w:id="19">
    <w:p w:rsidR="007B6CDA" w:rsidRDefault="007B6CDA" w:rsidP="00CF1758">
      <w:pPr>
        <w:pStyle w:val="FootnoteText"/>
        <w:spacing w:after="120"/>
        <w:ind w:firstLine="0"/>
      </w:pPr>
      <w:r>
        <w:rPr>
          <w:rStyle w:val="FootnoteReference"/>
        </w:rPr>
        <w:footnoteRef/>
      </w:r>
      <w:r>
        <w:t xml:space="preserve"> Application for Rehearing by the Office of the Ohio Consumers’ Counsel (May 2, 2014) (“OCC Application for Rehearing”).</w:t>
      </w:r>
    </w:p>
  </w:footnote>
  <w:footnote w:id="20">
    <w:p w:rsidR="007B6CDA" w:rsidRDefault="007B6CDA" w:rsidP="00CF1758">
      <w:pPr>
        <w:pStyle w:val="FootnoteText"/>
        <w:spacing w:after="120"/>
        <w:ind w:firstLine="0"/>
      </w:pPr>
      <w:r>
        <w:rPr>
          <w:rStyle w:val="FootnoteReference"/>
        </w:rPr>
        <w:footnoteRef/>
      </w:r>
      <w:r>
        <w:t xml:space="preserve"> </w:t>
      </w:r>
      <w:r w:rsidRPr="00CF1758">
        <w:rPr>
          <w:i/>
        </w:rPr>
        <w:t>Id</w:t>
      </w:r>
      <w:r>
        <w:t>.</w:t>
      </w:r>
    </w:p>
  </w:footnote>
  <w:footnote w:id="21">
    <w:p w:rsidR="007B6CDA" w:rsidRDefault="007B6CDA" w:rsidP="00CF1758">
      <w:pPr>
        <w:pStyle w:val="FootnoteText"/>
        <w:spacing w:after="120"/>
        <w:ind w:firstLine="0"/>
      </w:pPr>
      <w:r>
        <w:rPr>
          <w:rStyle w:val="FootnoteReference"/>
        </w:rPr>
        <w:footnoteRef/>
      </w:r>
      <w:r>
        <w:t xml:space="preserve"> </w:t>
      </w:r>
      <w:r w:rsidRPr="00CF1758">
        <w:rPr>
          <w:i/>
        </w:rPr>
        <w:t>Id</w:t>
      </w:r>
      <w:r>
        <w:t xml:space="preserve">.  </w:t>
      </w:r>
    </w:p>
  </w:footnote>
  <w:footnote w:id="22">
    <w:p w:rsidR="00947E8B" w:rsidRDefault="00947E8B" w:rsidP="00947E8B">
      <w:pPr>
        <w:pStyle w:val="FootnoteText"/>
        <w:spacing w:after="120"/>
        <w:ind w:firstLine="0"/>
      </w:pPr>
      <w:r>
        <w:rPr>
          <w:rStyle w:val="FootnoteReference"/>
        </w:rPr>
        <w:footnoteRef/>
      </w:r>
      <w:r>
        <w:t xml:space="preserve"> R.C. 4905.10(B).</w:t>
      </w:r>
    </w:p>
  </w:footnote>
  <w:footnote w:id="23">
    <w:p w:rsidR="00947E8B" w:rsidRDefault="00947E8B" w:rsidP="00947E8B">
      <w:pPr>
        <w:pStyle w:val="FootnoteText"/>
        <w:spacing w:after="120"/>
        <w:ind w:firstLine="0"/>
      </w:pPr>
      <w:r>
        <w:rPr>
          <w:rStyle w:val="FootnoteReference"/>
        </w:rPr>
        <w:footnoteRef/>
      </w:r>
      <w:r>
        <w:t xml:space="preserve"> </w:t>
      </w:r>
      <w:r w:rsidRPr="00947E8B">
        <w:t>This reply does not address the merits of OCC’s second assignment of error.</w:t>
      </w:r>
    </w:p>
  </w:footnote>
  <w:footnote w:id="24">
    <w:p w:rsidR="00BF62FB" w:rsidRDefault="00BF62FB" w:rsidP="00CF1758">
      <w:pPr>
        <w:pStyle w:val="FootnoteText"/>
        <w:spacing w:after="120"/>
        <w:ind w:firstLine="0"/>
      </w:pPr>
      <w:r>
        <w:rPr>
          <w:rStyle w:val="FootnoteReference"/>
        </w:rPr>
        <w:footnoteRef/>
      </w:r>
      <w:r>
        <w:t xml:space="preserve"> </w:t>
      </w:r>
      <w:r w:rsidR="004D0FFF">
        <w:t xml:space="preserve">OCC </w:t>
      </w:r>
      <w:r w:rsidR="004D0FFF" w:rsidRPr="00CD333A">
        <w:t>Application for Rehearing</w:t>
      </w:r>
      <w:r>
        <w:t xml:space="preserve"> at 5-6.</w:t>
      </w:r>
    </w:p>
  </w:footnote>
  <w:footnote w:id="25">
    <w:p w:rsidR="00BF62FB" w:rsidRDefault="00BF62FB" w:rsidP="00CF1758">
      <w:pPr>
        <w:pStyle w:val="FootnoteText"/>
        <w:spacing w:after="120"/>
        <w:ind w:firstLine="0"/>
      </w:pPr>
      <w:r>
        <w:rPr>
          <w:rStyle w:val="FootnoteReference"/>
        </w:rPr>
        <w:footnoteRef/>
      </w:r>
      <w:r>
        <w:t xml:space="preserve"> </w:t>
      </w:r>
      <w:r w:rsidRPr="00CF1758">
        <w:rPr>
          <w:i/>
        </w:rPr>
        <w:t>Id</w:t>
      </w:r>
      <w:r>
        <w:t>. at 6.</w:t>
      </w:r>
    </w:p>
  </w:footnote>
  <w:footnote w:id="26">
    <w:p w:rsidR="0098580E" w:rsidRDefault="0098580E" w:rsidP="00CF1758">
      <w:pPr>
        <w:pStyle w:val="FootnoteText"/>
        <w:spacing w:after="120"/>
        <w:ind w:firstLine="0"/>
      </w:pPr>
      <w:r>
        <w:rPr>
          <w:rStyle w:val="FootnoteReference"/>
        </w:rPr>
        <w:footnoteRef/>
      </w:r>
      <w:r>
        <w:t xml:space="preserve"> Opinion and Order at 14.</w:t>
      </w:r>
    </w:p>
  </w:footnote>
  <w:footnote w:id="27">
    <w:p w:rsidR="0098580E" w:rsidRDefault="0098580E" w:rsidP="00CF1758">
      <w:pPr>
        <w:pStyle w:val="FootnoteText"/>
        <w:spacing w:after="120"/>
        <w:ind w:firstLine="0"/>
      </w:pPr>
      <w:r>
        <w:rPr>
          <w:rStyle w:val="FootnoteReference"/>
        </w:rPr>
        <w:footnoteRef/>
      </w:r>
      <w:r>
        <w:t xml:space="preserve"> </w:t>
      </w:r>
      <w:r w:rsidRPr="00CF1758">
        <w:rPr>
          <w:i/>
        </w:rPr>
        <w:t>Id</w:t>
      </w:r>
      <w:r>
        <w:t>.</w:t>
      </w:r>
    </w:p>
  </w:footnote>
  <w:footnote w:id="28">
    <w:p w:rsidR="0098580E" w:rsidRDefault="0098580E" w:rsidP="00CF1758">
      <w:pPr>
        <w:pStyle w:val="FootnoteText"/>
        <w:spacing w:after="120"/>
        <w:ind w:firstLine="0"/>
      </w:pPr>
      <w:r>
        <w:rPr>
          <w:rStyle w:val="FootnoteReference"/>
        </w:rPr>
        <w:footnoteRef/>
      </w:r>
      <w:r>
        <w:t xml:space="preserve"> </w:t>
      </w:r>
      <w:r w:rsidRPr="00CF1758">
        <w:rPr>
          <w:i/>
        </w:rPr>
        <w:t>Id</w:t>
      </w:r>
      <w:r>
        <w:t>.</w:t>
      </w:r>
    </w:p>
  </w:footnote>
  <w:footnote w:id="29">
    <w:p w:rsidR="004A719F" w:rsidRPr="006017E5" w:rsidRDefault="004A719F" w:rsidP="00CF1758">
      <w:pPr>
        <w:pStyle w:val="FootnoteText"/>
        <w:spacing w:after="120"/>
        <w:ind w:firstLine="0"/>
      </w:pPr>
      <w:r w:rsidRPr="006017E5">
        <w:rPr>
          <w:rStyle w:val="FootnoteReference"/>
        </w:rPr>
        <w:footnoteRef/>
      </w:r>
      <w:r>
        <w:t xml:space="preserve"> Stipulation</w:t>
      </w:r>
      <w:r w:rsidRPr="006017E5">
        <w:t xml:space="preserve"> at 4.</w:t>
      </w:r>
    </w:p>
  </w:footnote>
  <w:footnote w:id="30">
    <w:p w:rsidR="004A719F" w:rsidRDefault="004A719F" w:rsidP="00CF1758">
      <w:pPr>
        <w:pStyle w:val="FootnoteText"/>
        <w:spacing w:after="120"/>
        <w:ind w:firstLine="0"/>
      </w:pPr>
      <w:r>
        <w:rPr>
          <w:rStyle w:val="FootnoteReference"/>
        </w:rPr>
        <w:footnoteRef/>
      </w:r>
      <w:r>
        <w:t xml:space="preserve"> </w:t>
      </w:r>
      <w:r w:rsidRPr="00BC1506">
        <w:rPr>
          <w:i/>
        </w:rPr>
        <w:t>Id</w:t>
      </w:r>
      <w:r>
        <w:t>.</w:t>
      </w:r>
    </w:p>
  </w:footnote>
  <w:footnote w:id="31">
    <w:p w:rsidR="009D674A" w:rsidRDefault="009D674A" w:rsidP="009D674A">
      <w:pPr>
        <w:pStyle w:val="FootnoteText"/>
        <w:spacing w:after="120"/>
        <w:ind w:firstLine="0"/>
      </w:pPr>
      <w:r>
        <w:rPr>
          <w:rStyle w:val="FootnoteReference"/>
        </w:rPr>
        <w:footnoteRef/>
      </w:r>
      <w:r>
        <w:t xml:space="preserve"> Initial Post-Hearing Brief by the Office of the Ohio Consumers’ Counsel at 10-12 (Mar. 3, 2014); Post Hearing Reply Brief by the Office of the Ohio Consumers’ Counsel at 7 (Mar. 17, 2014).</w:t>
      </w:r>
    </w:p>
  </w:footnote>
  <w:footnote w:id="32">
    <w:p w:rsidR="009D674A" w:rsidRDefault="009D674A" w:rsidP="009D674A">
      <w:pPr>
        <w:pStyle w:val="FootnoteText"/>
        <w:spacing w:after="120"/>
        <w:ind w:firstLine="0"/>
      </w:pPr>
      <w:r>
        <w:rPr>
          <w:rStyle w:val="FootnoteReference"/>
        </w:rPr>
        <w:footnoteRef/>
      </w:r>
      <w:r>
        <w:t xml:space="preserve"> </w:t>
      </w:r>
      <w:r w:rsidRPr="00895A0E">
        <w:rPr>
          <w:i/>
        </w:rPr>
        <w:t>See In the Matter of the Application of Columbus Southern Power Company and Ohio Power Company for Authority to Establish a Standard Service Offer Pursuant to Section 4928.143, Revised Code, in the Form of an Electric Security Plan</w:t>
      </w:r>
      <w:r>
        <w:t xml:space="preserve">, Case Nos. 11-346-EL-SSO, </w:t>
      </w:r>
      <w:r w:rsidRPr="00CD333A">
        <w:rPr>
          <w:i/>
        </w:rPr>
        <w:t>et al.</w:t>
      </w:r>
      <w:r>
        <w:t>, Second Entry on Rehearing at 3 (Mar. 27,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8E" w:rsidRDefault="0036078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42" w:rsidRDefault="00042D1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42" w:rsidRDefault="00042D1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42" w:rsidRDefault="00042D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A0E" w:rsidRDefault="00895A0E" w:rsidP="00470ED0">
    <w:pPr>
      <w:pStyle w:val="Heade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A0E" w:rsidRDefault="00895A0E" w:rsidP="00470ED0">
    <w:pPr>
      <w:pStyle w:val="Heade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07" w:rsidRDefault="00426D0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07" w:rsidRDefault="00426D07" w:rsidP="00C3640E">
    <w:pPr>
      <w:pStyle w:val="Header"/>
      <w:ind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07" w:rsidRDefault="00426D07" w:rsidP="00C3640E">
    <w:pPr>
      <w:pStyle w:val="Heade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07" w:rsidRDefault="00426D0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07" w:rsidRDefault="00426D0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07" w:rsidRDefault="00426D07" w:rsidP="00CD333A">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82207"/>
    <w:multiLevelType w:val="multilevel"/>
    <w:tmpl w:val="667284F2"/>
    <w:name w:val="Ind. Energy Users Group"/>
    <w:lvl w:ilvl="0">
      <w:start w:val="1"/>
      <w:numFmt w:val="upperRoman"/>
      <w:pStyle w:val="Heading1"/>
      <w:lvlText w:val="%1."/>
      <w:lvlJc w:val="left"/>
      <w:pPr>
        <w:tabs>
          <w:tab w:val="num" w:pos="720"/>
        </w:tabs>
        <w:ind w:left="720" w:hanging="720"/>
      </w:pPr>
      <w:rPr>
        <w:b/>
        <w:caps w:val="0"/>
        <w:color w:val="010000"/>
        <w:u w:val="none"/>
      </w:rPr>
    </w:lvl>
    <w:lvl w:ilvl="1">
      <w:start w:val="1"/>
      <w:numFmt w:val="upperLetter"/>
      <w:pStyle w:val="Heading2"/>
      <w:lvlText w:val="%2."/>
      <w:lvlJc w:val="left"/>
      <w:pPr>
        <w:tabs>
          <w:tab w:val="num" w:pos="1440"/>
        </w:tabs>
        <w:ind w:left="1440" w:hanging="720"/>
      </w:pPr>
      <w:rPr>
        <w:b/>
        <w:caps w:val="0"/>
        <w:color w:val="010000"/>
        <w:u w:val="none"/>
      </w:rPr>
    </w:lvl>
    <w:lvl w:ilvl="2">
      <w:start w:val="1"/>
      <w:numFmt w:val="decimal"/>
      <w:pStyle w:val="Heading3"/>
      <w:lvlText w:val="%3."/>
      <w:lvlJc w:val="left"/>
      <w:pPr>
        <w:tabs>
          <w:tab w:val="num" w:pos="2160"/>
        </w:tabs>
        <w:ind w:left="2160" w:hanging="720"/>
      </w:pPr>
      <w:rPr>
        <w:b/>
        <w:i w:val="0"/>
        <w:caps w:val="0"/>
        <w:color w:val="010000"/>
        <w:u w:val="none"/>
      </w:rPr>
    </w:lvl>
    <w:lvl w:ilvl="3">
      <w:start w:val="1"/>
      <w:numFmt w:val="lowerLetter"/>
      <w:pStyle w:val="Heading4"/>
      <w:lvlText w:val="%4."/>
      <w:lvlJc w:val="left"/>
      <w:pPr>
        <w:tabs>
          <w:tab w:val="num" w:pos="2880"/>
        </w:tabs>
        <w:ind w:left="2880" w:hanging="720"/>
      </w:pPr>
      <w:rPr>
        <w:b/>
        <w:i/>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Roman"/>
      <w:pStyle w:val="Heading8"/>
      <w:lvlText w:val="%8)"/>
      <w:lvlJc w:val="left"/>
      <w:pPr>
        <w:tabs>
          <w:tab w:val="num" w:pos="5760"/>
        </w:tabs>
        <w:ind w:left="5760" w:hanging="720"/>
      </w:pPr>
      <w:rPr>
        <w:caps w:val="0"/>
        <w:color w:val="010000"/>
        <w:u w:val="none"/>
      </w:rPr>
    </w:lvl>
    <w:lvl w:ilvl="8">
      <w:start w:val="1"/>
      <w:numFmt w:val="lowerLetter"/>
      <w:pStyle w:val="Heading9"/>
      <w:lvlText w:val="%9)"/>
      <w:lvlJc w:val="left"/>
      <w:pPr>
        <w:tabs>
          <w:tab w:val="num" w:pos="6480"/>
        </w:tabs>
        <w:ind w:left="6480" w:hanging="720"/>
      </w:pPr>
      <w:rPr>
        <w:caps w:val="0"/>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2"/>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LastSchemeChoice" w:val="Ind. Energy Users Group"/>
    <w:docVar w:name="LastSchemeUniqueID" w:val="1"/>
    <w:docVar w:name="Option0True" w:val="False"/>
    <w:docVar w:name="Option1True" w:val="False"/>
    <w:docVar w:name="Option2True" w:val="False"/>
  </w:docVars>
  <w:rsids>
    <w:rsidRoot w:val="00BF62FB"/>
    <w:rsid w:val="00000B09"/>
    <w:rsid w:val="00042D12"/>
    <w:rsid w:val="00131CF2"/>
    <w:rsid w:val="001E4264"/>
    <w:rsid w:val="0031725C"/>
    <w:rsid w:val="003464D9"/>
    <w:rsid w:val="0036078E"/>
    <w:rsid w:val="00367438"/>
    <w:rsid w:val="00416C9C"/>
    <w:rsid w:val="00426D07"/>
    <w:rsid w:val="00470ED0"/>
    <w:rsid w:val="004A719F"/>
    <w:rsid w:val="004B126C"/>
    <w:rsid w:val="004D0FFF"/>
    <w:rsid w:val="00611E29"/>
    <w:rsid w:val="00683323"/>
    <w:rsid w:val="006961C4"/>
    <w:rsid w:val="0074301A"/>
    <w:rsid w:val="00763C0B"/>
    <w:rsid w:val="007B6CDA"/>
    <w:rsid w:val="007D0B63"/>
    <w:rsid w:val="0088182A"/>
    <w:rsid w:val="00895A0E"/>
    <w:rsid w:val="008E3BF4"/>
    <w:rsid w:val="00905313"/>
    <w:rsid w:val="00947E8B"/>
    <w:rsid w:val="0098580E"/>
    <w:rsid w:val="009D0CAF"/>
    <w:rsid w:val="009D674A"/>
    <w:rsid w:val="00AA674E"/>
    <w:rsid w:val="00BF62FB"/>
    <w:rsid w:val="00C0405A"/>
    <w:rsid w:val="00C371B4"/>
    <w:rsid w:val="00C66FE7"/>
    <w:rsid w:val="00CD333A"/>
    <w:rsid w:val="00CF1758"/>
    <w:rsid w:val="00EA7591"/>
    <w:rsid w:val="00FB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C0B"/>
  </w:style>
  <w:style w:type="paragraph" w:styleId="Heading1">
    <w:name w:val="heading 1"/>
    <w:basedOn w:val="Normal"/>
    <w:next w:val="Normal"/>
    <w:link w:val="Heading1Char"/>
    <w:uiPriority w:val="9"/>
    <w:qFormat/>
    <w:rsid w:val="00000B09"/>
    <w:pPr>
      <w:numPr>
        <w:numId w:val="1"/>
      </w:numPr>
      <w:tabs>
        <w:tab w:val="clear" w:pos="720"/>
      </w:tabs>
      <w:spacing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semiHidden/>
    <w:unhideWhenUsed/>
    <w:qFormat/>
    <w:rsid w:val="00000B09"/>
    <w:pPr>
      <w:numPr>
        <w:ilvl w:val="1"/>
        <w:numId w:val="1"/>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semiHidden/>
    <w:unhideWhenUsed/>
    <w:qFormat/>
    <w:rsid w:val="00000B09"/>
    <w:pPr>
      <w:numPr>
        <w:ilvl w:val="2"/>
        <w:numId w:val="1"/>
      </w:numPr>
      <w:spacing w:after="240" w:line="240" w:lineRule="auto"/>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000B09"/>
    <w:pPr>
      <w:numPr>
        <w:ilvl w:val="3"/>
        <w:numId w:val="1"/>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000B09"/>
    <w:pPr>
      <w:numPr>
        <w:ilvl w:val="4"/>
        <w:numId w:val="1"/>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000B09"/>
    <w:pPr>
      <w:numPr>
        <w:ilvl w:val="5"/>
        <w:numId w:val="1"/>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000B09"/>
    <w:pPr>
      <w:numPr>
        <w:ilvl w:val="6"/>
        <w:numId w:val="1"/>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000B09"/>
    <w:pPr>
      <w:numPr>
        <w:ilvl w:val="7"/>
        <w:numId w:val="1"/>
      </w:numPr>
      <w:spacing w:after="240" w:line="240" w:lineRule="auto"/>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000B09"/>
    <w:pPr>
      <w:numPr>
        <w:ilvl w:val="8"/>
        <w:numId w:val="1"/>
      </w:numPr>
      <w:spacing w:after="240" w:line="240" w:lineRule="auto"/>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301A"/>
    <w:pPr>
      <w:spacing w:line="240" w:lineRule="auto"/>
    </w:pPr>
    <w:rPr>
      <w:sz w:val="20"/>
      <w:szCs w:val="20"/>
    </w:rPr>
  </w:style>
  <w:style w:type="character" w:customStyle="1" w:styleId="FootnoteTextChar">
    <w:name w:val="Footnote Text Char"/>
    <w:basedOn w:val="DefaultParagraphFont"/>
    <w:link w:val="FootnoteText"/>
    <w:uiPriority w:val="99"/>
    <w:semiHidden/>
    <w:rsid w:val="0074301A"/>
    <w:rPr>
      <w:sz w:val="20"/>
      <w:szCs w:val="20"/>
    </w:rPr>
  </w:style>
  <w:style w:type="character" w:styleId="FootnoteReference">
    <w:name w:val="footnote reference"/>
    <w:aliases w:val="Style 42,o,fr,(NECG) Footnote Reference,Style 17,Style 20,Style 13,Style 12,o1,fr1,o2,fr2,o3,fr3,Style 15,Style 8,Style 9,Style 18,Style 7,Style 19,Style 28"/>
    <w:basedOn w:val="DefaultParagraphFont"/>
    <w:uiPriority w:val="99"/>
    <w:unhideWhenUsed/>
    <w:rsid w:val="00BF62FB"/>
    <w:rPr>
      <w:vertAlign w:val="superscript"/>
    </w:rPr>
  </w:style>
  <w:style w:type="character" w:customStyle="1" w:styleId="Heading1Char">
    <w:name w:val="Heading 1 Char"/>
    <w:basedOn w:val="DefaultParagraphFont"/>
    <w:link w:val="Heading1"/>
    <w:uiPriority w:val="9"/>
    <w:rsid w:val="00000B09"/>
    <w:rPr>
      <w:rFonts w:eastAsiaTheme="majorEastAsia" w:cs="Arial"/>
      <w:b/>
      <w:bCs/>
      <w:caps/>
      <w:szCs w:val="28"/>
      <w:u w:val="single"/>
    </w:rPr>
  </w:style>
  <w:style w:type="character" w:customStyle="1" w:styleId="Heading2Char">
    <w:name w:val="Heading 2 Char"/>
    <w:basedOn w:val="DefaultParagraphFont"/>
    <w:link w:val="Heading2"/>
    <w:uiPriority w:val="9"/>
    <w:semiHidden/>
    <w:rsid w:val="00000B09"/>
    <w:rPr>
      <w:rFonts w:eastAsiaTheme="majorEastAsia" w:cs="Arial"/>
      <w:b/>
      <w:bCs/>
      <w:szCs w:val="26"/>
    </w:rPr>
  </w:style>
  <w:style w:type="character" w:customStyle="1" w:styleId="Heading3Char">
    <w:name w:val="Heading 3 Char"/>
    <w:basedOn w:val="DefaultParagraphFont"/>
    <w:link w:val="Heading3"/>
    <w:uiPriority w:val="9"/>
    <w:semiHidden/>
    <w:rsid w:val="00000B09"/>
    <w:rPr>
      <w:rFonts w:eastAsiaTheme="majorEastAsia" w:cs="Arial"/>
      <w:b/>
      <w:bCs/>
    </w:rPr>
  </w:style>
  <w:style w:type="character" w:customStyle="1" w:styleId="Heading4Char">
    <w:name w:val="Heading 4 Char"/>
    <w:basedOn w:val="DefaultParagraphFont"/>
    <w:link w:val="Heading4"/>
    <w:uiPriority w:val="9"/>
    <w:semiHidden/>
    <w:rsid w:val="00000B09"/>
    <w:rPr>
      <w:rFonts w:eastAsiaTheme="majorEastAsia" w:cs="Arial"/>
      <w:b/>
      <w:bCs/>
      <w:i/>
      <w:iCs/>
    </w:rPr>
  </w:style>
  <w:style w:type="character" w:customStyle="1" w:styleId="Heading5Char">
    <w:name w:val="Heading 5 Char"/>
    <w:basedOn w:val="DefaultParagraphFont"/>
    <w:link w:val="Heading5"/>
    <w:uiPriority w:val="9"/>
    <w:semiHidden/>
    <w:rsid w:val="00000B09"/>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000B09"/>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000B09"/>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000B09"/>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000B09"/>
    <w:rPr>
      <w:rFonts w:asciiTheme="majorHAnsi" w:eastAsiaTheme="majorEastAsia" w:hAnsiTheme="majorHAnsi" w:cs="Arial"/>
      <w:iCs/>
      <w:color w:val="404040" w:themeColor="text1" w:themeTint="BF"/>
      <w:szCs w:val="20"/>
    </w:rPr>
  </w:style>
  <w:style w:type="paragraph" w:styleId="BodyText">
    <w:name w:val="Body Text"/>
    <w:basedOn w:val="Normal"/>
    <w:link w:val="BodyTextChar"/>
    <w:uiPriority w:val="99"/>
    <w:semiHidden/>
    <w:unhideWhenUsed/>
    <w:rsid w:val="00000B09"/>
    <w:pPr>
      <w:spacing w:after="120"/>
    </w:pPr>
  </w:style>
  <w:style w:type="character" w:customStyle="1" w:styleId="BodyTextChar">
    <w:name w:val="Body Text Char"/>
    <w:basedOn w:val="DefaultParagraphFont"/>
    <w:link w:val="BodyText"/>
    <w:uiPriority w:val="99"/>
    <w:semiHidden/>
    <w:rsid w:val="00000B09"/>
  </w:style>
  <w:style w:type="paragraph" w:styleId="Header">
    <w:name w:val="header"/>
    <w:basedOn w:val="Normal"/>
    <w:link w:val="HeaderChar"/>
    <w:uiPriority w:val="99"/>
    <w:unhideWhenUsed/>
    <w:rsid w:val="00895A0E"/>
    <w:pPr>
      <w:tabs>
        <w:tab w:val="center" w:pos="4680"/>
        <w:tab w:val="right" w:pos="9360"/>
      </w:tabs>
      <w:spacing w:line="240" w:lineRule="auto"/>
    </w:pPr>
  </w:style>
  <w:style w:type="character" w:customStyle="1" w:styleId="HeaderChar">
    <w:name w:val="Header Char"/>
    <w:basedOn w:val="DefaultParagraphFont"/>
    <w:link w:val="Header"/>
    <w:uiPriority w:val="99"/>
    <w:rsid w:val="00895A0E"/>
  </w:style>
  <w:style w:type="paragraph" w:styleId="Footer">
    <w:name w:val="footer"/>
    <w:basedOn w:val="Normal"/>
    <w:link w:val="FooterChar"/>
    <w:uiPriority w:val="99"/>
    <w:unhideWhenUsed/>
    <w:rsid w:val="00895A0E"/>
    <w:pPr>
      <w:tabs>
        <w:tab w:val="center" w:pos="4680"/>
        <w:tab w:val="right" w:pos="9360"/>
      </w:tabs>
      <w:spacing w:line="240" w:lineRule="auto"/>
    </w:pPr>
  </w:style>
  <w:style w:type="character" w:customStyle="1" w:styleId="FooterChar">
    <w:name w:val="Footer Char"/>
    <w:basedOn w:val="DefaultParagraphFont"/>
    <w:link w:val="Footer"/>
    <w:uiPriority w:val="99"/>
    <w:rsid w:val="00895A0E"/>
  </w:style>
  <w:style w:type="paragraph" w:styleId="BalloonText">
    <w:name w:val="Balloon Text"/>
    <w:basedOn w:val="Normal"/>
    <w:link w:val="BalloonTextChar"/>
    <w:uiPriority w:val="99"/>
    <w:semiHidden/>
    <w:unhideWhenUsed/>
    <w:rsid w:val="00416C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C9C"/>
    <w:rPr>
      <w:rFonts w:ascii="Tahoma" w:hAnsi="Tahoma" w:cs="Tahoma"/>
      <w:sz w:val="16"/>
      <w:szCs w:val="16"/>
    </w:rPr>
  </w:style>
  <w:style w:type="character" w:styleId="CommentReference">
    <w:name w:val="annotation reference"/>
    <w:basedOn w:val="DefaultParagraphFont"/>
    <w:uiPriority w:val="99"/>
    <w:semiHidden/>
    <w:unhideWhenUsed/>
    <w:rsid w:val="004D0FFF"/>
    <w:rPr>
      <w:sz w:val="16"/>
      <w:szCs w:val="16"/>
    </w:rPr>
  </w:style>
  <w:style w:type="paragraph" w:styleId="CommentText">
    <w:name w:val="annotation text"/>
    <w:basedOn w:val="Normal"/>
    <w:link w:val="CommentTextChar"/>
    <w:uiPriority w:val="99"/>
    <w:semiHidden/>
    <w:unhideWhenUsed/>
    <w:rsid w:val="004D0FFF"/>
    <w:pPr>
      <w:spacing w:line="240" w:lineRule="auto"/>
    </w:pPr>
    <w:rPr>
      <w:sz w:val="20"/>
      <w:szCs w:val="20"/>
    </w:rPr>
  </w:style>
  <w:style w:type="character" w:customStyle="1" w:styleId="CommentTextChar">
    <w:name w:val="Comment Text Char"/>
    <w:basedOn w:val="DefaultParagraphFont"/>
    <w:link w:val="CommentText"/>
    <w:uiPriority w:val="99"/>
    <w:semiHidden/>
    <w:rsid w:val="004D0FFF"/>
    <w:rPr>
      <w:sz w:val="20"/>
      <w:szCs w:val="20"/>
    </w:rPr>
  </w:style>
  <w:style w:type="paragraph" w:styleId="CommentSubject">
    <w:name w:val="annotation subject"/>
    <w:basedOn w:val="CommentText"/>
    <w:next w:val="CommentText"/>
    <w:link w:val="CommentSubjectChar"/>
    <w:uiPriority w:val="99"/>
    <w:semiHidden/>
    <w:unhideWhenUsed/>
    <w:rsid w:val="004D0FFF"/>
    <w:rPr>
      <w:b/>
      <w:bCs/>
    </w:rPr>
  </w:style>
  <w:style w:type="character" w:customStyle="1" w:styleId="CommentSubjectChar">
    <w:name w:val="Comment Subject Char"/>
    <w:basedOn w:val="CommentTextChar"/>
    <w:link w:val="CommentSubject"/>
    <w:uiPriority w:val="99"/>
    <w:semiHidden/>
    <w:rsid w:val="004D0FF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C0B"/>
  </w:style>
  <w:style w:type="paragraph" w:styleId="Heading1">
    <w:name w:val="heading 1"/>
    <w:basedOn w:val="Normal"/>
    <w:next w:val="Normal"/>
    <w:link w:val="Heading1Char"/>
    <w:uiPriority w:val="9"/>
    <w:qFormat/>
    <w:rsid w:val="00000B09"/>
    <w:pPr>
      <w:numPr>
        <w:numId w:val="1"/>
      </w:numPr>
      <w:tabs>
        <w:tab w:val="clear" w:pos="720"/>
      </w:tabs>
      <w:spacing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semiHidden/>
    <w:unhideWhenUsed/>
    <w:qFormat/>
    <w:rsid w:val="00000B09"/>
    <w:pPr>
      <w:numPr>
        <w:ilvl w:val="1"/>
        <w:numId w:val="1"/>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semiHidden/>
    <w:unhideWhenUsed/>
    <w:qFormat/>
    <w:rsid w:val="00000B09"/>
    <w:pPr>
      <w:numPr>
        <w:ilvl w:val="2"/>
        <w:numId w:val="1"/>
      </w:numPr>
      <w:spacing w:after="240" w:line="240" w:lineRule="auto"/>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000B09"/>
    <w:pPr>
      <w:numPr>
        <w:ilvl w:val="3"/>
        <w:numId w:val="1"/>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000B09"/>
    <w:pPr>
      <w:numPr>
        <w:ilvl w:val="4"/>
        <w:numId w:val="1"/>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000B09"/>
    <w:pPr>
      <w:numPr>
        <w:ilvl w:val="5"/>
        <w:numId w:val="1"/>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000B09"/>
    <w:pPr>
      <w:numPr>
        <w:ilvl w:val="6"/>
        <w:numId w:val="1"/>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000B09"/>
    <w:pPr>
      <w:numPr>
        <w:ilvl w:val="7"/>
        <w:numId w:val="1"/>
      </w:numPr>
      <w:spacing w:after="240" w:line="240" w:lineRule="auto"/>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000B09"/>
    <w:pPr>
      <w:numPr>
        <w:ilvl w:val="8"/>
        <w:numId w:val="1"/>
      </w:numPr>
      <w:spacing w:after="240" w:line="240" w:lineRule="auto"/>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301A"/>
    <w:pPr>
      <w:spacing w:line="240" w:lineRule="auto"/>
    </w:pPr>
    <w:rPr>
      <w:sz w:val="20"/>
      <w:szCs w:val="20"/>
    </w:rPr>
  </w:style>
  <w:style w:type="character" w:customStyle="1" w:styleId="FootnoteTextChar">
    <w:name w:val="Footnote Text Char"/>
    <w:basedOn w:val="DefaultParagraphFont"/>
    <w:link w:val="FootnoteText"/>
    <w:uiPriority w:val="99"/>
    <w:semiHidden/>
    <w:rsid w:val="0074301A"/>
    <w:rPr>
      <w:sz w:val="20"/>
      <w:szCs w:val="20"/>
    </w:rPr>
  </w:style>
  <w:style w:type="character" w:styleId="FootnoteReference">
    <w:name w:val="footnote reference"/>
    <w:aliases w:val="Style 42,o,fr,(NECG) Footnote Reference,Style 17,Style 20,Style 13,Style 12,o1,fr1,o2,fr2,o3,fr3,Style 15,Style 8,Style 9,Style 18,Style 7,Style 19,Style 28"/>
    <w:basedOn w:val="DefaultParagraphFont"/>
    <w:uiPriority w:val="99"/>
    <w:unhideWhenUsed/>
    <w:rsid w:val="00BF62FB"/>
    <w:rPr>
      <w:vertAlign w:val="superscript"/>
    </w:rPr>
  </w:style>
  <w:style w:type="character" w:customStyle="1" w:styleId="Heading1Char">
    <w:name w:val="Heading 1 Char"/>
    <w:basedOn w:val="DefaultParagraphFont"/>
    <w:link w:val="Heading1"/>
    <w:uiPriority w:val="9"/>
    <w:rsid w:val="00000B09"/>
    <w:rPr>
      <w:rFonts w:eastAsiaTheme="majorEastAsia" w:cs="Arial"/>
      <w:b/>
      <w:bCs/>
      <w:caps/>
      <w:szCs w:val="28"/>
      <w:u w:val="single"/>
    </w:rPr>
  </w:style>
  <w:style w:type="character" w:customStyle="1" w:styleId="Heading2Char">
    <w:name w:val="Heading 2 Char"/>
    <w:basedOn w:val="DefaultParagraphFont"/>
    <w:link w:val="Heading2"/>
    <w:uiPriority w:val="9"/>
    <w:semiHidden/>
    <w:rsid w:val="00000B09"/>
    <w:rPr>
      <w:rFonts w:eastAsiaTheme="majorEastAsia" w:cs="Arial"/>
      <w:b/>
      <w:bCs/>
      <w:szCs w:val="26"/>
    </w:rPr>
  </w:style>
  <w:style w:type="character" w:customStyle="1" w:styleId="Heading3Char">
    <w:name w:val="Heading 3 Char"/>
    <w:basedOn w:val="DefaultParagraphFont"/>
    <w:link w:val="Heading3"/>
    <w:uiPriority w:val="9"/>
    <w:semiHidden/>
    <w:rsid w:val="00000B09"/>
    <w:rPr>
      <w:rFonts w:eastAsiaTheme="majorEastAsia" w:cs="Arial"/>
      <w:b/>
      <w:bCs/>
    </w:rPr>
  </w:style>
  <w:style w:type="character" w:customStyle="1" w:styleId="Heading4Char">
    <w:name w:val="Heading 4 Char"/>
    <w:basedOn w:val="DefaultParagraphFont"/>
    <w:link w:val="Heading4"/>
    <w:uiPriority w:val="9"/>
    <w:semiHidden/>
    <w:rsid w:val="00000B09"/>
    <w:rPr>
      <w:rFonts w:eastAsiaTheme="majorEastAsia" w:cs="Arial"/>
      <w:b/>
      <w:bCs/>
      <w:i/>
      <w:iCs/>
    </w:rPr>
  </w:style>
  <w:style w:type="character" w:customStyle="1" w:styleId="Heading5Char">
    <w:name w:val="Heading 5 Char"/>
    <w:basedOn w:val="DefaultParagraphFont"/>
    <w:link w:val="Heading5"/>
    <w:uiPriority w:val="9"/>
    <w:semiHidden/>
    <w:rsid w:val="00000B09"/>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000B09"/>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000B09"/>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000B09"/>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000B09"/>
    <w:rPr>
      <w:rFonts w:asciiTheme="majorHAnsi" w:eastAsiaTheme="majorEastAsia" w:hAnsiTheme="majorHAnsi" w:cs="Arial"/>
      <w:iCs/>
      <w:color w:val="404040" w:themeColor="text1" w:themeTint="BF"/>
      <w:szCs w:val="20"/>
    </w:rPr>
  </w:style>
  <w:style w:type="paragraph" w:styleId="BodyText">
    <w:name w:val="Body Text"/>
    <w:basedOn w:val="Normal"/>
    <w:link w:val="BodyTextChar"/>
    <w:uiPriority w:val="99"/>
    <w:semiHidden/>
    <w:unhideWhenUsed/>
    <w:rsid w:val="00000B09"/>
    <w:pPr>
      <w:spacing w:after="120"/>
    </w:pPr>
  </w:style>
  <w:style w:type="character" w:customStyle="1" w:styleId="BodyTextChar">
    <w:name w:val="Body Text Char"/>
    <w:basedOn w:val="DefaultParagraphFont"/>
    <w:link w:val="BodyText"/>
    <w:uiPriority w:val="99"/>
    <w:semiHidden/>
    <w:rsid w:val="00000B09"/>
  </w:style>
  <w:style w:type="paragraph" w:styleId="Header">
    <w:name w:val="header"/>
    <w:basedOn w:val="Normal"/>
    <w:link w:val="HeaderChar"/>
    <w:uiPriority w:val="99"/>
    <w:unhideWhenUsed/>
    <w:rsid w:val="00895A0E"/>
    <w:pPr>
      <w:tabs>
        <w:tab w:val="center" w:pos="4680"/>
        <w:tab w:val="right" w:pos="9360"/>
      </w:tabs>
      <w:spacing w:line="240" w:lineRule="auto"/>
    </w:pPr>
  </w:style>
  <w:style w:type="character" w:customStyle="1" w:styleId="HeaderChar">
    <w:name w:val="Header Char"/>
    <w:basedOn w:val="DefaultParagraphFont"/>
    <w:link w:val="Header"/>
    <w:uiPriority w:val="99"/>
    <w:rsid w:val="00895A0E"/>
  </w:style>
  <w:style w:type="paragraph" w:styleId="Footer">
    <w:name w:val="footer"/>
    <w:basedOn w:val="Normal"/>
    <w:link w:val="FooterChar"/>
    <w:uiPriority w:val="99"/>
    <w:unhideWhenUsed/>
    <w:rsid w:val="00895A0E"/>
    <w:pPr>
      <w:tabs>
        <w:tab w:val="center" w:pos="4680"/>
        <w:tab w:val="right" w:pos="9360"/>
      </w:tabs>
      <w:spacing w:line="240" w:lineRule="auto"/>
    </w:pPr>
  </w:style>
  <w:style w:type="character" w:customStyle="1" w:styleId="FooterChar">
    <w:name w:val="Footer Char"/>
    <w:basedOn w:val="DefaultParagraphFont"/>
    <w:link w:val="Footer"/>
    <w:uiPriority w:val="99"/>
    <w:rsid w:val="00895A0E"/>
  </w:style>
  <w:style w:type="paragraph" w:styleId="BalloonText">
    <w:name w:val="Balloon Text"/>
    <w:basedOn w:val="Normal"/>
    <w:link w:val="BalloonTextChar"/>
    <w:uiPriority w:val="99"/>
    <w:semiHidden/>
    <w:unhideWhenUsed/>
    <w:rsid w:val="00416C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C9C"/>
    <w:rPr>
      <w:rFonts w:ascii="Tahoma" w:hAnsi="Tahoma" w:cs="Tahoma"/>
      <w:sz w:val="16"/>
      <w:szCs w:val="16"/>
    </w:rPr>
  </w:style>
  <w:style w:type="character" w:styleId="CommentReference">
    <w:name w:val="annotation reference"/>
    <w:basedOn w:val="DefaultParagraphFont"/>
    <w:uiPriority w:val="99"/>
    <w:semiHidden/>
    <w:unhideWhenUsed/>
    <w:rsid w:val="004D0FFF"/>
    <w:rPr>
      <w:sz w:val="16"/>
      <w:szCs w:val="16"/>
    </w:rPr>
  </w:style>
  <w:style w:type="paragraph" w:styleId="CommentText">
    <w:name w:val="annotation text"/>
    <w:basedOn w:val="Normal"/>
    <w:link w:val="CommentTextChar"/>
    <w:uiPriority w:val="99"/>
    <w:semiHidden/>
    <w:unhideWhenUsed/>
    <w:rsid w:val="004D0FFF"/>
    <w:pPr>
      <w:spacing w:line="240" w:lineRule="auto"/>
    </w:pPr>
    <w:rPr>
      <w:sz w:val="20"/>
      <w:szCs w:val="20"/>
    </w:rPr>
  </w:style>
  <w:style w:type="character" w:customStyle="1" w:styleId="CommentTextChar">
    <w:name w:val="Comment Text Char"/>
    <w:basedOn w:val="DefaultParagraphFont"/>
    <w:link w:val="CommentText"/>
    <w:uiPriority w:val="99"/>
    <w:semiHidden/>
    <w:rsid w:val="004D0FFF"/>
    <w:rPr>
      <w:sz w:val="20"/>
      <w:szCs w:val="20"/>
    </w:rPr>
  </w:style>
  <w:style w:type="paragraph" w:styleId="CommentSubject">
    <w:name w:val="annotation subject"/>
    <w:basedOn w:val="CommentText"/>
    <w:next w:val="CommentText"/>
    <w:link w:val="CommentSubjectChar"/>
    <w:uiPriority w:val="99"/>
    <w:semiHidden/>
    <w:unhideWhenUsed/>
    <w:rsid w:val="004D0FFF"/>
    <w:rPr>
      <w:b/>
      <w:bCs/>
    </w:rPr>
  </w:style>
  <w:style w:type="character" w:customStyle="1" w:styleId="CommentSubjectChar">
    <w:name w:val="Comment Subject Char"/>
    <w:basedOn w:val="CommentTextChar"/>
    <w:link w:val="CommentSubject"/>
    <w:uiPriority w:val="99"/>
    <w:semiHidden/>
    <w:rsid w:val="004D0F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mailto:dboehm@BKLlawfirm.com"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hyperlink" Target="mailto:jonathan.tauber@puc.state.oh.us"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yperlink" Target="mailto:jkyler@BKLlawfirm.com" TargetMode="External"/><Relationship Id="rId36" Type="http://schemas.openxmlformats.org/officeDocument/2006/relationships/hyperlink" Target="mailto:werner.margard@puc.state.oh.us"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yperlink" Target="mailto:mkurtz@BKLlawfirm.com" TargetMode="External"/><Relationship Id="rId30" Type="http://schemas.openxmlformats.org/officeDocument/2006/relationships/header" Target="header11.xml"/><Relationship Id="rId35" Type="http://schemas.openxmlformats.org/officeDocument/2006/relationships/hyperlink" Target="mailto:ricks@oh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10</Pages>
  <Words>1693</Words>
  <Characters>10035</Characters>
  <Application>Microsoft Office Word</Application>
  <DocSecurity>0</DocSecurity>
  <PresentationFormat/>
  <Lines>282</Lines>
  <Paragraphs>140</Paragraphs>
  <ScaleCrop>false</ScaleCrop>
  <HeadingPairs>
    <vt:vector size="2" baseType="variant">
      <vt:variant>
        <vt:lpstr>Title</vt:lpstr>
      </vt:variant>
      <vt:variant>
        <vt:i4>1</vt:i4>
      </vt:variant>
    </vt:vector>
  </HeadingPairs>
  <TitlesOfParts>
    <vt:vector size="1" baseType="lpstr">
      <vt:lpstr>AEP storm case; 12-3255; reply to occ application for rehearing (C43614-2).DOCX</vt:lpstr>
    </vt:vector>
  </TitlesOfParts>
  <Company/>
  <LinksUpToDate>false</LinksUpToDate>
  <CharactersWithSpaces>11646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AEP storm case; 12-3255; reply to occ application for rehearing (C43614-2).DOCX</dc:title>
  <dc:subject>C43614:2 /font=8</dc:subject>
  <dc:creator>Frank Darr</dc:creator>
  <cp:keywords/>
  <dc:description/>
  <cp:lastModifiedBy>_</cp:lastModifiedBy>
  <cp:revision>13</cp:revision>
  <cp:lastPrinted>2014-05-05T13:05:00Z</cp:lastPrinted>
  <dcterms:created xsi:type="dcterms:W3CDTF">2014-05-03T10:29:00Z</dcterms:created>
  <dcterms:modified xsi:type="dcterms:W3CDTF">2014-05-10T16:01:00Z</dcterms:modified>
</cp:coreProperties>
</file>