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65D3" w14:textId="2CABE654" w:rsidR="0043686D" w:rsidRDefault="0043686D" w:rsidP="00676CE0">
      <w:pPr>
        <w:pStyle w:val="Title"/>
        <w:rPr>
          <w:rFonts w:ascii="Calibri" w:hAnsi="Calibri"/>
        </w:rPr>
      </w:pPr>
    </w:p>
    <w:p w14:paraId="708F4177" w14:textId="77777777" w:rsidR="00676CE0" w:rsidRPr="009E5460" w:rsidRDefault="00676CE0" w:rsidP="00676CE0">
      <w:pPr>
        <w:pStyle w:val="Title"/>
        <w:rPr>
          <w:rFonts w:ascii="Calibri" w:hAnsi="Calibri"/>
        </w:rPr>
      </w:pPr>
      <w:r w:rsidRPr="009E5460">
        <w:rPr>
          <w:rFonts w:ascii="Calibri" w:hAnsi="Calibri"/>
        </w:rPr>
        <w:t>BEFORE</w:t>
      </w:r>
    </w:p>
    <w:p w14:paraId="42CF6F23" w14:textId="77777777" w:rsidR="00676CE0" w:rsidRPr="009E5460" w:rsidRDefault="00676CE0" w:rsidP="00676CE0">
      <w:pPr>
        <w:jc w:val="center"/>
        <w:rPr>
          <w:rFonts w:ascii="Calibri" w:hAnsi="Calibri"/>
          <w:b/>
        </w:rPr>
      </w:pPr>
      <w:r w:rsidRPr="009E5460">
        <w:rPr>
          <w:rFonts w:ascii="Calibri" w:hAnsi="Calibri"/>
          <w:b/>
        </w:rPr>
        <w:t>THE PUBLIC UTILITIES COMMISSION OF OHIO</w:t>
      </w:r>
    </w:p>
    <w:p w14:paraId="2AE763C3" w14:textId="77777777" w:rsidR="00676CE0" w:rsidRPr="009E5460" w:rsidRDefault="00676CE0" w:rsidP="00676CE0">
      <w:pPr>
        <w:rPr>
          <w:rFonts w:ascii="Calibri" w:hAnsi="Calibri"/>
          <w:b/>
        </w:rPr>
      </w:pPr>
    </w:p>
    <w:p w14:paraId="09EB05B6" w14:textId="77777777" w:rsidR="00676CE0" w:rsidRPr="009E5460" w:rsidRDefault="00676CE0" w:rsidP="00676CE0">
      <w:pPr>
        <w:rPr>
          <w:rFonts w:ascii="Calibri" w:hAnsi="Calibri"/>
        </w:rPr>
      </w:pPr>
    </w:p>
    <w:p w14:paraId="1846D0BD" w14:textId="77777777" w:rsidR="00FF1BBB" w:rsidRPr="00FF18E1" w:rsidRDefault="00FF1BBB" w:rsidP="00FF1BBB">
      <w:pPr>
        <w:tabs>
          <w:tab w:val="left" w:pos="5040"/>
          <w:tab w:val="left" w:pos="5797"/>
          <w:tab w:val="left" w:pos="6919"/>
        </w:tabs>
        <w:rPr>
          <w:rFonts w:ascii="Calibri" w:hAnsi="Calibri"/>
        </w:rPr>
      </w:pPr>
      <w:r w:rsidRPr="00FF18E1">
        <w:rPr>
          <w:rFonts w:ascii="Calibri" w:hAnsi="Calibri"/>
        </w:rPr>
        <w:t xml:space="preserve">In the Matter of the Application of </w:t>
      </w:r>
      <w:smartTag w:uri="urn:schemas-microsoft-com:office:smarttags" w:element="State">
        <w:r w:rsidRPr="00FF18E1">
          <w:rPr>
            <w:rFonts w:ascii="Calibri" w:hAnsi="Calibri"/>
          </w:rPr>
          <w:t>Ohio</w:t>
        </w:r>
      </w:smartTag>
      <w:r w:rsidRPr="00FF18E1">
        <w:rPr>
          <w:rFonts w:ascii="Calibri" w:hAnsi="Calibri"/>
        </w:rPr>
        <w:t xml:space="preserve"> </w:t>
      </w:r>
      <w:smartTag w:uri="urn:schemas-microsoft-com:office:smarttags" w:element="place">
        <w:r w:rsidRPr="00FF18E1">
          <w:rPr>
            <w:rFonts w:ascii="Calibri" w:hAnsi="Calibri"/>
          </w:rPr>
          <w:t>Edison</w:t>
        </w:r>
      </w:smartTag>
      <w:r>
        <w:rPr>
          <w:rFonts w:ascii="Calibri" w:hAnsi="Calibri"/>
        </w:rPr>
        <w:tab/>
      </w:r>
      <w:r w:rsidRPr="00FF18E1">
        <w:rPr>
          <w:rFonts w:ascii="Calibri" w:hAnsi="Calibri"/>
        </w:rPr>
        <w:t>)</w:t>
      </w:r>
    </w:p>
    <w:p w14:paraId="6FC2B049" w14:textId="77777777" w:rsidR="00FF1BBB" w:rsidRPr="00FF18E1" w:rsidRDefault="00FF1BBB" w:rsidP="00FF1BBB">
      <w:pPr>
        <w:tabs>
          <w:tab w:val="left" w:pos="5040"/>
          <w:tab w:val="left" w:pos="5797"/>
          <w:tab w:val="left" w:pos="6919"/>
        </w:tabs>
        <w:rPr>
          <w:rFonts w:ascii="Calibri" w:hAnsi="Calibri"/>
        </w:rPr>
      </w:pPr>
      <w:r w:rsidRPr="00FF18E1">
        <w:rPr>
          <w:rFonts w:ascii="Calibri" w:hAnsi="Calibri"/>
        </w:rPr>
        <w:t xml:space="preserve">Company, The </w:t>
      </w:r>
      <w:smartTag w:uri="urn:schemas-microsoft-com:office:smarttags" w:element="place">
        <w:smartTag w:uri="urn:schemas-microsoft-com:office:smarttags" w:element="City">
          <w:r w:rsidRPr="00FF18E1">
            <w:rPr>
              <w:rFonts w:ascii="Calibri" w:hAnsi="Calibri"/>
            </w:rPr>
            <w:t>Cleveland</w:t>
          </w:r>
        </w:smartTag>
      </w:smartTag>
      <w:r w:rsidRPr="00FF18E1">
        <w:rPr>
          <w:rFonts w:ascii="Calibri" w:hAnsi="Calibri"/>
        </w:rPr>
        <w:t xml:space="preserve"> Electric Illuminating </w:t>
      </w:r>
      <w:r w:rsidRPr="00FF18E1">
        <w:rPr>
          <w:rFonts w:ascii="Calibri" w:hAnsi="Calibri"/>
        </w:rPr>
        <w:tab/>
        <w:t>)</w:t>
      </w:r>
    </w:p>
    <w:p w14:paraId="1AF1C141" w14:textId="5E40CA3A" w:rsidR="00FF1BBB" w:rsidRPr="00FF18E1" w:rsidRDefault="00FF1BBB" w:rsidP="00FF1BBB">
      <w:pPr>
        <w:tabs>
          <w:tab w:val="left" w:pos="5040"/>
          <w:tab w:val="left" w:pos="5797"/>
          <w:tab w:val="left" w:pos="6919"/>
        </w:tabs>
        <w:rPr>
          <w:rFonts w:ascii="Calibri" w:hAnsi="Calibri"/>
        </w:rPr>
      </w:pPr>
      <w:r w:rsidRPr="00FF18E1">
        <w:rPr>
          <w:rFonts w:ascii="Calibri" w:hAnsi="Calibri"/>
        </w:rPr>
        <w:t>Company and The Toledo Edison Company for</w:t>
      </w:r>
      <w:r w:rsidRPr="00FF18E1">
        <w:rPr>
          <w:rFonts w:ascii="Calibri" w:hAnsi="Calibri"/>
        </w:rPr>
        <w:tab/>
        <w:t>)</w:t>
      </w:r>
      <w:r>
        <w:rPr>
          <w:rFonts w:ascii="Calibri" w:hAnsi="Calibri"/>
        </w:rPr>
        <w:tab/>
      </w:r>
      <w:r w:rsidRPr="00FF18E1">
        <w:rPr>
          <w:rFonts w:ascii="Calibri" w:hAnsi="Calibri"/>
        </w:rPr>
        <w:t>Case No.</w:t>
      </w:r>
      <w:r w:rsidR="00A94C9A">
        <w:rPr>
          <w:rFonts w:ascii="Calibri" w:hAnsi="Calibri"/>
        </w:rPr>
        <w:t xml:space="preserve"> </w:t>
      </w:r>
      <w:r w:rsidR="002028F5">
        <w:rPr>
          <w:rFonts w:ascii="Calibri" w:hAnsi="Calibri"/>
        </w:rPr>
        <w:t>23-301</w:t>
      </w:r>
      <w:r>
        <w:rPr>
          <w:rFonts w:ascii="Calibri" w:hAnsi="Calibri"/>
        </w:rPr>
        <w:t>-EL-SSO</w:t>
      </w:r>
    </w:p>
    <w:p w14:paraId="478FA145" w14:textId="64917911" w:rsidR="00FF1BBB" w:rsidRPr="00FF18E1" w:rsidRDefault="00FF1BBB" w:rsidP="00FF1BBB">
      <w:pPr>
        <w:tabs>
          <w:tab w:val="left" w:pos="5040"/>
          <w:tab w:val="left" w:pos="5797"/>
          <w:tab w:val="left" w:pos="6919"/>
        </w:tabs>
        <w:rPr>
          <w:rFonts w:ascii="Calibri" w:hAnsi="Calibri"/>
        </w:rPr>
      </w:pPr>
      <w:r>
        <w:rPr>
          <w:rFonts w:ascii="Calibri" w:hAnsi="Calibri"/>
        </w:rPr>
        <w:t xml:space="preserve">Authority to </w:t>
      </w:r>
      <w:r w:rsidR="00000908">
        <w:rPr>
          <w:rFonts w:ascii="Calibri" w:hAnsi="Calibri"/>
        </w:rPr>
        <w:t>Establish</w:t>
      </w:r>
      <w:r>
        <w:rPr>
          <w:rFonts w:ascii="Calibri" w:hAnsi="Calibri"/>
        </w:rPr>
        <w:t xml:space="preserve"> a Standard Service Offer</w:t>
      </w:r>
      <w:r w:rsidRPr="00FF18E1">
        <w:rPr>
          <w:rFonts w:ascii="Calibri" w:hAnsi="Calibri"/>
        </w:rPr>
        <w:tab/>
        <w:t>)</w:t>
      </w:r>
      <w:r>
        <w:rPr>
          <w:rFonts w:ascii="Calibri" w:hAnsi="Calibri"/>
        </w:rPr>
        <w:tab/>
      </w:r>
      <w:r>
        <w:rPr>
          <w:rFonts w:ascii="Calibri" w:hAnsi="Calibri"/>
        </w:rPr>
        <w:tab/>
      </w:r>
    </w:p>
    <w:p w14:paraId="6C2AB8EB" w14:textId="77777777" w:rsidR="00FF1BBB" w:rsidRPr="00FF18E1" w:rsidRDefault="00FF1BBB" w:rsidP="00FF1BBB">
      <w:pPr>
        <w:tabs>
          <w:tab w:val="left" w:pos="5040"/>
          <w:tab w:val="left" w:pos="5797"/>
          <w:tab w:val="left" w:pos="6919"/>
        </w:tabs>
        <w:rPr>
          <w:rFonts w:ascii="Calibri" w:hAnsi="Calibri"/>
        </w:rPr>
      </w:pPr>
      <w:r>
        <w:rPr>
          <w:rFonts w:ascii="Calibri" w:hAnsi="Calibri"/>
        </w:rPr>
        <w:t>Pursuant to R.C. § 4928.143 in the Form of an</w:t>
      </w:r>
      <w:r w:rsidRPr="00FF18E1">
        <w:rPr>
          <w:rFonts w:ascii="Calibri" w:hAnsi="Calibri"/>
        </w:rPr>
        <w:tab/>
        <w:t>)</w:t>
      </w:r>
      <w:r>
        <w:rPr>
          <w:rFonts w:ascii="Calibri" w:hAnsi="Calibri"/>
        </w:rPr>
        <w:tab/>
      </w:r>
      <w:r>
        <w:rPr>
          <w:rFonts w:ascii="Calibri" w:hAnsi="Calibri"/>
        </w:rPr>
        <w:tab/>
      </w:r>
    </w:p>
    <w:p w14:paraId="3E04FBF1" w14:textId="77777777" w:rsidR="00FF1BBB" w:rsidRPr="00FF18E1" w:rsidRDefault="00FF1BBB" w:rsidP="00FF1BBB">
      <w:pPr>
        <w:tabs>
          <w:tab w:val="left" w:pos="5040"/>
          <w:tab w:val="left" w:pos="5797"/>
          <w:tab w:val="left" w:pos="6919"/>
        </w:tabs>
        <w:rPr>
          <w:rFonts w:ascii="Calibri" w:hAnsi="Calibri"/>
        </w:rPr>
      </w:pPr>
      <w:r>
        <w:rPr>
          <w:rFonts w:ascii="Calibri" w:hAnsi="Calibri"/>
        </w:rPr>
        <w:t>Electric Security Plan</w:t>
      </w:r>
      <w:r w:rsidRPr="00FF18E1">
        <w:rPr>
          <w:rFonts w:ascii="Calibri" w:hAnsi="Calibri"/>
        </w:rPr>
        <w:tab/>
        <w:t>)</w:t>
      </w:r>
    </w:p>
    <w:p w14:paraId="60422E08" w14:textId="77777777" w:rsidR="00FF1BBB" w:rsidRPr="00D74A58" w:rsidRDefault="00FF1BBB" w:rsidP="00FF1BBB">
      <w:pPr>
        <w:tabs>
          <w:tab w:val="left" w:pos="6358"/>
          <w:tab w:val="left" w:pos="7667"/>
        </w:tabs>
        <w:rPr>
          <w:rFonts w:ascii="Calibri" w:hAnsi="Calibri"/>
        </w:rPr>
      </w:pPr>
    </w:p>
    <w:p w14:paraId="65ECCECF" w14:textId="77777777" w:rsidR="00676CE0" w:rsidRDefault="00676CE0" w:rsidP="00676CE0">
      <w:pPr>
        <w:pBdr>
          <w:bottom w:val="single" w:sz="12" w:space="1" w:color="auto"/>
        </w:pBdr>
        <w:jc w:val="center"/>
        <w:rPr>
          <w:rFonts w:ascii="Calibri" w:hAnsi="Calibri"/>
        </w:rPr>
      </w:pPr>
    </w:p>
    <w:p w14:paraId="48C6B63D" w14:textId="77777777" w:rsidR="00FF1BBB" w:rsidRPr="009E5460" w:rsidRDefault="00FF1BBB" w:rsidP="00676CE0">
      <w:pPr>
        <w:pBdr>
          <w:bottom w:val="single" w:sz="12" w:space="1" w:color="auto"/>
        </w:pBdr>
        <w:jc w:val="center"/>
        <w:rPr>
          <w:rFonts w:ascii="Calibri" w:hAnsi="Calibri"/>
        </w:rPr>
      </w:pPr>
    </w:p>
    <w:p w14:paraId="0A4A103D" w14:textId="77777777" w:rsidR="00676CE0" w:rsidRPr="009E5460" w:rsidRDefault="00676CE0" w:rsidP="00676CE0">
      <w:pPr>
        <w:jc w:val="center"/>
        <w:rPr>
          <w:rFonts w:ascii="Calibri" w:hAnsi="Calibri"/>
        </w:rPr>
      </w:pPr>
    </w:p>
    <w:p w14:paraId="565DB1FA" w14:textId="3B4D1B72" w:rsidR="00676CE0" w:rsidRPr="009E5460" w:rsidRDefault="00E162C4" w:rsidP="00676CE0">
      <w:pPr>
        <w:jc w:val="center"/>
        <w:rPr>
          <w:rFonts w:ascii="Calibri" w:hAnsi="Calibri"/>
          <w:b/>
          <w:bCs/>
        </w:rPr>
      </w:pPr>
      <w:r>
        <w:rPr>
          <w:rFonts w:ascii="Calibri" w:hAnsi="Calibri"/>
          <w:b/>
          <w:bCs/>
        </w:rPr>
        <w:t>INITIAL</w:t>
      </w:r>
      <w:r w:rsidR="00972B8C">
        <w:rPr>
          <w:rFonts w:ascii="Calibri" w:hAnsi="Calibri"/>
          <w:b/>
          <w:bCs/>
        </w:rPr>
        <w:t xml:space="preserve"> </w:t>
      </w:r>
      <w:r w:rsidR="00676CE0" w:rsidRPr="009E5460">
        <w:rPr>
          <w:rFonts w:ascii="Calibri" w:hAnsi="Calibri"/>
          <w:b/>
          <w:bCs/>
        </w:rPr>
        <w:t xml:space="preserve">BRIEF </w:t>
      </w:r>
      <w:r w:rsidR="000627A2">
        <w:rPr>
          <w:rFonts w:ascii="Calibri" w:hAnsi="Calibri"/>
          <w:b/>
          <w:bCs/>
        </w:rPr>
        <w:t>BY</w:t>
      </w:r>
      <w:r w:rsidR="00676CE0" w:rsidRPr="009E5460">
        <w:rPr>
          <w:rFonts w:ascii="Calibri" w:hAnsi="Calibri"/>
          <w:b/>
          <w:bCs/>
        </w:rPr>
        <w:t xml:space="preserve"> NUCOR STEEL MARION, INC.</w:t>
      </w:r>
    </w:p>
    <w:p w14:paraId="6381980A" w14:textId="77777777" w:rsidR="00676CE0" w:rsidRPr="009E5460" w:rsidRDefault="00676CE0" w:rsidP="00676CE0">
      <w:pPr>
        <w:pBdr>
          <w:bottom w:val="single" w:sz="12" w:space="1" w:color="auto"/>
        </w:pBdr>
        <w:tabs>
          <w:tab w:val="left" w:pos="6461"/>
        </w:tabs>
        <w:rPr>
          <w:rFonts w:ascii="Calibri" w:hAnsi="Calibri"/>
        </w:rPr>
      </w:pPr>
      <w:r w:rsidRPr="009E5460">
        <w:rPr>
          <w:rFonts w:ascii="Calibri" w:hAnsi="Calibri"/>
        </w:rPr>
        <w:tab/>
      </w:r>
    </w:p>
    <w:p w14:paraId="7DB297C3" w14:textId="77777777" w:rsidR="00676CE0" w:rsidRPr="009E5460" w:rsidRDefault="00676CE0" w:rsidP="00676CE0">
      <w:pPr>
        <w:rPr>
          <w:rFonts w:ascii="Calibri" w:hAnsi="Calibri"/>
        </w:rPr>
      </w:pPr>
    </w:p>
    <w:p w14:paraId="477515C4" w14:textId="77777777" w:rsidR="00676CE0" w:rsidRPr="009E5460" w:rsidRDefault="00676CE0" w:rsidP="00676CE0">
      <w:pPr>
        <w:rPr>
          <w:rFonts w:ascii="Calibri" w:hAnsi="Calibri"/>
        </w:rPr>
      </w:pPr>
    </w:p>
    <w:p w14:paraId="71D0D8D7" w14:textId="77777777" w:rsidR="00676CE0" w:rsidRPr="009E5460" w:rsidRDefault="00676CE0" w:rsidP="00676CE0">
      <w:pPr>
        <w:jc w:val="both"/>
        <w:rPr>
          <w:rFonts w:ascii="Calibri" w:hAnsi="Calibri"/>
        </w:rPr>
      </w:pPr>
    </w:p>
    <w:p w14:paraId="741BABBC" w14:textId="77777777" w:rsidR="000A200E" w:rsidRDefault="00676CE0" w:rsidP="00676CE0">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Michael K. Lavanga</w:t>
      </w:r>
      <w:r w:rsidR="00D469BB" w:rsidRPr="009E5460">
        <w:rPr>
          <w:rFonts w:ascii="Calibri" w:hAnsi="Calibri"/>
        </w:rPr>
        <w:t xml:space="preserve"> </w:t>
      </w:r>
    </w:p>
    <w:p w14:paraId="64984068" w14:textId="77777777" w:rsidR="00E44676" w:rsidRDefault="00E44676" w:rsidP="00676CE0">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Counsel of Record </w:t>
      </w:r>
    </w:p>
    <w:p w14:paraId="3FEBD263" w14:textId="03336178" w:rsidR="00676CE0" w:rsidRPr="009E5460" w:rsidRDefault="000A200E" w:rsidP="00676CE0">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PHV #</w:t>
      </w:r>
      <w:r w:rsidR="004454D5">
        <w:rPr>
          <w:rFonts w:ascii="Calibri" w:hAnsi="Calibri"/>
        </w:rPr>
        <w:t>1014-20</w:t>
      </w:r>
      <w:r w:rsidR="002028F5">
        <w:rPr>
          <w:rFonts w:ascii="Calibri" w:hAnsi="Calibri"/>
        </w:rPr>
        <w:t>23</w:t>
      </w:r>
      <w:r w:rsidR="00D469BB" w:rsidRPr="009E5460">
        <w:rPr>
          <w:rFonts w:ascii="Calibri" w:hAnsi="Calibri"/>
        </w:rPr>
        <w:t xml:space="preserve"> </w:t>
      </w:r>
    </w:p>
    <w:p w14:paraId="54F2FC6D" w14:textId="77777777" w:rsidR="00676CE0" w:rsidRPr="009E5460" w:rsidRDefault="00D469BB" w:rsidP="00676CE0">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00676CE0" w:rsidRPr="009E5460">
        <w:rPr>
          <w:rFonts w:ascii="Calibri" w:hAnsi="Calibri"/>
        </w:rPr>
        <w:t>E-Mail:</w:t>
      </w:r>
      <w:r w:rsidRPr="009E5460">
        <w:rPr>
          <w:rFonts w:ascii="Calibri" w:hAnsi="Calibri"/>
        </w:rPr>
        <w:t xml:space="preserve"> </w:t>
      </w:r>
      <w:hyperlink r:id="rId8" w:history="1">
        <w:r w:rsidR="004A4864" w:rsidRPr="003F6290">
          <w:rPr>
            <w:rStyle w:val="Hyperlink"/>
            <w:rFonts w:ascii="Calibri" w:hAnsi="Calibri"/>
          </w:rPr>
          <w:t>mkl@smxblaw.com</w:t>
        </w:r>
      </w:hyperlink>
      <w:r w:rsidR="00676CE0" w:rsidRPr="009E5460">
        <w:rPr>
          <w:rFonts w:ascii="Calibri" w:hAnsi="Calibri"/>
        </w:rPr>
        <w:t xml:space="preserve"> </w:t>
      </w:r>
    </w:p>
    <w:p w14:paraId="08CAC0FC" w14:textId="77D50930" w:rsidR="004A4864" w:rsidRDefault="00676CE0" w:rsidP="00676CE0">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002028F5">
        <w:rPr>
          <w:rFonts w:ascii="Calibri" w:hAnsi="Calibri"/>
        </w:rPr>
        <w:t>Joseph A. Briscar</w:t>
      </w:r>
    </w:p>
    <w:p w14:paraId="655A3FCA" w14:textId="03817FB9" w:rsidR="004A4864" w:rsidRDefault="004A4864" w:rsidP="00676CE0">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PHV</w:t>
      </w:r>
      <w:r w:rsidR="00A94C9A">
        <w:rPr>
          <w:rFonts w:ascii="Calibri" w:hAnsi="Calibri"/>
        </w:rPr>
        <w:t xml:space="preserve"> #</w:t>
      </w:r>
      <w:r w:rsidR="002028F5">
        <w:rPr>
          <w:rFonts w:ascii="Calibri" w:hAnsi="Calibri"/>
        </w:rPr>
        <w:t>21216</w:t>
      </w:r>
      <w:r w:rsidR="00A94C9A">
        <w:rPr>
          <w:rFonts w:ascii="Calibri" w:hAnsi="Calibri"/>
        </w:rPr>
        <w:t>-20</w:t>
      </w:r>
      <w:r w:rsidR="002028F5">
        <w:rPr>
          <w:rFonts w:ascii="Calibri" w:hAnsi="Calibri"/>
        </w:rPr>
        <w:t>23</w:t>
      </w:r>
    </w:p>
    <w:p w14:paraId="05F26937" w14:textId="6883061D" w:rsidR="003D24EF" w:rsidRDefault="003D24EF" w:rsidP="00676CE0">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E-Mail: </w:t>
      </w:r>
      <w:hyperlink r:id="rId9" w:history="1">
        <w:r w:rsidRPr="00BA0573">
          <w:rPr>
            <w:rStyle w:val="Hyperlink"/>
            <w:rFonts w:ascii="Calibri" w:hAnsi="Calibri"/>
          </w:rPr>
          <w:t>jrb@smxblaw.com</w:t>
        </w:r>
      </w:hyperlink>
    </w:p>
    <w:p w14:paraId="524E03B8" w14:textId="77777777" w:rsidR="00676CE0" w:rsidRPr="009E5460" w:rsidRDefault="004A4864" w:rsidP="004A4864">
      <w:pPr>
        <w:ind w:left="2880" w:firstLine="720"/>
        <w:jc w:val="both"/>
        <w:rPr>
          <w:rFonts w:ascii="Calibri" w:hAnsi="Calibri"/>
        </w:rPr>
      </w:pPr>
      <w:r>
        <w:rPr>
          <w:rFonts w:ascii="Calibri" w:hAnsi="Calibri"/>
        </w:rPr>
        <w:t>Stone Mattheis Xenopoulos &amp; Brew</w:t>
      </w:r>
      <w:r w:rsidR="00676CE0" w:rsidRPr="009E5460">
        <w:rPr>
          <w:rFonts w:ascii="Calibri" w:hAnsi="Calibri"/>
        </w:rPr>
        <w:t>, PC</w:t>
      </w:r>
    </w:p>
    <w:p w14:paraId="15F193CC" w14:textId="769B0D93" w:rsidR="00676CE0" w:rsidRPr="009E5460" w:rsidRDefault="00676CE0" w:rsidP="00676CE0">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 xml:space="preserve">1025 Thomas Jefferson Street, </w:t>
      </w:r>
      <w:r w:rsidR="00F5060C">
        <w:rPr>
          <w:rFonts w:ascii="Calibri" w:hAnsi="Calibri"/>
        </w:rPr>
        <w:t>NW</w:t>
      </w:r>
    </w:p>
    <w:p w14:paraId="6FBFA670" w14:textId="77777777" w:rsidR="00676CE0" w:rsidRPr="009E5460" w:rsidRDefault="00676CE0" w:rsidP="00676CE0">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8</w:t>
      </w:r>
      <w:r w:rsidRPr="009E5460">
        <w:rPr>
          <w:rFonts w:ascii="Calibri" w:hAnsi="Calibri"/>
          <w:vertAlign w:val="superscript"/>
        </w:rPr>
        <w:t>th</w:t>
      </w:r>
      <w:r w:rsidRPr="009E5460">
        <w:rPr>
          <w:rFonts w:ascii="Calibri" w:hAnsi="Calibri"/>
        </w:rPr>
        <w:t xml:space="preserve"> Floor, </w:t>
      </w:r>
      <w:smartTag w:uri="urn:schemas-microsoft-com:office:smarttags" w:element="place">
        <w:smartTag w:uri="urn:schemas-microsoft-com:office:smarttags" w:element="PlaceName">
          <w:r w:rsidRPr="009E5460">
            <w:rPr>
              <w:rFonts w:ascii="Calibri" w:hAnsi="Calibri"/>
            </w:rPr>
            <w:t>West</w:t>
          </w:r>
        </w:smartTag>
        <w:r w:rsidRPr="009E5460">
          <w:rPr>
            <w:rFonts w:ascii="Calibri" w:hAnsi="Calibri"/>
          </w:rPr>
          <w:t xml:space="preserve"> </w:t>
        </w:r>
        <w:smartTag w:uri="urn:schemas-microsoft-com:office:smarttags" w:element="PlaceType">
          <w:r w:rsidRPr="009E5460">
            <w:rPr>
              <w:rFonts w:ascii="Calibri" w:hAnsi="Calibri"/>
            </w:rPr>
            <w:t>Tower</w:t>
          </w:r>
        </w:smartTag>
      </w:smartTag>
    </w:p>
    <w:p w14:paraId="266112C5" w14:textId="3564BFEE" w:rsidR="00676CE0" w:rsidRPr="009E5460" w:rsidRDefault="00676CE0" w:rsidP="00676CE0">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 xml:space="preserve">Washington, </w:t>
      </w:r>
      <w:r w:rsidR="00F5060C">
        <w:rPr>
          <w:rFonts w:ascii="Calibri" w:hAnsi="Calibri"/>
        </w:rPr>
        <w:t>DC</w:t>
      </w:r>
      <w:r w:rsidRPr="009E5460">
        <w:rPr>
          <w:rFonts w:ascii="Calibri" w:hAnsi="Calibri"/>
        </w:rPr>
        <w:t xml:space="preserve"> 20007</w:t>
      </w:r>
    </w:p>
    <w:p w14:paraId="7519E19C" w14:textId="77777777" w:rsidR="00676CE0" w:rsidRPr="009E5460" w:rsidRDefault="00676CE0" w:rsidP="00676CE0">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(202) 342-0800 (Main Number)</w:t>
      </w:r>
    </w:p>
    <w:p w14:paraId="7CF119E6" w14:textId="77777777" w:rsidR="00676CE0" w:rsidRPr="009E5460" w:rsidRDefault="00676CE0" w:rsidP="00676CE0">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t>(202) 342-080</w:t>
      </w:r>
      <w:r w:rsidR="00C57F97">
        <w:rPr>
          <w:rFonts w:ascii="Calibri" w:hAnsi="Calibri"/>
        </w:rPr>
        <w:t>7</w:t>
      </w:r>
      <w:r w:rsidRPr="009E5460">
        <w:rPr>
          <w:rFonts w:ascii="Calibri" w:hAnsi="Calibri"/>
        </w:rPr>
        <w:t xml:space="preserve"> (Facsimile)</w:t>
      </w:r>
    </w:p>
    <w:p w14:paraId="487B930D" w14:textId="77777777" w:rsidR="00676CE0" w:rsidRPr="009E5460" w:rsidRDefault="00676CE0" w:rsidP="00676CE0">
      <w:pPr>
        <w:jc w:val="both"/>
        <w:rPr>
          <w:rFonts w:ascii="Calibri" w:hAnsi="Calibri"/>
        </w:rPr>
      </w:pP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r w:rsidRPr="009E5460">
        <w:rPr>
          <w:rFonts w:ascii="Calibri" w:hAnsi="Calibri"/>
        </w:rPr>
        <w:tab/>
      </w:r>
    </w:p>
    <w:p w14:paraId="47C5355C" w14:textId="77777777" w:rsidR="00676CE0" w:rsidRPr="009E5460" w:rsidRDefault="00676CE0" w:rsidP="00676CE0">
      <w:pPr>
        <w:ind w:left="3600"/>
        <w:rPr>
          <w:rFonts w:ascii="Calibri" w:hAnsi="Calibri"/>
        </w:rPr>
      </w:pPr>
      <w:r w:rsidRPr="009E5460">
        <w:rPr>
          <w:rFonts w:ascii="Calibri" w:hAnsi="Calibri"/>
          <w:b/>
          <w:bCs/>
        </w:rPr>
        <w:t>Attorneys for Nucor Steel Marion, Inc.</w:t>
      </w:r>
    </w:p>
    <w:p w14:paraId="739CE9E1" w14:textId="77777777" w:rsidR="00676CE0" w:rsidRPr="009E5460" w:rsidRDefault="00676CE0" w:rsidP="00676CE0">
      <w:pPr>
        <w:jc w:val="center"/>
        <w:rPr>
          <w:rFonts w:ascii="Calibri" w:hAnsi="Calibri"/>
          <w:b/>
          <w:bCs/>
        </w:rPr>
      </w:pPr>
    </w:p>
    <w:p w14:paraId="65C5464F" w14:textId="77777777" w:rsidR="00676CE0" w:rsidRPr="009E5460" w:rsidRDefault="00676CE0" w:rsidP="00676CE0">
      <w:pPr>
        <w:jc w:val="center"/>
        <w:rPr>
          <w:rFonts w:ascii="Calibri" w:hAnsi="Calibri"/>
          <w:b/>
          <w:bCs/>
        </w:rPr>
        <w:sectPr w:rsidR="00676CE0" w:rsidRPr="009E5460" w:rsidSect="00362B15">
          <w:headerReference w:type="default" r:id="rId10"/>
          <w:footerReference w:type="even" r:id="rId11"/>
          <w:footerReference w:type="default" r:id="rId12"/>
          <w:pgSz w:w="12240" w:h="15840" w:code="1"/>
          <w:pgMar w:top="1440" w:right="1440" w:bottom="1440" w:left="1440" w:header="720" w:footer="720" w:gutter="0"/>
          <w:pgNumType w:start="1"/>
          <w:cols w:space="720"/>
          <w:titlePg/>
          <w:docGrid w:linePitch="254"/>
        </w:sectPr>
      </w:pPr>
    </w:p>
    <w:p w14:paraId="5C27425A" w14:textId="77777777" w:rsidR="00676CE0" w:rsidRPr="009E5460" w:rsidRDefault="00676CE0" w:rsidP="00676CE0">
      <w:pPr>
        <w:jc w:val="center"/>
        <w:rPr>
          <w:rFonts w:ascii="Calibri" w:hAnsi="Calibri"/>
          <w:b/>
          <w:bCs/>
          <w:u w:val="single"/>
        </w:rPr>
      </w:pPr>
      <w:r w:rsidRPr="009E5460">
        <w:rPr>
          <w:rFonts w:ascii="Calibri" w:hAnsi="Calibri"/>
          <w:b/>
          <w:bCs/>
          <w:u w:val="single"/>
        </w:rPr>
        <w:lastRenderedPageBreak/>
        <w:t>TABLE OF CONTENTS</w:t>
      </w:r>
    </w:p>
    <w:p w14:paraId="692967FC" w14:textId="77777777" w:rsidR="00676CE0" w:rsidRDefault="00676CE0" w:rsidP="00676CE0">
      <w:pPr>
        <w:jc w:val="center"/>
        <w:rPr>
          <w:rFonts w:ascii="Calibri" w:hAnsi="Calibri"/>
          <w:b/>
          <w:bCs/>
        </w:rPr>
      </w:pPr>
    </w:p>
    <w:p w14:paraId="62F50721" w14:textId="1DF69679" w:rsidR="003873AB" w:rsidRDefault="003873AB">
      <w:pPr>
        <w:pStyle w:val="TOC1"/>
        <w:rPr>
          <w:rFonts w:asciiTheme="minorHAnsi" w:eastAsiaTheme="minorEastAsia" w:hAnsiTheme="minorHAnsi" w:cstheme="minorBidi"/>
          <w:b w:val="0"/>
          <w:noProof/>
          <w:kern w:val="2"/>
          <w:sz w:val="22"/>
          <w:szCs w:val="22"/>
          <w14:ligatures w14:val="standardContextual"/>
        </w:rPr>
      </w:pPr>
      <w:r>
        <w:rPr>
          <w:bCs/>
        </w:rPr>
        <w:fldChar w:fldCharType="begin"/>
      </w:r>
      <w:r>
        <w:rPr>
          <w:bCs/>
        </w:rPr>
        <w:instrText xml:space="preserve"> TOC \f \h \z </w:instrText>
      </w:r>
      <w:r>
        <w:rPr>
          <w:bCs/>
        </w:rPr>
        <w:fldChar w:fldCharType="separate"/>
      </w:r>
      <w:hyperlink w:anchor="_Toc156549303" w:history="1">
        <w:r w:rsidRPr="007354D2">
          <w:rPr>
            <w:rStyle w:val="Hyperlink"/>
            <w:bCs/>
            <w:noProof/>
          </w:rPr>
          <w:t>I.</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INTRODUCTION</w:t>
        </w:r>
        <w:r>
          <w:rPr>
            <w:noProof/>
            <w:webHidden/>
          </w:rPr>
          <w:tab/>
        </w:r>
        <w:r>
          <w:rPr>
            <w:noProof/>
            <w:webHidden/>
          </w:rPr>
          <w:fldChar w:fldCharType="begin"/>
        </w:r>
        <w:r>
          <w:rPr>
            <w:noProof/>
            <w:webHidden/>
          </w:rPr>
          <w:instrText xml:space="preserve"> PAGEREF _Toc156549303 \h </w:instrText>
        </w:r>
        <w:r>
          <w:rPr>
            <w:noProof/>
            <w:webHidden/>
          </w:rPr>
        </w:r>
        <w:r>
          <w:rPr>
            <w:noProof/>
            <w:webHidden/>
          </w:rPr>
          <w:fldChar w:fldCharType="separate"/>
        </w:r>
        <w:r>
          <w:rPr>
            <w:noProof/>
            <w:webHidden/>
          </w:rPr>
          <w:t>1</w:t>
        </w:r>
        <w:r>
          <w:rPr>
            <w:noProof/>
            <w:webHidden/>
          </w:rPr>
          <w:fldChar w:fldCharType="end"/>
        </w:r>
      </w:hyperlink>
    </w:p>
    <w:p w14:paraId="6D1F600B" w14:textId="78939365" w:rsidR="003873AB" w:rsidRDefault="003873AB">
      <w:pPr>
        <w:pStyle w:val="TOC1"/>
        <w:rPr>
          <w:rFonts w:asciiTheme="minorHAnsi" w:eastAsiaTheme="minorEastAsia" w:hAnsiTheme="minorHAnsi" w:cstheme="minorBidi"/>
          <w:b w:val="0"/>
          <w:noProof/>
          <w:kern w:val="2"/>
          <w:sz w:val="22"/>
          <w:szCs w:val="22"/>
          <w14:ligatures w14:val="standardContextual"/>
        </w:rPr>
      </w:pPr>
      <w:hyperlink w:anchor="_Toc156549304" w:history="1">
        <w:r w:rsidRPr="007354D2">
          <w:rPr>
            <w:rStyle w:val="Hyperlink"/>
            <w:bCs/>
            <w:noProof/>
          </w:rPr>
          <w:t>II.</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SUMMARY OF CONCLUSIONS AND RECOMMENDATIONS</w:t>
        </w:r>
        <w:r>
          <w:rPr>
            <w:noProof/>
            <w:webHidden/>
          </w:rPr>
          <w:tab/>
        </w:r>
        <w:r>
          <w:rPr>
            <w:noProof/>
            <w:webHidden/>
          </w:rPr>
          <w:fldChar w:fldCharType="begin"/>
        </w:r>
        <w:r>
          <w:rPr>
            <w:noProof/>
            <w:webHidden/>
          </w:rPr>
          <w:instrText xml:space="preserve"> PAGEREF _Toc156549304 \h </w:instrText>
        </w:r>
        <w:r>
          <w:rPr>
            <w:noProof/>
            <w:webHidden/>
          </w:rPr>
        </w:r>
        <w:r>
          <w:rPr>
            <w:noProof/>
            <w:webHidden/>
          </w:rPr>
          <w:fldChar w:fldCharType="separate"/>
        </w:r>
        <w:r>
          <w:rPr>
            <w:noProof/>
            <w:webHidden/>
          </w:rPr>
          <w:t>2</w:t>
        </w:r>
        <w:r>
          <w:rPr>
            <w:noProof/>
            <w:webHidden/>
          </w:rPr>
          <w:fldChar w:fldCharType="end"/>
        </w:r>
      </w:hyperlink>
    </w:p>
    <w:p w14:paraId="67B464C7" w14:textId="50E0244B" w:rsidR="003873AB" w:rsidRDefault="003873AB">
      <w:pPr>
        <w:pStyle w:val="TOC1"/>
        <w:rPr>
          <w:rFonts w:asciiTheme="minorHAnsi" w:eastAsiaTheme="minorEastAsia" w:hAnsiTheme="minorHAnsi" w:cstheme="minorBidi"/>
          <w:b w:val="0"/>
          <w:noProof/>
          <w:kern w:val="2"/>
          <w:sz w:val="22"/>
          <w:szCs w:val="22"/>
          <w14:ligatures w14:val="standardContextual"/>
        </w:rPr>
      </w:pPr>
      <w:hyperlink w:anchor="_Toc156549305" w:history="1">
        <w:r w:rsidRPr="007354D2">
          <w:rPr>
            <w:rStyle w:val="Hyperlink"/>
            <w:bCs/>
            <w:noProof/>
          </w:rPr>
          <w:t>III.</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ARGUMENT</w:t>
        </w:r>
        <w:r>
          <w:rPr>
            <w:noProof/>
            <w:webHidden/>
          </w:rPr>
          <w:tab/>
        </w:r>
        <w:r>
          <w:rPr>
            <w:noProof/>
            <w:webHidden/>
          </w:rPr>
          <w:fldChar w:fldCharType="begin"/>
        </w:r>
        <w:r>
          <w:rPr>
            <w:noProof/>
            <w:webHidden/>
          </w:rPr>
          <w:instrText xml:space="preserve"> PAGEREF _Toc156549305 \h </w:instrText>
        </w:r>
        <w:r>
          <w:rPr>
            <w:noProof/>
            <w:webHidden/>
          </w:rPr>
        </w:r>
        <w:r>
          <w:rPr>
            <w:noProof/>
            <w:webHidden/>
          </w:rPr>
          <w:fldChar w:fldCharType="separate"/>
        </w:r>
        <w:r>
          <w:rPr>
            <w:noProof/>
            <w:webHidden/>
          </w:rPr>
          <w:t>5</w:t>
        </w:r>
        <w:r>
          <w:rPr>
            <w:noProof/>
            <w:webHidden/>
          </w:rPr>
          <w:fldChar w:fldCharType="end"/>
        </w:r>
      </w:hyperlink>
    </w:p>
    <w:p w14:paraId="0E8B1DF5" w14:textId="665146A7" w:rsidR="003873AB" w:rsidRDefault="003873AB">
      <w:pPr>
        <w:pStyle w:val="TOC2"/>
        <w:rPr>
          <w:rFonts w:asciiTheme="minorHAnsi" w:eastAsiaTheme="minorEastAsia" w:hAnsiTheme="minorHAnsi" w:cstheme="minorBidi"/>
          <w:b w:val="0"/>
          <w:noProof/>
          <w:kern w:val="2"/>
          <w:sz w:val="22"/>
          <w:szCs w:val="22"/>
          <w14:ligatures w14:val="standardContextual"/>
        </w:rPr>
      </w:pPr>
      <w:hyperlink w:anchor="_Toc156549306" w:history="1">
        <w:r w:rsidRPr="007354D2">
          <w:rPr>
            <w:rStyle w:val="Hyperlink"/>
            <w:rFonts w:cstheme="minorHAnsi"/>
            <w:bCs/>
            <w:noProof/>
          </w:rPr>
          <w:t>A.</w:t>
        </w:r>
        <w:r>
          <w:rPr>
            <w:rFonts w:asciiTheme="minorHAnsi" w:eastAsiaTheme="minorEastAsia" w:hAnsiTheme="minorHAnsi" w:cstheme="minorBidi"/>
            <w:b w:val="0"/>
            <w:noProof/>
            <w:kern w:val="2"/>
            <w:sz w:val="22"/>
            <w:szCs w:val="22"/>
            <w14:ligatures w14:val="standardContextual"/>
          </w:rPr>
          <w:tab/>
        </w:r>
        <w:r w:rsidRPr="007354D2">
          <w:rPr>
            <w:rStyle w:val="Hyperlink"/>
            <w:rFonts w:cstheme="minorHAnsi"/>
            <w:bCs/>
            <w:noProof/>
          </w:rPr>
          <w:t>The Commission Should Maintain the Rider ELR Program in its Current Form</w:t>
        </w:r>
        <w:r>
          <w:rPr>
            <w:noProof/>
            <w:webHidden/>
          </w:rPr>
          <w:tab/>
        </w:r>
        <w:r>
          <w:rPr>
            <w:noProof/>
            <w:webHidden/>
          </w:rPr>
          <w:fldChar w:fldCharType="begin"/>
        </w:r>
        <w:r>
          <w:rPr>
            <w:noProof/>
            <w:webHidden/>
          </w:rPr>
          <w:instrText xml:space="preserve"> PAGEREF _Toc156549306 \h </w:instrText>
        </w:r>
        <w:r>
          <w:rPr>
            <w:noProof/>
            <w:webHidden/>
          </w:rPr>
        </w:r>
        <w:r>
          <w:rPr>
            <w:noProof/>
            <w:webHidden/>
          </w:rPr>
          <w:fldChar w:fldCharType="separate"/>
        </w:r>
        <w:r>
          <w:rPr>
            <w:noProof/>
            <w:webHidden/>
          </w:rPr>
          <w:t>5</w:t>
        </w:r>
        <w:r>
          <w:rPr>
            <w:noProof/>
            <w:webHidden/>
          </w:rPr>
          <w:fldChar w:fldCharType="end"/>
        </w:r>
      </w:hyperlink>
    </w:p>
    <w:p w14:paraId="0A08F68E" w14:textId="7B2F8B69" w:rsidR="003873AB" w:rsidRDefault="003873AB">
      <w:pPr>
        <w:pStyle w:val="TOC3"/>
        <w:rPr>
          <w:rFonts w:asciiTheme="minorHAnsi" w:eastAsiaTheme="minorEastAsia" w:hAnsiTheme="minorHAnsi" w:cstheme="minorBidi"/>
          <w:b w:val="0"/>
          <w:noProof/>
          <w:kern w:val="2"/>
          <w:sz w:val="22"/>
          <w:szCs w:val="22"/>
          <w14:ligatures w14:val="standardContextual"/>
        </w:rPr>
      </w:pPr>
      <w:hyperlink w:anchor="_Toc156549307" w:history="1">
        <w:r w:rsidRPr="007354D2">
          <w:rPr>
            <w:rStyle w:val="Hyperlink"/>
            <w:bCs/>
            <w:noProof/>
          </w:rPr>
          <w:t>1.</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Current Rider ELR</w:t>
        </w:r>
        <w:r>
          <w:rPr>
            <w:noProof/>
            <w:webHidden/>
          </w:rPr>
          <w:tab/>
        </w:r>
        <w:r>
          <w:rPr>
            <w:noProof/>
            <w:webHidden/>
          </w:rPr>
          <w:fldChar w:fldCharType="begin"/>
        </w:r>
        <w:r>
          <w:rPr>
            <w:noProof/>
            <w:webHidden/>
          </w:rPr>
          <w:instrText xml:space="preserve"> PAGEREF _Toc156549307 \h </w:instrText>
        </w:r>
        <w:r>
          <w:rPr>
            <w:noProof/>
            <w:webHidden/>
          </w:rPr>
        </w:r>
        <w:r>
          <w:rPr>
            <w:noProof/>
            <w:webHidden/>
          </w:rPr>
          <w:fldChar w:fldCharType="separate"/>
        </w:r>
        <w:r>
          <w:rPr>
            <w:noProof/>
            <w:webHidden/>
          </w:rPr>
          <w:t>5</w:t>
        </w:r>
        <w:r>
          <w:rPr>
            <w:noProof/>
            <w:webHidden/>
          </w:rPr>
          <w:fldChar w:fldCharType="end"/>
        </w:r>
      </w:hyperlink>
    </w:p>
    <w:p w14:paraId="14E7620E" w14:textId="6C6F5FD8" w:rsidR="003873AB" w:rsidRDefault="003873AB">
      <w:pPr>
        <w:pStyle w:val="TOC4"/>
        <w:rPr>
          <w:rFonts w:asciiTheme="minorHAnsi" w:eastAsiaTheme="minorEastAsia" w:hAnsiTheme="minorHAnsi" w:cstheme="minorBidi"/>
          <w:b w:val="0"/>
          <w:noProof/>
          <w:kern w:val="2"/>
          <w:sz w:val="22"/>
          <w:szCs w:val="22"/>
          <w14:ligatures w14:val="standardContextual"/>
        </w:rPr>
      </w:pPr>
      <w:hyperlink w:anchor="_Toc156549308" w:history="1">
        <w:r w:rsidRPr="007354D2">
          <w:rPr>
            <w:rStyle w:val="Hyperlink"/>
            <w:bCs/>
            <w:noProof/>
          </w:rPr>
          <w:t>a.</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Overview</w:t>
        </w:r>
        <w:r>
          <w:rPr>
            <w:noProof/>
            <w:webHidden/>
          </w:rPr>
          <w:tab/>
        </w:r>
        <w:r>
          <w:rPr>
            <w:noProof/>
            <w:webHidden/>
          </w:rPr>
          <w:fldChar w:fldCharType="begin"/>
        </w:r>
        <w:r>
          <w:rPr>
            <w:noProof/>
            <w:webHidden/>
          </w:rPr>
          <w:instrText xml:space="preserve"> PAGEREF _Toc156549308 \h </w:instrText>
        </w:r>
        <w:r>
          <w:rPr>
            <w:noProof/>
            <w:webHidden/>
          </w:rPr>
        </w:r>
        <w:r>
          <w:rPr>
            <w:noProof/>
            <w:webHidden/>
          </w:rPr>
          <w:fldChar w:fldCharType="separate"/>
        </w:r>
        <w:r>
          <w:rPr>
            <w:noProof/>
            <w:webHidden/>
          </w:rPr>
          <w:t>5</w:t>
        </w:r>
        <w:r>
          <w:rPr>
            <w:noProof/>
            <w:webHidden/>
          </w:rPr>
          <w:fldChar w:fldCharType="end"/>
        </w:r>
      </w:hyperlink>
    </w:p>
    <w:p w14:paraId="0BA97CF8" w14:textId="1DC22DD7" w:rsidR="003873AB" w:rsidRDefault="003873AB">
      <w:pPr>
        <w:pStyle w:val="TOC4"/>
        <w:rPr>
          <w:rFonts w:asciiTheme="minorHAnsi" w:eastAsiaTheme="minorEastAsia" w:hAnsiTheme="minorHAnsi" w:cstheme="minorBidi"/>
          <w:b w:val="0"/>
          <w:noProof/>
          <w:kern w:val="2"/>
          <w:sz w:val="22"/>
          <w:szCs w:val="22"/>
          <w14:ligatures w14:val="standardContextual"/>
        </w:rPr>
      </w:pPr>
      <w:hyperlink w:anchor="_Toc156549309" w:history="1">
        <w:r w:rsidRPr="007354D2">
          <w:rPr>
            <w:rStyle w:val="Hyperlink"/>
            <w:bCs/>
            <w:noProof/>
          </w:rPr>
          <w:t>b.</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Rider ELR provides significant benefits</w:t>
        </w:r>
        <w:r>
          <w:rPr>
            <w:noProof/>
            <w:webHidden/>
          </w:rPr>
          <w:tab/>
        </w:r>
        <w:r>
          <w:rPr>
            <w:noProof/>
            <w:webHidden/>
          </w:rPr>
          <w:fldChar w:fldCharType="begin"/>
        </w:r>
        <w:r>
          <w:rPr>
            <w:noProof/>
            <w:webHidden/>
          </w:rPr>
          <w:instrText xml:space="preserve"> PAGEREF _Toc156549309 \h </w:instrText>
        </w:r>
        <w:r>
          <w:rPr>
            <w:noProof/>
            <w:webHidden/>
          </w:rPr>
        </w:r>
        <w:r>
          <w:rPr>
            <w:noProof/>
            <w:webHidden/>
          </w:rPr>
          <w:fldChar w:fldCharType="separate"/>
        </w:r>
        <w:r>
          <w:rPr>
            <w:noProof/>
            <w:webHidden/>
          </w:rPr>
          <w:t>7</w:t>
        </w:r>
        <w:r>
          <w:rPr>
            <w:noProof/>
            <w:webHidden/>
          </w:rPr>
          <w:fldChar w:fldCharType="end"/>
        </w:r>
      </w:hyperlink>
    </w:p>
    <w:p w14:paraId="002BED52" w14:textId="2A752EF0" w:rsidR="003873AB" w:rsidRDefault="003873AB">
      <w:pPr>
        <w:pStyle w:val="TOC5"/>
        <w:rPr>
          <w:rFonts w:eastAsiaTheme="minorEastAsia" w:cstheme="minorBidi"/>
          <w:b w:val="0"/>
          <w:noProof/>
          <w:kern w:val="2"/>
          <w:sz w:val="22"/>
          <w:szCs w:val="22"/>
          <w14:ligatures w14:val="standardContextual"/>
        </w:rPr>
      </w:pPr>
      <w:hyperlink w:anchor="_Toc156549310" w:history="1">
        <w:r w:rsidRPr="007354D2">
          <w:rPr>
            <w:rStyle w:val="Hyperlink"/>
            <w:rFonts w:ascii="Calibri" w:hAnsi="Calibri"/>
            <w:bCs/>
            <w:noProof/>
          </w:rPr>
          <w:t>i.</w:t>
        </w:r>
        <w:r>
          <w:rPr>
            <w:rFonts w:eastAsiaTheme="minorEastAsia" w:cstheme="minorBidi"/>
            <w:b w:val="0"/>
            <w:noProof/>
            <w:kern w:val="2"/>
            <w:sz w:val="22"/>
            <w:szCs w:val="22"/>
            <w14:ligatures w14:val="standardContextual"/>
          </w:rPr>
          <w:tab/>
        </w:r>
        <w:r w:rsidRPr="007354D2">
          <w:rPr>
            <w:rStyle w:val="Hyperlink"/>
            <w:rFonts w:ascii="Calibri" w:hAnsi="Calibri"/>
            <w:bCs/>
            <w:noProof/>
          </w:rPr>
          <w:t>Rider ELR helps preserve system reliability</w:t>
        </w:r>
        <w:r>
          <w:rPr>
            <w:noProof/>
            <w:webHidden/>
          </w:rPr>
          <w:tab/>
        </w:r>
        <w:r>
          <w:rPr>
            <w:noProof/>
            <w:webHidden/>
          </w:rPr>
          <w:fldChar w:fldCharType="begin"/>
        </w:r>
        <w:r>
          <w:rPr>
            <w:noProof/>
            <w:webHidden/>
          </w:rPr>
          <w:instrText xml:space="preserve"> PAGEREF _Toc156549310 \h </w:instrText>
        </w:r>
        <w:r>
          <w:rPr>
            <w:noProof/>
            <w:webHidden/>
          </w:rPr>
        </w:r>
        <w:r>
          <w:rPr>
            <w:noProof/>
            <w:webHidden/>
          </w:rPr>
          <w:fldChar w:fldCharType="separate"/>
        </w:r>
        <w:r>
          <w:rPr>
            <w:noProof/>
            <w:webHidden/>
          </w:rPr>
          <w:t>8</w:t>
        </w:r>
        <w:r>
          <w:rPr>
            <w:noProof/>
            <w:webHidden/>
          </w:rPr>
          <w:fldChar w:fldCharType="end"/>
        </w:r>
      </w:hyperlink>
    </w:p>
    <w:p w14:paraId="303C113F" w14:textId="07AA9985" w:rsidR="003873AB" w:rsidRDefault="003873AB">
      <w:pPr>
        <w:pStyle w:val="TOC5"/>
        <w:rPr>
          <w:rFonts w:eastAsiaTheme="minorEastAsia" w:cstheme="minorBidi"/>
          <w:b w:val="0"/>
          <w:noProof/>
          <w:kern w:val="2"/>
          <w:sz w:val="22"/>
          <w:szCs w:val="22"/>
          <w14:ligatures w14:val="standardContextual"/>
        </w:rPr>
      </w:pPr>
      <w:hyperlink w:anchor="_Toc156549311" w:history="1">
        <w:r w:rsidRPr="007354D2">
          <w:rPr>
            <w:rStyle w:val="Hyperlink"/>
            <w:rFonts w:ascii="Calibri" w:hAnsi="Calibri"/>
            <w:bCs/>
            <w:noProof/>
          </w:rPr>
          <w:t>ii.</w:t>
        </w:r>
        <w:r>
          <w:rPr>
            <w:rFonts w:eastAsiaTheme="minorEastAsia" w:cstheme="minorBidi"/>
            <w:b w:val="0"/>
            <w:noProof/>
            <w:kern w:val="2"/>
            <w:sz w:val="22"/>
            <w:szCs w:val="22"/>
            <w14:ligatures w14:val="standardContextual"/>
          </w:rPr>
          <w:tab/>
        </w:r>
        <w:r w:rsidRPr="007354D2">
          <w:rPr>
            <w:rStyle w:val="Hyperlink"/>
            <w:rFonts w:ascii="Calibri" w:hAnsi="Calibri"/>
            <w:bCs/>
            <w:noProof/>
          </w:rPr>
          <w:t>Rider ELR provides economic development benefits</w:t>
        </w:r>
        <w:r>
          <w:rPr>
            <w:noProof/>
            <w:webHidden/>
          </w:rPr>
          <w:tab/>
        </w:r>
        <w:r>
          <w:rPr>
            <w:noProof/>
            <w:webHidden/>
          </w:rPr>
          <w:fldChar w:fldCharType="begin"/>
        </w:r>
        <w:r>
          <w:rPr>
            <w:noProof/>
            <w:webHidden/>
          </w:rPr>
          <w:instrText xml:space="preserve"> PAGEREF _Toc156549311 \h </w:instrText>
        </w:r>
        <w:r>
          <w:rPr>
            <w:noProof/>
            <w:webHidden/>
          </w:rPr>
        </w:r>
        <w:r>
          <w:rPr>
            <w:noProof/>
            <w:webHidden/>
          </w:rPr>
          <w:fldChar w:fldCharType="separate"/>
        </w:r>
        <w:r>
          <w:rPr>
            <w:noProof/>
            <w:webHidden/>
          </w:rPr>
          <w:t>10</w:t>
        </w:r>
        <w:r>
          <w:rPr>
            <w:noProof/>
            <w:webHidden/>
          </w:rPr>
          <w:fldChar w:fldCharType="end"/>
        </w:r>
      </w:hyperlink>
    </w:p>
    <w:p w14:paraId="0B6E690B" w14:textId="71C1FE00" w:rsidR="003873AB" w:rsidRDefault="003873AB">
      <w:pPr>
        <w:pStyle w:val="TOC3"/>
        <w:rPr>
          <w:rFonts w:asciiTheme="minorHAnsi" w:eastAsiaTheme="minorEastAsia" w:hAnsiTheme="minorHAnsi" w:cstheme="minorBidi"/>
          <w:b w:val="0"/>
          <w:noProof/>
          <w:kern w:val="2"/>
          <w:sz w:val="22"/>
          <w:szCs w:val="22"/>
          <w14:ligatures w14:val="standardContextual"/>
        </w:rPr>
      </w:pPr>
      <w:hyperlink w:anchor="_Toc156549312" w:history="1">
        <w:r w:rsidRPr="007354D2">
          <w:rPr>
            <w:rStyle w:val="Hyperlink"/>
            <w:bCs/>
            <w:noProof/>
          </w:rPr>
          <w:t>2.</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FirstEnergy’s proposed modifications to Rider ELR and positions of parties</w:t>
        </w:r>
        <w:r>
          <w:rPr>
            <w:noProof/>
            <w:webHidden/>
          </w:rPr>
          <w:tab/>
        </w:r>
        <w:r>
          <w:rPr>
            <w:noProof/>
            <w:webHidden/>
          </w:rPr>
          <w:fldChar w:fldCharType="begin"/>
        </w:r>
        <w:r>
          <w:rPr>
            <w:noProof/>
            <w:webHidden/>
          </w:rPr>
          <w:instrText xml:space="preserve"> PAGEREF _Toc156549312 \h </w:instrText>
        </w:r>
        <w:r>
          <w:rPr>
            <w:noProof/>
            <w:webHidden/>
          </w:rPr>
        </w:r>
        <w:r>
          <w:rPr>
            <w:noProof/>
            <w:webHidden/>
          </w:rPr>
          <w:fldChar w:fldCharType="separate"/>
        </w:r>
        <w:r>
          <w:rPr>
            <w:noProof/>
            <w:webHidden/>
          </w:rPr>
          <w:t>11</w:t>
        </w:r>
        <w:r>
          <w:rPr>
            <w:noProof/>
            <w:webHidden/>
          </w:rPr>
          <w:fldChar w:fldCharType="end"/>
        </w:r>
      </w:hyperlink>
    </w:p>
    <w:p w14:paraId="25C093FA" w14:textId="219F0233" w:rsidR="003873AB" w:rsidRDefault="003873AB">
      <w:pPr>
        <w:pStyle w:val="TOC3"/>
        <w:rPr>
          <w:rFonts w:asciiTheme="minorHAnsi" w:eastAsiaTheme="minorEastAsia" w:hAnsiTheme="minorHAnsi" w:cstheme="minorBidi"/>
          <w:b w:val="0"/>
          <w:noProof/>
          <w:kern w:val="2"/>
          <w:sz w:val="22"/>
          <w:szCs w:val="22"/>
          <w14:ligatures w14:val="standardContextual"/>
        </w:rPr>
      </w:pPr>
      <w:hyperlink w:anchor="_Toc156549313" w:history="1">
        <w:r w:rsidRPr="007354D2">
          <w:rPr>
            <w:rStyle w:val="Hyperlink"/>
            <w:bCs/>
            <w:noProof/>
          </w:rPr>
          <w:t>3.</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The Rider ELR credits should not be reduced</w:t>
        </w:r>
        <w:r>
          <w:rPr>
            <w:noProof/>
            <w:webHidden/>
          </w:rPr>
          <w:tab/>
        </w:r>
        <w:r>
          <w:rPr>
            <w:noProof/>
            <w:webHidden/>
          </w:rPr>
          <w:fldChar w:fldCharType="begin"/>
        </w:r>
        <w:r>
          <w:rPr>
            <w:noProof/>
            <w:webHidden/>
          </w:rPr>
          <w:instrText xml:space="preserve"> PAGEREF _Toc156549313 \h </w:instrText>
        </w:r>
        <w:r>
          <w:rPr>
            <w:noProof/>
            <w:webHidden/>
          </w:rPr>
        </w:r>
        <w:r>
          <w:rPr>
            <w:noProof/>
            <w:webHidden/>
          </w:rPr>
          <w:fldChar w:fldCharType="separate"/>
        </w:r>
        <w:r>
          <w:rPr>
            <w:noProof/>
            <w:webHidden/>
          </w:rPr>
          <w:t>14</w:t>
        </w:r>
        <w:r>
          <w:rPr>
            <w:noProof/>
            <w:webHidden/>
          </w:rPr>
          <w:fldChar w:fldCharType="end"/>
        </w:r>
      </w:hyperlink>
    </w:p>
    <w:p w14:paraId="67F9B483" w14:textId="393FB4C3" w:rsidR="003873AB" w:rsidRDefault="003873AB">
      <w:pPr>
        <w:pStyle w:val="TOC4"/>
        <w:rPr>
          <w:rFonts w:asciiTheme="minorHAnsi" w:eastAsiaTheme="minorEastAsia" w:hAnsiTheme="minorHAnsi" w:cstheme="minorBidi"/>
          <w:b w:val="0"/>
          <w:noProof/>
          <w:kern w:val="2"/>
          <w:sz w:val="22"/>
          <w:szCs w:val="22"/>
          <w14:ligatures w14:val="standardContextual"/>
        </w:rPr>
      </w:pPr>
      <w:hyperlink w:anchor="_Toc156549314" w:history="1">
        <w:r w:rsidRPr="007354D2">
          <w:rPr>
            <w:rStyle w:val="Hyperlink"/>
            <w:bCs/>
            <w:noProof/>
          </w:rPr>
          <w:t>a.</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Tying the credits to short-run PJM market capacity prices is a flawed approach</w:t>
        </w:r>
        <w:r>
          <w:rPr>
            <w:noProof/>
            <w:webHidden/>
          </w:rPr>
          <w:tab/>
        </w:r>
        <w:r>
          <w:rPr>
            <w:noProof/>
            <w:webHidden/>
          </w:rPr>
          <w:fldChar w:fldCharType="begin"/>
        </w:r>
        <w:r>
          <w:rPr>
            <w:noProof/>
            <w:webHidden/>
          </w:rPr>
          <w:instrText xml:space="preserve"> PAGEREF _Toc156549314 \h </w:instrText>
        </w:r>
        <w:r>
          <w:rPr>
            <w:noProof/>
            <w:webHidden/>
          </w:rPr>
        </w:r>
        <w:r>
          <w:rPr>
            <w:noProof/>
            <w:webHidden/>
          </w:rPr>
          <w:fldChar w:fldCharType="separate"/>
        </w:r>
        <w:r>
          <w:rPr>
            <w:noProof/>
            <w:webHidden/>
          </w:rPr>
          <w:t>14</w:t>
        </w:r>
        <w:r>
          <w:rPr>
            <w:noProof/>
            <w:webHidden/>
          </w:rPr>
          <w:fldChar w:fldCharType="end"/>
        </w:r>
      </w:hyperlink>
    </w:p>
    <w:p w14:paraId="718EE57F" w14:textId="6E5AECE6" w:rsidR="003873AB" w:rsidRDefault="003873AB">
      <w:pPr>
        <w:pStyle w:val="TOC4"/>
        <w:rPr>
          <w:rFonts w:asciiTheme="minorHAnsi" w:eastAsiaTheme="minorEastAsia" w:hAnsiTheme="minorHAnsi" w:cstheme="minorBidi"/>
          <w:b w:val="0"/>
          <w:noProof/>
          <w:kern w:val="2"/>
          <w:sz w:val="22"/>
          <w:szCs w:val="22"/>
          <w14:ligatures w14:val="standardContextual"/>
        </w:rPr>
      </w:pPr>
      <w:hyperlink w:anchor="_Toc156549315" w:history="1">
        <w:r w:rsidRPr="007354D2">
          <w:rPr>
            <w:rStyle w:val="Hyperlink"/>
            <w:bCs/>
            <w:noProof/>
          </w:rPr>
          <w:t>b.</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A stable and robust Rider ELR credit is critical to retaining Rider ELR customers over the term of the ESP</w:t>
        </w:r>
        <w:r>
          <w:rPr>
            <w:noProof/>
            <w:webHidden/>
          </w:rPr>
          <w:tab/>
        </w:r>
        <w:r>
          <w:rPr>
            <w:noProof/>
            <w:webHidden/>
          </w:rPr>
          <w:fldChar w:fldCharType="begin"/>
        </w:r>
        <w:r>
          <w:rPr>
            <w:noProof/>
            <w:webHidden/>
          </w:rPr>
          <w:instrText xml:space="preserve"> PAGEREF _Toc156549315 \h </w:instrText>
        </w:r>
        <w:r>
          <w:rPr>
            <w:noProof/>
            <w:webHidden/>
          </w:rPr>
        </w:r>
        <w:r>
          <w:rPr>
            <w:noProof/>
            <w:webHidden/>
          </w:rPr>
          <w:fldChar w:fldCharType="separate"/>
        </w:r>
        <w:r>
          <w:rPr>
            <w:noProof/>
            <w:webHidden/>
          </w:rPr>
          <w:t>17</w:t>
        </w:r>
        <w:r>
          <w:rPr>
            <w:noProof/>
            <w:webHidden/>
          </w:rPr>
          <w:fldChar w:fldCharType="end"/>
        </w:r>
      </w:hyperlink>
    </w:p>
    <w:p w14:paraId="12072629" w14:textId="13522E22" w:rsidR="003873AB" w:rsidRDefault="003873AB">
      <w:pPr>
        <w:pStyle w:val="TOC4"/>
        <w:rPr>
          <w:rFonts w:asciiTheme="minorHAnsi" w:eastAsiaTheme="minorEastAsia" w:hAnsiTheme="minorHAnsi" w:cstheme="minorBidi"/>
          <w:b w:val="0"/>
          <w:noProof/>
          <w:kern w:val="2"/>
          <w:sz w:val="22"/>
          <w:szCs w:val="22"/>
          <w14:ligatures w14:val="standardContextual"/>
        </w:rPr>
      </w:pPr>
      <w:hyperlink w:anchor="_Toc156549316" w:history="1">
        <w:r w:rsidRPr="007354D2">
          <w:rPr>
            <w:rStyle w:val="Hyperlink"/>
            <w:bCs/>
            <w:noProof/>
          </w:rPr>
          <w:t>c.</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A significant reduction in the credit risks customers leaving the ELR program at a time when retaining interruptible load is more important then ever</w:t>
        </w:r>
        <w:r>
          <w:rPr>
            <w:noProof/>
            <w:webHidden/>
          </w:rPr>
          <w:tab/>
        </w:r>
        <w:r>
          <w:rPr>
            <w:noProof/>
            <w:webHidden/>
          </w:rPr>
          <w:fldChar w:fldCharType="begin"/>
        </w:r>
        <w:r>
          <w:rPr>
            <w:noProof/>
            <w:webHidden/>
          </w:rPr>
          <w:instrText xml:space="preserve"> PAGEREF _Toc156549316 \h </w:instrText>
        </w:r>
        <w:r>
          <w:rPr>
            <w:noProof/>
            <w:webHidden/>
          </w:rPr>
        </w:r>
        <w:r>
          <w:rPr>
            <w:noProof/>
            <w:webHidden/>
          </w:rPr>
          <w:fldChar w:fldCharType="separate"/>
        </w:r>
        <w:r>
          <w:rPr>
            <w:noProof/>
            <w:webHidden/>
          </w:rPr>
          <w:t>19</w:t>
        </w:r>
        <w:r>
          <w:rPr>
            <w:noProof/>
            <w:webHidden/>
          </w:rPr>
          <w:fldChar w:fldCharType="end"/>
        </w:r>
      </w:hyperlink>
    </w:p>
    <w:p w14:paraId="374FB176" w14:textId="03BF979C" w:rsidR="003873AB" w:rsidRDefault="003873AB">
      <w:pPr>
        <w:pStyle w:val="TOC4"/>
        <w:rPr>
          <w:rFonts w:asciiTheme="minorHAnsi" w:eastAsiaTheme="minorEastAsia" w:hAnsiTheme="minorHAnsi" w:cstheme="minorBidi"/>
          <w:b w:val="0"/>
          <w:noProof/>
          <w:kern w:val="2"/>
          <w:sz w:val="22"/>
          <w:szCs w:val="22"/>
          <w14:ligatures w14:val="standardContextual"/>
        </w:rPr>
      </w:pPr>
      <w:hyperlink w:anchor="_Toc156549317" w:history="1">
        <w:r w:rsidRPr="007354D2">
          <w:rPr>
            <w:rStyle w:val="Hyperlink"/>
            <w:bCs/>
            <w:noProof/>
          </w:rPr>
          <w:t>d.</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The cost impact of the Rider ELR credits on non-ELR customers is reasonable when considering the benefits provided by Rider ELR</w:t>
        </w:r>
        <w:r>
          <w:rPr>
            <w:noProof/>
            <w:webHidden/>
          </w:rPr>
          <w:tab/>
        </w:r>
        <w:r>
          <w:rPr>
            <w:noProof/>
            <w:webHidden/>
          </w:rPr>
          <w:fldChar w:fldCharType="begin"/>
        </w:r>
        <w:r>
          <w:rPr>
            <w:noProof/>
            <w:webHidden/>
          </w:rPr>
          <w:instrText xml:space="preserve"> PAGEREF _Toc156549317 \h </w:instrText>
        </w:r>
        <w:r>
          <w:rPr>
            <w:noProof/>
            <w:webHidden/>
          </w:rPr>
        </w:r>
        <w:r>
          <w:rPr>
            <w:noProof/>
            <w:webHidden/>
          </w:rPr>
          <w:fldChar w:fldCharType="separate"/>
        </w:r>
        <w:r>
          <w:rPr>
            <w:noProof/>
            <w:webHidden/>
          </w:rPr>
          <w:t>21</w:t>
        </w:r>
        <w:r>
          <w:rPr>
            <w:noProof/>
            <w:webHidden/>
          </w:rPr>
          <w:fldChar w:fldCharType="end"/>
        </w:r>
      </w:hyperlink>
    </w:p>
    <w:p w14:paraId="0757C90C" w14:textId="6F07FF13" w:rsidR="003873AB" w:rsidRDefault="003873AB">
      <w:pPr>
        <w:pStyle w:val="TOC4"/>
        <w:rPr>
          <w:rFonts w:asciiTheme="minorHAnsi" w:eastAsiaTheme="minorEastAsia" w:hAnsiTheme="minorHAnsi" w:cstheme="minorBidi"/>
          <w:b w:val="0"/>
          <w:noProof/>
          <w:kern w:val="2"/>
          <w:sz w:val="22"/>
          <w:szCs w:val="22"/>
          <w14:ligatures w14:val="standardContextual"/>
        </w:rPr>
      </w:pPr>
      <w:hyperlink w:anchor="_Toc156549318" w:history="1">
        <w:r w:rsidRPr="007354D2">
          <w:rPr>
            <w:rStyle w:val="Hyperlink"/>
            <w:bCs/>
            <w:noProof/>
          </w:rPr>
          <w:t>e.</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If the Commission must reduce the Rider ELR credits, it should adopt Nucor Witness Dr. Goins’ alternative recommendation</w:t>
        </w:r>
        <w:r>
          <w:rPr>
            <w:noProof/>
            <w:webHidden/>
          </w:rPr>
          <w:tab/>
        </w:r>
        <w:r>
          <w:rPr>
            <w:noProof/>
            <w:webHidden/>
          </w:rPr>
          <w:fldChar w:fldCharType="begin"/>
        </w:r>
        <w:r>
          <w:rPr>
            <w:noProof/>
            <w:webHidden/>
          </w:rPr>
          <w:instrText xml:space="preserve"> PAGEREF _Toc156549318 \h </w:instrText>
        </w:r>
        <w:r>
          <w:rPr>
            <w:noProof/>
            <w:webHidden/>
          </w:rPr>
        </w:r>
        <w:r>
          <w:rPr>
            <w:noProof/>
            <w:webHidden/>
          </w:rPr>
          <w:fldChar w:fldCharType="separate"/>
        </w:r>
        <w:r>
          <w:rPr>
            <w:noProof/>
            <w:webHidden/>
          </w:rPr>
          <w:t>22</w:t>
        </w:r>
        <w:r>
          <w:rPr>
            <w:noProof/>
            <w:webHidden/>
          </w:rPr>
          <w:fldChar w:fldCharType="end"/>
        </w:r>
      </w:hyperlink>
    </w:p>
    <w:p w14:paraId="4DC88848" w14:textId="5A7B3CB0" w:rsidR="003873AB" w:rsidRDefault="003873AB">
      <w:pPr>
        <w:pStyle w:val="TOC3"/>
        <w:rPr>
          <w:rFonts w:asciiTheme="minorHAnsi" w:eastAsiaTheme="minorEastAsia" w:hAnsiTheme="minorHAnsi" w:cstheme="minorBidi"/>
          <w:b w:val="0"/>
          <w:noProof/>
          <w:kern w:val="2"/>
          <w:sz w:val="22"/>
          <w:szCs w:val="22"/>
          <w14:ligatures w14:val="standardContextual"/>
        </w:rPr>
      </w:pPr>
      <w:hyperlink w:anchor="_Toc156549319" w:history="1">
        <w:r w:rsidRPr="007354D2">
          <w:rPr>
            <w:rStyle w:val="Hyperlink"/>
            <w:bCs/>
            <w:noProof/>
          </w:rPr>
          <w:t>4.</w:t>
        </w:r>
        <w:r>
          <w:rPr>
            <w:rFonts w:asciiTheme="minorHAnsi" w:eastAsiaTheme="minorEastAsia" w:hAnsiTheme="minorHAnsi" w:cstheme="minorBidi"/>
            <w:b w:val="0"/>
            <w:noProof/>
            <w:kern w:val="2"/>
            <w:sz w:val="22"/>
            <w:szCs w:val="22"/>
            <w14:ligatures w14:val="standardContextual"/>
          </w:rPr>
          <w:tab/>
        </w:r>
        <w:r w:rsidRPr="007354D2">
          <w:rPr>
            <w:rStyle w:val="Hyperlink"/>
            <w:bCs/>
            <w:noProof/>
          </w:rPr>
          <w:t>FirstEnergy should remain the CSP for Rider ELR customers</w:t>
        </w:r>
        <w:r>
          <w:rPr>
            <w:noProof/>
            <w:webHidden/>
          </w:rPr>
          <w:tab/>
        </w:r>
        <w:r>
          <w:rPr>
            <w:noProof/>
            <w:webHidden/>
          </w:rPr>
          <w:fldChar w:fldCharType="begin"/>
        </w:r>
        <w:r>
          <w:rPr>
            <w:noProof/>
            <w:webHidden/>
          </w:rPr>
          <w:instrText xml:space="preserve"> PAGEREF _Toc156549319 \h </w:instrText>
        </w:r>
        <w:r>
          <w:rPr>
            <w:noProof/>
            <w:webHidden/>
          </w:rPr>
        </w:r>
        <w:r>
          <w:rPr>
            <w:noProof/>
            <w:webHidden/>
          </w:rPr>
          <w:fldChar w:fldCharType="separate"/>
        </w:r>
        <w:r>
          <w:rPr>
            <w:noProof/>
            <w:webHidden/>
          </w:rPr>
          <w:t>23</w:t>
        </w:r>
        <w:r>
          <w:rPr>
            <w:noProof/>
            <w:webHidden/>
          </w:rPr>
          <w:fldChar w:fldCharType="end"/>
        </w:r>
      </w:hyperlink>
    </w:p>
    <w:p w14:paraId="21211178" w14:textId="18E4E2D8" w:rsidR="003873AB" w:rsidRDefault="003873AB">
      <w:pPr>
        <w:pStyle w:val="TOC4"/>
        <w:rPr>
          <w:rFonts w:asciiTheme="minorHAnsi" w:eastAsiaTheme="minorEastAsia" w:hAnsiTheme="minorHAnsi" w:cstheme="minorBidi"/>
          <w:b w:val="0"/>
          <w:noProof/>
          <w:kern w:val="2"/>
          <w:sz w:val="22"/>
          <w:szCs w:val="22"/>
          <w14:ligatures w14:val="standardContextual"/>
        </w:rPr>
      </w:pPr>
      <w:hyperlink w:anchor="_Toc156549320" w:history="1">
        <w:r w:rsidRPr="007354D2">
          <w:rPr>
            <w:rStyle w:val="Hyperlink"/>
            <w:rFonts w:cstheme="minorHAnsi"/>
            <w:bCs/>
            <w:noProof/>
          </w:rPr>
          <w:t>a.</w:t>
        </w:r>
        <w:r>
          <w:rPr>
            <w:rFonts w:asciiTheme="minorHAnsi" w:eastAsiaTheme="minorEastAsia" w:hAnsiTheme="minorHAnsi" w:cstheme="minorBidi"/>
            <w:b w:val="0"/>
            <w:noProof/>
            <w:kern w:val="2"/>
            <w:sz w:val="22"/>
            <w:szCs w:val="22"/>
            <w14:ligatures w14:val="standardContextual"/>
          </w:rPr>
          <w:tab/>
        </w:r>
        <w:r w:rsidRPr="007354D2">
          <w:rPr>
            <w:rStyle w:val="Hyperlink"/>
            <w:rFonts w:cstheme="minorHAnsi"/>
            <w:bCs/>
            <w:noProof/>
          </w:rPr>
          <w:t>If FirstEnergy no longer serves as the CSP for Rider ELR customers, FirstEnergy’s other customers will no longer receive PJM revenue to mitigate the cost of the ELR credits</w:t>
        </w:r>
        <w:r>
          <w:rPr>
            <w:noProof/>
            <w:webHidden/>
          </w:rPr>
          <w:tab/>
        </w:r>
        <w:r>
          <w:rPr>
            <w:noProof/>
            <w:webHidden/>
          </w:rPr>
          <w:fldChar w:fldCharType="begin"/>
        </w:r>
        <w:r>
          <w:rPr>
            <w:noProof/>
            <w:webHidden/>
          </w:rPr>
          <w:instrText xml:space="preserve"> PAGEREF _Toc156549320 \h </w:instrText>
        </w:r>
        <w:r>
          <w:rPr>
            <w:noProof/>
            <w:webHidden/>
          </w:rPr>
        </w:r>
        <w:r>
          <w:rPr>
            <w:noProof/>
            <w:webHidden/>
          </w:rPr>
          <w:fldChar w:fldCharType="separate"/>
        </w:r>
        <w:r>
          <w:rPr>
            <w:noProof/>
            <w:webHidden/>
          </w:rPr>
          <w:t>24</w:t>
        </w:r>
        <w:r>
          <w:rPr>
            <w:noProof/>
            <w:webHidden/>
          </w:rPr>
          <w:fldChar w:fldCharType="end"/>
        </w:r>
      </w:hyperlink>
    </w:p>
    <w:p w14:paraId="0CA7DDDF" w14:textId="53B20371" w:rsidR="003873AB" w:rsidRDefault="003873AB">
      <w:pPr>
        <w:pStyle w:val="TOC4"/>
        <w:rPr>
          <w:rFonts w:asciiTheme="minorHAnsi" w:eastAsiaTheme="minorEastAsia" w:hAnsiTheme="minorHAnsi" w:cstheme="minorBidi"/>
          <w:b w:val="0"/>
          <w:noProof/>
          <w:kern w:val="2"/>
          <w:sz w:val="22"/>
          <w:szCs w:val="22"/>
          <w14:ligatures w14:val="standardContextual"/>
        </w:rPr>
      </w:pPr>
      <w:hyperlink w:anchor="_Toc156549321" w:history="1">
        <w:r w:rsidRPr="007354D2">
          <w:rPr>
            <w:rStyle w:val="Hyperlink"/>
            <w:rFonts w:cstheme="minorHAnsi"/>
            <w:bCs/>
            <w:noProof/>
          </w:rPr>
          <w:t>b.</w:t>
        </w:r>
        <w:r>
          <w:rPr>
            <w:rFonts w:asciiTheme="minorHAnsi" w:eastAsiaTheme="minorEastAsia" w:hAnsiTheme="minorHAnsi" w:cstheme="minorBidi"/>
            <w:b w:val="0"/>
            <w:noProof/>
            <w:kern w:val="2"/>
            <w:sz w:val="22"/>
            <w:szCs w:val="22"/>
            <w14:ligatures w14:val="standardContextual"/>
          </w:rPr>
          <w:tab/>
        </w:r>
        <w:r w:rsidRPr="007354D2">
          <w:rPr>
            <w:rStyle w:val="Hyperlink"/>
            <w:rFonts w:cstheme="minorHAnsi"/>
            <w:bCs/>
            <w:noProof/>
          </w:rPr>
          <w:t>Retaining FirstEnergy as the CSP is the most straightforward and efficient approach to managing the ELR load</w:t>
        </w:r>
        <w:r>
          <w:rPr>
            <w:noProof/>
            <w:webHidden/>
          </w:rPr>
          <w:tab/>
        </w:r>
        <w:r>
          <w:rPr>
            <w:noProof/>
            <w:webHidden/>
          </w:rPr>
          <w:fldChar w:fldCharType="begin"/>
        </w:r>
        <w:r>
          <w:rPr>
            <w:noProof/>
            <w:webHidden/>
          </w:rPr>
          <w:instrText xml:space="preserve"> PAGEREF _Toc156549321 \h </w:instrText>
        </w:r>
        <w:r>
          <w:rPr>
            <w:noProof/>
            <w:webHidden/>
          </w:rPr>
        </w:r>
        <w:r>
          <w:rPr>
            <w:noProof/>
            <w:webHidden/>
          </w:rPr>
          <w:fldChar w:fldCharType="separate"/>
        </w:r>
        <w:r>
          <w:rPr>
            <w:noProof/>
            <w:webHidden/>
          </w:rPr>
          <w:t>26</w:t>
        </w:r>
        <w:r>
          <w:rPr>
            <w:noProof/>
            <w:webHidden/>
          </w:rPr>
          <w:fldChar w:fldCharType="end"/>
        </w:r>
      </w:hyperlink>
    </w:p>
    <w:p w14:paraId="1EF76D1C" w14:textId="298DAFB9" w:rsidR="003873AB" w:rsidRDefault="003873AB">
      <w:pPr>
        <w:pStyle w:val="TOC4"/>
        <w:rPr>
          <w:rFonts w:asciiTheme="minorHAnsi" w:eastAsiaTheme="minorEastAsia" w:hAnsiTheme="minorHAnsi" w:cstheme="minorBidi"/>
          <w:b w:val="0"/>
          <w:noProof/>
          <w:kern w:val="2"/>
          <w:sz w:val="22"/>
          <w:szCs w:val="22"/>
          <w14:ligatures w14:val="standardContextual"/>
        </w:rPr>
      </w:pPr>
      <w:hyperlink w:anchor="_Toc156549322" w:history="1">
        <w:r w:rsidRPr="007354D2">
          <w:rPr>
            <w:rStyle w:val="Hyperlink"/>
            <w:rFonts w:cstheme="minorHAnsi"/>
            <w:bCs/>
            <w:noProof/>
          </w:rPr>
          <w:t>c.</w:t>
        </w:r>
        <w:r>
          <w:rPr>
            <w:rFonts w:asciiTheme="minorHAnsi" w:eastAsiaTheme="minorEastAsia" w:hAnsiTheme="minorHAnsi" w:cstheme="minorBidi"/>
            <w:b w:val="0"/>
            <w:noProof/>
            <w:kern w:val="2"/>
            <w:sz w:val="22"/>
            <w:szCs w:val="22"/>
            <w14:ligatures w14:val="standardContextual"/>
          </w:rPr>
          <w:tab/>
        </w:r>
        <w:r w:rsidRPr="007354D2">
          <w:rPr>
            <w:rStyle w:val="Hyperlink"/>
            <w:rFonts w:cstheme="minorHAnsi"/>
            <w:bCs/>
            <w:noProof/>
          </w:rPr>
          <w:t>FirstEnergy can continue to serve as the CSP for Rider ELR customers if the Commission directs it to do so</w:t>
        </w:r>
        <w:r>
          <w:rPr>
            <w:noProof/>
            <w:webHidden/>
          </w:rPr>
          <w:tab/>
        </w:r>
        <w:r>
          <w:rPr>
            <w:noProof/>
            <w:webHidden/>
          </w:rPr>
          <w:fldChar w:fldCharType="begin"/>
        </w:r>
        <w:r>
          <w:rPr>
            <w:noProof/>
            <w:webHidden/>
          </w:rPr>
          <w:instrText xml:space="preserve"> PAGEREF _Toc156549322 \h </w:instrText>
        </w:r>
        <w:r>
          <w:rPr>
            <w:noProof/>
            <w:webHidden/>
          </w:rPr>
        </w:r>
        <w:r>
          <w:rPr>
            <w:noProof/>
            <w:webHidden/>
          </w:rPr>
          <w:fldChar w:fldCharType="separate"/>
        </w:r>
        <w:r>
          <w:rPr>
            <w:noProof/>
            <w:webHidden/>
          </w:rPr>
          <w:t>27</w:t>
        </w:r>
        <w:r>
          <w:rPr>
            <w:noProof/>
            <w:webHidden/>
          </w:rPr>
          <w:fldChar w:fldCharType="end"/>
        </w:r>
      </w:hyperlink>
    </w:p>
    <w:p w14:paraId="15218E63" w14:textId="5C82FA57" w:rsidR="003873AB" w:rsidRDefault="003873AB">
      <w:pPr>
        <w:pStyle w:val="TOC4"/>
        <w:rPr>
          <w:rFonts w:asciiTheme="minorHAnsi" w:eastAsiaTheme="minorEastAsia" w:hAnsiTheme="minorHAnsi" w:cstheme="minorBidi"/>
          <w:b w:val="0"/>
          <w:noProof/>
          <w:kern w:val="2"/>
          <w:sz w:val="22"/>
          <w:szCs w:val="22"/>
          <w14:ligatures w14:val="standardContextual"/>
        </w:rPr>
      </w:pPr>
      <w:hyperlink w:anchor="_Toc156549323" w:history="1">
        <w:r w:rsidRPr="007354D2">
          <w:rPr>
            <w:rStyle w:val="Hyperlink"/>
            <w:rFonts w:cstheme="minorHAnsi"/>
            <w:bCs/>
            <w:noProof/>
          </w:rPr>
          <w:t>d.</w:t>
        </w:r>
        <w:r>
          <w:rPr>
            <w:rFonts w:asciiTheme="minorHAnsi" w:eastAsiaTheme="minorEastAsia" w:hAnsiTheme="minorHAnsi" w:cstheme="minorBidi"/>
            <w:b w:val="0"/>
            <w:noProof/>
            <w:kern w:val="2"/>
            <w:sz w:val="22"/>
            <w:szCs w:val="22"/>
            <w14:ligatures w14:val="standardContextual"/>
          </w:rPr>
          <w:tab/>
        </w:r>
        <w:r w:rsidRPr="007354D2">
          <w:rPr>
            <w:rStyle w:val="Hyperlink"/>
            <w:rFonts w:cstheme="minorHAnsi"/>
            <w:bCs/>
            <w:noProof/>
          </w:rPr>
          <w:t>If the Commission approves FirstEnergy’s proposal to require Rider ELR customers to participate in PJM through their own CSPs, the Commission should delay implementation of that change</w:t>
        </w:r>
        <w:r>
          <w:rPr>
            <w:noProof/>
            <w:webHidden/>
          </w:rPr>
          <w:tab/>
        </w:r>
        <w:r>
          <w:rPr>
            <w:noProof/>
            <w:webHidden/>
          </w:rPr>
          <w:fldChar w:fldCharType="begin"/>
        </w:r>
        <w:r>
          <w:rPr>
            <w:noProof/>
            <w:webHidden/>
          </w:rPr>
          <w:instrText xml:space="preserve"> PAGEREF _Toc156549323 \h </w:instrText>
        </w:r>
        <w:r>
          <w:rPr>
            <w:noProof/>
            <w:webHidden/>
          </w:rPr>
        </w:r>
        <w:r>
          <w:rPr>
            <w:noProof/>
            <w:webHidden/>
          </w:rPr>
          <w:fldChar w:fldCharType="separate"/>
        </w:r>
        <w:r>
          <w:rPr>
            <w:noProof/>
            <w:webHidden/>
          </w:rPr>
          <w:t>28</w:t>
        </w:r>
        <w:r>
          <w:rPr>
            <w:noProof/>
            <w:webHidden/>
          </w:rPr>
          <w:fldChar w:fldCharType="end"/>
        </w:r>
      </w:hyperlink>
    </w:p>
    <w:p w14:paraId="43601CD1" w14:textId="6D4F5293" w:rsidR="003873AB" w:rsidRDefault="003873AB">
      <w:pPr>
        <w:pStyle w:val="TOC2"/>
        <w:rPr>
          <w:rFonts w:asciiTheme="minorHAnsi" w:eastAsiaTheme="minorEastAsia" w:hAnsiTheme="minorHAnsi" w:cstheme="minorBidi"/>
          <w:b w:val="0"/>
          <w:noProof/>
          <w:kern w:val="2"/>
          <w:sz w:val="22"/>
          <w:szCs w:val="22"/>
          <w14:ligatures w14:val="standardContextual"/>
        </w:rPr>
      </w:pPr>
      <w:hyperlink w:anchor="_Toc156549324" w:history="1">
        <w:r w:rsidRPr="007354D2">
          <w:rPr>
            <w:rStyle w:val="Hyperlink"/>
            <w:rFonts w:cstheme="minorHAnsi"/>
            <w:bCs/>
            <w:noProof/>
          </w:rPr>
          <w:t>B.</w:t>
        </w:r>
        <w:r>
          <w:rPr>
            <w:rFonts w:asciiTheme="minorHAnsi" w:eastAsiaTheme="minorEastAsia" w:hAnsiTheme="minorHAnsi" w:cstheme="minorBidi"/>
            <w:b w:val="0"/>
            <w:noProof/>
            <w:kern w:val="2"/>
            <w:sz w:val="22"/>
            <w:szCs w:val="22"/>
            <w14:ligatures w14:val="standardContextual"/>
          </w:rPr>
          <w:tab/>
        </w:r>
        <w:r w:rsidRPr="007354D2">
          <w:rPr>
            <w:rStyle w:val="Hyperlink"/>
            <w:rFonts w:cstheme="minorHAnsi"/>
            <w:bCs/>
            <w:noProof/>
          </w:rPr>
          <w:t>The Commission Should Approve a Rate Mechanism for Transmission and Transmission-Related Costs that Incorporates NSPL Pricing</w:t>
        </w:r>
        <w:r>
          <w:rPr>
            <w:noProof/>
            <w:webHidden/>
          </w:rPr>
          <w:tab/>
        </w:r>
        <w:r>
          <w:rPr>
            <w:noProof/>
            <w:webHidden/>
          </w:rPr>
          <w:fldChar w:fldCharType="begin"/>
        </w:r>
        <w:r>
          <w:rPr>
            <w:noProof/>
            <w:webHidden/>
          </w:rPr>
          <w:instrText xml:space="preserve"> PAGEREF _Toc156549324 \h </w:instrText>
        </w:r>
        <w:r>
          <w:rPr>
            <w:noProof/>
            <w:webHidden/>
          </w:rPr>
        </w:r>
        <w:r>
          <w:rPr>
            <w:noProof/>
            <w:webHidden/>
          </w:rPr>
          <w:fldChar w:fldCharType="separate"/>
        </w:r>
        <w:r>
          <w:rPr>
            <w:noProof/>
            <w:webHidden/>
          </w:rPr>
          <w:t>29</w:t>
        </w:r>
        <w:r>
          <w:rPr>
            <w:noProof/>
            <w:webHidden/>
          </w:rPr>
          <w:fldChar w:fldCharType="end"/>
        </w:r>
      </w:hyperlink>
    </w:p>
    <w:p w14:paraId="593E683F" w14:textId="7B769B73" w:rsidR="003873AB" w:rsidRDefault="003873AB">
      <w:pPr>
        <w:pStyle w:val="TOC3"/>
        <w:rPr>
          <w:rFonts w:asciiTheme="minorHAnsi" w:eastAsiaTheme="minorEastAsia" w:hAnsiTheme="minorHAnsi" w:cstheme="minorBidi"/>
          <w:b w:val="0"/>
          <w:noProof/>
          <w:kern w:val="2"/>
          <w:sz w:val="22"/>
          <w:szCs w:val="22"/>
          <w14:ligatures w14:val="standardContextual"/>
        </w:rPr>
      </w:pPr>
      <w:hyperlink w:anchor="_Toc156549325" w:history="1">
        <w:r w:rsidRPr="007354D2">
          <w:rPr>
            <w:rStyle w:val="Hyperlink"/>
            <w:rFonts w:cstheme="minorHAnsi"/>
            <w:bCs/>
            <w:noProof/>
          </w:rPr>
          <w:t>1.</w:t>
        </w:r>
        <w:r>
          <w:rPr>
            <w:rFonts w:asciiTheme="minorHAnsi" w:eastAsiaTheme="minorEastAsia" w:hAnsiTheme="minorHAnsi" w:cstheme="minorBidi"/>
            <w:b w:val="0"/>
            <w:noProof/>
            <w:kern w:val="2"/>
            <w:sz w:val="22"/>
            <w:szCs w:val="22"/>
            <w14:ligatures w14:val="standardContextual"/>
          </w:rPr>
          <w:tab/>
        </w:r>
        <w:r w:rsidRPr="007354D2">
          <w:rPr>
            <w:rStyle w:val="Hyperlink"/>
            <w:rFonts w:cstheme="minorHAnsi"/>
            <w:bCs/>
            <w:noProof/>
          </w:rPr>
          <w:t>NSPL pricing reflects cost causation and provides strong price signals</w:t>
        </w:r>
        <w:r>
          <w:rPr>
            <w:noProof/>
            <w:webHidden/>
          </w:rPr>
          <w:tab/>
        </w:r>
        <w:r>
          <w:rPr>
            <w:noProof/>
            <w:webHidden/>
          </w:rPr>
          <w:fldChar w:fldCharType="begin"/>
        </w:r>
        <w:r>
          <w:rPr>
            <w:noProof/>
            <w:webHidden/>
          </w:rPr>
          <w:instrText xml:space="preserve"> PAGEREF _Toc156549325 \h </w:instrText>
        </w:r>
        <w:r>
          <w:rPr>
            <w:noProof/>
            <w:webHidden/>
          </w:rPr>
        </w:r>
        <w:r>
          <w:rPr>
            <w:noProof/>
            <w:webHidden/>
          </w:rPr>
          <w:fldChar w:fldCharType="separate"/>
        </w:r>
        <w:r>
          <w:rPr>
            <w:noProof/>
            <w:webHidden/>
          </w:rPr>
          <w:t>30</w:t>
        </w:r>
        <w:r>
          <w:rPr>
            <w:noProof/>
            <w:webHidden/>
          </w:rPr>
          <w:fldChar w:fldCharType="end"/>
        </w:r>
      </w:hyperlink>
    </w:p>
    <w:p w14:paraId="4A322F6C" w14:textId="3EAE5638" w:rsidR="003873AB" w:rsidRDefault="003873AB">
      <w:pPr>
        <w:pStyle w:val="TOC3"/>
        <w:rPr>
          <w:rFonts w:asciiTheme="minorHAnsi" w:eastAsiaTheme="minorEastAsia" w:hAnsiTheme="minorHAnsi" w:cstheme="minorBidi"/>
          <w:b w:val="0"/>
          <w:noProof/>
          <w:kern w:val="2"/>
          <w:sz w:val="22"/>
          <w:szCs w:val="22"/>
          <w14:ligatures w14:val="standardContextual"/>
        </w:rPr>
      </w:pPr>
      <w:hyperlink w:anchor="_Toc156549326" w:history="1">
        <w:r w:rsidRPr="007354D2">
          <w:rPr>
            <w:rStyle w:val="Hyperlink"/>
            <w:rFonts w:cstheme="minorHAnsi"/>
            <w:bCs/>
            <w:noProof/>
          </w:rPr>
          <w:t>2.</w:t>
        </w:r>
        <w:r>
          <w:rPr>
            <w:rFonts w:asciiTheme="minorHAnsi" w:eastAsiaTheme="minorEastAsia" w:hAnsiTheme="minorHAnsi" w:cstheme="minorBidi"/>
            <w:b w:val="0"/>
            <w:noProof/>
            <w:kern w:val="2"/>
            <w:sz w:val="22"/>
            <w:szCs w:val="22"/>
            <w14:ligatures w14:val="standardContextual"/>
          </w:rPr>
          <w:tab/>
        </w:r>
        <w:r w:rsidRPr="007354D2">
          <w:rPr>
            <w:rStyle w:val="Hyperlink"/>
            <w:rFonts w:cstheme="minorHAnsi"/>
            <w:bCs/>
            <w:noProof/>
          </w:rPr>
          <w:t>Most parties recognize the benefits of NSPL pricing even though proposals for transmission pricing differ</w:t>
        </w:r>
        <w:r>
          <w:rPr>
            <w:noProof/>
            <w:webHidden/>
          </w:rPr>
          <w:tab/>
        </w:r>
        <w:r>
          <w:rPr>
            <w:noProof/>
            <w:webHidden/>
          </w:rPr>
          <w:fldChar w:fldCharType="begin"/>
        </w:r>
        <w:r>
          <w:rPr>
            <w:noProof/>
            <w:webHidden/>
          </w:rPr>
          <w:instrText xml:space="preserve"> PAGEREF _Toc156549326 \h </w:instrText>
        </w:r>
        <w:r>
          <w:rPr>
            <w:noProof/>
            <w:webHidden/>
          </w:rPr>
        </w:r>
        <w:r>
          <w:rPr>
            <w:noProof/>
            <w:webHidden/>
          </w:rPr>
          <w:fldChar w:fldCharType="separate"/>
        </w:r>
        <w:r>
          <w:rPr>
            <w:noProof/>
            <w:webHidden/>
          </w:rPr>
          <w:t>32</w:t>
        </w:r>
        <w:r>
          <w:rPr>
            <w:noProof/>
            <w:webHidden/>
          </w:rPr>
          <w:fldChar w:fldCharType="end"/>
        </w:r>
      </w:hyperlink>
    </w:p>
    <w:p w14:paraId="025229B7" w14:textId="20A9DCC5" w:rsidR="003873AB" w:rsidRDefault="003873AB">
      <w:pPr>
        <w:pStyle w:val="TOC3"/>
        <w:rPr>
          <w:rFonts w:asciiTheme="minorHAnsi" w:eastAsiaTheme="minorEastAsia" w:hAnsiTheme="minorHAnsi" w:cstheme="minorBidi"/>
          <w:b w:val="0"/>
          <w:noProof/>
          <w:kern w:val="2"/>
          <w:sz w:val="22"/>
          <w:szCs w:val="22"/>
          <w14:ligatures w14:val="standardContextual"/>
        </w:rPr>
      </w:pPr>
      <w:hyperlink w:anchor="_Toc156549327" w:history="1">
        <w:r w:rsidRPr="007354D2">
          <w:rPr>
            <w:rStyle w:val="Hyperlink"/>
            <w:rFonts w:cstheme="minorHAnsi"/>
            <w:bCs/>
            <w:noProof/>
          </w:rPr>
          <w:t>3.</w:t>
        </w:r>
        <w:r>
          <w:rPr>
            <w:rFonts w:asciiTheme="minorHAnsi" w:eastAsiaTheme="minorEastAsia" w:hAnsiTheme="minorHAnsi" w:cstheme="minorBidi"/>
            <w:b w:val="0"/>
            <w:noProof/>
            <w:kern w:val="2"/>
            <w:sz w:val="22"/>
            <w:szCs w:val="22"/>
            <w14:ligatures w14:val="standardContextual"/>
          </w:rPr>
          <w:tab/>
        </w:r>
        <w:r w:rsidRPr="007354D2">
          <w:rPr>
            <w:rStyle w:val="Hyperlink"/>
            <w:rFonts w:cstheme="minorHAnsi"/>
            <w:bCs/>
            <w:noProof/>
          </w:rPr>
          <w:t>The Commission should approve FirstEnergy’s Rider NMB proposal or, in the alternative, continue the Rider NMB Pilot Program</w:t>
        </w:r>
        <w:r>
          <w:rPr>
            <w:noProof/>
            <w:webHidden/>
          </w:rPr>
          <w:tab/>
        </w:r>
        <w:r>
          <w:rPr>
            <w:noProof/>
            <w:webHidden/>
          </w:rPr>
          <w:fldChar w:fldCharType="begin"/>
        </w:r>
        <w:r>
          <w:rPr>
            <w:noProof/>
            <w:webHidden/>
          </w:rPr>
          <w:instrText xml:space="preserve"> PAGEREF _Toc156549327 \h </w:instrText>
        </w:r>
        <w:r>
          <w:rPr>
            <w:noProof/>
            <w:webHidden/>
          </w:rPr>
        </w:r>
        <w:r>
          <w:rPr>
            <w:noProof/>
            <w:webHidden/>
          </w:rPr>
          <w:fldChar w:fldCharType="separate"/>
        </w:r>
        <w:r>
          <w:rPr>
            <w:noProof/>
            <w:webHidden/>
          </w:rPr>
          <w:t>34</w:t>
        </w:r>
        <w:r>
          <w:rPr>
            <w:noProof/>
            <w:webHidden/>
          </w:rPr>
          <w:fldChar w:fldCharType="end"/>
        </w:r>
      </w:hyperlink>
    </w:p>
    <w:p w14:paraId="2516FF0A" w14:textId="49468878" w:rsidR="003873AB" w:rsidRDefault="003873AB">
      <w:pPr>
        <w:pStyle w:val="TOC1"/>
        <w:rPr>
          <w:rFonts w:asciiTheme="minorHAnsi" w:eastAsiaTheme="minorEastAsia" w:hAnsiTheme="minorHAnsi" w:cstheme="minorBidi"/>
          <w:b w:val="0"/>
          <w:noProof/>
          <w:kern w:val="2"/>
          <w:sz w:val="22"/>
          <w:szCs w:val="22"/>
          <w14:ligatures w14:val="standardContextual"/>
        </w:rPr>
      </w:pPr>
      <w:hyperlink w:anchor="_Toc156549328" w:history="1">
        <w:r w:rsidRPr="007354D2">
          <w:rPr>
            <w:rStyle w:val="Hyperlink"/>
            <w:noProof/>
          </w:rPr>
          <w:t>IV.</w:t>
        </w:r>
        <w:r>
          <w:rPr>
            <w:rFonts w:asciiTheme="minorHAnsi" w:eastAsiaTheme="minorEastAsia" w:hAnsiTheme="minorHAnsi" w:cstheme="minorBidi"/>
            <w:b w:val="0"/>
            <w:noProof/>
            <w:kern w:val="2"/>
            <w:sz w:val="22"/>
            <w:szCs w:val="22"/>
            <w14:ligatures w14:val="standardContextual"/>
          </w:rPr>
          <w:tab/>
        </w:r>
        <w:r w:rsidRPr="007354D2">
          <w:rPr>
            <w:rStyle w:val="Hyperlink"/>
            <w:noProof/>
          </w:rPr>
          <w:t>CONCLUSION</w:t>
        </w:r>
        <w:r>
          <w:rPr>
            <w:noProof/>
            <w:webHidden/>
          </w:rPr>
          <w:tab/>
        </w:r>
        <w:r>
          <w:rPr>
            <w:noProof/>
            <w:webHidden/>
          </w:rPr>
          <w:fldChar w:fldCharType="begin"/>
        </w:r>
        <w:r>
          <w:rPr>
            <w:noProof/>
            <w:webHidden/>
          </w:rPr>
          <w:instrText xml:space="preserve"> PAGEREF _Toc156549328 \h </w:instrText>
        </w:r>
        <w:r>
          <w:rPr>
            <w:noProof/>
            <w:webHidden/>
          </w:rPr>
        </w:r>
        <w:r>
          <w:rPr>
            <w:noProof/>
            <w:webHidden/>
          </w:rPr>
          <w:fldChar w:fldCharType="separate"/>
        </w:r>
        <w:r>
          <w:rPr>
            <w:noProof/>
            <w:webHidden/>
          </w:rPr>
          <w:t>35</w:t>
        </w:r>
        <w:r>
          <w:rPr>
            <w:noProof/>
            <w:webHidden/>
          </w:rPr>
          <w:fldChar w:fldCharType="end"/>
        </w:r>
      </w:hyperlink>
    </w:p>
    <w:p w14:paraId="3D942148" w14:textId="7E42E6E4" w:rsidR="002614D0" w:rsidRDefault="003873AB" w:rsidP="002614D0">
      <w:pPr>
        <w:rPr>
          <w:rFonts w:ascii="Calibri" w:hAnsi="Calibri"/>
          <w:bCs/>
        </w:rPr>
      </w:pPr>
      <w:r>
        <w:rPr>
          <w:rFonts w:ascii="Calibri" w:hAnsi="Calibri"/>
          <w:bCs/>
        </w:rPr>
        <w:fldChar w:fldCharType="end"/>
      </w:r>
    </w:p>
    <w:p w14:paraId="04BE0DCF" w14:textId="77777777" w:rsidR="003873AB" w:rsidRDefault="003873AB" w:rsidP="002614D0">
      <w:pPr>
        <w:rPr>
          <w:rFonts w:ascii="Calibri" w:hAnsi="Calibri"/>
          <w:b/>
          <w:bCs/>
        </w:rPr>
      </w:pPr>
    </w:p>
    <w:p w14:paraId="76CDACE8" w14:textId="77777777" w:rsidR="002614D0" w:rsidRPr="009E5460" w:rsidRDefault="002614D0" w:rsidP="00676CE0">
      <w:pPr>
        <w:jc w:val="center"/>
        <w:rPr>
          <w:rFonts w:ascii="Calibri" w:hAnsi="Calibri"/>
          <w:b/>
          <w:bCs/>
        </w:rPr>
      </w:pPr>
    </w:p>
    <w:p w14:paraId="4B6F33BF" w14:textId="77777777" w:rsidR="00676CE0" w:rsidRPr="009E5460" w:rsidRDefault="00676CE0" w:rsidP="00676CE0">
      <w:pPr>
        <w:jc w:val="center"/>
        <w:rPr>
          <w:rFonts w:ascii="Calibri" w:hAnsi="Calibri"/>
          <w:b/>
          <w:bCs/>
        </w:rPr>
        <w:sectPr w:rsidR="00676CE0" w:rsidRPr="009E5460" w:rsidSect="00362B15">
          <w:headerReference w:type="default" r:id="rId13"/>
          <w:footerReference w:type="default" r:id="rId14"/>
          <w:pgSz w:w="12240" w:h="15840" w:code="1"/>
          <w:pgMar w:top="1440" w:right="1440" w:bottom="1440" w:left="1440" w:header="720" w:footer="720" w:gutter="0"/>
          <w:cols w:space="720"/>
          <w:docGrid w:linePitch="254"/>
        </w:sectPr>
      </w:pPr>
    </w:p>
    <w:p w14:paraId="0420FCC8" w14:textId="77777777" w:rsidR="00676CE0" w:rsidRPr="009E5460" w:rsidRDefault="00676CE0" w:rsidP="00676CE0">
      <w:pPr>
        <w:jc w:val="center"/>
        <w:rPr>
          <w:rFonts w:ascii="Calibri" w:hAnsi="Calibri"/>
          <w:b/>
          <w:bCs/>
        </w:rPr>
      </w:pPr>
    </w:p>
    <w:p w14:paraId="008E48B2" w14:textId="77777777" w:rsidR="00676CE0" w:rsidRPr="009E5460" w:rsidRDefault="00676CE0" w:rsidP="00676CE0">
      <w:pPr>
        <w:jc w:val="center"/>
        <w:rPr>
          <w:rFonts w:ascii="Calibri" w:hAnsi="Calibri"/>
          <w:b/>
          <w:bCs/>
        </w:rPr>
      </w:pPr>
      <w:r w:rsidRPr="009E5460">
        <w:rPr>
          <w:rFonts w:ascii="Calibri" w:hAnsi="Calibri"/>
          <w:b/>
          <w:bCs/>
        </w:rPr>
        <w:t>BEFORE</w:t>
      </w:r>
    </w:p>
    <w:p w14:paraId="6D878571" w14:textId="77777777" w:rsidR="00676CE0" w:rsidRPr="009E5460" w:rsidRDefault="00676CE0" w:rsidP="00676CE0">
      <w:pPr>
        <w:jc w:val="center"/>
        <w:rPr>
          <w:rFonts w:ascii="Calibri" w:hAnsi="Calibri"/>
          <w:b/>
        </w:rPr>
      </w:pPr>
      <w:r w:rsidRPr="009E5460">
        <w:rPr>
          <w:rFonts w:ascii="Calibri" w:hAnsi="Calibri"/>
          <w:b/>
        </w:rPr>
        <w:t xml:space="preserve">THE PUBLIC UTILITIES COMMISSION OF </w:t>
      </w:r>
      <w:smartTag w:uri="urn:schemas-microsoft-com:office:smarttags" w:element="place">
        <w:smartTag w:uri="urn:schemas-microsoft-com:office:smarttags" w:element="State">
          <w:r w:rsidRPr="009E5460">
            <w:rPr>
              <w:rFonts w:ascii="Calibri" w:hAnsi="Calibri"/>
              <w:b/>
            </w:rPr>
            <w:t>OHIO</w:t>
          </w:r>
        </w:smartTag>
      </w:smartTag>
    </w:p>
    <w:p w14:paraId="03172369" w14:textId="77777777" w:rsidR="00676CE0" w:rsidRPr="009E5460" w:rsidRDefault="00676CE0" w:rsidP="00676CE0">
      <w:pPr>
        <w:rPr>
          <w:rFonts w:ascii="Calibri" w:hAnsi="Calibri"/>
          <w:b/>
        </w:rPr>
      </w:pPr>
    </w:p>
    <w:p w14:paraId="29B62C9E" w14:textId="77777777" w:rsidR="00676CE0" w:rsidRPr="009E5460" w:rsidRDefault="00676CE0" w:rsidP="00676CE0">
      <w:pPr>
        <w:rPr>
          <w:rFonts w:ascii="Calibri" w:hAnsi="Calibri"/>
          <w:b/>
        </w:rPr>
      </w:pPr>
    </w:p>
    <w:p w14:paraId="4CDA6917" w14:textId="77777777" w:rsidR="00972B8C" w:rsidRPr="00FF18E1" w:rsidRDefault="00972B8C" w:rsidP="00972B8C">
      <w:pPr>
        <w:tabs>
          <w:tab w:val="left" w:pos="5040"/>
          <w:tab w:val="left" w:pos="5797"/>
          <w:tab w:val="left" w:pos="6919"/>
        </w:tabs>
        <w:rPr>
          <w:rFonts w:ascii="Calibri" w:hAnsi="Calibri"/>
        </w:rPr>
      </w:pPr>
      <w:r w:rsidRPr="00FF18E1">
        <w:rPr>
          <w:rFonts w:ascii="Calibri" w:hAnsi="Calibri"/>
        </w:rPr>
        <w:t xml:space="preserve">In the Matter of the Application of </w:t>
      </w:r>
      <w:smartTag w:uri="urn:schemas-microsoft-com:office:smarttags" w:element="State">
        <w:r w:rsidRPr="00FF18E1">
          <w:rPr>
            <w:rFonts w:ascii="Calibri" w:hAnsi="Calibri"/>
          </w:rPr>
          <w:t>Ohio</w:t>
        </w:r>
      </w:smartTag>
      <w:r w:rsidRPr="00FF18E1">
        <w:rPr>
          <w:rFonts w:ascii="Calibri" w:hAnsi="Calibri"/>
        </w:rPr>
        <w:t xml:space="preserve"> </w:t>
      </w:r>
      <w:smartTag w:uri="urn:schemas-microsoft-com:office:smarttags" w:element="place">
        <w:r w:rsidRPr="00FF18E1">
          <w:rPr>
            <w:rFonts w:ascii="Calibri" w:hAnsi="Calibri"/>
          </w:rPr>
          <w:t>Edison</w:t>
        </w:r>
      </w:smartTag>
      <w:r>
        <w:rPr>
          <w:rFonts w:ascii="Calibri" w:hAnsi="Calibri"/>
        </w:rPr>
        <w:tab/>
      </w:r>
      <w:r w:rsidRPr="00FF18E1">
        <w:rPr>
          <w:rFonts w:ascii="Calibri" w:hAnsi="Calibri"/>
        </w:rPr>
        <w:t>)</w:t>
      </w:r>
    </w:p>
    <w:p w14:paraId="71FE70F8" w14:textId="77777777" w:rsidR="00972B8C" w:rsidRPr="00FF18E1" w:rsidRDefault="00972B8C" w:rsidP="00972B8C">
      <w:pPr>
        <w:tabs>
          <w:tab w:val="left" w:pos="5040"/>
          <w:tab w:val="left" w:pos="5797"/>
          <w:tab w:val="left" w:pos="6919"/>
        </w:tabs>
        <w:rPr>
          <w:rFonts w:ascii="Calibri" w:hAnsi="Calibri"/>
        </w:rPr>
      </w:pPr>
      <w:r w:rsidRPr="00FF18E1">
        <w:rPr>
          <w:rFonts w:ascii="Calibri" w:hAnsi="Calibri"/>
        </w:rPr>
        <w:t xml:space="preserve">Company, The </w:t>
      </w:r>
      <w:smartTag w:uri="urn:schemas-microsoft-com:office:smarttags" w:element="place">
        <w:smartTag w:uri="urn:schemas-microsoft-com:office:smarttags" w:element="City">
          <w:r w:rsidRPr="00FF18E1">
            <w:rPr>
              <w:rFonts w:ascii="Calibri" w:hAnsi="Calibri"/>
            </w:rPr>
            <w:t>Cleveland</w:t>
          </w:r>
        </w:smartTag>
      </w:smartTag>
      <w:r w:rsidRPr="00FF18E1">
        <w:rPr>
          <w:rFonts w:ascii="Calibri" w:hAnsi="Calibri"/>
        </w:rPr>
        <w:t xml:space="preserve"> Electric Illuminating </w:t>
      </w:r>
      <w:r w:rsidRPr="00FF18E1">
        <w:rPr>
          <w:rFonts w:ascii="Calibri" w:hAnsi="Calibri"/>
        </w:rPr>
        <w:tab/>
        <w:t>)</w:t>
      </w:r>
    </w:p>
    <w:p w14:paraId="4940BD39" w14:textId="5A3D18BC" w:rsidR="00972B8C" w:rsidRPr="00FF18E1" w:rsidRDefault="00972B8C" w:rsidP="00972B8C">
      <w:pPr>
        <w:tabs>
          <w:tab w:val="left" w:pos="5040"/>
          <w:tab w:val="left" w:pos="5797"/>
          <w:tab w:val="left" w:pos="6919"/>
        </w:tabs>
        <w:rPr>
          <w:rFonts w:ascii="Calibri" w:hAnsi="Calibri"/>
        </w:rPr>
      </w:pPr>
      <w:r w:rsidRPr="00FF18E1">
        <w:rPr>
          <w:rFonts w:ascii="Calibri" w:hAnsi="Calibri"/>
        </w:rPr>
        <w:t>Company and The Toledo Edison Company for</w:t>
      </w:r>
      <w:r w:rsidRPr="00FF18E1">
        <w:rPr>
          <w:rFonts w:ascii="Calibri" w:hAnsi="Calibri"/>
        </w:rPr>
        <w:tab/>
        <w:t>)</w:t>
      </w:r>
      <w:r>
        <w:rPr>
          <w:rFonts w:ascii="Calibri" w:hAnsi="Calibri"/>
        </w:rPr>
        <w:tab/>
      </w:r>
      <w:r w:rsidRPr="00FF18E1">
        <w:rPr>
          <w:rFonts w:ascii="Calibri" w:hAnsi="Calibri"/>
        </w:rPr>
        <w:t>Case No.</w:t>
      </w:r>
      <w:r w:rsidR="00A94C9A">
        <w:rPr>
          <w:rFonts w:ascii="Calibri" w:hAnsi="Calibri"/>
        </w:rPr>
        <w:t xml:space="preserve"> </w:t>
      </w:r>
      <w:r w:rsidR="002028F5">
        <w:rPr>
          <w:rFonts w:ascii="Calibri" w:hAnsi="Calibri"/>
        </w:rPr>
        <w:t>23-301</w:t>
      </w:r>
      <w:r>
        <w:rPr>
          <w:rFonts w:ascii="Calibri" w:hAnsi="Calibri"/>
        </w:rPr>
        <w:t>-EL-SSO</w:t>
      </w:r>
    </w:p>
    <w:p w14:paraId="53A81989" w14:textId="7A0882BF" w:rsidR="00972B8C" w:rsidRPr="00FF18E1" w:rsidRDefault="00972B8C" w:rsidP="00972B8C">
      <w:pPr>
        <w:tabs>
          <w:tab w:val="left" w:pos="5040"/>
          <w:tab w:val="left" w:pos="5797"/>
          <w:tab w:val="left" w:pos="6919"/>
        </w:tabs>
        <w:rPr>
          <w:rFonts w:ascii="Calibri" w:hAnsi="Calibri"/>
        </w:rPr>
      </w:pPr>
      <w:r>
        <w:rPr>
          <w:rFonts w:ascii="Calibri" w:hAnsi="Calibri"/>
        </w:rPr>
        <w:t xml:space="preserve">Authority to </w:t>
      </w:r>
      <w:r w:rsidR="002028F5">
        <w:rPr>
          <w:rFonts w:ascii="Calibri" w:hAnsi="Calibri"/>
        </w:rPr>
        <w:t>Establish</w:t>
      </w:r>
      <w:r>
        <w:rPr>
          <w:rFonts w:ascii="Calibri" w:hAnsi="Calibri"/>
        </w:rPr>
        <w:t xml:space="preserve"> a Standard Service Offer</w:t>
      </w:r>
      <w:r w:rsidRPr="00FF18E1">
        <w:rPr>
          <w:rFonts w:ascii="Calibri" w:hAnsi="Calibri"/>
        </w:rPr>
        <w:tab/>
        <w:t>)</w:t>
      </w:r>
      <w:r>
        <w:rPr>
          <w:rFonts w:ascii="Calibri" w:hAnsi="Calibri"/>
        </w:rPr>
        <w:tab/>
      </w:r>
      <w:r>
        <w:rPr>
          <w:rFonts w:ascii="Calibri" w:hAnsi="Calibri"/>
        </w:rPr>
        <w:tab/>
      </w:r>
    </w:p>
    <w:p w14:paraId="72E870D6" w14:textId="77777777" w:rsidR="00972B8C" w:rsidRPr="00FF18E1" w:rsidRDefault="00972B8C" w:rsidP="00972B8C">
      <w:pPr>
        <w:tabs>
          <w:tab w:val="left" w:pos="5040"/>
          <w:tab w:val="left" w:pos="5797"/>
          <w:tab w:val="left" w:pos="6919"/>
        </w:tabs>
        <w:rPr>
          <w:rFonts w:ascii="Calibri" w:hAnsi="Calibri"/>
        </w:rPr>
      </w:pPr>
      <w:r>
        <w:rPr>
          <w:rFonts w:ascii="Calibri" w:hAnsi="Calibri"/>
        </w:rPr>
        <w:t>Pursuant to R.C. § 4928.143 in the Form of an</w:t>
      </w:r>
      <w:r w:rsidRPr="00FF18E1">
        <w:rPr>
          <w:rFonts w:ascii="Calibri" w:hAnsi="Calibri"/>
        </w:rPr>
        <w:tab/>
        <w:t>)</w:t>
      </w:r>
      <w:r>
        <w:rPr>
          <w:rFonts w:ascii="Calibri" w:hAnsi="Calibri"/>
        </w:rPr>
        <w:tab/>
      </w:r>
      <w:r>
        <w:rPr>
          <w:rFonts w:ascii="Calibri" w:hAnsi="Calibri"/>
        </w:rPr>
        <w:tab/>
      </w:r>
    </w:p>
    <w:p w14:paraId="5A3DBA4D" w14:textId="77777777" w:rsidR="00972B8C" w:rsidRPr="00FF18E1" w:rsidRDefault="00972B8C" w:rsidP="00972B8C">
      <w:pPr>
        <w:tabs>
          <w:tab w:val="left" w:pos="5040"/>
          <w:tab w:val="left" w:pos="5797"/>
          <w:tab w:val="left" w:pos="6919"/>
        </w:tabs>
        <w:rPr>
          <w:rFonts w:ascii="Calibri" w:hAnsi="Calibri"/>
        </w:rPr>
      </w:pPr>
      <w:r>
        <w:rPr>
          <w:rFonts w:ascii="Calibri" w:hAnsi="Calibri"/>
        </w:rPr>
        <w:t>Electric Security Plan</w:t>
      </w:r>
      <w:r w:rsidRPr="00FF18E1">
        <w:rPr>
          <w:rFonts w:ascii="Calibri" w:hAnsi="Calibri"/>
        </w:rPr>
        <w:tab/>
        <w:t>)</w:t>
      </w:r>
    </w:p>
    <w:p w14:paraId="0D20FFDB" w14:textId="77777777" w:rsidR="00972B8C" w:rsidRPr="00D74A58" w:rsidRDefault="00972B8C" w:rsidP="00972B8C">
      <w:pPr>
        <w:tabs>
          <w:tab w:val="left" w:pos="6358"/>
          <w:tab w:val="left" w:pos="7667"/>
        </w:tabs>
        <w:rPr>
          <w:rFonts w:ascii="Calibri" w:hAnsi="Calibri"/>
        </w:rPr>
      </w:pPr>
    </w:p>
    <w:p w14:paraId="46042CE8" w14:textId="77777777" w:rsidR="00676CE0" w:rsidRPr="009E5460" w:rsidRDefault="00676CE0" w:rsidP="00676CE0">
      <w:pPr>
        <w:pBdr>
          <w:bottom w:val="single" w:sz="12" w:space="1" w:color="auto"/>
        </w:pBdr>
        <w:jc w:val="center"/>
        <w:rPr>
          <w:rFonts w:ascii="Calibri" w:hAnsi="Calibri"/>
        </w:rPr>
      </w:pPr>
    </w:p>
    <w:p w14:paraId="293B8A89" w14:textId="77777777" w:rsidR="00676CE0" w:rsidRPr="009E5460" w:rsidRDefault="00676CE0" w:rsidP="00676CE0">
      <w:pPr>
        <w:jc w:val="center"/>
        <w:rPr>
          <w:rFonts w:ascii="Calibri" w:hAnsi="Calibri"/>
        </w:rPr>
      </w:pPr>
    </w:p>
    <w:p w14:paraId="6C3E83D5" w14:textId="1822A947" w:rsidR="00676CE0" w:rsidRPr="009E5460" w:rsidRDefault="00C5774F" w:rsidP="00676CE0">
      <w:pPr>
        <w:jc w:val="center"/>
        <w:rPr>
          <w:rFonts w:ascii="Calibri" w:hAnsi="Calibri"/>
          <w:b/>
        </w:rPr>
      </w:pPr>
      <w:r>
        <w:rPr>
          <w:rFonts w:ascii="Calibri" w:hAnsi="Calibri"/>
          <w:b/>
          <w:bCs/>
        </w:rPr>
        <w:t>INITIAL</w:t>
      </w:r>
      <w:r w:rsidR="00676CE0" w:rsidRPr="009E5460">
        <w:rPr>
          <w:rFonts w:ascii="Calibri" w:hAnsi="Calibri"/>
          <w:b/>
          <w:bCs/>
        </w:rPr>
        <w:t xml:space="preserve"> BRIEF </w:t>
      </w:r>
      <w:r w:rsidR="00601B64">
        <w:rPr>
          <w:rFonts w:ascii="Calibri" w:hAnsi="Calibri"/>
          <w:b/>
          <w:bCs/>
        </w:rPr>
        <w:t>BY</w:t>
      </w:r>
      <w:r w:rsidR="00676CE0" w:rsidRPr="009E5460">
        <w:rPr>
          <w:rFonts w:ascii="Calibri" w:hAnsi="Calibri"/>
          <w:b/>
          <w:bCs/>
        </w:rPr>
        <w:t xml:space="preserve"> NUCOR STEEL MARION, INC.</w:t>
      </w:r>
    </w:p>
    <w:p w14:paraId="355468F5" w14:textId="77777777" w:rsidR="00676CE0" w:rsidRPr="009E5460" w:rsidRDefault="00676CE0" w:rsidP="00676CE0">
      <w:pPr>
        <w:pBdr>
          <w:bottom w:val="single" w:sz="12" w:space="1" w:color="auto"/>
        </w:pBdr>
        <w:jc w:val="center"/>
        <w:rPr>
          <w:rFonts w:ascii="Calibri" w:hAnsi="Calibri"/>
        </w:rPr>
      </w:pPr>
    </w:p>
    <w:p w14:paraId="024B4C1C" w14:textId="77777777" w:rsidR="00676CE0" w:rsidRPr="009E5460" w:rsidRDefault="00676CE0" w:rsidP="00676CE0">
      <w:pPr>
        <w:spacing w:line="480" w:lineRule="auto"/>
        <w:ind w:firstLine="720"/>
        <w:jc w:val="both"/>
        <w:rPr>
          <w:rFonts w:ascii="Calibri" w:hAnsi="Calibri"/>
        </w:rPr>
      </w:pPr>
    </w:p>
    <w:p w14:paraId="5B67768A" w14:textId="5D57EDA0" w:rsidR="00B334D0" w:rsidRDefault="00676CE0" w:rsidP="00B334D0">
      <w:pPr>
        <w:spacing w:line="480" w:lineRule="auto"/>
        <w:ind w:firstLine="720"/>
        <w:jc w:val="both"/>
        <w:rPr>
          <w:rFonts w:ascii="Calibri" w:hAnsi="Calibri"/>
        </w:rPr>
      </w:pPr>
      <w:r w:rsidRPr="009E5460">
        <w:rPr>
          <w:rFonts w:ascii="Calibri" w:hAnsi="Calibri"/>
        </w:rPr>
        <w:t>Nucor Steel Marion, Inc.</w:t>
      </w:r>
      <w:r w:rsidR="00151DC0">
        <w:rPr>
          <w:rFonts w:ascii="Calibri" w:hAnsi="Calibri"/>
        </w:rPr>
        <w:t xml:space="preserve"> (“Nucor”)</w:t>
      </w:r>
      <w:r w:rsidRPr="009E5460">
        <w:rPr>
          <w:rFonts w:ascii="Calibri" w:hAnsi="Calibri"/>
        </w:rPr>
        <w:t xml:space="preserve"> hereby submits its </w:t>
      </w:r>
      <w:r w:rsidR="00383B75">
        <w:rPr>
          <w:rFonts w:ascii="Calibri" w:hAnsi="Calibri"/>
        </w:rPr>
        <w:t>post-hearing</w:t>
      </w:r>
      <w:r w:rsidRPr="009E5460">
        <w:rPr>
          <w:rFonts w:ascii="Calibri" w:hAnsi="Calibri"/>
        </w:rPr>
        <w:t xml:space="preserve"> brief</w:t>
      </w:r>
      <w:r w:rsidR="00341B3C" w:rsidRPr="009E5460">
        <w:rPr>
          <w:rFonts w:ascii="Calibri" w:hAnsi="Calibri"/>
        </w:rPr>
        <w:t xml:space="preserve"> </w:t>
      </w:r>
      <w:r w:rsidR="00E6786C">
        <w:rPr>
          <w:rFonts w:ascii="Calibri" w:hAnsi="Calibri"/>
        </w:rPr>
        <w:t xml:space="preserve">in </w:t>
      </w:r>
      <w:r w:rsidR="00383B75">
        <w:rPr>
          <w:rFonts w:ascii="Calibri" w:hAnsi="Calibri"/>
        </w:rPr>
        <w:t>the</w:t>
      </w:r>
      <w:r w:rsidR="00B334D0">
        <w:rPr>
          <w:rFonts w:ascii="Calibri" w:hAnsi="Calibri"/>
        </w:rPr>
        <w:t xml:space="preserve"> above-captioned proceeding, which is considering the</w:t>
      </w:r>
      <w:r w:rsidR="00383B75">
        <w:rPr>
          <w:rFonts w:ascii="Calibri" w:hAnsi="Calibri"/>
        </w:rPr>
        <w:t xml:space="preserve"> </w:t>
      </w:r>
      <w:r w:rsidR="0093120A">
        <w:rPr>
          <w:rFonts w:ascii="Calibri" w:hAnsi="Calibri"/>
        </w:rPr>
        <w:t xml:space="preserve">application </w:t>
      </w:r>
      <w:r w:rsidR="00B334D0">
        <w:rPr>
          <w:rFonts w:ascii="Calibri" w:hAnsi="Calibri"/>
        </w:rPr>
        <w:t>of</w:t>
      </w:r>
      <w:r w:rsidR="00383B75">
        <w:rPr>
          <w:rFonts w:ascii="Calibri" w:hAnsi="Calibri"/>
        </w:rPr>
        <w:t xml:space="preserve"> </w:t>
      </w:r>
      <w:r w:rsidR="00341B3C" w:rsidRPr="009E5460">
        <w:rPr>
          <w:rFonts w:ascii="Calibri" w:hAnsi="Calibri"/>
        </w:rPr>
        <w:t xml:space="preserve">Ohio Edison Company, </w:t>
      </w:r>
      <w:r w:rsidR="001D4E9A">
        <w:rPr>
          <w:rFonts w:ascii="Calibri" w:hAnsi="Calibri"/>
        </w:rPr>
        <w:t>T</w:t>
      </w:r>
      <w:r w:rsidR="001D4E9A" w:rsidRPr="009E5460">
        <w:rPr>
          <w:rFonts w:ascii="Calibri" w:hAnsi="Calibri"/>
        </w:rPr>
        <w:t xml:space="preserve">he </w:t>
      </w:r>
      <w:r w:rsidR="00341B3C" w:rsidRPr="009E5460">
        <w:rPr>
          <w:rFonts w:ascii="Calibri" w:hAnsi="Calibri"/>
        </w:rPr>
        <w:t xml:space="preserve">Cleveland Electric Illuminating Company, and </w:t>
      </w:r>
      <w:r w:rsidR="001D4E9A">
        <w:rPr>
          <w:rFonts w:ascii="Calibri" w:hAnsi="Calibri"/>
        </w:rPr>
        <w:t>T</w:t>
      </w:r>
      <w:r w:rsidR="001D4E9A" w:rsidRPr="009E5460">
        <w:rPr>
          <w:rFonts w:ascii="Calibri" w:hAnsi="Calibri"/>
        </w:rPr>
        <w:t xml:space="preserve">he </w:t>
      </w:r>
      <w:r w:rsidR="00341B3C" w:rsidRPr="009E5460">
        <w:rPr>
          <w:rFonts w:ascii="Calibri" w:hAnsi="Calibri"/>
        </w:rPr>
        <w:t>Toledo Edison Company</w:t>
      </w:r>
      <w:r w:rsidR="00E90315">
        <w:rPr>
          <w:rFonts w:ascii="Calibri" w:hAnsi="Calibri"/>
        </w:rPr>
        <w:t xml:space="preserve"> (collectively, “FirstEnergy”</w:t>
      </w:r>
      <w:r w:rsidR="00F04796">
        <w:rPr>
          <w:rFonts w:ascii="Calibri" w:hAnsi="Calibri"/>
        </w:rPr>
        <w:t xml:space="preserve"> or “Companies”</w:t>
      </w:r>
      <w:r w:rsidR="00E90315">
        <w:rPr>
          <w:rFonts w:ascii="Calibri" w:hAnsi="Calibri"/>
        </w:rPr>
        <w:t>)</w:t>
      </w:r>
      <w:r w:rsidR="00051483">
        <w:rPr>
          <w:rFonts w:ascii="Calibri" w:hAnsi="Calibri"/>
        </w:rPr>
        <w:t xml:space="preserve"> for approval of FirstEnergy’s </w:t>
      </w:r>
      <w:r w:rsidR="00B334D0">
        <w:rPr>
          <w:rFonts w:ascii="Calibri" w:hAnsi="Calibri"/>
        </w:rPr>
        <w:t xml:space="preserve">fifth </w:t>
      </w:r>
      <w:r w:rsidR="00051483">
        <w:rPr>
          <w:rFonts w:ascii="Calibri" w:hAnsi="Calibri"/>
        </w:rPr>
        <w:t>electric security plan (“ESP V”)</w:t>
      </w:r>
      <w:r w:rsidR="0093120A">
        <w:rPr>
          <w:rFonts w:ascii="Calibri" w:hAnsi="Calibri"/>
        </w:rPr>
        <w:t>.</w:t>
      </w:r>
      <w:r w:rsidR="00B334D0">
        <w:rPr>
          <w:rFonts w:ascii="Calibri" w:hAnsi="Calibri"/>
        </w:rPr>
        <w:t xml:space="preserve">  </w:t>
      </w:r>
    </w:p>
    <w:p w14:paraId="1129365F" w14:textId="7434D858" w:rsidR="00B334D0" w:rsidRPr="00B334D0" w:rsidRDefault="00B334D0" w:rsidP="00CC1256">
      <w:pPr>
        <w:spacing w:after="240"/>
        <w:jc w:val="both"/>
        <w:rPr>
          <w:rFonts w:ascii="Calibri" w:hAnsi="Calibri"/>
          <w:b/>
          <w:bCs/>
        </w:rPr>
      </w:pPr>
      <w:r w:rsidRPr="00B334D0">
        <w:rPr>
          <w:rFonts w:ascii="Calibri" w:hAnsi="Calibri"/>
          <w:b/>
          <w:bCs/>
        </w:rPr>
        <w:t>I.</w:t>
      </w:r>
      <w:r w:rsidRPr="00B334D0">
        <w:rPr>
          <w:rFonts w:ascii="Calibri" w:hAnsi="Calibri"/>
          <w:b/>
          <w:bCs/>
        </w:rPr>
        <w:tab/>
        <w:t>INTRODUCTION</w:t>
      </w:r>
      <w:r w:rsidR="00A545C1">
        <w:rPr>
          <w:rFonts w:ascii="Calibri" w:hAnsi="Calibri"/>
          <w:b/>
          <w:bCs/>
        </w:rPr>
        <w:fldChar w:fldCharType="begin"/>
      </w:r>
      <w:r w:rsidR="00A545C1">
        <w:instrText xml:space="preserve"> TC "</w:instrText>
      </w:r>
      <w:bookmarkStart w:id="0" w:name="_Toc156549230"/>
      <w:bookmarkStart w:id="1" w:name="_Toc156549303"/>
      <w:r w:rsidR="00A545C1" w:rsidRPr="00C6578E">
        <w:rPr>
          <w:rFonts w:ascii="Calibri" w:hAnsi="Calibri"/>
          <w:b/>
          <w:bCs/>
        </w:rPr>
        <w:instrText>I.</w:instrText>
      </w:r>
      <w:r w:rsidR="00A545C1" w:rsidRPr="00C6578E">
        <w:rPr>
          <w:rFonts w:ascii="Calibri" w:hAnsi="Calibri"/>
          <w:b/>
          <w:bCs/>
        </w:rPr>
        <w:tab/>
        <w:instrText>INTRODUCTION</w:instrText>
      </w:r>
      <w:bookmarkEnd w:id="0"/>
      <w:bookmarkEnd w:id="1"/>
      <w:r w:rsidR="00A545C1">
        <w:instrText xml:space="preserve">" \f C \l "1" </w:instrText>
      </w:r>
      <w:r w:rsidR="00A545C1">
        <w:rPr>
          <w:rFonts w:ascii="Calibri" w:hAnsi="Calibri"/>
          <w:b/>
          <w:bCs/>
        </w:rPr>
        <w:fldChar w:fldCharType="end"/>
      </w:r>
    </w:p>
    <w:p w14:paraId="7180296E" w14:textId="624CABFF" w:rsidR="00AC5776" w:rsidRDefault="00B334D0" w:rsidP="00B334D0">
      <w:pPr>
        <w:spacing w:line="480" w:lineRule="auto"/>
        <w:ind w:firstLine="720"/>
        <w:jc w:val="both"/>
        <w:rPr>
          <w:rFonts w:ascii="Calibri" w:hAnsi="Calibri"/>
        </w:rPr>
      </w:pPr>
      <w:r>
        <w:rPr>
          <w:rFonts w:ascii="Calibri" w:hAnsi="Calibri"/>
        </w:rPr>
        <w:t>Nucor is a large, industrial, interruptible customer of Ohio Edison</w:t>
      </w:r>
      <w:proofErr w:type="gramStart"/>
      <w:r>
        <w:rPr>
          <w:rFonts w:ascii="Calibri" w:hAnsi="Calibri"/>
        </w:rPr>
        <w:t xml:space="preserve">.  </w:t>
      </w:r>
      <w:proofErr w:type="gramEnd"/>
      <w:r>
        <w:rPr>
          <w:rFonts w:ascii="Calibri" w:hAnsi="Calibri"/>
        </w:rPr>
        <w:t xml:space="preserve">Nucor’s steel </w:t>
      </w:r>
      <w:r w:rsidR="0094578B">
        <w:rPr>
          <w:rFonts w:ascii="Calibri" w:hAnsi="Calibri"/>
        </w:rPr>
        <w:t>manufacturing facility</w:t>
      </w:r>
      <w:r>
        <w:rPr>
          <w:rFonts w:ascii="Calibri" w:hAnsi="Calibri"/>
        </w:rPr>
        <w:t xml:space="preserve"> in Marion, Ohio</w:t>
      </w:r>
      <w:r w:rsidR="00AC5776">
        <w:rPr>
          <w:rFonts w:ascii="Calibri" w:hAnsi="Calibri"/>
        </w:rPr>
        <w:t xml:space="preserve"> is</w:t>
      </w:r>
      <w:r>
        <w:rPr>
          <w:rFonts w:ascii="Calibri" w:hAnsi="Calibri"/>
        </w:rPr>
        <w:t xml:space="preserve"> a division of</w:t>
      </w:r>
      <w:r w:rsidR="00217AC1">
        <w:rPr>
          <w:rFonts w:ascii="Calibri" w:hAnsi="Calibri"/>
        </w:rPr>
        <w:t xml:space="preserve"> Nucor Corporation,</w:t>
      </w:r>
      <w:r>
        <w:rPr>
          <w:rFonts w:ascii="Calibri" w:hAnsi="Calibri"/>
        </w:rPr>
        <w:t xml:space="preserve"> the nation’s largest producer of steel and North America’s largest recycler</w:t>
      </w:r>
      <w:proofErr w:type="gramStart"/>
      <w:r w:rsidR="00217AC1">
        <w:rPr>
          <w:rFonts w:ascii="Calibri" w:hAnsi="Calibri"/>
        </w:rPr>
        <w:t xml:space="preserve">.  </w:t>
      </w:r>
      <w:proofErr w:type="gramEnd"/>
      <w:r w:rsidR="00217AC1">
        <w:rPr>
          <w:rFonts w:ascii="Calibri" w:hAnsi="Calibri"/>
        </w:rPr>
        <w:t xml:space="preserve">At the </w:t>
      </w:r>
      <w:r w:rsidR="00BC5568">
        <w:rPr>
          <w:rFonts w:ascii="Calibri" w:hAnsi="Calibri"/>
        </w:rPr>
        <w:t>Marion</w:t>
      </w:r>
      <w:r w:rsidR="00217AC1">
        <w:rPr>
          <w:rFonts w:ascii="Calibri" w:hAnsi="Calibri"/>
        </w:rPr>
        <w:t xml:space="preserve"> plant, Nucor</w:t>
      </w:r>
      <w:r>
        <w:rPr>
          <w:rFonts w:ascii="Calibri" w:hAnsi="Calibri"/>
        </w:rPr>
        <w:t xml:space="preserve"> melts recycled scrap steel in a massive electric arc furnace and uses the molten steel to create new steel products</w:t>
      </w:r>
      <w:proofErr w:type="gramStart"/>
      <w:r>
        <w:rPr>
          <w:rFonts w:ascii="Calibri" w:hAnsi="Calibri"/>
        </w:rPr>
        <w:t xml:space="preserve">.  </w:t>
      </w:r>
      <w:proofErr w:type="gramEnd"/>
      <w:r>
        <w:rPr>
          <w:rFonts w:ascii="Calibri" w:hAnsi="Calibri"/>
        </w:rPr>
        <w:t>This recycling process is much more efficient than traditional integrated steel production since it re-uses the latent energy already contained in the scrap, but the process is still extremely energy intensive</w:t>
      </w:r>
      <w:proofErr w:type="gramStart"/>
      <w:r>
        <w:rPr>
          <w:rFonts w:ascii="Calibri" w:hAnsi="Calibri"/>
        </w:rPr>
        <w:t xml:space="preserve">.  </w:t>
      </w:r>
      <w:proofErr w:type="gramEnd"/>
      <w:r>
        <w:rPr>
          <w:rFonts w:ascii="Calibri" w:hAnsi="Calibri"/>
        </w:rPr>
        <w:t xml:space="preserve">As a result, Nucor purchases </w:t>
      </w:r>
      <w:r>
        <w:rPr>
          <w:rFonts w:ascii="Calibri" w:hAnsi="Calibri"/>
        </w:rPr>
        <w:lastRenderedPageBreak/>
        <w:t>millions of dollars worth of electric energy from Ohio Edison each year</w:t>
      </w:r>
      <w:r w:rsidR="00891130">
        <w:rPr>
          <w:rFonts w:ascii="Calibri" w:hAnsi="Calibri"/>
        </w:rPr>
        <w:t>, making electric</w:t>
      </w:r>
      <w:r w:rsidR="00BC5568">
        <w:rPr>
          <w:rFonts w:ascii="Calibri" w:hAnsi="Calibri"/>
        </w:rPr>
        <w:t>ity</w:t>
      </w:r>
      <w:r w:rsidR="00891130">
        <w:rPr>
          <w:rFonts w:ascii="Calibri" w:hAnsi="Calibri"/>
        </w:rPr>
        <w:t xml:space="preserve"> </w:t>
      </w:r>
      <w:r>
        <w:rPr>
          <w:rFonts w:ascii="Calibri" w:hAnsi="Calibri"/>
        </w:rPr>
        <w:t>one of Nucor’s largest production costs</w:t>
      </w:r>
      <w:proofErr w:type="gramStart"/>
      <w:r>
        <w:rPr>
          <w:rFonts w:ascii="Calibri" w:hAnsi="Calibri"/>
        </w:rPr>
        <w:t xml:space="preserve">.  </w:t>
      </w:r>
      <w:proofErr w:type="gramEnd"/>
      <w:r>
        <w:rPr>
          <w:rFonts w:ascii="Calibri" w:hAnsi="Calibri"/>
        </w:rPr>
        <w:t>Given the importance of electric energy to Nucor’s production process, Nucor has been an active participant in the current ESP V case, as we have been in all of FirstEnergy’s prior ESP cases.</w:t>
      </w:r>
    </w:p>
    <w:p w14:paraId="683C53C2" w14:textId="2CF22456" w:rsidR="004D753E" w:rsidRDefault="00F8766E" w:rsidP="00AC5776">
      <w:pPr>
        <w:spacing w:line="480" w:lineRule="auto"/>
        <w:ind w:firstLine="720"/>
        <w:jc w:val="both"/>
        <w:rPr>
          <w:rFonts w:ascii="Calibri" w:hAnsi="Calibri"/>
        </w:rPr>
      </w:pPr>
      <w:r>
        <w:rPr>
          <w:rFonts w:ascii="Calibri" w:hAnsi="Calibri"/>
        </w:rPr>
        <w:t xml:space="preserve">In this case, FirstEnergy proposes a new eight-year ESP for its standard service offer upon the expiration of the current ESP IV rate plan in </w:t>
      </w:r>
      <w:proofErr w:type="gramStart"/>
      <w:r>
        <w:rPr>
          <w:rFonts w:ascii="Calibri" w:hAnsi="Calibri"/>
        </w:rPr>
        <w:t>May,</w:t>
      </w:r>
      <w:proofErr w:type="gramEnd"/>
      <w:r>
        <w:rPr>
          <w:rFonts w:ascii="Calibri" w:hAnsi="Calibri"/>
        </w:rPr>
        <w:t xml:space="preserve"> 2024.  </w:t>
      </w:r>
      <w:r w:rsidR="004D753E">
        <w:rPr>
          <w:rFonts w:ascii="Calibri" w:hAnsi="Calibri"/>
        </w:rPr>
        <w:t xml:space="preserve">Many of the </w:t>
      </w:r>
      <w:r w:rsidR="003B3C50">
        <w:rPr>
          <w:rFonts w:ascii="Calibri" w:hAnsi="Calibri"/>
        </w:rPr>
        <w:t xml:space="preserve">basic features of the </w:t>
      </w:r>
      <w:r w:rsidR="004D753E">
        <w:rPr>
          <w:rFonts w:ascii="Calibri" w:hAnsi="Calibri"/>
        </w:rPr>
        <w:t xml:space="preserve">ESP V proposal have </w:t>
      </w:r>
      <w:proofErr w:type="gramStart"/>
      <w:r w:rsidR="004D753E">
        <w:rPr>
          <w:rFonts w:ascii="Calibri" w:hAnsi="Calibri"/>
        </w:rPr>
        <w:t>been</w:t>
      </w:r>
      <w:proofErr w:type="gramEnd"/>
      <w:r w:rsidR="004D753E">
        <w:rPr>
          <w:rFonts w:ascii="Calibri" w:hAnsi="Calibri"/>
        </w:rPr>
        <w:t xml:space="preserve"> in place through the ESP IV plan and previous ESP plans</w:t>
      </w:r>
      <w:proofErr w:type="gramStart"/>
      <w:r w:rsidR="004D753E">
        <w:rPr>
          <w:rFonts w:ascii="Calibri" w:hAnsi="Calibri"/>
        </w:rPr>
        <w:t xml:space="preserve">.  </w:t>
      </w:r>
      <w:proofErr w:type="gramEnd"/>
      <w:r w:rsidR="004D753E">
        <w:rPr>
          <w:rFonts w:ascii="Calibri" w:hAnsi="Calibri"/>
        </w:rPr>
        <w:t xml:space="preserve">In general, Nucor believes that </w:t>
      </w:r>
      <w:r>
        <w:rPr>
          <w:rFonts w:ascii="Calibri" w:hAnsi="Calibri"/>
        </w:rPr>
        <w:t>FirstEnergy’s current and prior ESP plans</w:t>
      </w:r>
      <w:r w:rsidR="004D753E">
        <w:rPr>
          <w:rFonts w:ascii="Calibri" w:hAnsi="Calibri"/>
        </w:rPr>
        <w:t xml:space="preserve"> ha</w:t>
      </w:r>
      <w:r>
        <w:rPr>
          <w:rFonts w:ascii="Calibri" w:hAnsi="Calibri"/>
        </w:rPr>
        <w:t>ve</w:t>
      </w:r>
      <w:r w:rsidR="004D753E">
        <w:rPr>
          <w:rFonts w:ascii="Calibri" w:hAnsi="Calibri"/>
        </w:rPr>
        <w:t xml:space="preserve"> worked well</w:t>
      </w:r>
      <w:r>
        <w:rPr>
          <w:rFonts w:ascii="Calibri" w:hAnsi="Calibri"/>
        </w:rPr>
        <w:t xml:space="preserve"> and supports </w:t>
      </w:r>
      <w:r w:rsidR="003868D0">
        <w:rPr>
          <w:rFonts w:ascii="Calibri" w:hAnsi="Calibri"/>
        </w:rPr>
        <w:t xml:space="preserve">the </w:t>
      </w:r>
      <w:r>
        <w:rPr>
          <w:rFonts w:ascii="Calibri" w:hAnsi="Calibri"/>
        </w:rPr>
        <w:t xml:space="preserve">continuation of the ESP </w:t>
      </w:r>
      <w:r w:rsidR="0027189E">
        <w:rPr>
          <w:rFonts w:ascii="Calibri" w:hAnsi="Calibri"/>
        </w:rPr>
        <w:t>framework</w:t>
      </w:r>
      <w:r>
        <w:rPr>
          <w:rFonts w:ascii="Calibri" w:hAnsi="Calibri"/>
        </w:rPr>
        <w:t xml:space="preserve"> </w:t>
      </w:r>
      <w:r w:rsidR="0027189E">
        <w:rPr>
          <w:rFonts w:ascii="Calibri" w:hAnsi="Calibri"/>
        </w:rPr>
        <w:t>going forward</w:t>
      </w:r>
      <w:r w:rsidR="004D753E">
        <w:rPr>
          <w:rFonts w:ascii="Calibri" w:hAnsi="Calibri"/>
        </w:rPr>
        <w:t>.</w:t>
      </w:r>
    </w:p>
    <w:p w14:paraId="2DEA963B" w14:textId="7203D12F" w:rsidR="007B469D" w:rsidRDefault="004D753E" w:rsidP="00AC5776">
      <w:pPr>
        <w:spacing w:line="480" w:lineRule="auto"/>
        <w:ind w:firstLine="720"/>
        <w:jc w:val="both"/>
        <w:rPr>
          <w:rFonts w:ascii="Calibri" w:hAnsi="Calibri"/>
        </w:rPr>
      </w:pPr>
      <w:r>
        <w:rPr>
          <w:rFonts w:ascii="Calibri" w:hAnsi="Calibri"/>
        </w:rPr>
        <w:t xml:space="preserve">That said, </w:t>
      </w:r>
      <w:r w:rsidR="00275F5B">
        <w:rPr>
          <w:rFonts w:ascii="Calibri" w:hAnsi="Calibri"/>
        </w:rPr>
        <w:t xml:space="preserve">in its ESP V application, </w:t>
      </w:r>
      <w:r>
        <w:rPr>
          <w:rFonts w:ascii="Calibri" w:hAnsi="Calibri"/>
        </w:rPr>
        <w:t xml:space="preserve">FirstEnergy proposes certain significant changes to elements of the current </w:t>
      </w:r>
      <w:proofErr w:type="gramStart"/>
      <w:r>
        <w:rPr>
          <w:rFonts w:ascii="Calibri" w:hAnsi="Calibri"/>
        </w:rPr>
        <w:t xml:space="preserve">ESP.  </w:t>
      </w:r>
      <w:proofErr w:type="gramEnd"/>
      <w:r>
        <w:rPr>
          <w:rFonts w:ascii="Calibri" w:hAnsi="Calibri"/>
        </w:rPr>
        <w:t xml:space="preserve">This brief will focus on two </w:t>
      </w:r>
      <w:r w:rsidR="00275F5B">
        <w:rPr>
          <w:rFonts w:ascii="Calibri" w:hAnsi="Calibri"/>
        </w:rPr>
        <w:t>areas</w:t>
      </w:r>
      <w:r>
        <w:rPr>
          <w:rFonts w:ascii="Calibri" w:hAnsi="Calibri"/>
        </w:rPr>
        <w:t xml:space="preserve"> of the ESP</w:t>
      </w:r>
      <w:r w:rsidR="00275F5B">
        <w:rPr>
          <w:rFonts w:ascii="Calibri" w:hAnsi="Calibri"/>
        </w:rPr>
        <w:t xml:space="preserve"> V proposal</w:t>
      </w:r>
      <w:r>
        <w:rPr>
          <w:rFonts w:ascii="Calibri" w:hAnsi="Calibri"/>
        </w:rPr>
        <w:t xml:space="preserve"> that are of critical importance to Nucor</w:t>
      </w:r>
      <w:r w:rsidR="00275F5B">
        <w:rPr>
          <w:rFonts w:ascii="Calibri" w:hAnsi="Calibri"/>
        </w:rPr>
        <w:t xml:space="preserve"> and other large industrial customers of the FirstEnergy Ohio utilities</w:t>
      </w:r>
      <w:r>
        <w:rPr>
          <w:rFonts w:ascii="Calibri" w:hAnsi="Calibri"/>
        </w:rPr>
        <w:t xml:space="preserve"> – </w:t>
      </w:r>
      <w:r w:rsidR="00275F5B">
        <w:rPr>
          <w:rFonts w:ascii="Calibri" w:hAnsi="Calibri"/>
        </w:rPr>
        <w:t xml:space="preserve">specifically, </w:t>
      </w:r>
      <w:r w:rsidR="008030FA">
        <w:rPr>
          <w:rFonts w:ascii="Calibri" w:hAnsi="Calibri"/>
        </w:rPr>
        <w:t>FirstEnergy’s</w:t>
      </w:r>
      <w:r w:rsidR="00275F5B">
        <w:rPr>
          <w:rFonts w:ascii="Calibri" w:hAnsi="Calibri"/>
        </w:rPr>
        <w:t xml:space="preserve"> proposed modifications to</w:t>
      </w:r>
      <w:r w:rsidR="008713B8">
        <w:rPr>
          <w:rFonts w:ascii="Calibri" w:hAnsi="Calibri"/>
        </w:rPr>
        <w:t xml:space="preserve"> the Economic Load Response Program Rider (“Rider ELR”) and the Non-Market-Based Services Rider (“Rider NMB”)</w:t>
      </w:r>
      <w:r>
        <w:rPr>
          <w:rFonts w:ascii="Calibri" w:hAnsi="Calibri"/>
        </w:rPr>
        <w:t>.</w:t>
      </w:r>
    </w:p>
    <w:p w14:paraId="4EAE6A52" w14:textId="5323205F" w:rsidR="007B469D" w:rsidRPr="007B469D" w:rsidRDefault="007B469D" w:rsidP="007B469D">
      <w:pPr>
        <w:spacing w:line="480" w:lineRule="auto"/>
        <w:jc w:val="both"/>
        <w:rPr>
          <w:rFonts w:ascii="Calibri" w:hAnsi="Calibri"/>
          <w:b/>
          <w:bCs/>
        </w:rPr>
      </w:pPr>
      <w:r w:rsidRPr="007B469D">
        <w:rPr>
          <w:rFonts w:ascii="Calibri" w:hAnsi="Calibri"/>
          <w:b/>
          <w:bCs/>
        </w:rPr>
        <w:t>II.</w:t>
      </w:r>
      <w:r w:rsidRPr="007B469D">
        <w:rPr>
          <w:rFonts w:ascii="Calibri" w:hAnsi="Calibri"/>
          <w:b/>
          <w:bCs/>
        </w:rPr>
        <w:tab/>
        <w:t>SUMMARY OF CONCLUSIONS AND RECOMMENDATIONS</w:t>
      </w:r>
      <w:r w:rsidR="00A545C1">
        <w:rPr>
          <w:rFonts w:ascii="Calibri" w:hAnsi="Calibri"/>
          <w:b/>
          <w:bCs/>
        </w:rPr>
        <w:fldChar w:fldCharType="begin"/>
      </w:r>
      <w:r w:rsidR="00A545C1">
        <w:instrText xml:space="preserve"> TC "</w:instrText>
      </w:r>
      <w:bookmarkStart w:id="2" w:name="_Toc156549231"/>
      <w:bookmarkStart w:id="3" w:name="_Toc156549304"/>
      <w:r w:rsidR="00A545C1" w:rsidRPr="004275AD">
        <w:rPr>
          <w:rFonts w:ascii="Calibri" w:hAnsi="Calibri"/>
          <w:b/>
          <w:bCs/>
        </w:rPr>
        <w:instrText>II.</w:instrText>
      </w:r>
      <w:r w:rsidR="00A545C1" w:rsidRPr="004275AD">
        <w:rPr>
          <w:rFonts w:ascii="Calibri" w:hAnsi="Calibri"/>
          <w:b/>
          <w:bCs/>
        </w:rPr>
        <w:tab/>
        <w:instrText>SUMMARY OF CONCLUSIONS AND RECOMMENDATIONS</w:instrText>
      </w:r>
      <w:bookmarkEnd w:id="2"/>
      <w:bookmarkEnd w:id="3"/>
      <w:r w:rsidR="00A545C1">
        <w:instrText xml:space="preserve">" \f C \l "1" </w:instrText>
      </w:r>
      <w:r w:rsidR="00A545C1">
        <w:rPr>
          <w:rFonts w:ascii="Calibri" w:hAnsi="Calibri"/>
          <w:b/>
          <w:bCs/>
        </w:rPr>
        <w:fldChar w:fldCharType="end"/>
      </w:r>
    </w:p>
    <w:p w14:paraId="0D9F502E" w14:textId="25F1819E" w:rsidR="00351BA4" w:rsidRDefault="008030FA" w:rsidP="00AC5776">
      <w:pPr>
        <w:spacing w:line="480" w:lineRule="auto"/>
        <w:ind w:firstLine="720"/>
        <w:jc w:val="both"/>
        <w:rPr>
          <w:rFonts w:ascii="Calibri" w:hAnsi="Calibri"/>
        </w:rPr>
      </w:pPr>
      <w:r>
        <w:rPr>
          <w:rFonts w:ascii="Calibri" w:hAnsi="Calibri"/>
        </w:rPr>
        <w:t xml:space="preserve">Following is a summary of Nucor’s </w:t>
      </w:r>
      <w:r w:rsidR="00CF715D">
        <w:rPr>
          <w:rFonts w:ascii="Calibri" w:hAnsi="Calibri"/>
        </w:rPr>
        <w:t xml:space="preserve">primary </w:t>
      </w:r>
      <w:r>
        <w:rPr>
          <w:rFonts w:ascii="Calibri" w:hAnsi="Calibri"/>
        </w:rPr>
        <w:t xml:space="preserve">conclusions and recommendations </w:t>
      </w:r>
      <w:r w:rsidR="007B469D">
        <w:rPr>
          <w:rFonts w:ascii="Calibri" w:hAnsi="Calibri"/>
        </w:rPr>
        <w:t>in this case</w:t>
      </w:r>
      <w:r>
        <w:rPr>
          <w:rFonts w:ascii="Calibri" w:hAnsi="Calibri"/>
        </w:rPr>
        <w:t>:</w:t>
      </w:r>
    </w:p>
    <w:p w14:paraId="7CA67C51" w14:textId="77777777" w:rsidR="00351BA4" w:rsidRPr="00351BA4" w:rsidRDefault="00351BA4" w:rsidP="00CC1256">
      <w:pPr>
        <w:spacing w:after="240"/>
        <w:jc w:val="both"/>
        <w:rPr>
          <w:rFonts w:ascii="Calibri" w:hAnsi="Calibri"/>
          <w:u w:val="single"/>
        </w:rPr>
      </w:pPr>
      <w:r w:rsidRPr="00351BA4">
        <w:rPr>
          <w:rFonts w:ascii="Calibri" w:hAnsi="Calibri"/>
          <w:u w:val="single"/>
        </w:rPr>
        <w:t>Rider ELR</w:t>
      </w:r>
    </w:p>
    <w:p w14:paraId="70B229FB" w14:textId="7BC1350C" w:rsidR="004F5320" w:rsidRPr="004F5320" w:rsidRDefault="00351BA4" w:rsidP="00CC1256">
      <w:pPr>
        <w:pStyle w:val="ListParagraph"/>
        <w:numPr>
          <w:ilvl w:val="0"/>
          <w:numId w:val="19"/>
        </w:numPr>
        <w:spacing w:after="240"/>
        <w:jc w:val="both"/>
        <w:rPr>
          <w:rFonts w:ascii="Calibri" w:hAnsi="Calibri"/>
          <w:b/>
        </w:rPr>
      </w:pPr>
      <w:r>
        <w:rPr>
          <w:rFonts w:ascii="Calibri" w:hAnsi="Calibri"/>
          <w:bCs/>
        </w:rPr>
        <w:t>Rider ELR is FirstEnergy’s interruptible program</w:t>
      </w:r>
      <w:proofErr w:type="gramStart"/>
      <w:r>
        <w:rPr>
          <w:rFonts w:ascii="Calibri" w:hAnsi="Calibri"/>
          <w:bCs/>
        </w:rPr>
        <w:t xml:space="preserve">.  </w:t>
      </w:r>
      <w:proofErr w:type="gramEnd"/>
      <w:r>
        <w:rPr>
          <w:rFonts w:ascii="Calibri" w:hAnsi="Calibri"/>
          <w:bCs/>
        </w:rPr>
        <w:t>Currently, Rider ELR customers may be called to interrupt by PJM, ATSI, and/or a FirstEnergy utility when there is a system emergency</w:t>
      </w:r>
      <w:proofErr w:type="gramStart"/>
      <w:r>
        <w:rPr>
          <w:rFonts w:ascii="Calibri" w:hAnsi="Calibri"/>
          <w:bCs/>
        </w:rPr>
        <w:t xml:space="preserve">.  </w:t>
      </w:r>
      <w:proofErr w:type="gramEnd"/>
      <w:r>
        <w:rPr>
          <w:rFonts w:ascii="Calibri" w:hAnsi="Calibri"/>
          <w:bCs/>
        </w:rPr>
        <w:t>Rider ELR customers must curtail down to their firm load within a half hour for PJM-initiated interruptions and within two hours for interruptions initiated by a FirstEnergy utility</w:t>
      </w:r>
      <w:proofErr w:type="gramStart"/>
      <w:r>
        <w:rPr>
          <w:rFonts w:ascii="Calibri" w:hAnsi="Calibri"/>
          <w:bCs/>
        </w:rPr>
        <w:t xml:space="preserve">.  </w:t>
      </w:r>
      <w:proofErr w:type="gramEnd"/>
      <w:r>
        <w:rPr>
          <w:rFonts w:ascii="Calibri" w:hAnsi="Calibri"/>
          <w:bCs/>
        </w:rPr>
        <w:t xml:space="preserve">To participate </w:t>
      </w:r>
      <w:proofErr w:type="gramStart"/>
      <w:r>
        <w:rPr>
          <w:rFonts w:ascii="Calibri" w:hAnsi="Calibri"/>
          <w:bCs/>
        </w:rPr>
        <w:t>on</w:t>
      </w:r>
      <w:proofErr w:type="gramEnd"/>
      <w:r>
        <w:rPr>
          <w:rFonts w:ascii="Calibri" w:hAnsi="Calibri"/>
          <w:bCs/>
        </w:rPr>
        <w:t xml:space="preserve"> Rider ELR, customers must agree to commit their demand response capabilities to FirstEnergy, who then bids the ELR demand response into the PJM capacity markets</w:t>
      </w:r>
      <w:proofErr w:type="gramStart"/>
      <w:r>
        <w:rPr>
          <w:rFonts w:ascii="Calibri" w:hAnsi="Calibri"/>
          <w:bCs/>
        </w:rPr>
        <w:t xml:space="preserve">.  </w:t>
      </w:r>
      <w:proofErr w:type="gramEnd"/>
      <w:r w:rsidR="007B469D">
        <w:rPr>
          <w:rFonts w:ascii="Calibri" w:hAnsi="Calibri"/>
          <w:bCs/>
        </w:rPr>
        <w:t>Eighty percent (</w:t>
      </w:r>
      <w:r>
        <w:rPr>
          <w:rFonts w:ascii="Calibri" w:hAnsi="Calibri"/>
          <w:bCs/>
        </w:rPr>
        <w:t>80%</w:t>
      </w:r>
      <w:r w:rsidR="007B469D">
        <w:rPr>
          <w:rFonts w:ascii="Calibri" w:hAnsi="Calibri"/>
          <w:bCs/>
        </w:rPr>
        <w:t>)</w:t>
      </w:r>
      <w:r>
        <w:rPr>
          <w:rFonts w:ascii="Calibri" w:hAnsi="Calibri"/>
          <w:bCs/>
        </w:rPr>
        <w:t xml:space="preserve"> of any PJM revenues received by FirstEnergy for the ELR load’s participation in the capacity market </w:t>
      </w:r>
      <w:proofErr w:type="gramStart"/>
      <w:r>
        <w:rPr>
          <w:rFonts w:ascii="Calibri" w:hAnsi="Calibri"/>
          <w:bCs/>
        </w:rPr>
        <w:t>is flowed</w:t>
      </w:r>
      <w:proofErr w:type="gramEnd"/>
      <w:r>
        <w:rPr>
          <w:rFonts w:ascii="Calibri" w:hAnsi="Calibri"/>
          <w:bCs/>
        </w:rPr>
        <w:t xml:space="preserve"> back to other FirstEnergy customers as an offset to the ELR credits.</w:t>
      </w:r>
    </w:p>
    <w:p w14:paraId="7BCCC4CF" w14:textId="38F508F1" w:rsidR="004C29AA" w:rsidRPr="004C29AA" w:rsidRDefault="004F5320" w:rsidP="00CC1256">
      <w:pPr>
        <w:pStyle w:val="ListParagraph"/>
        <w:numPr>
          <w:ilvl w:val="0"/>
          <w:numId w:val="19"/>
        </w:numPr>
        <w:spacing w:after="240"/>
        <w:jc w:val="both"/>
        <w:rPr>
          <w:rFonts w:ascii="Calibri" w:hAnsi="Calibri"/>
          <w:b/>
        </w:rPr>
      </w:pPr>
      <w:r>
        <w:rPr>
          <w:rFonts w:ascii="Calibri" w:hAnsi="Calibri"/>
          <w:bCs/>
        </w:rPr>
        <w:t xml:space="preserve">In return for </w:t>
      </w:r>
      <w:r w:rsidR="004C29AA">
        <w:rPr>
          <w:rFonts w:ascii="Calibri" w:hAnsi="Calibri"/>
          <w:bCs/>
        </w:rPr>
        <w:t>being</w:t>
      </w:r>
      <w:r>
        <w:rPr>
          <w:rFonts w:ascii="Calibri" w:hAnsi="Calibri"/>
          <w:bCs/>
        </w:rPr>
        <w:t xml:space="preserve"> interruptible, Rider ELR customers receive a credit equal to $5 per kW applied to the customer’s Curtailable Demand each month through Rider ELR, and an identical $5 credit through</w:t>
      </w:r>
      <w:r w:rsidR="00355D2D">
        <w:rPr>
          <w:rFonts w:ascii="Calibri" w:hAnsi="Calibri"/>
          <w:bCs/>
        </w:rPr>
        <w:t xml:space="preserve"> the Economic Development Rider</w:t>
      </w:r>
      <w:r>
        <w:rPr>
          <w:rFonts w:ascii="Calibri" w:hAnsi="Calibri"/>
          <w:bCs/>
        </w:rPr>
        <w:t xml:space="preserve"> </w:t>
      </w:r>
      <w:r w:rsidR="00355D2D">
        <w:rPr>
          <w:rFonts w:ascii="Calibri" w:hAnsi="Calibri"/>
          <w:bCs/>
        </w:rPr>
        <w:t>(</w:t>
      </w:r>
      <w:r w:rsidR="00554505">
        <w:rPr>
          <w:rFonts w:ascii="Calibri" w:hAnsi="Calibri"/>
          <w:bCs/>
        </w:rPr>
        <w:t>“</w:t>
      </w:r>
      <w:r>
        <w:rPr>
          <w:rFonts w:ascii="Calibri" w:hAnsi="Calibri"/>
          <w:bCs/>
        </w:rPr>
        <w:t>Rider EDR</w:t>
      </w:r>
      <w:r w:rsidR="00554505">
        <w:rPr>
          <w:rFonts w:ascii="Calibri" w:hAnsi="Calibri"/>
          <w:bCs/>
        </w:rPr>
        <w:t>”</w:t>
      </w:r>
      <w:r w:rsidR="00355D2D">
        <w:rPr>
          <w:rFonts w:ascii="Calibri" w:hAnsi="Calibri"/>
          <w:bCs/>
        </w:rPr>
        <w:t>)</w:t>
      </w:r>
      <w:r>
        <w:rPr>
          <w:rFonts w:ascii="Calibri" w:hAnsi="Calibri"/>
          <w:bCs/>
        </w:rPr>
        <w:t xml:space="preserve"> for a total </w:t>
      </w:r>
      <w:r w:rsidR="00554505">
        <w:rPr>
          <w:rFonts w:ascii="Calibri" w:hAnsi="Calibri"/>
          <w:bCs/>
        </w:rPr>
        <w:t xml:space="preserve">credit </w:t>
      </w:r>
      <w:r>
        <w:rPr>
          <w:rFonts w:ascii="Calibri" w:hAnsi="Calibri"/>
          <w:bCs/>
        </w:rPr>
        <w:t>of $10 per kW of Curtailable Demand</w:t>
      </w:r>
      <w:proofErr w:type="gramStart"/>
      <w:r>
        <w:rPr>
          <w:rFonts w:ascii="Calibri" w:hAnsi="Calibri"/>
          <w:bCs/>
        </w:rPr>
        <w:t xml:space="preserve">.  </w:t>
      </w:r>
      <w:proofErr w:type="gramEnd"/>
      <w:r>
        <w:rPr>
          <w:rFonts w:ascii="Calibri" w:hAnsi="Calibri"/>
          <w:bCs/>
        </w:rPr>
        <w:t>This credit has been in place since</w:t>
      </w:r>
      <w:r w:rsidR="004C29AA">
        <w:rPr>
          <w:rFonts w:ascii="Calibri" w:hAnsi="Calibri"/>
          <w:bCs/>
        </w:rPr>
        <w:t xml:space="preserve"> 2009 when</w:t>
      </w:r>
      <w:r>
        <w:rPr>
          <w:rFonts w:ascii="Calibri" w:hAnsi="Calibri"/>
          <w:bCs/>
        </w:rPr>
        <w:t xml:space="preserve"> Rider ELR </w:t>
      </w:r>
      <w:proofErr w:type="gramStart"/>
      <w:r>
        <w:rPr>
          <w:rFonts w:ascii="Calibri" w:hAnsi="Calibri"/>
          <w:bCs/>
        </w:rPr>
        <w:t>was first approved</w:t>
      </w:r>
      <w:proofErr w:type="gramEnd"/>
      <w:r>
        <w:rPr>
          <w:rFonts w:ascii="Calibri" w:hAnsi="Calibri"/>
          <w:bCs/>
        </w:rPr>
        <w:t xml:space="preserve"> in FirstEnergy’s first ESP case and has been approved by the Commission and continued in every subsequent </w:t>
      </w:r>
      <w:r w:rsidR="004C29AA">
        <w:rPr>
          <w:rFonts w:ascii="Calibri" w:hAnsi="Calibri"/>
          <w:bCs/>
        </w:rPr>
        <w:t xml:space="preserve">FirstEnergy </w:t>
      </w:r>
      <w:r>
        <w:rPr>
          <w:rFonts w:ascii="Calibri" w:hAnsi="Calibri"/>
          <w:bCs/>
        </w:rPr>
        <w:t>ESP case.</w:t>
      </w:r>
      <w:r w:rsidR="00351BA4">
        <w:rPr>
          <w:rFonts w:ascii="Calibri" w:hAnsi="Calibri"/>
          <w:bCs/>
        </w:rPr>
        <w:t xml:space="preserve"> </w:t>
      </w:r>
    </w:p>
    <w:p w14:paraId="5E58EE9B" w14:textId="77777777" w:rsidR="004C29AA" w:rsidRPr="004C29AA" w:rsidRDefault="004C29AA" w:rsidP="00CC1256">
      <w:pPr>
        <w:pStyle w:val="ListParagraph"/>
        <w:numPr>
          <w:ilvl w:val="0"/>
          <w:numId w:val="19"/>
        </w:numPr>
        <w:spacing w:after="240"/>
        <w:jc w:val="both"/>
        <w:rPr>
          <w:rFonts w:ascii="Calibri" w:hAnsi="Calibri"/>
          <w:b/>
        </w:rPr>
      </w:pPr>
      <w:r>
        <w:rPr>
          <w:rFonts w:ascii="Calibri" w:hAnsi="Calibri"/>
          <w:bCs/>
        </w:rPr>
        <w:t>In approving Rider ELR in previous ESP cases, the Commission recognized that Rider ELR provides important system reliability and economic development benefits</w:t>
      </w:r>
      <w:proofErr w:type="gramStart"/>
      <w:r>
        <w:rPr>
          <w:rFonts w:ascii="Calibri" w:hAnsi="Calibri"/>
          <w:bCs/>
        </w:rPr>
        <w:t xml:space="preserve">.  </w:t>
      </w:r>
      <w:proofErr w:type="gramEnd"/>
      <w:r>
        <w:rPr>
          <w:rFonts w:ascii="Calibri" w:hAnsi="Calibri"/>
          <w:bCs/>
        </w:rPr>
        <w:t xml:space="preserve">In this case, </w:t>
      </w:r>
      <w:proofErr w:type="gramStart"/>
      <w:r>
        <w:rPr>
          <w:rFonts w:ascii="Calibri" w:hAnsi="Calibri"/>
          <w:bCs/>
        </w:rPr>
        <w:t>numerous</w:t>
      </w:r>
      <w:proofErr w:type="gramEnd"/>
      <w:r>
        <w:rPr>
          <w:rFonts w:ascii="Calibri" w:hAnsi="Calibri"/>
          <w:bCs/>
        </w:rPr>
        <w:t xml:space="preserve"> witnesses for various parties have similarly testified that Rider ELR provides reliability and economic development benefits, and that the program should be retained in ESP V.</w:t>
      </w:r>
      <w:r w:rsidR="00351BA4">
        <w:rPr>
          <w:rFonts w:ascii="Calibri" w:hAnsi="Calibri"/>
          <w:bCs/>
        </w:rPr>
        <w:t xml:space="preserve"> </w:t>
      </w:r>
    </w:p>
    <w:p w14:paraId="59491ADD" w14:textId="5FAE2F9E" w:rsidR="001C1F12" w:rsidRPr="001C1F12" w:rsidRDefault="004C29AA" w:rsidP="00CC1256">
      <w:pPr>
        <w:pStyle w:val="ListParagraph"/>
        <w:numPr>
          <w:ilvl w:val="0"/>
          <w:numId w:val="19"/>
        </w:numPr>
        <w:spacing w:after="240"/>
        <w:jc w:val="both"/>
        <w:rPr>
          <w:rFonts w:ascii="Calibri" w:hAnsi="Calibri"/>
          <w:b/>
        </w:rPr>
      </w:pPr>
      <w:r>
        <w:rPr>
          <w:rFonts w:ascii="Calibri" w:hAnsi="Calibri"/>
          <w:bCs/>
        </w:rPr>
        <w:t xml:space="preserve">FirstEnergy proposes to continue Rider ELR in ESP V, but with several </w:t>
      </w:r>
      <w:r w:rsidR="001C1F12">
        <w:rPr>
          <w:rFonts w:ascii="Calibri" w:hAnsi="Calibri"/>
          <w:bCs/>
        </w:rPr>
        <w:t xml:space="preserve">significant </w:t>
      </w:r>
      <w:r>
        <w:rPr>
          <w:rFonts w:ascii="Calibri" w:hAnsi="Calibri"/>
          <w:bCs/>
        </w:rPr>
        <w:t>changes</w:t>
      </w:r>
      <w:r w:rsidR="00CF715D">
        <w:rPr>
          <w:rFonts w:ascii="Calibri" w:hAnsi="Calibri"/>
          <w:bCs/>
        </w:rPr>
        <w:t xml:space="preserve">, including: (i) stepping down the total ELR credits by $1 each year starting in the second year of the ESP term, so that by the end of the eight-year ESP, the total Rider ELR credits would be reduced to $3 (a reduction of 70% from the current credit level), and (ii) eliminating FirstEnergy’s role as the curtailment service provider (“CSP”) for purposes of ELR participation in the PJM capacity markets, and requiring that ELR customers participate in PJM through their own CSPs.   </w:t>
      </w:r>
    </w:p>
    <w:p w14:paraId="51727E2B" w14:textId="2B64CF6F" w:rsidR="00B60044" w:rsidRPr="00B60044" w:rsidRDefault="00700973" w:rsidP="00CC1256">
      <w:pPr>
        <w:pStyle w:val="ListParagraph"/>
        <w:numPr>
          <w:ilvl w:val="0"/>
          <w:numId w:val="19"/>
        </w:numPr>
        <w:spacing w:after="240"/>
        <w:jc w:val="both"/>
        <w:rPr>
          <w:rFonts w:ascii="Calibri" w:hAnsi="Calibri"/>
          <w:b/>
        </w:rPr>
      </w:pPr>
      <w:r>
        <w:rPr>
          <w:rFonts w:ascii="Calibri" w:hAnsi="Calibri"/>
          <w:bCs/>
        </w:rPr>
        <w:t>The Commission should reject FirstEnergy’s proposed modifications to Rider ELR and continue the program</w:t>
      </w:r>
      <w:r w:rsidR="00CF715D">
        <w:rPr>
          <w:rFonts w:ascii="Calibri" w:hAnsi="Calibri"/>
          <w:bCs/>
        </w:rPr>
        <w:t xml:space="preserve"> </w:t>
      </w:r>
      <w:r>
        <w:rPr>
          <w:rFonts w:ascii="Calibri" w:hAnsi="Calibri"/>
          <w:bCs/>
        </w:rPr>
        <w:t>as it is today.</w:t>
      </w:r>
    </w:p>
    <w:p w14:paraId="1642FC46" w14:textId="1143FC7A" w:rsidR="00431E08" w:rsidRPr="00431E08" w:rsidRDefault="00AA0713" w:rsidP="00CC1256">
      <w:pPr>
        <w:pStyle w:val="ListParagraph"/>
        <w:numPr>
          <w:ilvl w:val="1"/>
          <w:numId w:val="19"/>
        </w:numPr>
        <w:spacing w:after="240"/>
        <w:jc w:val="both"/>
        <w:rPr>
          <w:rFonts w:ascii="Calibri" w:hAnsi="Calibri"/>
          <w:b/>
        </w:rPr>
      </w:pPr>
      <w:r>
        <w:rPr>
          <w:rFonts w:ascii="Calibri" w:hAnsi="Calibri"/>
          <w:bCs/>
        </w:rPr>
        <w:t xml:space="preserve">The total $10 per kW credit should be continued through the term of </w:t>
      </w:r>
      <w:r w:rsidR="009B0BA0">
        <w:rPr>
          <w:rFonts w:ascii="Calibri" w:hAnsi="Calibri"/>
          <w:bCs/>
        </w:rPr>
        <w:t>ESP </w:t>
      </w:r>
      <w:proofErr w:type="gramStart"/>
      <w:r>
        <w:rPr>
          <w:rFonts w:ascii="Calibri" w:hAnsi="Calibri"/>
          <w:bCs/>
        </w:rPr>
        <w:t xml:space="preserve">V.  </w:t>
      </w:r>
      <w:proofErr w:type="gramEnd"/>
      <w:r>
        <w:rPr>
          <w:rFonts w:ascii="Calibri" w:hAnsi="Calibri"/>
          <w:bCs/>
        </w:rPr>
        <w:t>This credit has been found to be just and reasonable by the Commission in all of FirstEnergy’s ESP cases</w:t>
      </w:r>
      <w:proofErr w:type="gramStart"/>
      <w:r>
        <w:rPr>
          <w:rFonts w:ascii="Calibri" w:hAnsi="Calibri"/>
          <w:bCs/>
        </w:rPr>
        <w:t xml:space="preserve">.  </w:t>
      </w:r>
      <w:proofErr w:type="gramEnd"/>
      <w:r>
        <w:rPr>
          <w:rFonts w:ascii="Calibri" w:hAnsi="Calibri"/>
          <w:bCs/>
        </w:rPr>
        <w:t xml:space="preserve">FirstEnergy </w:t>
      </w:r>
      <w:r w:rsidR="00554505">
        <w:rPr>
          <w:rFonts w:ascii="Calibri" w:hAnsi="Calibri"/>
          <w:bCs/>
        </w:rPr>
        <w:t xml:space="preserve">claims it </w:t>
      </w:r>
      <w:r>
        <w:rPr>
          <w:rFonts w:ascii="Calibri" w:hAnsi="Calibri"/>
          <w:bCs/>
        </w:rPr>
        <w:t>proposes to reduce the credit to more closely reflect PJM market capacity prices</w:t>
      </w:r>
      <w:proofErr w:type="gramStart"/>
      <w:r w:rsidR="00287080">
        <w:rPr>
          <w:rFonts w:ascii="Calibri" w:hAnsi="Calibri"/>
          <w:bCs/>
        </w:rPr>
        <w:t xml:space="preserve">.  </w:t>
      </w:r>
      <w:proofErr w:type="gramEnd"/>
      <w:r w:rsidR="00287080">
        <w:rPr>
          <w:rFonts w:ascii="Calibri" w:hAnsi="Calibri"/>
          <w:bCs/>
        </w:rPr>
        <w:t>But market capacity prices are volatile and do not reflect all the benefits Rider ELR interruptible customers provide, including the ability of the FirstEnergy utilities to call on these resources separate and apart from PJM to address local reliability emergencies, as well as economic development and job retention benefits.</w:t>
      </w:r>
    </w:p>
    <w:p w14:paraId="1F610A21" w14:textId="669A9BD3" w:rsidR="00FB6CC8" w:rsidRPr="00FB6CC8" w:rsidRDefault="00431E08" w:rsidP="00CC1256">
      <w:pPr>
        <w:pStyle w:val="ListParagraph"/>
        <w:numPr>
          <w:ilvl w:val="1"/>
          <w:numId w:val="19"/>
        </w:numPr>
        <w:spacing w:after="240"/>
        <w:jc w:val="both"/>
        <w:rPr>
          <w:rFonts w:ascii="Calibri" w:hAnsi="Calibri"/>
          <w:b/>
        </w:rPr>
      </w:pPr>
      <w:r>
        <w:rPr>
          <w:rFonts w:ascii="Calibri" w:hAnsi="Calibri"/>
          <w:bCs/>
        </w:rPr>
        <w:t xml:space="preserve">If the Commission decides that the Rider ELR credit </w:t>
      </w:r>
      <w:r w:rsidR="00237DD0">
        <w:rPr>
          <w:rFonts w:ascii="Calibri" w:hAnsi="Calibri"/>
          <w:bCs/>
        </w:rPr>
        <w:t>must</w:t>
      </w:r>
      <w:r>
        <w:rPr>
          <w:rFonts w:ascii="Calibri" w:hAnsi="Calibri"/>
          <w:bCs/>
        </w:rPr>
        <w:t xml:space="preserve"> be reduced, the Commission should adopt a slower and more reasonable reduction in the credit</w:t>
      </w:r>
      <w:proofErr w:type="gramStart"/>
      <w:r>
        <w:rPr>
          <w:rFonts w:ascii="Calibri" w:hAnsi="Calibri"/>
          <w:bCs/>
        </w:rPr>
        <w:t xml:space="preserve">.  </w:t>
      </w:r>
      <w:proofErr w:type="gramEnd"/>
      <w:r>
        <w:rPr>
          <w:rFonts w:ascii="Calibri" w:hAnsi="Calibri"/>
          <w:bCs/>
        </w:rPr>
        <w:t xml:space="preserve">Specifically, the Commission should </w:t>
      </w:r>
      <w:r w:rsidR="00FB6CC8">
        <w:rPr>
          <w:rFonts w:ascii="Calibri" w:hAnsi="Calibri"/>
          <w:bCs/>
        </w:rPr>
        <w:t xml:space="preserve">gradually </w:t>
      </w:r>
      <w:r>
        <w:rPr>
          <w:rFonts w:ascii="Calibri" w:hAnsi="Calibri"/>
          <w:bCs/>
        </w:rPr>
        <w:t xml:space="preserve">reduce the credit to no less than $8 over the term of the </w:t>
      </w:r>
      <w:proofErr w:type="gramStart"/>
      <w:r>
        <w:rPr>
          <w:rFonts w:ascii="Calibri" w:hAnsi="Calibri"/>
          <w:bCs/>
        </w:rPr>
        <w:t>ESP.</w:t>
      </w:r>
      <w:r w:rsidR="00FB6CC8">
        <w:rPr>
          <w:rFonts w:ascii="Calibri" w:hAnsi="Calibri"/>
          <w:bCs/>
        </w:rPr>
        <w:t xml:space="preserve">  </w:t>
      </w:r>
      <w:proofErr w:type="gramEnd"/>
      <w:r w:rsidR="00FB6CC8">
        <w:rPr>
          <w:rFonts w:ascii="Calibri" w:hAnsi="Calibri"/>
          <w:bCs/>
        </w:rPr>
        <w:t>Although dropping the credit to $8 would be a significant 20% reduction, gradually reducing the credit to this level over the term of the ESP would mitigate rate shock for Rider ELR customers and would increase the likelihood of continued robust participation in the program.</w:t>
      </w:r>
    </w:p>
    <w:p w14:paraId="493E9CE8" w14:textId="77777777" w:rsidR="00B85AB3" w:rsidRPr="00B85AB3" w:rsidRDefault="00FB6CC8" w:rsidP="00CC1256">
      <w:pPr>
        <w:pStyle w:val="ListParagraph"/>
        <w:numPr>
          <w:ilvl w:val="1"/>
          <w:numId w:val="19"/>
        </w:numPr>
        <w:spacing w:after="240"/>
        <w:jc w:val="both"/>
        <w:rPr>
          <w:rFonts w:ascii="Calibri" w:hAnsi="Calibri"/>
          <w:b/>
        </w:rPr>
      </w:pPr>
      <w:r>
        <w:rPr>
          <w:rFonts w:ascii="Calibri" w:hAnsi="Calibri"/>
          <w:bCs/>
        </w:rPr>
        <w:t>FirstEnergy should continue to serve as the CSP for the Rider ELR load for purposes of participation in the PJM capacity markets</w:t>
      </w:r>
      <w:proofErr w:type="gramStart"/>
      <w:r>
        <w:rPr>
          <w:rFonts w:ascii="Calibri" w:hAnsi="Calibri"/>
          <w:bCs/>
        </w:rPr>
        <w:t xml:space="preserve">.  </w:t>
      </w:r>
      <w:proofErr w:type="gramEnd"/>
      <w:r>
        <w:rPr>
          <w:rFonts w:ascii="Calibri" w:hAnsi="Calibri"/>
          <w:bCs/>
        </w:rPr>
        <w:t>Having FirstEnergy serve as the single point of contact for ELR interruptions – whether initiated by PJM or by a FirstEnergy utility to address a local reliability concern – is the simplest and most straightforward approach to managing the Rider ELR interruptible load</w:t>
      </w:r>
      <w:proofErr w:type="gramStart"/>
      <w:r>
        <w:rPr>
          <w:rFonts w:ascii="Calibri" w:hAnsi="Calibri"/>
          <w:bCs/>
        </w:rPr>
        <w:t xml:space="preserve">.  </w:t>
      </w:r>
      <w:proofErr w:type="gramEnd"/>
      <w:r>
        <w:rPr>
          <w:rFonts w:ascii="Calibri" w:hAnsi="Calibri"/>
          <w:bCs/>
        </w:rPr>
        <w:t xml:space="preserve">Further, revenues FirstEnergy receives </w:t>
      </w:r>
      <w:proofErr w:type="gramStart"/>
      <w:r>
        <w:rPr>
          <w:rFonts w:ascii="Calibri" w:hAnsi="Calibri"/>
          <w:bCs/>
        </w:rPr>
        <w:t>as a result of</w:t>
      </w:r>
      <w:proofErr w:type="gramEnd"/>
      <w:r>
        <w:rPr>
          <w:rFonts w:ascii="Calibri" w:hAnsi="Calibri"/>
          <w:bCs/>
        </w:rPr>
        <w:t xml:space="preserve"> bidding the ELR load into the capacity market should continue to be passed back to FirstEnergy’s customers to offset the cost of the ELR credits.</w:t>
      </w:r>
    </w:p>
    <w:p w14:paraId="25D03536" w14:textId="215F3736" w:rsidR="00970119" w:rsidRPr="00970119" w:rsidRDefault="00970119" w:rsidP="00CC1256">
      <w:pPr>
        <w:spacing w:after="240"/>
        <w:jc w:val="both"/>
        <w:rPr>
          <w:rFonts w:ascii="Calibri" w:hAnsi="Calibri"/>
          <w:bCs/>
          <w:u w:val="single"/>
        </w:rPr>
      </w:pPr>
      <w:r w:rsidRPr="00970119">
        <w:rPr>
          <w:rFonts w:ascii="Calibri" w:hAnsi="Calibri"/>
          <w:bCs/>
          <w:u w:val="single"/>
        </w:rPr>
        <w:t xml:space="preserve">Rider </w:t>
      </w:r>
      <w:r w:rsidRPr="00CC1256">
        <w:rPr>
          <w:rFonts w:ascii="Calibri" w:hAnsi="Calibri"/>
          <w:u w:val="single"/>
        </w:rPr>
        <w:t>NMB</w:t>
      </w:r>
    </w:p>
    <w:p w14:paraId="5F370895" w14:textId="7557AE97" w:rsidR="003026B9" w:rsidRPr="003026B9" w:rsidRDefault="00066D89" w:rsidP="00CC1256">
      <w:pPr>
        <w:pStyle w:val="ListParagraph"/>
        <w:numPr>
          <w:ilvl w:val="0"/>
          <w:numId w:val="19"/>
        </w:numPr>
        <w:spacing w:after="240"/>
        <w:jc w:val="both"/>
        <w:rPr>
          <w:rFonts w:ascii="Calibri" w:hAnsi="Calibri"/>
          <w:b/>
        </w:rPr>
      </w:pPr>
      <w:r>
        <w:rPr>
          <w:rFonts w:ascii="Calibri" w:hAnsi="Calibri"/>
          <w:bCs/>
        </w:rPr>
        <w:t>Rider NMB recovers non-market-based transmission</w:t>
      </w:r>
      <w:r w:rsidR="003026B9">
        <w:rPr>
          <w:rFonts w:ascii="Calibri" w:hAnsi="Calibri"/>
          <w:bCs/>
        </w:rPr>
        <w:t xml:space="preserve"> and transmission-related costs that PJM assesses on FirstEnergy</w:t>
      </w:r>
      <w:r>
        <w:rPr>
          <w:rFonts w:ascii="Calibri" w:hAnsi="Calibri"/>
          <w:bCs/>
        </w:rPr>
        <w:t>, including PJM network integration transmission charges</w:t>
      </w:r>
      <w:r w:rsidR="00882C16">
        <w:rPr>
          <w:rFonts w:ascii="Calibri" w:hAnsi="Calibri"/>
          <w:bCs/>
        </w:rPr>
        <w:t>,</w:t>
      </w:r>
      <w:r w:rsidR="003026B9">
        <w:rPr>
          <w:rFonts w:ascii="Calibri" w:hAnsi="Calibri"/>
          <w:bCs/>
        </w:rPr>
        <w:t xml:space="preserve"> regional transmission expansion plan costs, and the costs of various transmission-related ancillary services</w:t>
      </w:r>
      <w:proofErr w:type="gramStart"/>
      <w:r w:rsidR="003026B9">
        <w:rPr>
          <w:rFonts w:ascii="Calibri" w:hAnsi="Calibri"/>
          <w:bCs/>
        </w:rPr>
        <w:t xml:space="preserve">.  </w:t>
      </w:r>
      <w:proofErr w:type="gramEnd"/>
      <w:r w:rsidR="003026B9">
        <w:rPr>
          <w:rFonts w:ascii="Calibri" w:hAnsi="Calibri"/>
          <w:bCs/>
        </w:rPr>
        <w:t>The Rider NMB rate design applicable to commercial and industrial customers is based on each customer’s monthly billing demand (maximum non-coincident demand).</w:t>
      </w:r>
    </w:p>
    <w:p w14:paraId="3BB2428A" w14:textId="30FDDCBA" w:rsidR="003026B9" w:rsidRPr="003026B9" w:rsidRDefault="003026B9" w:rsidP="00CC1256">
      <w:pPr>
        <w:pStyle w:val="ListParagraph"/>
        <w:numPr>
          <w:ilvl w:val="0"/>
          <w:numId w:val="19"/>
        </w:numPr>
        <w:spacing w:after="240"/>
        <w:jc w:val="both"/>
        <w:rPr>
          <w:rFonts w:ascii="Calibri" w:hAnsi="Calibri"/>
          <w:b/>
        </w:rPr>
      </w:pPr>
      <w:r>
        <w:rPr>
          <w:rFonts w:ascii="Calibri" w:hAnsi="Calibri"/>
          <w:bCs/>
        </w:rPr>
        <w:t xml:space="preserve">In FirstEnergy’s ESP </w:t>
      </w:r>
      <w:r w:rsidR="000F0FD0">
        <w:rPr>
          <w:rFonts w:ascii="Calibri" w:hAnsi="Calibri"/>
          <w:bCs/>
        </w:rPr>
        <w:t>I</w:t>
      </w:r>
      <w:r>
        <w:rPr>
          <w:rFonts w:ascii="Calibri" w:hAnsi="Calibri"/>
          <w:bCs/>
        </w:rPr>
        <w:t>V, the Commission approved the Rider NMB Pilot Program</w:t>
      </w:r>
      <w:proofErr w:type="gramStart"/>
      <w:r>
        <w:rPr>
          <w:rFonts w:ascii="Calibri" w:hAnsi="Calibri"/>
          <w:bCs/>
        </w:rPr>
        <w:t xml:space="preserve">.  </w:t>
      </w:r>
      <w:proofErr w:type="gramEnd"/>
      <w:r>
        <w:rPr>
          <w:rFonts w:ascii="Calibri" w:hAnsi="Calibri"/>
          <w:bCs/>
        </w:rPr>
        <w:t>Under this program, participating customers could opt out of Rider NMB and instead be subject to PJM transmission charges passed through by a competitive retail electric provider</w:t>
      </w:r>
      <w:proofErr w:type="gramStart"/>
      <w:r>
        <w:rPr>
          <w:rFonts w:ascii="Calibri" w:hAnsi="Calibri"/>
          <w:bCs/>
        </w:rPr>
        <w:t xml:space="preserve">.  </w:t>
      </w:r>
      <w:proofErr w:type="gramEnd"/>
      <w:r>
        <w:rPr>
          <w:rFonts w:ascii="Calibri" w:hAnsi="Calibri"/>
          <w:bCs/>
        </w:rPr>
        <w:t xml:space="preserve">Unlike the Rider NMB rate design, </w:t>
      </w:r>
      <w:r w:rsidR="000F0FD0">
        <w:rPr>
          <w:rFonts w:ascii="Calibri" w:hAnsi="Calibri"/>
          <w:bCs/>
        </w:rPr>
        <w:t xml:space="preserve">each </w:t>
      </w:r>
      <w:r>
        <w:rPr>
          <w:rFonts w:ascii="Calibri" w:hAnsi="Calibri"/>
          <w:bCs/>
        </w:rPr>
        <w:t>pilot program participant</w:t>
      </w:r>
      <w:r w:rsidR="000F0FD0">
        <w:rPr>
          <w:rFonts w:ascii="Calibri" w:hAnsi="Calibri"/>
          <w:bCs/>
        </w:rPr>
        <w:t xml:space="preserve"> is </w:t>
      </w:r>
      <w:r>
        <w:rPr>
          <w:rFonts w:ascii="Calibri" w:hAnsi="Calibri"/>
          <w:bCs/>
        </w:rPr>
        <w:t xml:space="preserve">billed for PJM transmission costs based on </w:t>
      </w:r>
      <w:r w:rsidR="000F0FD0">
        <w:rPr>
          <w:rFonts w:ascii="Calibri" w:hAnsi="Calibri"/>
          <w:bCs/>
        </w:rPr>
        <w:t xml:space="preserve">its </w:t>
      </w:r>
      <w:r>
        <w:rPr>
          <w:rFonts w:ascii="Calibri" w:hAnsi="Calibri"/>
          <w:bCs/>
        </w:rPr>
        <w:t>individual Network Service Peak Load (</w:t>
      </w:r>
      <w:r w:rsidR="00184B90">
        <w:rPr>
          <w:rFonts w:ascii="Calibri" w:hAnsi="Calibri"/>
          <w:bCs/>
        </w:rPr>
        <w:t>“</w:t>
      </w:r>
      <w:r>
        <w:rPr>
          <w:rFonts w:ascii="Calibri" w:hAnsi="Calibri"/>
          <w:bCs/>
        </w:rPr>
        <w:t>NSPL</w:t>
      </w:r>
      <w:r w:rsidR="00184B90">
        <w:rPr>
          <w:rFonts w:ascii="Calibri" w:hAnsi="Calibri"/>
          <w:bCs/>
        </w:rPr>
        <w:t>”</w:t>
      </w:r>
      <w:r>
        <w:rPr>
          <w:rFonts w:ascii="Calibri" w:hAnsi="Calibri"/>
          <w:bCs/>
        </w:rPr>
        <w:t>)</w:t>
      </w:r>
      <w:proofErr w:type="gramStart"/>
      <w:r>
        <w:rPr>
          <w:rFonts w:ascii="Calibri" w:hAnsi="Calibri"/>
          <w:bCs/>
        </w:rPr>
        <w:t xml:space="preserve">.  </w:t>
      </w:r>
      <w:proofErr w:type="gramEnd"/>
      <w:r>
        <w:rPr>
          <w:rFonts w:ascii="Calibri" w:hAnsi="Calibri"/>
          <w:bCs/>
        </w:rPr>
        <w:t>NSPL is determined based on the average of the customer’s demands in the five highest hourly transmission peaks.</w:t>
      </w:r>
    </w:p>
    <w:p w14:paraId="2D581767" w14:textId="77777777" w:rsidR="00AC0FA5" w:rsidRPr="00AC0FA5" w:rsidRDefault="003026B9" w:rsidP="00CC1256">
      <w:pPr>
        <w:pStyle w:val="ListParagraph"/>
        <w:numPr>
          <w:ilvl w:val="0"/>
          <w:numId w:val="19"/>
        </w:numPr>
        <w:spacing w:after="240"/>
        <w:jc w:val="both"/>
        <w:rPr>
          <w:rFonts w:ascii="Calibri" w:hAnsi="Calibri"/>
          <w:b/>
        </w:rPr>
      </w:pPr>
      <w:r>
        <w:rPr>
          <w:rFonts w:ascii="Calibri" w:hAnsi="Calibri"/>
          <w:bCs/>
        </w:rPr>
        <w:t>FirstEnergy proposes to continue Rider NMB, but to establish two different NMB charges</w:t>
      </w:r>
      <w:proofErr w:type="gramStart"/>
      <w:r>
        <w:rPr>
          <w:rFonts w:ascii="Calibri" w:hAnsi="Calibri"/>
          <w:bCs/>
        </w:rPr>
        <w:t>.</w:t>
      </w:r>
      <w:r w:rsidR="00AC0FA5">
        <w:rPr>
          <w:rFonts w:ascii="Calibri" w:hAnsi="Calibri"/>
          <w:bCs/>
        </w:rPr>
        <w:t xml:space="preserve">  </w:t>
      </w:r>
      <w:proofErr w:type="gramEnd"/>
      <w:r w:rsidR="00AC0FA5">
        <w:rPr>
          <w:rFonts w:ascii="Calibri" w:hAnsi="Calibri"/>
          <w:bCs/>
        </w:rPr>
        <w:t xml:space="preserve">The Rider NMB 2 charge would apply to commercial and industrial customers who have interval or advanced meters, and the customers </w:t>
      </w:r>
      <w:proofErr w:type="gramStart"/>
      <w:r w:rsidR="00AC0FA5">
        <w:rPr>
          <w:rFonts w:ascii="Calibri" w:hAnsi="Calibri"/>
          <w:bCs/>
        </w:rPr>
        <w:t>on</w:t>
      </w:r>
      <w:proofErr w:type="gramEnd"/>
      <w:r w:rsidR="00AC0FA5">
        <w:rPr>
          <w:rFonts w:ascii="Calibri" w:hAnsi="Calibri"/>
          <w:bCs/>
        </w:rPr>
        <w:t xml:space="preserve"> this rate would be charged based on their NSPLs</w:t>
      </w:r>
      <w:proofErr w:type="gramStart"/>
      <w:r w:rsidR="00AC0FA5">
        <w:rPr>
          <w:rFonts w:ascii="Calibri" w:hAnsi="Calibri"/>
          <w:bCs/>
        </w:rPr>
        <w:t xml:space="preserve">.  </w:t>
      </w:r>
      <w:proofErr w:type="gramEnd"/>
      <w:r w:rsidR="00AC0FA5">
        <w:rPr>
          <w:rFonts w:ascii="Calibri" w:hAnsi="Calibri"/>
          <w:bCs/>
        </w:rPr>
        <w:t>The Rider NMB 1 charge will keep the same design as the current NMB rate and would apply to all customers not on the Rider NMB 2 rate</w:t>
      </w:r>
      <w:proofErr w:type="gramStart"/>
      <w:r w:rsidR="00AC0FA5">
        <w:rPr>
          <w:rFonts w:ascii="Calibri" w:hAnsi="Calibri"/>
          <w:bCs/>
        </w:rPr>
        <w:t xml:space="preserve">.  </w:t>
      </w:r>
      <w:proofErr w:type="gramEnd"/>
      <w:r w:rsidR="00AC0FA5">
        <w:rPr>
          <w:rFonts w:ascii="Calibri" w:hAnsi="Calibri"/>
          <w:bCs/>
        </w:rPr>
        <w:t>FirstEnergy also proposes to terminate the NMB Pilot Program.</w:t>
      </w:r>
    </w:p>
    <w:p w14:paraId="7F3B9CEC" w14:textId="77777777" w:rsidR="00AC0FA5" w:rsidRPr="00AC0FA5" w:rsidRDefault="00AC0FA5" w:rsidP="00CC1256">
      <w:pPr>
        <w:pStyle w:val="ListParagraph"/>
        <w:numPr>
          <w:ilvl w:val="0"/>
          <w:numId w:val="19"/>
        </w:numPr>
        <w:spacing w:after="240"/>
        <w:jc w:val="both"/>
        <w:rPr>
          <w:rFonts w:ascii="Calibri" w:hAnsi="Calibri"/>
          <w:b/>
        </w:rPr>
      </w:pPr>
      <w:r>
        <w:rPr>
          <w:rFonts w:ascii="Calibri" w:hAnsi="Calibri"/>
          <w:bCs/>
        </w:rPr>
        <w:t>The Commission should approve a mechanism to recover PJM transmission costs that incorporates NSPL pricing.</w:t>
      </w:r>
    </w:p>
    <w:p w14:paraId="2440E420" w14:textId="783996A1" w:rsidR="00427FCF" w:rsidRPr="00427FCF" w:rsidRDefault="00AC0FA5" w:rsidP="00AC0FA5">
      <w:pPr>
        <w:pStyle w:val="ListParagraph"/>
        <w:numPr>
          <w:ilvl w:val="1"/>
          <w:numId w:val="19"/>
        </w:numPr>
        <w:spacing w:after="240"/>
        <w:jc w:val="both"/>
        <w:rPr>
          <w:rFonts w:ascii="Calibri" w:hAnsi="Calibri"/>
          <w:b/>
        </w:rPr>
      </w:pPr>
      <w:r>
        <w:rPr>
          <w:rFonts w:ascii="Calibri" w:hAnsi="Calibri"/>
          <w:bCs/>
        </w:rPr>
        <w:t xml:space="preserve">NSPL pricing is a more cost-based approach to assessing transmission costs than </w:t>
      </w:r>
      <w:r w:rsidR="008C0255">
        <w:rPr>
          <w:rFonts w:ascii="Calibri" w:hAnsi="Calibri"/>
          <w:bCs/>
        </w:rPr>
        <w:t xml:space="preserve">pricing based on </w:t>
      </w:r>
      <w:r>
        <w:rPr>
          <w:rFonts w:ascii="Calibri" w:hAnsi="Calibri"/>
          <w:bCs/>
        </w:rPr>
        <w:t>monthly billing demand</w:t>
      </w:r>
      <w:proofErr w:type="gramStart"/>
      <w:r>
        <w:rPr>
          <w:rFonts w:ascii="Calibri" w:hAnsi="Calibri"/>
          <w:bCs/>
        </w:rPr>
        <w:t xml:space="preserve">.  </w:t>
      </w:r>
      <w:proofErr w:type="gramEnd"/>
      <w:r>
        <w:rPr>
          <w:rFonts w:ascii="Calibri" w:hAnsi="Calibri"/>
          <w:bCs/>
        </w:rPr>
        <w:t xml:space="preserve">NSPL pricing provides a cost signal, which in turn gives customers an incentive to minimize their </w:t>
      </w:r>
      <w:r w:rsidR="00A76E04">
        <w:rPr>
          <w:rFonts w:ascii="Calibri" w:hAnsi="Calibri"/>
          <w:bCs/>
        </w:rPr>
        <w:t xml:space="preserve">demands </w:t>
      </w:r>
      <w:r>
        <w:rPr>
          <w:rFonts w:ascii="Calibri" w:hAnsi="Calibri"/>
          <w:bCs/>
        </w:rPr>
        <w:t>at peak times and reduce billed transmission costs.</w:t>
      </w:r>
    </w:p>
    <w:p w14:paraId="29C74FA7" w14:textId="3AC6281A" w:rsidR="00066D89" w:rsidRPr="00066D89" w:rsidRDefault="00427FCF" w:rsidP="00AC0FA5">
      <w:pPr>
        <w:pStyle w:val="ListParagraph"/>
        <w:numPr>
          <w:ilvl w:val="1"/>
          <w:numId w:val="19"/>
        </w:numPr>
        <w:spacing w:after="240"/>
        <w:jc w:val="both"/>
        <w:rPr>
          <w:rFonts w:ascii="Calibri" w:hAnsi="Calibri"/>
          <w:b/>
        </w:rPr>
      </w:pPr>
      <w:r>
        <w:rPr>
          <w:rFonts w:ascii="Calibri" w:hAnsi="Calibri"/>
          <w:bCs/>
        </w:rPr>
        <w:t>FirstEnergy’s NMB 2 proposal is reasonable because it incorporates NSPL pricing for customers that have advanced or interval metering</w:t>
      </w:r>
      <w:proofErr w:type="gramStart"/>
      <w:r>
        <w:rPr>
          <w:rFonts w:ascii="Calibri" w:hAnsi="Calibri"/>
          <w:bCs/>
        </w:rPr>
        <w:t xml:space="preserve">.  </w:t>
      </w:r>
      <w:proofErr w:type="gramEnd"/>
      <w:r>
        <w:rPr>
          <w:rFonts w:ascii="Calibri" w:hAnsi="Calibri"/>
          <w:bCs/>
        </w:rPr>
        <w:t xml:space="preserve">However, if the Commission is concerned </w:t>
      </w:r>
      <w:r w:rsidR="008D5189">
        <w:rPr>
          <w:rFonts w:ascii="Calibri" w:hAnsi="Calibri"/>
          <w:bCs/>
        </w:rPr>
        <w:t xml:space="preserve">about the impact of the NMB 2 proposal on certain customers with advanced or interval metering who either cannot or do not want to respond to price signals, then the Commission should approve a continuation of the NMB Pilot Program, and the program should be opened to all customers that would like to participate and that have the appropriate metering. </w:t>
      </w:r>
      <w:r w:rsidR="00066D89">
        <w:rPr>
          <w:rFonts w:ascii="Calibri" w:hAnsi="Calibri"/>
          <w:bCs/>
        </w:rPr>
        <w:t xml:space="preserve">  </w:t>
      </w:r>
    </w:p>
    <w:p w14:paraId="570E62AB" w14:textId="1714E4FA" w:rsidR="00066D89" w:rsidRPr="00B334D0" w:rsidRDefault="00066D89" w:rsidP="00CC1256">
      <w:pPr>
        <w:spacing w:after="240"/>
        <w:jc w:val="both"/>
        <w:rPr>
          <w:rFonts w:ascii="Calibri" w:hAnsi="Calibri"/>
          <w:b/>
          <w:bCs/>
        </w:rPr>
      </w:pPr>
      <w:r>
        <w:rPr>
          <w:rFonts w:ascii="Calibri" w:hAnsi="Calibri"/>
          <w:b/>
          <w:bCs/>
        </w:rPr>
        <w:t>I</w:t>
      </w:r>
      <w:r w:rsidRPr="00B334D0">
        <w:rPr>
          <w:rFonts w:ascii="Calibri" w:hAnsi="Calibri"/>
          <w:b/>
          <w:bCs/>
        </w:rPr>
        <w:t>I</w:t>
      </w:r>
      <w:r w:rsidR="008C0255">
        <w:rPr>
          <w:rFonts w:ascii="Calibri" w:hAnsi="Calibri"/>
          <w:b/>
          <w:bCs/>
        </w:rPr>
        <w:t>I</w:t>
      </w:r>
      <w:r w:rsidRPr="00B334D0">
        <w:rPr>
          <w:rFonts w:ascii="Calibri" w:hAnsi="Calibri"/>
          <w:b/>
          <w:bCs/>
        </w:rPr>
        <w:t>.</w:t>
      </w:r>
      <w:r w:rsidRPr="00B334D0">
        <w:rPr>
          <w:rFonts w:ascii="Calibri" w:hAnsi="Calibri"/>
          <w:b/>
          <w:bCs/>
        </w:rPr>
        <w:tab/>
      </w:r>
      <w:r>
        <w:rPr>
          <w:rFonts w:ascii="Calibri" w:hAnsi="Calibri"/>
          <w:b/>
          <w:bCs/>
        </w:rPr>
        <w:t>ARGUMENT</w:t>
      </w:r>
      <w:r w:rsidR="00A545C1">
        <w:rPr>
          <w:rFonts w:ascii="Calibri" w:hAnsi="Calibri"/>
          <w:b/>
          <w:bCs/>
        </w:rPr>
        <w:fldChar w:fldCharType="begin"/>
      </w:r>
      <w:r w:rsidR="00A545C1">
        <w:instrText xml:space="preserve"> TC "</w:instrText>
      </w:r>
      <w:bookmarkStart w:id="4" w:name="_Toc156549232"/>
      <w:bookmarkStart w:id="5" w:name="_Toc156549305"/>
      <w:r w:rsidR="00A545C1" w:rsidRPr="00204653">
        <w:rPr>
          <w:rFonts w:ascii="Calibri" w:hAnsi="Calibri"/>
          <w:b/>
          <w:bCs/>
        </w:rPr>
        <w:instrText>III.</w:instrText>
      </w:r>
      <w:r w:rsidR="00A545C1" w:rsidRPr="00204653">
        <w:rPr>
          <w:rFonts w:ascii="Calibri" w:hAnsi="Calibri"/>
          <w:b/>
          <w:bCs/>
        </w:rPr>
        <w:tab/>
        <w:instrText>ARGUMENT</w:instrText>
      </w:r>
      <w:bookmarkEnd w:id="4"/>
      <w:bookmarkEnd w:id="5"/>
      <w:r w:rsidR="00A545C1">
        <w:instrText xml:space="preserve">" \f C \l "1" </w:instrText>
      </w:r>
      <w:r w:rsidR="00A545C1">
        <w:rPr>
          <w:rFonts w:ascii="Calibri" w:hAnsi="Calibri"/>
          <w:b/>
          <w:bCs/>
        </w:rPr>
        <w:fldChar w:fldCharType="end"/>
      </w:r>
    </w:p>
    <w:p w14:paraId="4AD67A95" w14:textId="4299C3D3" w:rsidR="00AE36CC" w:rsidRPr="00A545C1" w:rsidRDefault="00AE36CC" w:rsidP="00CC1256">
      <w:pPr>
        <w:spacing w:after="240"/>
        <w:ind w:left="1440" w:hanging="720"/>
        <w:jc w:val="both"/>
        <w:rPr>
          <w:rFonts w:asciiTheme="minorHAnsi" w:hAnsiTheme="minorHAnsi" w:cstheme="minorHAnsi"/>
          <w:szCs w:val="24"/>
        </w:rPr>
      </w:pPr>
      <w:r w:rsidRPr="00A545C1">
        <w:rPr>
          <w:rFonts w:asciiTheme="minorHAnsi" w:hAnsiTheme="minorHAnsi" w:cstheme="minorHAnsi"/>
          <w:b/>
          <w:bCs/>
        </w:rPr>
        <w:t>A.</w:t>
      </w:r>
      <w:r w:rsidRPr="00A545C1">
        <w:rPr>
          <w:rFonts w:asciiTheme="minorHAnsi" w:hAnsiTheme="minorHAnsi" w:cstheme="minorHAnsi"/>
          <w:b/>
          <w:bCs/>
        </w:rPr>
        <w:tab/>
      </w:r>
      <w:r w:rsidR="00BD2D77" w:rsidRPr="00A545C1">
        <w:rPr>
          <w:rFonts w:asciiTheme="minorHAnsi" w:hAnsiTheme="minorHAnsi" w:cstheme="minorHAnsi"/>
          <w:b/>
          <w:bCs/>
          <w:szCs w:val="24"/>
        </w:rPr>
        <w:t xml:space="preserve">The Commission Should Maintain the </w:t>
      </w:r>
      <w:r w:rsidR="002A0FB9" w:rsidRPr="00A545C1">
        <w:rPr>
          <w:rFonts w:asciiTheme="minorHAnsi" w:hAnsiTheme="minorHAnsi" w:cstheme="minorHAnsi"/>
          <w:b/>
          <w:bCs/>
          <w:szCs w:val="24"/>
        </w:rPr>
        <w:t xml:space="preserve">Rider ELR </w:t>
      </w:r>
      <w:r w:rsidR="00BD2D77" w:rsidRPr="00A545C1">
        <w:rPr>
          <w:rFonts w:asciiTheme="minorHAnsi" w:hAnsiTheme="minorHAnsi" w:cstheme="minorHAnsi"/>
          <w:b/>
          <w:bCs/>
          <w:szCs w:val="24"/>
        </w:rPr>
        <w:t>Program in its Current Form</w:t>
      </w:r>
      <w:r w:rsidR="00A545C1">
        <w:rPr>
          <w:rFonts w:asciiTheme="minorHAnsi" w:hAnsiTheme="minorHAnsi" w:cstheme="minorHAnsi"/>
          <w:b/>
          <w:bCs/>
          <w:szCs w:val="24"/>
        </w:rPr>
        <w:fldChar w:fldCharType="begin"/>
      </w:r>
      <w:r w:rsidR="00A545C1">
        <w:instrText xml:space="preserve"> TC "</w:instrText>
      </w:r>
      <w:bookmarkStart w:id="6" w:name="_Toc156549233"/>
      <w:bookmarkStart w:id="7" w:name="_Toc156549306"/>
      <w:r w:rsidR="00A545C1" w:rsidRPr="00D66C18">
        <w:rPr>
          <w:rFonts w:asciiTheme="minorHAnsi" w:hAnsiTheme="minorHAnsi" w:cstheme="minorHAnsi"/>
          <w:b/>
          <w:bCs/>
        </w:rPr>
        <w:instrText>A.</w:instrText>
      </w:r>
      <w:r w:rsidR="00A545C1" w:rsidRPr="00D66C18">
        <w:rPr>
          <w:rFonts w:asciiTheme="minorHAnsi" w:hAnsiTheme="minorHAnsi" w:cstheme="minorHAnsi"/>
          <w:b/>
          <w:bCs/>
        </w:rPr>
        <w:tab/>
      </w:r>
      <w:r w:rsidR="00A545C1" w:rsidRPr="00D66C18">
        <w:rPr>
          <w:rFonts w:asciiTheme="minorHAnsi" w:hAnsiTheme="minorHAnsi" w:cstheme="minorHAnsi"/>
          <w:b/>
          <w:bCs/>
          <w:szCs w:val="24"/>
        </w:rPr>
        <w:instrText>The Commission Should Maintain the Rider ELR Program in its Current Form</w:instrText>
      </w:r>
      <w:bookmarkEnd w:id="6"/>
      <w:bookmarkEnd w:id="7"/>
      <w:r w:rsidR="00A545C1">
        <w:instrText xml:space="preserve">" \f C \l "2" </w:instrText>
      </w:r>
      <w:r w:rsidR="00A545C1">
        <w:rPr>
          <w:rFonts w:asciiTheme="minorHAnsi" w:hAnsiTheme="minorHAnsi" w:cstheme="minorHAnsi"/>
          <w:b/>
          <w:bCs/>
          <w:szCs w:val="24"/>
        </w:rPr>
        <w:fldChar w:fldCharType="end"/>
      </w:r>
    </w:p>
    <w:p w14:paraId="4CBEBFAA" w14:textId="7465E178" w:rsidR="00AE36CC" w:rsidRDefault="00AE36CC" w:rsidP="00CC1256">
      <w:pPr>
        <w:spacing w:after="240"/>
        <w:ind w:left="2160" w:hanging="720"/>
        <w:jc w:val="both"/>
        <w:rPr>
          <w:rFonts w:ascii="Calibri" w:hAnsi="Calibri"/>
          <w:b/>
          <w:bCs/>
        </w:rPr>
      </w:pPr>
      <w:r>
        <w:rPr>
          <w:rFonts w:ascii="Calibri" w:hAnsi="Calibri"/>
          <w:b/>
          <w:bCs/>
        </w:rPr>
        <w:t>1.</w:t>
      </w:r>
      <w:r>
        <w:rPr>
          <w:rFonts w:ascii="Calibri" w:hAnsi="Calibri"/>
          <w:b/>
          <w:bCs/>
        </w:rPr>
        <w:tab/>
        <w:t>Current Rider ELR</w:t>
      </w:r>
      <w:r w:rsidR="008B4648">
        <w:rPr>
          <w:rFonts w:ascii="Calibri" w:hAnsi="Calibri"/>
          <w:b/>
          <w:bCs/>
        </w:rPr>
        <w:fldChar w:fldCharType="begin"/>
      </w:r>
      <w:r w:rsidR="008B4648">
        <w:instrText xml:space="preserve"> TC "</w:instrText>
      </w:r>
      <w:bookmarkStart w:id="8" w:name="_Toc156549234"/>
      <w:bookmarkStart w:id="9" w:name="_Toc156549307"/>
      <w:r w:rsidR="008B4648" w:rsidRPr="00E21C31">
        <w:rPr>
          <w:rFonts w:ascii="Calibri" w:hAnsi="Calibri"/>
          <w:b/>
          <w:bCs/>
        </w:rPr>
        <w:instrText>1.</w:instrText>
      </w:r>
      <w:r w:rsidR="008B4648" w:rsidRPr="00E21C31">
        <w:rPr>
          <w:rFonts w:ascii="Calibri" w:hAnsi="Calibri"/>
          <w:b/>
          <w:bCs/>
        </w:rPr>
        <w:tab/>
        <w:instrText>Current Rider ELR</w:instrText>
      </w:r>
      <w:bookmarkEnd w:id="8"/>
      <w:bookmarkEnd w:id="9"/>
      <w:r w:rsidR="008B4648">
        <w:instrText xml:space="preserve">" \f C \l "3" </w:instrText>
      </w:r>
      <w:r w:rsidR="008B4648">
        <w:rPr>
          <w:rFonts w:ascii="Calibri" w:hAnsi="Calibri"/>
          <w:b/>
          <w:bCs/>
        </w:rPr>
        <w:fldChar w:fldCharType="end"/>
      </w:r>
    </w:p>
    <w:p w14:paraId="52F160FD" w14:textId="466B3119" w:rsidR="00AE36CC" w:rsidRPr="00AE36CC" w:rsidRDefault="00AE36CC" w:rsidP="00CC1256">
      <w:pPr>
        <w:spacing w:after="240"/>
        <w:ind w:left="2880" w:hanging="720"/>
        <w:jc w:val="both"/>
        <w:rPr>
          <w:rFonts w:ascii="Calibri" w:hAnsi="Calibri"/>
          <w:b/>
          <w:bCs/>
        </w:rPr>
      </w:pPr>
      <w:r>
        <w:rPr>
          <w:rFonts w:ascii="Calibri" w:hAnsi="Calibri"/>
          <w:b/>
          <w:bCs/>
        </w:rPr>
        <w:t>a.</w:t>
      </w:r>
      <w:r>
        <w:rPr>
          <w:rFonts w:ascii="Calibri" w:hAnsi="Calibri"/>
          <w:b/>
          <w:bCs/>
        </w:rPr>
        <w:tab/>
        <w:t>Overview</w:t>
      </w:r>
      <w:r w:rsidR="008B4648">
        <w:rPr>
          <w:rFonts w:ascii="Calibri" w:hAnsi="Calibri"/>
          <w:b/>
          <w:bCs/>
        </w:rPr>
        <w:fldChar w:fldCharType="begin"/>
      </w:r>
      <w:r w:rsidR="008B4648">
        <w:instrText xml:space="preserve"> TC "</w:instrText>
      </w:r>
      <w:bookmarkStart w:id="10" w:name="_Toc156549235"/>
      <w:bookmarkStart w:id="11" w:name="_Toc156549308"/>
      <w:r w:rsidR="008B4648" w:rsidRPr="005957B6">
        <w:rPr>
          <w:rFonts w:ascii="Calibri" w:hAnsi="Calibri"/>
          <w:b/>
          <w:bCs/>
        </w:rPr>
        <w:instrText>a.</w:instrText>
      </w:r>
      <w:r w:rsidR="008B4648" w:rsidRPr="005957B6">
        <w:rPr>
          <w:rFonts w:ascii="Calibri" w:hAnsi="Calibri"/>
          <w:b/>
          <w:bCs/>
        </w:rPr>
        <w:tab/>
        <w:instrText>Overview</w:instrText>
      </w:r>
      <w:bookmarkEnd w:id="10"/>
      <w:bookmarkEnd w:id="11"/>
      <w:r w:rsidR="008B4648">
        <w:instrText xml:space="preserve">" \f C \l "4" </w:instrText>
      </w:r>
      <w:r w:rsidR="008B4648">
        <w:rPr>
          <w:rFonts w:ascii="Calibri" w:hAnsi="Calibri"/>
          <w:b/>
          <w:bCs/>
        </w:rPr>
        <w:fldChar w:fldCharType="end"/>
      </w:r>
    </w:p>
    <w:p w14:paraId="2FD561F4" w14:textId="35B9264E" w:rsidR="00162C5E" w:rsidRDefault="00D95BD3" w:rsidP="00CC1256">
      <w:pPr>
        <w:spacing w:line="480" w:lineRule="auto"/>
        <w:ind w:firstLine="720"/>
        <w:jc w:val="both"/>
        <w:rPr>
          <w:rFonts w:ascii="Calibri" w:hAnsi="Calibri"/>
        </w:rPr>
      </w:pPr>
      <w:r>
        <w:rPr>
          <w:rFonts w:ascii="Calibri" w:hAnsi="Calibri"/>
        </w:rPr>
        <w:t>Rider ELR</w:t>
      </w:r>
      <w:r w:rsidR="005C37F7">
        <w:rPr>
          <w:rStyle w:val="FootnoteReference"/>
          <w:rFonts w:ascii="Calibri" w:hAnsi="Calibri"/>
        </w:rPr>
        <w:footnoteReference w:id="1"/>
      </w:r>
      <w:r>
        <w:rPr>
          <w:rFonts w:ascii="Calibri" w:hAnsi="Calibri"/>
        </w:rPr>
        <w:t xml:space="preserve"> is an interruptible rate that was first approved in Case No. 08-935-EL-SSO to replace various legacy interruptible rates offered by the Companies.</w:t>
      </w:r>
      <w:r>
        <w:rPr>
          <w:rStyle w:val="FootnoteReference"/>
          <w:rFonts w:ascii="Calibri" w:hAnsi="Calibri"/>
        </w:rPr>
        <w:footnoteReference w:id="2"/>
      </w:r>
      <w:r>
        <w:rPr>
          <w:rFonts w:ascii="Calibri" w:hAnsi="Calibri"/>
        </w:rPr>
        <w:t xml:space="preserve">  Rider ELR requires each participating customer to curtail load above the customer’s designated Firm Load during an Emergency Curtailment Event</w:t>
      </w:r>
      <w:r w:rsidR="00DF642D">
        <w:rPr>
          <w:rFonts w:ascii="Calibri" w:hAnsi="Calibri"/>
        </w:rPr>
        <w:t xml:space="preserve"> that endangers service reliability to firm customers</w:t>
      </w:r>
      <w:r>
        <w:rPr>
          <w:rFonts w:ascii="Calibri" w:hAnsi="Calibri"/>
        </w:rPr>
        <w:t>.</w:t>
      </w:r>
      <w:r>
        <w:rPr>
          <w:rStyle w:val="FootnoteReference"/>
          <w:rFonts w:ascii="Calibri" w:hAnsi="Calibri"/>
        </w:rPr>
        <w:footnoteReference w:id="3"/>
      </w:r>
      <w:r w:rsidR="00DF642D">
        <w:rPr>
          <w:rFonts w:ascii="Calibri" w:hAnsi="Calibri"/>
        </w:rPr>
        <w:t xml:space="preserve">  An Emergency Curtailment Event may be called when (i) the particular FirstEnergy operating company, (ii) a regional transmission organization such as PJM, and/or (iii) a transmission provider (for example, ATSI) determines that an emergency condition exists that may jeopardize the integrity of the distribution or transmission system.</w:t>
      </w:r>
      <w:r w:rsidR="00DF642D">
        <w:rPr>
          <w:rStyle w:val="FootnoteReference"/>
          <w:rFonts w:ascii="Calibri" w:hAnsi="Calibri"/>
        </w:rPr>
        <w:footnoteReference w:id="4"/>
      </w:r>
      <w:r w:rsidR="00162C5E">
        <w:rPr>
          <w:rFonts w:ascii="Calibri" w:hAnsi="Calibri"/>
        </w:rPr>
        <w:t xml:space="preserve">  </w:t>
      </w:r>
      <w:r w:rsidR="00A610F8">
        <w:rPr>
          <w:rFonts w:ascii="Calibri" w:hAnsi="Calibri"/>
        </w:rPr>
        <w:t>There is no limit on the number and duration of interruptions that may be called under Rider ELR,</w:t>
      </w:r>
      <w:r w:rsidR="00A610F8">
        <w:rPr>
          <w:rStyle w:val="FootnoteReference"/>
          <w:rFonts w:ascii="Calibri" w:hAnsi="Calibri"/>
        </w:rPr>
        <w:footnoteReference w:id="5"/>
      </w:r>
      <w:r w:rsidR="00A610F8">
        <w:rPr>
          <w:rFonts w:ascii="Calibri" w:hAnsi="Calibri"/>
        </w:rPr>
        <w:t xml:space="preserve"> and </w:t>
      </w:r>
      <w:r w:rsidR="00162C5E">
        <w:rPr>
          <w:rFonts w:ascii="Calibri" w:hAnsi="Calibri"/>
        </w:rPr>
        <w:t>FirstEnergy has broad discretion in determining when an emergency condition exists that would trigger an interruption under Rider ELR.</w:t>
      </w:r>
      <w:r w:rsidR="00162C5E">
        <w:rPr>
          <w:rStyle w:val="FootnoteReference"/>
          <w:rFonts w:ascii="Calibri" w:hAnsi="Calibri"/>
        </w:rPr>
        <w:footnoteReference w:id="6"/>
      </w:r>
    </w:p>
    <w:p w14:paraId="4FBCDCD0" w14:textId="16D12707" w:rsidR="00D676A0" w:rsidRDefault="00C40039" w:rsidP="00CC1256">
      <w:pPr>
        <w:spacing w:line="480" w:lineRule="auto"/>
        <w:ind w:firstLine="720"/>
        <w:jc w:val="both"/>
        <w:rPr>
          <w:rFonts w:ascii="Calibri" w:hAnsi="Calibri"/>
        </w:rPr>
      </w:pPr>
      <w:r>
        <w:rPr>
          <w:rFonts w:ascii="Calibri" w:hAnsi="Calibri"/>
        </w:rPr>
        <w:t xml:space="preserve">When </w:t>
      </w:r>
      <w:r w:rsidR="00816837">
        <w:rPr>
          <w:rFonts w:ascii="Calibri" w:hAnsi="Calibri"/>
        </w:rPr>
        <w:t xml:space="preserve">PJM calls an </w:t>
      </w:r>
      <w:r>
        <w:rPr>
          <w:rFonts w:ascii="Calibri" w:hAnsi="Calibri"/>
        </w:rPr>
        <w:t>Emergency</w:t>
      </w:r>
      <w:r w:rsidR="00816837">
        <w:rPr>
          <w:rFonts w:ascii="Calibri" w:hAnsi="Calibri"/>
        </w:rPr>
        <w:t xml:space="preserve"> Curtailment</w:t>
      </w:r>
      <w:r>
        <w:rPr>
          <w:rFonts w:ascii="Calibri" w:hAnsi="Calibri"/>
        </w:rPr>
        <w:t xml:space="preserve"> Event, Rider ELR customers must curtail down to their Firm Load within 30 minutes, unless PJM has granted an exception to allow a customer more time to curtail.</w:t>
      </w:r>
      <w:r>
        <w:rPr>
          <w:rStyle w:val="FootnoteReference"/>
          <w:rFonts w:ascii="Calibri" w:hAnsi="Calibri"/>
        </w:rPr>
        <w:footnoteReference w:id="7"/>
      </w:r>
      <w:r w:rsidR="00D676A0">
        <w:rPr>
          <w:rFonts w:ascii="Calibri" w:hAnsi="Calibri"/>
        </w:rPr>
        <w:t xml:space="preserve">  When the Emergency</w:t>
      </w:r>
      <w:r w:rsidR="000D6E15">
        <w:rPr>
          <w:rFonts w:ascii="Calibri" w:hAnsi="Calibri"/>
        </w:rPr>
        <w:t xml:space="preserve"> Curtailment</w:t>
      </w:r>
      <w:r w:rsidR="00D676A0">
        <w:rPr>
          <w:rFonts w:ascii="Calibri" w:hAnsi="Calibri"/>
        </w:rPr>
        <w:t xml:space="preserve"> Event is called by a FirstEnergy utility</w:t>
      </w:r>
      <w:r w:rsidR="000D6E15">
        <w:rPr>
          <w:rFonts w:ascii="Calibri" w:hAnsi="Calibri"/>
        </w:rPr>
        <w:t xml:space="preserve"> or ATSI</w:t>
      </w:r>
      <w:r w:rsidR="00D676A0">
        <w:rPr>
          <w:rFonts w:ascii="Calibri" w:hAnsi="Calibri"/>
        </w:rPr>
        <w:t>, Rider ELR customers must curtail down to their Firm Load within two hours.</w:t>
      </w:r>
      <w:r w:rsidR="00D676A0">
        <w:rPr>
          <w:rStyle w:val="FootnoteReference"/>
          <w:rFonts w:ascii="Calibri" w:hAnsi="Calibri"/>
        </w:rPr>
        <w:footnoteReference w:id="8"/>
      </w:r>
    </w:p>
    <w:p w14:paraId="68698C59" w14:textId="3A62B3FF" w:rsidR="0072080E" w:rsidRDefault="00D676A0" w:rsidP="00CC1256">
      <w:pPr>
        <w:spacing w:line="480" w:lineRule="auto"/>
        <w:ind w:firstLine="720"/>
        <w:jc w:val="both"/>
        <w:rPr>
          <w:rFonts w:ascii="Calibri" w:hAnsi="Calibri"/>
        </w:rPr>
      </w:pPr>
      <w:r>
        <w:rPr>
          <w:rFonts w:ascii="Calibri" w:hAnsi="Calibri"/>
        </w:rPr>
        <w:t>Rider ELR customers currently receive a monthly $5 per kW credit for each kW of Curtailable Load under Rider ELR.</w:t>
      </w:r>
      <w:r>
        <w:rPr>
          <w:rStyle w:val="FootnoteReference"/>
          <w:rFonts w:ascii="Calibri" w:hAnsi="Calibri"/>
        </w:rPr>
        <w:footnoteReference w:id="9"/>
      </w:r>
      <w:r w:rsidR="008C29DC">
        <w:rPr>
          <w:rFonts w:ascii="Calibri" w:hAnsi="Calibri"/>
        </w:rPr>
        <w:t xml:space="preserve">  They also receive a $5 per kW monthly economic development credit under Rider EDR, resulting in a total monthly credit of $10 per kW.</w:t>
      </w:r>
      <w:r w:rsidR="008C29DC">
        <w:rPr>
          <w:rStyle w:val="FootnoteReference"/>
          <w:rFonts w:ascii="Calibri" w:hAnsi="Calibri"/>
        </w:rPr>
        <w:footnoteReference w:id="10"/>
      </w:r>
      <w:r w:rsidR="00726968">
        <w:rPr>
          <w:rFonts w:ascii="Calibri" w:hAnsi="Calibri"/>
        </w:rPr>
        <w:t xml:space="preserve">  Further, Rider ELR customers are subject to significant penalties if they fail to curtail down to their designated Firm Loads within the required time when an Emergency Curtailment </w:t>
      </w:r>
      <w:r w:rsidR="000E52A3">
        <w:rPr>
          <w:rFonts w:ascii="Calibri" w:hAnsi="Calibri"/>
        </w:rPr>
        <w:t xml:space="preserve">Event </w:t>
      </w:r>
      <w:r w:rsidR="00726968">
        <w:rPr>
          <w:rFonts w:ascii="Calibri" w:hAnsi="Calibri"/>
        </w:rPr>
        <w:t>is called.</w:t>
      </w:r>
      <w:r w:rsidR="00726968">
        <w:rPr>
          <w:rStyle w:val="FootnoteReference"/>
          <w:rFonts w:ascii="Calibri" w:hAnsi="Calibri"/>
        </w:rPr>
        <w:footnoteReference w:id="11"/>
      </w:r>
      <w:r w:rsidR="008D48BC">
        <w:rPr>
          <w:rFonts w:ascii="Calibri" w:hAnsi="Calibri"/>
        </w:rPr>
        <w:t xml:space="preserve">  These penalties include forfeiture of all Rider ELR credits received in the prior year (including Rider EDR credits), an ECE </w:t>
      </w:r>
      <w:r w:rsidR="000E52A3">
        <w:rPr>
          <w:rFonts w:ascii="Calibri" w:hAnsi="Calibri"/>
        </w:rPr>
        <w:t>C</w:t>
      </w:r>
      <w:r w:rsidR="008D48BC">
        <w:rPr>
          <w:rFonts w:ascii="Calibri" w:hAnsi="Calibri"/>
        </w:rPr>
        <w:t xml:space="preserve">harge equal to 300% times the real-time </w:t>
      </w:r>
      <w:r w:rsidR="000E52A3">
        <w:rPr>
          <w:rFonts w:ascii="Calibri" w:hAnsi="Calibri"/>
        </w:rPr>
        <w:t xml:space="preserve">Locational Marginal Price </w:t>
      </w:r>
      <w:r w:rsidR="008D48BC">
        <w:rPr>
          <w:rFonts w:ascii="Calibri" w:hAnsi="Calibri"/>
        </w:rPr>
        <w:t>for energy used in excess of the customer’s Firm Load during the Emergency Curtailment Event, and possible removal from Rider ELR.</w:t>
      </w:r>
      <w:r w:rsidR="008D48BC">
        <w:rPr>
          <w:rStyle w:val="FootnoteReference"/>
          <w:rFonts w:ascii="Calibri" w:hAnsi="Calibri"/>
        </w:rPr>
        <w:footnoteReference w:id="12"/>
      </w:r>
      <w:r w:rsidR="008D48BC">
        <w:rPr>
          <w:rFonts w:ascii="Calibri" w:hAnsi="Calibri"/>
        </w:rPr>
        <w:t xml:space="preserve"> </w:t>
      </w:r>
    </w:p>
    <w:p w14:paraId="314F74A4" w14:textId="77A01D78" w:rsidR="008D48BC" w:rsidRDefault="008D48BC" w:rsidP="00CC1256">
      <w:pPr>
        <w:spacing w:line="480" w:lineRule="auto"/>
        <w:ind w:firstLine="720"/>
        <w:jc w:val="both"/>
        <w:rPr>
          <w:rFonts w:ascii="Calibri" w:hAnsi="Calibri"/>
        </w:rPr>
      </w:pPr>
      <w:r>
        <w:rPr>
          <w:rFonts w:ascii="Calibri" w:hAnsi="Calibri"/>
        </w:rPr>
        <w:t xml:space="preserve">As Nucor </w:t>
      </w:r>
      <w:r w:rsidR="000E52A3">
        <w:rPr>
          <w:rFonts w:ascii="Calibri" w:hAnsi="Calibri"/>
        </w:rPr>
        <w:t>W</w:t>
      </w:r>
      <w:r>
        <w:rPr>
          <w:rFonts w:ascii="Calibri" w:hAnsi="Calibri"/>
        </w:rPr>
        <w:t>itness Dr. Goins testifies, “[a]lthough Rider ELR has undergone modifications in earlier ESP cases, the credit and the rate’s other core elements have been in place since FirstEnergy’s first ESP was approved, resulting in a stable, long-term, and reliable source of interruptible capacity for the FirstEnergy utilities for well over a decade.”</w:t>
      </w:r>
      <w:r>
        <w:rPr>
          <w:rStyle w:val="FootnoteReference"/>
          <w:rFonts w:ascii="Calibri" w:hAnsi="Calibri"/>
        </w:rPr>
        <w:footnoteReference w:id="13"/>
      </w:r>
    </w:p>
    <w:p w14:paraId="2163A48F" w14:textId="7898AA8B" w:rsidR="00F75F7B" w:rsidRPr="00F75F7B" w:rsidRDefault="00F75F7B" w:rsidP="008B4648">
      <w:pPr>
        <w:spacing w:after="240"/>
        <w:ind w:left="2880" w:hanging="720"/>
        <w:jc w:val="both"/>
        <w:rPr>
          <w:rFonts w:ascii="Calibri" w:hAnsi="Calibri"/>
          <w:b/>
          <w:bCs/>
        </w:rPr>
      </w:pPr>
      <w:r w:rsidRPr="00F75F7B">
        <w:rPr>
          <w:rFonts w:ascii="Calibri" w:hAnsi="Calibri"/>
          <w:b/>
          <w:bCs/>
        </w:rPr>
        <w:t>b.</w:t>
      </w:r>
      <w:r w:rsidRPr="00F75F7B">
        <w:rPr>
          <w:rFonts w:ascii="Calibri" w:hAnsi="Calibri"/>
          <w:b/>
          <w:bCs/>
        </w:rPr>
        <w:tab/>
        <w:t>Rider ELR provides significant benefits</w:t>
      </w:r>
      <w:r w:rsidR="008B4648">
        <w:rPr>
          <w:rFonts w:ascii="Calibri" w:hAnsi="Calibri"/>
          <w:b/>
          <w:bCs/>
        </w:rPr>
        <w:fldChar w:fldCharType="begin"/>
      </w:r>
      <w:r w:rsidR="008B4648">
        <w:instrText xml:space="preserve"> TC "</w:instrText>
      </w:r>
      <w:bookmarkStart w:id="12" w:name="_Toc156549236"/>
      <w:bookmarkStart w:id="13" w:name="_Toc156549309"/>
      <w:r w:rsidR="008B4648" w:rsidRPr="00642836">
        <w:rPr>
          <w:rFonts w:ascii="Calibri" w:hAnsi="Calibri"/>
          <w:b/>
          <w:bCs/>
        </w:rPr>
        <w:instrText>b.</w:instrText>
      </w:r>
      <w:r w:rsidR="008B4648" w:rsidRPr="00642836">
        <w:rPr>
          <w:rFonts w:ascii="Calibri" w:hAnsi="Calibri"/>
          <w:b/>
          <w:bCs/>
        </w:rPr>
        <w:tab/>
        <w:instrText>Rider ELR provides significant benefits</w:instrText>
      </w:r>
      <w:bookmarkEnd w:id="12"/>
      <w:bookmarkEnd w:id="13"/>
      <w:r w:rsidR="008B4648">
        <w:instrText xml:space="preserve">" \f C \l "4" </w:instrText>
      </w:r>
      <w:r w:rsidR="008B4648">
        <w:rPr>
          <w:rFonts w:ascii="Calibri" w:hAnsi="Calibri"/>
          <w:b/>
          <w:bCs/>
        </w:rPr>
        <w:fldChar w:fldCharType="end"/>
      </w:r>
    </w:p>
    <w:p w14:paraId="41195104" w14:textId="792EEFF4" w:rsidR="00F75F7B" w:rsidRDefault="00F75F7B" w:rsidP="00F75F7B">
      <w:pPr>
        <w:spacing w:line="480" w:lineRule="auto"/>
        <w:jc w:val="both"/>
        <w:rPr>
          <w:rFonts w:ascii="Calibri" w:hAnsi="Calibri"/>
        </w:rPr>
      </w:pPr>
      <w:r>
        <w:rPr>
          <w:rFonts w:ascii="Calibri" w:hAnsi="Calibri"/>
        </w:rPr>
        <w:tab/>
        <w:t>In approving Rider ELR in previous ESP cases, the Commission has recognized that Rider ELR provides significant benefits</w:t>
      </w:r>
      <w:proofErr w:type="gramStart"/>
      <w:r>
        <w:rPr>
          <w:rFonts w:ascii="Calibri" w:hAnsi="Calibri"/>
        </w:rPr>
        <w:t>.</w:t>
      </w:r>
      <w:r w:rsidR="006227C7">
        <w:rPr>
          <w:rFonts w:ascii="Calibri" w:hAnsi="Calibri"/>
        </w:rPr>
        <w:t xml:space="preserve">  </w:t>
      </w:r>
      <w:proofErr w:type="gramEnd"/>
      <w:r w:rsidR="006227C7">
        <w:rPr>
          <w:rFonts w:ascii="Calibri" w:hAnsi="Calibri"/>
        </w:rPr>
        <w:t>For example, in the ESP IV case, the Commission recognized that Rider ELR provides reliability and economic development benefits to customers</w:t>
      </w:r>
      <w:r w:rsidR="00A14FC8">
        <w:rPr>
          <w:rFonts w:ascii="Calibri" w:hAnsi="Calibri"/>
        </w:rPr>
        <w:t>.</w:t>
      </w:r>
      <w:r w:rsidR="00A14FC8">
        <w:rPr>
          <w:rStyle w:val="FootnoteReference"/>
          <w:rFonts w:ascii="Calibri" w:hAnsi="Calibri"/>
        </w:rPr>
        <w:footnoteReference w:id="14"/>
      </w:r>
      <w:r w:rsidR="00A95894">
        <w:rPr>
          <w:rFonts w:ascii="Calibri" w:hAnsi="Calibri"/>
        </w:rPr>
        <w:t xml:space="preserve">  The Commission</w:t>
      </w:r>
      <w:r w:rsidR="006227C7">
        <w:rPr>
          <w:rFonts w:ascii="Calibri" w:hAnsi="Calibri"/>
        </w:rPr>
        <w:t xml:space="preserve"> counted Rider ELR as among a number of provisions </w:t>
      </w:r>
      <w:r w:rsidR="00034A86">
        <w:rPr>
          <w:rFonts w:ascii="Calibri" w:hAnsi="Calibri"/>
        </w:rPr>
        <w:t>in the</w:t>
      </w:r>
      <w:r w:rsidR="006227C7">
        <w:rPr>
          <w:rFonts w:ascii="Calibri" w:hAnsi="Calibri"/>
        </w:rPr>
        <w:t xml:space="preserve"> ESP IV stipulation “intended to promote the state’s effectiveness </w:t>
      </w:r>
      <w:r w:rsidR="00A14FC8">
        <w:rPr>
          <w:rFonts w:ascii="Calibri" w:hAnsi="Calibri"/>
        </w:rPr>
        <w:t>in the global economy”</w:t>
      </w:r>
      <w:r w:rsidR="00A95894">
        <w:rPr>
          <w:rFonts w:ascii="Calibri" w:hAnsi="Calibri"/>
        </w:rPr>
        <w:t xml:space="preserve"> and recognized that the rider was approved as part of FirstEnergy</w:t>
      </w:r>
      <w:r w:rsidR="00034A86">
        <w:rPr>
          <w:rFonts w:ascii="Calibri" w:hAnsi="Calibri"/>
        </w:rPr>
        <w:t>’s first</w:t>
      </w:r>
      <w:r w:rsidR="00A95894">
        <w:rPr>
          <w:rFonts w:ascii="Calibri" w:hAnsi="Calibri"/>
        </w:rPr>
        <w:t xml:space="preserve"> ESP and has continued in place since then.</w:t>
      </w:r>
      <w:r>
        <w:rPr>
          <w:rStyle w:val="FootnoteReference"/>
          <w:rFonts w:ascii="Calibri" w:hAnsi="Calibri"/>
        </w:rPr>
        <w:footnoteReference w:id="15"/>
      </w:r>
      <w:r w:rsidR="00307E7C">
        <w:rPr>
          <w:rFonts w:ascii="Calibri" w:hAnsi="Calibri"/>
        </w:rPr>
        <w:t xml:space="preserve">  </w:t>
      </w:r>
      <w:r w:rsidR="00E76755">
        <w:rPr>
          <w:rFonts w:ascii="Calibri" w:hAnsi="Calibri"/>
        </w:rPr>
        <w:t>Several</w:t>
      </w:r>
      <w:r w:rsidR="00307E7C">
        <w:rPr>
          <w:rFonts w:ascii="Calibri" w:hAnsi="Calibri"/>
        </w:rPr>
        <w:t xml:space="preserve"> parties</w:t>
      </w:r>
      <w:r w:rsidR="00E76755">
        <w:rPr>
          <w:rFonts w:ascii="Calibri" w:hAnsi="Calibri"/>
        </w:rPr>
        <w:t xml:space="preserve"> in the current case</w:t>
      </w:r>
      <w:r w:rsidR="00307E7C">
        <w:rPr>
          <w:rFonts w:ascii="Calibri" w:hAnsi="Calibri"/>
        </w:rPr>
        <w:t xml:space="preserve"> agree that Rider ELR has and continues to provide these benefits.</w:t>
      </w:r>
      <w:r w:rsidR="009868EA">
        <w:rPr>
          <w:rFonts w:ascii="Calibri" w:hAnsi="Calibri"/>
        </w:rPr>
        <w:t xml:space="preserve">  According to Ohio Energy Group</w:t>
      </w:r>
      <w:r w:rsidR="00151FBE">
        <w:rPr>
          <w:rFonts w:ascii="Calibri" w:hAnsi="Calibri"/>
        </w:rPr>
        <w:t xml:space="preserve"> (“OEG”)</w:t>
      </w:r>
      <w:r w:rsidR="009868EA">
        <w:rPr>
          <w:rFonts w:ascii="Calibri" w:hAnsi="Calibri"/>
        </w:rPr>
        <w:t xml:space="preserve"> Witness Kevin Murray, for example, “FirstEnergy’s long-standing interruptible rate programs have demonstrated their value on multiple occasions, providing important reliability benefits to the grid in times of crisis” as well as “promot[ing] economic development within Ohio by facilitating the state’s competitiveness with other states that offer such rates.”</w:t>
      </w:r>
      <w:r w:rsidR="00307E7C">
        <w:rPr>
          <w:rStyle w:val="FootnoteReference"/>
          <w:rFonts w:ascii="Calibri" w:hAnsi="Calibri"/>
        </w:rPr>
        <w:footnoteReference w:id="16"/>
      </w:r>
      <w:r w:rsidR="001446F3">
        <w:rPr>
          <w:rFonts w:ascii="Calibri" w:hAnsi="Calibri"/>
        </w:rPr>
        <w:t xml:space="preserve">  </w:t>
      </w:r>
    </w:p>
    <w:p w14:paraId="2E7A9121" w14:textId="15B87EFC" w:rsidR="001446F3" w:rsidRDefault="001446F3" w:rsidP="008B4648">
      <w:pPr>
        <w:spacing w:after="240"/>
        <w:ind w:left="3600" w:hanging="720"/>
        <w:jc w:val="both"/>
        <w:rPr>
          <w:rFonts w:ascii="Calibri" w:hAnsi="Calibri"/>
          <w:b/>
          <w:bCs/>
        </w:rPr>
      </w:pPr>
      <w:r w:rsidRPr="001446F3">
        <w:rPr>
          <w:rFonts w:ascii="Calibri" w:hAnsi="Calibri"/>
          <w:b/>
          <w:bCs/>
        </w:rPr>
        <w:t>i.</w:t>
      </w:r>
      <w:r w:rsidRPr="001446F3">
        <w:rPr>
          <w:rFonts w:ascii="Calibri" w:hAnsi="Calibri"/>
          <w:b/>
          <w:bCs/>
        </w:rPr>
        <w:tab/>
      </w:r>
      <w:r>
        <w:rPr>
          <w:rFonts w:ascii="Calibri" w:hAnsi="Calibri"/>
          <w:b/>
          <w:bCs/>
        </w:rPr>
        <w:t>Rider ELR helps preserve system reliability</w:t>
      </w:r>
      <w:r w:rsidR="008B4648">
        <w:rPr>
          <w:rFonts w:ascii="Calibri" w:hAnsi="Calibri"/>
          <w:b/>
          <w:bCs/>
        </w:rPr>
        <w:fldChar w:fldCharType="begin"/>
      </w:r>
      <w:r w:rsidR="008B4648">
        <w:instrText xml:space="preserve"> TC "</w:instrText>
      </w:r>
      <w:bookmarkStart w:id="14" w:name="_Toc156549237"/>
      <w:bookmarkStart w:id="15" w:name="_Toc156549310"/>
      <w:r w:rsidR="008B4648" w:rsidRPr="004F2FA5">
        <w:rPr>
          <w:rFonts w:ascii="Calibri" w:hAnsi="Calibri"/>
          <w:b/>
          <w:bCs/>
        </w:rPr>
        <w:instrText>i.</w:instrText>
      </w:r>
      <w:r w:rsidR="008B4648" w:rsidRPr="004F2FA5">
        <w:rPr>
          <w:rFonts w:ascii="Calibri" w:hAnsi="Calibri"/>
          <w:b/>
          <w:bCs/>
        </w:rPr>
        <w:tab/>
        <w:instrText>Rider ELR helps preserve system reliability</w:instrText>
      </w:r>
      <w:bookmarkEnd w:id="14"/>
      <w:bookmarkEnd w:id="15"/>
      <w:r w:rsidR="008B4648">
        <w:instrText xml:space="preserve">" \f C \l "5" </w:instrText>
      </w:r>
      <w:r w:rsidR="008B4648">
        <w:rPr>
          <w:rFonts w:ascii="Calibri" w:hAnsi="Calibri"/>
          <w:b/>
          <w:bCs/>
        </w:rPr>
        <w:fldChar w:fldCharType="end"/>
      </w:r>
    </w:p>
    <w:p w14:paraId="072FB03C" w14:textId="40FB5CED" w:rsidR="00A14118" w:rsidRDefault="00A14118" w:rsidP="001446F3">
      <w:pPr>
        <w:spacing w:line="480" w:lineRule="auto"/>
        <w:ind w:firstLine="720"/>
        <w:jc w:val="both"/>
        <w:rPr>
          <w:rFonts w:ascii="Calibri" w:hAnsi="Calibri"/>
        </w:rPr>
      </w:pPr>
      <w:r>
        <w:rPr>
          <w:rFonts w:ascii="Calibri" w:hAnsi="Calibri"/>
        </w:rPr>
        <w:t xml:space="preserve">Interruptible load such as that provided by </w:t>
      </w:r>
      <w:r w:rsidR="001446F3">
        <w:rPr>
          <w:rFonts w:ascii="Calibri" w:hAnsi="Calibri"/>
        </w:rPr>
        <w:t>Rider ELR</w:t>
      </w:r>
      <w:r w:rsidR="00036833">
        <w:rPr>
          <w:rFonts w:ascii="Calibri" w:hAnsi="Calibri"/>
        </w:rPr>
        <w:t xml:space="preserve"> customers</w:t>
      </w:r>
      <w:r w:rsidR="001446F3">
        <w:rPr>
          <w:rFonts w:ascii="Calibri" w:hAnsi="Calibri"/>
        </w:rPr>
        <w:t xml:space="preserve"> </w:t>
      </w:r>
      <w:r>
        <w:rPr>
          <w:rFonts w:ascii="Calibri" w:hAnsi="Calibri"/>
        </w:rPr>
        <w:t>is an important reliability resource because it</w:t>
      </w:r>
      <w:r w:rsidR="001446F3">
        <w:rPr>
          <w:rFonts w:ascii="Calibri" w:hAnsi="Calibri"/>
        </w:rPr>
        <w:t xml:space="preserve"> can be curtailed quickly during a system emergency and kept off-line to he</w:t>
      </w:r>
      <w:r w:rsidR="000E0147">
        <w:rPr>
          <w:rFonts w:ascii="Calibri" w:hAnsi="Calibri"/>
        </w:rPr>
        <w:t>l</w:t>
      </w:r>
      <w:r w:rsidR="001446F3">
        <w:rPr>
          <w:rFonts w:ascii="Calibri" w:hAnsi="Calibri"/>
        </w:rPr>
        <w:t>p preserve system reliability and possibly avoid the need for rolling blackouts affecting firm customers.</w:t>
      </w:r>
      <w:r w:rsidR="001446F3">
        <w:rPr>
          <w:rStyle w:val="FootnoteReference"/>
          <w:rFonts w:ascii="Calibri" w:hAnsi="Calibri"/>
        </w:rPr>
        <w:footnoteReference w:id="17"/>
      </w:r>
      <w:r>
        <w:rPr>
          <w:rFonts w:ascii="Calibri" w:hAnsi="Calibri"/>
        </w:rPr>
        <w:t xml:space="preserve">  For example, at the</w:t>
      </w:r>
      <w:r w:rsidR="00036833">
        <w:rPr>
          <w:rFonts w:ascii="Calibri" w:hAnsi="Calibri"/>
        </w:rPr>
        <w:t xml:space="preserve"> evidentiary</w:t>
      </w:r>
      <w:r>
        <w:rPr>
          <w:rFonts w:ascii="Calibri" w:hAnsi="Calibri"/>
        </w:rPr>
        <w:t xml:space="preserve"> hearing</w:t>
      </w:r>
      <w:r w:rsidR="00036833">
        <w:rPr>
          <w:rFonts w:ascii="Calibri" w:hAnsi="Calibri"/>
        </w:rPr>
        <w:t xml:space="preserve"> in this case</w:t>
      </w:r>
      <w:r>
        <w:rPr>
          <w:rFonts w:ascii="Calibri" w:hAnsi="Calibri"/>
        </w:rPr>
        <w:t xml:space="preserve">, FirstEnergy Witness </w:t>
      </w:r>
      <w:r w:rsidR="00036833">
        <w:rPr>
          <w:rFonts w:ascii="Calibri" w:hAnsi="Calibri"/>
        </w:rPr>
        <w:t xml:space="preserve">Edward B. </w:t>
      </w:r>
      <w:r>
        <w:rPr>
          <w:rFonts w:ascii="Calibri" w:hAnsi="Calibri"/>
        </w:rPr>
        <w:t>Stein discussed his experiences at</w:t>
      </w:r>
      <w:r w:rsidR="003D0C5D">
        <w:rPr>
          <w:rFonts w:ascii="Calibri" w:hAnsi="Calibri"/>
        </w:rPr>
        <w:t xml:space="preserve"> WCI </w:t>
      </w:r>
      <w:r>
        <w:rPr>
          <w:rFonts w:ascii="Calibri" w:hAnsi="Calibri"/>
        </w:rPr>
        <w:t>Steel</w:t>
      </w:r>
      <w:r w:rsidR="003D0C5D">
        <w:rPr>
          <w:rFonts w:ascii="Calibri" w:hAnsi="Calibri"/>
        </w:rPr>
        <w:t xml:space="preserve"> in Warren, Ohio</w:t>
      </w:r>
      <w:r>
        <w:rPr>
          <w:rFonts w:ascii="Calibri" w:hAnsi="Calibri"/>
        </w:rPr>
        <w:t>.</w:t>
      </w:r>
      <w:r w:rsidR="003D0C5D">
        <w:rPr>
          <w:rStyle w:val="FootnoteReference"/>
          <w:rFonts w:ascii="Calibri" w:hAnsi="Calibri"/>
        </w:rPr>
        <w:footnoteReference w:id="18"/>
      </w:r>
      <w:r w:rsidR="008520C3">
        <w:rPr>
          <w:rFonts w:ascii="Calibri" w:hAnsi="Calibri"/>
        </w:rPr>
        <w:t xml:space="preserve">  WCI Steel</w:t>
      </w:r>
      <w:r>
        <w:rPr>
          <w:rFonts w:ascii="Calibri" w:hAnsi="Calibri"/>
        </w:rPr>
        <w:t xml:space="preserve"> was on an interruptible rate, and its load was curtailed after a tornado damaged the utility’s transmission </w:t>
      </w:r>
      <w:r w:rsidR="008520C3">
        <w:rPr>
          <w:rFonts w:ascii="Calibri" w:hAnsi="Calibri"/>
        </w:rPr>
        <w:t xml:space="preserve">and distribution </w:t>
      </w:r>
      <w:r>
        <w:rPr>
          <w:rFonts w:ascii="Calibri" w:hAnsi="Calibri"/>
        </w:rPr>
        <w:t>system.</w:t>
      </w:r>
      <w:r>
        <w:rPr>
          <w:rStyle w:val="FootnoteReference"/>
          <w:rFonts w:ascii="Calibri" w:hAnsi="Calibri"/>
        </w:rPr>
        <w:footnoteReference w:id="19"/>
      </w:r>
      <w:r>
        <w:rPr>
          <w:rFonts w:ascii="Calibri" w:hAnsi="Calibri"/>
        </w:rPr>
        <w:t xml:space="preserve">  The plant was curtailed for</w:t>
      </w:r>
      <w:r w:rsidR="00EF4087">
        <w:rPr>
          <w:rFonts w:ascii="Calibri" w:hAnsi="Calibri"/>
        </w:rPr>
        <w:t xml:space="preserve"> over thirty </w:t>
      </w:r>
      <w:r>
        <w:rPr>
          <w:rFonts w:ascii="Calibri" w:hAnsi="Calibri"/>
        </w:rPr>
        <w:t>hours</w:t>
      </w:r>
      <w:r w:rsidR="00EF4087">
        <w:rPr>
          <w:rFonts w:ascii="Calibri" w:hAnsi="Calibri"/>
        </w:rPr>
        <w:t xml:space="preserve"> spanning two days</w:t>
      </w:r>
      <w:r>
        <w:rPr>
          <w:rFonts w:ascii="Calibri" w:hAnsi="Calibri"/>
        </w:rPr>
        <w:t>, and the curtailment helped avoid rolling blackouts that would have impacted the utility’s other customers.</w:t>
      </w:r>
      <w:r>
        <w:rPr>
          <w:rStyle w:val="FootnoteReference"/>
          <w:rFonts w:ascii="Calibri" w:hAnsi="Calibri"/>
        </w:rPr>
        <w:footnoteReference w:id="20"/>
      </w:r>
      <w:r>
        <w:rPr>
          <w:rFonts w:ascii="Calibri" w:hAnsi="Calibri"/>
        </w:rPr>
        <w:t xml:space="preserve">  </w:t>
      </w:r>
    </w:p>
    <w:p w14:paraId="201FA015" w14:textId="135B22FA" w:rsidR="001136DD" w:rsidRDefault="00C90700" w:rsidP="001446F3">
      <w:pPr>
        <w:spacing w:line="480" w:lineRule="auto"/>
        <w:ind w:firstLine="720"/>
        <w:jc w:val="both"/>
        <w:rPr>
          <w:rFonts w:ascii="Calibri" w:hAnsi="Calibri"/>
        </w:rPr>
      </w:pPr>
      <w:r>
        <w:rPr>
          <w:rFonts w:ascii="Calibri" w:hAnsi="Calibri"/>
        </w:rPr>
        <w:t xml:space="preserve">Similarly, </w:t>
      </w:r>
      <w:r w:rsidR="00D3053E">
        <w:rPr>
          <w:rFonts w:ascii="Calibri" w:hAnsi="Calibri"/>
        </w:rPr>
        <w:t xml:space="preserve">Rider ELR customers have been called on during severe weather emergencies </w:t>
      </w:r>
      <w:proofErr w:type="gramStart"/>
      <w:r w:rsidR="00D3053E">
        <w:rPr>
          <w:rFonts w:ascii="Calibri" w:hAnsi="Calibri"/>
        </w:rPr>
        <w:t>in order to</w:t>
      </w:r>
      <w:proofErr w:type="gramEnd"/>
      <w:r w:rsidR="00D3053E">
        <w:rPr>
          <w:rFonts w:ascii="Calibri" w:hAnsi="Calibri"/>
        </w:rPr>
        <w:t xml:space="preserve"> help preserve system reliability.  Rider ELR was deployed during Winter Storm Elliott</w:t>
      </w:r>
      <w:proofErr w:type="gramStart"/>
      <w:r w:rsidR="00D3053E">
        <w:rPr>
          <w:rFonts w:ascii="Calibri" w:hAnsi="Calibri"/>
        </w:rPr>
        <w:t xml:space="preserve">.  </w:t>
      </w:r>
      <w:proofErr w:type="gramEnd"/>
      <w:r w:rsidR="00D3053E">
        <w:rPr>
          <w:rFonts w:ascii="Calibri" w:hAnsi="Calibri"/>
        </w:rPr>
        <w:t xml:space="preserve">On December 24, 2022, a Rider ELR </w:t>
      </w:r>
      <w:r w:rsidR="00770DAE">
        <w:rPr>
          <w:rFonts w:ascii="Calibri" w:hAnsi="Calibri"/>
        </w:rPr>
        <w:t>Emergency Curtailment E</w:t>
      </w:r>
      <w:r w:rsidR="00D3053E">
        <w:rPr>
          <w:rFonts w:ascii="Calibri" w:hAnsi="Calibri"/>
        </w:rPr>
        <w:t xml:space="preserve">vent lasting almost 10 hours was called by PJM </w:t>
      </w:r>
      <w:r w:rsidR="00770DAE">
        <w:rPr>
          <w:rFonts w:ascii="Calibri" w:hAnsi="Calibri"/>
        </w:rPr>
        <w:t>because</w:t>
      </w:r>
      <w:r w:rsidR="00D3053E">
        <w:rPr>
          <w:rFonts w:ascii="Calibri" w:hAnsi="Calibri"/>
        </w:rPr>
        <w:t xml:space="preserve"> a significant portion of generation capacity within PJM was unavailable to meet peak demand due to extreme cold weather conditions.</w:t>
      </w:r>
      <w:r w:rsidR="00D3053E">
        <w:rPr>
          <w:rStyle w:val="FootnoteReference"/>
          <w:rFonts w:ascii="Calibri" w:hAnsi="Calibri"/>
        </w:rPr>
        <w:footnoteReference w:id="21"/>
      </w:r>
      <w:r>
        <w:rPr>
          <w:rFonts w:ascii="Calibri" w:hAnsi="Calibri"/>
        </w:rPr>
        <w:t xml:space="preserve">  During this event, all ELR customers successfully curtailed down to or below their firm service level.</w:t>
      </w:r>
      <w:r>
        <w:rPr>
          <w:rStyle w:val="FootnoteReference"/>
          <w:rFonts w:ascii="Calibri" w:hAnsi="Calibri"/>
        </w:rPr>
        <w:footnoteReference w:id="22"/>
      </w:r>
      <w:r w:rsidR="001136DD">
        <w:rPr>
          <w:rFonts w:ascii="Calibri" w:hAnsi="Calibri"/>
        </w:rPr>
        <w:t xml:space="preserve">  </w:t>
      </w:r>
      <w:r w:rsidR="00EA1422">
        <w:rPr>
          <w:rFonts w:ascii="Calibri" w:hAnsi="Calibri"/>
        </w:rPr>
        <w:t>Ohio Energy Leadership Council (“</w:t>
      </w:r>
      <w:r w:rsidR="001136DD">
        <w:rPr>
          <w:rFonts w:ascii="Calibri" w:hAnsi="Calibri"/>
        </w:rPr>
        <w:t>OELC</w:t>
      </w:r>
      <w:r w:rsidR="00EA1422">
        <w:rPr>
          <w:rFonts w:ascii="Calibri" w:hAnsi="Calibri"/>
        </w:rPr>
        <w:t>”)</w:t>
      </w:r>
      <w:r w:rsidR="001136DD">
        <w:rPr>
          <w:rFonts w:ascii="Calibri" w:hAnsi="Calibri"/>
        </w:rPr>
        <w:t xml:space="preserve"> Witness Brakey testifie</w:t>
      </w:r>
      <w:r w:rsidR="004E0E04">
        <w:rPr>
          <w:rFonts w:ascii="Calibri" w:hAnsi="Calibri"/>
        </w:rPr>
        <w:t>d</w:t>
      </w:r>
      <w:r w:rsidR="001136DD">
        <w:rPr>
          <w:rFonts w:ascii="Calibri" w:hAnsi="Calibri"/>
        </w:rPr>
        <w:t xml:space="preserve"> that “[w]ithout FirstEnergy’s Rider ELR program and others like it, it is very possible that energy consumption and demand in the PJM grid as a whole may have exceeded supply on December 23 and 24, 2022,” and further explains that the “nimble, flexible, and sizeable  loads of demand response resources across the PJM footprint, including FirstEnergy’s Rider ELR customers, curtailed their capacity and helped prevent what may have been a catastrophic failure of the PJM electric grid.”</w:t>
      </w:r>
      <w:r w:rsidR="001136DD">
        <w:rPr>
          <w:rStyle w:val="FootnoteReference"/>
          <w:rFonts w:ascii="Calibri" w:hAnsi="Calibri"/>
        </w:rPr>
        <w:footnoteReference w:id="23"/>
      </w:r>
    </w:p>
    <w:p w14:paraId="4DE2A50D" w14:textId="3C9B6B5E" w:rsidR="001446F3" w:rsidRDefault="00FE682E" w:rsidP="001446F3">
      <w:pPr>
        <w:spacing w:line="480" w:lineRule="auto"/>
        <w:ind w:firstLine="720"/>
        <w:jc w:val="both"/>
        <w:rPr>
          <w:rFonts w:ascii="Calibri" w:hAnsi="Calibri"/>
        </w:rPr>
      </w:pPr>
      <w:r>
        <w:rPr>
          <w:rFonts w:ascii="Calibri" w:hAnsi="Calibri"/>
        </w:rPr>
        <w:t xml:space="preserve">Rider ELR customers </w:t>
      </w:r>
      <w:proofErr w:type="gramStart"/>
      <w:r>
        <w:rPr>
          <w:rFonts w:ascii="Calibri" w:hAnsi="Calibri"/>
        </w:rPr>
        <w:t>were also called</w:t>
      </w:r>
      <w:proofErr w:type="gramEnd"/>
      <w:r>
        <w:rPr>
          <w:rFonts w:ascii="Calibri" w:hAnsi="Calibri"/>
        </w:rPr>
        <w:t xml:space="preserve"> for one mandatory curtailment and several voluntary ones during the Polar Vortex event in 2014.</w:t>
      </w:r>
      <w:r>
        <w:rPr>
          <w:rStyle w:val="FootnoteReference"/>
          <w:rFonts w:ascii="Calibri" w:hAnsi="Calibri"/>
        </w:rPr>
        <w:footnoteReference w:id="24"/>
      </w:r>
      <w:r w:rsidR="004C4336">
        <w:rPr>
          <w:rFonts w:ascii="Calibri" w:hAnsi="Calibri"/>
        </w:rPr>
        <w:t xml:space="preserve">  Rider ELR customers currently are also subject to annual testing by PJM to confirm their curtailment capability, ensuring that these customers are typically curtailed at least once a year.</w:t>
      </w:r>
      <w:r w:rsidR="004C4336">
        <w:rPr>
          <w:rStyle w:val="FootnoteReference"/>
          <w:rFonts w:ascii="Calibri" w:hAnsi="Calibri"/>
        </w:rPr>
        <w:footnoteReference w:id="25"/>
      </w:r>
    </w:p>
    <w:p w14:paraId="071DB2FE" w14:textId="4637631C" w:rsidR="00405189" w:rsidRDefault="00405189" w:rsidP="001446F3">
      <w:pPr>
        <w:spacing w:line="480" w:lineRule="auto"/>
        <w:ind w:firstLine="720"/>
        <w:jc w:val="both"/>
        <w:rPr>
          <w:rFonts w:ascii="Calibri" w:hAnsi="Calibri"/>
        </w:rPr>
      </w:pPr>
      <w:r>
        <w:rPr>
          <w:rFonts w:ascii="Calibri" w:hAnsi="Calibri"/>
        </w:rPr>
        <w:t xml:space="preserve">In addition to curtailments by PJM, Rider ELR customers may also be curtailed by a FirstEnergy </w:t>
      </w:r>
      <w:r w:rsidR="00A76E04">
        <w:rPr>
          <w:rFonts w:ascii="Calibri" w:hAnsi="Calibri"/>
        </w:rPr>
        <w:t>utility</w:t>
      </w:r>
      <w:r>
        <w:rPr>
          <w:rFonts w:ascii="Calibri" w:hAnsi="Calibri"/>
        </w:rPr>
        <w:t xml:space="preserve"> to address local reliability issues.</w:t>
      </w:r>
      <w:r>
        <w:rPr>
          <w:rStyle w:val="FootnoteReference"/>
          <w:rFonts w:ascii="Calibri" w:hAnsi="Calibri"/>
        </w:rPr>
        <w:footnoteReference w:id="26"/>
      </w:r>
      <w:r>
        <w:rPr>
          <w:rFonts w:ascii="Calibri" w:hAnsi="Calibri"/>
        </w:rPr>
        <w:t xml:space="preserve">  For example, in 2011, Ohio Edison curtailed a subset of Rider ELR customers to help address a local reliability emergency.</w:t>
      </w:r>
      <w:r>
        <w:rPr>
          <w:rStyle w:val="FootnoteReference"/>
          <w:rFonts w:ascii="Calibri" w:hAnsi="Calibri"/>
        </w:rPr>
        <w:footnoteReference w:id="27"/>
      </w:r>
      <w:r w:rsidR="00913922">
        <w:rPr>
          <w:rFonts w:ascii="Calibri" w:hAnsi="Calibri"/>
        </w:rPr>
        <w:t xml:space="preserve">  And as noted above, during the 2014 Polar Vortex, in addition to a mandatory curtailment, Rider ELR customers were also asked to voluntarily curtail in order to help maintain the reliability of the distribution system.</w:t>
      </w:r>
      <w:r w:rsidR="00913922">
        <w:rPr>
          <w:rStyle w:val="FootnoteReference"/>
          <w:rFonts w:ascii="Calibri" w:hAnsi="Calibri"/>
        </w:rPr>
        <w:footnoteReference w:id="28"/>
      </w:r>
    </w:p>
    <w:p w14:paraId="1435E165" w14:textId="1575BAE5" w:rsidR="005F431C" w:rsidRDefault="005F431C" w:rsidP="008B4648">
      <w:pPr>
        <w:spacing w:after="240"/>
        <w:ind w:left="3600" w:hanging="720"/>
        <w:jc w:val="both"/>
        <w:rPr>
          <w:rFonts w:ascii="Calibri" w:hAnsi="Calibri"/>
          <w:b/>
          <w:bCs/>
        </w:rPr>
      </w:pPr>
      <w:r w:rsidRPr="005F431C">
        <w:rPr>
          <w:rFonts w:ascii="Calibri" w:hAnsi="Calibri"/>
          <w:b/>
          <w:bCs/>
        </w:rPr>
        <w:t>ii.</w:t>
      </w:r>
      <w:r w:rsidRPr="005F431C">
        <w:rPr>
          <w:rFonts w:ascii="Calibri" w:hAnsi="Calibri"/>
          <w:b/>
          <w:bCs/>
        </w:rPr>
        <w:tab/>
        <w:t>Rider ELR provides economic development benefits</w:t>
      </w:r>
      <w:r w:rsidR="008B4648">
        <w:rPr>
          <w:rFonts w:ascii="Calibri" w:hAnsi="Calibri"/>
          <w:b/>
          <w:bCs/>
        </w:rPr>
        <w:fldChar w:fldCharType="begin"/>
      </w:r>
      <w:r w:rsidR="008B4648">
        <w:instrText xml:space="preserve"> TC "</w:instrText>
      </w:r>
      <w:bookmarkStart w:id="16" w:name="_Toc156549238"/>
      <w:bookmarkStart w:id="17" w:name="_Toc156549311"/>
      <w:r w:rsidR="008B4648" w:rsidRPr="00DA0170">
        <w:rPr>
          <w:rFonts w:ascii="Calibri" w:hAnsi="Calibri"/>
          <w:b/>
          <w:bCs/>
        </w:rPr>
        <w:instrText>ii.</w:instrText>
      </w:r>
      <w:r w:rsidR="008B4648" w:rsidRPr="00DA0170">
        <w:rPr>
          <w:rFonts w:ascii="Calibri" w:hAnsi="Calibri"/>
          <w:b/>
          <w:bCs/>
        </w:rPr>
        <w:tab/>
        <w:instrText>Rider ELR provides economic development benefits</w:instrText>
      </w:r>
      <w:bookmarkEnd w:id="16"/>
      <w:bookmarkEnd w:id="17"/>
      <w:r w:rsidR="008B4648">
        <w:instrText xml:space="preserve">" \f C \l "5" </w:instrText>
      </w:r>
      <w:r w:rsidR="008B4648">
        <w:rPr>
          <w:rFonts w:ascii="Calibri" w:hAnsi="Calibri"/>
          <w:b/>
          <w:bCs/>
        </w:rPr>
        <w:fldChar w:fldCharType="end"/>
      </w:r>
    </w:p>
    <w:p w14:paraId="180B8A45" w14:textId="6021CF78" w:rsidR="00A21866" w:rsidRDefault="005F431C" w:rsidP="005F431C">
      <w:pPr>
        <w:spacing w:line="480" w:lineRule="auto"/>
        <w:jc w:val="both"/>
        <w:rPr>
          <w:rFonts w:ascii="Calibri" w:hAnsi="Calibri"/>
        </w:rPr>
      </w:pPr>
      <w:r>
        <w:rPr>
          <w:rFonts w:ascii="Calibri" w:hAnsi="Calibri"/>
        </w:rPr>
        <w:tab/>
        <w:t>The customers on Rider ELR are large, energy intensive customers, many of whom began taking interruptible service long before the adoption of the ESP framework in Ohio.</w:t>
      </w:r>
      <w:r>
        <w:rPr>
          <w:rStyle w:val="FootnoteReference"/>
          <w:rFonts w:ascii="Calibri" w:hAnsi="Calibri"/>
        </w:rPr>
        <w:footnoteReference w:id="29"/>
      </w:r>
      <w:r w:rsidR="00A21866">
        <w:rPr>
          <w:rFonts w:ascii="Calibri" w:hAnsi="Calibri"/>
        </w:rPr>
        <w:t xml:space="preserve">  Electric energy comprises a major operating cost for these customers, and low, stable electricity prices are vital for their continued operation in Ohio.</w:t>
      </w:r>
      <w:r w:rsidR="00A21866">
        <w:rPr>
          <w:rStyle w:val="FootnoteReference"/>
          <w:rFonts w:ascii="Calibri" w:hAnsi="Calibri"/>
        </w:rPr>
        <w:footnoteReference w:id="30"/>
      </w:r>
      <w:r w:rsidR="00F41C73">
        <w:rPr>
          <w:rFonts w:ascii="Calibri" w:hAnsi="Calibri"/>
        </w:rPr>
        <w:t xml:space="preserve">  OELC Witness Brakey testifie</w:t>
      </w:r>
      <w:r w:rsidR="0094303A">
        <w:rPr>
          <w:rFonts w:ascii="Calibri" w:hAnsi="Calibri"/>
        </w:rPr>
        <w:t>d</w:t>
      </w:r>
      <w:r w:rsidR="00F41C73">
        <w:rPr>
          <w:rFonts w:ascii="Calibri" w:hAnsi="Calibri"/>
        </w:rPr>
        <w:t xml:space="preserve"> that the list of Rider ELR customers “includes some of the biggest names in manufacturing that have brought an unquantifiable economic impact to the state of Ohio and specifically FirstEnergy’s service territory” and that the economic development benefits created by the twenty-four Rider ELR customers is “profound and far-reaching.”</w:t>
      </w:r>
      <w:r w:rsidR="00F41C73">
        <w:rPr>
          <w:rStyle w:val="FootnoteReference"/>
          <w:rFonts w:ascii="Calibri" w:hAnsi="Calibri"/>
        </w:rPr>
        <w:footnoteReference w:id="31"/>
      </w:r>
    </w:p>
    <w:p w14:paraId="4F152CC0" w14:textId="40E53353" w:rsidR="005F431C" w:rsidRDefault="00A21866" w:rsidP="00A21866">
      <w:pPr>
        <w:spacing w:line="480" w:lineRule="auto"/>
        <w:ind w:firstLine="720"/>
        <w:jc w:val="both"/>
        <w:rPr>
          <w:rFonts w:ascii="Calibri" w:hAnsi="Calibri"/>
        </w:rPr>
      </w:pPr>
      <w:r>
        <w:rPr>
          <w:rFonts w:ascii="Calibri" w:hAnsi="Calibri"/>
        </w:rPr>
        <w:t>The credits provided through Riders ELR and EDR allow ELR customers to lower their electricity costs</w:t>
      </w:r>
      <w:r w:rsidR="007E5D34">
        <w:rPr>
          <w:rFonts w:ascii="Calibri" w:hAnsi="Calibri"/>
        </w:rPr>
        <w:t>, and therefore can help these customers remain competitive</w:t>
      </w:r>
      <w:proofErr w:type="gramStart"/>
      <w:r>
        <w:rPr>
          <w:rFonts w:ascii="Calibri" w:hAnsi="Calibri"/>
        </w:rPr>
        <w:t xml:space="preserve">.  </w:t>
      </w:r>
      <w:proofErr w:type="gramEnd"/>
      <w:r>
        <w:rPr>
          <w:rFonts w:ascii="Calibri" w:hAnsi="Calibri"/>
        </w:rPr>
        <w:t xml:space="preserve">However, </w:t>
      </w:r>
      <w:r w:rsidR="00E460EC">
        <w:rPr>
          <w:rFonts w:ascii="Calibri" w:hAnsi="Calibri"/>
        </w:rPr>
        <w:t xml:space="preserve">in exchange for the Rider ELR credits, ELR customers are voluntarily accepting a </w:t>
      </w:r>
      <w:r>
        <w:rPr>
          <w:rFonts w:ascii="Calibri" w:hAnsi="Calibri"/>
        </w:rPr>
        <w:t>curtailable power</w:t>
      </w:r>
      <w:r w:rsidR="00E460EC">
        <w:rPr>
          <w:rFonts w:ascii="Calibri" w:hAnsi="Calibri"/>
        </w:rPr>
        <w:t xml:space="preserve"> supply which is </w:t>
      </w:r>
      <w:r>
        <w:rPr>
          <w:rFonts w:ascii="Calibri" w:hAnsi="Calibri"/>
        </w:rPr>
        <w:t>of a lower-quality than firm service, since Rider ELR customers can be called to curtail at any time.</w:t>
      </w:r>
      <w:r>
        <w:rPr>
          <w:rStyle w:val="FootnoteReference"/>
          <w:rFonts w:ascii="Calibri" w:hAnsi="Calibri"/>
        </w:rPr>
        <w:footnoteReference w:id="32"/>
      </w:r>
      <w:r w:rsidR="00931D80">
        <w:rPr>
          <w:rFonts w:ascii="Calibri" w:hAnsi="Calibri"/>
        </w:rPr>
        <w:t xml:space="preserve">  </w:t>
      </w:r>
      <w:r w:rsidR="00E460EC">
        <w:rPr>
          <w:rFonts w:ascii="Calibri" w:hAnsi="Calibri"/>
        </w:rPr>
        <w:t>Due to the curtailable nature of power supply under Rider ELR</w:t>
      </w:r>
      <w:r w:rsidR="00931D80">
        <w:rPr>
          <w:rFonts w:ascii="Calibri" w:hAnsi="Calibri"/>
        </w:rPr>
        <w:t>, customers must incur costs and adjust their processes to be able to respond quickly to curtailment notices.</w:t>
      </w:r>
      <w:r w:rsidR="00931D80">
        <w:rPr>
          <w:rStyle w:val="FootnoteReference"/>
          <w:rFonts w:ascii="Calibri" w:hAnsi="Calibri"/>
        </w:rPr>
        <w:footnoteReference w:id="33"/>
      </w:r>
      <w:r w:rsidR="009C66A6">
        <w:rPr>
          <w:rFonts w:ascii="Calibri" w:hAnsi="Calibri"/>
        </w:rPr>
        <w:t xml:space="preserve">  Further, interruptions may result in lost production for the customers on Rider ELR.</w:t>
      </w:r>
      <w:r w:rsidR="009C66A6">
        <w:rPr>
          <w:rStyle w:val="FootnoteReference"/>
          <w:rFonts w:ascii="Calibri" w:hAnsi="Calibri"/>
        </w:rPr>
        <w:footnoteReference w:id="34"/>
      </w:r>
    </w:p>
    <w:p w14:paraId="4AABDA2B" w14:textId="55E1F260" w:rsidR="009C66A6" w:rsidRDefault="009C66A6" w:rsidP="009C66A6">
      <w:pPr>
        <w:spacing w:line="480" w:lineRule="auto"/>
        <w:jc w:val="both"/>
        <w:rPr>
          <w:rFonts w:ascii="Calibri" w:hAnsi="Calibri"/>
        </w:rPr>
      </w:pPr>
      <w:r>
        <w:rPr>
          <w:rFonts w:ascii="Calibri" w:hAnsi="Calibri"/>
        </w:rPr>
        <w:tab/>
        <w:t>As Nucor Witness Dr. Goins testifies, “[d]espite these costs and risks, a stable Rider ELR program can be attractive to energy-intensive customers with curtailable production processes, enhance their competitiveness in domestic and global markets, and promote job retention and potential growth.”</w:t>
      </w:r>
      <w:r>
        <w:rPr>
          <w:rStyle w:val="FootnoteReference"/>
          <w:rFonts w:ascii="Calibri" w:hAnsi="Calibri"/>
        </w:rPr>
        <w:footnoteReference w:id="35"/>
      </w:r>
      <w:r w:rsidR="00D343F6">
        <w:rPr>
          <w:rFonts w:ascii="Calibri" w:hAnsi="Calibri"/>
        </w:rPr>
        <w:t xml:space="preserve"> </w:t>
      </w:r>
      <w:r w:rsidR="00D127D8">
        <w:rPr>
          <w:rFonts w:ascii="Calibri" w:hAnsi="Calibri"/>
        </w:rPr>
        <w:t xml:space="preserve"> </w:t>
      </w:r>
      <w:r w:rsidR="00D343F6">
        <w:rPr>
          <w:rFonts w:ascii="Calibri" w:hAnsi="Calibri"/>
        </w:rPr>
        <w:t>Accordingly, Rider ELR provides important economic development and job retention benefits and helps advance Ohio’s goal of “facilitat[ing] the state’s effectiveness in the global economy.”</w:t>
      </w:r>
      <w:r w:rsidR="00D343F6">
        <w:rPr>
          <w:rStyle w:val="FootnoteReference"/>
          <w:rFonts w:ascii="Calibri" w:hAnsi="Calibri"/>
        </w:rPr>
        <w:footnoteReference w:id="36"/>
      </w:r>
      <w:r>
        <w:rPr>
          <w:rFonts w:ascii="Calibri" w:hAnsi="Calibri"/>
        </w:rPr>
        <w:t xml:space="preserve"> </w:t>
      </w:r>
    </w:p>
    <w:p w14:paraId="574496A9" w14:textId="191B5647" w:rsidR="00023C07" w:rsidRDefault="00023C07" w:rsidP="008C5840">
      <w:pPr>
        <w:spacing w:after="240"/>
        <w:ind w:left="2160" w:hanging="720"/>
        <w:jc w:val="both"/>
        <w:rPr>
          <w:rFonts w:ascii="Calibri" w:hAnsi="Calibri"/>
          <w:b/>
          <w:bCs/>
        </w:rPr>
      </w:pPr>
      <w:r w:rsidRPr="00023C07">
        <w:rPr>
          <w:rFonts w:ascii="Calibri" w:hAnsi="Calibri"/>
          <w:b/>
          <w:bCs/>
        </w:rPr>
        <w:t>2.</w:t>
      </w:r>
      <w:r w:rsidRPr="00023C07">
        <w:rPr>
          <w:rFonts w:ascii="Calibri" w:hAnsi="Calibri"/>
          <w:b/>
          <w:bCs/>
        </w:rPr>
        <w:tab/>
        <w:t xml:space="preserve">FirstEnergy’s </w:t>
      </w:r>
      <w:r w:rsidR="00A76E04">
        <w:rPr>
          <w:rFonts w:ascii="Calibri" w:hAnsi="Calibri"/>
          <w:b/>
          <w:bCs/>
        </w:rPr>
        <w:t>p</w:t>
      </w:r>
      <w:r w:rsidRPr="00023C07">
        <w:rPr>
          <w:rFonts w:ascii="Calibri" w:hAnsi="Calibri"/>
          <w:b/>
          <w:bCs/>
        </w:rPr>
        <w:t xml:space="preserve">roposed </w:t>
      </w:r>
      <w:r w:rsidR="00A76E04">
        <w:rPr>
          <w:rFonts w:ascii="Calibri" w:hAnsi="Calibri"/>
          <w:b/>
          <w:bCs/>
        </w:rPr>
        <w:t>m</w:t>
      </w:r>
      <w:r w:rsidRPr="00023C07">
        <w:rPr>
          <w:rFonts w:ascii="Calibri" w:hAnsi="Calibri"/>
          <w:b/>
          <w:bCs/>
        </w:rPr>
        <w:t>odifications to Rider ELR</w:t>
      </w:r>
      <w:r w:rsidR="009F112B">
        <w:rPr>
          <w:rFonts w:ascii="Calibri" w:hAnsi="Calibri"/>
          <w:b/>
          <w:bCs/>
        </w:rPr>
        <w:t xml:space="preserve"> and </w:t>
      </w:r>
      <w:r w:rsidR="003B6D6F">
        <w:rPr>
          <w:rFonts w:ascii="Calibri" w:hAnsi="Calibri"/>
          <w:b/>
          <w:bCs/>
        </w:rPr>
        <w:t>p</w:t>
      </w:r>
      <w:r w:rsidR="009F112B">
        <w:rPr>
          <w:rFonts w:ascii="Calibri" w:hAnsi="Calibri"/>
          <w:b/>
          <w:bCs/>
        </w:rPr>
        <w:t xml:space="preserve">ositions of </w:t>
      </w:r>
      <w:r w:rsidR="003B6D6F">
        <w:rPr>
          <w:rFonts w:ascii="Calibri" w:hAnsi="Calibri"/>
          <w:b/>
          <w:bCs/>
        </w:rPr>
        <w:t>p</w:t>
      </w:r>
      <w:r w:rsidR="009F112B">
        <w:rPr>
          <w:rFonts w:ascii="Calibri" w:hAnsi="Calibri"/>
          <w:b/>
          <w:bCs/>
        </w:rPr>
        <w:t>arties</w:t>
      </w:r>
      <w:r w:rsidR="009F23FA">
        <w:rPr>
          <w:rFonts w:ascii="Calibri" w:hAnsi="Calibri"/>
          <w:b/>
          <w:bCs/>
        </w:rPr>
        <w:fldChar w:fldCharType="begin"/>
      </w:r>
      <w:r w:rsidR="009F23FA">
        <w:instrText xml:space="preserve"> TC "</w:instrText>
      </w:r>
      <w:bookmarkStart w:id="18" w:name="_Toc156549239"/>
      <w:bookmarkStart w:id="19" w:name="_Toc156549312"/>
      <w:r w:rsidR="009F23FA" w:rsidRPr="00484C8B">
        <w:rPr>
          <w:rFonts w:ascii="Calibri" w:hAnsi="Calibri"/>
          <w:b/>
          <w:bCs/>
        </w:rPr>
        <w:instrText>2.</w:instrText>
      </w:r>
      <w:r w:rsidR="009F23FA" w:rsidRPr="00484C8B">
        <w:rPr>
          <w:rFonts w:ascii="Calibri" w:hAnsi="Calibri"/>
          <w:b/>
          <w:bCs/>
        </w:rPr>
        <w:tab/>
        <w:instrText>FirstEnergy’s proposed modifications to Rider ELR and positions of parties</w:instrText>
      </w:r>
      <w:bookmarkEnd w:id="18"/>
      <w:bookmarkEnd w:id="19"/>
      <w:r w:rsidR="009F23FA">
        <w:instrText xml:space="preserve">" \f C \l "3" </w:instrText>
      </w:r>
      <w:r w:rsidR="009F23FA">
        <w:rPr>
          <w:rFonts w:ascii="Calibri" w:hAnsi="Calibri"/>
          <w:b/>
          <w:bCs/>
        </w:rPr>
        <w:fldChar w:fldCharType="end"/>
      </w:r>
    </w:p>
    <w:p w14:paraId="67B78118" w14:textId="5BBEDBFD" w:rsidR="00F83D17" w:rsidRDefault="00023C07" w:rsidP="009C66A6">
      <w:pPr>
        <w:spacing w:line="480" w:lineRule="auto"/>
        <w:jc w:val="both"/>
        <w:rPr>
          <w:rFonts w:ascii="Calibri" w:hAnsi="Calibri"/>
        </w:rPr>
      </w:pPr>
      <w:r>
        <w:rPr>
          <w:rFonts w:ascii="Calibri" w:hAnsi="Calibri"/>
        </w:rPr>
        <w:tab/>
        <w:t xml:space="preserve">FirstEnergy recognizes the benefits of Rider ELR and proposes to continue the program through the term of the proposed ESP </w:t>
      </w:r>
      <w:proofErr w:type="gramStart"/>
      <w:r>
        <w:rPr>
          <w:rFonts w:ascii="Calibri" w:hAnsi="Calibri"/>
        </w:rPr>
        <w:t xml:space="preserve">V.  </w:t>
      </w:r>
      <w:proofErr w:type="gramEnd"/>
      <w:r>
        <w:rPr>
          <w:rFonts w:ascii="Calibri" w:hAnsi="Calibri"/>
        </w:rPr>
        <w:t xml:space="preserve">Nevertheless, FirstEnergy proposes two significant changes </w:t>
      </w:r>
      <w:r w:rsidR="008C041E">
        <w:rPr>
          <w:rFonts w:ascii="Calibri" w:hAnsi="Calibri"/>
        </w:rPr>
        <w:t xml:space="preserve">which </w:t>
      </w:r>
      <w:r>
        <w:rPr>
          <w:rFonts w:ascii="Calibri" w:hAnsi="Calibri"/>
        </w:rPr>
        <w:t>would undermine the stability and effectiveness of the program.</w:t>
      </w:r>
    </w:p>
    <w:p w14:paraId="26037684" w14:textId="4A211023" w:rsidR="003723B7" w:rsidRDefault="00F83D17" w:rsidP="009C66A6">
      <w:pPr>
        <w:spacing w:line="480" w:lineRule="auto"/>
        <w:jc w:val="both"/>
        <w:rPr>
          <w:rFonts w:ascii="Calibri" w:hAnsi="Calibri"/>
        </w:rPr>
      </w:pPr>
      <w:r>
        <w:rPr>
          <w:rFonts w:ascii="Calibri" w:hAnsi="Calibri"/>
        </w:rPr>
        <w:tab/>
        <w:t>First, FirstEnergy propose</w:t>
      </w:r>
      <w:r w:rsidR="00EA3C4B">
        <w:rPr>
          <w:rFonts w:ascii="Calibri" w:hAnsi="Calibri"/>
        </w:rPr>
        <w:t>s</w:t>
      </w:r>
      <w:r>
        <w:rPr>
          <w:rFonts w:ascii="Calibri" w:hAnsi="Calibri"/>
        </w:rPr>
        <w:t xml:space="preserve"> to reduce the aggregate monthly Rider ELR and EDR(b) curtailable credits from $10 per kW of Curtailable Demand to $3 per kW.</w:t>
      </w:r>
      <w:r>
        <w:rPr>
          <w:rStyle w:val="FootnoteReference"/>
          <w:rFonts w:ascii="Calibri" w:hAnsi="Calibri"/>
        </w:rPr>
        <w:footnoteReference w:id="37"/>
      </w:r>
      <w:r w:rsidR="00D67C61">
        <w:rPr>
          <w:rFonts w:ascii="Calibri" w:hAnsi="Calibri"/>
        </w:rPr>
        <w:t xml:space="preserve">  The credit reductions would begin in the 2025/2026 delivery year when the monthly Rider ELR and Rider EDR(b) credits are each reduced by $0.50 per kW to $4.50 per kW, and the same $0.50 per kW reductions in the credits would occur each </w:t>
      </w:r>
      <w:r w:rsidR="00262C51">
        <w:rPr>
          <w:rFonts w:ascii="Calibri" w:hAnsi="Calibri"/>
        </w:rPr>
        <w:t>y</w:t>
      </w:r>
      <w:r w:rsidR="00D67C61">
        <w:rPr>
          <w:rFonts w:ascii="Calibri" w:hAnsi="Calibri"/>
        </w:rPr>
        <w:t>ear through the 2031/203</w:t>
      </w:r>
      <w:r w:rsidR="00262C51">
        <w:rPr>
          <w:rFonts w:ascii="Calibri" w:hAnsi="Calibri"/>
        </w:rPr>
        <w:t>2</w:t>
      </w:r>
      <w:r w:rsidR="00D67C61">
        <w:rPr>
          <w:rFonts w:ascii="Calibri" w:hAnsi="Calibri"/>
        </w:rPr>
        <w:t xml:space="preserve"> delivery year.</w:t>
      </w:r>
      <w:r w:rsidR="00D67C61">
        <w:rPr>
          <w:rStyle w:val="FootnoteReference"/>
          <w:rFonts w:ascii="Calibri" w:hAnsi="Calibri"/>
        </w:rPr>
        <w:footnoteReference w:id="38"/>
      </w:r>
    </w:p>
    <w:p w14:paraId="75E1DFFA" w14:textId="4E0346BA" w:rsidR="005D5931" w:rsidRDefault="003723B7" w:rsidP="009C66A6">
      <w:pPr>
        <w:spacing w:line="480" w:lineRule="auto"/>
        <w:jc w:val="both"/>
        <w:rPr>
          <w:rFonts w:ascii="Calibri" w:hAnsi="Calibri"/>
        </w:rPr>
      </w:pPr>
      <w:r>
        <w:rPr>
          <w:rFonts w:ascii="Calibri" w:hAnsi="Calibri"/>
        </w:rPr>
        <w:tab/>
        <w:t>Second, FirstEnergy would no longer serve as the CSP for Rider ELR customers</w:t>
      </w:r>
      <w:proofErr w:type="gramStart"/>
      <w:r>
        <w:rPr>
          <w:rFonts w:ascii="Calibri" w:hAnsi="Calibri"/>
        </w:rPr>
        <w:t xml:space="preserve">.  </w:t>
      </w:r>
      <w:proofErr w:type="gramEnd"/>
      <w:r>
        <w:rPr>
          <w:rFonts w:ascii="Calibri" w:hAnsi="Calibri"/>
        </w:rPr>
        <w:t>The requirement that Rider ELR customers commit their demand response capabilities to FirstEnergy would be eliminated, and instead, Rider ELR customers would be required to participate in PJM through their own CSPs.</w:t>
      </w:r>
      <w:r>
        <w:rPr>
          <w:rStyle w:val="FootnoteReference"/>
          <w:rFonts w:ascii="Calibri" w:hAnsi="Calibri"/>
        </w:rPr>
        <w:footnoteReference w:id="39"/>
      </w:r>
      <w:r w:rsidR="0004444E">
        <w:rPr>
          <w:rFonts w:ascii="Calibri" w:hAnsi="Calibri"/>
        </w:rPr>
        <w:t xml:space="preserve">  FirstEnergy would no longer serve as the intermediary between PJM and the Rider ELR customers and would receive no PJM revenue to pass back to non-Rider ELR customers.</w:t>
      </w:r>
      <w:r w:rsidR="0004444E">
        <w:rPr>
          <w:rStyle w:val="FootnoteReference"/>
          <w:rFonts w:ascii="Calibri" w:hAnsi="Calibri"/>
        </w:rPr>
        <w:footnoteReference w:id="40"/>
      </w:r>
      <w:r w:rsidR="0004444E">
        <w:rPr>
          <w:rFonts w:ascii="Calibri" w:hAnsi="Calibri"/>
        </w:rPr>
        <w:t xml:space="preserve">  Instead, Rider ELR customers would be able to retain any revenue received from PJM resulting from their participation in PJM.</w:t>
      </w:r>
    </w:p>
    <w:p w14:paraId="1172F474" w14:textId="54976AA5" w:rsidR="009F112B" w:rsidRDefault="009F112B" w:rsidP="009C66A6">
      <w:pPr>
        <w:spacing w:line="480" w:lineRule="auto"/>
        <w:jc w:val="both"/>
        <w:rPr>
          <w:rFonts w:ascii="Calibri" w:hAnsi="Calibri"/>
        </w:rPr>
      </w:pPr>
      <w:r>
        <w:rPr>
          <w:rFonts w:ascii="Calibri" w:hAnsi="Calibri"/>
        </w:rPr>
        <w:tab/>
        <w:t>Witnesses for several parties responded to FirstEnergy’s Rider ELR proposal with their own proposals and recommendations</w:t>
      </w:r>
      <w:proofErr w:type="gramStart"/>
      <w:r>
        <w:rPr>
          <w:rFonts w:ascii="Calibri" w:hAnsi="Calibri"/>
        </w:rPr>
        <w:t xml:space="preserve">.  </w:t>
      </w:r>
      <w:proofErr w:type="gramEnd"/>
      <w:r>
        <w:rPr>
          <w:rFonts w:ascii="Calibri" w:hAnsi="Calibri"/>
        </w:rPr>
        <w:t xml:space="preserve">The </w:t>
      </w:r>
      <w:r w:rsidR="0053665F">
        <w:rPr>
          <w:rFonts w:ascii="Calibri" w:hAnsi="Calibri"/>
        </w:rPr>
        <w:t xml:space="preserve">main Rider ELR </w:t>
      </w:r>
      <w:r>
        <w:rPr>
          <w:rFonts w:ascii="Calibri" w:hAnsi="Calibri"/>
        </w:rPr>
        <w:t xml:space="preserve">recommendations of the parties </w:t>
      </w:r>
      <w:r w:rsidR="0053665F">
        <w:rPr>
          <w:rFonts w:ascii="Calibri" w:hAnsi="Calibri"/>
        </w:rPr>
        <w:t>(</w:t>
      </w:r>
      <w:r w:rsidR="008C041E">
        <w:rPr>
          <w:rFonts w:ascii="Calibri" w:hAnsi="Calibri"/>
        </w:rPr>
        <w:t xml:space="preserve">specifically </w:t>
      </w:r>
      <w:r w:rsidR="0053665F">
        <w:rPr>
          <w:rFonts w:ascii="Calibri" w:hAnsi="Calibri"/>
        </w:rPr>
        <w:t xml:space="preserve">on the credits and on FirstEnergy’s role as the CSP) </w:t>
      </w:r>
      <w:proofErr w:type="gramStart"/>
      <w:r>
        <w:rPr>
          <w:rFonts w:ascii="Calibri" w:hAnsi="Calibri"/>
        </w:rPr>
        <w:t>are summarized</w:t>
      </w:r>
      <w:proofErr w:type="gramEnd"/>
      <w:r>
        <w:rPr>
          <w:rFonts w:ascii="Calibri" w:hAnsi="Calibri"/>
        </w:rPr>
        <w:t xml:space="preserve"> below.</w:t>
      </w:r>
      <w:r w:rsidR="0053665F">
        <w:rPr>
          <w:rStyle w:val="FootnoteReference"/>
          <w:rFonts w:ascii="Calibri" w:hAnsi="Calibri"/>
        </w:rPr>
        <w:footnoteReference w:id="41"/>
      </w:r>
    </w:p>
    <w:p w14:paraId="111A7F06" w14:textId="77777777" w:rsidR="003B6D6F" w:rsidRDefault="003B6D6F" w:rsidP="004927A7">
      <w:pPr>
        <w:pStyle w:val="ListParagraph"/>
        <w:numPr>
          <w:ilvl w:val="0"/>
          <w:numId w:val="19"/>
        </w:numPr>
        <w:jc w:val="both"/>
        <w:rPr>
          <w:rFonts w:ascii="Calibri" w:hAnsi="Calibri"/>
        </w:rPr>
      </w:pPr>
      <w:r w:rsidRPr="004927A7">
        <w:rPr>
          <w:rFonts w:ascii="Calibri" w:hAnsi="Calibri"/>
          <w:u w:val="single"/>
        </w:rPr>
        <w:t>Nucor Witness Dr. Dennis</w:t>
      </w:r>
      <w:r>
        <w:rPr>
          <w:rFonts w:ascii="Calibri" w:hAnsi="Calibri"/>
          <w:u w:val="single"/>
        </w:rPr>
        <w:t xml:space="preserve"> W.</w:t>
      </w:r>
      <w:r w:rsidRPr="004927A7">
        <w:rPr>
          <w:rFonts w:ascii="Calibri" w:hAnsi="Calibri"/>
          <w:u w:val="single"/>
        </w:rPr>
        <w:t xml:space="preserve"> Goins</w:t>
      </w:r>
      <w:r w:rsidRPr="004927A7">
        <w:rPr>
          <w:rFonts w:ascii="Calibri" w:hAnsi="Calibri"/>
        </w:rPr>
        <w:t xml:space="preserve"> – </w:t>
      </w:r>
      <w:r>
        <w:rPr>
          <w:rFonts w:ascii="Calibri" w:hAnsi="Calibri"/>
        </w:rPr>
        <w:t xml:space="preserve">Nucor </w:t>
      </w:r>
      <w:r w:rsidRPr="004927A7">
        <w:rPr>
          <w:rFonts w:ascii="Calibri" w:hAnsi="Calibri"/>
        </w:rPr>
        <w:t>Witness Goins recommends that Rider ELR be continued in i</w:t>
      </w:r>
      <w:r>
        <w:rPr>
          <w:rFonts w:ascii="Calibri" w:hAnsi="Calibri"/>
        </w:rPr>
        <w:t>t</w:t>
      </w:r>
      <w:r w:rsidRPr="004927A7">
        <w:rPr>
          <w:rFonts w:ascii="Calibri" w:hAnsi="Calibri"/>
        </w:rPr>
        <w:t xml:space="preserve">s current form – </w:t>
      </w:r>
      <w:r w:rsidRPr="004927A7">
        <w:rPr>
          <w:rFonts w:ascii="Calibri" w:hAnsi="Calibri"/>
          <w:i/>
          <w:iCs/>
        </w:rPr>
        <w:t>i.e.</w:t>
      </w:r>
      <w:r w:rsidRPr="004927A7">
        <w:rPr>
          <w:rFonts w:ascii="Calibri" w:hAnsi="Calibri"/>
        </w:rPr>
        <w:t>, there should be no reduction in the Rider ELR credits and FirstEnergy should remain as the CSP for Rider ELR customers.</w:t>
      </w:r>
      <w:r>
        <w:rPr>
          <w:rStyle w:val="FootnoteReference"/>
          <w:rFonts w:ascii="Calibri" w:hAnsi="Calibri"/>
        </w:rPr>
        <w:footnoteReference w:id="42"/>
      </w:r>
      <w:r w:rsidRPr="004927A7">
        <w:rPr>
          <w:rFonts w:ascii="Calibri" w:hAnsi="Calibri"/>
        </w:rPr>
        <w:t xml:space="preserve">  If the Commission determines that the credits </w:t>
      </w:r>
      <w:r>
        <w:rPr>
          <w:rFonts w:ascii="Calibri" w:hAnsi="Calibri"/>
        </w:rPr>
        <w:t>must</w:t>
      </w:r>
      <w:r w:rsidRPr="004927A7">
        <w:rPr>
          <w:rFonts w:ascii="Calibri" w:hAnsi="Calibri"/>
        </w:rPr>
        <w:t xml:space="preserve"> be reduced,</w:t>
      </w:r>
      <w:r>
        <w:rPr>
          <w:rFonts w:ascii="Calibri" w:hAnsi="Calibri"/>
        </w:rPr>
        <w:t xml:space="preserve"> however,</w:t>
      </w:r>
      <w:r w:rsidRPr="004927A7">
        <w:rPr>
          <w:rFonts w:ascii="Calibri" w:hAnsi="Calibri"/>
        </w:rPr>
        <w:t xml:space="preserve"> Dr. Goins recommends that they be reduced to no less than $8 per kW.</w:t>
      </w:r>
      <w:r>
        <w:rPr>
          <w:rStyle w:val="FootnoteReference"/>
          <w:rFonts w:ascii="Calibri" w:hAnsi="Calibri"/>
        </w:rPr>
        <w:footnoteReference w:id="43"/>
      </w:r>
    </w:p>
    <w:p w14:paraId="6B91DDD7" w14:textId="77777777" w:rsidR="003B6D6F" w:rsidRPr="00CB299B" w:rsidRDefault="003B6D6F" w:rsidP="00CB299B">
      <w:pPr>
        <w:pStyle w:val="ListParagraph"/>
        <w:jc w:val="both"/>
        <w:rPr>
          <w:rFonts w:ascii="Calibri" w:hAnsi="Calibri"/>
        </w:rPr>
      </w:pPr>
    </w:p>
    <w:p w14:paraId="2336B4C7" w14:textId="7439E1A1" w:rsidR="00206615" w:rsidRDefault="00826927" w:rsidP="004927A7">
      <w:pPr>
        <w:pStyle w:val="ListParagraph"/>
        <w:numPr>
          <w:ilvl w:val="0"/>
          <w:numId w:val="19"/>
        </w:numPr>
        <w:jc w:val="both"/>
        <w:rPr>
          <w:rFonts w:ascii="Calibri" w:hAnsi="Calibri"/>
        </w:rPr>
      </w:pPr>
      <w:r w:rsidRPr="00826927">
        <w:rPr>
          <w:rFonts w:ascii="Calibri" w:hAnsi="Calibri"/>
          <w:u w:val="single"/>
        </w:rPr>
        <w:t>Commission Staff Witness</w:t>
      </w:r>
      <w:r w:rsidR="00B67C1D">
        <w:rPr>
          <w:rFonts w:ascii="Calibri" w:hAnsi="Calibri"/>
          <w:u w:val="single"/>
        </w:rPr>
        <w:t xml:space="preserve"> Christopher</w:t>
      </w:r>
      <w:r w:rsidRPr="00826927">
        <w:rPr>
          <w:rFonts w:ascii="Calibri" w:hAnsi="Calibri"/>
          <w:u w:val="single"/>
        </w:rPr>
        <w:t xml:space="preserve"> Healey</w:t>
      </w:r>
      <w:r>
        <w:rPr>
          <w:rFonts w:ascii="Calibri" w:hAnsi="Calibri"/>
        </w:rPr>
        <w:t xml:space="preserve"> – Staff Witness Healey recommends that Rider ELR be retained, but that the </w:t>
      </w:r>
      <w:r w:rsidR="00B67C1D">
        <w:rPr>
          <w:rFonts w:ascii="Calibri" w:hAnsi="Calibri"/>
        </w:rPr>
        <w:t xml:space="preserve">aggregate </w:t>
      </w:r>
      <w:r>
        <w:rPr>
          <w:rFonts w:ascii="Calibri" w:hAnsi="Calibri"/>
        </w:rPr>
        <w:t>credits be reduce</w:t>
      </w:r>
      <w:r w:rsidR="0053665F">
        <w:rPr>
          <w:rFonts w:ascii="Calibri" w:hAnsi="Calibri"/>
        </w:rPr>
        <w:t>d to</w:t>
      </w:r>
      <w:r w:rsidR="003629CA">
        <w:rPr>
          <w:rFonts w:ascii="Calibri" w:hAnsi="Calibri"/>
        </w:rPr>
        <w:t xml:space="preserve"> $5 per kW in the first year of ESP V, and that they be further reduced to $4 per kW in years two through four, and reduced to $3 per kW in years five and six</w:t>
      </w:r>
      <w:r w:rsidR="00206615">
        <w:rPr>
          <w:rFonts w:ascii="Calibri" w:hAnsi="Calibri"/>
        </w:rPr>
        <w:t>.</w:t>
      </w:r>
      <w:r w:rsidR="003629CA">
        <w:rPr>
          <w:rStyle w:val="FootnoteReference"/>
          <w:rFonts w:ascii="Calibri" w:hAnsi="Calibri"/>
        </w:rPr>
        <w:footnoteReference w:id="44"/>
      </w:r>
      <w:r w:rsidR="00206615">
        <w:rPr>
          <w:rFonts w:ascii="Calibri" w:hAnsi="Calibri"/>
        </w:rPr>
        <w:t xml:space="preserve">  Witness Healey supports FirstEnergy’s recommendation to no longer serve as the CSP</w:t>
      </w:r>
      <w:r w:rsidR="00D01E8C">
        <w:rPr>
          <w:rFonts w:ascii="Calibri" w:hAnsi="Calibri"/>
        </w:rPr>
        <w:t xml:space="preserve">, </w:t>
      </w:r>
      <w:r w:rsidR="005A13E7">
        <w:rPr>
          <w:rFonts w:ascii="Calibri" w:hAnsi="Calibri"/>
        </w:rPr>
        <w:t>and</w:t>
      </w:r>
      <w:r w:rsidR="00D01E8C">
        <w:rPr>
          <w:rFonts w:ascii="Calibri" w:hAnsi="Calibri"/>
        </w:rPr>
        <w:t xml:space="preserve"> he testifies that OELC Witness Brakey’s proposal to postpone the transition to third-party CSPs until </w:t>
      </w:r>
      <w:r w:rsidR="00D01E8C" w:rsidRPr="004927A7">
        <w:rPr>
          <w:rFonts w:ascii="Calibri" w:hAnsi="Calibri"/>
        </w:rPr>
        <w:t>the 2025</w:t>
      </w:r>
      <w:r w:rsidR="00D01E8C">
        <w:rPr>
          <w:rFonts w:ascii="Calibri" w:hAnsi="Calibri"/>
        </w:rPr>
        <w:t>/</w:t>
      </w:r>
      <w:r w:rsidR="00D01E8C" w:rsidRPr="004927A7">
        <w:rPr>
          <w:rFonts w:ascii="Calibri" w:hAnsi="Calibri"/>
        </w:rPr>
        <w:t>2026 delivery year</w:t>
      </w:r>
      <w:r w:rsidR="00D01E8C">
        <w:rPr>
          <w:rFonts w:ascii="Calibri" w:hAnsi="Calibri"/>
        </w:rPr>
        <w:t xml:space="preserve"> (see below) is reasonable</w:t>
      </w:r>
      <w:r w:rsidR="00206615">
        <w:rPr>
          <w:rFonts w:ascii="Calibri" w:hAnsi="Calibri"/>
        </w:rPr>
        <w:t>.</w:t>
      </w:r>
      <w:r w:rsidR="007B754D">
        <w:rPr>
          <w:rStyle w:val="FootnoteReference"/>
          <w:rFonts w:ascii="Calibri" w:hAnsi="Calibri"/>
        </w:rPr>
        <w:footnoteReference w:id="45"/>
      </w:r>
    </w:p>
    <w:p w14:paraId="02078D28" w14:textId="77777777" w:rsidR="004927A7" w:rsidRDefault="004927A7" w:rsidP="004927A7">
      <w:pPr>
        <w:pStyle w:val="ListParagraph"/>
        <w:jc w:val="both"/>
        <w:rPr>
          <w:rFonts w:ascii="Calibri" w:hAnsi="Calibri"/>
        </w:rPr>
      </w:pPr>
    </w:p>
    <w:p w14:paraId="036969B4" w14:textId="0F7330B5" w:rsidR="004927A7" w:rsidRPr="004927A7" w:rsidRDefault="00206615" w:rsidP="004927A7">
      <w:pPr>
        <w:pStyle w:val="ListParagraph"/>
        <w:numPr>
          <w:ilvl w:val="0"/>
          <w:numId w:val="19"/>
        </w:numPr>
        <w:jc w:val="both"/>
        <w:rPr>
          <w:rFonts w:ascii="Calibri" w:hAnsi="Calibri"/>
        </w:rPr>
      </w:pPr>
      <w:r w:rsidRPr="004927A7">
        <w:rPr>
          <w:rFonts w:ascii="Calibri" w:hAnsi="Calibri"/>
          <w:u w:val="single"/>
        </w:rPr>
        <w:t>Ohio Energy Group Witness Kevin M</w:t>
      </w:r>
      <w:r w:rsidR="00592474">
        <w:rPr>
          <w:rFonts w:ascii="Calibri" w:hAnsi="Calibri"/>
          <w:u w:val="single"/>
        </w:rPr>
        <w:t>.</w:t>
      </w:r>
      <w:r w:rsidRPr="004927A7">
        <w:rPr>
          <w:rFonts w:ascii="Calibri" w:hAnsi="Calibri"/>
          <w:u w:val="single"/>
        </w:rPr>
        <w:t xml:space="preserve"> Murray</w:t>
      </w:r>
      <w:r w:rsidRPr="004927A7">
        <w:rPr>
          <w:rFonts w:ascii="Calibri" w:hAnsi="Calibri"/>
        </w:rPr>
        <w:t xml:space="preserve"> – OEG </w:t>
      </w:r>
      <w:r w:rsidR="00592474">
        <w:rPr>
          <w:rFonts w:ascii="Calibri" w:hAnsi="Calibri"/>
        </w:rPr>
        <w:t>W</w:t>
      </w:r>
      <w:r w:rsidRPr="004927A7">
        <w:rPr>
          <w:rFonts w:ascii="Calibri" w:hAnsi="Calibri"/>
        </w:rPr>
        <w:t>itness Murray recommends that the Commission adopt a four-year phase down of the Rider ELR credits, continuing the $10 per kW credit for the first year of the ESP then reducing the credit by $1 for each of the following years.</w:t>
      </w:r>
      <w:r>
        <w:rPr>
          <w:rStyle w:val="FootnoteReference"/>
          <w:rFonts w:ascii="Calibri" w:hAnsi="Calibri"/>
        </w:rPr>
        <w:footnoteReference w:id="46"/>
      </w:r>
      <w:r w:rsidRPr="004927A7">
        <w:rPr>
          <w:rFonts w:ascii="Calibri" w:hAnsi="Calibri"/>
        </w:rPr>
        <w:t xml:space="preserve">  Witness Murray recommends a four</w:t>
      </w:r>
      <w:r w:rsidR="00E07CCF">
        <w:rPr>
          <w:rFonts w:ascii="Calibri" w:hAnsi="Calibri"/>
        </w:rPr>
        <w:t>-</w:t>
      </w:r>
      <w:r w:rsidRPr="004927A7">
        <w:rPr>
          <w:rFonts w:ascii="Calibri" w:hAnsi="Calibri"/>
        </w:rPr>
        <w:t>year ESP</w:t>
      </w:r>
      <w:r w:rsidR="00143DBB">
        <w:rPr>
          <w:rFonts w:ascii="Calibri" w:hAnsi="Calibri"/>
        </w:rPr>
        <w:t>,</w:t>
      </w:r>
      <w:r w:rsidR="005A13E7">
        <w:rPr>
          <w:rStyle w:val="FootnoteReference"/>
          <w:rFonts w:ascii="Calibri" w:hAnsi="Calibri"/>
        </w:rPr>
        <w:footnoteReference w:id="47"/>
      </w:r>
      <w:r w:rsidRPr="004927A7">
        <w:rPr>
          <w:rFonts w:ascii="Calibri" w:hAnsi="Calibri"/>
        </w:rPr>
        <w:t xml:space="preserve"> </w:t>
      </w:r>
      <w:r w:rsidR="005A13E7">
        <w:rPr>
          <w:rFonts w:ascii="Calibri" w:hAnsi="Calibri"/>
        </w:rPr>
        <w:t xml:space="preserve">so </w:t>
      </w:r>
      <w:r w:rsidRPr="004927A7">
        <w:rPr>
          <w:rFonts w:ascii="Calibri" w:hAnsi="Calibri"/>
        </w:rPr>
        <w:t xml:space="preserve">the credit in the last year of the ESP would be $7 per kW.  Witness Murray agrees with FirstEnergy’s proposal that FirstEnergy no longer serve as the ESP, however, he opposes the requirement that Rider ELR customers </w:t>
      </w:r>
      <w:r w:rsidR="00143DBB">
        <w:rPr>
          <w:rFonts w:ascii="Calibri" w:hAnsi="Calibri"/>
        </w:rPr>
        <w:t xml:space="preserve">must </w:t>
      </w:r>
      <w:r w:rsidRPr="004927A7">
        <w:rPr>
          <w:rFonts w:ascii="Calibri" w:hAnsi="Calibri"/>
        </w:rPr>
        <w:t>participate in the PJM capacity markets, and instead proposes that Rider ELR customers should decide</w:t>
      </w:r>
      <w:r w:rsidR="00E07CCF">
        <w:rPr>
          <w:rFonts w:ascii="Calibri" w:hAnsi="Calibri"/>
        </w:rPr>
        <w:t xml:space="preserve"> for themselves</w:t>
      </w:r>
      <w:r w:rsidRPr="004927A7">
        <w:rPr>
          <w:rFonts w:ascii="Calibri" w:hAnsi="Calibri"/>
        </w:rPr>
        <w:t xml:space="preserve"> whether they wish to participate in PJM.</w:t>
      </w:r>
      <w:r>
        <w:rPr>
          <w:rStyle w:val="FootnoteReference"/>
          <w:rFonts w:ascii="Calibri" w:hAnsi="Calibri"/>
        </w:rPr>
        <w:footnoteReference w:id="48"/>
      </w:r>
      <w:r w:rsidRPr="004927A7">
        <w:rPr>
          <w:rFonts w:ascii="Calibri" w:hAnsi="Calibri"/>
        </w:rPr>
        <w:t xml:space="preserve">  To the extent such customers decide to participate in the PJM capacity markets, they would retain any revenue associated with that participation.</w:t>
      </w:r>
      <w:r w:rsidR="000A16D7">
        <w:rPr>
          <w:rStyle w:val="FootnoteReference"/>
          <w:rFonts w:ascii="Calibri" w:hAnsi="Calibri"/>
        </w:rPr>
        <w:footnoteReference w:id="49"/>
      </w:r>
    </w:p>
    <w:p w14:paraId="12EC0430" w14:textId="77777777" w:rsidR="004927A7" w:rsidRDefault="004927A7" w:rsidP="004927A7">
      <w:pPr>
        <w:pStyle w:val="ListParagraph"/>
        <w:jc w:val="both"/>
        <w:rPr>
          <w:rFonts w:ascii="Calibri" w:hAnsi="Calibri"/>
        </w:rPr>
      </w:pPr>
    </w:p>
    <w:p w14:paraId="78E87C5D" w14:textId="5488313F" w:rsidR="004927A7" w:rsidRPr="004927A7" w:rsidRDefault="00F51D5D" w:rsidP="004927A7">
      <w:pPr>
        <w:pStyle w:val="ListParagraph"/>
        <w:numPr>
          <w:ilvl w:val="0"/>
          <w:numId w:val="19"/>
        </w:numPr>
        <w:jc w:val="both"/>
        <w:rPr>
          <w:rFonts w:ascii="Calibri" w:hAnsi="Calibri"/>
        </w:rPr>
      </w:pPr>
      <w:r w:rsidRPr="004927A7">
        <w:rPr>
          <w:rFonts w:ascii="Calibri" w:hAnsi="Calibri"/>
          <w:u w:val="single"/>
        </w:rPr>
        <w:t>Ohio Energy Leadership Council Witness Matthew Brakey</w:t>
      </w:r>
      <w:r w:rsidRPr="004927A7">
        <w:rPr>
          <w:rFonts w:ascii="Calibri" w:hAnsi="Calibri"/>
        </w:rPr>
        <w:t xml:space="preserve"> – OELC Witness Brakey recommends that there be no reduction in the Rider ELR credits.</w:t>
      </w:r>
      <w:r>
        <w:rPr>
          <w:rStyle w:val="FootnoteReference"/>
          <w:rFonts w:ascii="Calibri" w:hAnsi="Calibri"/>
        </w:rPr>
        <w:footnoteReference w:id="50"/>
      </w:r>
      <w:r w:rsidRPr="004927A7">
        <w:rPr>
          <w:rFonts w:ascii="Calibri" w:hAnsi="Calibri"/>
        </w:rPr>
        <w:t xml:space="preserve">  Witness Brakey also recommends that if the Commission approves FirstEnergy’s proposal for ELR customers to participate in PJM through their own CSPs, the implementation of this change should be delayed until the June 1, 2025 through May 31, 2026 delivery year.</w:t>
      </w:r>
      <w:r>
        <w:rPr>
          <w:rStyle w:val="FootnoteReference"/>
          <w:rFonts w:ascii="Calibri" w:hAnsi="Calibri"/>
        </w:rPr>
        <w:footnoteReference w:id="51"/>
      </w:r>
    </w:p>
    <w:p w14:paraId="2DDFAC79" w14:textId="77777777" w:rsidR="004927A7" w:rsidRDefault="004927A7" w:rsidP="004927A7">
      <w:pPr>
        <w:pStyle w:val="ListParagraph"/>
        <w:jc w:val="both"/>
        <w:rPr>
          <w:rFonts w:ascii="Calibri" w:hAnsi="Calibri"/>
        </w:rPr>
      </w:pPr>
    </w:p>
    <w:p w14:paraId="601261A2" w14:textId="5120475A" w:rsidR="004927A7" w:rsidRPr="004927A7" w:rsidRDefault="004927A7" w:rsidP="004927A7">
      <w:pPr>
        <w:pStyle w:val="ListParagraph"/>
        <w:numPr>
          <w:ilvl w:val="0"/>
          <w:numId w:val="19"/>
        </w:numPr>
        <w:jc w:val="both"/>
        <w:rPr>
          <w:rFonts w:ascii="Calibri" w:hAnsi="Calibri"/>
        </w:rPr>
      </w:pPr>
      <w:r w:rsidRPr="004927A7">
        <w:rPr>
          <w:rFonts w:ascii="Calibri" w:hAnsi="Calibri"/>
          <w:u w:val="single"/>
        </w:rPr>
        <w:t xml:space="preserve">Ohio Manufacturers’ Association Energy Group </w:t>
      </w:r>
      <w:r w:rsidR="00622CE3">
        <w:rPr>
          <w:rFonts w:ascii="Calibri" w:hAnsi="Calibri"/>
          <w:u w:val="single"/>
        </w:rPr>
        <w:t xml:space="preserve">(“OMAEG”) </w:t>
      </w:r>
      <w:r w:rsidRPr="004927A7">
        <w:rPr>
          <w:rFonts w:ascii="Calibri" w:hAnsi="Calibri"/>
          <w:u w:val="single"/>
        </w:rPr>
        <w:t>Witness John A</w:t>
      </w:r>
      <w:r w:rsidRPr="00AF0865">
        <w:rPr>
          <w:rFonts w:ascii="Calibri" w:hAnsi="Calibri"/>
          <w:u w:val="single"/>
        </w:rPr>
        <w:t>. Seryak</w:t>
      </w:r>
      <w:r w:rsidRPr="004927A7">
        <w:rPr>
          <w:rFonts w:ascii="Calibri" w:hAnsi="Calibri"/>
        </w:rPr>
        <w:t xml:space="preserve"> – OMAEG Witness Seryak recommends that the Commission reject FirstEnergy’s </w:t>
      </w:r>
      <w:r w:rsidR="004E3BC6">
        <w:rPr>
          <w:rFonts w:ascii="Calibri" w:hAnsi="Calibri"/>
        </w:rPr>
        <w:t xml:space="preserve">proposal to continue Rider </w:t>
      </w:r>
      <w:r w:rsidRPr="004927A7">
        <w:rPr>
          <w:rFonts w:ascii="Calibri" w:hAnsi="Calibri"/>
        </w:rPr>
        <w:t>ELR but, if a Rider ELR program is allowed, the program should be modified to create reliability benefits targeted to the distribution and transmission systems.</w:t>
      </w:r>
      <w:r>
        <w:rPr>
          <w:rStyle w:val="FootnoteReference"/>
          <w:rFonts w:ascii="Calibri" w:hAnsi="Calibri"/>
        </w:rPr>
        <w:footnoteReference w:id="52"/>
      </w:r>
      <w:r w:rsidRPr="004927A7">
        <w:rPr>
          <w:rFonts w:ascii="Calibri" w:hAnsi="Calibri"/>
        </w:rPr>
        <w:t xml:space="preserve">  Witness Seryak’s testimony does not address the appropriate level of ELR credits or </w:t>
      </w:r>
      <w:r w:rsidR="00622CE3">
        <w:rPr>
          <w:rFonts w:ascii="Calibri" w:hAnsi="Calibri"/>
        </w:rPr>
        <w:t>whether FirstEnergy should serve as the CSP</w:t>
      </w:r>
      <w:r w:rsidRPr="004927A7">
        <w:rPr>
          <w:rFonts w:ascii="Calibri" w:hAnsi="Calibri"/>
        </w:rPr>
        <w:t xml:space="preserve">. </w:t>
      </w:r>
    </w:p>
    <w:p w14:paraId="3C674016" w14:textId="77777777" w:rsidR="004927A7" w:rsidRDefault="004927A7" w:rsidP="004927A7">
      <w:pPr>
        <w:pStyle w:val="ListParagraph"/>
        <w:jc w:val="both"/>
        <w:rPr>
          <w:rFonts w:ascii="Calibri" w:hAnsi="Calibri"/>
        </w:rPr>
      </w:pPr>
    </w:p>
    <w:p w14:paraId="054A0276" w14:textId="1E6986D3" w:rsidR="008147CA" w:rsidRPr="008C5840" w:rsidRDefault="00540EFE" w:rsidP="008C5840">
      <w:pPr>
        <w:spacing w:after="240"/>
        <w:ind w:left="2160" w:hanging="720"/>
        <w:jc w:val="both"/>
        <w:rPr>
          <w:rFonts w:ascii="Calibri" w:hAnsi="Calibri"/>
          <w:b/>
          <w:bCs/>
        </w:rPr>
      </w:pPr>
      <w:r w:rsidRPr="00540EFE">
        <w:rPr>
          <w:rFonts w:ascii="Calibri" w:hAnsi="Calibri"/>
          <w:b/>
          <w:bCs/>
        </w:rPr>
        <w:t>3.</w:t>
      </w:r>
      <w:r w:rsidRPr="00540EFE">
        <w:rPr>
          <w:rFonts w:ascii="Calibri" w:hAnsi="Calibri"/>
          <w:b/>
          <w:bCs/>
        </w:rPr>
        <w:tab/>
        <w:t xml:space="preserve">The Rider ELR credits should not </w:t>
      </w:r>
      <w:proofErr w:type="gramStart"/>
      <w:r w:rsidRPr="00540EFE">
        <w:rPr>
          <w:rFonts w:ascii="Calibri" w:hAnsi="Calibri"/>
          <w:b/>
          <w:bCs/>
        </w:rPr>
        <w:t>be reduced</w:t>
      </w:r>
      <w:proofErr w:type="gramEnd"/>
      <w:r w:rsidR="008C5840">
        <w:rPr>
          <w:rFonts w:ascii="Calibri" w:hAnsi="Calibri"/>
          <w:b/>
          <w:bCs/>
        </w:rPr>
        <w:fldChar w:fldCharType="begin"/>
      </w:r>
      <w:r w:rsidR="008C5840">
        <w:instrText xml:space="preserve"> TC "</w:instrText>
      </w:r>
      <w:bookmarkStart w:id="20" w:name="_Toc156549240"/>
      <w:bookmarkStart w:id="21" w:name="_Toc156549313"/>
      <w:r w:rsidR="008C5840" w:rsidRPr="0068575C">
        <w:rPr>
          <w:rFonts w:ascii="Calibri" w:hAnsi="Calibri"/>
          <w:b/>
          <w:bCs/>
        </w:rPr>
        <w:instrText>3.</w:instrText>
      </w:r>
      <w:r w:rsidR="008C5840" w:rsidRPr="0068575C">
        <w:rPr>
          <w:rFonts w:ascii="Calibri" w:hAnsi="Calibri"/>
          <w:b/>
          <w:bCs/>
        </w:rPr>
        <w:tab/>
        <w:instrText>The Rider ELR credits should not be reduced</w:instrText>
      </w:r>
      <w:bookmarkEnd w:id="20"/>
      <w:bookmarkEnd w:id="21"/>
      <w:r w:rsidR="008C5840">
        <w:instrText xml:space="preserve">" \f C \l "3" </w:instrText>
      </w:r>
      <w:r w:rsidR="008C5840">
        <w:rPr>
          <w:rFonts w:ascii="Calibri" w:hAnsi="Calibri"/>
          <w:b/>
          <w:bCs/>
        </w:rPr>
        <w:fldChar w:fldCharType="end"/>
      </w:r>
      <w:r w:rsidR="008147CA">
        <w:rPr>
          <w:rFonts w:ascii="Calibri" w:hAnsi="Calibri"/>
        </w:rPr>
        <w:t xml:space="preserve"> </w:t>
      </w:r>
    </w:p>
    <w:p w14:paraId="04DC0E55" w14:textId="66593DEE" w:rsidR="00540EFE" w:rsidRPr="00540EFE" w:rsidRDefault="008D1ED4" w:rsidP="008C5840">
      <w:pPr>
        <w:spacing w:after="240"/>
        <w:ind w:left="2880" w:hanging="720"/>
        <w:jc w:val="both"/>
        <w:rPr>
          <w:rFonts w:ascii="Calibri" w:hAnsi="Calibri"/>
          <w:b/>
          <w:bCs/>
        </w:rPr>
      </w:pPr>
      <w:r>
        <w:rPr>
          <w:rFonts w:ascii="Calibri" w:hAnsi="Calibri"/>
          <w:b/>
          <w:bCs/>
        </w:rPr>
        <w:t>a</w:t>
      </w:r>
      <w:r w:rsidR="00540EFE" w:rsidRPr="00540EFE">
        <w:rPr>
          <w:rFonts w:ascii="Calibri" w:hAnsi="Calibri"/>
          <w:b/>
          <w:bCs/>
        </w:rPr>
        <w:t>.</w:t>
      </w:r>
      <w:r w:rsidR="00540EFE" w:rsidRPr="00540EFE">
        <w:rPr>
          <w:rFonts w:ascii="Calibri" w:hAnsi="Calibri"/>
          <w:b/>
          <w:bCs/>
        </w:rPr>
        <w:tab/>
        <w:t>Tying the credit</w:t>
      </w:r>
      <w:r w:rsidR="001E7248">
        <w:rPr>
          <w:rFonts w:ascii="Calibri" w:hAnsi="Calibri"/>
          <w:b/>
          <w:bCs/>
        </w:rPr>
        <w:t>s</w:t>
      </w:r>
      <w:r w:rsidR="00540EFE" w:rsidRPr="00540EFE">
        <w:rPr>
          <w:rFonts w:ascii="Calibri" w:hAnsi="Calibri"/>
          <w:b/>
          <w:bCs/>
        </w:rPr>
        <w:t xml:space="preserve"> to short-run PJM market capacity prices is a flawed approach</w:t>
      </w:r>
      <w:r w:rsidR="008C5840">
        <w:rPr>
          <w:rFonts w:ascii="Calibri" w:hAnsi="Calibri"/>
          <w:b/>
          <w:bCs/>
        </w:rPr>
        <w:fldChar w:fldCharType="begin"/>
      </w:r>
      <w:r w:rsidR="008C5840">
        <w:instrText xml:space="preserve"> TC "</w:instrText>
      </w:r>
      <w:bookmarkStart w:id="22" w:name="_Toc156549241"/>
      <w:bookmarkStart w:id="23" w:name="_Toc156549314"/>
      <w:r w:rsidR="008C5840" w:rsidRPr="00562812">
        <w:rPr>
          <w:rFonts w:ascii="Calibri" w:hAnsi="Calibri"/>
          <w:b/>
          <w:bCs/>
        </w:rPr>
        <w:instrText>a.</w:instrText>
      </w:r>
      <w:r w:rsidR="008C5840" w:rsidRPr="00562812">
        <w:rPr>
          <w:rFonts w:ascii="Calibri" w:hAnsi="Calibri"/>
          <w:b/>
          <w:bCs/>
        </w:rPr>
        <w:tab/>
        <w:instrText>Tying the credits to short-run PJM market capacity prices is a flawed approach</w:instrText>
      </w:r>
      <w:bookmarkEnd w:id="22"/>
      <w:bookmarkEnd w:id="23"/>
      <w:r w:rsidR="008C5840">
        <w:instrText xml:space="preserve">" \f C \l "4" </w:instrText>
      </w:r>
      <w:r w:rsidR="008C5840">
        <w:rPr>
          <w:rFonts w:ascii="Calibri" w:hAnsi="Calibri"/>
          <w:b/>
          <w:bCs/>
        </w:rPr>
        <w:fldChar w:fldCharType="end"/>
      </w:r>
    </w:p>
    <w:p w14:paraId="5C5C3039" w14:textId="1ED40AE9" w:rsidR="001E7248" w:rsidRDefault="00540EFE" w:rsidP="009C66A6">
      <w:pPr>
        <w:spacing w:line="480" w:lineRule="auto"/>
        <w:jc w:val="both"/>
        <w:rPr>
          <w:rFonts w:ascii="Calibri" w:hAnsi="Calibri"/>
        </w:rPr>
      </w:pPr>
      <w:r>
        <w:rPr>
          <w:rFonts w:ascii="Calibri" w:hAnsi="Calibri"/>
        </w:rPr>
        <w:tab/>
        <w:t xml:space="preserve">FirstEnergy </w:t>
      </w:r>
      <w:r w:rsidR="005C4623">
        <w:rPr>
          <w:rFonts w:ascii="Calibri" w:hAnsi="Calibri"/>
        </w:rPr>
        <w:t>attempts to justify</w:t>
      </w:r>
      <w:r>
        <w:rPr>
          <w:rFonts w:ascii="Calibri" w:hAnsi="Calibri"/>
        </w:rPr>
        <w:t xml:space="preserve"> its proposed reduction in the ELR credits by explaining that the reduced credits better </w:t>
      </w:r>
      <w:r w:rsidR="001E7248">
        <w:rPr>
          <w:rFonts w:ascii="Calibri" w:hAnsi="Calibri"/>
        </w:rPr>
        <w:t>align the cost of the program with</w:t>
      </w:r>
      <w:r>
        <w:rPr>
          <w:rFonts w:ascii="Calibri" w:hAnsi="Calibri"/>
        </w:rPr>
        <w:t xml:space="preserve"> market capacity prices.</w:t>
      </w:r>
      <w:r w:rsidR="001E7248">
        <w:rPr>
          <w:rStyle w:val="FootnoteReference"/>
          <w:rFonts w:ascii="Calibri" w:hAnsi="Calibri"/>
        </w:rPr>
        <w:footnoteReference w:id="53"/>
      </w:r>
      <w:r w:rsidR="009F112B">
        <w:rPr>
          <w:rFonts w:ascii="Calibri" w:hAnsi="Calibri"/>
        </w:rPr>
        <w:t xml:space="preserve">  Staff Witness Healey similarly bases his credit reduction recommendation large</w:t>
      </w:r>
      <w:r w:rsidR="00826927">
        <w:rPr>
          <w:rFonts w:ascii="Calibri" w:hAnsi="Calibri"/>
        </w:rPr>
        <w:t>ly</w:t>
      </w:r>
      <w:r w:rsidR="009F112B">
        <w:rPr>
          <w:rFonts w:ascii="Calibri" w:hAnsi="Calibri"/>
        </w:rPr>
        <w:t xml:space="preserve"> on </w:t>
      </w:r>
      <w:r w:rsidR="005C4623">
        <w:rPr>
          <w:rFonts w:ascii="Calibri" w:hAnsi="Calibri"/>
        </w:rPr>
        <w:t xml:space="preserve">current </w:t>
      </w:r>
      <w:r w:rsidR="009F112B">
        <w:rPr>
          <w:rFonts w:ascii="Calibri" w:hAnsi="Calibri"/>
        </w:rPr>
        <w:t>market capacity prices.</w:t>
      </w:r>
      <w:r w:rsidR="009F112B">
        <w:rPr>
          <w:rStyle w:val="FootnoteReference"/>
          <w:rFonts w:ascii="Calibri" w:hAnsi="Calibri"/>
        </w:rPr>
        <w:footnoteReference w:id="54"/>
      </w:r>
      <w:r w:rsidR="001E7248">
        <w:rPr>
          <w:rFonts w:ascii="Calibri" w:hAnsi="Calibri"/>
        </w:rPr>
        <w:t xml:space="preserve">  However, tying the credits to short-run market capacity prices is problematic for a number of reasons.</w:t>
      </w:r>
    </w:p>
    <w:p w14:paraId="20290C8E" w14:textId="77777777" w:rsidR="006B18AF" w:rsidRDefault="001E7248" w:rsidP="00FF4DFB">
      <w:pPr>
        <w:spacing w:line="480" w:lineRule="auto"/>
        <w:jc w:val="both"/>
        <w:rPr>
          <w:rFonts w:ascii="Calibri" w:hAnsi="Calibri"/>
        </w:rPr>
      </w:pPr>
      <w:r>
        <w:rPr>
          <w:rFonts w:ascii="Calibri" w:hAnsi="Calibri"/>
        </w:rPr>
        <w:tab/>
        <w:t>To begin with, “a one-year snapshot of PJM capacity prices masks the volatility of those prices over time and provides minimal information regarding where those capacity prices will go during the eight-year term of ESP V.”</w:t>
      </w:r>
      <w:r>
        <w:rPr>
          <w:rStyle w:val="FootnoteReference"/>
          <w:rFonts w:ascii="Calibri" w:hAnsi="Calibri"/>
        </w:rPr>
        <w:footnoteReference w:id="55"/>
      </w:r>
      <w:r w:rsidR="0027555E">
        <w:rPr>
          <w:rFonts w:ascii="Calibri" w:hAnsi="Calibri"/>
        </w:rPr>
        <w:t xml:space="preserve">  Market capacity prices for the ATSI transmission zone have vacillated from $34.13 per MW-day </w:t>
      </w:r>
      <w:r w:rsidR="006A2107">
        <w:rPr>
          <w:rFonts w:ascii="Calibri" w:hAnsi="Calibri"/>
        </w:rPr>
        <w:t xml:space="preserve">to </w:t>
      </w:r>
      <w:r w:rsidR="0027555E">
        <w:rPr>
          <w:rFonts w:ascii="Calibri" w:hAnsi="Calibri"/>
        </w:rPr>
        <w:t>$171.33</w:t>
      </w:r>
      <w:r w:rsidR="006A2107">
        <w:rPr>
          <w:rFonts w:ascii="Calibri" w:hAnsi="Calibri"/>
        </w:rPr>
        <w:t xml:space="preserve"> per MW-day</w:t>
      </w:r>
      <w:r w:rsidR="0027555E">
        <w:rPr>
          <w:rFonts w:ascii="Calibri" w:hAnsi="Calibri"/>
        </w:rPr>
        <w:t xml:space="preserve"> for the delivery years in FirstEnergy’s ESP IV.</w:t>
      </w:r>
      <w:r w:rsidR="0027555E">
        <w:rPr>
          <w:rStyle w:val="FootnoteReference"/>
          <w:rFonts w:ascii="Calibri" w:hAnsi="Calibri"/>
        </w:rPr>
        <w:footnoteReference w:id="56"/>
      </w:r>
      <w:r w:rsidR="0027555E">
        <w:rPr>
          <w:rFonts w:ascii="Calibri" w:hAnsi="Calibri"/>
        </w:rPr>
        <w:t xml:space="preserve">  Excluding the last two delivery years of ESP IV, the average capacity price was around $124 per MW-day, which demonstrates the price suppression effect of extremely low capacity prices in recent PJM capacity auctions.</w:t>
      </w:r>
      <w:r w:rsidR="0027555E">
        <w:rPr>
          <w:rStyle w:val="FootnoteReference"/>
          <w:rFonts w:ascii="Calibri" w:hAnsi="Calibri"/>
        </w:rPr>
        <w:footnoteReference w:id="57"/>
      </w:r>
      <w:r w:rsidR="00FF4DFB">
        <w:rPr>
          <w:rFonts w:ascii="Calibri" w:hAnsi="Calibri"/>
        </w:rPr>
        <w:t xml:space="preserve">  </w:t>
      </w:r>
    </w:p>
    <w:p w14:paraId="53D9C7D0" w14:textId="426CAF1B" w:rsidR="006B18AF" w:rsidRDefault="006A2107" w:rsidP="00FF4DFB">
      <w:pPr>
        <w:spacing w:line="480" w:lineRule="auto"/>
        <w:ind w:firstLine="720"/>
        <w:jc w:val="both"/>
        <w:rPr>
          <w:rFonts w:ascii="Calibri" w:hAnsi="Calibri"/>
        </w:rPr>
      </w:pPr>
      <w:r>
        <w:rPr>
          <w:rFonts w:ascii="Calibri" w:hAnsi="Calibri"/>
        </w:rPr>
        <w:t xml:space="preserve">The </w:t>
      </w:r>
      <w:proofErr w:type="gramStart"/>
      <w:r>
        <w:rPr>
          <w:rFonts w:ascii="Calibri" w:hAnsi="Calibri"/>
        </w:rPr>
        <w:t>low capacity</w:t>
      </w:r>
      <w:proofErr w:type="gramEnd"/>
      <w:r>
        <w:rPr>
          <w:rFonts w:ascii="Calibri" w:hAnsi="Calibri"/>
        </w:rPr>
        <w:t xml:space="preserve"> price trend continued in the 2024/2025 base residual auction when ATSI zone transmission prices fell to $28.92 per MW-day.</w:t>
      </w:r>
      <w:r>
        <w:rPr>
          <w:rStyle w:val="FootnoteReference"/>
          <w:rFonts w:ascii="Calibri" w:hAnsi="Calibri"/>
        </w:rPr>
        <w:footnoteReference w:id="58"/>
      </w:r>
      <w:r w:rsidR="006B18AF">
        <w:rPr>
          <w:rFonts w:ascii="Calibri" w:hAnsi="Calibri"/>
        </w:rPr>
        <w:t xml:space="preserve">  </w:t>
      </w:r>
      <w:r w:rsidR="008F49FC">
        <w:rPr>
          <w:rFonts w:ascii="Calibri" w:hAnsi="Calibri"/>
        </w:rPr>
        <w:t>Nevertheless,</w:t>
      </w:r>
      <w:r w:rsidR="00FF4DFB">
        <w:rPr>
          <w:rFonts w:ascii="Calibri" w:hAnsi="Calibri"/>
        </w:rPr>
        <w:t xml:space="preserve"> </w:t>
      </w:r>
      <w:r w:rsidR="008D36A2">
        <w:rPr>
          <w:rFonts w:ascii="Calibri" w:hAnsi="Calibri"/>
        </w:rPr>
        <w:t xml:space="preserve">witnesses for </w:t>
      </w:r>
      <w:r w:rsidR="00FF4DFB">
        <w:rPr>
          <w:rFonts w:ascii="Calibri" w:hAnsi="Calibri"/>
        </w:rPr>
        <w:t xml:space="preserve">several </w:t>
      </w:r>
      <w:r w:rsidR="008D36A2">
        <w:rPr>
          <w:rFonts w:ascii="Calibri" w:hAnsi="Calibri"/>
        </w:rPr>
        <w:t>parties</w:t>
      </w:r>
      <w:r w:rsidR="00FF4DFB">
        <w:rPr>
          <w:rFonts w:ascii="Calibri" w:hAnsi="Calibri"/>
        </w:rPr>
        <w:t xml:space="preserve"> agree</w:t>
      </w:r>
      <w:r w:rsidR="008F49FC">
        <w:rPr>
          <w:rFonts w:ascii="Calibri" w:hAnsi="Calibri"/>
        </w:rPr>
        <w:t xml:space="preserve"> it is possible</w:t>
      </w:r>
      <w:r w:rsidR="00FF4DFB">
        <w:rPr>
          <w:rFonts w:ascii="Calibri" w:hAnsi="Calibri"/>
        </w:rPr>
        <w:t>, and perhaps even likely,</w:t>
      </w:r>
      <w:r w:rsidR="008F49FC">
        <w:rPr>
          <w:rFonts w:ascii="Calibri" w:hAnsi="Calibri"/>
        </w:rPr>
        <w:t xml:space="preserve"> that capacity prices could significantly increase over the course of ESP V.</w:t>
      </w:r>
      <w:r w:rsidR="00FA4ACA">
        <w:rPr>
          <w:rFonts w:ascii="Calibri" w:hAnsi="Calibri"/>
        </w:rPr>
        <w:t xml:space="preserve">  For example, Ohio Consumers</w:t>
      </w:r>
      <w:r w:rsidR="008D36A2">
        <w:rPr>
          <w:rFonts w:ascii="Calibri" w:hAnsi="Calibri"/>
        </w:rPr>
        <w:t>’</w:t>
      </w:r>
      <w:r w:rsidR="00FA4ACA">
        <w:rPr>
          <w:rFonts w:ascii="Calibri" w:hAnsi="Calibri"/>
        </w:rPr>
        <w:t xml:space="preserve"> Council</w:t>
      </w:r>
      <w:r w:rsidR="005C4623">
        <w:rPr>
          <w:rFonts w:ascii="Calibri" w:hAnsi="Calibri"/>
        </w:rPr>
        <w:t xml:space="preserve"> (“OCC”)</w:t>
      </w:r>
      <w:r w:rsidR="00FA4ACA">
        <w:rPr>
          <w:rFonts w:ascii="Calibri" w:hAnsi="Calibri"/>
        </w:rPr>
        <w:t xml:space="preserve"> Witness James</w:t>
      </w:r>
      <w:r w:rsidR="005C4623">
        <w:rPr>
          <w:rFonts w:ascii="Calibri" w:hAnsi="Calibri"/>
        </w:rPr>
        <w:t xml:space="preserve"> F.</w:t>
      </w:r>
      <w:r w:rsidR="00FA4ACA">
        <w:rPr>
          <w:rFonts w:ascii="Calibri" w:hAnsi="Calibri"/>
        </w:rPr>
        <w:t xml:space="preserve"> Wilson testifie</w:t>
      </w:r>
      <w:r w:rsidR="005C4623">
        <w:rPr>
          <w:rFonts w:ascii="Calibri" w:hAnsi="Calibri"/>
        </w:rPr>
        <w:t>d</w:t>
      </w:r>
      <w:r w:rsidR="00FA4ACA">
        <w:rPr>
          <w:rFonts w:ascii="Calibri" w:hAnsi="Calibri"/>
        </w:rPr>
        <w:t xml:space="preserve"> that “[r]ecent PJM capacity prices have been very low by historical standards, and future PJM capacity prices will likely be higher due to changes underway at PJM.”</w:t>
      </w:r>
      <w:r w:rsidR="008F49FC">
        <w:rPr>
          <w:rStyle w:val="FootnoteReference"/>
          <w:rFonts w:ascii="Calibri" w:hAnsi="Calibri"/>
        </w:rPr>
        <w:footnoteReference w:id="59"/>
      </w:r>
      <w:r w:rsidR="006B18AF">
        <w:rPr>
          <w:rFonts w:ascii="Calibri" w:hAnsi="Calibri"/>
        </w:rPr>
        <w:t xml:space="preserve">  These changes include “[a]n anticipated increase in retirements, with much of the replacement capacity being renewable wind and solar,” “[c]hanges to resource adequacy analysis to more fully capture winter risks,” and “[c]hanges to accreditation approaches to more accurately reflect capacity value, including changes to more fully capture winter fuel supply challenges for gas-fired resources.”</w:t>
      </w:r>
      <w:r w:rsidR="006B18AF">
        <w:rPr>
          <w:rStyle w:val="FootnoteReference"/>
          <w:rFonts w:ascii="Calibri" w:hAnsi="Calibri"/>
        </w:rPr>
        <w:footnoteReference w:id="60"/>
      </w:r>
      <w:r w:rsidR="008F49FC">
        <w:rPr>
          <w:rFonts w:ascii="Calibri" w:hAnsi="Calibri"/>
        </w:rPr>
        <w:t xml:space="preserve">  </w:t>
      </w:r>
    </w:p>
    <w:p w14:paraId="21268D1D" w14:textId="4FE32511" w:rsidR="00042EDC" w:rsidRDefault="006B18AF" w:rsidP="00FF4DFB">
      <w:pPr>
        <w:spacing w:line="480" w:lineRule="auto"/>
        <w:ind w:firstLine="720"/>
        <w:jc w:val="both"/>
        <w:rPr>
          <w:rFonts w:ascii="Calibri" w:hAnsi="Calibri"/>
        </w:rPr>
      </w:pPr>
      <w:r>
        <w:rPr>
          <w:rFonts w:ascii="Calibri" w:hAnsi="Calibri"/>
        </w:rPr>
        <w:t xml:space="preserve">Nucor Witness Dr. Goins also </w:t>
      </w:r>
      <w:r w:rsidR="005C4623">
        <w:rPr>
          <w:rFonts w:ascii="Calibri" w:hAnsi="Calibri"/>
        </w:rPr>
        <w:t>explained</w:t>
      </w:r>
      <w:r>
        <w:rPr>
          <w:rFonts w:ascii="Calibri" w:hAnsi="Calibri"/>
        </w:rPr>
        <w:t xml:space="preserve"> why the recent trend toward low market capacity prices might reverse itself soon</w:t>
      </w:r>
      <w:proofErr w:type="gramStart"/>
      <w:r>
        <w:rPr>
          <w:rFonts w:ascii="Calibri" w:hAnsi="Calibri"/>
        </w:rPr>
        <w:t xml:space="preserve">.  </w:t>
      </w:r>
      <w:proofErr w:type="gramEnd"/>
      <w:r w:rsidR="008F49FC">
        <w:rPr>
          <w:rFonts w:ascii="Calibri" w:hAnsi="Calibri"/>
        </w:rPr>
        <w:t>Along with capacity prices, capacity being offered into the auctions has decreased.</w:t>
      </w:r>
      <w:r w:rsidR="008F49FC">
        <w:rPr>
          <w:rStyle w:val="FootnoteReference"/>
          <w:rFonts w:ascii="Calibri" w:hAnsi="Calibri"/>
        </w:rPr>
        <w:footnoteReference w:id="61"/>
      </w:r>
      <w:r w:rsidR="008F49FC">
        <w:rPr>
          <w:rFonts w:ascii="Calibri" w:hAnsi="Calibri"/>
        </w:rPr>
        <w:t xml:space="preserve">  </w:t>
      </w:r>
      <w:r w:rsidR="00042EDC">
        <w:rPr>
          <w:rFonts w:ascii="Calibri" w:hAnsi="Calibri"/>
        </w:rPr>
        <w:t>R</w:t>
      </w:r>
      <w:r w:rsidR="008F49FC">
        <w:rPr>
          <w:rFonts w:ascii="Calibri" w:hAnsi="Calibri"/>
        </w:rPr>
        <w:t>ecent capacity prices have diverged significantly from the level indicated by the net cost of new entry</w:t>
      </w:r>
      <w:r w:rsidR="005B1B12">
        <w:rPr>
          <w:rFonts w:ascii="Calibri" w:hAnsi="Calibri"/>
        </w:rPr>
        <w:t xml:space="preserve"> (</w:t>
      </w:r>
      <w:r w:rsidR="005C4623">
        <w:rPr>
          <w:rFonts w:ascii="Calibri" w:hAnsi="Calibri"/>
        </w:rPr>
        <w:t>“</w:t>
      </w:r>
      <w:r w:rsidR="005B1B12">
        <w:rPr>
          <w:rFonts w:ascii="Calibri" w:hAnsi="Calibri"/>
        </w:rPr>
        <w:t>Net CONE</w:t>
      </w:r>
      <w:r w:rsidR="005C4623">
        <w:rPr>
          <w:rFonts w:ascii="Calibri" w:hAnsi="Calibri"/>
        </w:rPr>
        <w:t>”</w:t>
      </w:r>
      <w:r w:rsidR="005B1B12">
        <w:rPr>
          <w:rFonts w:ascii="Calibri" w:hAnsi="Calibri"/>
        </w:rPr>
        <w:t>)</w:t>
      </w:r>
      <w:r w:rsidR="008F49FC">
        <w:rPr>
          <w:rFonts w:ascii="Calibri" w:hAnsi="Calibri"/>
        </w:rPr>
        <w:t xml:space="preserve"> required to sustain a robust and reliable capacity resource base.</w:t>
      </w:r>
      <w:r w:rsidR="00576D78">
        <w:rPr>
          <w:rStyle w:val="FootnoteReference"/>
          <w:rFonts w:ascii="Calibri" w:hAnsi="Calibri"/>
        </w:rPr>
        <w:footnoteReference w:id="62"/>
      </w:r>
      <w:r w:rsidR="006B5947">
        <w:rPr>
          <w:rFonts w:ascii="Calibri" w:hAnsi="Calibri"/>
        </w:rPr>
        <w:t xml:space="preserve">  Specifically, </w:t>
      </w:r>
      <w:r w:rsidR="006B5947" w:rsidRPr="006B5947">
        <w:rPr>
          <w:rFonts w:asciiTheme="minorHAnsi" w:hAnsiTheme="minorHAnsi" w:cstheme="minorHAnsi"/>
        </w:rPr>
        <w:t>the ATSI Net CONE values used in the last four base residual auctions were $</w:t>
      </w:r>
      <w:r w:rsidR="00D52FC7">
        <w:rPr>
          <w:rFonts w:asciiTheme="minorHAnsi" w:hAnsiTheme="minorHAnsi" w:cstheme="minorHAnsi"/>
        </w:rPr>
        <w:t>306</w:t>
      </w:r>
      <w:r w:rsidR="006B5947" w:rsidRPr="006B5947">
        <w:rPr>
          <w:rFonts w:asciiTheme="minorHAnsi" w:hAnsiTheme="minorHAnsi" w:cstheme="minorHAnsi"/>
        </w:rPr>
        <w:t>.87 per MW-day, $230.50 per MW-day, $263.07 per MW-day, and $279.35 per MW-day, respectively.</w:t>
      </w:r>
      <w:r w:rsidR="006B5947">
        <w:rPr>
          <w:rStyle w:val="FootnoteReference"/>
          <w:rFonts w:asciiTheme="minorHAnsi" w:hAnsiTheme="minorHAnsi" w:cstheme="minorHAnsi"/>
        </w:rPr>
        <w:footnoteReference w:id="63"/>
      </w:r>
      <w:r w:rsidR="00042EDC">
        <w:rPr>
          <w:rFonts w:ascii="Calibri" w:hAnsi="Calibri"/>
        </w:rPr>
        <w:t xml:space="preserve">  </w:t>
      </w:r>
      <w:r w:rsidR="005C4623">
        <w:rPr>
          <w:rFonts w:ascii="Calibri" w:hAnsi="Calibri"/>
        </w:rPr>
        <w:t>The divergence of capacity prices from Net CONE</w:t>
      </w:r>
      <w:r w:rsidR="00042EDC">
        <w:rPr>
          <w:rFonts w:ascii="Calibri" w:hAnsi="Calibri"/>
        </w:rPr>
        <w:t>,</w:t>
      </w:r>
      <w:r w:rsidR="005C4623">
        <w:rPr>
          <w:rFonts w:ascii="Calibri" w:hAnsi="Calibri"/>
        </w:rPr>
        <w:t xml:space="preserve"> along with</w:t>
      </w:r>
      <w:r w:rsidR="00042EDC">
        <w:rPr>
          <w:rFonts w:ascii="Calibri" w:hAnsi="Calibri"/>
        </w:rPr>
        <w:t xml:space="preserve"> factors such as generation retirements, load growth tied to electrification, and increasing penetration of intermittent resources could raise reliability concerns which in turn could lead to an increase in capacity prices.</w:t>
      </w:r>
      <w:r w:rsidR="00042EDC">
        <w:rPr>
          <w:rStyle w:val="FootnoteReference"/>
          <w:rFonts w:ascii="Calibri" w:hAnsi="Calibri"/>
        </w:rPr>
        <w:footnoteReference w:id="64"/>
      </w:r>
    </w:p>
    <w:p w14:paraId="1D3DB80A" w14:textId="2B244577" w:rsidR="001979A9" w:rsidRDefault="001979A9" w:rsidP="00FF4DFB">
      <w:pPr>
        <w:spacing w:line="480" w:lineRule="auto"/>
        <w:ind w:firstLine="720"/>
        <w:jc w:val="both"/>
        <w:rPr>
          <w:rFonts w:ascii="Calibri" w:hAnsi="Calibri"/>
        </w:rPr>
      </w:pPr>
      <w:r>
        <w:rPr>
          <w:rFonts w:ascii="Calibri" w:hAnsi="Calibri"/>
        </w:rPr>
        <w:t>Similarly, OELC Witness Brakey testifie</w:t>
      </w:r>
      <w:r w:rsidR="004E0813">
        <w:rPr>
          <w:rFonts w:ascii="Calibri" w:hAnsi="Calibri"/>
        </w:rPr>
        <w:t>d</w:t>
      </w:r>
      <w:r>
        <w:rPr>
          <w:rFonts w:ascii="Calibri" w:hAnsi="Calibri"/>
        </w:rPr>
        <w:t xml:space="preserve"> that </w:t>
      </w:r>
      <w:r w:rsidR="006B5947">
        <w:rPr>
          <w:rFonts w:ascii="Calibri" w:hAnsi="Calibri"/>
        </w:rPr>
        <w:t>it is possible that capacity prices “could rise from current levels approaching or exceeding previous historical highs.”</w:t>
      </w:r>
      <w:r w:rsidR="006B5947">
        <w:rPr>
          <w:rStyle w:val="FootnoteReference"/>
          <w:rFonts w:ascii="Calibri" w:hAnsi="Calibri"/>
        </w:rPr>
        <w:footnoteReference w:id="65"/>
      </w:r>
      <w:r w:rsidR="006B5947">
        <w:rPr>
          <w:rFonts w:ascii="Calibri" w:hAnsi="Calibri"/>
        </w:rPr>
        <w:t xml:space="preserve">  As Witness Brakey explains:</w:t>
      </w:r>
    </w:p>
    <w:p w14:paraId="7D109FED" w14:textId="74E95DAA" w:rsidR="006B5947" w:rsidRDefault="006B5947" w:rsidP="006B5947">
      <w:pPr>
        <w:ind w:left="720" w:right="720"/>
        <w:jc w:val="both"/>
        <w:rPr>
          <w:rFonts w:ascii="Calibri" w:hAnsi="Calibri"/>
        </w:rPr>
      </w:pPr>
      <w:r>
        <w:rPr>
          <w:rFonts w:ascii="Calibri" w:hAnsi="Calibri"/>
        </w:rPr>
        <w:t>ATSI Zone capacity prices spiked in</w:t>
      </w:r>
      <w:r w:rsidR="00C73407">
        <w:rPr>
          <w:rFonts w:ascii="Calibri" w:hAnsi="Calibri"/>
        </w:rPr>
        <w:t xml:space="preserve"> </w:t>
      </w:r>
      <w:r>
        <w:rPr>
          <w:rFonts w:ascii="Calibri" w:hAnsi="Calibri"/>
        </w:rPr>
        <w:t>th</w:t>
      </w:r>
      <w:r w:rsidR="00C73407">
        <w:rPr>
          <w:rFonts w:ascii="Calibri" w:hAnsi="Calibri"/>
        </w:rPr>
        <w:t>e</w:t>
      </w:r>
      <w:r>
        <w:rPr>
          <w:rFonts w:ascii="Calibri" w:hAnsi="Calibri"/>
        </w:rPr>
        <w:t xml:space="preserve"> 2015/2016 delivery year largely because of coal plant closures in response to Mercury Air Toxics Standards as issued by the United States Environmental Protection Agency</w:t>
      </w:r>
      <w:proofErr w:type="gramStart"/>
      <w:r>
        <w:rPr>
          <w:rFonts w:ascii="Calibri" w:hAnsi="Calibri"/>
        </w:rPr>
        <w:t xml:space="preserve">.  </w:t>
      </w:r>
      <w:proofErr w:type="gramEnd"/>
      <w:r>
        <w:rPr>
          <w:rFonts w:ascii="Calibri" w:hAnsi="Calibri"/>
        </w:rPr>
        <w:t>This capacity price was particularly high relative to prior depressed capacity prices from auctions that were held during the Great Recession</w:t>
      </w:r>
      <w:proofErr w:type="gramStart"/>
      <w:r>
        <w:rPr>
          <w:rFonts w:ascii="Calibri" w:hAnsi="Calibri"/>
        </w:rPr>
        <w:t xml:space="preserve">.  </w:t>
      </w:r>
      <w:proofErr w:type="gramEnd"/>
      <w:r>
        <w:rPr>
          <w:rFonts w:ascii="Calibri" w:hAnsi="Calibri"/>
        </w:rPr>
        <w:t>Today we find ourselves in eerily similar circumstances</w:t>
      </w:r>
      <w:proofErr w:type="gramStart"/>
      <w:r>
        <w:rPr>
          <w:rFonts w:ascii="Calibri" w:hAnsi="Calibri"/>
        </w:rPr>
        <w:t xml:space="preserve">.  </w:t>
      </w:r>
      <w:proofErr w:type="gramEnd"/>
      <w:r>
        <w:rPr>
          <w:rFonts w:ascii="Calibri" w:hAnsi="Calibri"/>
        </w:rPr>
        <w:t xml:space="preserve">We once again are pivoting from </w:t>
      </w:r>
      <w:proofErr w:type="gramStart"/>
      <w:r>
        <w:rPr>
          <w:rFonts w:ascii="Calibri" w:hAnsi="Calibri"/>
        </w:rPr>
        <w:t>rather calamitous</w:t>
      </w:r>
      <w:proofErr w:type="gramEnd"/>
      <w:r>
        <w:rPr>
          <w:rFonts w:ascii="Calibri" w:hAnsi="Calibri"/>
        </w:rPr>
        <w:t xml:space="preserve"> economic conditions; this time, a situation largely created from the aftermath of a global pandemic during which time business operations were interrupted, thereby disrupting the consumption of normalized amounts of power.  However, unlike </w:t>
      </w:r>
      <w:r w:rsidR="00D52FC7">
        <w:rPr>
          <w:rFonts w:ascii="Calibri" w:hAnsi="Calibri"/>
        </w:rPr>
        <w:t xml:space="preserve">in </w:t>
      </w:r>
      <w:r>
        <w:rPr>
          <w:rFonts w:ascii="Calibri" w:hAnsi="Calibri"/>
        </w:rPr>
        <w:t>the Great Recession, we are seeing stagflation forces that are putting upward price pressure on just about everything</w:t>
      </w:r>
      <w:proofErr w:type="gramStart"/>
      <w:r>
        <w:rPr>
          <w:rFonts w:ascii="Calibri" w:hAnsi="Calibri"/>
        </w:rPr>
        <w:t xml:space="preserve">.  </w:t>
      </w:r>
      <w:proofErr w:type="gramEnd"/>
      <w:r>
        <w:rPr>
          <w:rFonts w:ascii="Calibri" w:hAnsi="Calibri"/>
        </w:rPr>
        <w:t xml:space="preserve">Also </w:t>
      </w:r>
      <w:proofErr w:type="gramStart"/>
      <w:r>
        <w:rPr>
          <w:rFonts w:ascii="Calibri" w:hAnsi="Calibri"/>
        </w:rPr>
        <w:t>similar to</w:t>
      </w:r>
      <w:proofErr w:type="gramEnd"/>
      <w:r>
        <w:rPr>
          <w:rFonts w:ascii="Calibri" w:hAnsi="Calibri"/>
        </w:rPr>
        <w:t xml:space="preserve"> 2015/16, we are seeing a dramatic shift away from legacy generation sources.  Although </w:t>
      </w:r>
      <w:proofErr w:type="gramStart"/>
      <w:r>
        <w:rPr>
          <w:rFonts w:ascii="Calibri" w:hAnsi="Calibri"/>
        </w:rPr>
        <w:t>perhaps even</w:t>
      </w:r>
      <w:proofErr w:type="gramEnd"/>
      <w:r>
        <w:rPr>
          <w:rFonts w:ascii="Calibri" w:hAnsi="Calibri"/>
        </w:rPr>
        <w:t xml:space="preserve"> worse now than then, we are moving to generation sources that are non-dispatchable and notoriously unreliable to serve as capacity resources.</w:t>
      </w:r>
      <w:r>
        <w:rPr>
          <w:rStyle w:val="FootnoteReference"/>
          <w:rFonts w:ascii="Calibri" w:hAnsi="Calibri"/>
        </w:rPr>
        <w:footnoteReference w:id="66"/>
      </w:r>
    </w:p>
    <w:p w14:paraId="47AC12CE" w14:textId="77777777" w:rsidR="006B5947" w:rsidRDefault="006B5947" w:rsidP="006B5947">
      <w:pPr>
        <w:ind w:left="720" w:right="720"/>
        <w:jc w:val="both"/>
        <w:rPr>
          <w:rFonts w:ascii="Calibri" w:hAnsi="Calibri"/>
        </w:rPr>
      </w:pPr>
    </w:p>
    <w:p w14:paraId="36839FF7" w14:textId="5811D0F2" w:rsidR="00CE5670" w:rsidRDefault="000729E4" w:rsidP="0027555E">
      <w:pPr>
        <w:spacing w:line="480" w:lineRule="auto"/>
        <w:ind w:firstLine="720"/>
        <w:jc w:val="both"/>
        <w:rPr>
          <w:rFonts w:ascii="Calibri" w:hAnsi="Calibri"/>
        </w:rPr>
      </w:pPr>
      <w:r>
        <w:rPr>
          <w:rFonts w:ascii="Calibri" w:hAnsi="Calibri"/>
        </w:rPr>
        <w:t>For all these reasons</w:t>
      </w:r>
      <w:r w:rsidR="00042EDC">
        <w:rPr>
          <w:rFonts w:ascii="Calibri" w:hAnsi="Calibri"/>
        </w:rPr>
        <w:t>, using today’s historically</w:t>
      </w:r>
      <w:r w:rsidR="004C13D2">
        <w:rPr>
          <w:rFonts w:ascii="Calibri" w:hAnsi="Calibri"/>
        </w:rPr>
        <w:t xml:space="preserve"> </w:t>
      </w:r>
      <w:proofErr w:type="gramStart"/>
      <w:r w:rsidR="00042EDC">
        <w:rPr>
          <w:rFonts w:ascii="Calibri" w:hAnsi="Calibri"/>
        </w:rPr>
        <w:t>low capacity</w:t>
      </w:r>
      <w:proofErr w:type="gramEnd"/>
      <w:r w:rsidR="00042EDC">
        <w:rPr>
          <w:rFonts w:ascii="Calibri" w:hAnsi="Calibri"/>
        </w:rPr>
        <w:t xml:space="preserve"> prices as the benchmark for setting the Rider ELR credit</w:t>
      </w:r>
      <w:r>
        <w:rPr>
          <w:rFonts w:ascii="Calibri" w:hAnsi="Calibri"/>
        </w:rPr>
        <w:t xml:space="preserve"> </w:t>
      </w:r>
      <w:r w:rsidR="00042EDC">
        <w:rPr>
          <w:rFonts w:ascii="Calibri" w:hAnsi="Calibri"/>
        </w:rPr>
        <w:t>is flawed and shortsighted.</w:t>
      </w:r>
    </w:p>
    <w:p w14:paraId="4EE164FB" w14:textId="18F78EF0" w:rsidR="005C1DFA" w:rsidRDefault="000729E4" w:rsidP="0027555E">
      <w:pPr>
        <w:spacing w:line="480" w:lineRule="auto"/>
        <w:ind w:firstLine="720"/>
        <w:jc w:val="both"/>
        <w:rPr>
          <w:rFonts w:ascii="Calibri" w:hAnsi="Calibri"/>
        </w:rPr>
      </w:pPr>
      <w:r>
        <w:rPr>
          <w:rFonts w:ascii="Calibri" w:hAnsi="Calibri"/>
        </w:rPr>
        <w:t>An</w:t>
      </w:r>
      <w:r w:rsidR="00254032">
        <w:rPr>
          <w:rFonts w:ascii="Calibri" w:hAnsi="Calibri"/>
        </w:rPr>
        <w:t xml:space="preserve">other </w:t>
      </w:r>
      <w:r>
        <w:rPr>
          <w:rFonts w:ascii="Calibri" w:hAnsi="Calibri"/>
        </w:rPr>
        <w:t xml:space="preserve">problem with </w:t>
      </w:r>
      <w:r w:rsidR="00CE5670">
        <w:rPr>
          <w:rFonts w:ascii="Calibri" w:hAnsi="Calibri"/>
        </w:rPr>
        <w:t>looking only at recent capacity prices</w:t>
      </w:r>
      <w:r>
        <w:rPr>
          <w:rFonts w:ascii="Calibri" w:hAnsi="Calibri"/>
        </w:rPr>
        <w:t xml:space="preserve"> is that </w:t>
      </w:r>
      <w:r w:rsidR="00CE5670">
        <w:rPr>
          <w:rFonts w:ascii="Calibri" w:hAnsi="Calibri"/>
        </w:rPr>
        <w:t>such prices</w:t>
      </w:r>
      <w:r>
        <w:rPr>
          <w:rFonts w:ascii="Calibri" w:hAnsi="Calibri"/>
        </w:rPr>
        <w:t xml:space="preserve"> </w:t>
      </w:r>
      <w:r w:rsidR="00254032">
        <w:rPr>
          <w:rFonts w:ascii="Calibri" w:hAnsi="Calibri"/>
        </w:rPr>
        <w:t xml:space="preserve">relate to only one facet of Rider ELR – specifically, </w:t>
      </w:r>
      <w:r>
        <w:rPr>
          <w:rFonts w:ascii="Calibri" w:hAnsi="Calibri"/>
        </w:rPr>
        <w:t>the</w:t>
      </w:r>
      <w:r w:rsidR="00254032">
        <w:rPr>
          <w:rFonts w:ascii="Calibri" w:hAnsi="Calibri"/>
        </w:rPr>
        <w:t xml:space="preserve"> use of Rider ELR load as a capacity/reliability resource in PJM</w:t>
      </w:r>
      <w:proofErr w:type="gramStart"/>
      <w:r>
        <w:rPr>
          <w:rFonts w:ascii="Calibri" w:hAnsi="Calibri"/>
        </w:rPr>
        <w:t xml:space="preserve">.  </w:t>
      </w:r>
      <w:proofErr w:type="gramEnd"/>
      <w:r>
        <w:rPr>
          <w:rFonts w:ascii="Calibri" w:hAnsi="Calibri"/>
        </w:rPr>
        <w:t>As noted above, Rider ELR provides an additional reliability benefit since the FirstEnergy utilities can curtail Rider ELR load separate and apart from PJM to address local emergencies</w:t>
      </w:r>
      <w:proofErr w:type="gramStart"/>
      <w:r>
        <w:rPr>
          <w:rFonts w:ascii="Calibri" w:hAnsi="Calibri"/>
        </w:rPr>
        <w:t xml:space="preserve">.  </w:t>
      </w:r>
      <w:proofErr w:type="gramEnd"/>
      <w:r>
        <w:rPr>
          <w:rFonts w:ascii="Calibri" w:hAnsi="Calibri"/>
        </w:rPr>
        <w:t>And Rider ELR also provides an important economic development benefit</w:t>
      </w:r>
      <w:proofErr w:type="gramStart"/>
      <w:r>
        <w:rPr>
          <w:rFonts w:ascii="Calibri" w:hAnsi="Calibri"/>
        </w:rPr>
        <w:t xml:space="preserve">.  </w:t>
      </w:r>
      <w:proofErr w:type="gramEnd"/>
      <w:r>
        <w:rPr>
          <w:rFonts w:ascii="Calibri" w:hAnsi="Calibri"/>
        </w:rPr>
        <w:t xml:space="preserve">These additional Rider ELR benefits </w:t>
      </w:r>
      <w:proofErr w:type="gramStart"/>
      <w:r>
        <w:rPr>
          <w:rFonts w:ascii="Calibri" w:hAnsi="Calibri"/>
        </w:rPr>
        <w:t>are not reflected</w:t>
      </w:r>
      <w:proofErr w:type="gramEnd"/>
      <w:r>
        <w:rPr>
          <w:rFonts w:ascii="Calibri" w:hAnsi="Calibri"/>
        </w:rPr>
        <w:t xml:space="preserve"> in PJM capacity prices,</w:t>
      </w:r>
      <w:r w:rsidR="00AE5047">
        <w:rPr>
          <w:rStyle w:val="FootnoteReference"/>
          <w:rFonts w:ascii="Calibri" w:hAnsi="Calibri"/>
        </w:rPr>
        <w:footnoteReference w:id="67"/>
      </w:r>
      <w:r>
        <w:rPr>
          <w:rFonts w:ascii="Calibri" w:hAnsi="Calibri"/>
        </w:rPr>
        <w:t xml:space="preserve"> and, although FirstEnergy recognizes that Rider ELR provides these benefits, FirstEnergy did not quantify them in developing its credit proposal.</w:t>
      </w:r>
    </w:p>
    <w:p w14:paraId="7362AA96" w14:textId="72C029C0" w:rsidR="005C1DFA" w:rsidRPr="00445829" w:rsidRDefault="008D1ED4" w:rsidP="008C5840">
      <w:pPr>
        <w:spacing w:after="240"/>
        <w:ind w:left="2880" w:hanging="720"/>
        <w:jc w:val="both"/>
        <w:rPr>
          <w:rFonts w:ascii="Calibri" w:hAnsi="Calibri"/>
          <w:b/>
          <w:bCs/>
        </w:rPr>
      </w:pPr>
      <w:r>
        <w:rPr>
          <w:rFonts w:ascii="Calibri" w:hAnsi="Calibri"/>
          <w:b/>
          <w:bCs/>
        </w:rPr>
        <w:t>b</w:t>
      </w:r>
      <w:r w:rsidR="005C1DFA" w:rsidRPr="00445829">
        <w:rPr>
          <w:rFonts w:ascii="Calibri" w:hAnsi="Calibri"/>
          <w:b/>
          <w:bCs/>
        </w:rPr>
        <w:t>.</w:t>
      </w:r>
      <w:r w:rsidR="005C1DFA" w:rsidRPr="00445829">
        <w:rPr>
          <w:rFonts w:ascii="Calibri" w:hAnsi="Calibri"/>
          <w:b/>
          <w:bCs/>
        </w:rPr>
        <w:tab/>
        <w:t>A stable and robust Rider ELR credit is critical to retaining Rider ELR customers over the term of the ESP</w:t>
      </w:r>
      <w:r w:rsidR="008C5840">
        <w:rPr>
          <w:rFonts w:ascii="Calibri" w:hAnsi="Calibri"/>
          <w:b/>
          <w:bCs/>
        </w:rPr>
        <w:fldChar w:fldCharType="begin"/>
      </w:r>
      <w:r w:rsidR="008C5840">
        <w:instrText xml:space="preserve"> TC "</w:instrText>
      </w:r>
      <w:bookmarkStart w:id="24" w:name="_Toc156549242"/>
      <w:bookmarkStart w:id="25" w:name="_Toc156549315"/>
      <w:r w:rsidR="008C5840" w:rsidRPr="00FF3FE2">
        <w:rPr>
          <w:rFonts w:ascii="Calibri" w:hAnsi="Calibri"/>
          <w:b/>
          <w:bCs/>
        </w:rPr>
        <w:instrText>b.</w:instrText>
      </w:r>
      <w:r w:rsidR="008C5840" w:rsidRPr="00FF3FE2">
        <w:rPr>
          <w:rFonts w:ascii="Calibri" w:hAnsi="Calibri"/>
          <w:b/>
          <w:bCs/>
        </w:rPr>
        <w:tab/>
        <w:instrText>A stable and robust Rider ELR credit is critical to retaining Rider ELR customers over the term of the ESP</w:instrText>
      </w:r>
      <w:bookmarkEnd w:id="24"/>
      <w:bookmarkEnd w:id="25"/>
      <w:r w:rsidR="008C5840">
        <w:instrText xml:space="preserve">" \f C \l "4" </w:instrText>
      </w:r>
      <w:r w:rsidR="008C5840">
        <w:rPr>
          <w:rFonts w:ascii="Calibri" w:hAnsi="Calibri"/>
          <w:b/>
          <w:bCs/>
        </w:rPr>
        <w:fldChar w:fldCharType="end"/>
      </w:r>
    </w:p>
    <w:p w14:paraId="4DC1ADB3" w14:textId="79C2A00B" w:rsidR="00445829" w:rsidRDefault="00445829" w:rsidP="005C1DFA">
      <w:pPr>
        <w:spacing w:line="480" w:lineRule="auto"/>
        <w:jc w:val="both"/>
        <w:rPr>
          <w:rFonts w:ascii="Calibri" w:hAnsi="Calibri"/>
        </w:rPr>
      </w:pPr>
      <w:r>
        <w:rPr>
          <w:rFonts w:ascii="Calibri" w:hAnsi="Calibri"/>
        </w:rPr>
        <w:tab/>
        <w:t>Under FirstEnergy’s proposal, the total Rider ELR credits would decrease each year through the term of the ESP, until the credits are only $3 per kW, 70% lower than the credits today</w:t>
      </w:r>
      <w:proofErr w:type="gramStart"/>
      <w:r>
        <w:rPr>
          <w:rFonts w:ascii="Calibri" w:hAnsi="Calibri"/>
        </w:rPr>
        <w:t xml:space="preserve">.  </w:t>
      </w:r>
      <w:proofErr w:type="gramEnd"/>
      <w:r>
        <w:rPr>
          <w:rFonts w:ascii="Calibri" w:hAnsi="Calibri"/>
        </w:rPr>
        <w:t>The risk is that, as the credits decrease, customers may choose not to participate in the program</w:t>
      </w:r>
      <w:proofErr w:type="gramStart"/>
      <w:r>
        <w:rPr>
          <w:rFonts w:ascii="Calibri" w:hAnsi="Calibri"/>
        </w:rPr>
        <w:t xml:space="preserve">.  </w:t>
      </w:r>
      <w:proofErr w:type="gramEnd"/>
      <w:r>
        <w:rPr>
          <w:rFonts w:ascii="Calibri" w:hAnsi="Calibri"/>
        </w:rPr>
        <w:t>As Nucor Witness Dr. Goins testifie</w:t>
      </w:r>
      <w:r w:rsidR="009A2672">
        <w:rPr>
          <w:rFonts w:ascii="Calibri" w:hAnsi="Calibri"/>
        </w:rPr>
        <w:t>d</w:t>
      </w:r>
      <w:r>
        <w:rPr>
          <w:rFonts w:ascii="Calibri" w:hAnsi="Calibri"/>
        </w:rPr>
        <w:t>:</w:t>
      </w:r>
    </w:p>
    <w:p w14:paraId="552968A2" w14:textId="0A6F231A" w:rsidR="00445829" w:rsidRDefault="00445829" w:rsidP="001D742B">
      <w:pPr>
        <w:ind w:left="720" w:right="720"/>
        <w:jc w:val="both"/>
        <w:rPr>
          <w:rFonts w:ascii="Calibri" w:hAnsi="Calibri"/>
        </w:rPr>
      </w:pPr>
      <w:r>
        <w:rPr>
          <w:rFonts w:ascii="Calibri" w:hAnsi="Calibri"/>
        </w:rPr>
        <w:t>Customers are less likely to make a long-term commitment to be interruptible (including accepting the costs and risks associated with such a commitment) if an interruptible credit they receive varies dramatically from year to year</w:t>
      </w:r>
      <w:proofErr w:type="gramStart"/>
      <w:r>
        <w:rPr>
          <w:rFonts w:ascii="Calibri" w:hAnsi="Calibri"/>
        </w:rPr>
        <w:t xml:space="preserve">.  </w:t>
      </w:r>
      <w:proofErr w:type="gramEnd"/>
      <w:r>
        <w:rPr>
          <w:rFonts w:ascii="Calibri" w:hAnsi="Calibri"/>
        </w:rPr>
        <w:t>A stable credit is the best way to secure a long-term commitment from energy-intensive industrial customers willing to be interruptible</w:t>
      </w:r>
      <w:proofErr w:type="gramStart"/>
      <w:r>
        <w:rPr>
          <w:rFonts w:ascii="Calibri" w:hAnsi="Calibri"/>
        </w:rPr>
        <w:t xml:space="preserve">.  </w:t>
      </w:r>
      <w:proofErr w:type="gramEnd"/>
      <w:r>
        <w:rPr>
          <w:rFonts w:ascii="Calibri" w:hAnsi="Calibri"/>
        </w:rPr>
        <w:t xml:space="preserve">In addition, FirstEnergy’s proposal to “phase down Rider ELR” will </w:t>
      </w:r>
      <w:proofErr w:type="gramStart"/>
      <w:r>
        <w:rPr>
          <w:rFonts w:ascii="Calibri" w:hAnsi="Calibri"/>
        </w:rPr>
        <w:t>likely cause</w:t>
      </w:r>
      <w:proofErr w:type="gramEnd"/>
      <w:r>
        <w:rPr>
          <w:rFonts w:ascii="Calibri" w:hAnsi="Calibri"/>
        </w:rPr>
        <w:t xml:space="preserve"> existing EL</w:t>
      </w:r>
      <w:r w:rsidR="005A0890">
        <w:rPr>
          <w:rFonts w:ascii="Calibri" w:hAnsi="Calibri"/>
        </w:rPr>
        <w:t>R</w:t>
      </w:r>
      <w:r>
        <w:rPr>
          <w:rFonts w:ascii="Calibri" w:hAnsi="Calibri"/>
        </w:rPr>
        <w:t xml:space="preserve"> customers to consider leaving Rider ELR altogether – especially in the later years of ESP V when curtailable credits fall to their lowest levels.</w:t>
      </w:r>
      <w:r>
        <w:rPr>
          <w:rStyle w:val="FootnoteReference"/>
          <w:rFonts w:ascii="Calibri" w:hAnsi="Calibri"/>
        </w:rPr>
        <w:footnoteReference w:id="68"/>
      </w:r>
    </w:p>
    <w:p w14:paraId="26077946" w14:textId="77777777" w:rsidR="001D742B" w:rsidRDefault="001D742B" w:rsidP="001D742B">
      <w:pPr>
        <w:ind w:left="720" w:right="720"/>
        <w:jc w:val="both"/>
        <w:rPr>
          <w:rFonts w:ascii="Calibri" w:hAnsi="Calibri"/>
        </w:rPr>
      </w:pPr>
    </w:p>
    <w:p w14:paraId="520E7DA8" w14:textId="144263A8" w:rsidR="00445829" w:rsidRDefault="001D742B" w:rsidP="005C1DFA">
      <w:pPr>
        <w:spacing w:line="480" w:lineRule="auto"/>
        <w:jc w:val="both"/>
        <w:rPr>
          <w:rFonts w:ascii="Calibri" w:hAnsi="Calibri"/>
        </w:rPr>
      </w:pPr>
      <w:r>
        <w:rPr>
          <w:rFonts w:ascii="Calibri" w:hAnsi="Calibri"/>
        </w:rPr>
        <w:tab/>
      </w:r>
      <w:r w:rsidR="00BA4CCD">
        <w:rPr>
          <w:rFonts w:ascii="Calibri" w:hAnsi="Calibri"/>
        </w:rPr>
        <w:t xml:space="preserve">In other words, </w:t>
      </w:r>
      <w:proofErr w:type="gramStart"/>
      <w:r w:rsidR="00BA4CCD">
        <w:rPr>
          <w:rFonts w:ascii="Calibri" w:hAnsi="Calibri"/>
        </w:rPr>
        <w:t>in order to</w:t>
      </w:r>
      <w:proofErr w:type="gramEnd"/>
      <w:r w:rsidR="00BA4CCD">
        <w:rPr>
          <w:rFonts w:ascii="Calibri" w:hAnsi="Calibri"/>
        </w:rPr>
        <w:t xml:space="preserve"> ensure </w:t>
      </w:r>
      <w:r w:rsidR="00595C34">
        <w:rPr>
          <w:rFonts w:ascii="Calibri" w:hAnsi="Calibri"/>
        </w:rPr>
        <w:t xml:space="preserve">sustained, </w:t>
      </w:r>
      <w:r w:rsidR="00BA4CCD">
        <w:rPr>
          <w:rFonts w:ascii="Calibri" w:hAnsi="Calibri"/>
        </w:rPr>
        <w:t xml:space="preserve">long-term participation in the Rider ELR program, the </w:t>
      </w:r>
      <w:r>
        <w:rPr>
          <w:rFonts w:ascii="Calibri" w:hAnsi="Calibri"/>
        </w:rPr>
        <w:t xml:space="preserve">Rider ELR credits need to be high enough to incentivize customers to </w:t>
      </w:r>
      <w:r w:rsidR="009A2672">
        <w:rPr>
          <w:rFonts w:ascii="Calibri" w:hAnsi="Calibri"/>
        </w:rPr>
        <w:t xml:space="preserve">absorb the risk and </w:t>
      </w:r>
      <w:r>
        <w:rPr>
          <w:rFonts w:ascii="Calibri" w:hAnsi="Calibri"/>
        </w:rPr>
        <w:t xml:space="preserve">stay </w:t>
      </w:r>
      <w:r w:rsidR="00BA4CCD">
        <w:rPr>
          <w:rFonts w:ascii="Calibri" w:hAnsi="Calibri"/>
        </w:rPr>
        <w:t>in the program</w:t>
      </w:r>
      <w:r w:rsidR="00595C34">
        <w:rPr>
          <w:rFonts w:ascii="Calibri" w:hAnsi="Calibri"/>
        </w:rPr>
        <w:t xml:space="preserve"> through the term of the ESP</w:t>
      </w:r>
      <w:r>
        <w:rPr>
          <w:rFonts w:ascii="Calibri" w:hAnsi="Calibri"/>
        </w:rPr>
        <w:t>.  FirstEnergy</w:t>
      </w:r>
      <w:r w:rsidR="00595C34">
        <w:rPr>
          <w:rFonts w:ascii="Calibri" w:hAnsi="Calibri"/>
        </w:rPr>
        <w:t>, however,</w:t>
      </w:r>
      <w:r>
        <w:rPr>
          <w:rFonts w:ascii="Calibri" w:hAnsi="Calibri"/>
        </w:rPr>
        <w:t xml:space="preserve"> did no analysis or evaluation to determine what level</w:t>
      </w:r>
      <w:r w:rsidR="009A2672">
        <w:rPr>
          <w:rFonts w:ascii="Calibri" w:hAnsi="Calibri"/>
        </w:rPr>
        <w:t xml:space="preserve"> of credit reduction may cause</w:t>
      </w:r>
      <w:r>
        <w:rPr>
          <w:rFonts w:ascii="Calibri" w:hAnsi="Calibri"/>
        </w:rPr>
        <w:t xml:space="preserve"> Rider ELR customers </w:t>
      </w:r>
      <w:r w:rsidR="009A2672">
        <w:rPr>
          <w:rFonts w:ascii="Calibri" w:hAnsi="Calibri"/>
        </w:rPr>
        <w:t>to</w:t>
      </w:r>
      <w:r>
        <w:rPr>
          <w:rFonts w:ascii="Calibri" w:hAnsi="Calibri"/>
        </w:rPr>
        <w:t xml:space="preserve"> leave the program.</w:t>
      </w:r>
      <w:r>
        <w:rPr>
          <w:rStyle w:val="FootnoteReference"/>
          <w:rFonts w:ascii="Calibri" w:hAnsi="Calibri"/>
        </w:rPr>
        <w:footnoteReference w:id="69"/>
      </w:r>
      <w:r>
        <w:rPr>
          <w:rFonts w:ascii="Calibri" w:hAnsi="Calibri"/>
        </w:rPr>
        <w:t xml:space="preserve">  </w:t>
      </w:r>
      <w:r w:rsidR="00595C34">
        <w:rPr>
          <w:rFonts w:ascii="Calibri" w:hAnsi="Calibri"/>
        </w:rPr>
        <w:t xml:space="preserve">While </w:t>
      </w:r>
      <w:r>
        <w:rPr>
          <w:rFonts w:ascii="Calibri" w:hAnsi="Calibri"/>
        </w:rPr>
        <w:t>Rider ELR membership has held fairly constant at the current level of credits</w:t>
      </w:r>
      <w:r w:rsidR="00595C34">
        <w:rPr>
          <w:rFonts w:ascii="Calibri" w:hAnsi="Calibri"/>
        </w:rPr>
        <w:t xml:space="preserve">, </w:t>
      </w:r>
      <w:r>
        <w:rPr>
          <w:rFonts w:ascii="Calibri" w:hAnsi="Calibri"/>
        </w:rPr>
        <w:t>there is no evidence to demonstrate that customers will continue to participate in the program if the credits are significantly reduced.</w:t>
      </w:r>
      <w:r w:rsidR="00445829">
        <w:rPr>
          <w:rFonts w:ascii="Calibri" w:hAnsi="Calibri"/>
        </w:rPr>
        <w:t xml:space="preserve"> </w:t>
      </w:r>
    </w:p>
    <w:p w14:paraId="0D2DED17" w14:textId="38AF8DBC" w:rsidR="001D742B" w:rsidRDefault="00595C34" w:rsidP="00595C34">
      <w:pPr>
        <w:spacing w:line="480" w:lineRule="auto"/>
        <w:ind w:firstLine="720"/>
        <w:jc w:val="both"/>
        <w:rPr>
          <w:rFonts w:ascii="Calibri" w:hAnsi="Calibri"/>
        </w:rPr>
      </w:pPr>
      <w:r>
        <w:rPr>
          <w:rFonts w:ascii="Calibri" w:hAnsi="Calibri"/>
        </w:rPr>
        <w:t xml:space="preserve">FirstEnergy Witness McMillen suggests that, although the Rider ELR credits are being cut, ELR customers may be able to gain additional revenue streams from participating in the capacity market and other markets in PJM through their own CSPs, which could </w:t>
      </w:r>
      <w:r w:rsidR="005A0D7A">
        <w:rPr>
          <w:rFonts w:ascii="Calibri" w:hAnsi="Calibri"/>
        </w:rPr>
        <w:t xml:space="preserve">incentivize </w:t>
      </w:r>
      <w:r>
        <w:rPr>
          <w:rFonts w:ascii="Calibri" w:hAnsi="Calibri"/>
        </w:rPr>
        <w:t>customers to continue participating in the ELR program.</w:t>
      </w:r>
      <w:r>
        <w:rPr>
          <w:rStyle w:val="FootnoteReference"/>
          <w:rFonts w:ascii="Calibri" w:hAnsi="Calibri"/>
        </w:rPr>
        <w:footnoteReference w:id="70"/>
      </w:r>
      <w:r w:rsidR="00DD3A06">
        <w:rPr>
          <w:rFonts w:ascii="Calibri" w:hAnsi="Calibri"/>
        </w:rPr>
        <w:t xml:space="preserve">  However, Witness McMillen also </w:t>
      </w:r>
      <w:r w:rsidR="00A4320A">
        <w:rPr>
          <w:rFonts w:ascii="Calibri" w:hAnsi="Calibri"/>
        </w:rPr>
        <w:t>stated</w:t>
      </w:r>
      <w:r w:rsidR="00DD3A06">
        <w:rPr>
          <w:rFonts w:ascii="Calibri" w:hAnsi="Calibri"/>
        </w:rPr>
        <w:t xml:space="preserve"> that he did not quantify the amount of potential PJM revenues and </w:t>
      </w:r>
      <w:r w:rsidR="00A4320A">
        <w:rPr>
          <w:rFonts w:ascii="Calibri" w:hAnsi="Calibri"/>
        </w:rPr>
        <w:t xml:space="preserve">acknowledged </w:t>
      </w:r>
      <w:r w:rsidR="00DD3A06">
        <w:rPr>
          <w:rFonts w:ascii="Calibri" w:hAnsi="Calibri"/>
        </w:rPr>
        <w:t>that the level of these revenues is unknown.</w:t>
      </w:r>
      <w:r w:rsidR="00DD3A06">
        <w:rPr>
          <w:rStyle w:val="FootnoteReference"/>
          <w:rFonts w:ascii="Calibri" w:hAnsi="Calibri"/>
        </w:rPr>
        <w:footnoteReference w:id="71"/>
      </w:r>
      <w:r>
        <w:rPr>
          <w:rFonts w:ascii="Calibri" w:hAnsi="Calibri"/>
        </w:rPr>
        <w:t xml:space="preserve">  </w:t>
      </w:r>
      <w:r w:rsidR="004943D6">
        <w:rPr>
          <w:rFonts w:ascii="Calibri" w:hAnsi="Calibri"/>
        </w:rPr>
        <w:t>PJM</w:t>
      </w:r>
      <w:r w:rsidR="001D742B">
        <w:rPr>
          <w:rFonts w:ascii="Calibri" w:hAnsi="Calibri"/>
        </w:rPr>
        <w:t xml:space="preserve"> payments will </w:t>
      </w:r>
      <w:r w:rsidR="008A48C8">
        <w:rPr>
          <w:rFonts w:ascii="Calibri" w:hAnsi="Calibri"/>
        </w:rPr>
        <w:t>change</w:t>
      </w:r>
      <w:r w:rsidR="001D742B">
        <w:rPr>
          <w:rFonts w:ascii="Calibri" w:hAnsi="Calibri"/>
        </w:rPr>
        <w:t xml:space="preserve"> from year to year</w:t>
      </w:r>
      <w:r w:rsidR="004943D6">
        <w:rPr>
          <w:rFonts w:ascii="Calibri" w:hAnsi="Calibri"/>
        </w:rPr>
        <w:t xml:space="preserve"> and, as demonstrated above, capacity prices are volatile and can vary significantly from year to year and over more extended periods of time.  As a result, relying on </w:t>
      </w:r>
      <w:r w:rsidR="00CD74FC">
        <w:rPr>
          <w:rFonts w:ascii="Calibri" w:hAnsi="Calibri"/>
        </w:rPr>
        <w:t xml:space="preserve">unknown and variable </w:t>
      </w:r>
      <w:r w:rsidR="004943D6">
        <w:rPr>
          <w:rFonts w:ascii="Calibri" w:hAnsi="Calibri"/>
        </w:rPr>
        <w:t>PJM market payments is a poor substitute for a stable credit</w:t>
      </w:r>
      <w:r w:rsidR="00CD74FC">
        <w:rPr>
          <w:rFonts w:ascii="Calibri" w:hAnsi="Calibri"/>
        </w:rPr>
        <w:t xml:space="preserve"> (assuming it is high enough)</w:t>
      </w:r>
      <w:r w:rsidR="004943D6">
        <w:rPr>
          <w:rFonts w:ascii="Calibri" w:hAnsi="Calibri"/>
        </w:rPr>
        <w:t xml:space="preserve"> that the ELR customer knows will be in effect for the term of the ESP</w:t>
      </w:r>
      <w:r w:rsidR="00CD74FC">
        <w:rPr>
          <w:rFonts w:ascii="Calibri" w:hAnsi="Calibri"/>
        </w:rPr>
        <w:t>, and that the customer will be able to count on for planning and budgeting purposes</w:t>
      </w:r>
      <w:proofErr w:type="gramStart"/>
      <w:r w:rsidR="00CD74FC">
        <w:rPr>
          <w:rFonts w:ascii="Calibri" w:hAnsi="Calibri"/>
        </w:rPr>
        <w:t xml:space="preserve">.  </w:t>
      </w:r>
      <w:proofErr w:type="gramEnd"/>
      <w:r w:rsidR="00CD74FC">
        <w:rPr>
          <w:rFonts w:ascii="Calibri" w:hAnsi="Calibri"/>
        </w:rPr>
        <w:t>Maintaining the current $10 per kW aggregate credit is the best way to ensure</w:t>
      </w:r>
      <w:r w:rsidR="008A48C8">
        <w:rPr>
          <w:rFonts w:ascii="Calibri" w:hAnsi="Calibri"/>
        </w:rPr>
        <w:t xml:space="preserve"> rate certainty and predictability for Rider ELR customers, and</w:t>
      </w:r>
      <w:r w:rsidR="00CD74FC">
        <w:rPr>
          <w:rFonts w:ascii="Calibri" w:hAnsi="Calibri"/>
        </w:rPr>
        <w:t xml:space="preserve"> the continued participation </w:t>
      </w:r>
      <w:r w:rsidR="008A48C8">
        <w:rPr>
          <w:rFonts w:ascii="Calibri" w:hAnsi="Calibri"/>
        </w:rPr>
        <w:t xml:space="preserve">by these customers </w:t>
      </w:r>
      <w:r w:rsidR="00CD74FC">
        <w:rPr>
          <w:rFonts w:ascii="Calibri" w:hAnsi="Calibri"/>
        </w:rPr>
        <w:t xml:space="preserve">in the program for the </w:t>
      </w:r>
      <w:r w:rsidR="008A48C8">
        <w:rPr>
          <w:rFonts w:ascii="Calibri" w:hAnsi="Calibri"/>
        </w:rPr>
        <w:t xml:space="preserve">full </w:t>
      </w:r>
      <w:r w:rsidR="00CD74FC">
        <w:rPr>
          <w:rFonts w:ascii="Calibri" w:hAnsi="Calibri"/>
        </w:rPr>
        <w:t>term of the next ESP.</w:t>
      </w:r>
    </w:p>
    <w:p w14:paraId="3FE9D90A" w14:textId="3DDC084C" w:rsidR="005A0890" w:rsidRPr="007C741C" w:rsidRDefault="008D1ED4" w:rsidP="008E6EC0">
      <w:pPr>
        <w:keepNext/>
        <w:spacing w:after="240"/>
        <w:ind w:left="2880" w:hanging="720"/>
        <w:jc w:val="both"/>
        <w:rPr>
          <w:rFonts w:ascii="Calibri" w:hAnsi="Calibri"/>
          <w:b/>
          <w:bCs/>
        </w:rPr>
      </w:pPr>
      <w:r>
        <w:rPr>
          <w:rFonts w:ascii="Calibri" w:hAnsi="Calibri"/>
          <w:b/>
          <w:bCs/>
        </w:rPr>
        <w:t>c</w:t>
      </w:r>
      <w:r w:rsidR="005A0890" w:rsidRPr="007C741C">
        <w:rPr>
          <w:rFonts w:ascii="Calibri" w:hAnsi="Calibri"/>
          <w:b/>
          <w:bCs/>
        </w:rPr>
        <w:t>.</w:t>
      </w:r>
      <w:r w:rsidR="005A0890" w:rsidRPr="007C741C">
        <w:rPr>
          <w:rFonts w:ascii="Calibri" w:hAnsi="Calibri"/>
          <w:b/>
          <w:bCs/>
        </w:rPr>
        <w:tab/>
        <w:t xml:space="preserve">A significant reduction in the credit risks customers leaving the ELR program at a time when retaining interruptible load is more important </w:t>
      </w:r>
      <w:r w:rsidR="008E6EC0" w:rsidRPr="007C741C">
        <w:rPr>
          <w:rFonts w:ascii="Calibri" w:hAnsi="Calibri"/>
          <w:b/>
          <w:bCs/>
        </w:rPr>
        <w:t>than</w:t>
      </w:r>
      <w:r w:rsidR="005A0890" w:rsidRPr="007C741C">
        <w:rPr>
          <w:rFonts w:ascii="Calibri" w:hAnsi="Calibri"/>
          <w:b/>
          <w:bCs/>
        </w:rPr>
        <w:t xml:space="preserve"> ever</w:t>
      </w:r>
      <w:r w:rsidR="008C5840">
        <w:rPr>
          <w:rFonts w:ascii="Calibri" w:hAnsi="Calibri"/>
          <w:b/>
          <w:bCs/>
        </w:rPr>
        <w:fldChar w:fldCharType="begin"/>
      </w:r>
      <w:r w:rsidR="008C5840">
        <w:instrText xml:space="preserve"> TC "</w:instrText>
      </w:r>
      <w:bookmarkStart w:id="26" w:name="_Toc156549243"/>
      <w:bookmarkStart w:id="27" w:name="_Toc156549316"/>
      <w:r w:rsidR="008C5840" w:rsidRPr="00B77004">
        <w:rPr>
          <w:rFonts w:ascii="Calibri" w:hAnsi="Calibri"/>
          <w:b/>
          <w:bCs/>
        </w:rPr>
        <w:instrText>c.</w:instrText>
      </w:r>
      <w:r w:rsidR="008C5840" w:rsidRPr="00B77004">
        <w:rPr>
          <w:rFonts w:ascii="Calibri" w:hAnsi="Calibri"/>
          <w:b/>
          <w:bCs/>
        </w:rPr>
        <w:tab/>
        <w:instrText>A significant reduction in the credit risks customers leaving the ELR program at a time when retaining interruptible load is more important then ever</w:instrText>
      </w:r>
      <w:bookmarkEnd w:id="26"/>
      <w:bookmarkEnd w:id="27"/>
      <w:r w:rsidR="008C5840">
        <w:instrText xml:space="preserve">" \f C \l "4" </w:instrText>
      </w:r>
      <w:r w:rsidR="008C5840">
        <w:rPr>
          <w:rFonts w:ascii="Calibri" w:hAnsi="Calibri"/>
          <w:b/>
          <w:bCs/>
        </w:rPr>
        <w:fldChar w:fldCharType="end"/>
      </w:r>
    </w:p>
    <w:p w14:paraId="5C6CE983" w14:textId="2AAEC312" w:rsidR="007C741C" w:rsidRDefault="007C741C" w:rsidP="008E6EC0">
      <w:pPr>
        <w:keepNext/>
        <w:spacing w:line="480" w:lineRule="auto"/>
        <w:jc w:val="both"/>
        <w:rPr>
          <w:rFonts w:ascii="Calibri" w:hAnsi="Calibri"/>
        </w:rPr>
      </w:pPr>
      <w:r>
        <w:rPr>
          <w:rFonts w:ascii="Calibri" w:hAnsi="Calibri"/>
        </w:rPr>
        <w:tab/>
      </w:r>
      <w:r w:rsidR="00447D14">
        <w:rPr>
          <w:rFonts w:ascii="Calibri" w:hAnsi="Calibri"/>
        </w:rPr>
        <w:t xml:space="preserve">Like much of the country, the PJM region is </w:t>
      </w:r>
      <w:proofErr w:type="gramStart"/>
      <w:r w:rsidR="00447D14">
        <w:rPr>
          <w:rFonts w:ascii="Calibri" w:hAnsi="Calibri"/>
        </w:rPr>
        <w:t>in the midst of</w:t>
      </w:r>
      <w:proofErr w:type="gramEnd"/>
      <w:r w:rsidR="00447D14">
        <w:rPr>
          <w:rFonts w:ascii="Calibri" w:hAnsi="Calibri"/>
        </w:rPr>
        <w:t xml:space="preserve"> an energy transition.  Traditional base load generation units are being retired, and at the same time, more intermittent non-thermal generating sources are being built.</w:t>
      </w:r>
      <w:r w:rsidR="007F399E">
        <w:rPr>
          <w:rStyle w:val="FootnoteReference"/>
          <w:rFonts w:ascii="Calibri" w:hAnsi="Calibri"/>
        </w:rPr>
        <w:footnoteReference w:id="72"/>
      </w:r>
      <w:r w:rsidR="00C318DF">
        <w:rPr>
          <w:rFonts w:ascii="Calibri" w:hAnsi="Calibri"/>
        </w:rPr>
        <w:t xml:space="preserve">  In addition to the changes occurring on the supply side in the energy markets, there is also an expectation of</w:t>
      </w:r>
      <w:r w:rsidR="007F399E">
        <w:rPr>
          <w:rFonts w:ascii="Calibri" w:hAnsi="Calibri"/>
        </w:rPr>
        <w:t xml:space="preserve"> load growth due to the expansion of data centers in PJM</w:t>
      </w:r>
      <w:r w:rsidR="007F399E">
        <w:rPr>
          <w:rStyle w:val="FootnoteReference"/>
          <w:rFonts w:ascii="Calibri" w:hAnsi="Calibri"/>
        </w:rPr>
        <w:footnoteReference w:id="73"/>
      </w:r>
      <w:r w:rsidR="007F399E">
        <w:rPr>
          <w:rFonts w:ascii="Calibri" w:hAnsi="Calibri"/>
        </w:rPr>
        <w:t xml:space="preserve"> and</w:t>
      </w:r>
      <w:r w:rsidR="00C318DF">
        <w:rPr>
          <w:rFonts w:ascii="Calibri" w:hAnsi="Calibri"/>
        </w:rPr>
        <w:t xml:space="preserve"> increasing demand related to electrification.</w:t>
      </w:r>
      <w:r w:rsidR="00C318DF">
        <w:rPr>
          <w:rStyle w:val="FootnoteReference"/>
          <w:rFonts w:ascii="Calibri" w:hAnsi="Calibri"/>
        </w:rPr>
        <w:footnoteReference w:id="74"/>
      </w:r>
      <w:r w:rsidR="00C318DF">
        <w:rPr>
          <w:rFonts w:ascii="Calibri" w:hAnsi="Calibri"/>
        </w:rPr>
        <w:t xml:space="preserve">  </w:t>
      </w:r>
      <w:r w:rsidR="00447D14">
        <w:rPr>
          <w:rFonts w:ascii="Calibri" w:hAnsi="Calibri"/>
        </w:rPr>
        <w:t>PJM has expressed concerns about the impacts on system reliability from this transition, including the impacts on the region’s reserve margin if load growth and generati</w:t>
      </w:r>
      <w:r w:rsidR="004E3BC6">
        <w:rPr>
          <w:rFonts w:ascii="Calibri" w:hAnsi="Calibri"/>
        </w:rPr>
        <w:t>on</w:t>
      </w:r>
      <w:r w:rsidR="00447D14">
        <w:rPr>
          <w:rFonts w:ascii="Calibri" w:hAnsi="Calibri"/>
        </w:rPr>
        <w:t xml:space="preserve"> retirements outpace the entry of new resources into PJM markets.</w:t>
      </w:r>
      <w:r w:rsidR="00447D14">
        <w:rPr>
          <w:rStyle w:val="FootnoteReference"/>
          <w:rFonts w:ascii="Calibri" w:hAnsi="Calibri"/>
        </w:rPr>
        <w:footnoteReference w:id="75"/>
      </w:r>
      <w:r w:rsidR="00626C36">
        <w:rPr>
          <w:rFonts w:ascii="Calibri" w:hAnsi="Calibri"/>
        </w:rPr>
        <w:t xml:space="preserve">  Similarly, PJM’s market monitor has raised concerns about whether new gas-fired and renewable generation resources will be able to replace retiring thermal capacity in PJM between now and 2030.</w:t>
      </w:r>
      <w:r w:rsidR="00626C36">
        <w:rPr>
          <w:rStyle w:val="FootnoteReference"/>
          <w:rFonts w:ascii="Calibri" w:hAnsi="Calibri"/>
        </w:rPr>
        <w:footnoteReference w:id="76"/>
      </w:r>
      <w:r w:rsidR="00995752">
        <w:rPr>
          <w:rFonts w:ascii="Calibri" w:hAnsi="Calibri"/>
        </w:rPr>
        <w:t xml:space="preserve">  According to OEG Witness Murray, PJM recently explained that “the accelerated retirement of thermal generation is outpacing the growth of new dispatchable generation and when combined with increased load, there is a substantial risk that PJM will not have adequate resources to maintain reliability in the future.”</w:t>
      </w:r>
      <w:r w:rsidR="00995752">
        <w:rPr>
          <w:rStyle w:val="FootnoteReference"/>
          <w:rFonts w:ascii="Calibri" w:hAnsi="Calibri"/>
        </w:rPr>
        <w:footnoteReference w:id="77"/>
      </w:r>
      <w:r w:rsidR="00740522">
        <w:rPr>
          <w:rFonts w:ascii="Calibri" w:hAnsi="Calibri"/>
        </w:rPr>
        <w:t xml:space="preserve">  Witness Murray’s testimony further detail</w:t>
      </w:r>
      <w:r w:rsidR="00254CBD">
        <w:rPr>
          <w:rFonts w:ascii="Calibri" w:hAnsi="Calibri"/>
        </w:rPr>
        <w:t>ed</w:t>
      </w:r>
      <w:r w:rsidR="00740522">
        <w:rPr>
          <w:rFonts w:ascii="Calibri" w:hAnsi="Calibri"/>
        </w:rPr>
        <w:t xml:space="preserve"> the serious concerns about the reliability impacts of the energy transition expressed by the United States Environmental Protection Agency</w:t>
      </w:r>
      <w:r w:rsidR="00B44987">
        <w:rPr>
          <w:rFonts w:ascii="Calibri" w:hAnsi="Calibri"/>
        </w:rPr>
        <w:t xml:space="preserve"> (“EPA”)</w:t>
      </w:r>
      <w:r w:rsidR="00740522">
        <w:rPr>
          <w:rFonts w:ascii="Calibri" w:hAnsi="Calibri"/>
        </w:rPr>
        <w:t xml:space="preserve"> and the Department of Energy,</w:t>
      </w:r>
      <w:r w:rsidR="00740522">
        <w:rPr>
          <w:rStyle w:val="FootnoteReference"/>
          <w:rFonts w:ascii="Calibri" w:hAnsi="Calibri"/>
        </w:rPr>
        <w:footnoteReference w:id="78"/>
      </w:r>
      <w:r w:rsidR="00740522">
        <w:rPr>
          <w:rFonts w:ascii="Calibri" w:hAnsi="Calibri"/>
        </w:rPr>
        <w:t xml:space="preserve"> the Federal Energy Regulatory Commission,</w:t>
      </w:r>
      <w:r w:rsidR="00740522">
        <w:rPr>
          <w:rStyle w:val="FootnoteReference"/>
          <w:rFonts w:ascii="Calibri" w:hAnsi="Calibri"/>
        </w:rPr>
        <w:footnoteReference w:id="79"/>
      </w:r>
      <w:r w:rsidR="00740522">
        <w:rPr>
          <w:rFonts w:ascii="Calibri" w:hAnsi="Calibri"/>
        </w:rPr>
        <w:t xml:space="preserve"> </w:t>
      </w:r>
      <w:r w:rsidR="00B44987">
        <w:rPr>
          <w:rFonts w:ascii="Calibri" w:hAnsi="Calibri"/>
        </w:rPr>
        <w:t>PUCO commissioners,</w:t>
      </w:r>
      <w:r w:rsidR="00B44987">
        <w:rPr>
          <w:rStyle w:val="FootnoteReference"/>
          <w:rFonts w:ascii="Calibri" w:hAnsi="Calibri"/>
        </w:rPr>
        <w:footnoteReference w:id="80"/>
      </w:r>
      <w:r w:rsidR="00B44987">
        <w:rPr>
          <w:rFonts w:ascii="Calibri" w:hAnsi="Calibri"/>
        </w:rPr>
        <w:t xml:space="preserve"> and the North American Electric Reliability Council</w:t>
      </w:r>
      <w:r w:rsidR="00740522">
        <w:rPr>
          <w:rFonts w:ascii="Calibri" w:hAnsi="Calibri"/>
        </w:rPr>
        <w:t>.</w:t>
      </w:r>
      <w:r w:rsidR="00B44987">
        <w:rPr>
          <w:rStyle w:val="FootnoteReference"/>
          <w:rFonts w:ascii="Calibri" w:hAnsi="Calibri"/>
        </w:rPr>
        <w:footnoteReference w:id="81"/>
      </w:r>
      <w:r w:rsidR="00B44987">
        <w:rPr>
          <w:rFonts w:ascii="Calibri" w:hAnsi="Calibri"/>
        </w:rPr>
        <w:t xml:space="preserve">  Witness Murray also testifie</w:t>
      </w:r>
      <w:r w:rsidR="00254CBD">
        <w:rPr>
          <w:rFonts w:ascii="Calibri" w:hAnsi="Calibri"/>
        </w:rPr>
        <w:t>d</w:t>
      </w:r>
      <w:r w:rsidR="00B44987">
        <w:rPr>
          <w:rFonts w:ascii="Calibri" w:hAnsi="Calibri"/>
        </w:rPr>
        <w:t xml:space="preserve"> that the EPA’s new rules under Section 111 of the Clean Air Act</w:t>
      </w:r>
      <w:r w:rsidR="00400A78">
        <w:rPr>
          <w:rFonts w:ascii="Calibri" w:hAnsi="Calibri"/>
        </w:rPr>
        <w:t xml:space="preserve"> could exacerbate the reliability concerns associated with the energy transition.</w:t>
      </w:r>
      <w:r w:rsidR="00400A78">
        <w:rPr>
          <w:rStyle w:val="FootnoteReference"/>
          <w:rFonts w:ascii="Calibri" w:hAnsi="Calibri"/>
        </w:rPr>
        <w:footnoteReference w:id="82"/>
      </w:r>
      <w:r w:rsidR="00B44987">
        <w:rPr>
          <w:rFonts w:ascii="Calibri" w:hAnsi="Calibri"/>
        </w:rPr>
        <w:t xml:space="preserve"> </w:t>
      </w:r>
    </w:p>
    <w:p w14:paraId="2C854BB5" w14:textId="484C8ABF" w:rsidR="00400A78" w:rsidRDefault="00C318DF" w:rsidP="00400A78">
      <w:pPr>
        <w:spacing w:line="480" w:lineRule="auto"/>
        <w:jc w:val="both"/>
        <w:rPr>
          <w:rFonts w:ascii="Calibri" w:hAnsi="Calibri"/>
        </w:rPr>
      </w:pPr>
      <w:r>
        <w:rPr>
          <w:rFonts w:ascii="Calibri" w:hAnsi="Calibri"/>
        </w:rPr>
        <w:tab/>
      </w:r>
      <w:r w:rsidR="00400A78">
        <w:rPr>
          <w:rFonts w:ascii="Calibri" w:hAnsi="Calibri"/>
        </w:rPr>
        <w:t xml:space="preserve">Given the seismic changes occurring in the electric industry, retaining interruptible load on </w:t>
      </w:r>
      <w:r w:rsidR="00254CBD">
        <w:rPr>
          <w:rFonts w:ascii="Calibri" w:hAnsi="Calibri"/>
        </w:rPr>
        <w:t xml:space="preserve">utility </w:t>
      </w:r>
      <w:r w:rsidR="00400A78">
        <w:rPr>
          <w:rFonts w:ascii="Calibri" w:hAnsi="Calibri"/>
        </w:rPr>
        <w:t>system</w:t>
      </w:r>
      <w:r w:rsidR="00254CBD">
        <w:rPr>
          <w:rFonts w:ascii="Calibri" w:hAnsi="Calibri"/>
        </w:rPr>
        <w:t>s</w:t>
      </w:r>
      <w:r w:rsidR="00400A78">
        <w:rPr>
          <w:rFonts w:ascii="Calibri" w:hAnsi="Calibri"/>
        </w:rPr>
        <w:t xml:space="preserve"> </w:t>
      </w:r>
      <w:proofErr w:type="gramStart"/>
      <w:r w:rsidR="00400A78">
        <w:rPr>
          <w:rFonts w:ascii="Calibri" w:hAnsi="Calibri"/>
        </w:rPr>
        <w:t>likely is</w:t>
      </w:r>
      <w:proofErr w:type="gramEnd"/>
      <w:r w:rsidR="00400A78">
        <w:rPr>
          <w:rFonts w:ascii="Calibri" w:hAnsi="Calibri"/>
        </w:rPr>
        <w:t xml:space="preserve"> even more important today than in the past.  As OELC Witness Brakey testifie</w:t>
      </w:r>
      <w:r w:rsidR="00254CBD">
        <w:rPr>
          <w:rFonts w:ascii="Calibri" w:hAnsi="Calibri"/>
        </w:rPr>
        <w:t>d</w:t>
      </w:r>
      <w:r w:rsidR="00400A78">
        <w:rPr>
          <w:rFonts w:ascii="Calibri" w:hAnsi="Calibri"/>
        </w:rPr>
        <w:t>:</w:t>
      </w:r>
    </w:p>
    <w:p w14:paraId="56FA7BD4" w14:textId="10B617A1" w:rsidR="00AC2D49" w:rsidRDefault="00400A78" w:rsidP="00400A78">
      <w:pPr>
        <w:ind w:left="720" w:right="720"/>
        <w:jc w:val="both"/>
        <w:rPr>
          <w:rFonts w:ascii="Calibri" w:hAnsi="Calibri"/>
        </w:rPr>
      </w:pPr>
      <w:r>
        <w:rPr>
          <w:rFonts w:ascii="Calibri" w:hAnsi="Calibri"/>
        </w:rPr>
        <w:t>At a time when PJM has grown increasingly reliant on non-dispatchable generation such as solar and wind, and trends suggest this will only continue, it is hard to imagine a worse time to reduce credits to the customers that are ensuring life-saving grid stability</w:t>
      </w:r>
      <w:proofErr w:type="gramStart"/>
      <w:r>
        <w:rPr>
          <w:rFonts w:ascii="Calibri" w:hAnsi="Calibri"/>
        </w:rPr>
        <w:t xml:space="preserve">.  </w:t>
      </w:r>
      <w:proofErr w:type="gramEnd"/>
      <w:r>
        <w:rPr>
          <w:rFonts w:ascii="Calibri" w:hAnsi="Calibri"/>
        </w:rPr>
        <w:t>This is especially true given where both energy prices and overall inflation have been trending significantly higher, effectively lessening the overall bill and competitiveness impacts of the credits, even if left unchanged.</w:t>
      </w:r>
      <w:r>
        <w:rPr>
          <w:rStyle w:val="FootnoteReference"/>
          <w:rFonts w:ascii="Calibri" w:hAnsi="Calibri"/>
        </w:rPr>
        <w:footnoteReference w:id="83"/>
      </w:r>
    </w:p>
    <w:p w14:paraId="678DDDA3" w14:textId="77777777" w:rsidR="00400A78" w:rsidRDefault="00400A78" w:rsidP="00400A78">
      <w:pPr>
        <w:ind w:left="720" w:right="720"/>
        <w:jc w:val="both"/>
        <w:rPr>
          <w:rFonts w:ascii="Calibri" w:hAnsi="Calibri"/>
        </w:rPr>
      </w:pPr>
    </w:p>
    <w:p w14:paraId="79F35688" w14:textId="0D7E43E9" w:rsidR="00AC2D49" w:rsidRDefault="00AC2D49" w:rsidP="00C318DF">
      <w:pPr>
        <w:spacing w:line="480" w:lineRule="auto"/>
        <w:jc w:val="both"/>
        <w:rPr>
          <w:rFonts w:ascii="Calibri" w:hAnsi="Calibri"/>
        </w:rPr>
      </w:pPr>
      <w:r>
        <w:rPr>
          <w:rFonts w:ascii="Calibri" w:hAnsi="Calibri"/>
        </w:rPr>
        <w:tab/>
        <w:t>I</w:t>
      </w:r>
      <w:r w:rsidR="004633C6">
        <w:rPr>
          <w:rFonts w:ascii="Calibri" w:hAnsi="Calibri"/>
        </w:rPr>
        <w:t xml:space="preserve">n light of these </w:t>
      </w:r>
      <w:proofErr w:type="gramStart"/>
      <w:r w:rsidR="004633C6">
        <w:rPr>
          <w:rFonts w:ascii="Calibri" w:hAnsi="Calibri"/>
        </w:rPr>
        <w:t>widely-anticipated</w:t>
      </w:r>
      <w:proofErr w:type="gramEnd"/>
      <w:r w:rsidR="004633C6">
        <w:rPr>
          <w:rFonts w:ascii="Calibri" w:hAnsi="Calibri"/>
        </w:rPr>
        <w:t xml:space="preserve"> reliability challenges, now is not the time to risk cutting the legs out from under the Rider ELR program.</w:t>
      </w:r>
      <w:r w:rsidR="00AF0865">
        <w:rPr>
          <w:rFonts w:ascii="Calibri" w:hAnsi="Calibri"/>
        </w:rPr>
        <w:t xml:space="preserve">  </w:t>
      </w:r>
      <w:r w:rsidR="004633C6">
        <w:rPr>
          <w:rFonts w:ascii="Calibri" w:hAnsi="Calibri"/>
        </w:rPr>
        <w:t xml:space="preserve">As discussed above, interruptible load is </w:t>
      </w:r>
      <w:proofErr w:type="gramStart"/>
      <w:r w:rsidR="004633C6">
        <w:rPr>
          <w:rFonts w:ascii="Calibri" w:hAnsi="Calibri"/>
        </w:rPr>
        <w:t>an important resource</w:t>
      </w:r>
      <w:proofErr w:type="gramEnd"/>
      <w:r w:rsidR="004633C6">
        <w:rPr>
          <w:rFonts w:ascii="Calibri" w:hAnsi="Calibri"/>
        </w:rPr>
        <w:t xml:space="preserve"> for addressing system reliability emergencies.  The customers on Rider ELR are </w:t>
      </w:r>
      <w:proofErr w:type="gramStart"/>
      <w:r w:rsidR="004633C6">
        <w:rPr>
          <w:rFonts w:ascii="Calibri" w:hAnsi="Calibri"/>
        </w:rPr>
        <w:t>very large</w:t>
      </w:r>
      <w:proofErr w:type="gramEnd"/>
      <w:r w:rsidR="004633C6">
        <w:rPr>
          <w:rFonts w:ascii="Calibri" w:hAnsi="Calibri"/>
        </w:rPr>
        <w:t xml:space="preserve"> loads that can provide hundreds of MWs of demand response on very short notice, relieving strain on the grid and assisting PJM and/or the FirstEnergy utilities in addressing reliability issues</w:t>
      </w:r>
      <w:r w:rsidR="008D0C8C">
        <w:rPr>
          <w:rFonts w:ascii="Calibri" w:hAnsi="Calibri"/>
        </w:rPr>
        <w:t xml:space="preserve"> and keeping the lights on for other customers</w:t>
      </w:r>
      <w:r w:rsidR="004633C6">
        <w:rPr>
          <w:rFonts w:ascii="Calibri" w:hAnsi="Calibri"/>
        </w:rPr>
        <w:t>.  In short, growing reliability concerns are a key reason for retaining the Rider ELR credits at their current level to incentivize these long-standing interruptible resources to stay in the program.</w:t>
      </w:r>
    </w:p>
    <w:p w14:paraId="658872E1" w14:textId="213F4712" w:rsidR="00BD0D5B" w:rsidRDefault="008D1ED4" w:rsidP="008C5840">
      <w:pPr>
        <w:spacing w:after="240"/>
        <w:ind w:left="2880" w:hanging="720"/>
        <w:jc w:val="both"/>
        <w:rPr>
          <w:rFonts w:ascii="Calibri" w:hAnsi="Calibri"/>
          <w:b/>
          <w:bCs/>
        </w:rPr>
      </w:pPr>
      <w:r>
        <w:rPr>
          <w:rFonts w:ascii="Calibri" w:hAnsi="Calibri"/>
          <w:b/>
          <w:bCs/>
        </w:rPr>
        <w:t>d</w:t>
      </w:r>
      <w:r w:rsidR="00BD0D5B">
        <w:rPr>
          <w:rFonts w:ascii="Calibri" w:hAnsi="Calibri"/>
          <w:b/>
          <w:bCs/>
        </w:rPr>
        <w:t>.</w:t>
      </w:r>
      <w:r w:rsidR="00BD0D5B">
        <w:rPr>
          <w:rFonts w:ascii="Calibri" w:hAnsi="Calibri"/>
          <w:b/>
          <w:bCs/>
        </w:rPr>
        <w:tab/>
        <w:t xml:space="preserve">The </w:t>
      </w:r>
      <w:r w:rsidR="00242089">
        <w:rPr>
          <w:rFonts w:ascii="Calibri" w:hAnsi="Calibri"/>
          <w:b/>
          <w:bCs/>
        </w:rPr>
        <w:t>cost impact of the Rider ELR credits on non-ELR customers is reasonable when considering the benefits provide</w:t>
      </w:r>
      <w:r w:rsidR="006819A4">
        <w:rPr>
          <w:rFonts w:ascii="Calibri" w:hAnsi="Calibri"/>
          <w:b/>
          <w:bCs/>
        </w:rPr>
        <w:t>d</w:t>
      </w:r>
      <w:r w:rsidR="00242089">
        <w:rPr>
          <w:rFonts w:ascii="Calibri" w:hAnsi="Calibri"/>
          <w:b/>
          <w:bCs/>
        </w:rPr>
        <w:t xml:space="preserve"> by Rider ELR</w:t>
      </w:r>
      <w:r w:rsidR="009077AD">
        <w:rPr>
          <w:rFonts w:ascii="Calibri" w:hAnsi="Calibri"/>
          <w:b/>
          <w:bCs/>
        </w:rPr>
        <w:fldChar w:fldCharType="begin"/>
      </w:r>
      <w:r w:rsidR="009077AD">
        <w:instrText xml:space="preserve"> TC "</w:instrText>
      </w:r>
      <w:bookmarkStart w:id="28" w:name="_Toc156549244"/>
      <w:bookmarkStart w:id="29" w:name="_Toc156549317"/>
      <w:r w:rsidR="009077AD" w:rsidRPr="00CC06BF">
        <w:rPr>
          <w:rFonts w:ascii="Calibri" w:hAnsi="Calibri"/>
          <w:b/>
          <w:bCs/>
        </w:rPr>
        <w:instrText>d.</w:instrText>
      </w:r>
      <w:r w:rsidR="009077AD" w:rsidRPr="00CC06BF">
        <w:rPr>
          <w:rFonts w:ascii="Calibri" w:hAnsi="Calibri"/>
          <w:b/>
          <w:bCs/>
        </w:rPr>
        <w:tab/>
        <w:instrText>The cost impact of the Rider ELR credits on non-ELR customers is reasonable when considering the benefits provided by Rider ELR</w:instrText>
      </w:r>
      <w:bookmarkEnd w:id="28"/>
      <w:bookmarkEnd w:id="29"/>
      <w:r w:rsidR="009077AD">
        <w:instrText xml:space="preserve">" \f C \l "4" </w:instrText>
      </w:r>
      <w:r w:rsidR="009077AD">
        <w:rPr>
          <w:rFonts w:ascii="Calibri" w:hAnsi="Calibri"/>
          <w:b/>
          <w:bCs/>
        </w:rPr>
        <w:fldChar w:fldCharType="end"/>
      </w:r>
    </w:p>
    <w:p w14:paraId="3EAC0B3D" w14:textId="09C18FAA" w:rsidR="00BD0D5B" w:rsidRDefault="00BD0D5B" w:rsidP="00BD0D5B">
      <w:pPr>
        <w:spacing w:line="480" w:lineRule="auto"/>
        <w:jc w:val="both"/>
        <w:rPr>
          <w:rFonts w:ascii="Calibri" w:hAnsi="Calibri"/>
        </w:rPr>
      </w:pPr>
      <w:r>
        <w:rPr>
          <w:rFonts w:ascii="Calibri" w:hAnsi="Calibri"/>
          <w:b/>
          <w:bCs/>
        </w:rPr>
        <w:tab/>
      </w:r>
      <w:r>
        <w:rPr>
          <w:rFonts w:ascii="Calibri" w:hAnsi="Calibri"/>
        </w:rPr>
        <w:t>The cost of the Rider ELR credits are recovered from other FirstEnergy customers through</w:t>
      </w:r>
      <w:r w:rsidR="00EF52F9">
        <w:rPr>
          <w:rFonts w:ascii="Calibri" w:hAnsi="Calibri"/>
        </w:rPr>
        <w:t xml:space="preserve"> Riders DSE and EDR</w:t>
      </w:r>
      <w:r>
        <w:rPr>
          <w:rFonts w:ascii="Calibri" w:hAnsi="Calibri"/>
        </w:rPr>
        <w:t>.</w:t>
      </w:r>
      <w:r w:rsidR="00EF52F9">
        <w:rPr>
          <w:rStyle w:val="FootnoteReference"/>
          <w:rFonts w:ascii="Calibri" w:hAnsi="Calibri"/>
        </w:rPr>
        <w:footnoteReference w:id="84"/>
      </w:r>
      <w:r>
        <w:rPr>
          <w:rFonts w:ascii="Calibri" w:hAnsi="Calibri"/>
        </w:rPr>
        <w:t xml:space="preserve">  The </w:t>
      </w:r>
      <w:r w:rsidR="00EF52F9">
        <w:rPr>
          <w:rFonts w:ascii="Calibri" w:hAnsi="Calibri"/>
        </w:rPr>
        <w:t>Ohio Edison DSE1</w:t>
      </w:r>
      <w:r>
        <w:rPr>
          <w:rFonts w:ascii="Calibri" w:hAnsi="Calibri"/>
        </w:rPr>
        <w:t xml:space="preserve"> charge</w:t>
      </w:r>
      <w:r w:rsidR="0094303A">
        <w:rPr>
          <w:rFonts w:ascii="Calibri" w:hAnsi="Calibri"/>
        </w:rPr>
        <w:t xml:space="preserve"> at the time of the evidentiary hearing in this case was</w:t>
      </w:r>
      <w:r>
        <w:rPr>
          <w:rFonts w:ascii="Calibri" w:hAnsi="Calibri"/>
        </w:rPr>
        <w:t xml:space="preserve"> </w:t>
      </w:r>
      <w:r w:rsidR="00EF52F9">
        <w:rPr>
          <w:rFonts w:ascii="Calibri" w:hAnsi="Calibri"/>
        </w:rPr>
        <w:t>0.0066 cents per kWh</w:t>
      </w:r>
      <w:r>
        <w:rPr>
          <w:rFonts w:ascii="Calibri" w:hAnsi="Calibri"/>
        </w:rPr>
        <w:t xml:space="preserve">, and the </w:t>
      </w:r>
      <w:r w:rsidR="00EF52F9">
        <w:rPr>
          <w:rFonts w:ascii="Calibri" w:hAnsi="Calibri"/>
        </w:rPr>
        <w:t xml:space="preserve">Ohio Edison EDR(e) charge </w:t>
      </w:r>
      <w:r w:rsidR="0094303A">
        <w:rPr>
          <w:rFonts w:ascii="Calibri" w:hAnsi="Calibri"/>
        </w:rPr>
        <w:t xml:space="preserve">was </w:t>
      </w:r>
      <w:r w:rsidR="00EF52F9">
        <w:rPr>
          <w:rFonts w:ascii="Calibri" w:hAnsi="Calibri"/>
        </w:rPr>
        <w:t>0.269 cents per kWh</w:t>
      </w:r>
      <w:r>
        <w:rPr>
          <w:rFonts w:ascii="Calibri" w:hAnsi="Calibri"/>
        </w:rPr>
        <w:t>.</w:t>
      </w:r>
      <w:r>
        <w:rPr>
          <w:rStyle w:val="FootnoteReference"/>
          <w:rFonts w:ascii="Calibri" w:hAnsi="Calibri"/>
        </w:rPr>
        <w:footnoteReference w:id="85"/>
      </w:r>
      <w:r>
        <w:rPr>
          <w:rFonts w:ascii="Calibri" w:hAnsi="Calibri"/>
        </w:rPr>
        <w:t xml:space="preserve">  For a hypothetical Ohio Edison residential customer using 750 kWhs of electricity a month, therefore, the total cost of the ELR program </w:t>
      </w:r>
      <w:r w:rsidR="0094303A">
        <w:rPr>
          <w:rFonts w:ascii="Calibri" w:hAnsi="Calibri"/>
        </w:rPr>
        <w:t>was</w:t>
      </w:r>
      <w:r>
        <w:rPr>
          <w:rFonts w:ascii="Calibri" w:hAnsi="Calibri"/>
        </w:rPr>
        <w:t xml:space="preserve"> around 25 cents a month.</w:t>
      </w:r>
      <w:r>
        <w:rPr>
          <w:rStyle w:val="FootnoteReference"/>
          <w:rFonts w:ascii="Calibri" w:hAnsi="Calibri"/>
        </w:rPr>
        <w:footnoteReference w:id="86"/>
      </w:r>
      <w:r>
        <w:rPr>
          <w:rFonts w:ascii="Calibri" w:hAnsi="Calibri"/>
        </w:rPr>
        <w:t xml:space="preserve">  </w:t>
      </w:r>
      <w:r w:rsidR="00951355">
        <w:rPr>
          <w:rFonts w:ascii="Calibri" w:hAnsi="Calibri"/>
        </w:rPr>
        <w:t xml:space="preserve">To put that cost in perspective, </w:t>
      </w:r>
      <w:r>
        <w:rPr>
          <w:rFonts w:ascii="Calibri" w:hAnsi="Calibri"/>
        </w:rPr>
        <w:t>FirstEnergy estimates that the average total bill</w:t>
      </w:r>
      <w:r w:rsidR="00951355">
        <w:rPr>
          <w:rFonts w:ascii="Calibri" w:hAnsi="Calibri"/>
        </w:rPr>
        <w:t xml:space="preserve"> </w:t>
      </w:r>
      <w:r w:rsidR="002635A0">
        <w:rPr>
          <w:rFonts w:ascii="Calibri" w:hAnsi="Calibri"/>
        </w:rPr>
        <w:t>for the first year of</w:t>
      </w:r>
      <w:r w:rsidR="00951355">
        <w:rPr>
          <w:rFonts w:ascii="Calibri" w:hAnsi="Calibri"/>
        </w:rPr>
        <w:t xml:space="preserve"> ESP V</w:t>
      </w:r>
      <w:r>
        <w:rPr>
          <w:rFonts w:ascii="Calibri" w:hAnsi="Calibri"/>
        </w:rPr>
        <w:t xml:space="preserve"> for an Ohio Edison residential customer using 750 kWh of electricity a month would be</w:t>
      </w:r>
      <w:r w:rsidR="00951355">
        <w:rPr>
          <w:rFonts w:ascii="Calibri" w:hAnsi="Calibri"/>
        </w:rPr>
        <w:t xml:space="preserve"> $143.</w:t>
      </w:r>
      <w:r w:rsidR="00C942A0">
        <w:rPr>
          <w:rFonts w:ascii="Calibri" w:hAnsi="Calibri"/>
        </w:rPr>
        <w:t>99</w:t>
      </w:r>
      <w:r w:rsidR="00951355">
        <w:rPr>
          <w:rFonts w:ascii="Calibri" w:hAnsi="Calibri"/>
        </w:rPr>
        <w:t xml:space="preserve"> a month.</w:t>
      </w:r>
      <w:r w:rsidR="00951355">
        <w:rPr>
          <w:rStyle w:val="FootnoteReference"/>
          <w:rFonts w:ascii="Calibri" w:hAnsi="Calibri"/>
        </w:rPr>
        <w:footnoteReference w:id="87"/>
      </w:r>
      <w:r w:rsidR="00413B80">
        <w:rPr>
          <w:rFonts w:ascii="Calibri" w:hAnsi="Calibri"/>
        </w:rPr>
        <w:t xml:space="preserve">  </w:t>
      </w:r>
    </w:p>
    <w:p w14:paraId="718DD5A7" w14:textId="7C7EA6EF" w:rsidR="00BD0D5B" w:rsidRDefault="00BD0D5B" w:rsidP="00BD0D5B">
      <w:pPr>
        <w:spacing w:line="480" w:lineRule="auto"/>
        <w:jc w:val="both"/>
        <w:rPr>
          <w:rFonts w:ascii="Calibri" w:hAnsi="Calibri"/>
        </w:rPr>
      </w:pPr>
      <w:r>
        <w:rPr>
          <w:rFonts w:ascii="Calibri" w:hAnsi="Calibri"/>
        </w:rPr>
        <w:tab/>
      </w:r>
      <w:r w:rsidR="00A53C6B">
        <w:rPr>
          <w:rFonts w:ascii="Calibri" w:hAnsi="Calibri"/>
        </w:rPr>
        <w:t xml:space="preserve">The cost of the current Rider ELR credits is reasonable, particularly when considered </w:t>
      </w:r>
      <w:proofErr w:type="gramStart"/>
      <w:r w:rsidR="00A53C6B">
        <w:rPr>
          <w:rFonts w:ascii="Calibri" w:hAnsi="Calibri"/>
        </w:rPr>
        <w:t>in light of</w:t>
      </w:r>
      <w:proofErr w:type="gramEnd"/>
      <w:r w:rsidR="00A53C6B">
        <w:rPr>
          <w:rFonts w:ascii="Calibri" w:hAnsi="Calibri"/>
        </w:rPr>
        <w:t xml:space="preserve"> </w:t>
      </w:r>
      <w:r>
        <w:rPr>
          <w:rFonts w:ascii="Calibri" w:hAnsi="Calibri"/>
        </w:rPr>
        <w:t xml:space="preserve">the regional capacity and reliability, local reliability, and economic development and job retention benefits provided by Rider ELR.  In addition, the negative cost impact to Rider ELR customers </w:t>
      </w:r>
      <w:proofErr w:type="gramStart"/>
      <w:r>
        <w:rPr>
          <w:rFonts w:ascii="Calibri" w:hAnsi="Calibri"/>
        </w:rPr>
        <w:t>likely outweighs</w:t>
      </w:r>
      <w:proofErr w:type="gramEnd"/>
      <w:r>
        <w:rPr>
          <w:rFonts w:ascii="Calibri" w:hAnsi="Calibri"/>
        </w:rPr>
        <w:t xml:space="preserve"> the cost savings non-ELR customers would experience if the Rider ELR credits are significantly reduced or eliminated.</w:t>
      </w:r>
      <w:r w:rsidR="00A53C6B">
        <w:rPr>
          <w:rFonts w:ascii="Calibri" w:hAnsi="Calibri"/>
        </w:rPr>
        <w:t xml:space="preserve">  These cost impacts support the continuation of the current Rider ELR credits.</w:t>
      </w:r>
    </w:p>
    <w:p w14:paraId="74858974" w14:textId="54DC2C60" w:rsidR="0092382F" w:rsidRPr="00F936D1" w:rsidRDefault="008147CA" w:rsidP="008C5840">
      <w:pPr>
        <w:spacing w:after="240"/>
        <w:ind w:left="2880" w:hanging="720"/>
        <w:jc w:val="both"/>
        <w:rPr>
          <w:rFonts w:ascii="Calibri" w:hAnsi="Calibri"/>
          <w:b/>
          <w:bCs/>
        </w:rPr>
      </w:pPr>
      <w:r>
        <w:rPr>
          <w:rFonts w:ascii="Calibri" w:hAnsi="Calibri"/>
          <w:b/>
          <w:bCs/>
        </w:rPr>
        <w:t>e</w:t>
      </w:r>
      <w:r w:rsidR="0092382F" w:rsidRPr="00F936D1">
        <w:rPr>
          <w:rFonts w:ascii="Calibri" w:hAnsi="Calibri"/>
          <w:b/>
          <w:bCs/>
        </w:rPr>
        <w:t>.</w:t>
      </w:r>
      <w:r w:rsidR="0092382F" w:rsidRPr="00F936D1">
        <w:rPr>
          <w:rFonts w:ascii="Calibri" w:hAnsi="Calibri"/>
          <w:b/>
          <w:bCs/>
        </w:rPr>
        <w:tab/>
        <w:t xml:space="preserve">If the Commission </w:t>
      </w:r>
      <w:r w:rsidR="00D437A2">
        <w:rPr>
          <w:rFonts w:ascii="Calibri" w:hAnsi="Calibri"/>
          <w:b/>
          <w:bCs/>
        </w:rPr>
        <w:t>must</w:t>
      </w:r>
      <w:r w:rsidR="0092382F" w:rsidRPr="00F936D1">
        <w:rPr>
          <w:rFonts w:ascii="Calibri" w:hAnsi="Calibri"/>
          <w:b/>
          <w:bCs/>
        </w:rPr>
        <w:t xml:space="preserve"> reduce the Rider ELR credits, it should adopt Nucor Witness Dr. Goins’ alternative recommendation</w:t>
      </w:r>
      <w:r w:rsidR="008C5840">
        <w:rPr>
          <w:rFonts w:ascii="Calibri" w:hAnsi="Calibri"/>
          <w:b/>
          <w:bCs/>
        </w:rPr>
        <w:fldChar w:fldCharType="begin"/>
      </w:r>
      <w:r w:rsidR="008C5840">
        <w:instrText xml:space="preserve"> TC "</w:instrText>
      </w:r>
      <w:bookmarkStart w:id="30" w:name="_Toc156549245"/>
      <w:bookmarkStart w:id="31" w:name="_Toc156549318"/>
      <w:r w:rsidR="008C5840" w:rsidRPr="00A834CC">
        <w:rPr>
          <w:rFonts w:ascii="Calibri" w:hAnsi="Calibri"/>
          <w:b/>
          <w:bCs/>
        </w:rPr>
        <w:instrText>e.</w:instrText>
      </w:r>
      <w:r w:rsidR="008C5840" w:rsidRPr="00A834CC">
        <w:rPr>
          <w:rFonts w:ascii="Calibri" w:hAnsi="Calibri"/>
          <w:b/>
          <w:bCs/>
        </w:rPr>
        <w:tab/>
        <w:instrText>If the Commission must reduce the Rider ELR credits, it should adopt Nucor Witness Dr. Goins’ alternative recommendation</w:instrText>
      </w:r>
      <w:bookmarkEnd w:id="30"/>
      <w:bookmarkEnd w:id="31"/>
      <w:r w:rsidR="008C5840">
        <w:instrText xml:space="preserve">" \f C \l "4" </w:instrText>
      </w:r>
      <w:r w:rsidR="008C5840">
        <w:rPr>
          <w:rFonts w:ascii="Calibri" w:hAnsi="Calibri"/>
          <w:b/>
          <w:bCs/>
        </w:rPr>
        <w:fldChar w:fldCharType="end"/>
      </w:r>
    </w:p>
    <w:p w14:paraId="3759D624" w14:textId="4807395C" w:rsidR="0092382F" w:rsidRDefault="00F936D1" w:rsidP="00C318DF">
      <w:pPr>
        <w:spacing w:line="480" w:lineRule="auto"/>
        <w:jc w:val="both"/>
        <w:rPr>
          <w:rFonts w:ascii="Calibri" w:hAnsi="Calibri"/>
        </w:rPr>
      </w:pPr>
      <w:r>
        <w:rPr>
          <w:rFonts w:ascii="Calibri" w:hAnsi="Calibri"/>
        </w:rPr>
        <w:tab/>
        <w:t xml:space="preserve">Nucor believes that the evidence in this case supports the extension of the current Rider ELR credits through the term of FirstEnergy’s ESP </w:t>
      </w:r>
      <w:proofErr w:type="gramStart"/>
      <w:r>
        <w:rPr>
          <w:rFonts w:ascii="Calibri" w:hAnsi="Calibri"/>
        </w:rPr>
        <w:t xml:space="preserve">V.  </w:t>
      </w:r>
      <w:proofErr w:type="gramEnd"/>
      <w:r>
        <w:rPr>
          <w:rFonts w:ascii="Calibri" w:hAnsi="Calibri"/>
        </w:rPr>
        <w:t xml:space="preserve">If, however, the Commission determines that the credits </w:t>
      </w:r>
      <w:r w:rsidR="00D437A2">
        <w:rPr>
          <w:rFonts w:ascii="Calibri" w:hAnsi="Calibri"/>
        </w:rPr>
        <w:t>must</w:t>
      </w:r>
      <w:r>
        <w:rPr>
          <w:rFonts w:ascii="Calibri" w:hAnsi="Calibri"/>
        </w:rPr>
        <w:t xml:space="preserve"> be reduced, Nucor recommends a more measured approach</w:t>
      </w:r>
      <w:proofErr w:type="gramStart"/>
      <w:r>
        <w:rPr>
          <w:rFonts w:ascii="Calibri" w:hAnsi="Calibri"/>
        </w:rPr>
        <w:t xml:space="preserve">.  </w:t>
      </w:r>
      <w:proofErr w:type="gramEnd"/>
      <w:r>
        <w:rPr>
          <w:rFonts w:ascii="Calibri" w:hAnsi="Calibri"/>
        </w:rPr>
        <w:t xml:space="preserve">Dr. Goins recommends the following guidelines in the event the Commission </w:t>
      </w:r>
      <w:r w:rsidR="00CC44C5">
        <w:rPr>
          <w:rFonts w:ascii="Calibri" w:hAnsi="Calibri"/>
        </w:rPr>
        <w:t>decides to reduce the credits:</w:t>
      </w:r>
    </w:p>
    <w:p w14:paraId="786B3001" w14:textId="36273F1C" w:rsidR="00CC44C5" w:rsidRDefault="00CC44C5" w:rsidP="006A75B4">
      <w:pPr>
        <w:pStyle w:val="ListParagraph"/>
        <w:numPr>
          <w:ilvl w:val="0"/>
          <w:numId w:val="19"/>
        </w:numPr>
        <w:jc w:val="both"/>
        <w:rPr>
          <w:rFonts w:ascii="Calibri" w:hAnsi="Calibri"/>
        </w:rPr>
      </w:pPr>
      <w:r>
        <w:rPr>
          <w:rFonts w:ascii="Calibri" w:hAnsi="Calibri"/>
        </w:rPr>
        <w:t xml:space="preserve">The monthly aggregate credits should </w:t>
      </w:r>
      <w:proofErr w:type="gramStart"/>
      <w:r>
        <w:rPr>
          <w:rFonts w:ascii="Calibri" w:hAnsi="Calibri"/>
        </w:rPr>
        <w:t>be stepped</w:t>
      </w:r>
      <w:proofErr w:type="gramEnd"/>
      <w:r>
        <w:rPr>
          <w:rFonts w:ascii="Calibri" w:hAnsi="Calibri"/>
        </w:rPr>
        <w:t xml:space="preserve"> down from $10 per kW to no less than $8 per kW over the term of the ESP V.</w:t>
      </w:r>
    </w:p>
    <w:p w14:paraId="0CD0B1CA" w14:textId="77777777" w:rsidR="006A75B4" w:rsidRDefault="006A75B4" w:rsidP="006A75B4">
      <w:pPr>
        <w:pStyle w:val="ListParagraph"/>
        <w:jc w:val="both"/>
        <w:rPr>
          <w:rFonts w:ascii="Calibri" w:hAnsi="Calibri"/>
        </w:rPr>
      </w:pPr>
    </w:p>
    <w:p w14:paraId="76C1BE9D" w14:textId="2213472E" w:rsidR="00CC44C5" w:rsidRDefault="002305E6" w:rsidP="006A75B4">
      <w:pPr>
        <w:pStyle w:val="ListParagraph"/>
        <w:numPr>
          <w:ilvl w:val="0"/>
          <w:numId w:val="19"/>
        </w:numPr>
        <w:jc w:val="both"/>
        <w:rPr>
          <w:rFonts w:ascii="Calibri" w:hAnsi="Calibri"/>
        </w:rPr>
      </w:pPr>
      <w:r>
        <w:rPr>
          <w:rFonts w:ascii="Calibri" w:hAnsi="Calibri"/>
        </w:rPr>
        <w:t xml:space="preserve">The aggregate credit for each delivery year should remain at least equal to </w:t>
      </w:r>
      <w:r w:rsidR="00D437A2">
        <w:rPr>
          <w:rFonts w:ascii="Calibri" w:hAnsi="Calibri"/>
        </w:rPr>
        <w:t>eighty</w:t>
      </w:r>
      <w:r>
        <w:rPr>
          <w:rFonts w:ascii="Calibri" w:hAnsi="Calibri"/>
        </w:rPr>
        <w:t xml:space="preserve"> percent</w:t>
      </w:r>
      <w:r w:rsidR="00D437A2">
        <w:rPr>
          <w:rFonts w:ascii="Calibri" w:hAnsi="Calibri"/>
        </w:rPr>
        <w:t xml:space="preserve"> (80%)</w:t>
      </w:r>
      <w:r>
        <w:rPr>
          <w:rFonts w:ascii="Calibri" w:hAnsi="Calibri"/>
        </w:rPr>
        <w:t xml:space="preserve"> of the capacity auction clearing price for the relevant delivery year.</w:t>
      </w:r>
      <w:r>
        <w:rPr>
          <w:rStyle w:val="FootnoteReference"/>
          <w:rFonts w:ascii="Calibri" w:hAnsi="Calibri"/>
        </w:rPr>
        <w:footnoteReference w:id="88"/>
      </w:r>
    </w:p>
    <w:p w14:paraId="62DD3A15" w14:textId="77777777" w:rsidR="006A75B4" w:rsidRDefault="006A75B4" w:rsidP="006A75B4">
      <w:pPr>
        <w:pStyle w:val="ListParagraph"/>
        <w:jc w:val="both"/>
        <w:rPr>
          <w:rFonts w:ascii="Calibri" w:hAnsi="Calibri"/>
        </w:rPr>
      </w:pPr>
    </w:p>
    <w:p w14:paraId="2D5A71D1" w14:textId="7F0D02B0" w:rsidR="005617B5" w:rsidRDefault="002459E9" w:rsidP="006A75B4">
      <w:pPr>
        <w:spacing w:line="480" w:lineRule="auto"/>
        <w:ind w:firstLine="720"/>
        <w:jc w:val="both"/>
        <w:rPr>
          <w:rFonts w:ascii="Calibri" w:hAnsi="Calibri"/>
        </w:rPr>
      </w:pPr>
      <w:r>
        <w:rPr>
          <w:rFonts w:ascii="Calibri" w:hAnsi="Calibri"/>
        </w:rPr>
        <w:t>Gradually reducing the aggregate Rider ELR credits to no less than $8</w:t>
      </w:r>
      <w:r w:rsidR="00D437A2">
        <w:rPr>
          <w:rFonts w:ascii="Calibri" w:hAnsi="Calibri"/>
        </w:rPr>
        <w:t xml:space="preserve"> per kW</w:t>
      </w:r>
      <w:r>
        <w:rPr>
          <w:rFonts w:ascii="Calibri" w:hAnsi="Calibri"/>
        </w:rPr>
        <w:t xml:space="preserve">, then </w:t>
      </w:r>
      <w:r w:rsidR="006A75B4">
        <w:rPr>
          <w:rFonts w:ascii="Calibri" w:hAnsi="Calibri"/>
        </w:rPr>
        <w:t>maintaining the credits at a level of at least $8 through the</w:t>
      </w:r>
      <w:r>
        <w:rPr>
          <w:rFonts w:ascii="Calibri" w:hAnsi="Calibri"/>
        </w:rPr>
        <w:t xml:space="preserve"> term of the</w:t>
      </w:r>
      <w:r w:rsidR="006A75B4">
        <w:rPr>
          <w:rFonts w:ascii="Calibri" w:hAnsi="Calibri"/>
        </w:rPr>
        <w:t xml:space="preserve"> ESP</w:t>
      </w:r>
      <w:r w:rsidR="008378A9">
        <w:rPr>
          <w:rFonts w:ascii="Calibri" w:hAnsi="Calibri"/>
        </w:rPr>
        <w:t xml:space="preserve"> (</w:t>
      </w:r>
      <w:r w:rsidR="007661C9">
        <w:rPr>
          <w:rFonts w:ascii="Calibri" w:hAnsi="Calibri"/>
        </w:rPr>
        <w:t xml:space="preserve">subject to </w:t>
      </w:r>
      <w:r w:rsidR="008378A9">
        <w:rPr>
          <w:rFonts w:ascii="Calibri" w:hAnsi="Calibri"/>
        </w:rPr>
        <w:t>the</w:t>
      </w:r>
      <w:r w:rsidR="007661C9">
        <w:rPr>
          <w:rFonts w:ascii="Calibri" w:hAnsi="Calibri"/>
        </w:rPr>
        <w:t xml:space="preserve"> 80% of the capacity auction clearing price floor</w:t>
      </w:r>
      <w:r w:rsidR="008378A9">
        <w:rPr>
          <w:rFonts w:ascii="Calibri" w:hAnsi="Calibri"/>
        </w:rPr>
        <w:t>)</w:t>
      </w:r>
      <w:r w:rsidR="006A75B4">
        <w:rPr>
          <w:rFonts w:ascii="Calibri" w:hAnsi="Calibri"/>
        </w:rPr>
        <w:t xml:space="preserve"> will </w:t>
      </w:r>
      <w:r>
        <w:rPr>
          <w:rFonts w:ascii="Calibri" w:hAnsi="Calibri"/>
        </w:rPr>
        <w:t>reduce the cost of the program</w:t>
      </w:r>
      <w:proofErr w:type="gramStart"/>
      <w:r w:rsidR="00D21B1D">
        <w:rPr>
          <w:rFonts w:ascii="Calibri" w:hAnsi="Calibri"/>
        </w:rPr>
        <w:t xml:space="preserve">.  </w:t>
      </w:r>
      <w:proofErr w:type="gramEnd"/>
      <w:r w:rsidR="00D21B1D">
        <w:rPr>
          <w:rFonts w:ascii="Calibri" w:hAnsi="Calibri"/>
        </w:rPr>
        <w:t xml:space="preserve">At the same time, it would </w:t>
      </w:r>
      <w:r w:rsidR="008378A9">
        <w:rPr>
          <w:rFonts w:ascii="Calibri" w:hAnsi="Calibri"/>
        </w:rPr>
        <w:t xml:space="preserve">better reflect the benefits the Rider ELR program provides and increase </w:t>
      </w:r>
      <w:r w:rsidR="006A75B4">
        <w:rPr>
          <w:rFonts w:ascii="Calibri" w:hAnsi="Calibri"/>
        </w:rPr>
        <w:t>the likelihood of maintaining the viability of the program through the term of ESP V</w:t>
      </w:r>
      <w:r>
        <w:rPr>
          <w:rFonts w:ascii="Calibri" w:hAnsi="Calibri"/>
        </w:rPr>
        <w:t xml:space="preserve"> as compared to the proposals by FirstEnergy and Staff for more </w:t>
      </w:r>
      <w:r w:rsidR="008378A9">
        <w:rPr>
          <w:rFonts w:ascii="Calibri" w:hAnsi="Calibri"/>
        </w:rPr>
        <w:t>dramatic</w:t>
      </w:r>
      <w:r>
        <w:rPr>
          <w:rFonts w:ascii="Calibri" w:hAnsi="Calibri"/>
        </w:rPr>
        <w:t xml:space="preserve"> cuts to the credit</w:t>
      </w:r>
      <w:r w:rsidR="006A75B4">
        <w:rPr>
          <w:rFonts w:ascii="Calibri" w:hAnsi="Calibri"/>
        </w:rPr>
        <w:t>.</w:t>
      </w:r>
    </w:p>
    <w:p w14:paraId="72AB99EE" w14:textId="054AF13D" w:rsidR="005617B5" w:rsidRPr="0015067B" w:rsidRDefault="005617B5" w:rsidP="00DE1E07">
      <w:pPr>
        <w:keepNext/>
        <w:spacing w:after="240"/>
        <w:ind w:left="2160" w:hanging="720"/>
        <w:jc w:val="both"/>
        <w:rPr>
          <w:rFonts w:ascii="Calibri" w:hAnsi="Calibri"/>
          <w:b/>
          <w:bCs/>
        </w:rPr>
      </w:pPr>
      <w:r w:rsidRPr="0015067B">
        <w:rPr>
          <w:rFonts w:ascii="Calibri" w:hAnsi="Calibri"/>
          <w:b/>
          <w:bCs/>
        </w:rPr>
        <w:t>4.</w:t>
      </w:r>
      <w:r w:rsidRPr="0015067B">
        <w:rPr>
          <w:rFonts w:ascii="Calibri" w:hAnsi="Calibri"/>
          <w:b/>
          <w:bCs/>
        </w:rPr>
        <w:tab/>
        <w:t>FirstEnergy should remain the CSP for Rider ELR customers</w:t>
      </w:r>
      <w:r w:rsidR="00EB01AE">
        <w:rPr>
          <w:rFonts w:ascii="Calibri" w:hAnsi="Calibri"/>
          <w:b/>
          <w:bCs/>
        </w:rPr>
        <w:fldChar w:fldCharType="begin"/>
      </w:r>
      <w:r w:rsidR="00EB01AE">
        <w:instrText xml:space="preserve"> TC "</w:instrText>
      </w:r>
      <w:bookmarkStart w:id="32" w:name="_Toc156549246"/>
      <w:bookmarkStart w:id="33" w:name="_Toc156549319"/>
      <w:r w:rsidR="00EB01AE" w:rsidRPr="000A0D3A">
        <w:rPr>
          <w:rFonts w:ascii="Calibri" w:hAnsi="Calibri"/>
          <w:b/>
          <w:bCs/>
        </w:rPr>
        <w:instrText>4.</w:instrText>
      </w:r>
      <w:r w:rsidR="00EB01AE" w:rsidRPr="000A0D3A">
        <w:rPr>
          <w:rFonts w:ascii="Calibri" w:hAnsi="Calibri"/>
          <w:b/>
          <w:bCs/>
        </w:rPr>
        <w:tab/>
        <w:instrText>FirstEnergy should remain the CSP for Rider ELR customers</w:instrText>
      </w:r>
      <w:bookmarkEnd w:id="32"/>
      <w:bookmarkEnd w:id="33"/>
      <w:r w:rsidR="00EB01AE">
        <w:instrText xml:space="preserve">" \f C \l "3" </w:instrText>
      </w:r>
      <w:r w:rsidR="00EB01AE">
        <w:rPr>
          <w:rFonts w:ascii="Calibri" w:hAnsi="Calibri"/>
          <w:b/>
          <w:bCs/>
        </w:rPr>
        <w:fldChar w:fldCharType="end"/>
      </w:r>
    </w:p>
    <w:p w14:paraId="47CFBC0B" w14:textId="1CA4BBBA" w:rsidR="00BE2D9D" w:rsidRDefault="009E6F88" w:rsidP="00DE1E07">
      <w:pPr>
        <w:keepNext/>
        <w:spacing w:line="480" w:lineRule="auto"/>
        <w:jc w:val="both"/>
        <w:rPr>
          <w:rFonts w:asciiTheme="minorHAnsi" w:hAnsiTheme="minorHAnsi" w:cstheme="minorHAnsi"/>
          <w:szCs w:val="24"/>
        </w:rPr>
      </w:pPr>
      <w:r w:rsidRPr="0015067B">
        <w:rPr>
          <w:rFonts w:asciiTheme="minorHAnsi" w:hAnsiTheme="minorHAnsi" w:cstheme="minorHAnsi"/>
          <w:szCs w:val="24"/>
        </w:rPr>
        <w:tab/>
      </w:r>
      <w:r w:rsidR="00C4414C">
        <w:rPr>
          <w:rFonts w:asciiTheme="minorHAnsi" w:hAnsiTheme="minorHAnsi" w:cstheme="minorHAnsi"/>
          <w:szCs w:val="24"/>
        </w:rPr>
        <w:t>FirstEnergy proposes</w:t>
      </w:r>
      <w:r w:rsidRPr="0015067B">
        <w:rPr>
          <w:rFonts w:asciiTheme="minorHAnsi" w:hAnsiTheme="minorHAnsi" w:cstheme="minorHAnsi"/>
          <w:szCs w:val="24"/>
        </w:rPr>
        <w:t xml:space="preserve"> to no longer serve as CSP for Rider ELR customers</w:t>
      </w:r>
      <w:proofErr w:type="gramStart"/>
      <w:r w:rsidRPr="0015067B">
        <w:rPr>
          <w:rFonts w:asciiTheme="minorHAnsi" w:hAnsiTheme="minorHAnsi" w:cstheme="minorHAnsi"/>
          <w:szCs w:val="24"/>
        </w:rPr>
        <w:t xml:space="preserve">.  </w:t>
      </w:r>
      <w:proofErr w:type="gramEnd"/>
      <w:r w:rsidRPr="0015067B">
        <w:rPr>
          <w:rFonts w:asciiTheme="minorHAnsi" w:hAnsiTheme="minorHAnsi" w:cstheme="minorHAnsi"/>
          <w:szCs w:val="24"/>
        </w:rPr>
        <w:t xml:space="preserve">As explained by FirstEnergy </w:t>
      </w:r>
      <w:r w:rsidR="00034D72">
        <w:rPr>
          <w:rFonts w:asciiTheme="minorHAnsi" w:hAnsiTheme="minorHAnsi" w:cstheme="minorHAnsi"/>
          <w:szCs w:val="24"/>
        </w:rPr>
        <w:t>W</w:t>
      </w:r>
      <w:r w:rsidRPr="0015067B">
        <w:rPr>
          <w:rFonts w:asciiTheme="minorHAnsi" w:hAnsiTheme="minorHAnsi" w:cstheme="minorHAnsi"/>
          <w:szCs w:val="24"/>
        </w:rPr>
        <w:t>itness McMillen, the Companies “will no longer require Rider ELR customers to commit their demand response capabilities to the Companies, and instead will require Rider ELR customers to participate in PJM demand response programs through a curtailment service provider.”</w:t>
      </w:r>
      <w:r w:rsidRPr="0015067B">
        <w:rPr>
          <w:rStyle w:val="FootnoteReference"/>
          <w:rFonts w:asciiTheme="minorHAnsi" w:hAnsiTheme="minorHAnsi" w:cstheme="minorHAnsi"/>
          <w:sz w:val="24"/>
          <w:szCs w:val="24"/>
        </w:rPr>
        <w:footnoteReference w:id="89"/>
      </w:r>
      <w:r w:rsidRPr="0015067B">
        <w:rPr>
          <w:rFonts w:asciiTheme="minorHAnsi" w:hAnsiTheme="minorHAnsi" w:cstheme="minorHAnsi"/>
          <w:szCs w:val="24"/>
        </w:rPr>
        <w:t xml:space="preserve"> FirstEnergy </w:t>
      </w:r>
      <w:r w:rsidR="00034D72">
        <w:rPr>
          <w:rFonts w:asciiTheme="minorHAnsi" w:hAnsiTheme="minorHAnsi" w:cstheme="minorHAnsi"/>
          <w:szCs w:val="24"/>
        </w:rPr>
        <w:t>W</w:t>
      </w:r>
      <w:r w:rsidRPr="0015067B">
        <w:rPr>
          <w:rFonts w:asciiTheme="minorHAnsi" w:hAnsiTheme="minorHAnsi" w:cstheme="minorHAnsi"/>
          <w:szCs w:val="24"/>
        </w:rPr>
        <w:t xml:space="preserve">itness Stein </w:t>
      </w:r>
      <w:r w:rsidR="00034D72">
        <w:rPr>
          <w:rFonts w:asciiTheme="minorHAnsi" w:hAnsiTheme="minorHAnsi" w:cstheme="minorHAnsi"/>
          <w:szCs w:val="24"/>
        </w:rPr>
        <w:t xml:space="preserve">further </w:t>
      </w:r>
      <w:r w:rsidRPr="0015067B">
        <w:rPr>
          <w:rFonts w:asciiTheme="minorHAnsi" w:hAnsiTheme="minorHAnsi" w:cstheme="minorHAnsi"/>
          <w:szCs w:val="24"/>
        </w:rPr>
        <w:t>clarifies that the Companies will no longer serve as CSP, and that customers must provide proof of registration in a PJM load management program though a PJM CSP.</w:t>
      </w:r>
      <w:r w:rsidRPr="0015067B">
        <w:rPr>
          <w:rStyle w:val="FootnoteReference"/>
          <w:rFonts w:asciiTheme="minorHAnsi" w:hAnsiTheme="minorHAnsi" w:cstheme="minorHAnsi"/>
          <w:sz w:val="24"/>
          <w:szCs w:val="24"/>
        </w:rPr>
        <w:footnoteReference w:id="90"/>
      </w:r>
      <w:r w:rsidRPr="0015067B">
        <w:rPr>
          <w:rFonts w:asciiTheme="minorHAnsi" w:hAnsiTheme="minorHAnsi" w:cstheme="minorHAnsi"/>
          <w:szCs w:val="24"/>
        </w:rPr>
        <w:t xml:space="preserve">  While</w:t>
      </w:r>
      <w:r w:rsidR="00BE2D9D">
        <w:rPr>
          <w:rFonts w:asciiTheme="minorHAnsi" w:hAnsiTheme="minorHAnsi" w:cstheme="minorHAnsi"/>
          <w:szCs w:val="24"/>
        </w:rPr>
        <w:t xml:space="preserve"> FirstEnergy</w:t>
      </w:r>
      <w:r w:rsidRPr="0015067B">
        <w:rPr>
          <w:rFonts w:asciiTheme="minorHAnsi" w:hAnsiTheme="minorHAnsi" w:cstheme="minorHAnsi"/>
          <w:szCs w:val="24"/>
        </w:rPr>
        <w:t xml:space="preserve"> would not be involved in administering or notifying customers about PJM emergency events, </w:t>
      </w:r>
      <w:r w:rsidR="00BE2D9D">
        <w:rPr>
          <w:rFonts w:asciiTheme="minorHAnsi" w:hAnsiTheme="minorHAnsi" w:cstheme="minorHAnsi"/>
          <w:szCs w:val="24"/>
        </w:rPr>
        <w:t xml:space="preserve">FirstEnergy would still retain CSP functions in the case of local </w:t>
      </w:r>
      <w:r w:rsidRPr="0015067B">
        <w:rPr>
          <w:rFonts w:asciiTheme="minorHAnsi" w:hAnsiTheme="minorHAnsi" w:cstheme="minorHAnsi"/>
          <w:szCs w:val="24"/>
        </w:rPr>
        <w:t>distribution system emergencies.</w:t>
      </w:r>
      <w:r w:rsidRPr="0015067B">
        <w:rPr>
          <w:rStyle w:val="FootnoteReference"/>
          <w:rFonts w:asciiTheme="minorHAnsi" w:hAnsiTheme="minorHAnsi" w:cstheme="minorHAnsi"/>
          <w:sz w:val="24"/>
          <w:szCs w:val="24"/>
        </w:rPr>
        <w:footnoteReference w:id="91"/>
      </w:r>
      <w:r w:rsidRPr="0015067B">
        <w:rPr>
          <w:rFonts w:asciiTheme="minorHAnsi" w:hAnsiTheme="minorHAnsi" w:cstheme="minorHAnsi"/>
          <w:szCs w:val="24"/>
        </w:rPr>
        <w:t xml:space="preserve"> </w:t>
      </w:r>
    </w:p>
    <w:p w14:paraId="3D99C70D" w14:textId="2164DCC3" w:rsidR="00207740" w:rsidRDefault="00C03281" w:rsidP="00BE2D9D">
      <w:pPr>
        <w:spacing w:line="480" w:lineRule="auto"/>
        <w:ind w:firstLine="720"/>
        <w:jc w:val="both"/>
        <w:rPr>
          <w:rFonts w:asciiTheme="minorHAnsi" w:hAnsiTheme="minorHAnsi" w:cstheme="minorHAnsi"/>
          <w:szCs w:val="24"/>
        </w:rPr>
      </w:pPr>
      <w:r>
        <w:rPr>
          <w:rFonts w:asciiTheme="minorHAnsi" w:hAnsiTheme="minorHAnsi" w:cstheme="minorHAnsi"/>
          <w:szCs w:val="24"/>
        </w:rPr>
        <w:t>FirstEnergy offers limited support for these proposed changes</w:t>
      </w:r>
      <w:proofErr w:type="gramStart"/>
      <w:r>
        <w:rPr>
          <w:rFonts w:asciiTheme="minorHAnsi" w:hAnsiTheme="minorHAnsi" w:cstheme="minorHAnsi"/>
          <w:szCs w:val="24"/>
        </w:rPr>
        <w:t xml:space="preserve">.  </w:t>
      </w:r>
      <w:proofErr w:type="gramEnd"/>
      <w:r w:rsidR="00BE2D9D">
        <w:rPr>
          <w:rFonts w:asciiTheme="minorHAnsi" w:hAnsiTheme="minorHAnsi" w:cstheme="minorHAnsi"/>
          <w:szCs w:val="24"/>
        </w:rPr>
        <w:t>FirstEnergy Witness Stein testifie</w:t>
      </w:r>
      <w:r w:rsidR="005453CE">
        <w:rPr>
          <w:rFonts w:asciiTheme="minorHAnsi" w:hAnsiTheme="minorHAnsi" w:cstheme="minorHAnsi"/>
          <w:szCs w:val="24"/>
        </w:rPr>
        <w:t>d</w:t>
      </w:r>
      <w:r w:rsidR="00BE2D9D">
        <w:rPr>
          <w:rFonts w:asciiTheme="minorHAnsi" w:hAnsiTheme="minorHAnsi" w:cstheme="minorHAnsi"/>
          <w:szCs w:val="24"/>
        </w:rPr>
        <w:t xml:space="preserve"> that FirstEnergy is proposing to relinquish its role as CSP for Rider ELR customers in PJM because it </w:t>
      </w:r>
      <w:r w:rsidR="00AB546B">
        <w:rPr>
          <w:rFonts w:asciiTheme="minorHAnsi" w:hAnsiTheme="minorHAnsi" w:cstheme="minorHAnsi"/>
          <w:szCs w:val="24"/>
        </w:rPr>
        <w:t>“</w:t>
      </w:r>
      <w:r w:rsidR="00BE2D9D">
        <w:rPr>
          <w:rFonts w:asciiTheme="minorHAnsi" w:hAnsiTheme="minorHAnsi" w:cstheme="minorHAnsi"/>
          <w:szCs w:val="24"/>
        </w:rPr>
        <w:t xml:space="preserve">will improve the efficiency </w:t>
      </w:r>
      <w:r w:rsidR="005B1188">
        <w:rPr>
          <w:rFonts w:asciiTheme="minorHAnsi" w:hAnsiTheme="minorHAnsi" w:cstheme="minorHAnsi"/>
          <w:szCs w:val="24"/>
        </w:rPr>
        <w:t xml:space="preserve">of the administration </w:t>
      </w:r>
      <w:r w:rsidR="00BE2D9D">
        <w:rPr>
          <w:rFonts w:asciiTheme="minorHAnsi" w:hAnsiTheme="minorHAnsi" w:cstheme="minorHAnsi"/>
          <w:szCs w:val="24"/>
        </w:rPr>
        <w:t xml:space="preserve">of Rider ELR by eliminating the need for the Companies to operate as a CSP for a small number of customers” and </w:t>
      </w:r>
      <w:r w:rsidR="00945919">
        <w:rPr>
          <w:rFonts w:asciiTheme="minorHAnsi" w:hAnsiTheme="minorHAnsi" w:cstheme="minorHAnsi"/>
          <w:szCs w:val="24"/>
        </w:rPr>
        <w:t>“will enable [Rider ELR] customers to participate directly in multiple PJM demand response programs more efficiently.”</w:t>
      </w:r>
      <w:r w:rsidR="00945919">
        <w:rPr>
          <w:rStyle w:val="FootnoteReference"/>
          <w:rFonts w:asciiTheme="minorHAnsi" w:hAnsiTheme="minorHAnsi" w:cstheme="minorHAnsi"/>
          <w:szCs w:val="24"/>
        </w:rPr>
        <w:footnoteReference w:id="92"/>
      </w:r>
      <w:r w:rsidR="00945919">
        <w:rPr>
          <w:rFonts w:asciiTheme="minorHAnsi" w:hAnsiTheme="minorHAnsi" w:cstheme="minorHAnsi"/>
          <w:szCs w:val="24"/>
        </w:rPr>
        <w:t xml:space="preserve">  </w:t>
      </w:r>
      <w:r w:rsidR="00AB546B">
        <w:rPr>
          <w:rFonts w:asciiTheme="minorHAnsi" w:hAnsiTheme="minorHAnsi" w:cstheme="minorHAnsi"/>
          <w:szCs w:val="24"/>
        </w:rPr>
        <w:t>This proposal, however, does not account for the benefits provided by FirstEnergy retaining the CSP role for</w:t>
      </w:r>
      <w:r w:rsidR="00FD7639">
        <w:rPr>
          <w:rFonts w:asciiTheme="minorHAnsi" w:hAnsiTheme="minorHAnsi" w:cstheme="minorHAnsi"/>
          <w:szCs w:val="24"/>
        </w:rPr>
        <w:t xml:space="preserve"> both PJM curtailments and local, utility-level curtailments.  The Commission should deny the proposal because the benefits of FirstEnergy continuing to serve as the CSP as it does today outweigh the possible benefits of FirstEnergy giving up this role</w:t>
      </w:r>
      <w:r w:rsidR="009E6F88" w:rsidRPr="0015067B">
        <w:rPr>
          <w:rFonts w:asciiTheme="minorHAnsi" w:hAnsiTheme="minorHAnsi" w:cstheme="minorHAnsi"/>
          <w:szCs w:val="24"/>
        </w:rPr>
        <w:t>.</w:t>
      </w:r>
    </w:p>
    <w:p w14:paraId="0AF1440B" w14:textId="18308C45" w:rsidR="00894446" w:rsidRPr="00894446" w:rsidRDefault="00207740" w:rsidP="00EB01AE">
      <w:pPr>
        <w:spacing w:after="240"/>
        <w:ind w:left="2880" w:hanging="720"/>
        <w:jc w:val="both"/>
        <w:rPr>
          <w:rFonts w:asciiTheme="minorHAnsi" w:hAnsiTheme="minorHAnsi" w:cstheme="minorHAnsi"/>
          <w:b/>
          <w:bCs/>
          <w:szCs w:val="24"/>
        </w:rPr>
      </w:pPr>
      <w:r w:rsidRPr="00894446">
        <w:rPr>
          <w:rFonts w:asciiTheme="minorHAnsi" w:hAnsiTheme="minorHAnsi" w:cstheme="minorHAnsi"/>
          <w:b/>
          <w:bCs/>
          <w:szCs w:val="24"/>
        </w:rPr>
        <w:t>a.</w:t>
      </w:r>
      <w:r w:rsidRPr="00894446">
        <w:rPr>
          <w:rFonts w:asciiTheme="minorHAnsi" w:hAnsiTheme="minorHAnsi" w:cstheme="minorHAnsi"/>
          <w:b/>
          <w:bCs/>
          <w:szCs w:val="24"/>
        </w:rPr>
        <w:tab/>
        <w:t xml:space="preserve">If FirstEnergy no longer serves as the CSP for Rider ELR customers, FirstEnergy’s other customers will no longer receive PJM revenue to </w:t>
      </w:r>
      <w:r w:rsidR="008D1ED4">
        <w:rPr>
          <w:rFonts w:asciiTheme="minorHAnsi" w:hAnsiTheme="minorHAnsi" w:cstheme="minorHAnsi"/>
          <w:b/>
          <w:bCs/>
          <w:szCs w:val="24"/>
        </w:rPr>
        <w:t>mitigate</w:t>
      </w:r>
      <w:r w:rsidRPr="00894446">
        <w:rPr>
          <w:rFonts w:asciiTheme="minorHAnsi" w:hAnsiTheme="minorHAnsi" w:cstheme="minorHAnsi"/>
          <w:b/>
          <w:bCs/>
          <w:szCs w:val="24"/>
        </w:rPr>
        <w:t xml:space="preserve"> the cost of the ELR credits</w:t>
      </w:r>
      <w:r w:rsidR="00EB01AE">
        <w:rPr>
          <w:rFonts w:asciiTheme="minorHAnsi" w:hAnsiTheme="minorHAnsi" w:cstheme="minorHAnsi"/>
          <w:b/>
          <w:bCs/>
          <w:szCs w:val="24"/>
        </w:rPr>
        <w:fldChar w:fldCharType="begin"/>
      </w:r>
      <w:r w:rsidR="00EB01AE">
        <w:instrText xml:space="preserve"> TC "</w:instrText>
      </w:r>
      <w:bookmarkStart w:id="34" w:name="_Toc156549247"/>
      <w:bookmarkStart w:id="35" w:name="_Toc156549320"/>
      <w:r w:rsidR="00EB01AE" w:rsidRPr="004D61F6">
        <w:rPr>
          <w:rFonts w:asciiTheme="minorHAnsi" w:hAnsiTheme="minorHAnsi" w:cstheme="minorHAnsi"/>
          <w:b/>
          <w:bCs/>
          <w:szCs w:val="24"/>
        </w:rPr>
        <w:instrText>a.</w:instrText>
      </w:r>
      <w:r w:rsidR="00EB01AE" w:rsidRPr="004D61F6">
        <w:rPr>
          <w:rFonts w:asciiTheme="minorHAnsi" w:hAnsiTheme="minorHAnsi" w:cstheme="minorHAnsi"/>
          <w:b/>
          <w:bCs/>
          <w:szCs w:val="24"/>
        </w:rPr>
        <w:tab/>
        <w:instrText>If FirstEnergy no longer serves as the CSP for Rider ELR customers, FirstEnergy’s other customers will no longer receive PJM revenue to mitigate the cost of the ELR credits</w:instrText>
      </w:r>
      <w:bookmarkEnd w:id="34"/>
      <w:bookmarkEnd w:id="35"/>
      <w:r w:rsidR="00EB01AE">
        <w:instrText xml:space="preserve">" \f C \l "4" </w:instrText>
      </w:r>
      <w:r w:rsidR="00EB01AE">
        <w:rPr>
          <w:rFonts w:asciiTheme="minorHAnsi" w:hAnsiTheme="minorHAnsi" w:cstheme="minorHAnsi"/>
          <w:b/>
          <w:bCs/>
          <w:szCs w:val="24"/>
        </w:rPr>
        <w:fldChar w:fldCharType="end"/>
      </w:r>
    </w:p>
    <w:p w14:paraId="464193B6" w14:textId="5EA2A0C8" w:rsidR="00B40BE8" w:rsidRDefault="009E6F88" w:rsidP="009E6F88">
      <w:pPr>
        <w:spacing w:line="480" w:lineRule="auto"/>
        <w:ind w:firstLine="720"/>
        <w:jc w:val="both"/>
        <w:rPr>
          <w:rFonts w:asciiTheme="minorHAnsi" w:hAnsiTheme="minorHAnsi" w:cstheme="minorHAnsi"/>
          <w:szCs w:val="24"/>
        </w:rPr>
      </w:pPr>
      <w:r w:rsidRPr="0015067B">
        <w:rPr>
          <w:rFonts w:asciiTheme="minorHAnsi" w:hAnsiTheme="minorHAnsi" w:cstheme="minorHAnsi"/>
          <w:szCs w:val="24"/>
        </w:rPr>
        <w:t xml:space="preserve">FirstEnergy’s proposal to </w:t>
      </w:r>
      <w:proofErr w:type="gramStart"/>
      <w:r w:rsidRPr="0015067B">
        <w:rPr>
          <w:rFonts w:asciiTheme="minorHAnsi" w:hAnsiTheme="minorHAnsi" w:cstheme="minorHAnsi"/>
          <w:szCs w:val="24"/>
        </w:rPr>
        <w:t>no longer remain the CSP</w:t>
      </w:r>
      <w:proofErr w:type="gramEnd"/>
      <w:r w:rsidRPr="0015067B">
        <w:rPr>
          <w:rFonts w:asciiTheme="minorHAnsi" w:hAnsiTheme="minorHAnsi" w:cstheme="minorHAnsi"/>
          <w:szCs w:val="24"/>
        </w:rPr>
        <w:t xml:space="preserve"> for Rider ELR customers would result in the Companies forfeiting millions of dollars of payments from PJM</w:t>
      </w:r>
      <w:r w:rsidR="00912B5F">
        <w:rPr>
          <w:rFonts w:asciiTheme="minorHAnsi" w:hAnsiTheme="minorHAnsi" w:cstheme="minorHAnsi"/>
          <w:szCs w:val="24"/>
        </w:rPr>
        <w:t xml:space="preserve"> that</w:t>
      </w:r>
      <w:r w:rsidRPr="0015067B">
        <w:rPr>
          <w:rFonts w:asciiTheme="minorHAnsi" w:hAnsiTheme="minorHAnsi" w:cstheme="minorHAnsi"/>
          <w:szCs w:val="24"/>
        </w:rPr>
        <w:t xml:space="preserve"> benefit non-ELR customers.  </w:t>
      </w:r>
      <w:r w:rsidR="005453CE">
        <w:rPr>
          <w:rFonts w:asciiTheme="minorHAnsi" w:hAnsiTheme="minorHAnsi" w:cstheme="minorHAnsi"/>
          <w:szCs w:val="24"/>
        </w:rPr>
        <w:t>O</w:t>
      </w:r>
      <w:r w:rsidRPr="0015067B">
        <w:rPr>
          <w:rFonts w:asciiTheme="minorHAnsi" w:hAnsiTheme="minorHAnsi" w:cstheme="minorHAnsi"/>
          <w:szCs w:val="24"/>
        </w:rPr>
        <w:t>ver the course of the ESP, FirstEnergy credited to customers approximately $17.4 million for capacity payments resulting from Rider ELR load enrollment in PJM.</w:t>
      </w:r>
      <w:r w:rsidRPr="0015067B">
        <w:rPr>
          <w:rStyle w:val="FootnoteReference"/>
          <w:rFonts w:asciiTheme="minorHAnsi" w:hAnsiTheme="minorHAnsi" w:cstheme="minorHAnsi"/>
          <w:sz w:val="24"/>
          <w:szCs w:val="24"/>
        </w:rPr>
        <w:footnoteReference w:id="93"/>
      </w:r>
      <w:r w:rsidR="00DF2082">
        <w:rPr>
          <w:rFonts w:asciiTheme="minorHAnsi" w:hAnsiTheme="minorHAnsi" w:cstheme="minorHAnsi"/>
          <w:szCs w:val="24"/>
        </w:rPr>
        <w:t xml:space="preserve">  FirstEnergy </w:t>
      </w:r>
      <w:r w:rsidR="00B40BE8">
        <w:rPr>
          <w:rFonts w:asciiTheme="minorHAnsi" w:hAnsiTheme="minorHAnsi" w:cstheme="minorHAnsi"/>
          <w:szCs w:val="24"/>
        </w:rPr>
        <w:t>Witness McMillen acknowledges that non-ELR customers would no longer receive these payments under FirstEnergy’s proposal but dismisses the impact, noting that the historic levels of PJM revenues are less than the estimated rate reduction to other customers from annually decreasing the credits as FirstEnergy proposes.</w:t>
      </w:r>
      <w:r w:rsidR="00B40BE8">
        <w:rPr>
          <w:rStyle w:val="FootnoteReference"/>
          <w:rFonts w:asciiTheme="minorHAnsi" w:hAnsiTheme="minorHAnsi" w:cstheme="minorHAnsi"/>
          <w:szCs w:val="24"/>
        </w:rPr>
        <w:footnoteReference w:id="94"/>
      </w:r>
      <w:r w:rsidR="00B40BE8">
        <w:rPr>
          <w:rFonts w:asciiTheme="minorHAnsi" w:hAnsiTheme="minorHAnsi" w:cstheme="minorHAnsi"/>
          <w:szCs w:val="24"/>
        </w:rPr>
        <w:t xml:space="preserve"> </w:t>
      </w:r>
    </w:p>
    <w:p w14:paraId="35A30773" w14:textId="07942D09" w:rsidR="00DF2082" w:rsidRDefault="00B40BE8" w:rsidP="009E6F88">
      <w:pPr>
        <w:spacing w:line="480" w:lineRule="auto"/>
        <w:ind w:firstLine="720"/>
        <w:jc w:val="both"/>
        <w:rPr>
          <w:rFonts w:asciiTheme="minorHAnsi" w:hAnsiTheme="minorHAnsi" w:cstheme="minorHAnsi"/>
          <w:szCs w:val="24"/>
        </w:rPr>
      </w:pPr>
      <w:r>
        <w:rPr>
          <w:rFonts w:asciiTheme="minorHAnsi" w:hAnsiTheme="minorHAnsi" w:cstheme="minorHAnsi"/>
          <w:szCs w:val="24"/>
        </w:rPr>
        <w:t xml:space="preserve">No one knows for sure what PJM capacity costs will be over the course of ESP </w:t>
      </w:r>
      <w:proofErr w:type="gramStart"/>
      <w:r>
        <w:rPr>
          <w:rFonts w:asciiTheme="minorHAnsi" w:hAnsiTheme="minorHAnsi" w:cstheme="minorHAnsi"/>
          <w:szCs w:val="24"/>
        </w:rPr>
        <w:t xml:space="preserve">V.  </w:t>
      </w:r>
      <w:proofErr w:type="gramEnd"/>
      <w:r>
        <w:rPr>
          <w:rFonts w:asciiTheme="minorHAnsi" w:hAnsiTheme="minorHAnsi" w:cstheme="minorHAnsi"/>
          <w:szCs w:val="24"/>
        </w:rPr>
        <w:t xml:space="preserve">Nevertheless, </w:t>
      </w:r>
      <w:r w:rsidR="00461FB2">
        <w:rPr>
          <w:rFonts w:asciiTheme="minorHAnsi" w:hAnsiTheme="minorHAnsi" w:cstheme="minorHAnsi"/>
          <w:szCs w:val="24"/>
        </w:rPr>
        <w:t xml:space="preserve">as discussed in detail above, </w:t>
      </w:r>
      <w:r>
        <w:rPr>
          <w:rFonts w:asciiTheme="minorHAnsi" w:hAnsiTheme="minorHAnsi" w:cstheme="minorHAnsi"/>
          <w:szCs w:val="24"/>
        </w:rPr>
        <w:t>capacity prices are currently at historical lows, and capacity prices are more likely to increase rather than decrease further</w:t>
      </w:r>
      <w:r w:rsidR="00461FB2">
        <w:rPr>
          <w:rFonts w:asciiTheme="minorHAnsi" w:hAnsiTheme="minorHAnsi" w:cstheme="minorHAnsi"/>
          <w:szCs w:val="24"/>
        </w:rPr>
        <w:t>, due to factors such as the energy transition and changes in PJM’s market</w:t>
      </w:r>
      <w:r>
        <w:rPr>
          <w:rFonts w:asciiTheme="minorHAnsi" w:hAnsiTheme="minorHAnsi" w:cstheme="minorHAnsi"/>
          <w:szCs w:val="24"/>
        </w:rPr>
        <w:t>.</w:t>
      </w:r>
      <w:r w:rsidR="00461FB2">
        <w:rPr>
          <w:rStyle w:val="FootnoteReference"/>
          <w:rFonts w:asciiTheme="minorHAnsi" w:hAnsiTheme="minorHAnsi" w:cstheme="minorHAnsi"/>
          <w:szCs w:val="24"/>
        </w:rPr>
        <w:footnoteReference w:id="95"/>
      </w:r>
      <w:r>
        <w:rPr>
          <w:rFonts w:asciiTheme="minorHAnsi" w:hAnsiTheme="minorHAnsi" w:cstheme="minorHAnsi"/>
          <w:szCs w:val="24"/>
        </w:rPr>
        <w:t xml:space="preserve">  If capacity prices increase, and if FirstEnergy were to continue serving as the CSP and bidding ELR load into the capacity market, customers will receive higher credits to reduce the cost impact of the Rider ELR credits.</w:t>
      </w:r>
      <w:r w:rsidR="00461FB2">
        <w:rPr>
          <w:rStyle w:val="FootnoteReference"/>
          <w:rFonts w:asciiTheme="minorHAnsi" w:hAnsiTheme="minorHAnsi" w:cstheme="minorHAnsi"/>
          <w:szCs w:val="24"/>
        </w:rPr>
        <w:footnoteReference w:id="96"/>
      </w:r>
      <w:r>
        <w:rPr>
          <w:rFonts w:asciiTheme="minorHAnsi" w:hAnsiTheme="minorHAnsi" w:cstheme="minorHAnsi"/>
          <w:szCs w:val="24"/>
        </w:rPr>
        <w:t xml:space="preserve"> </w:t>
      </w:r>
      <w:r w:rsidR="009E6F88" w:rsidRPr="0015067B">
        <w:rPr>
          <w:rFonts w:asciiTheme="minorHAnsi" w:hAnsiTheme="minorHAnsi" w:cstheme="minorHAnsi"/>
          <w:szCs w:val="24"/>
        </w:rPr>
        <w:t xml:space="preserve">  </w:t>
      </w:r>
    </w:p>
    <w:p w14:paraId="06D2EFF8" w14:textId="31B025D6" w:rsidR="00DF2082" w:rsidRDefault="00DA6E43" w:rsidP="001E57F7">
      <w:pPr>
        <w:spacing w:line="480" w:lineRule="auto"/>
        <w:ind w:firstLine="720"/>
        <w:jc w:val="both"/>
        <w:rPr>
          <w:rFonts w:ascii="Calibri" w:hAnsi="Calibri"/>
        </w:rPr>
      </w:pPr>
      <w:r>
        <w:rPr>
          <w:rFonts w:asciiTheme="minorHAnsi" w:hAnsiTheme="minorHAnsi" w:cstheme="minorHAnsi"/>
          <w:szCs w:val="24"/>
        </w:rPr>
        <w:t xml:space="preserve">In addition to </w:t>
      </w:r>
      <w:r w:rsidR="00127170">
        <w:rPr>
          <w:rFonts w:asciiTheme="minorHAnsi" w:hAnsiTheme="minorHAnsi" w:cstheme="minorHAnsi"/>
          <w:szCs w:val="24"/>
        </w:rPr>
        <w:t>the payments FirstEnergy receives from PJM for bidding Rider ELR load into the capacity markets, FirstEnergy also can receive payments when the ELR</w:t>
      </w:r>
      <w:r w:rsidR="00C17089">
        <w:rPr>
          <w:rFonts w:asciiTheme="minorHAnsi" w:hAnsiTheme="minorHAnsi" w:cstheme="minorHAnsi"/>
          <w:szCs w:val="24"/>
        </w:rPr>
        <w:t xml:space="preserve"> customers</w:t>
      </w:r>
      <w:r w:rsidR="00127170">
        <w:rPr>
          <w:rFonts w:asciiTheme="minorHAnsi" w:hAnsiTheme="minorHAnsi" w:cstheme="minorHAnsi"/>
          <w:szCs w:val="24"/>
        </w:rPr>
        <w:t xml:space="preserve"> perform during an emergency event</w:t>
      </w:r>
      <w:proofErr w:type="gramStart"/>
      <w:r w:rsidR="00127170">
        <w:rPr>
          <w:rFonts w:asciiTheme="minorHAnsi" w:hAnsiTheme="minorHAnsi" w:cstheme="minorHAnsi"/>
          <w:szCs w:val="24"/>
        </w:rPr>
        <w:t xml:space="preserve">.  </w:t>
      </w:r>
      <w:proofErr w:type="gramEnd"/>
      <w:r w:rsidR="00127170">
        <w:rPr>
          <w:rFonts w:asciiTheme="minorHAnsi" w:hAnsiTheme="minorHAnsi" w:cstheme="minorHAnsi"/>
          <w:szCs w:val="24"/>
        </w:rPr>
        <w:t xml:space="preserve">In the case of the Winter Storm Elliott event, FirstEnergy </w:t>
      </w:r>
      <w:r w:rsidR="009E6F88" w:rsidRPr="0015067B">
        <w:rPr>
          <w:rFonts w:asciiTheme="minorHAnsi" w:hAnsiTheme="minorHAnsi" w:cstheme="minorHAnsi"/>
          <w:szCs w:val="24"/>
        </w:rPr>
        <w:t xml:space="preserve">received performance payments in the amount of $11.4 million for </w:t>
      </w:r>
      <w:r w:rsidR="00127170">
        <w:rPr>
          <w:rFonts w:asciiTheme="minorHAnsi" w:hAnsiTheme="minorHAnsi" w:cstheme="minorHAnsi"/>
          <w:szCs w:val="24"/>
        </w:rPr>
        <w:t>the performance of the Rider ELR customers</w:t>
      </w:r>
      <w:r w:rsidR="009E6F88" w:rsidRPr="0015067B">
        <w:rPr>
          <w:rFonts w:asciiTheme="minorHAnsi" w:hAnsiTheme="minorHAnsi" w:cstheme="minorHAnsi"/>
          <w:szCs w:val="24"/>
        </w:rPr>
        <w:t>.</w:t>
      </w:r>
      <w:r w:rsidR="009E6F88" w:rsidRPr="0015067B">
        <w:rPr>
          <w:rStyle w:val="FootnoteReference"/>
          <w:rFonts w:asciiTheme="minorHAnsi" w:hAnsiTheme="minorHAnsi" w:cstheme="minorHAnsi"/>
          <w:sz w:val="24"/>
          <w:szCs w:val="24"/>
        </w:rPr>
        <w:footnoteReference w:id="97"/>
      </w:r>
      <w:r w:rsidR="00127170">
        <w:rPr>
          <w:rFonts w:asciiTheme="minorHAnsi" w:hAnsiTheme="minorHAnsi" w:cstheme="minorHAnsi"/>
          <w:szCs w:val="24"/>
        </w:rPr>
        <w:t xml:space="preserve">  Non-ELR customers will receive 80% of this $11.4 million payment.</w:t>
      </w:r>
      <w:r w:rsidR="00127170">
        <w:rPr>
          <w:rStyle w:val="FootnoteReference"/>
          <w:rFonts w:asciiTheme="minorHAnsi" w:hAnsiTheme="minorHAnsi" w:cstheme="minorHAnsi"/>
          <w:szCs w:val="24"/>
        </w:rPr>
        <w:footnoteReference w:id="98"/>
      </w:r>
      <w:r w:rsidR="001E57F7">
        <w:rPr>
          <w:rFonts w:asciiTheme="minorHAnsi" w:hAnsiTheme="minorHAnsi" w:cstheme="minorHAnsi"/>
          <w:szCs w:val="24"/>
        </w:rPr>
        <w:t xml:space="preserve">  F</w:t>
      </w:r>
      <w:r w:rsidR="00DF2082">
        <w:rPr>
          <w:rFonts w:ascii="Calibri" w:hAnsi="Calibri"/>
        </w:rPr>
        <w:t>inally, in addition to direct payments for the ELR load’s participation in the PJM capacity markets, bidding this curtailable load into the capacity market may also reduce the overall cost of capacity in PJM by displacing higher-cost capacity resources.</w:t>
      </w:r>
      <w:r w:rsidR="00DF2082">
        <w:rPr>
          <w:rStyle w:val="FootnoteReference"/>
          <w:rFonts w:ascii="Calibri" w:hAnsi="Calibri"/>
        </w:rPr>
        <w:footnoteReference w:id="99"/>
      </w:r>
    </w:p>
    <w:p w14:paraId="5FCDA29B" w14:textId="75E0B7BC" w:rsidR="000029CE" w:rsidRDefault="000029CE" w:rsidP="000029CE">
      <w:pPr>
        <w:spacing w:line="480" w:lineRule="auto"/>
        <w:jc w:val="both"/>
        <w:rPr>
          <w:rFonts w:asciiTheme="minorHAnsi" w:hAnsiTheme="minorHAnsi" w:cstheme="minorHAnsi"/>
          <w:szCs w:val="24"/>
        </w:rPr>
      </w:pPr>
      <w:r>
        <w:rPr>
          <w:rFonts w:ascii="Calibri" w:hAnsi="Calibri"/>
        </w:rPr>
        <w:tab/>
        <w:t>Under FirstEnergy’s proposal, while ELR customers would be required to participate in PJM, non-ELR customers would receive no</w:t>
      </w:r>
      <w:r w:rsidR="004A0651">
        <w:rPr>
          <w:rFonts w:ascii="Calibri" w:hAnsi="Calibri"/>
        </w:rPr>
        <w:t xml:space="preserve"> </w:t>
      </w:r>
      <w:r w:rsidR="00491E3F">
        <w:rPr>
          <w:rFonts w:ascii="Calibri" w:hAnsi="Calibri"/>
        </w:rPr>
        <w:t>PJM payments to offset the cost of the Rider ELR credits as they do today</w:t>
      </w:r>
      <w:proofErr w:type="gramStart"/>
      <w:r>
        <w:rPr>
          <w:rFonts w:ascii="Calibri" w:hAnsi="Calibri"/>
        </w:rPr>
        <w:t xml:space="preserve">.  </w:t>
      </w:r>
      <w:proofErr w:type="gramEnd"/>
      <w:r>
        <w:rPr>
          <w:rFonts w:ascii="Calibri" w:hAnsi="Calibri"/>
        </w:rPr>
        <w:t>The better approach is to have FirstEnergy continue in it</w:t>
      </w:r>
      <w:r w:rsidR="005D1BDE">
        <w:rPr>
          <w:rFonts w:ascii="Calibri" w:hAnsi="Calibri"/>
        </w:rPr>
        <w:t>s</w:t>
      </w:r>
      <w:r>
        <w:rPr>
          <w:rFonts w:ascii="Calibri" w:hAnsi="Calibri"/>
        </w:rPr>
        <w:t xml:space="preserve"> role as CSP, bid the Rider ELR load into the capacity market, and pass back the revenues received from PJM to non-ELR customers as a</w:t>
      </w:r>
      <w:r w:rsidR="005D1BDE">
        <w:rPr>
          <w:rFonts w:ascii="Calibri" w:hAnsi="Calibri"/>
        </w:rPr>
        <w:t xml:space="preserve"> reduction to the cost of </w:t>
      </w:r>
      <w:r>
        <w:rPr>
          <w:rFonts w:ascii="Calibri" w:hAnsi="Calibri"/>
        </w:rPr>
        <w:t>the ELR credits.</w:t>
      </w:r>
    </w:p>
    <w:p w14:paraId="7C3B7A2D" w14:textId="79B93D86" w:rsidR="009E6F88" w:rsidRPr="00680254" w:rsidRDefault="00680254" w:rsidP="009E138D">
      <w:pPr>
        <w:keepNext/>
        <w:spacing w:after="240"/>
        <w:ind w:left="2880" w:hanging="720"/>
        <w:jc w:val="both"/>
        <w:rPr>
          <w:rFonts w:asciiTheme="minorHAnsi" w:hAnsiTheme="minorHAnsi" w:cstheme="minorHAnsi"/>
          <w:b/>
          <w:bCs/>
          <w:szCs w:val="24"/>
        </w:rPr>
      </w:pPr>
      <w:r w:rsidRPr="00680254">
        <w:rPr>
          <w:rFonts w:asciiTheme="minorHAnsi" w:hAnsiTheme="minorHAnsi" w:cstheme="minorHAnsi"/>
          <w:b/>
          <w:bCs/>
          <w:szCs w:val="24"/>
        </w:rPr>
        <w:t>b.</w:t>
      </w:r>
      <w:r w:rsidRPr="00680254">
        <w:rPr>
          <w:rFonts w:asciiTheme="minorHAnsi" w:hAnsiTheme="minorHAnsi" w:cstheme="minorHAnsi"/>
          <w:b/>
          <w:bCs/>
          <w:szCs w:val="24"/>
        </w:rPr>
        <w:tab/>
        <w:t xml:space="preserve">Retaining FirstEnergy as the CSP is the most straightforward </w:t>
      </w:r>
      <w:r w:rsidR="00786579">
        <w:rPr>
          <w:rFonts w:asciiTheme="minorHAnsi" w:hAnsiTheme="minorHAnsi" w:cstheme="minorHAnsi"/>
          <w:b/>
          <w:bCs/>
          <w:szCs w:val="24"/>
        </w:rPr>
        <w:t xml:space="preserve">and efficient </w:t>
      </w:r>
      <w:r w:rsidRPr="00680254">
        <w:rPr>
          <w:rFonts w:asciiTheme="minorHAnsi" w:hAnsiTheme="minorHAnsi" w:cstheme="minorHAnsi"/>
          <w:b/>
          <w:bCs/>
          <w:szCs w:val="24"/>
        </w:rPr>
        <w:t xml:space="preserve">approach </w:t>
      </w:r>
      <w:r w:rsidR="00786579">
        <w:rPr>
          <w:rFonts w:asciiTheme="minorHAnsi" w:hAnsiTheme="minorHAnsi" w:cstheme="minorHAnsi"/>
          <w:b/>
          <w:bCs/>
          <w:szCs w:val="24"/>
        </w:rPr>
        <w:t>to</w:t>
      </w:r>
      <w:r w:rsidRPr="00680254">
        <w:rPr>
          <w:rFonts w:asciiTheme="minorHAnsi" w:hAnsiTheme="minorHAnsi" w:cstheme="minorHAnsi"/>
          <w:b/>
          <w:bCs/>
          <w:szCs w:val="24"/>
        </w:rPr>
        <w:t xml:space="preserve"> managing the ELR load</w:t>
      </w:r>
      <w:r w:rsidR="00EB01AE">
        <w:rPr>
          <w:rFonts w:asciiTheme="minorHAnsi" w:hAnsiTheme="minorHAnsi" w:cstheme="minorHAnsi"/>
          <w:b/>
          <w:bCs/>
          <w:szCs w:val="24"/>
        </w:rPr>
        <w:fldChar w:fldCharType="begin"/>
      </w:r>
      <w:r w:rsidR="00EB01AE">
        <w:instrText xml:space="preserve"> TC "</w:instrText>
      </w:r>
      <w:bookmarkStart w:id="36" w:name="_Toc156549248"/>
      <w:bookmarkStart w:id="37" w:name="_Toc156549321"/>
      <w:r w:rsidR="00EB01AE" w:rsidRPr="002B4A50">
        <w:rPr>
          <w:rFonts w:asciiTheme="minorHAnsi" w:hAnsiTheme="minorHAnsi" w:cstheme="minorHAnsi"/>
          <w:b/>
          <w:bCs/>
          <w:szCs w:val="24"/>
        </w:rPr>
        <w:instrText>b.</w:instrText>
      </w:r>
      <w:r w:rsidR="00EB01AE" w:rsidRPr="002B4A50">
        <w:rPr>
          <w:rFonts w:asciiTheme="minorHAnsi" w:hAnsiTheme="minorHAnsi" w:cstheme="minorHAnsi"/>
          <w:b/>
          <w:bCs/>
          <w:szCs w:val="24"/>
        </w:rPr>
        <w:tab/>
        <w:instrText>Retaining FirstEnergy as the CSP is the most straightforward and efficient approach to managing the ELR load</w:instrText>
      </w:r>
      <w:bookmarkEnd w:id="36"/>
      <w:bookmarkEnd w:id="37"/>
      <w:r w:rsidR="00EB01AE">
        <w:instrText xml:space="preserve">" \f C \l "4" </w:instrText>
      </w:r>
      <w:r w:rsidR="00EB01AE">
        <w:rPr>
          <w:rFonts w:asciiTheme="minorHAnsi" w:hAnsiTheme="minorHAnsi" w:cstheme="minorHAnsi"/>
          <w:b/>
          <w:bCs/>
          <w:szCs w:val="24"/>
        </w:rPr>
        <w:fldChar w:fldCharType="end"/>
      </w:r>
    </w:p>
    <w:p w14:paraId="51F4B857" w14:textId="42A6F3F1" w:rsidR="0042545A" w:rsidRDefault="0042545A" w:rsidP="009E138D">
      <w:pPr>
        <w:keepNext/>
        <w:spacing w:line="480" w:lineRule="auto"/>
        <w:ind w:firstLine="720"/>
        <w:jc w:val="both"/>
        <w:rPr>
          <w:rFonts w:asciiTheme="minorHAnsi" w:hAnsiTheme="minorHAnsi" w:cstheme="minorHAnsi"/>
          <w:szCs w:val="24"/>
        </w:rPr>
      </w:pPr>
      <w:r>
        <w:rPr>
          <w:rFonts w:asciiTheme="minorHAnsi" w:hAnsiTheme="minorHAnsi" w:cstheme="minorHAnsi"/>
          <w:szCs w:val="24"/>
        </w:rPr>
        <w:t>Currently, a Rider ELR curtailment can be triggered by a PJM event, or a local reliability emergency</w:t>
      </w:r>
      <w:proofErr w:type="gramStart"/>
      <w:r>
        <w:rPr>
          <w:rFonts w:asciiTheme="minorHAnsi" w:hAnsiTheme="minorHAnsi" w:cstheme="minorHAnsi"/>
          <w:szCs w:val="24"/>
        </w:rPr>
        <w:t xml:space="preserve">.  </w:t>
      </w:r>
      <w:proofErr w:type="gramEnd"/>
      <w:r>
        <w:rPr>
          <w:rFonts w:asciiTheme="minorHAnsi" w:hAnsiTheme="minorHAnsi" w:cstheme="minorHAnsi"/>
          <w:szCs w:val="24"/>
        </w:rPr>
        <w:t xml:space="preserve">While </w:t>
      </w:r>
      <w:proofErr w:type="gramStart"/>
      <w:r>
        <w:rPr>
          <w:rFonts w:asciiTheme="minorHAnsi" w:hAnsiTheme="minorHAnsi" w:cstheme="minorHAnsi"/>
          <w:szCs w:val="24"/>
        </w:rPr>
        <w:t>interruptions can be called by PJM</w:t>
      </w:r>
      <w:proofErr w:type="gramEnd"/>
      <w:r>
        <w:rPr>
          <w:rFonts w:asciiTheme="minorHAnsi" w:hAnsiTheme="minorHAnsi" w:cstheme="minorHAnsi"/>
          <w:szCs w:val="24"/>
        </w:rPr>
        <w:t>, ATSI, or a utility, since FirstEnergy is the CSP, the relevant FirstEnergy utility is the single point of contact for all interruptions under Rider ELR.  Under FirstEnergy’s proposal,</w:t>
      </w:r>
      <w:r w:rsidR="00182C02">
        <w:rPr>
          <w:rFonts w:asciiTheme="minorHAnsi" w:hAnsiTheme="minorHAnsi" w:cstheme="minorHAnsi"/>
          <w:szCs w:val="24"/>
        </w:rPr>
        <w:t xml:space="preserve"> FirstEnergy will be “out of the loop” </w:t>
      </w:r>
      <w:proofErr w:type="gramStart"/>
      <w:r w:rsidR="00182C02">
        <w:rPr>
          <w:rFonts w:asciiTheme="minorHAnsi" w:hAnsiTheme="minorHAnsi" w:cstheme="minorHAnsi"/>
          <w:szCs w:val="24"/>
        </w:rPr>
        <w:t>with regard to</w:t>
      </w:r>
      <w:proofErr w:type="gramEnd"/>
      <w:r w:rsidR="00182C02">
        <w:rPr>
          <w:rFonts w:asciiTheme="minorHAnsi" w:hAnsiTheme="minorHAnsi" w:cstheme="minorHAnsi"/>
          <w:szCs w:val="24"/>
        </w:rPr>
        <w:t xml:space="preserve"> curtailments called by PJM,</w:t>
      </w:r>
      <w:r w:rsidR="00182C02">
        <w:rPr>
          <w:rStyle w:val="FootnoteReference"/>
          <w:rFonts w:asciiTheme="minorHAnsi" w:hAnsiTheme="minorHAnsi" w:cstheme="minorHAnsi"/>
          <w:szCs w:val="24"/>
        </w:rPr>
        <w:footnoteReference w:id="100"/>
      </w:r>
      <w:r w:rsidR="00182C02">
        <w:rPr>
          <w:rFonts w:asciiTheme="minorHAnsi" w:hAnsiTheme="minorHAnsi" w:cstheme="minorHAnsi"/>
          <w:szCs w:val="24"/>
        </w:rPr>
        <w:t xml:space="preserve"> and </w:t>
      </w:r>
      <w:r w:rsidR="00D117DE">
        <w:rPr>
          <w:rFonts w:asciiTheme="minorHAnsi" w:hAnsiTheme="minorHAnsi" w:cstheme="minorHAnsi"/>
          <w:szCs w:val="24"/>
        </w:rPr>
        <w:t>a</w:t>
      </w:r>
      <w:r>
        <w:rPr>
          <w:rFonts w:asciiTheme="minorHAnsi" w:hAnsiTheme="minorHAnsi" w:cstheme="minorHAnsi"/>
          <w:szCs w:val="24"/>
        </w:rPr>
        <w:t xml:space="preserve"> third-party CSP would be the point of contact for PJM interruptions while the FirstEnergy utility will serve as the point of contact for local interruptions.  </w:t>
      </w:r>
    </w:p>
    <w:p w14:paraId="0097CA1D" w14:textId="5BA82E41" w:rsidR="009711AF" w:rsidRDefault="0050262B" w:rsidP="009E6F88">
      <w:pPr>
        <w:spacing w:line="480" w:lineRule="auto"/>
        <w:ind w:firstLine="720"/>
        <w:jc w:val="both"/>
        <w:rPr>
          <w:rFonts w:asciiTheme="minorHAnsi" w:hAnsiTheme="minorHAnsi" w:cstheme="minorHAnsi"/>
          <w:szCs w:val="24"/>
        </w:rPr>
      </w:pPr>
      <w:r>
        <w:rPr>
          <w:rFonts w:asciiTheme="minorHAnsi" w:hAnsiTheme="minorHAnsi" w:cstheme="minorHAnsi"/>
          <w:szCs w:val="24"/>
        </w:rPr>
        <w:t xml:space="preserve">The Commission should reject </w:t>
      </w:r>
      <w:r w:rsidR="009E6F88" w:rsidRPr="0015067B">
        <w:rPr>
          <w:rFonts w:asciiTheme="minorHAnsi" w:hAnsiTheme="minorHAnsi" w:cstheme="minorHAnsi"/>
          <w:szCs w:val="24"/>
        </w:rPr>
        <w:t>FirstEnergy</w:t>
      </w:r>
      <w:r>
        <w:rPr>
          <w:rFonts w:asciiTheme="minorHAnsi" w:hAnsiTheme="minorHAnsi" w:cstheme="minorHAnsi"/>
          <w:szCs w:val="24"/>
        </w:rPr>
        <w:t>’s proposal</w:t>
      </w:r>
      <w:r w:rsidR="009E6F88" w:rsidRPr="0015067B">
        <w:rPr>
          <w:rFonts w:asciiTheme="minorHAnsi" w:hAnsiTheme="minorHAnsi" w:cstheme="minorHAnsi"/>
          <w:szCs w:val="24"/>
        </w:rPr>
        <w:t xml:space="preserve"> because it is </w:t>
      </w:r>
      <w:r w:rsidR="00D117DE">
        <w:rPr>
          <w:rFonts w:asciiTheme="minorHAnsi" w:hAnsiTheme="minorHAnsi" w:cstheme="minorHAnsi"/>
          <w:szCs w:val="24"/>
        </w:rPr>
        <w:t xml:space="preserve">simpler and </w:t>
      </w:r>
      <w:r w:rsidR="009E6F88" w:rsidRPr="0015067B">
        <w:rPr>
          <w:rFonts w:asciiTheme="minorHAnsi" w:hAnsiTheme="minorHAnsi" w:cstheme="minorHAnsi"/>
          <w:szCs w:val="24"/>
        </w:rPr>
        <w:t>more efficient</w:t>
      </w:r>
      <w:r w:rsidR="00017402">
        <w:rPr>
          <w:rFonts w:asciiTheme="minorHAnsi" w:hAnsiTheme="minorHAnsi" w:cstheme="minorHAnsi"/>
          <w:szCs w:val="24"/>
        </w:rPr>
        <w:t xml:space="preserve"> for FirstEnergy to remain the </w:t>
      </w:r>
      <w:r>
        <w:rPr>
          <w:rFonts w:asciiTheme="minorHAnsi" w:hAnsiTheme="minorHAnsi" w:cstheme="minorHAnsi"/>
          <w:szCs w:val="24"/>
        </w:rPr>
        <w:t xml:space="preserve">sole </w:t>
      </w:r>
      <w:r w:rsidR="00017402">
        <w:rPr>
          <w:rFonts w:asciiTheme="minorHAnsi" w:hAnsiTheme="minorHAnsi" w:cstheme="minorHAnsi"/>
          <w:szCs w:val="24"/>
        </w:rPr>
        <w:t>CSP for Rider ELR load, and the single point of contact for all interruptions under the program, rather</w:t>
      </w:r>
      <w:r w:rsidR="009E6F88" w:rsidRPr="0015067B">
        <w:rPr>
          <w:rFonts w:asciiTheme="minorHAnsi" w:hAnsiTheme="minorHAnsi" w:cstheme="minorHAnsi"/>
          <w:szCs w:val="24"/>
        </w:rPr>
        <w:t xml:space="preserve"> than requiring each customer to </w:t>
      </w:r>
      <w:r w:rsidR="00017402">
        <w:rPr>
          <w:rFonts w:asciiTheme="minorHAnsi" w:hAnsiTheme="minorHAnsi" w:cstheme="minorHAnsi"/>
          <w:szCs w:val="24"/>
        </w:rPr>
        <w:t xml:space="preserve">participate in PJM through </w:t>
      </w:r>
      <w:r>
        <w:rPr>
          <w:rFonts w:asciiTheme="minorHAnsi" w:hAnsiTheme="minorHAnsi" w:cstheme="minorHAnsi"/>
          <w:szCs w:val="24"/>
        </w:rPr>
        <w:t>its</w:t>
      </w:r>
      <w:r w:rsidR="00017402">
        <w:rPr>
          <w:rFonts w:asciiTheme="minorHAnsi" w:hAnsiTheme="minorHAnsi" w:cstheme="minorHAnsi"/>
          <w:szCs w:val="24"/>
        </w:rPr>
        <w:t xml:space="preserve"> own CSP</w:t>
      </w:r>
      <w:proofErr w:type="gramStart"/>
      <w:r w:rsidR="009E6F88" w:rsidRPr="0015067B">
        <w:rPr>
          <w:rFonts w:asciiTheme="minorHAnsi" w:hAnsiTheme="minorHAnsi" w:cstheme="minorHAnsi"/>
          <w:szCs w:val="24"/>
        </w:rPr>
        <w:t xml:space="preserve">.  </w:t>
      </w:r>
      <w:proofErr w:type="gramEnd"/>
      <w:r w:rsidR="009E6F88" w:rsidRPr="0015067B">
        <w:rPr>
          <w:rFonts w:asciiTheme="minorHAnsi" w:hAnsiTheme="minorHAnsi" w:cstheme="minorHAnsi"/>
          <w:szCs w:val="24"/>
        </w:rPr>
        <w:t xml:space="preserve">FirstEnergy’s proposal would result in a divided notification system where customers would need to monitor for curtailment notices from </w:t>
      </w:r>
      <w:r w:rsidR="002D0136">
        <w:rPr>
          <w:rFonts w:asciiTheme="minorHAnsi" w:hAnsiTheme="minorHAnsi" w:cstheme="minorHAnsi"/>
          <w:szCs w:val="24"/>
        </w:rPr>
        <w:t>their utilities</w:t>
      </w:r>
      <w:r w:rsidR="009E6F88" w:rsidRPr="0015067B">
        <w:rPr>
          <w:rFonts w:asciiTheme="minorHAnsi" w:hAnsiTheme="minorHAnsi" w:cstheme="minorHAnsi"/>
          <w:szCs w:val="24"/>
        </w:rPr>
        <w:t xml:space="preserve"> for </w:t>
      </w:r>
      <w:r w:rsidR="002D0136">
        <w:rPr>
          <w:rFonts w:asciiTheme="minorHAnsi" w:hAnsiTheme="minorHAnsi" w:cstheme="minorHAnsi"/>
          <w:szCs w:val="24"/>
        </w:rPr>
        <w:t>local</w:t>
      </w:r>
      <w:r w:rsidR="009E6F88" w:rsidRPr="0015067B">
        <w:rPr>
          <w:rFonts w:asciiTheme="minorHAnsi" w:hAnsiTheme="minorHAnsi" w:cstheme="minorHAnsi"/>
          <w:szCs w:val="24"/>
        </w:rPr>
        <w:t xml:space="preserve"> </w:t>
      </w:r>
      <w:r w:rsidR="009902A0">
        <w:rPr>
          <w:rFonts w:asciiTheme="minorHAnsi" w:hAnsiTheme="minorHAnsi" w:cstheme="minorHAnsi"/>
          <w:szCs w:val="24"/>
        </w:rPr>
        <w:t>emergencies</w:t>
      </w:r>
      <w:r w:rsidR="009E6F88" w:rsidRPr="0015067B">
        <w:rPr>
          <w:rFonts w:asciiTheme="minorHAnsi" w:hAnsiTheme="minorHAnsi" w:cstheme="minorHAnsi"/>
          <w:szCs w:val="24"/>
        </w:rPr>
        <w:t xml:space="preserve"> and monitor for curtailment notices from their CSP for PJM </w:t>
      </w:r>
      <w:r w:rsidR="009902A0">
        <w:rPr>
          <w:rFonts w:asciiTheme="minorHAnsi" w:hAnsiTheme="minorHAnsi" w:cstheme="minorHAnsi"/>
          <w:szCs w:val="24"/>
        </w:rPr>
        <w:t>emergencies</w:t>
      </w:r>
      <w:r w:rsidR="009E6F88" w:rsidRPr="0015067B">
        <w:rPr>
          <w:rFonts w:asciiTheme="minorHAnsi" w:hAnsiTheme="minorHAnsi" w:cstheme="minorHAnsi"/>
          <w:szCs w:val="24"/>
        </w:rPr>
        <w:t>.</w:t>
      </w:r>
      <w:r w:rsidR="009E6F88" w:rsidRPr="0015067B">
        <w:rPr>
          <w:rStyle w:val="FootnoteReference"/>
          <w:rFonts w:asciiTheme="minorHAnsi" w:hAnsiTheme="minorHAnsi" w:cstheme="minorHAnsi"/>
          <w:sz w:val="24"/>
          <w:szCs w:val="24"/>
        </w:rPr>
        <w:footnoteReference w:id="101"/>
      </w:r>
      <w:r w:rsidR="009E6F88" w:rsidRPr="0015067B">
        <w:rPr>
          <w:rFonts w:asciiTheme="minorHAnsi" w:hAnsiTheme="minorHAnsi" w:cstheme="minorHAnsi"/>
          <w:szCs w:val="24"/>
        </w:rPr>
        <w:t xml:space="preserve">  </w:t>
      </w:r>
      <w:r w:rsidR="002D0136">
        <w:rPr>
          <w:rFonts w:asciiTheme="minorHAnsi" w:hAnsiTheme="minorHAnsi" w:cstheme="minorHAnsi"/>
          <w:szCs w:val="24"/>
        </w:rPr>
        <w:t>This</w:t>
      </w:r>
      <w:r w:rsidR="009E6F88" w:rsidRPr="0015067B">
        <w:rPr>
          <w:rFonts w:asciiTheme="minorHAnsi" w:hAnsiTheme="minorHAnsi" w:cstheme="minorHAnsi"/>
          <w:szCs w:val="24"/>
        </w:rPr>
        <w:t xml:space="preserve"> bifurcated </w:t>
      </w:r>
      <w:r w:rsidR="002D0136">
        <w:rPr>
          <w:rFonts w:asciiTheme="minorHAnsi" w:hAnsiTheme="minorHAnsi" w:cstheme="minorHAnsi"/>
          <w:szCs w:val="24"/>
        </w:rPr>
        <w:t xml:space="preserve">communications </w:t>
      </w:r>
      <w:r w:rsidR="009E6F88" w:rsidRPr="0015067B">
        <w:rPr>
          <w:rFonts w:asciiTheme="minorHAnsi" w:hAnsiTheme="minorHAnsi" w:cstheme="minorHAnsi"/>
          <w:szCs w:val="24"/>
        </w:rPr>
        <w:t>system could cause customer confusion regarding notice priority and increase the likelihood that a customer will miss or misunderstand a curtailment notice.</w:t>
      </w:r>
      <w:r w:rsidR="002D0136">
        <w:rPr>
          <w:rStyle w:val="FootnoteReference"/>
          <w:rFonts w:asciiTheme="minorHAnsi" w:hAnsiTheme="minorHAnsi" w:cstheme="minorHAnsi"/>
          <w:szCs w:val="24"/>
        </w:rPr>
        <w:footnoteReference w:id="102"/>
      </w:r>
      <w:r w:rsidR="009E6F88" w:rsidRPr="0015067B">
        <w:rPr>
          <w:rFonts w:asciiTheme="minorHAnsi" w:hAnsiTheme="minorHAnsi" w:cstheme="minorHAnsi"/>
          <w:szCs w:val="24"/>
        </w:rPr>
        <w:t xml:space="preserve">  </w:t>
      </w:r>
    </w:p>
    <w:p w14:paraId="2E3D62B7" w14:textId="09148717" w:rsidR="009E6F88" w:rsidRDefault="009711AF" w:rsidP="009E6F88">
      <w:pPr>
        <w:spacing w:line="480" w:lineRule="auto"/>
        <w:ind w:firstLine="720"/>
        <w:jc w:val="both"/>
        <w:rPr>
          <w:rFonts w:asciiTheme="minorHAnsi" w:hAnsiTheme="minorHAnsi" w:cstheme="minorHAnsi"/>
          <w:szCs w:val="24"/>
        </w:rPr>
      </w:pPr>
      <w:r>
        <w:rPr>
          <w:rFonts w:asciiTheme="minorHAnsi" w:hAnsiTheme="minorHAnsi" w:cstheme="minorHAnsi"/>
          <w:szCs w:val="24"/>
        </w:rPr>
        <w:t>Under FirstEnergy’s proposal, Rider ELR customers would effectively be participating in two separate interruptible programs – a PJM program and a local program operated by the relevant FirstEnergy utility</w:t>
      </w:r>
      <w:proofErr w:type="gramStart"/>
      <w:r>
        <w:rPr>
          <w:rFonts w:asciiTheme="minorHAnsi" w:hAnsiTheme="minorHAnsi" w:cstheme="minorHAnsi"/>
          <w:szCs w:val="24"/>
        </w:rPr>
        <w:t xml:space="preserve">.  </w:t>
      </w:r>
      <w:proofErr w:type="gramEnd"/>
      <w:r>
        <w:rPr>
          <w:rFonts w:asciiTheme="minorHAnsi" w:hAnsiTheme="minorHAnsi" w:cstheme="minorHAnsi"/>
          <w:szCs w:val="24"/>
        </w:rPr>
        <w:t xml:space="preserve">The better approach is to maintain ELR as a single cohesive interruptible program </w:t>
      </w:r>
      <w:r w:rsidR="00BD4C3E">
        <w:rPr>
          <w:rFonts w:asciiTheme="minorHAnsi" w:hAnsiTheme="minorHAnsi" w:cstheme="minorHAnsi"/>
          <w:szCs w:val="24"/>
        </w:rPr>
        <w:t>by retaining FirstEnergy in the CSP role it has today</w:t>
      </w:r>
      <w:proofErr w:type="gramStart"/>
      <w:r>
        <w:rPr>
          <w:rFonts w:asciiTheme="minorHAnsi" w:hAnsiTheme="minorHAnsi" w:cstheme="minorHAnsi"/>
          <w:szCs w:val="24"/>
        </w:rPr>
        <w:t xml:space="preserve">.  </w:t>
      </w:r>
      <w:proofErr w:type="gramEnd"/>
    </w:p>
    <w:p w14:paraId="5851B330" w14:textId="27816FD7" w:rsidR="00680254" w:rsidRDefault="00680254" w:rsidP="00EB01AE">
      <w:pPr>
        <w:spacing w:after="240"/>
        <w:ind w:left="2880" w:hanging="720"/>
        <w:jc w:val="both"/>
        <w:rPr>
          <w:rFonts w:asciiTheme="minorHAnsi" w:hAnsiTheme="minorHAnsi" w:cstheme="minorHAnsi"/>
          <w:b/>
          <w:bCs/>
          <w:szCs w:val="24"/>
        </w:rPr>
      </w:pPr>
      <w:r w:rsidRPr="00680254">
        <w:rPr>
          <w:rFonts w:asciiTheme="minorHAnsi" w:hAnsiTheme="minorHAnsi" w:cstheme="minorHAnsi"/>
          <w:b/>
          <w:bCs/>
          <w:szCs w:val="24"/>
        </w:rPr>
        <w:t>c.</w:t>
      </w:r>
      <w:r w:rsidRPr="00680254">
        <w:rPr>
          <w:rFonts w:asciiTheme="minorHAnsi" w:hAnsiTheme="minorHAnsi" w:cstheme="minorHAnsi"/>
          <w:b/>
          <w:bCs/>
          <w:szCs w:val="24"/>
        </w:rPr>
        <w:tab/>
        <w:t>FirstEnergy can continue to serve as the CSP for Rider ELR customers if the Commission directs it to do so</w:t>
      </w:r>
      <w:r w:rsidR="00EB01AE">
        <w:rPr>
          <w:rFonts w:asciiTheme="minorHAnsi" w:hAnsiTheme="minorHAnsi" w:cstheme="minorHAnsi"/>
          <w:b/>
          <w:bCs/>
          <w:szCs w:val="24"/>
        </w:rPr>
        <w:fldChar w:fldCharType="begin"/>
      </w:r>
      <w:r w:rsidR="00EB01AE">
        <w:instrText xml:space="preserve"> TC "</w:instrText>
      </w:r>
      <w:bookmarkStart w:id="38" w:name="_Toc156549249"/>
      <w:bookmarkStart w:id="39" w:name="_Toc156549322"/>
      <w:r w:rsidR="00EB01AE" w:rsidRPr="003D4793">
        <w:rPr>
          <w:rFonts w:asciiTheme="minorHAnsi" w:hAnsiTheme="minorHAnsi" w:cstheme="minorHAnsi"/>
          <w:b/>
          <w:bCs/>
          <w:szCs w:val="24"/>
        </w:rPr>
        <w:instrText>c.</w:instrText>
      </w:r>
      <w:r w:rsidR="00EB01AE" w:rsidRPr="003D4793">
        <w:rPr>
          <w:rFonts w:asciiTheme="minorHAnsi" w:hAnsiTheme="minorHAnsi" w:cstheme="minorHAnsi"/>
          <w:b/>
          <w:bCs/>
          <w:szCs w:val="24"/>
        </w:rPr>
        <w:tab/>
        <w:instrText>FirstEnergy can continue to serve as the CSP for Rider ELR customers if the Commission directs it to do so</w:instrText>
      </w:r>
      <w:bookmarkEnd w:id="38"/>
      <w:bookmarkEnd w:id="39"/>
      <w:r w:rsidR="00EB01AE">
        <w:instrText xml:space="preserve">" \f C \l "4" </w:instrText>
      </w:r>
      <w:r w:rsidR="00EB01AE">
        <w:rPr>
          <w:rFonts w:asciiTheme="minorHAnsi" w:hAnsiTheme="minorHAnsi" w:cstheme="minorHAnsi"/>
          <w:b/>
          <w:bCs/>
          <w:szCs w:val="24"/>
        </w:rPr>
        <w:fldChar w:fldCharType="end"/>
      </w:r>
    </w:p>
    <w:p w14:paraId="7DD19592" w14:textId="115D17A4" w:rsidR="00DA71A3" w:rsidRDefault="009E6F88" w:rsidP="009E6F88">
      <w:pPr>
        <w:spacing w:line="480" w:lineRule="auto"/>
        <w:jc w:val="both"/>
        <w:rPr>
          <w:rFonts w:asciiTheme="minorHAnsi" w:hAnsiTheme="minorHAnsi" w:cstheme="minorHAnsi"/>
          <w:szCs w:val="24"/>
        </w:rPr>
      </w:pPr>
      <w:r w:rsidRPr="0015067B">
        <w:rPr>
          <w:rFonts w:asciiTheme="minorHAnsi" w:hAnsiTheme="minorHAnsi" w:cstheme="minorHAnsi"/>
          <w:szCs w:val="24"/>
        </w:rPr>
        <w:tab/>
      </w:r>
      <w:r w:rsidR="00400EF6">
        <w:rPr>
          <w:rFonts w:asciiTheme="minorHAnsi" w:hAnsiTheme="minorHAnsi" w:cstheme="minorHAnsi"/>
          <w:szCs w:val="24"/>
        </w:rPr>
        <w:t xml:space="preserve">FirstEnergy has </w:t>
      </w:r>
      <w:r w:rsidRPr="0015067B">
        <w:rPr>
          <w:rFonts w:asciiTheme="minorHAnsi" w:hAnsiTheme="minorHAnsi" w:cstheme="minorHAnsi"/>
          <w:szCs w:val="24"/>
        </w:rPr>
        <w:t>been serving as CSP for Rider ELR load in PJM since Rider ELR was created.</w:t>
      </w:r>
      <w:r w:rsidRPr="0015067B">
        <w:rPr>
          <w:rStyle w:val="FootnoteReference"/>
          <w:rFonts w:asciiTheme="minorHAnsi" w:hAnsiTheme="minorHAnsi" w:cstheme="minorHAnsi"/>
          <w:sz w:val="24"/>
          <w:szCs w:val="24"/>
        </w:rPr>
        <w:footnoteReference w:id="103"/>
      </w:r>
      <w:r w:rsidR="00400EF6">
        <w:rPr>
          <w:rFonts w:asciiTheme="minorHAnsi" w:hAnsiTheme="minorHAnsi" w:cstheme="minorHAnsi"/>
          <w:szCs w:val="24"/>
        </w:rPr>
        <w:t xml:space="preserve">  In this case, FirstEnergy has not indicated that there are changed circumstances or other reasons why </w:t>
      </w:r>
      <w:r w:rsidR="00DA71A3">
        <w:rPr>
          <w:rFonts w:asciiTheme="minorHAnsi" w:hAnsiTheme="minorHAnsi" w:cstheme="minorHAnsi"/>
          <w:szCs w:val="24"/>
        </w:rPr>
        <w:t>it</w:t>
      </w:r>
      <w:r w:rsidR="00400EF6">
        <w:rPr>
          <w:rFonts w:asciiTheme="minorHAnsi" w:hAnsiTheme="minorHAnsi" w:cstheme="minorHAnsi"/>
          <w:szCs w:val="24"/>
        </w:rPr>
        <w:t xml:space="preserve"> cannot continue in this role</w:t>
      </w:r>
      <w:proofErr w:type="gramStart"/>
      <w:r w:rsidR="00DA71A3">
        <w:rPr>
          <w:rFonts w:asciiTheme="minorHAnsi" w:hAnsiTheme="minorHAnsi" w:cstheme="minorHAnsi"/>
          <w:szCs w:val="24"/>
        </w:rPr>
        <w:t xml:space="preserve">.  </w:t>
      </w:r>
      <w:proofErr w:type="gramEnd"/>
      <w:r w:rsidR="00DA71A3" w:rsidRPr="0015067B">
        <w:rPr>
          <w:rFonts w:asciiTheme="minorHAnsi" w:hAnsiTheme="minorHAnsi" w:cstheme="minorHAnsi"/>
          <w:szCs w:val="24"/>
        </w:rPr>
        <w:t xml:space="preserve">Additionally, FirstEnergy has indicated that there is no </w:t>
      </w:r>
      <w:proofErr w:type="gramStart"/>
      <w:r w:rsidR="00DA71A3" w:rsidRPr="0015067B">
        <w:rPr>
          <w:rFonts w:asciiTheme="minorHAnsi" w:hAnsiTheme="minorHAnsi" w:cstheme="minorHAnsi"/>
          <w:szCs w:val="24"/>
        </w:rPr>
        <w:t>reason why</w:t>
      </w:r>
      <w:proofErr w:type="gramEnd"/>
      <w:r w:rsidR="00DA71A3" w:rsidRPr="0015067B">
        <w:rPr>
          <w:rFonts w:asciiTheme="minorHAnsi" w:hAnsiTheme="minorHAnsi" w:cstheme="minorHAnsi"/>
          <w:szCs w:val="24"/>
        </w:rPr>
        <w:t xml:space="preserve"> the Companies cannot continue to serve as CSP if the Commission directed the Companies to do so.</w:t>
      </w:r>
      <w:r w:rsidR="00DA71A3" w:rsidRPr="0015067B">
        <w:rPr>
          <w:rStyle w:val="FootnoteReference"/>
          <w:rFonts w:asciiTheme="minorHAnsi" w:hAnsiTheme="minorHAnsi" w:cstheme="minorHAnsi"/>
          <w:sz w:val="24"/>
          <w:szCs w:val="24"/>
        </w:rPr>
        <w:footnoteReference w:id="104"/>
      </w:r>
      <w:r w:rsidR="00400EF6">
        <w:rPr>
          <w:rFonts w:asciiTheme="minorHAnsi" w:hAnsiTheme="minorHAnsi" w:cstheme="minorHAnsi"/>
          <w:szCs w:val="24"/>
        </w:rPr>
        <w:t xml:space="preserve">  In fact, FirstEnergy intends to perform CSP functions</w:t>
      </w:r>
      <w:r w:rsidRPr="0015067B">
        <w:rPr>
          <w:rFonts w:asciiTheme="minorHAnsi" w:hAnsiTheme="minorHAnsi" w:cstheme="minorHAnsi"/>
          <w:szCs w:val="24"/>
        </w:rPr>
        <w:t xml:space="preserve"> for selected energy efficiency programs.  </w:t>
      </w:r>
      <w:r w:rsidR="00400EF6">
        <w:rPr>
          <w:rFonts w:asciiTheme="minorHAnsi" w:hAnsiTheme="minorHAnsi" w:cstheme="minorHAnsi"/>
          <w:szCs w:val="24"/>
        </w:rPr>
        <w:t xml:space="preserve">Specifically, </w:t>
      </w:r>
      <w:r w:rsidRPr="0015067B">
        <w:rPr>
          <w:rFonts w:asciiTheme="minorHAnsi" w:hAnsiTheme="minorHAnsi" w:cstheme="minorHAnsi"/>
          <w:szCs w:val="24"/>
        </w:rPr>
        <w:t xml:space="preserve">FirstEnergy proposes that if their proposed energy efficiency programs </w:t>
      </w:r>
      <w:proofErr w:type="gramStart"/>
      <w:r w:rsidRPr="0015067B">
        <w:rPr>
          <w:rFonts w:asciiTheme="minorHAnsi" w:hAnsiTheme="minorHAnsi" w:cstheme="minorHAnsi"/>
          <w:szCs w:val="24"/>
        </w:rPr>
        <w:t>are approved</w:t>
      </w:r>
      <w:proofErr w:type="gramEnd"/>
      <w:r w:rsidRPr="0015067B">
        <w:rPr>
          <w:rFonts w:asciiTheme="minorHAnsi" w:hAnsiTheme="minorHAnsi" w:cstheme="minorHAnsi"/>
          <w:szCs w:val="24"/>
        </w:rPr>
        <w:t xml:space="preserve"> in this case, they will offer the load from those programs into PJM.</w:t>
      </w:r>
      <w:r w:rsidRPr="0015067B">
        <w:rPr>
          <w:rStyle w:val="FootnoteReference"/>
          <w:rFonts w:asciiTheme="minorHAnsi" w:hAnsiTheme="minorHAnsi" w:cstheme="minorHAnsi"/>
          <w:sz w:val="24"/>
          <w:szCs w:val="24"/>
        </w:rPr>
        <w:footnoteReference w:id="105"/>
      </w:r>
      <w:r w:rsidR="00DA71A3">
        <w:rPr>
          <w:rFonts w:asciiTheme="minorHAnsi" w:hAnsiTheme="minorHAnsi" w:cstheme="minorHAnsi"/>
          <w:szCs w:val="24"/>
        </w:rPr>
        <w:t xml:space="preserve">  If FirstEnergy intends to serve as the CSP for the proposed energy efficiency programs, </w:t>
      </w:r>
      <w:r w:rsidR="004015B3">
        <w:rPr>
          <w:rFonts w:asciiTheme="minorHAnsi" w:hAnsiTheme="minorHAnsi" w:cstheme="minorHAnsi"/>
          <w:szCs w:val="24"/>
        </w:rPr>
        <w:t>FirstEnergy</w:t>
      </w:r>
      <w:r w:rsidR="00DA71A3">
        <w:rPr>
          <w:rFonts w:asciiTheme="minorHAnsi" w:hAnsiTheme="minorHAnsi" w:cstheme="minorHAnsi"/>
          <w:szCs w:val="24"/>
        </w:rPr>
        <w:t xml:space="preserve"> certainly can continue to play that role for the ELR program as well.</w:t>
      </w:r>
    </w:p>
    <w:p w14:paraId="473C9C3B" w14:textId="7F8D0A0C" w:rsidR="00BC519B" w:rsidRPr="00CF6527" w:rsidRDefault="00BC519B" w:rsidP="00CE25D6">
      <w:pPr>
        <w:keepNext/>
        <w:keepLines/>
        <w:spacing w:after="240"/>
        <w:ind w:left="2880" w:hanging="720"/>
        <w:jc w:val="both"/>
        <w:rPr>
          <w:rFonts w:asciiTheme="minorHAnsi" w:hAnsiTheme="minorHAnsi" w:cstheme="minorHAnsi"/>
          <w:b/>
          <w:bCs/>
          <w:szCs w:val="24"/>
        </w:rPr>
      </w:pPr>
      <w:r w:rsidRPr="00CF6527">
        <w:rPr>
          <w:rFonts w:asciiTheme="minorHAnsi" w:hAnsiTheme="minorHAnsi" w:cstheme="minorHAnsi"/>
          <w:b/>
          <w:bCs/>
          <w:szCs w:val="24"/>
        </w:rPr>
        <w:t>d.</w:t>
      </w:r>
      <w:r w:rsidRPr="00CF6527">
        <w:rPr>
          <w:rFonts w:asciiTheme="minorHAnsi" w:hAnsiTheme="minorHAnsi" w:cstheme="minorHAnsi"/>
          <w:b/>
          <w:bCs/>
          <w:szCs w:val="24"/>
        </w:rPr>
        <w:tab/>
        <w:t>If the Commission approves FirstEnergy’s proposal to require Rider ELR customers to participate in PJM through their own CSPs, the Commission should delay implementation of that change</w:t>
      </w:r>
      <w:r w:rsidR="00EB01AE">
        <w:rPr>
          <w:rFonts w:asciiTheme="minorHAnsi" w:hAnsiTheme="minorHAnsi" w:cstheme="minorHAnsi"/>
          <w:b/>
          <w:bCs/>
          <w:szCs w:val="24"/>
        </w:rPr>
        <w:fldChar w:fldCharType="begin"/>
      </w:r>
      <w:r w:rsidR="00EB01AE">
        <w:instrText xml:space="preserve"> TC "</w:instrText>
      </w:r>
      <w:bookmarkStart w:id="40" w:name="_Toc156549250"/>
      <w:bookmarkStart w:id="41" w:name="_Toc156549323"/>
      <w:r w:rsidR="00EB01AE" w:rsidRPr="00753515">
        <w:rPr>
          <w:rFonts w:asciiTheme="minorHAnsi" w:hAnsiTheme="minorHAnsi" w:cstheme="minorHAnsi"/>
          <w:b/>
          <w:bCs/>
          <w:szCs w:val="24"/>
        </w:rPr>
        <w:instrText>d.</w:instrText>
      </w:r>
      <w:r w:rsidR="00EB01AE" w:rsidRPr="00753515">
        <w:rPr>
          <w:rFonts w:asciiTheme="minorHAnsi" w:hAnsiTheme="minorHAnsi" w:cstheme="minorHAnsi"/>
          <w:b/>
          <w:bCs/>
          <w:szCs w:val="24"/>
        </w:rPr>
        <w:tab/>
        <w:instrText>If the Commission approves FirstEnergy’s proposal to require Rider ELR customers to participate in PJM through their own CSPs, the Commission should delay implementation of that change</w:instrText>
      </w:r>
      <w:bookmarkEnd w:id="40"/>
      <w:bookmarkEnd w:id="41"/>
      <w:r w:rsidR="00EB01AE">
        <w:instrText xml:space="preserve">" \f C \l "4" </w:instrText>
      </w:r>
      <w:r w:rsidR="00EB01AE">
        <w:rPr>
          <w:rFonts w:asciiTheme="minorHAnsi" w:hAnsiTheme="minorHAnsi" w:cstheme="minorHAnsi"/>
          <w:b/>
          <w:bCs/>
          <w:szCs w:val="24"/>
        </w:rPr>
        <w:fldChar w:fldCharType="end"/>
      </w:r>
    </w:p>
    <w:p w14:paraId="5559C747" w14:textId="2C471BC9" w:rsidR="00BC519B" w:rsidRDefault="00BC519B" w:rsidP="00CE25D6">
      <w:pPr>
        <w:keepNext/>
        <w:keepLines/>
        <w:spacing w:line="480" w:lineRule="auto"/>
        <w:jc w:val="both"/>
        <w:rPr>
          <w:rFonts w:asciiTheme="minorHAnsi" w:hAnsiTheme="minorHAnsi" w:cstheme="minorHAnsi"/>
          <w:szCs w:val="24"/>
        </w:rPr>
      </w:pPr>
      <w:r>
        <w:rPr>
          <w:rFonts w:asciiTheme="minorHAnsi" w:hAnsiTheme="minorHAnsi" w:cstheme="minorHAnsi"/>
          <w:szCs w:val="24"/>
        </w:rPr>
        <w:tab/>
        <w:t xml:space="preserve">FirstEnergy proposes that it will no longer be the CSP for Rider ELR customers as of the start of ESP V on June 1, 2024, and that Rider ELR customers will be required to provide proof of registration to </w:t>
      </w:r>
      <w:r w:rsidR="00CF6527">
        <w:rPr>
          <w:rFonts w:asciiTheme="minorHAnsi" w:hAnsiTheme="minorHAnsi" w:cstheme="minorHAnsi"/>
          <w:szCs w:val="24"/>
        </w:rPr>
        <w:t>participate in PJM load management programs from an active PJM CSP at that time.</w:t>
      </w:r>
      <w:r w:rsidR="00CF6527">
        <w:rPr>
          <w:rStyle w:val="FootnoteReference"/>
          <w:rFonts w:asciiTheme="minorHAnsi" w:hAnsiTheme="minorHAnsi" w:cstheme="minorHAnsi"/>
          <w:szCs w:val="24"/>
        </w:rPr>
        <w:footnoteReference w:id="106"/>
      </w:r>
      <w:r w:rsidR="00CF6527">
        <w:rPr>
          <w:rFonts w:asciiTheme="minorHAnsi" w:hAnsiTheme="minorHAnsi" w:cstheme="minorHAnsi"/>
          <w:szCs w:val="24"/>
        </w:rPr>
        <w:t xml:space="preserve">  OELC Witness Brakey testifie</w:t>
      </w:r>
      <w:r w:rsidR="003C5F29">
        <w:rPr>
          <w:rFonts w:asciiTheme="minorHAnsi" w:hAnsiTheme="minorHAnsi" w:cstheme="minorHAnsi"/>
          <w:szCs w:val="24"/>
        </w:rPr>
        <w:t>d</w:t>
      </w:r>
      <w:r w:rsidR="00CF6527">
        <w:rPr>
          <w:rFonts w:asciiTheme="minorHAnsi" w:hAnsiTheme="minorHAnsi" w:cstheme="minorHAnsi"/>
          <w:szCs w:val="24"/>
        </w:rPr>
        <w:t xml:space="preserve"> that this is not a realistic timeline, given that it is likely there will not be a decision in this case by the time ELR customers will have to confirm their registration in PJM for the 2024/25 delivery year.</w:t>
      </w:r>
      <w:r w:rsidR="00CF6527">
        <w:rPr>
          <w:rStyle w:val="FootnoteReference"/>
          <w:rFonts w:asciiTheme="minorHAnsi" w:hAnsiTheme="minorHAnsi" w:cstheme="minorHAnsi"/>
          <w:szCs w:val="24"/>
        </w:rPr>
        <w:footnoteReference w:id="107"/>
      </w:r>
      <w:r w:rsidR="00CF6527">
        <w:rPr>
          <w:rFonts w:asciiTheme="minorHAnsi" w:hAnsiTheme="minorHAnsi" w:cstheme="minorHAnsi"/>
          <w:szCs w:val="24"/>
        </w:rPr>
        <w:t xml:space="preserve">  Witness Brakey recommends that “if FirstEnergy no longer desires to serve as the CSP for Rider ELR customers and that proposal is approved, FirstEnergy should look to transition away from serving as a CSP, no earlier than the June 1, 2025 through May 31, 2026 [delivery year].”</w:t>
      </w:r>
      <w:r w:rsidR="00CF6527">
        <w:rPr>
          <w:rStyle w:val="FootnoteReference"/>
          <w:rFonts w:asciiTheme="minorHAnsi" w:hAnsiTheme="minorHAnsi" w:cstheme="minorHAnsi"/>
          <w:szCs w:val="24"/>
        </w:rPr>
        <w:footnoteReference w:id="108"/>
      </w:r>
      <w:r w:rsidR="00CF6527">
        <w:rPr>
          <w:rFonts w:asciiTheme="minorHAnsi" w:hAnsiTheme="minorHAnsi" w:cstheme="minorHAnsi"/>
          <w:szCs w:val="24"/>
        </w:rPr>
        <w:t xml:space="preserve"> </w:t>
      </w:r>
    </w:p>
    <w:p w14:paraId="4593D871" w14:textId="67EACE76" w:rsidR="00EE2707" w:rsidRDefault="00CF6527" w:rsidP="00525CCB">
      <w:pPr>
        <w:spacing w:line="480" w:lineRule="auto"/>
        <w:jc w:val="both"/>
        <w:rPr>
          <w:rFonts w:asciiTheme="minorHAnsi" w:hAnsiTheme="minorHAnsi" w:cstheme="minorHAnsi"/>
          <w:szCs w:val="24"/>
        </w:rPr>
      </w:pPr>
      <w:r>
        <w:rPr>
          <w:rFonts w:asciiTheme="minorHAnsi" w:hAnsiTheme="minorHAnsi" w:cstheme="minorHAnsi"/>
          <w:szCs w:val="24"/>
        </w:rPr>
        <w:tab/>
        <w:t>Although Nucor supports retaining FirstEnergy as the CSP, if the Commission approves</w:t>
      </w:r>
      <w:r w:rsidR="00F46AC2">
        <w:rPr>
          <w:rFonts w:asciiTheme="minorHAnsi" w:hAnsiTheme="minorHAnsi" w:cstheme="minorHAnsi"/>
          <w:szCs w:val="24"/>
        </w:rPr>
        <w:t xml:space="preserve"> FirstEnergy’s proposal to give up this role, then the Commission should adopt Witness Brakey’s recommendation to delay the transition for at least a year after the start of ESP </w:t>
      </w:r>
      <w:proofErr w:type="gramStart"/>
      <w:r w:rsidR="00F46AC2">
        <w:rPr>
          <w:rFonts w:asciiTheme="minorHAnsi" w:hAnsiTheme="minorHAnsi" w:cstheme="minorHAnsi"/>
          <w:szCs w:val="24"/>
        </w:rPr>
        <w:t xml:space="preserve">V.  </w:t>
      </w:r>
      <w:proofErr w:type="gramEnd"/>
      <w:r w:rsidR="00F46AC2">
        <w:rPr>
          <w:rFonts w:asciiTheme="minorHAnsi" w:hAnsiTheme="minorHAnsi" w:cstheme="minorHAnsi"/>
          <w:szCs w:val="24"/>
        </w:rPr>
        <w:t>Without this delay, “Rider ELR customers with hundreds of MW of capacity may find themselves unable to partner with a CSP that has not already fully subscribed the capacity they bid into the incremental auction for the 2024/25 [delivery year].”</w:t>
      </w:r>
      <w:r w:rsidR="00F46AC2">
        <w:rPr>
          <w:rStyle w:val="FootnoteReference"/>
          <w:rFonts w:asciiTheme="minorHAnsi" w:hAnsiTheme="minorHAnsi" w:cstheme="minorHAnsi"/>
          <w:szCs w:val="24"/>
        </w:rPr>
        <w:footnoteReference w:id="109"/>
      </w:r>
      <w:r w:rsidR="00F46AC2">
        <w:rPr>
          <w:rFonts w:asciiTheme="minorHAnsi" w:hAnsiTheme="minorHAnsi" w:cstheme="minorHAnsi"/>
          <w:szCs w:val="24"/>
        </w:rPr>
        <w:t xml:space="preserve">  Staff Witness Healey agrees that Witness Brakey’s proposal is reasonable in light of concerns about Rider ELR customers’ ability to transition to their own CSPs in time for 2024.</w:t>
      </w:r>
      <w:r w:rsidR="00F46AC2">
        <w:rPr>
          <w:rStyle w:val="FootnoteReference"/>
          <w:rFonts w:asciiTheme="minorHAnsi" w:hAnsiTheme="minorHAnsi" w:cstheme="minorHAnsi"/>
          <w:szCs w:val="24"/>
        </w:rPr>
        <w:footnoteReference w:id="110"/>
      </w:r>
      <w:r w:rsidR="00D20C6D">
        <w:rPr>
          <w:rFonts w:asciiTheme="minorHAnsi" w:hAnsiTheme="minorHAnsi" w:cstheme="minorHAnsi"/>
          <w:szCs w:val="24"/>
        </w:rPr>
        <w:t xml:space="preserve">  Witness Brakey’s recommendation should be adopted if the Commission approves FirstEnergy’s proposal to require Rider ELR customers to participate in PJM through their own CSPs.</w:t>
      </w:r>
    </w:p>
    <w:p w14:paraId="63BEE75A" w14:textId="588BC4DA" w:rsidR="002B0649" w:rsidRPr="002B0649" w:rsidRDefault="002B0649" w:rsidP="00EB01AE">
      <w:pPr>
        <w:spacing w:after="240"/>
        <w:ind w:left="1440" w:hanging="720"/>
        <w:jc w:val="both"/>
        <w:rPr>
          <w:rFonts w:asciiTheme="minorHAnsi" w:hAnsiTheme="minorHAnsi" w:cstheme="minorHAnsi"/>
          <w:b/>
          <w:bCs/>
          <w:szCs w:val="24"/>
        </w:rPr>
      </w:pPr>
      <w:r w:rsidRPr="002B0649">
        <w:rPr>
          <w:rFonts w:asciiTheme="minorHAnsi" w:hAnsiTheme="minorHAnsi" w:cstheme="minorHAnsi"/>
          <w:b/>
          <w:bCs/>
          <w:szCs w:val="24"/>
        </w:rPr>
        <w:t>B.</w:t>
      </w:r>
      <w:r w:rsidRPr="002B0649">
        <w:rPr>
          <w:rFonts w:asciiTheme="minorHAnsi" w:hAnsiTheme="minorHAnsi" w:cstheme="minorHAnsi"/>
          <w:b/>
          <w:bCs/>
          <w:szCs w:val="24"/>
        </w:rPr>
        <w:tab/>
        <w:t>The Commission Should Approve a Rate Mechanism for Transmission and Transmission-Related Costs that Incorporates NSPL Pricing</w:t>
      </w:r>
      <w:r w:rsidR="00773074">
        <w:rPr>
          <w:rFonts w:asciiTheme="minorHAnsi" w:hAnsiTheme="minorHAnsi" w:cstheme="minorHAnsi"/>
          <w:b/>
          <w:bCs/>
          <w:szCs w:val="24"/>
        </w:rPr>
        <w:fldChar w:fldCharType="begin"/>
      </w:r>
      <w:r w:rsidR="00773074">
        <w:instrText xml:space="preserve"> TC "</w:instrText>
      </w:r>
      <w:bookmarkStart w:id="42" w:name="_Toc156549251"/>
      <w:bookmarkStart w:id="43" w:name="_Toc156549324"/>
      <w:r w:rsidR="00773074" w:rsidRPr="003D2004">
        <w:rPr>
          <w:rFonts w:asciiTheme="minorHAnsi" w:hAnsiTheme="minorHAnsi" w:cstheme="minorHAnsi"/>
          <w:b/>
          <w:bCs/>
          <w:szCs w:val="24"/>
        </w:rPr>
        <w:instrText>B.</w:instrText>
      </w:r>
      <w:r w:rsidR="00773074" w:rsidRPr="003D2004">
        <w:rPr>
          <w:rFonts w:asciiTheme="minorHAnsi" w:hAnsiTheme="minorHAnsi" w:cstheme="minorHAnsi"/>
          <w:b/>
          <w:bCs/>
          <w:szCs w:val="24"/>
        </w:rPr>
        <w:tab/>
        <w:instrText>The Commission Should Approve a Rate Mechanism for Transmission and Transmission-Related Costs that Incorporates NSPL Pricing</w:instrText>
      </w:r>
      <w:bookmarkEnd w:id="42"/>
      <w:bookmarkEnd w:id="43"/>
      <w:r w:rsidR="00773074">
        <w:instrText xml:space="preserve">" \f C \l "2" </w:instrText>
      </w:r>
      <w:r w:rsidR="00773074">
        <w:rPr>
          <w:rFonts w:asciiTheme="minorHAnsi" w:hAnsiTheme="minorHAnsi" w:cstheme="minorHAnsi"/>
          <w:b/>
          <w:bCs/>
          <w:szCs w:val="24"/>
        </w:rPr>
        <w:fldChar w:fldCharType="end"/>
      </w:r>
    </w:p>
    <w:p w14:paraId="3EFAB121" w14:textId="61B11957" w:rsidR="002B0649" w:rsidRPr="002B0649" w:rsidRDefault="002B0649" w:rsidP="002B0649">
      <w:pPr>
        <w:spacing w:line="480" w:lineRule="auto"/>
        <w:ind w:firstLine="720"/>
        <w:jc w:val="both"/>
        <w:rPr>
          <w:rFonts w:asciiTheme="minorHAnsi" w:hAnsiTheme="minorHAnsi" w:cstheme="minorHAnsi"/>
          <w:szCs w:val="24"/>
        </w:rPr>
      </w:pPr>
      <w:r w:rsidRPr="002B0649">
        <w:rPr>
          <w:rFonts w:asciiTheme="minorHAnsi" w:hAnsiTheme="minorHAnsi" w:cstheme="minorHAnsi"/>
          <w:szCs w:val="24"/>
        </w:rPr>
        <w:t xml:space="preserve">Under </w:t>
      </w:r>
      <w:r w:rsidR="002A48E8">
        <w:rPr>
          <w:rFonts w:asciiTheme="minorHAnsi" w:hAnsiTheme="minorHAnsi" w:cstheme="minorHAnsi"/>
          <w:szCs w:val="24"/>
        </w:rPr>
        <w:t>FirstEnergy’s</w:t>
      </w:r>
      <w:r w:rsidRPr="002B0649">
        <w:rPr>
          <w:rFonts w:asciiTheme="minorHAnsi" w:hAnsiTheme="minorHAnsi" w:cstheme="minorHAnsi"/>
          <w:szCs w:val="24"/>
        </w:rPr>
        <w:t xml:space="preserve"> current ESP, Rider NMB recovers transmission charges imposed by FERC or PJM on the Companies.</w:t>
      </w:r>
      <w:r w:rsidRPr="002B0649">
        <w:rPr>
          <w:rStyle w:val="FootnoteReference"/>
          <w:rFonts w:asciiTheme="minorHAnsi" w:hAnsiTheme="minorHAnsi" w:cstheme="minorHAnsi"/>
          <w:sz w:val="24"/>
          <w:szCs w:val="24"/>
        </w:rPr>
        <w:footnoteReference w:id="111"/>
      </w:r>
      <w:r w:rsidRPr="002B0649">
        <w:rPr>
          <w:rFonts w:asciiTheme="minorHAnsi" w:hAnsiTheme="minorHAnsi" w:cstheme="minorHAnsi"/>
          <w:szCs w:val="24"/>
        </w:rPr>
        <w:t xml:space="preserve">  Such charges include Network Integration Transmission Service and Regional Transmission Expansion Plan costs.</w:t>
      </w:r>
      <w:r w:rsidRPr="002B0649">
        <w:rPr>
          <w:rStyle w:val="FootnoteReference"/>
          <w:rFonts w:asciiTheme="minorHAnsi" w:hAnsiTheme="minorHAnsi" w:cstheme="minorHAnsi"/>
          <w:sz w:val="24"/>
          <w:szCs w:val="24"/>
        </w:rPr>
        <w:footnoteReference w:id="112"/>
      </w:r>
      <w:r w:rsidRPr="002B0649">
        <w:rPr>
          <w:rFonts w:asciiTheme="minorHAnsi" w:hAnsiTheme="minorHAnsi" w:cstheme="minorHAnsi"/>
          <w:szCs w:val="24"/>
        </w:rPr>
        <w:t xml:space="preserve">  While Rider NMB is generally non-bypassable, in the Companies’ ESP IV (Case No. 14-1297-EL-SSO), the Commission approved the Rider NMB Pilot, which allows participating customers to</w:t>
      </w:r>
      <w:r w:rsidR="007D0422">
        <w:rPr>
          <w:rFonts w:asciiTheme="minorHAnsi" w:hAnsiTheme="minorHAnsi" w:cstheme="minorHAnsi"/>
          <w:szCs w:val="24"/>
        </w:rPr>
        <w:t xml:space="preserve"> opt-out of Rider NMB and</w:t>
      </w:r>
      <w:r w:rsidRPr="002B0649">
        <w:rPr>
          <w:rFonts w:asciiTheme="minorHAnsi" w:hAnsiTheme="minorHAnsi" w:cstheme="minorHAnsi"/>
          <w:szCs w:val="24"/>
        </w:rPr>
        <w:t xml:space="preserve"> be billed through a </w:t>
      </w:r>
      <w:r w:rsidR="00C46269">
        <w:rPr>
          <w:rFonts w:asciiTheme="minorHAnsi" w:hAnsiTheme="minorHAnsi" w:cstheme="minorHAnsi"/>
          <w:szCs w:val="24"/>
        </w:rPr>
        <w:t>Competitive Retail Electric Service (“</w:t>
      </w:r>
      <w:r w:rsidRPr="002B0649">
        <w:rPr>
          <w:rFonts w:asciiTheme="minorHAnsi" w:hAnsiTheme="minorHAnsi" w:cstheme="minorHAnsi"/>
          <w:szCs w:val="24"/>
        </w:rPr>
        <w:t>CRES</w:t>
      </w:r>
      <w:r w:rsidR="00C46269">
        <w:rPr>
          <w:rFonts w:asciiTheme="minorHAnsi" w:hAnsiTheme="minorHAnsi" w:cstheme="minorHAnsi"/>
          <w:szCs w:val="24"/>
        </w:rPr>
        <w:t>”)</w:t>
      </w:r>
      <w:r w:rsidRPr="002B0649">
        <w:rPr>
          <w:rFonts w:asciiTheme="minorHAnsi" w:hAnsiTheme="minorHAnsi" w:cstheme="minorHAnsi"/>
          <w:szCs w:val="24"/>
        </w:rPr>
        <w:t xml:space="preserve"> provider for their transmission charges.</w:t>
      </w:r>
      <w:r w:rsidRPr="002B0649">
        <w:rPr>
          <w:rStyle w:val="FootnoteReference"/>
          <w:rFonts w:asciiTheme="minorHAnsi" w:hAnsiTheme="minorHAnsi" w:cstheme="minorHAnsi"/>
          <w:sz w:val="24"/>
          <w:szCs w:val="24"/>
        </w:rPr>
        <w:footnoteReference w:id="113"/>
      </w:r>
      <w:r w:rsidRPr="002B0649">
        <w:rPr>
          <w:rFonts w:asciiTheme="minorHAnsi" w:hAnsiTheme="minorHAnsi" w:cstheme="minorHAnsi"/>
          <w:szCs w:val="24"/>
        </w:rPr>
        <w:t xml:space="preserve">  Unlike charges under Rider NMB, </w:t>
      </w:r>
      <w:r w:rsidR="00635B06">
        <w:rPr>
          <w:rFonts w:asciiTheme="minorHAnsi" w:hAnsiTheme="minorHAnsi" w:cstheme="minorHAnsi"/>
          <w:szCs w:val="24"/>
        </w:rPr>
        <w:t>P</w:t>
      </w:r>
      <w:r w:rsidR="00635B06" w:rsidRPr="002B0649">
        <w:rPr>
          <w:rFonts w:asciiTheme="minorHAnsi" w:hAnsiTheme="minorHAnsi" w:cstheme="minorHAnsi"/>
          <w:szCs w:val="24"/>
        </w:rPr>
        <w:t xml:space="preserve">ilot </w:t>
      </w:r>
      <w:r w:rsidR="00635B06">
        <w:rPr>
          <w:rFonts w:asciiTheme="minorHAnsi" w:hAnsiTheme="minorHAnsi" w:cstheme="minorHAnsi"/>
          <w:szCs w:val="24"/>
        </w:rPr>
        <w:t>P</w:t>
      </w:r>
      <w:r w:rsidR="00635B06" w:rsidRPr="002B0649">
        <w:rPr>
          <w:rFonts w:asciiTheme="minorHAnsi" w:hAnsiTheme="minorHAnsi" w:cstheme="minorHAnsi"/>
          <w:szCs w:val="24"/>
        </w:rPr>
        <w:t xml:space="preserve">rogram </w:t>
      </w:r>
      <w:r w:rsidRPr="002B0649">
        <w:rPr>
          <w:rFonts w:asciiTheme="minorHAnsi" w:hAnsiTheme="minorHAnsi" w:cstheme="minorHAnsi"/>
          <w:szCs w:val="24"/>
        </w:rPr>
        <w:t>participants are charged for transmission costs based on the customer’s individual contributions to NSPL.</w:t>
      </w:r>
      <w:r w:rsidRPr="002B0649">
        <w:rPr>
          <w:rStyle w:val="FootnoteReference"/>
          <w:rFonts w:asciiTheme="minorHAnsi" w:hAnsiTheme="minorHAnsi" w:cstheme="minorHAnsi"/>
          <w:sz w:val="24"/>
          <w:szCs w:val="24"/>
        </w:rPr>
        <w:footnoteReference w:id="114"/>
      </w:r>
      <w:r w:rsidRPr="002B0649">
        <w:rPr>
          <w:rFonts w:asciiTheme="minorHAnsi" w:hAnsiTheme="minorHAnsi" w:cstheme="minorHAnsi"/>
          <w:szCs w:val="24"/>
        </w:rPr>
        <w:t xml:space="preserve">  NSPL is a customer-specific attribute that represents each customer’s contribution to the transmission system peak.</w:t>
      </w:r>
      <w:r w:rsidRPr="002B0649">
        <w:rPr>
          <w:rStyle w:val="FootnoteReference"/>
          <w:rFonts w:asciiTheme="minorHAnsi" w:hAnsiTheme="minorHAnsi" w:cstheme="minorHAnsi"/>
          <w:sz w:val="24"/>
          <w:szCs w:val="24"/>
        </w:rPr>
        <w:footnoteReference w:id="115"/>
      </w:r>
      <w:r w:rsidRPr="002B0649">
        <w:rPr>
          <w:rFonts w:asciiTheme="minorHAnsi" w:hAnsiTheme="minorHAnsi" w:cstheme="minorHAnsi"/>
          <w:szCs w:val="24"/>
        </w:rPr>
        <w:t xml:space="preserve">  NSPL based pricing provides cost-based pricing signals to participating customers.</w:t>
      </w:r>
      <w:r w:rsidRPr="002B0649">
        <w:rPr>
          <w:rStyle w:val="FootnoteReference"/>
          <w:rFonts w:asciiTheme="minorHAnsi" w:hAnsiTheme="minorHAnsi" w:cstheme="minorHAnsi"/>
          <w:sz w:val="24"/>
          <w:szCs w:val="24"/>
        </w:rPr>
        <w:footnoteReference w:id="116"/>
      </w:r>
      <w:r w:rsidRPr="002B0649">
        <w:rPr>
          <w:rFonts w:asciiTheme="minorHAnsi" w:hAnsiTheme="minorHAnsi" w:cstheme="minorHAnsi"/>
          <w:szCs w:val="24"/>
        </w:rPr>
        <w:t xml:space="preserve">  Because the Rider NMB Pilot pricing is based on individual customer NSPLs, participants are incentivized to minimize their NSPL, which reduces transmission costs.</w:t>
      </w:r>
      <w:r w:rsidRPr="002B0649">
        <w:rPr>
          <w:rStyle w:val="FootnoteReference"/>
          <w:rFonts w:asciiTheme="minorHAnsi" w:hAnsiTheme="minorHAnsi" w:cstheme="minorHAnsi"/>
          <w:sz w:val="24"/>
          <w:szCs w:val="24"/>
        </w:rPr>
        <w:footnoteReference w:id="117"/>
      </w:r>
      <w:r w:rsidRPr="002B0649">
        <w:rPr>
          <w:rFonts w:asciiTheme="minorHAnsi" w:hAnsiTheme="minorHAnsi" w:cstheme="minorHAnsi"/>
          <w:szCs w:val="24"/>
        </w:rPr>
        <w:t xml:space="preserve">  As a result, the Rider NMB Pilot provides participating customers an opportunity to manage their transmission-related costs by controlling their NSPL. </w:t>
      </w:r>
    </w:p>
    <w:p w14:paraId="326A262A" w14:textId="028113CA" w:rsidR="002B0649" w:rsidRPr="002B0649" w:rsidRDefault="002B0649" w:rsidP="002B0649">
      <w:pPr>
        <w:spacing w:line="480" w:lineRule="auto"/>
        <w:ind w:firstLine="720"/>
        <w:jc w:val="both"/>
        <w:rPr>
          <w:rFonts w:asciiTheme="minorHAnsi" w:hAnsiTheme="minorHAnsi" w:cstheme="minorHAnsi"/>
          <w:szCs w:val="24"/>
        </w:rPr>
      </w:pPr>
      <w:r w:rsidRPr="002B0649">
        <w:rPr>
          <w:rFonts w:asciiTheme="minorHAnsi" w:hAnsiTheme="minorHAnsi" w:cstheme="minorHAnsi"/>
          <w:szCs w:val="24"/>
        </w:rPr>
        <w:t xml:space="preserve">In this case, </w:t>
      </w:r>
      <w:r w:rsidR="002A48E8">
        <w:rPr>
          <w:rFonts w:asciiTheme="minorHAnsi" w:hAnsiTheme="minorHAnsi" w:cstheme="minorHAnsi"/>
          <w:szCs w:val="24"/>
        </w:rPr>
        <w:t>FirstEnergy</w:t>
      </w:r>
      <w:r w:rsidRPr="002B0649">
        <w:rPr>
          <w:rFonts w:asciiTheme="minorHAnsi" w:hAnsiTheme="minorHAnsi" w:cstheme="minorHAnsi"/>
          <w:szCs w:val="24"/>
        </w:rPr>
        <w:t xml:space="preserve"> propose</w:t>
      </w:r>
      <w:r w:rsidR="002A48E8">
        <w:rPr>
          <w:rFonts w:asciiTheme="minorHAnsi" w:hAnsiTheme="minorHAnsi" w:cstheme="minorHAnsi"/>
          <w:szCs w:val="24"/>
        </w:rPr>
        <w:t>s</w:t>
      </w:r>
      <w:r w:rsidRPr="002B0649">
        <w:rPr>
          <w:rFonts w:asciiTheme="minorHAnsi" w:hAnsiTheme="minorHAnsi" w:cstheme="minorHAnsi"/>
          <w:szCs w:val="24"/>
        </w:rPr>
        <w:t xml:space="preserve"> to redesign the Rider NMB rate structure and eliminate the Rider NMB Pilot</w:t>
      </w:r>
      <w:proofErr w:type="gramStart"/>
      <w:r w:rsidRPr="002B0649">
        <w:rPr>
          <w:rFonts w:asciiTheme="minorHAnsi" w:hAnsiTheme="minorHAnsi" w:cstheme="minorHAnsi"/>
          <w:szCs w:val="24"/>
        </w:rPr>
        <w:t xml:space="preserve">.  </w:t>
      </w:r>
      <w:proofErr w:type="gramEnd"/>
      <w:r w:rsidR="002A48E8">
        <w:rPr>
          <w:rFonts w:asciiTheme="minorHAnsi" w:hAnsiTheme="minorHAnsi" w:cstheme="minorHAnsi"/>
          <w:szCs w:val="24"/>
        </w:rPr>
        <w:t>FirstEnergy</w:t>
      </w:r>
      <w:r w:rsidRPr="002B0649">
        <w:rPr>
          <w:rFonts w:asciiTheme="minorHAnsi" w:hAnsiTheme="minorHAnsi" w:cstheme="minorHAnsi"/>
          <w:szCs w:val="24"/>
        </w:rPr>
        <w:t xml:space="preserve"> explain</w:t>
      </w:r>
      <w:r w:rsidR="002A48E8">
        <w:rPr>
          <w:rFonts w:asciiTheme="minorHAnsi" w:hAnsiTheme="minorHAnsi" w:cstheme="minorHAnsi"/>
          <w:szCs w:val="24"/>
        </w:rPr>
        <w:t>s</w:t>
      </w:r>
      <w:r w:rsidRPr="002B0649">
        <w:rPr>
          <w:rFonts w:asciiTheme="minorHAnsi" w:hAnsiTheme="minorHAnsi" w:cstheme="minorHAnsi"/>
          <w:szCs w:val="24"/>
        </w:rPr>
        <w:t xml:space="preserve"> that the Pilot would be unnecessary because the proposed redesign of Rider NMB is designed to replace the Rider NMB Pilot and expand the existing Pilot pricing structure to additional customers.</w:t>
      </w:r>
      <w:r w:rsidRPr="002B0649">
        <w:rPr>
          <w:rStyle w:val="FootnoteReference"/>
          <w:rFonts w:asciiTheme="minorHAnsi" w:hAnsiTheme="minorHAnsi" w:cstheme="minorHAnsi"/>
          <w:sz w:val="24"/>
          <w:szCs w:val="24"/>
        </w:rPr>
        <w:footnoteReference w:id="118"/>
      </w:r>
      <w:r w:rsidRPr="002B0649">
        <w:rPr>
          <w:rFonts w:asciiTheme="minorHAnsi" w:hAnsiTheme="minorHAnsi" w:cstheme="minorHAnsi"/>
          <w:szCs w:val="24"/>
        </w:rPr>
        <w:t xml:space="preserve">  Specifically, </w:t>
      </w:r>
      <w:r w:rsidR="002A48E8">
        <w:rPr>
          <w:rFonts w:asciiTheme="minorHAnsi" w:hAnsiTheme="minorHAnsi" w:cstheme="minorHAnsi"/>
          <w:szCs w:val="24"/>
        </w:rPr>
        <w:t>FirstEnergy</w:t>
      </w:r>
      <w:r w:rsidRPr="002B0649">
        <w:rPr>
          <w:rFonts w:asciiTheme="minorHAnsi" w:hAnsiTheme="minorHAnsi" w:cstheme="minorHAnsi"/>
          <w:szCs w:val="24"/>
        </w:rPr>
        <w:t xml:space="preserve"> propose</w:t>
      </w:r>
      <w:r w:rsidR="002A48E8">
        <w:rPr>
          <w:rFonts w:asciiTheme="minorHAnsi" w:hAnsiTheme="minorHAnsi" w:cstheme="minorHAnsi"/>
          <w:szCs w:val="24"/>
        </w:rPr>
        <w:t>s</w:t>
      </w:r>
      <w:r w:rsidRPr="002B0649">
        <w:rPr>
          <w:rFonts w:asciiTheme="minorHAnsi" w:hAnsiTheme="minorHAnsi" w:cstheme="minorHAnsi"/>
          <w:szCs w:val="24"/>
        </w:rPr>
        <w:t xml:space="preserve"> NMB 1 and NMB 2 charges.</w:t>
      </w:r>
      <w:r w:rsidRPr="002B0649">
        <w:rPr>
          <w:rStyle w:val="FootnoteReference"/>
          <w:rFonts w:asciiTheme="minorHAnsi" w:hAnsiTheme="minorHAnsi" w:cstheme="minorHAnsi"/>
          <w:sz w:val="24"/>
          <w:szCs w:val="24"/>
        </w:rPr>
        <w:footnoteReference w:id="119"/>
      </w:r>
      <w:r w:rsidRPr="002B0649">
        <w:rPr>
          <w:rFonts w:asciiTheme="minorHAnsi" w:hAnsiTheme="minorHAnsi" w:cstheme="minorHAnsi"/>
          <w:szCs w:val="24"/>
        </w:rPr>
        <w:t xml:space="preserve">  NMB 1 will apply to all residential and lighting customers and commercial and industrial customers that do not have interval or advanced meters; NMB 2 will apply to all commercial and industrial customers that do have interval or advanced meters.</w:t>
      </w:r>
      <w:r w:rsidRPr="002B0649">
        <w:rPr>
          <w:rStyle w:val="FootnoteReference"/>
          <w:rFonts w:asciiTheme="minorHAnsi" w:hAnsiTheme="minorHAnsi" w:cstheme="minorHAnsi"/>
          <w:sz w:val="24"/>
          <w:szCs w:val="24"/>
        </w:rPr>
        <w:footnoteReference w:id="120"/>
      </w:r>
      <w:r w:rsidRPr="002B0649">
        <w:rPr>
          <w:rFonts w:asciiTheme="minorHAnsi" w:hAnsiTheme="minorHAnsi" w:cstheme="minorHAnsi"/>
          <w:szCs w:val="24"/>
        </w:rPr>
        <w:t xml:space="preserve">  NMB 2 charges will be calculated by aggregating the total commercial and industrial NSPL revenue requirement and dividing that number by the aggregated customer NSPLs divided by twelve, and this rate will apply to each customer’s NSPL.</w:t>
      </w:r>
      <w:r w:rsidRPr="002B0649">
        <w:rPr>
          <w:rStyle w:val="FootnoteReference"/>
          <w:rFonts w:asciiTheme="minorHAnsi" w:hAnsiTheme="minorHAnsi" w:cstheme="minorHAnsi"/>
          <w:sz w:val="24"/>
          <w:szCs w:val="24"/>
        </w:rPr>
        <w:footnoteReference w:id="121"/>
      </w:r>
      <w:r w:rsidRPr="002B0649">
        <w:rPr>
          <w:rFonts w:asciiTheme="minorHAnsi" w:hAnsiTheme="minorHAnsi" w:cstheme="minorHAnsi"/>
          <w:szCs w:val="24"/>
        </w:rPr>
        <w:t xml:space="preserve"> </w:t>
      </w:r>
      <w:r w:rsidR="002A48E8">
        <w:rPr>
          <w:rFonts w:asciiTheme="minorHAnsi" w:hAnsiTheme="minorHAnsi" w:cstheme="minorHAnsi"/>
          <w:szCs w:val="24"/>
        </w:rPr>
        <w:t>FirstEnergy</w:t>
      </w:r>
      <w:r w:rsidRPr="002B0649">
        <w:rPr>
          <w:rFonts w:asciiTheme="minorHAnsi" w:hAnsiTheme="minorHAnsi" w:cstheme="minorHAnsi"/>
          <w:szCs w:val="24"/>
        </w:rPr>
        <w:t xml:space="preserve"> explain</w:t>
      </w:r>
      <w:r w:rsidR="002A48E8">
        <w:rPr>
          <w:rFonts w:asciiTheme="minorHAnsi" w:hAnsiTheme="minorHAnsi" w:cstheme="minorHAnsi"/>
          <w:szCs w:val="24"/>
        </w:rPr>
        <w:t>s</w:t>
      </w:r>
      <w:r w:rsidRPr="002B0649">
        <w:rPr>
          <w:rFonts w:asciiTheme="minorHAnsi" w:hAnsiTheme="minorHAnsi" w:cstheme="minorHAnsi"/>
          <w:szCs w:val="24"/>
        </w:rPr>
        <w:t xml:space="preserve"> that the purpose of this change is to better align the Rider NMB rate design with how PJM assigns costs.</w:t>
      </w:r>
      <w:r w:rsidRPr="002B0649">
        <w:rPr>
          <w:rStyle w:val="FootnoteReference"/>
          <w:rFonts w:asciiTheme="minorHAnsi" w:hAnsiTheme="minorHAnsi" w:cstheme="minorHAnsi"/>
          <w:sz w:val="24"/>
          <w:szCs w:val="24"/>
        </w:rPr>
        <w:footnoteReference w:id="122"/>
      </w:r>
    </w:p>
    <w:p w14:paraId="2D46F7AB" w14:textId="22BCDE03" w:rsidR="002B0649" w:rsidRPr="002B0649" w:rsidRDefault="002B0649" w:rsidP="00773074">
      <w:pPr>
        <w:spacing w:after="240"/>
        <w:ind w:left="2160" w:hanging="720"/>
        <w:jc w:val="both"/>
        <w:rPr>
          <w:rFonts w:asciiTheme="minorHAnsi" w:hAnsiTheme="minorHAnsi" w:cstheme="minorHAnsi"/>
          <w:b/>
          <w:bCs/>
          <w:szCs w:val="24"/>
        </w:rPr>
      </w:pPr>
      <w:r w:rsidRPr="002B0649">
        <w:rPr>
          <w:rFonts w:asciiTheme="minorHAnsi" w:hAnsiTheme="minorHAnsi" w:cstheme="minorHAnsi"/>
          <w:b/>
          <w:bCs/>
          <w:szCs w:val="24"/>
        </w:rPr>
        <w:t>1.</w:t>
      </w:r>
      <w:r w:rsidRPr="002B0649">
        <w:rPr>
          <w:rFonts w:asciiTheme="minorHAnsi" w:hAnsiTheme="minorHAnsi" w:cstheme="minorHAnsi"/>
          <w:b/>
          <w:bCs/>
          <w:szCs w:val="24"/>
        </w:rPr>
        <w:tab/>
        <w:t>NSPL pricing reflects cost causation and provides strong price signals</w:t>
      </w:r>
      <w:r w:rsidR="00773074">
        <w:rPr>
          <w:rFonts w:asciiTheme="minorHAnsi" w:hAnsiTheme="minorHAnsi" w:cstheme="minorHAnsi"/>
          <w:b/>
          <w:bCs/>
          <w:szCs w:val="24"/>
        </w:rPr>
        <w:fldChar w:fldCharType="begin"/>
      </w:r>
      <w:r w:rsidR="00773074">
        <w:instrText xml:space="preserve"> TC "</w:instrText>
      </w:r>
      <w:bookmarkStart w:id="44" w:name="_Toc156549252"/>
      <w:bookmarkStart w:id="45" w:name="_Toc156549325"/>
      <w:r w:rsidR="00773074" w:rsidRPr="00647153">
        <w:rPr>
          <w:rFonts w:asciiTheme="minorHAnsi" w:hAnsiTheme="minorHAnsi" w:cstheme="minorHAnsi"/>
          <w:b/>
          <w:bCs/>
          <w:szCs w:val="24"/>
        </w:rPr>
        <w:instrText>1.</w:instrText>
      </w:r>
      <w:r w:rsidR="00773074" w:rsidRPr="00647153">
        <w:rPr>
          <w:rFonts w:asciiTheme="minorHAnsi" w:hAnsiTheme="minorHAnsi" w:cstheme="minorHAnsi"/>
          <w:b/>
          <w:bCs/>
          <w:szCs w:val="24"/>
        </w:rPr>
        <w:tab/>
        <w:instrText>NSPL pricing reflects cost causation and provides strong price signals</w:instrText>
      </w:r>
      <w:bookmarkEnd w:id="44"/>
      <w:bookmarkEnd w:id="45"/>
      <w:r w:rsidR="00773074">
        <w:instrText xml:space="preserve">" \f C \l "3" </w:instrText>
      </w:r>
      <w:r w:rsidR="00773074">
        <w:rPr>
          <w:rFonts w:asciiTheme="minorHAnsi" w:hAnsiTheme="minorHAnsi" w:cstheme="minorHAnsi"/>
          <w:b/>
          <w:bCs/>
          <w:szCs w:val="24"/>
        </w:rPr>
        <w:fldChar w:fldCharType="end"/>
      </w:r>
      <w:r w:rsidRPr="002B0649">
        <w:rPr>
          <w:rFonts w:asciiTheme="minorHAnsi" w:hAnsiTheme="minorHAnsi" w:cstheme="minorHAnsi"/>
          <w:b/>
          <w:bCs/>
          <w:szCs w:val="24"/>
        </w:rPr>
        <w:t xml:space="preserve"> </w:t>
      </w:r>
    </w:p>
    <w:p w14:paraId="16982FDE" w14:textId="6225FB5D" w:rsidR="002B0649" w:rsidRPr="002B0649" w:rsidRDefault="003B6D6F" w:rsidP="002B0649">
      <w:pPr>
        <w:spacing w:line="480" w:lineRule="auto"/>
        <w:ind w:firstLine="720"/>
        <w:jc w:val="both"/>
        <w:rPr>
          <w:rFonts w:asciiTheme="minorHAnsi" w:hAnsiTheme="minorHAnsi" w:cstheme="minorHAnsi"/>
          <w:szCs w:val="24"/>
        </w:rPr>
      </w:pPr>
      <w:r>
        <w:rPr>
          <w:rFonts w:asciiTheme="minorHAnsi" w:hAnsiTheme="minorHAnsi" w:cstheme="minorHAnsi"/>
          <w:szCs w:val="24"/>
        </w:rPr>
        <w:t xml:space="preserve">FirstEnergy’s transmission rates should incorporate </w:t>
      </w:r>
      <w:r w:rsidR="002B0649" w:rsidRPr="002B0649">
        <w:rPr>
          <w:rFonts w:asciiTheme="minorHAnsi" w:hAnsiTheme="minorHAnsi" w:cstheme="minorHAnsi"/>
          <w:szCs w:val="24"/>
        </w:rPr>
        <w:t>NSPL pricing because such pricing benefits customers charged NSPL-based rates and all other customers</w:t>
      </w:r>
      <w:proofErr w:type="gramStart"/>
      <w:r w:rsidR="002B0649" w:rsidRPr="002B0649">
        <w:rPr>
          <w:rFonts w:asciiTheme="minorHAnsi" w:hAnsiTheme="minorHAnsi" w:cstheme="minorHAnsi"/>
          <w:szCs w:val="24"/>
        </w:rPr>
        <w:t xml:space="preserve">.  </w:t>
      </w:r>
      <w:proofErr w:type="gramEnd"/>
      <w:r w:rsidR="00037096">
        <w:rPr>
          <w:rFonts w:asciiTheme="minorHAnsi" w:hAnsiTheme="minorHAnsi" w:cstheme="minorHAnsi"/>
          <w:szCs w:val="24"/>
        </w:rPr>
        <w:t>FirstEnergy</w:t>
      </w:r>
      <w:r w:rsidR="002B0649" w:rsidRPr="002B0649">
        <w:rPr>
          <w:rFonts w:asciiTheme="minorHAnsi" w:hAnsiTheme="minorHAnsi" w:cstheme="minorHAnsi"/>
          <w:szCs w:val="24"/>
        </w:rPr>
        <w:t xml:space="preserve"> </w:t>
      </w:r>
      <w:r w:rsidR="00037096">
        <w:rPr>
          <w:rFonts w:asciiTheme="minorHAnsi" w:hAnsiTheme="minorHAnsi" w:cstheme="minorHAnsi"/>
          <w:szCs w:val="24"/>
        </w:rPr>
        <w:t>W</w:t>
      </w:r>
      <w:r w:rsidR="002B0649" w:rsidRPr="002B0649">
        <w:rPr>
          <w:rFonts w:asciiTheme="minorHAnsi" w:hAnsiTheme="minorHAnsi" w:cstheme="minorHAnsi"/>
          <w:szCs w:val="24"/>
        </w:rPr>
        <w:t>itness</w:t>
      </w:r>
      <w:r w:rsidR="00ED4E67">
        <w:rPr>
          <w:rFonts w:asciiTheme="minorHAnsi" w:hAnsiTheme="minorHAnsi" w:cstheme="minorHAnsi"/>
          <w:szCs w:val="24"/>
        </w:rPr>
        <w:t xml:space="preserve"> </w:t>
      </w:r>
      <w:r w:rsidR="002B0649" w:rsidRPr="002B0649">
        <w:rPr>
          <w:rFonts w:asciiTheme="minorHAnsi" w:hAnsiTheme="minorHAnsi" w:cstheme="minorHAnsi"/>
          <w:szCs w:val="24"/>
        </w:rPr>
        <w:t>Lawless explains that the proposed Rider NMB rate design, based on NSPL pricing, can help “better align non-market-based services costs with the cost causers, consistent with how PJM assigns costs, and the changes support customers’ ability to manage and maintain better control over their charges.”</w:t>
      </w:r>
      <w:r w:rsidR="002B0649" w:rsidRPr="002B0649">
        <w:rPr>
          <w:rStyle w:val="FootnoteReference"/>
          <w:rFonts w:asciiTheme="minorHAnsi" w:hAnsiTheme="minorHAnsi" w:cstheme="minorHAnsi"/>
          <w:sz w:val="24"/>
          <w:szCs w:val="24"/>
        </w:rPr>
        <w:footnoteReference w:id="123"/>
      </w:r>
      <w:r w:rsidR="002B0649" w:rsidRPr="002B0649">
        <w:rPr>
          <w:rFonts w:asciiTheme="minorHAnsi" w:hAnsiTheme="minorHAnsi" w:cstheme="minorHAnsi"/>
          <w:szCs w:val="24"/>
        </w:rPr>
        <w:t xml:space="preserve">  The change also can increase administrative efficiency by eliminating the need for coordination with CRES providers for Rider NMB Pilot billing, and it can also allow customer switching between generation shopping and SSO supply without impacting Rider NMB.</w:t>
      </w:r>
      <w:r w:rsidR="002B0649" w:rsidRPr="002B0649">
        <w:rPr>
          <w:rStyle w:val="FootnoteReference"/>
          <w:rFonts w:asciiTheme="minorHAnsi" w:hAnsiTheme="minorHAnsi" w:cstheme="minorHAnsi"/>
          <w:sz w:val="24"/>
          <w:szCs w:val="24"/>
        </w:rPr>
        <w:footnoteReference w:id="124"/>
      </w:r>
      <w:r w:rsidR="002B0649" w:rsidRPr="002B0649">
        <w:rPr>
          <w:rFonts w:asciiTheme="minorHAnsi" w:hAnsiTheme="minorHAnsi" w:cstheme="minorHAnsi"/>
          <w:szCs w:val="24"/>
        </w:rPr>
        <w:t xml:space="preserve"> Additionally, </w:t>
      </w:r>
      <w:r w:rsidR="00D30145">
        <w:rPr>
          <w:rFonts w:asciiTheme="minorHAnsi" w:hAnsiTheme="minorHAnsi" w:cstheme="minorHAnsi"/>
          <w:szCs w:val="24"/>
        </w:rPr>
        <w:t xml:space="preserve">FirstEnergy Witness </w:t>
      </w:r>
      <w:r w:rsidR="002B0649" w:rsidRPr="002B0649">
        <w:rPr>
          <w:rFonts w:asciiTheme="minorHAnsi" w:hAnsiTheme="minorHAnsi" w:cstheme="minorHAnsi"/>
          <w:szCs w:val="24"/>
        </w:rPr>
        <w:t>Stein explains that NSPL pricing allows customers to have better control of their charges and bills by monitoring and responding to peak load times.</w:t>
      </w:r>
      <w:r w:rsidR="002B0649" w:rsidRPr="002B0649">
        <w:rPr>
          <w:rStyle w:val="FootnoteReference"/>
          <w:rFonts w:asciiTheme="minorHAnsi" w:hAnsiTheme="minorHAnsi" w:cstheme="minorHAnsi"/>
          <w:sz w:val="24"/>
          <w:szCs w:val="24"/>
        </w:rPr>
        <w:footnoteReference w:id="125"/>
      </w:r>
    </w:p>
    <w:p w14:paraId="67711BD5" w14:textId="55C9D879" w:rsidR="002B0649" w:rsidRDefault="002B0649" w:rsidP="002B0649">
      <w:pPr>
        <w:spacing w:line="480" w:lineRule="auto"/>
        <w:ind w:firstLine="720"/>
        <w:jc w:val="both"/>
        <w:rPr>
          <w:rFonts w:asciiTheme="minorHAnsi" w:hAnsiTheme="minorHAnsi" w:cstheme="minorHAnsi"/>
          <w:szCs w:val="24"/>
        </w:rPr>
      </w:pPr>
      <w:r w:rsidRPr="002B0649">
        <w:rPr>
          <w:rFonts w:asciiTheme="minorHAnsi" w:hAnsiTheme="minorHAnsi" w:cstheme="minorHAnsi"/>
          <w:szCs w:val="24"/>
        </w:rPr>
        <w:t>The benefits of NSPL pricing were also recently recognized by an independent third-party auditor in the Rider NMB Pilot Program audit proceeding</w:t>
      </w:r>
      <w:proofErr w:type="gramStart"/>
      <w:r w:rsidRPr="002B0649">
        <w:rPr>
          <w:rFonts w:asciiTheme="minorHAnsi" w:hAnsiTheme="minorHAnsi" w:cstheme="minorHAnsi"/>
          <w:szCs w:val="24"/>
        </w:rPr>
        <w:t xml:space="preserve">.  </w:t>
      </w:r>
      <w:proofErr w:type="gramEnd"/>
      <w:r w:rsidRPr="002B0649">
        <w:rPr>
          <w:rFonts w:asciiTheme="minorHAnsi" w:hAnsiTheme="minorHAnsi" w:cstheme="minorHAnsi"/>
          <w:szCs w:val="24"/>
        </w:rPr>
        <w:t>In approving the Rider NMB Pilot Program, the Commission directed the Companies and Commission Staff to review the operations of the Pilot Program to examine, among other things, cost savings, cost shifts, and benefits.</w:t>
      </w:r>
      <w:r w:rsidRPr="002B0649">
        <w:rPr>
          <w:rStyle w:val="FootnoteReference"/>
          <w:rFonts w:asciiTheme="minorHAnsi" w:hAnsiTheme="minorHAnsi" w:cstheme="minorHAnsi"/>
          <w:sz w:val="24"/>
          <w:szCs w:val="24"/>
        </w:rPr>
        <w:footnoteReference w:id="126"/>
      </w:r>
      <w:r w:rsidRPr="002B0649">
        <w:rPr>
          <w:rFonts w:asciiTheme="minorHAnsi" w:hAnsiTheme="minorHAnsi" w:cstheme="minorHAnsi"/>
          <w:szCs w:val="24"/>
        </w:rPr>
        <w:t xml:space="preserve">  In compliance with this Commission directive, on July 17, 2023, Exeter Associates, Inc. (“Exeter”) filed their </w:t>
      </w:r>
      <w:r w:rsidRPr="002B0649">
        <w:rPr>
          <w:rFonts w:asciiTheme="minorHAnsi" w:hAnsiTheme="minorHAnsi" w:cstheme="minorHAnsi"/>
          <w:i/>
          <w:iCs/>
          <w:szCs w:val="24"/>
        </w:rPr>
        <w:t>Review of the Non-Market-Based Services Riders Established by Ohio Edison Company, The Cleveland Electric Illuminating Company, and The Toledo Edison Company and Associated Pilot Program</w:t>
      </w:r>
      <w:r w:rsidRPr="002B0649">
        <w:rPr>
          <w:rFonts w:asciiTheme="minorHAnsi" w:hAnsiTheme="minorHAnsi" w:cstheme="minorHAnsi"/>
          <w:szCs w:val="24"/>
        </w:rPr>
        <w:t xml:space="preserve"> (“Rider NMB Audit Report”) in Case No. 22-0391-EL-RDR.  Exeter’s Rider NMB Audit Report concluded that the Rider NMB Pilot Program and NSPL pricing resulted in aggregate savings for FirstEnergy customers and that the benefits of the Pilot Program outweigh the costs.</w:t>
      </w:r>
      <w:r w:rsidRPr="002B0649">
        <w:rPr>
          <w:rStyle w:val="FootnoteReference"/>
          <w:rFonts w:asciiTheme="minorHAnsi" w:hAnsiTheme="minorHAnsi" w:cstheme="minorHAnsi"/>
          <w:sz w:val="24"/>
          <w:szCs w:val="24"/>
        </w:rPr>
        <w:footnoteReference w:id="127"/>
      </w:r>
      <w:r w:rsidRPr="002B0649">
        <w:rPr>
          <w:rFonts w:asciiTheme="minorHAnsi" w:hAnsiTheme="minorHAnsi" w:cstheme="minorHAnsi"/>
          <w:szCs w:val="24"/>
        </w:rPr>
        <w:t xml:space="preserve">  Such benefits attributable to the Rider NMB Pilot Program and NSPL pricing include a reduction in the Rider NMB revenue requirement in the amount of $231 million</w:t>
      </w:r>
      <w:r w:rsidRPr="002B0649">
        <w:rPr>
          <w:rStyle w:val="FootnoteReference"/>
          <w:rFonts w:asciiTheme="minorHAnsi" w:hAnsiTheme="minorHAnsi" w:cstheme="minorHAnsi"/>
          <w:sz w:val="24"/>
          <w:szCs w:val="24"/>
        </w:rPr>
        <w:footnoteReference w:id="128"/>
      </w:r>
      <w:r w:rsidRPr="002B0649">
        <w:rPr>
          <w:rFonts w:asciiTheme="minorHAnsi" w:hAnsiTheme="minorHAnsi" w:cstheme="minorHAnsi"/>
          <w:szCs w:val="24"/>
        </w:rPr>
        <w:t>; NSPL reductions by Pilot Program customers reduce the revenue requirements for Network Integration Transmission Service, Transmission Enhancement Charge, and related ancillary services</w:t>
      </w:r>
      <w:r w:rsidRPr="002B0649">
        <w:rPr>
          <w:rStyle w:val="FootnoteReference"/>
          <w:rFonts w:asciiTheme="minorHAnsi" w:hAnsiTheme="minorHAnsi" w:cstheme="minorHAnsi"/>
          <w:sz w:val="24"/>
          <w:szCs w:val="24"/>
        </w:rPr>
        <w:footnoteReference w:id="129"/>
      </w:r>
      <w:r w:rsidRPr="002B0649">
        <w:rPr>
          <w:rFonts w:asciiTheme="minorHAnsi" w:hAnsiTheme="minorHAnsi" w:cstheme="minorHAnsi"/>
          <w:szCs w:val="24"/>
        </w:rPr>
        <w:t>; savings through reductions in wholesale electricity prices</w:t>
      </w:r>
      <w:r w:rsidRPr="002B0649">
        <w:rPr>
          <w:rStyle w:val="FootnoteReference"/>
          <w:rFonts w:asciiTheme="minorHAnsi" w:hAnsiTheme="minorHAnsi" w:cstheme="minorHAnsi"/>
          <w:sz w:val="24"/>
          <w:szCs w:val="24"/>
        </w:rPr>
        <w:footnoteReference w:id="130"/>
      </w:r>
      <w:r w:rsidRPr="002B0649">
        <w:rPr>
          <w:rFonts w:asciiTheme="minorHAnsi" w:hAnsiTheme="minorHAnsi" w:cstheme="minorHAnsi"/>
          <w:szCs w:val="24"/>
        </w:rPr>
        <w:t>; encouragement of economic development and job retention</w:t>
      </w:r>
      <w:r w:rsidRPr="002B0649">
        <w:rPr>
          <w:rStyle w:val="FootnoteReference"/>
          <w:rFonts w:asciiTheme="minorHAnsi" w:hAnsiTheme="minorHAnsi" w:cstheme="minorHAnsi"/>
          <w:sz w:val="24"/>
          <w:szCs w:val="24"/>
        </w:rPr>
        <w:footnoteReference w:id="131"/>
      </w:r>
      <w:r w:rsidRPr="002B0649">
        <w:rPr>
          <w:rFonts w:asciiTheme="minorHAnsi" w:hAnsiTheme="minorHAnsi" w:cstheme="minorHAnsi"/>
          <w:szCs w:val="24"/>
        </w:rPr>
        <w:t>; and potential reliability benefits by sending price signals to curtail during times of high demand.</w:t>
      </w:r>
      <w:r w:rsidRPr="002B0649">
        <w:rPr>
          <w:rStyle w:val="FootnoteReference"/>
          <w:rFonts w:asciiTheme="minorHAnsi" w:hAnsiTheme="minorHAnsi" w:cstheme="minorHAnsi"/>
          <w:sz w:val="24"/>
          <w:szCs w:val="24"/>
        </w:rPr>
        <w:footnoteReference w:id="132"/>
      </w:r>
      <w:r w:rsidRPr="002B0649">
        <w:rPr>
          <w:rFonts w:asciiTheme="minorHAnsi" w:hAnsiTheme="minorHAnsi" w:cstheme="minorHAnsi"/>
          <w:szCs w:val="24"/>
        </w:rPr>
        <w:t xml:space="preserve"> </w:t>
      </w:r>
      <w:r w:rsidR="00C46269">
        <w:rPr>
          <w:rFonts w:asciiTheme="minorHAnsi" w:hAnsiTheme="minorHAnsi" w:cstheme="minorHAnsi"/>
          <w:szCs w:val="24"/>
        </w:rPr>
        <w:t xml:space="preserve"> </w:t>
      </w:r>
      <w:r w:rsidRPr="002B0649">
        <w:rPr>
          <w:rFonts w:asciiTheme="minorHAnsi" w:hAnsiTheme="minorHAnsi" w:cstheme="minorHAnsi"/>
          <w:szCs w:val="24"/>
        </w:rPr>
        <w:t xml:space="preserve">Based on these benefits, the Rider NMB Audit </w:t>
      </w:r>
      <w:r w:rsidR="00654C93">
        <w:rPr>
          <w:rFonts w:asciiTheme="minorHAnsi" w:hAnsiTheme="minorHAnsi" w:cstheme="minorHAnsi"/>
          <w:szCs w:val="24"/>
        </w:rPr>
        <w:t>R</w:t>
      </w:r>
      <w:r w:rsidR="00654C93" w:rsidRPr="002B0649">
        <w:rPr>
          <w:rFonts w:asciiTheme="minorHAnsi" w:hAnsiTheme="minorHAnsi" w:cstheme="minorHAnsi"/>
          <w:szCs w:val="24"/>
        </w:rPr>
        <w:t xml:space="preserve">eport </w:t>
      </w:r>
      <w:r w:rsidRPr="002B0649">
        <w:rPr>
          <w:rFonts w:asciiTheme="minorHAnsi" w:hAnsiTheme="minorHAnsi" w:cstheme="minorHAnsi"/>
          <w:szCs w:val="24"/>
        </w:rPr>
        <w:t>recommends that the Commission allow for NSPL pricing for all customers.</w:t>
      </w:r>
      <w:r w:rsidRPr="002B0649">
        <w:rPr>
          <w:rStyle w:val="FootnoteReference"/>
          <w:rFonts w:asciiTheme="minorHAnsi" w:hAnsiTheme="minorHAnsi" w:cstheme="minorHAnsi"/>
          <w:sz w:val="24"/>
          <w:szCs w:val="24"/>
        </w:rPr>
        <w:footnoteReference w:id="133"/>
      </w:r>
    </w:p>
    <w:p w14:paraId="3A787632" w14:textId="0133DFD7" w:rsidR="002B0649" w:rsidRPr="002B0649" w:rsidRDefault="002B0649" w:rsidP="00773074">
      <w:pPr>
        <w:spacing w:after="240"/>
        <w:ind w:left="2160" w:hanging="720"/>
        <w:jc w:val="both"/>
        <w:rPr>
          <w:rFonts w:asciiTheme="minorHAnsi" w:hAnsiTheme="minorHAnsi" w:cstheme="minorHAnsi"/>
          <w:b/>
          <w:bCs/>
          <w:szCs w:val="24"/>
        </w:rPr>
      </w:pPr>
      <w:r w:rsidRPr="002B0649">
        <w:rPr>
          <w:rFonts w:asciiTheme="minorHAnsi" w:hAnsiTheme="minorHAnsi" w:cstheme="minorHAnsi"/>
          <w:b/>
          <w:bCs/>
          <w:szCs w:val="24"/>
        </w:rPr>
        <w:t>2.</w:t>
      </w:r>
      <w:r w:rsidRPr="002B0649">
        <w:rPr>
          <w:rFonts w:asciiTheme="minorHAnsi" w:hAnsiTheme="minorHAnsi" w:cstheme="minorHAnsi"/>
          <w:b/>
          <w:bCs/>
          <w:szCs w:val="24"/>
        </w:rPr>
        <w:tab/>
        <w:t>Most parties recognize the benefits of NSPL pricing even though proposals for transmission pricing differ</w:t>
      </w:r>
      <w:r w:rsidR="00773074">
        <w:rPr>
          <w:rFonts w:asciiTheme="minorHAnsi" w:hAnsiTheme="minorHAnsi" w:cstheme="minorHAnsi"/>
          <w:b/>
          <w:bCs/>
          <w:szCs w:val="24"/>
        </w:rPr>
        <w:fldChar w:fldCharType="begin"/>
      </w:r>
      <w:r w:rsidR="00773074">
        <w:instrText xml:space="preserve"> TC "</w:instrText>
      </w:r>
      <w:bookmarkStart w:id="46" w:name="_Toc156549253"/>
      <w:bookmarkStart w:id="47" w:name="_Toc156549326"/>
      <w:r w:rsidR="00773074" w:rsidRPr="00330B91">
        <w:rPr>
          <w:rFonts w:asciiTheme="minorHAnsi" w:hAnsiTheme="minorHAnsi" w:cstheme="minorHAnsi"/>
          <w:b/>
          <w:bCs/>
          <w:szCs w:val="24"/>
        </w:rPr>
        <w:instrText>2.</w:instrText>
      </w:r>
      <w:r w:rsidR="00773074" w:rsidRPr="00330B91">
        <w:rPr>
          <w:rFonts w:asciiTheme="minorHAnsi" w:hAnsiTheme="minorHAnsi" w:cstheme="minorHAnsi"/>
          <w:b/>
          <w:bCs/>
          <w:szCs w:val="24"/>
        </w:rPr>
        <w:tab/>
        <w:instrText>Most parties recognize the benefits of NSPL pricing even though proposals for transmission pricing differ</w:instrText>
      </w:r>
      <w:bookmarkEnd w:id="46"/>
      <w:bookmarkEnd w:id="47"/>
      <w:r w:rsidR="00773074">
        <w:instrText xml:space="preserve">" \f C \l "3" </w:instrText>
      </w:r>
      <w:r w:rsidR="00773074">
        <w:rPr>
          <w:rFonts w:asciiTheme="minorHAnsi" w:hAnsiTheme="minorHAnsi" w:cstheme="minorHAnsi"/>
          <w:b/>
          <w:bCs/>
          <w:szCs w:val="24"/>
        </w:rPr>
        <w:fldChar w:fldCharType="end"/>
      </w:r>
    </w:p>
    <w:p w14:paraId="18CB2320" w14:textId="6434F372" w:rsidR="008D4F55" w:rsidRDefault="00C210BC" w:rsidP="002B0649">
      <w:pPr>
        <w:spacing w:line="480" w:lineRule="auto"/>
        <w:ind w:firstLine="720"/>
        <w:jc w:val="both"/>
        <w:rPr>
          <w:rFonts w:asciiTheme="minorHAnsi" w:hAnsiTheme="minorHAnsi" w:cstheme="minorHAnsi"/>
          <w:szCs w:val="24"/>
        </w:rPr>
      </w:pPr>
      <w:r>
        <w:rPr>
          <w:rFonts w:asciiTheme="minorHAnsi" w:hAnsiTheme="minorHAnsi" w:cstheme="minorHAnsi"/>
          <w:szCs w:val="24"/>
        </w:rPr>
        <w:t>In addition to</w:t>
      </w:r>
      <w:r w:rsidR="002B0649" w:rsidRPr="002B0649">
        <w:rPr>
          <w:rFonts w:asciiTheme="minorHAnsi" w:hAnsiTheme="minorHAnsi" w:cstheme="minorHAnsi"/>
          <w:szCs w:val="24"/>
        </w:rPr>
        <w:t xml:space="preserve"> the Companies and Exeter</w:t>
      </w:r>
      <w:r>
        <w:rPr>
          <w:rFonts w:asciiTheme="minorHAnsi" w:hAnsiTheme="minorHAnsi" w:cstheme="minorHAnsi"/>
          <w:szCs w:val="24"/>
        </w:rPr>
        <w:t xml:space="preserve">, there is also </w:t>
      </w:r>
      <w:r w:rsidR="002B0649" w:rsidRPr="002B0649">
        <w:rPr>
          <w:rFonts w:asciiTheme="minorHAnsi" w:hAnsiTheme="minorHAnsi" w:cstheme="minorHAnsi"/>
          <w:szCs w:val="24"/>
        </w:rPr>
        <w:t xml:space="preserve">a common ground of support for NSPL pricing </w:t>
      </w:r>
      <w:r>
        <w:rPr>
          <w:rFonts w:asciiTheme="minorHAnsi" w:hAnsiTheme="minorHAnsi" w:cstheme="minorHAnsi"/>
          <w:szCs w:val="24"/>
        </w:rPr>
        <w:t>among witnesses for a broad array of parties in this case</w:t>
      </w:r>
      <w:proofErr w:type="gramStart"/>
      <w:r w:rsidR="002B0649" w:rsidRPr="002B0649">
        <w:rPr>
          <w:rFonts w:asciiTheme="minorHAnsi" w:hAnsiTheme="minorHAnsi" w:cstheme="minorHAnsi"/>
          <w:szCs w:val="24"/>
        </w:rPr>
        <w:t xml:space="preserve">.  </w:t>
      </w:r>
      <w:proofErr w:type="gramEnd"/>
      <w:r w:rsidR="002B0649" w:rsidRPr="002B0649">
        <w:rPr>
          <w:rFonts w:asciiTheme="minorHAnsi" w:hAnsiTheme="minorHAnsi" w:cstheme="minorHAnsi"/>
          <w:szCs w:val="24"/>
        </w:rPr>
        <w:t xml:space="preserve">OEG </w:t>
      </w:r>
      <w:r>
        <w:rPr>
          <w:rFonts w:asciiTheme="minorHAnsi" w:hAnsiTheme="minorHAnsi" w:cstheme="minorHAnsi"/>
          <w:szCs w:val="24"/>
        </w:rPr>
        <w:t>W</w:t>
      </w:r>
      <w:r w:rsidR="002B0649" w:rsidRPr="002B0649">
        <w:rPr>
          <w:rFonts w:asciiTheme="minorHAnsi" w:hAnsiTheme="minorHAnsi" w:cstheme="minorHAnsi"/>
          <w:szCs w:val="24"/>
        </w:rPr>
        <w:t>itness Stephen J. Baron explains that the NSPL pricing under the NMB 2 rate creates economic efficiency by sending price signals to commercial and industrial customers, allowing such customers to adjust their energy usage in response to such price signals.</w:t>
      </w:r>
      <w:r w:rsidR="002B0649" w:rsidRPr="002B0649">
        <w:rPr>
          <w:rStyle w:val="FootnoteReference"/>
          <w:rFonts w:asciiTheme="minorHAnsi" w:hAnsiTheme="minorHAnsi" w:cstheme="minorHAnsi"/>
          <w:sz w:val="24"/>
          <w:szCs w:val="24"/>
        </w:rPr>
        <w:footnoteReference w:id="134"/>
      </w:r>
      <w:r w:rsidR="002B0649" w:rsidRPr="002B0649">
        <w:rPr>
          <w:rFonts w:asciiTheme="minorHAnsi" w:hAnsiTheme="minorHAnsi" w:cstheme="minorHAnsi"/>
          <w:szCs w:val="24"/>
        </w:rPr>
        <w:t xml:space="preserve"> </w:t>
      </w:r>
      <w:r>
        <w:rPr>
          <w:rFonts w:asciiTheme="minorHAnsi" w:hAnsiTheme="minorHAnsi" w:cstheme="minorHAnsi"/>
          <w:szCs w:val="24"/>
        </w:rPr>
        <w:t xml:space="preserve"> </w:t>
      </w:r>
      <w:r w:rsidR="00E64669">
        <w:rPr>
          <w:rFonts w:asciiTheme="minorHAnsi" w:hAnsiTheme="minorHAnsi" w:cstheme="minorHAnsi"/>
          <w:szCs w:val="24"/>
        </w:rPr>
        <w:t>The Retail Energy Supply Association’s</w:t>
      </w:r>
      <w:r w:rsidR="00E64669" w:rsidRPr="002B0649">
        <w:rPr>
          <w:rFonts w:asciiTheme="minorHAnsi" w:hAnsiTheme="minorHAnsi" w:cstheme="minorHAnsi"/>
          <w:szCs w:val="24"/>
        </w:rPr>
        <w:t xml:space="preserve"> </w:t>
      </w:r>
      <w:r w:rsidR="00EA6134">
        <w:rPr>
          <w:rFonts w:asciiTheme="minorHAnsi" w:hAnsiTheme="minorHAnsi" w:cstheme="minorHAnsi"/>
          <w:szCs w:val="24"/>
        </w:rPr>
        <w:t>W</w:t>
      </w:r>
      <w:r w:rsidR="00EA6134" w:rsidRPr="002B0649">
        <w:rPr>
          <w:rFonts w:asciiTheme="minorHAnsi" w:hAnsiTheme="minorHAnsi" w:cstheme="minorHAnsi"/>
          <w:szCs w:val="24"/>
        </w:rPr>
        <w:t xml:space="preserve">itness </w:t>
      </w:r>
      <w:r w:rsidR="002B0649" w:rsidRPr="002B0649">
        <w:rPr>
          <w:rFonts w:asciiTheme="minorHAnsi" w:hAnsiTheme="minorHAnsi" w:cstheme="minorHAnsi"/>
          <w:szCs w:val="24"/>
        </w:rPr>
        <w:t>Jesse Rodriguez explains that NSPL billing improves the alignment of costs with cost causation.</w:t>
      </w:r>
      <w:r w:rsidR="002B0649" w:rsidRPr="002B0649">
        <w:rPr>
          <w:rStyle w:val="FootnoteReference"/>
          <w:rFonts w:asciiTheme="minorHAnsi" w:hAnsiTheme="minorHAnsi" w:cstheme="minorHAnsi"/>
          <w:sz w:val="24"/>
          <w:szCs w:val="24"/>
        </w:rPr>
        <w:footnoteReference w:id="135"/>
      </w:r>
      <w:r w:rsidR="002B0649" w:rsidRPr="002B0649">
        <w:rPr>
          <w:rFonts w:asciiTheme="minorHAnsi" w:hAnsiTheme="minorHAnsi" w:cstheme="minorHAnsi"/>
          <w:szCs w:val="24"/>
        </w:rPr>
        <w:t xml:space="preserve">  </w:t>
      </w:r>
      <w:r w:rsidR="00BF72F4">
        <w:rPr>
          <w:rFonts w:asciiTheme="minorHAnsi" w:hAnsiTheme="minorHAnsi" w:cstheme="minorHAnsi"/>
          <w:szCs w:val="24"/>
        </w:rPr>
        <w:t>Interstate Gas Supply</w:t>
      </w:r>
      <w:r w:rsidR="00BC2596">
        <w:rPr>
          <w:rFonts w:asciiTheme="minorHAnsi" w:hAnsiTheme="minorHAnsi" w:cstheme="minorHAnsi"/>
          <w:szCs w:val="24"/>
        </w:rPr>
        <w:t xml:space="preserve">, LLC’s </w:t>
      </w:r>
      <w:r w:rsidR="004E6878">
        <w:rPr>
          <w:rFonts w:asciiTheme="minorHAnsi" w:hAnsiTheme="minorHAnsi" w:cstheme="minorHAnsi"/>
          <w:szCs w:val="24"/>
        </w:rPr>
        <w:t>W</w:t>
      </w:r>
      <w:r w:rsidR="004E6878" w:rsidRPr="002B0649">
        <w:rPr>
          <w:rFonts w:asciiTheme="minorHAnsi" w:hAnsiTheme="minorHAnsi" w:cstheme="minorHAnsi"/>
          <w:szCs w:val="24"/>
        </w:rPr>
        <w:t xml:space="preserve">itness </w:t>
      </w:r>
      <w:r w:rsidR="002B0649" w:rsidRPr="002B0649">
        <w:rPr>
          <w:rFonts w:asciiTheme="minorHAnsi" w:hAnsiTheme="minorHAnsi" w:cstheme="minorHAnsi"/>
          <w:szCs w:val="24"/>
        </w:rPr>
        <w:t>Jim Poprocki acknowledges that allowing customers to have control over their transmission costs is important because it could help avoid costly transmission investments.</w:t>
      </w:r>
      <w:r w:rsidR="002B0649" w:rsidRPr="002B0649">
        <w:rPr>
          <w:rStyle w:val="FootnoteReference"/>
          <w:rFonts w:asciiTheme="minorHAnsi" w:hAnsiTheme="minorHAnsi" w:cstheme="minorHAnsi"/>
          <w:sz w:val="24"/>
          <w:szCs w:val="24"/>
        </w:rPr>
        <w:footnoteReference w:id="136"/>
      </w:r>
      <w:r>
        <w:rPr>
          <w:rFonts w:asciiTheme="minorHAnsi" w:hAnsiTheme="minorHAnsi" w:cstheme="minorHAnsi"/>
          <w:szCs w:val="24"/>
        </w:rPr>
        <w:t xml:space="preserve">  Similarly, Nucor Witness Dr. Goins testifie</w:t>
      </w:r>
      <w:r w:rsidR="003620DA">
        <w:rPr>
          <w:rFonts w:asciiTheme="minorHAnsi" w:hAnsiTheme="minorHAnsi" w:cstheme="minorHAnsi"/>
          <w:szCs w:val="24"/>
        </w:rPr>
        <w:t>d</w:t>
      </w:r>
      <w:r>
        <w:rPr>
          <w:rFonts w:asciiTheme="minorHAnsi" w:hAnsiTheme="minorHAnsi" w:cstheme="minorHAnsi"/>
          <w:szCs w:val="24"/>
        </w:rPr>
        <w:t xml:space="preserve"> that </w:t>
      </w:r>
      <w:r w:rsidRPr="00C210BC">
        <w:rPr>
          <w:rFonts w:asciiTheme="minorHAnsi" w:hAnsiTheme="minorHAnsi" w:cstheme="minorHAnsi"/>
        </w:rPr>
        <w:t>“NSPL pricing provides a more cost-related price signal to which customers can respond. Since pricing in the NMB Pilot Program is based on each customer’s individual NSPL, a pilot program customer has an incentive to minimize NSPL and thereby reduce billed transmission costs.”</w:t>
      </w:r>
      <w:r>
        <w:rPr>
          <w:rStyle w:val="FootnoteReference"/>
          <w:rFonts w:asciiTheme="minorHAnsi" w:hAnsiTheme="minorHAnsi" w:cstheme="minorHAnsi"/>
        </w:rPr>
        <w:footnoteReference w:id="137"/>
      </w:r>
      <w:r w:rsidR="002B0649" w:rsidRPr="002B0649">
        <w:rPr>
          <w:rFonts w:asciiTheme="minorHAnsi" w:hAnsiTheme="minorHAnsi" w:cstheme="minorHAnsi"/>
          <w:szCs w:val="24"/>
        </w:rPr>
        <w:t xml:space="preserve">  </w:t>
      </w:r>
    </w:p>
    <w:p w14:paraId="440BB504" w14:textId="7786AAFE" w:rsidR="00783A39" w:rsidRDefault="002B0649" w:rsidP="002B0649">
      <w:pPr>
        <w:spacing w:line="480" w:lineRule="auto"/>
        <w:ind w:firstLine="720"/>
        <w:jc w:val="both"/>
        <w:rPr>
          <w:rFonts w:asciiTheme="minorHAnsi" w:hAnsiTheme="minorHAnsi" w:cstheme="minorHAnsi"/>
          <w:szCs w:val="24"/>
        </w:rPr>
      </w:pPr>
      <w:r w:rsidRPr="002B0649">
        <w:rPr>
          <w:rFonts w:asciiTheme="minorHAnsi" w:hAnsiTheme="minorHAnsi" w:cstheme="minorHAnsi"/>
          <w:szCs w:val="24"/>
        </w:rPr>
        <w:t xml:space="preserve">OMAEG </w:t>
      </w:r>
      <w:r w:rsidR="00C06B2E">
        <w:rPr>
          <w:rFonts w:asciiTheme="minorHAnsi" w:hAnsiTheme="minorHAnsi" w:cstheme="minorHAnsi"/>
          <w:szCs w:val="24"/>
        </w:rPr>
        <w:t>W</w:t>
      </w:r>
      <w:r w:rsidR="00C06B2E" w:rsidRPr="002B0649">
        <w:rPr>
          <w:rFonts w:asciiTheme="minorHAnsi" w:hAnsiTheme="minorHAnsi" w:cstheme="minorHAnsi"/>
          <w:szCs w:val="24"/>
        </w:rPr>
        <w:t xml:space="preserve">itness </w:t>
      </w:r>
      <w:r w:rsidRPr="002B0649">
        <w:rPr>
          <w:rFonts w:asciiTheme="minorHAnsi" w:hAnsiTheme="minorHAnsi" w:cstheme="minorHAnsi"/>
          <w:szCs w:val="24"/>
        </w:rPr>
        <w:t>Ryan Schuessler explains that Rider NMB transmission charges are one of the single largest charges paid for by industrial customers, and allowing Pilot Program participants to control their transmission costs through NSPL management can help to lower such transmission costs, which will make the customer more competitive and cost-effective.</w:t>
      </w:r>
      <w:r w:rsidRPr="002B0649">
        <w:rPr>
          <w:rStyle w:val="FootnoteReference"/>
          <w:rFonts w:asciiTheme="minorHAnsi" w:hAnsiTheme="minorHAnsi" w:cstheme="minorHAnsi"/>
          <w:sz w:val="24"/>
          <w:szCs w:val="24"/>
        </w:rPr>
        <w:footnoteReference w:id="138"/>
      </w:r>
      <w:r w:rsidRPr="002B0649">
        <w:rPr>
          <w:rFonts w:asciiTheme="minorHAnsi" w:hAnsiTheme="minorHAnsi" w:cstheme="minorHAnsi"/>
          <w:szCs w:val="24"/>
        </w:rPr>
        <w:t xml:space="preserve">  Witness Sch</w:t>
      </w:r>
      <w:r w:rsidR="003B6D6F">
        <w:rPr>
          <w:rFonts w:asciiTheme="minorHAnsi" w:hAnsiTheme="minorHAnsi" w:cstheme="minorHAnsi"/>
          <w:szCs w:val="24"/>
        </w:rPr>
        <w:t>u</w:t>
      </w:r>
      <w:r w:rsidRPr="002B0649">
        <w:rPr>
          <w:rFonts w:asciiTheme="minorHAnsi" w:hAnsiTheme="minorHAnsi" w:cstheme="minorHAnsi"/>
          <w:szCs w:val="24"/>
        </w:rPr>
        <w:t>essler also highlights how NSPL-based billing can provide grid benefits by encouraging customer curtailment during periods of high energy prices.</w:t>
      </w:r>
      <w:r w:rsidRPr="002B0649">
        <w:rPr>
          <w:rStyle w:val="FootnoteReference"/>
          <w:rFonts w:asciiTheme="minorHAnsi" w:hAnsiTheme="minorHAnsi" w:cstheme="minorHAnsi"/>
          <w:sz w:val="24"/>
          <w:szCs w:val="24"/>
        </w:rPr>
        <w:footnoteReference w:id="139"/>
      </w:r>
      <w:r w:rsidRPr="002B0649">
        <w:rPr>
          <w:rFonts w:asciiTheme="minorHAnsi" w:hAnsiTheme="minorHAnsi" w:cstheme="minorHAnsi"/>
          <w:szCs w:val="24"/>
        </w:rPr>
        <w:t xml:space="preserve">  OELC </w:t>
      </w:r>
      <w:r w:rsidR="00C06B2E">
        <w:rPr>
          <w:rFonts w:asciiTheme="minorHAnsi" w:hAnsiTheme="minorHAnsi" w:cstheme="minorHAnsi"/>
          <w:szCs w:val="24"/>
        </w:rPr>
        <w:t>W</w:t>
      </w:r>
      <w:r w:rsidR="00C06B2E" w:rsidRPr="002B0649">
        <w:rPr>
          <w:rFonts w:asciiTheme="minorHAnsi" w:hAnsiTheme="minorHAnsi" w:cstheme="minorHAnsi"/>
          <w:szCs w:val="24"/>
        </w:rPr>
        <w:t xml:space="preserve">itness </w:t>
      </w:r>
      <w:r w:rsidRPr="002B0649">
        <w:rPr>
          <w:rFonts w:asciiTheme="minorHAnsi" w:hAnsiTheme="minorHAnsi" w:cstheme="minorHAnsi"/>
          <w:szCs w:val="24"/>
        </w:rPr>
        <w:t xml:space="preserve">Brakey echoes </w:t>
      </w:r>
      <w:r w:rsidR="00C06B2E">
        <w:rPr>
          <w:rFonts w:asciiTheme="minorHAnsi" w:hAnsiTheme="minorHAnsi" w:cstheme="minorHAnsi"/>
          <w:szCs w:val="24"/>
        </w:rPr>
        <w:t>W</w:t>
      </w:r>
      <w:r w:rsidR="00C06B2E" w:rsidRPr="002B0649">
        <w:rPr>
          <w:rFonts w:asciiTheme="minorHAnsi" w:hAnsiTheme="minorHAnsi" w:cstheme="minorHAnsi"/>
          <w:szCs w:val="24"/>
        </w:rPr>
        <w:t xml:space="preserve">itness </w:t>
      </w:r>
      <w:r w:rsidRPr="002B0649">
        <w:rPr>
          <w:rFonts w:asciiTheme="minorHAnsi" w:hAnsiTheme="minorHAnsi" w:cstheme="minorHAnsi"/>
          <w:szCs w:val="24"/>
        </w:rPr>
        <w:t>Sch</w:t>
      </w:r>
      <w:r w:rsidR="003B6D6F">
        <w:rPr>
          <w:rFonts w:asciiTheme="minorHAnsi" w:hAnsiTheme="minorHAnsi" w:cstheme="minorHAnsi"/>
          <w:szCs w:val="24"/>
        </w:rPr>
        <w:t>u</w:t>
      </w:r>
      <w:r w:rsidRPr="002B0649">
        <w:rPr>
          <w:rFonts w:asciiTheme="minorHAnsi" w:hAnsiTheme="minorHAnsi" w:cstheme="minorHAnsi"/>
          <w:szCs w:val="24"/>
        </w:rPr>
        <w:t>essler’s conclusions and details how NSPL billing incentivizes customers to curtail their load during peak load periods, which provides stability and electricity availability to the PJM grid and the ATSI zone.</w:t>
      </w:r>
      <w:r w:rsidRPr="002B0649">
        <w:rPr>
          <w:rStyle w:val="FootnoteReference"/>
          <w:rFonts w:asciiTheme="minorHAnsi" w:hAnsiTheme="minorHAnsi" w:cstheme="minorHAnsi"/>
          <w:sz w:val="24"/>
          <w:szCs w:val="24"/>
        </w:rPr>
        <w:footnoteReference w:id="140"/>
      </w:r>
      <w:r w:rsidRPr="002B0649">
        <w:rPr>
          <w:rFonts w:asciiTheme="minorHAnsi" w:hAnsiTheme="minorHAnsi" w:cstheme="minorHAnsi"/>
          <w:szCs w:val="24"/>
        </w:rPr>
        <w:t xml:space="preserve">  </w:t>
      </w:r>
    </w:p>
    <w:p w14:paraId="79459F74" w14:textId="66291A0A" w:rsidR="002B0649" w:rsidRDefault="002B0649" w:rsidP="002B0649">
      <w:pPr>
        <w:spacing w:line="480" w:lineRule="auto"/>
        <w:ind w:firstLine="720"/>
        <w:jc w:val="both"/>
        <w:rPr>
          <w:rFonts w:asciiTheme="minorHAnsi" w:hAnsiTheme="minorHAnsi" w:cstheme="minorHAnsi"/>
          <w:szCs w:val="24"/>
        </w:rPr>
      </w:pPr>
      <w:r w:rsidRPr="002B0649">
        <w:rPr>
          <w:rFonts w:asciiTheme="minorHAnsi" w:hAnsiTheme="minorHAnsi" w:cstheme="minorHAnsi"/>
          <w:szCs w:val="24"/>
        </w:rPr>
        <w:t xml:space="preserve">These witnesses do not all agree on the </w:t>
      </w:r>
      <w:r w:rsidR="00056D6F">
        <w:rPr>
          <w:rFonts w:asciiTheme="minorHAnsi" w:hAnsiTheme="minorHAnsi" w:cstheme="minorHAnsi"/>
          <w:szCs w:val="24"/>
        </w:rPr>
        <w:t xml:space="preserve">merits of FirstEnergy’s proposed NMB 2 </w:t>
      </w:r>
      <w:proofErr w:type="gramStart"/>
      <w:r w:rsidR="00056D6F">
        <w:rPr>
          <w:rFonts w:asciiTheme="minorHAnsi" w:hAnsiTheme="minorHAnsi" w:cstheme="minorHAnsi"/>
          <w:szCs w:val="24"/>
        </w:rPr>
        <w:t>rate</w:t>
      </w:r>
      <w:proofErr w:type="gramEnd"/>
      <w:r w:rsidRPr="002B0649">
        <w:rPr>
          <w:rFonts w:asciiTheme="minorHAnsi" w:hAnsiTheme="minorHAnsi" w:cstheme="minorHAnsi"/>
          <w:szCs w:val="24"/>
        </w:rPr>
        <w:t>,</w:t>
      </w:r>
      <w:r w:rsidR="00056D6F">
        <w:rPr>
          <w:rFonts w:asciiTheme="minorHAnsi" w:hAnsiTheme="minorHAnsi" w:cstheme="minorHAnsi"/>
          <w:szCs w:val="24"/>
        </w:rPr>
        <w:t xml:space="preserve"> or on whether </w:t>
      </w:r>
      <w:r w:rsidR="00783A39">
        <w:rPr>
          <w:rFonts w:asciiTheme="minorHAnsi" w:hAnsiTheme="minorHAnsi" w:cstheme="minorHAnsi"/>
          <w:szCs w:val="24"/>
        </w:rPr>
        <w:t xml:space="preserve">the recovery of PJM </w:t>
      </w:r>
      <w:r w:rsidR="00056D6F">
        <w:rPr>
          <w:rFonts w:asciiTheme="minorHAnsi" w:hAnsiTheme="minorHAnsi" w:cstheme="minorHAnsi"/>
          <w:szCs w:val="24"/>
        </w:rPr>
        <w:t>transmission</w:t>
      </w:r>
      <w:r w:rsidR="00783A39">
        <w:rPr>
          <w:rFonts w:asciiTheme="minorHAnsi" w:hAnsiTheme="minorHAnsi" w:cstheme="minorHAnsi"/>
          <w:szCs w:val="24"/>
        </w:rPr>
        <w:t xml:space="preserve"> costs</w:t>
      </w:r>
      <w:r w:rsidR="00056D6F">
        <w:rPr>
          <w:rFonts w:asciiTheme="minorHAnsi" w:hAnsiTheme="minorHAnsi" w:cstheme="minorHAnsi"/>
          <w:szCs w:val="24"/>
        </w:rPr>
        <w:t xml:space="preserve"> should be the responsibility of FirstEnergy or a competitive supplier.  But </w:t>
      </w:r>
      <w:r w:rsidRPr="002B0649">
        <w:rPr>
          <w:rFonts w:asciiTheme="minorHAnsi" w:hAnsiTheme="minorHAnsi" w:cstheme="minorHAnsi"/>
          <w:szCs w:val="24"/>
        </w:rPr>
        <w:t>they all acknowledge the benefits of NSPL pricing</w:t>
      </w:r>
      <w:proofErr w:type="gramStart"/>
      <w:r w:rsidRPr="002B0649">
        <w:rPr>
          <w:rFonts w:asciiTheme="minorHAnsi" w:hAnsiTheme="minorHAnsi" w:cstheme="minorHAnsi"/>
          <w:szCs w:val="24"/>
        </w:rPr>
        <w:t xml:space="preserve">.  </w:t>
      </w:r>
      <w:proofErr w:type="gramEnd"/>
      <w:r w:rsidRPr="002B0649">
        <w:rPr>
          <w:rFonts w:asciiTheme="minorHAnsi" w:hAnsiTheme="minorHAnsi" w:cstheme="minorHAnsi"/>
          <w:szCs w:val="24"/>
        </w:rPr>
        <w:t xml:space="preserve">As </w:t>
      </w:r>
      <w:r w:rsidR="003B6D6F">
        <w:rPr>
          <w:rFonts w:asciiTheme="minorHAnsi" w:hAnsiTheme="minorHAnsi" w:cstheme="minorHAnsi"/>
          <w:szCs w:val="24"/>
        </w:rPr>
        <w:t>a result</w:t>
      </w:r>
      <w:r w:rsidRPr="002B0649">
        <w:rPr>
          <w:rFonts w:asciiTheme="minorHAnsi" w:hAnsiTheme="minorHAnsi" w:cstheme="minorHAnsi"/>
          <w:szCs w:val="24"/>
        </w:rPr>
        <w:t xml:space="preserve">, any approved rate design for Rider NMB should include </w:t>
      </w:r>
      <w:r w:rsidR="00056D6F">
        <w:rPr>
          <w:rFonts w:asciiTheme="minorHAnsi" w:hAnsiTheme="minorHAnsi" w:cstheme="minorHAnsi"/>
          <w:szCs w:val="24"/>
        </w:rPr>
        <w:t xml:space="preserve">at least </w:t>
      </w:r>
      <w:r w:rsidRPr="002B0649">
        <w:rPr>
          <w:rFonts w:asciiTheme="minorHAnsi" w:hAnsiTheme="minorHAnsi" w:cstheme="minorHAnsi"/>
          <w:szCs w:val="24"/>
        </w:rPr>
        <w:t xml:space="preserve">an option for NSPL pricing for commercial and industrial customers. </w:t>
      </w:r>
    </w:p>
    <w:p w14:paraId="5DE99C45" w14:textId="4FFA85DC" w:rsidR="002B0649" w:rsidRPr="002B0649" w:rsidRDefault="002B0649" w:rsidP="00773074">
      <w:pPr>
        <w:spacing w:after="240"/>
        <w:ind w:left="2160" w:hanging="720"/>
        <w:jc w:val="both"/>
        <w:rPr>
          <w:rFonts w:asciiTheme="minorHAnsi" w:hAnsiTheme="minorHAnsi" w:cstheme="minorHAnsi"/>
          <w:b/>
          <w:bCs/>
          <w:szCs w:val="24"/>
        </w:rPr>
      </w:pPr>
      <w:r w:rsidRPr="002B0649">
        <w:rPr>
          <w:rFonts w:asciiTheme="minorHAnsi" w:hAnsiTheme="minorHAnsi" w:cstheme="minorHAnsi"/>
          <w:b/>
          <w:bCs/>
          <w:szCs w:val="24"/>
        </w:rPr>
        <w:t>3.</w:t>
      </w:r>
      <w:r w:rsidRPr="002B0649">
        <w:rPr>
          <w:rFonts w:asciiTheme="minorHAnsi" w:hAnsiTheme="minorHAnsi" w:cstheme="minorHAnsi"/>
          <w:b/>
          <w:bCs/>
          <w:szCs w:val="24"/>
        </w:rPr>
        <w:tab/>
        <w:t>The Commission should approve FirstEnergy’s Rider NMB proposal or, in the alternative, continue the Rider NMB Pilot Program</w:t>
      </w:r>
      <w:r w:rsidR="00773074">
        <w:rPr>
          <w:rFonts w:asciiTheme="minorHAnsi" w:hAnsiTheme="minorHAnsi" w:cstheme="minorHAnsi"/>
          <w:b/>
          <w:bCs/>
          <w:szCs w:val="24"/>
        </w:rPr>
        <w:fldChar w:fldCharType="begin"/>
      </w:r>
      <w:r w:rsidR="00773074">
        <w:instrText xml:space="preserve"> TC "</w:instrText>
      </w:r>
      <w:bookmarkStart w:id="48" w:name="_Toc156549254"/>
      <w:bookmarkStart w:id="49" w:name="_Toc156549327"/>
      <w:r w:rsidR="00773074" w:rsidRPr="00DB58E3">
        <w:rPr>
          <w:rFonts w:asciiTheme="minorHAnsi" w:hAnsiTheme="minorHAnsi" w:cstheme="minorHAnsi"/>
          <w:b/>
          <w:bCs/>
          <w:szCs w:val="24"/>
        </w:rPr>
        <w:instrText>3.</w:instrText>
      </w:r>
      <w:r w:rsidR="00773074" w:rsidRPr="00DB58E3">
        <w:rPr>
          <w:rFonts w:asciiTheme="minorHAnsi" w:hAnsiTheme="minorHAnsi" w:cstheme="minorHAnsi"/>
          <w:b/>
          <w:bCs/>
          <w:szCs w:val="24"/>
        </w:rPr>
        <w:tab/>
        <w:instrText>The Commission should approve FirstEnergy’s Rider NMB proposal or, in the alternative, continue the Rider NMB Pilot Program</w:instrText>
      </w:r>
      <w:bookmarkEnd w:id="48"/>
      <w:bookmarkEnd w:id="49"/>
      <w:r w:rsidR="00773074">
        <w:instrText xml:space="preserve">" \f C \l "3" </w:instrText>
      </w:r>
      <w:r w:rsidR="00773074">
        <w:rPr>
          <w:rFonts w:asciiTheme="minorHAnsi" w:hAnsiTheme="minorHAnsi" w:cstheme="minorHAnsi"/>
          <w:b/>
          <w:bCs/>
          <w:szCs w:val="24"/>
        </w:rPr>
        <w:fldChar w:fldCharType="end"/>
      </w:r>
    </w:p>
    <w:p w14:paraId="2ABB9E13" w14:textId="51D8EA1E" w:rsidR="00E72939" w:rsidRDefault="002B0649" w:rsidP="002B0649">
      <w:pPr>
        <w:spacing w:line="480" w:lineRule="auto"/>
        <w:ind w:firstLine="720"/>
        <w:jc w:val="both"/>
        <w:rPr>
          <w:rFonts w:asciiTheme="minorHAnsi" w:hAnsiTheme="minorHAnsi" w:cstheme="minorHAnsi"/>
          <w:szCs w:val="24"/>
        </w:rPr>
      </w:pPr>
      <w:r w:rsidRPr="002B0649">
        <w:rPr>
          <w:rFonts w:asciiTheme="minorHAnsi" w:hAnsiTheme="minorHAnsi" w:cstheme="minorHAnsi"/>
          <w:szCs w:val="24"/>
        </w:rPr>
        <w:t>The benefits of NSPL-based billing for transmission costs are clear, and the Commission should adopt a Rider NMB rate design that allows for such billing for commercial and industrial customers</w:t>
      </w:r>
      <w:proofErr w:type="gramStart"/>
      <w:r w:rsidRPr="002B0649">
        <w:rPr>
          <w:rFonts w:asciiTheme="minorHAnsi" w:hAnsiTheme="minorHAnsi" w:cstheme="minorHAnsi"/>
          <w:szCs w:val="24"/>
        </w:rPr>
        <w:t xml:space="preserve">.  </w:t>
      </w:r>
      <w:proofErr w:type="gramEnd"/>
      <w:r w:rsidRPr="002B0649">
        <w:rPr>
          <w:rFonts w:asciiTheme="minorHAnsi" w:hAnsiTheme="minorHAnsi" w:cstheme="minorHAnsi"/>
          <w:szCs w:val="24"/>
        </w:rPr>
        <w:t xml:space="preserve">To that end, the Companies’ NMB 2 </w:t>
      </w:r>
      <w:proofErr w:type="gramStart"/>
      <w:r w:rsidRPr="002B0649">
        <w:rPr>
          <w:rFonts w:asciiTheme="minorHAnsi" w:hAnsiTheme="minorHAnsi" w:cstheme="minorHAnsi"/>
          <w:szCs w:val="24"/>
        </w:rPr>
        <w:t>proposal</w:t>
      </w:r>
      <w:proofErr w:type="gramEnd"/>
      <w:r w:rsidRPr="002B0649">
        <w:rPr>
          <w:rFonts w:asciiTheme="minorHAnsi" w:hAnsiTheme="minorHAnsi" w:cstheme="minorHAnsi"/>
          <w:szCs w:val="24"/>
        </w:rPr>
        <w:t xml:space="preserve"> appropriately applies NSPL billing to commercial and industrial customers.  The proposed NMB 2 is reasonable, reflects cost causation, and provides appropriate price signals.</w:t>
      </w:r>
      <w:r w:rsidR="00173D36">
        <w:rPr>
          <w:rStyle w:val="FootnoteReference"/>
          <w:rFonts w:asciiTheme="minorHAnsi" w:hAnsiTheme="minorHAnsi" w:cstheme="minorHAnsi"/>
          <w:szCs w:val="24"/>
        </w:rPr>
        <w:footnoteReference w:id="141"/>
      </w:r>
      <w:r w:rsidRPr="002B0649">
        <w:rPr>
          <w:rFonts w:asciiTheme="minorHAnsi" w:hAnsiTheme="minorHAnsi" w:cstheme="minorHAnsi"/>
          <w:szCs w:val="24"/>
        </w:rPr>
        <w:t xml:space="preserve">  However, Nucor acknowledges that the NMB 2 proposal as presented may disproportionately affect commercial and industrial customers that have difficulty responding to NSPL price signals.</w:t>
      </w:r>
      <w:r w:rsidRPr="002B0649">
        <w:rPr>
          <w:rStyle w:val="FootnoteReference"/>
          <w:rFonts w:asciiTheme="minorHAnsi" w:hAnsiTheme="minorHAnsi" w:cstheme="minorHAnsi"/>
          <w:sz w:val="24"/>
          <w:szCs w:val="24"/>
        </w:rPr>
        <w:footnoteReference w:id="142"/>
      </w:r>
      <w:r w:rsidRPr="002B0649">
        <w:rPr>
          <w:rFonts w:asciiTheme="minorHAnsi" w:hAnsiTheme="minorHAnsi" w:cstheme="minorHAnsi"/>
          <w:szCs w:val="24"/>
        </w:rPr>
        <w:t xml:space="preserve">  </w:t>
      </w:r>
      <w:r w:rsidR="0039187D">
        <w:rPr>
          <w:rFonts w:asciiTheme="minorHAnsi" w:hAnsiTheme="minorHAnsi" w:cstheme="minorHAnsi"/>
          <w:szCs w:val="24"/>
        </w:rPr>
        <w:t>Therefore</w:t>
      </w:r>
      <w:r w:rsidRPr="002B0649">
        <w:rPr>
          <w:rFonts w:asciiTheme="minorHAnsi" w:hAnsiTheme="minorHAnsi" w:cstheme="minorHAnsi"/>
          <w:szCs w:val="24"/>
        </w:rPr>
        <w:t xml:space="preserve">, Nucor is not opposed to making NSPL billing optional, as long as customers may opt for NSPL billing if they so desire.  In that case, Nucor would support extending the current Rider NMB Pilot Program but </w:t>
      </w:r>
      <w:proofErr w:type="gramStart"/>
      <w:r w:rsidRPr="002B0649">
        <w:rPr>
          <w:rFonts w:asciiTheme="minorHAnsi" w:hAnsiTheme="minorHAnsi" w:cstheme="minorHAnsi"/>
          <w:szCs w:val="24"/>
        </w:rPr>
        <w:t>opening up</w:t>
      </w:r>
      <w:proofErr w:type="gramEnd"/>
      <w:r w:rsidRPr="002B0649">
        <w:rPr>
          <w:rFonts w:asciiTheme="minorHAnsi" w:hAnsiTheme="minorHAnsi" w:cstheme="minorHAnsi"/>
          <w:szCs w:val="24"/>
        </w:rPr>
        <w:t xml:space="preserve"> the program to any customers that would like to enroll.  Such an outcome would strike a reasonable balance on rate impacts between customers who can manage their NSPL and those who cannot</w:t>
      </w:r>
      <w:proofErr w:type="gramStart"/>
      <w:r w:rsidRPr="002B0649">
        <w:rPr>
          <w:rFonts w:asciiTheme="minorHAnsi" w:hAnsiTheme="minorHAnsi" w:cstheme="minorHAnsi"/>
          <w:szCs w:val="24"/>
        </w:rPr>
        <w:t xml:space="preserve">.  </w:t>
      </w:r>
      <w:proofErr w:type="gramEnd"/>
      <w:r w:rsidRPr="002B0649">
        <w:rPr>
          <w:rFonts w:asciiTheme="minorHAnsi" w:hAnsiTheme="minorHAnsi" w:cstheme="minorHAnsi"/>
          <w:szCs w:val="24"/>
        </w:rPr>
        <w:t>In short, Nucor supports the Companies NMB 2 proposal, but would alternatively support an extension of the Rider NMB Pilot Program, or similar program, for those customers who would like to enroll.</w:t>
      </w:r>
    </w:p>
    <w:p w14:paraId="7AABF991" w14:textId="0C602601" w:rsidR="00E72939" w:rsidRDefault="00E72939" w:rsidP="00E72939">
      <w:pPr>
        <w:keepNext/>
        <w:keepLines/>
        <w:spacing w:line="480" w:lineRule="auto"/>
        <w:jc w:val="both"/>
        <w:rPr>
          <w:rFonts w:ascii="Calibri" w:hAnsi="Calibri"/>
          <w:b/>
        </w:rPr>
      </w:pPr>
      <w:r>
        <w:rPr>
          <w:rFonts w:ascii="Calibri" w:hAnsi="Calibri"/>
          <w:b/>
        </w:rPr>
        <w:t>I</w:t>
      </w:r>
      <w:r w:rsidR="0097187D">
        <w:rPr>
          <w:rFonts w:ascii="Calibri" w:hAnsi="Calibri"/>
          <w:b/>
        </w:rPr>
        <w:t>V</w:t>
      </w:r>
      <w:r>
        <w:rPr>
          <w:rFonts w:ascii="Calibri" w:hAnsi="Calibri"/>
          <w:b/>
        </w:rPr>
        <w:t>.</w:t>
      </w:r>
      <w:r>
        <w:rPr>
          <w:rFonts w:ascii="Calibri" w:hAnsi="Calibri"/>
          <w:b/>
        </w:rPr>
        <w:tab/>
      </w:r>
      <w:r w:rsidRPr="00514868">
        <w:rPr>
          <w:rFonts w:ascii="Calibri" w:hAnsi="Calibri"/>
          <w:b/>
        </w:rPr>
        <w:t>CO</w:t>
      </w:r>
      <w:r>
        <w:rPr>
          <w:rFonts w:ascii="Calibri" w:hAnsi="Calibri"/>
          <w:b/>
        </w:rPr>
        <w:t>NCLUSION</w:t>
      </w:r>
      <w:r w:rsidR="00773074">
        <w:rPr>
          <w:rFonts w:ascii="Calibri" w:hAnsi="Calibri"/>
          <w:b/>
        </w:rPr>
        <w:fldChar w:fldCharType="begin"/>
      </w:r>
      <w:r w:rsidR="00773074">
        <w:instrText xml:space="preserve"> TC "</w:instrText>
      </w:r>
      <w:bookmarkStart w:id="50" w:name="_Toc156549255"/>
      <w:bookmarkStart w:id="51" w:name="_Toc156549328"/>
      <w:r w:rsidR="00773074" w:rsidRPr="00BB6688">
        <w:rPr>
          <w:rFonts w:ascii="Calibri" w:hAnsi="Calibri"/>
          <w:b/>
        </w:rPr>
        <w:instrText>IV.</w:instrText>
      </w:r>
      <w:r w:rsidR="00773074" w:rsidRPr="00BB6688">
        <w:rPr>
          <w:rFonts w:ascii="Calibri" w:hAnsi="Calibri"/>
          <w:b/>
        </w:rPr>
        <w:tab/>
        <w:instrText>CONCLUSION</w:instrText>
      </w:r>
      <w:bookmarkEnd w:id="50"/>
      <w:bookmarkEnd w:id="51"/>
      <w:r w:rsidR="00773074">
        <w:instrText xml:space="preserve">" \f C \l "1" </w:instrText>
      </w:r>
      <w:r w:rsidR="00773074">
        <w:rPr>
          <w:rFonts w:ascii="Calibri" w:hAnsi="Calibri"/>
          <w:b/>
        </w:rPr>
        <w:fldChar w:fldCharType="end"/>
      </w:r>
    </w:p>
    <w:p w14:paraId="3292387F" w14:textId="3F9DC48D" w:rsidR="00E72939" w:rsidRDefault="00E72939" w:rsidP="00E72939">
      <w:pPr>
        <w:keepNext/>
        <w:keepLines/>
        <w:spacing w:line="480" w:lineRule="auto"/>
        <w:ind w:firstLine="720"/>
        <w:jc w:val="both"/>
        <w:rPr>
          <w:rFonts w:ascii="Calibri" w:hAnsi="Calibri"/>
        </w:rPr>
      </w:pPr>
      <w:r w:rsidRPr="00D74A58">
        <w:rPr>
          <w:rFonts w:ascii="Calibri" w:hAnsi="Calibri"/>
        </w:rPr>
        <w:t>Nucor respectfully requests th</w:t>
      </w:r>
      <w:r w:rsidR="00397EEA">
        <w:rPr>
          <w:rFonts w:ascii="Calibri" w:hAnsi="Calibri"/>
        </w:rPr>
        <w:t xml:space="preserve">at in considering FirstEnergy’s ESP V application, the </w:t>
      </w:r>
      <w:r w:rsidRPr="00D74A58">
        <w:rPr>
          <w:rFonts w:ascii="Calibri" w:hAnsi="Calibri"/>
        </w:rPr>
        <w:t xml:space="preserve">Commission </w:t>
      </w:r>
      <w:r>
        <w:rPr>
          <w:rFonts w:ascii="Calibri" w:hAnsi="Calibri"/>
        </w:rPr>
        <w:t xml:space="preserve">adopt the recommendations </w:t>
      </w:r>
      <w:r w:rsidR="00397EEA">
        <w:rPr>
          <w:rFonts w:ascii="Calibri" w:hAnsi="Calibri"/>
        </w:rPr>
        <w:t>set forth above</w:t>
      </w:r>
      <w:proofErr w:type="gramStart"/>
      <w:r>
        <w:rPr>
          <w:rFonts w:ascii="Calibri" w:hAnsi="Calibri"/>
        </w:rPr>
        <w:t xml:space="preserve">.  </w:t>
      </w:r>
      <w:proofErr w:type="gramEnd"/>
      <w:r w:rsidRPr="00D74A58">
        <w:rPr>
          <w:rFonts w:ascii="Calibri" w:hAnsi="Calibri"/>
        </w:rPr>
        <w:t xml:space="preserve">   </w:t>
      </w:r>
    </w:p>
    <w:p w14:paraId="2E8E2DB0" w14:textId="77777777" w:rsidR="00E72939" w:rsidRPr="00BA1BB2" w:rsidRDefault="00E72939" w:rsidP="00E72939">
      <w:pPr>
        <w:widowControl w:val="0"/>
        <w:spacing w:line="480" w:lineRule="auto"/>
        <w:ind w:left="4320"/>
        <w:jc w:val="both"/>
        <w:rPr>
          <w:rFonts w:asciiTheme="minorHAnsi" w:hAnsiTheme="minorHAnsi" w:cstheme="minorHAnsi"/>
          <w:szCs w:val="24"/>
        </w:rPr>
      </w:pPr>
      <w:r w:rsidRPr="00BA1BB2">
        <w:rPr>
          <w:rFonts w:asciiTheme="minorHAnsi" w:hAnsiTheme="minorHAnsi" w:cstheme="minorHAnsi"/>
          <w:szCs w:val="24"/>
        </w:rPr>
        <w:t>Respectfully submitted,</w:t>
      </w:r>
    </w:p>
    <w:p w14:paraId="1F7B92B4" w14:textId="327B9ED8" w:rsidR="00E72939" w:rsidRPr="008E6EC0" w:rsidRDefault="00A65981" w:rsidP="00933FA4">
      <w:pPr>
        <w:widowControl w:val="0"/>
        <w:tabs>
          <w:tab w:val="left" w:pos="7200"/>
          <w:tab w:val="left" w:pos="8190"/>
        </w:tabs>
        <w:spacing w:before="240"/>
        <w:ind w:left="4320"/>
        <w:jc w:val="both"/>
        <w:rPr>
          <w:rFonts w:asciiTheme="minorHAnsi" w:hAnsiTheme="minorHAnsi" w:cstheme="minorHAnsi"/>
          <w:i/>
          <w:iCs/>
          <w:szCs w:val="24"/>
          <w:u w:val="single"/>
        </w:rPr>
      </w:pPr>
      <w:r w:rsidRPr="008E6EC0">
        <w:rPr>
          <w:rFonts w:asciiTheme="minorHAnsi" w:hAnsiTheme="minorHAnsi" w:cstheme="minorHAnsi"/>
          <w:i/>
          <w:iCs/>
          <w:szCs w:val="24"/>
          <w:u w:val="single"/>
        </w:rPr>
        <w:t>/s/ Michael K. Lavanga</w:t>
      </w:r>
      <w:r w:rsidRPr="008E6EC0">
        <w:rPr>
          <w:rFonts w:asciiTheme="minorHAnsi" w:hAnsiTheme="minorHAnsi" w:cstheme="minorHAnsi"/>
          <w:i/>
          <w:iCs/>
          <w:szCs w:val="24"/>
          <w:u w:val="single"/>
        </w:rPr>
        <w:tab/>
      </w:r>
    </w:p>
    <w:p w14:paraId="62B7CE18" w14:textId="77777777" w:rsidR="00E72939" w:rsidRDefault="00E72939" w:rsidP="00E72939">
      <w:pPr>
        <w:widowControl w:val="0"/>
        <w:tabs>
          <w:tab w:val="left" w:pos="9270"/>
        </w:tabs>
        <w:ind w:left="4320"/>
        <w:jc w:val="both"/>
        <w:rPr>
          <w:rFonts w:asciiTheme="minorHAnsi" w:hAnsiTheme="minorHAnsi" w:cstheme="minorHAnsi"/>
          <w:szCs w:val="24"/>
        </w:rPr>
      </w:pPr>
      <w:r>
        <w:rPr>
          <w:rFonts w:ascii="Calibri" w:hAnsi="Calibri"/>
        </w:rPr>
        <w:lastRenderedPageBreak/>
        <w:t>Michael K. Lavanga</w:t>
      </w:r>
    </w:p>
    <w:p w14:paraId="406A4C3B" w14:textId="77777777" w:rsidR="00E72939" w:rsidRDefault="00E72939" w:rsidP="00E72939">
      <w:pPr>
        <w:widowControl w:val="0"/>
        <w:tabs>
          <w:tab w:val="left" w:pos="9270"/>
        </w:tabs>
        <w:spacing w:after="60"/>
        <w:ind w:left="4320"/>
        <w:jc w:val="both"/>
        <w:rPr>
          <w:rFonts w:asciiTheme="minorHAnsi" w:hAnsiTheme="minorHAnsi" w:cstheme="minorHAnsi"/>
          <w:szCs w:val="24"/>
        </w:rPr>
      </w:pPr>
      <w:r>
        <w:rPr>
          <w:rFonts w:asciiTheme="minorHAnsi" w:hAnsiTheme="minorHAnsi" w:cstheme="minorHAnsi"/>
          <w:szCs w:val="24"/>
        </w:rPr>
        <w:t>PHV #1014-2023</w:t>
      </w:r>
    </w:p>
    <w:p w14:paraId="48FB4149" w14:textId="77777777" w:rsidR="00E72939" w:rsidRPr="002D28B1" w:rsidRDefault="00E72939" w:rsidP="00E72939">
      <w:pPr>
        <w:widowControl w:val="0"/>
        <w:tabs>
          <w:tab w:val="left" w:pos="9270"/>
        </w:tabs>
        <w:spacing w:after="60"/>
        <w:ind w:left="4590"/>
        <w:jc w:val="both"/>
        <w:rPr>
          <w:rFonts w:asciiTheme="minorHAnsi" w:hAnsiTheme="minorHAnsi" w:cstheme="minorHAnsi"/>
          <w:i/>
          <w:szCs w:val="24"/>
        </w:rPr>
      </w:pPr>
      <w:r w:rsidRPr="002D28B1">
        <w:rPr>
          <w:rFonts w:asciiTheme="minorHAnsi" w:hAnsiTheme="minorHAnsi" w:cstheme="minorHAnsi"/>
          <w:i/>
          <w:szCs w:val="24"/>
        </w:rPr>
        <w:t>Counsel of Record</w:t>
      </w:r>
    </w:p>
    <w:p w14:paraId="6A045CCB" w14:textId="77777777" w:rsidR="00E72939" w:rsidRDefault="00E72939" w:rsidP="00E72939">
      <w:pPr>
        <w:widowControl w:val="0"/>
        <w:spacing w:after="60"/>
        <w:ind w:left="2880" w:firstLine="720"/>
        <w:contextualSpacing/>
        <w:jc w:val="both"/>
        <w:rPr>
          <w:rFonts w:asciiTheme="minorHAnsi" w:hAnsiTheme="minorHAnsi" w:cstheme="minorHAnsi"/>
          <w:iCs/>
          <w:szCs w:val="24"/>
        </w:rPr>
      </w:pPr>
      <w:r>
        <w:rPr>
          <w:rFonts w:asciiTheme="minorHAnsi" w:hAnsiTheme="minorHAnsi" w:cstheme="minorHAnsi"/>
          <w:iCs/>
          <w:szCs w:val="24"/>
        </w:rPr>
        <w:tab/>
        <w:t>Joseph R. Briscar</w:t>
      </w:r>
    </w:p>
    <w:p w14:paraId="4468B854" w14:textId="77777777" w:rsidR="00E72939" w:rsidRDefault="00E72939" w:rsidP="00E72939">
      <w:pPr>
        <w:widowControl w:val="0"/>
        <w:tabs>
          <w:tab w:val="left" w:pos="9270"/>
        </w:tabs>
        <w:ind w:left="4320"/>
        <w:jc w:val="both"/>
        <w:rPr>
          <w:rFonts w:asciiTheme="minorHAnsi" w:hAnsiTheme="minorHAnsi" w:cstheme="minorHAnsi"/>
          <w:iCs/>
          <w:szCs w:val="24"/>
        </w:rPr>
      </w:pPr>
      <w:r>
        <w:rPr>
          <w:rFonts w:asciiTheme="minorHAnsi" w:hAnsiTheme="minorHAnsi" w:cstheme="minorHAnsi"/>
          <w:iCs/>
          <w:szCs w:val="24"/>
        </w:rPr>
        <w:t>PHV #</w:t>
      </w:r>
      <w:r w:rsidRPr="004D6E10">
        <w:rPr>
          <w:rFonts w:asciiTheme="minorHAnsi" w:hAnsiTheme="minorHAnsi" w:cstheme="minorHAnsi"/>
          <w:iCs/>
          <w:szCs w:val="24"/>
        </w:rPr>
        <w:t>21216-202</w:t>
      </w:r>
      <w:r>
        <w:rPr>
          <w:rFonts w:asciiTheme="minorHAnsi" w:hAnsiTheme="minorHAnsi" w:cstheme="minorHAnsi"/>
          <w:iCs/>
          <w:szCs w:val="24"/>
        </w:rPr>
        <w:t>3</w:t>
      </w:r>
    </w:p>
    <w:p w14:paraId="00744D87" w14:textId="77777777" w:rsidR="00E72939" w:rsidRDefault="00E72939" w:rsidP="00E72939">
      <w:pPr>
        <w:widowControl w:val="0"/>
        <w:tabs>
          <w:tab w:val="left" w:pos="9270"/>
        </w:tabs>
        <w:ind w:left="4320"/>
        <w:jc w:val="both"/>
        <w:rPr>
          <w:rFonts w:ascii="Calibri" w:hAnsi="Calibri"/>
        </w:rPr>
      </w:pPr>
    </w:p>
    <w:p w14:paraId="08CEF3D0" w14:textId="77777777" w:rsidR="00E72939" w:rsidRPr="00F019A8" w:rsidRDefault="00E72939" w:rsidP="00E72939">
      <w:pPr>
        <w:widowControl w:val="0"/>
        <w:tabs>
          <w:tab w:val="left" w:pos="9270"/>
        </w:tabs>
        <w:ind w:left="4320"/>
        <w:jc w:val="both"/>
        <w:rPr>
          <w:rFonts w:ascii="Calibri" w:hAnsi="Calibri"/>
        </w:rPr>
      </w:pPr>
      <w:r w:rsidRPr="00F019A8">
        <w:rPr>
          <w:rFonts w:ascii="Calibri" w:hAnsi="Calibri"/>
        </w:rPr>
        <w:t>Stone Mattheis Xenopoulos &amp; Brew, PC</w:t>
      </w:r>
    </w:p>
    <w:p w14:paraId="066C15C9" w14:textId="77777777" w:rsidR="00E72939" w:rsidRPr="00F019A8" w:rsidRDefault="00E72939" w:rsidP="00E72939">
      <w:pPr>
        <w:widowControl w:val="0"/>
        <w:tabs>
          <w:tab w:val="left" w:pos="9270"/>
        </w:tabs>
        <w:ind w:left="4320"/>
        <w:jc w:val="both"/>
        <w:rPr>
          <w:rFonts w:ascii="Calibri" w:hAnsi="Calibri"/>
        </w:rPr>
      </w:pPr>
      <w:r w:rsidRPr="00F019A8">
        <w:rPr>
          <w:rFonts w:ascii="Calibri" w:hAnsi="Calibri"/>
        </w:rPr>
        <w:t>1025 Thomas Jefferson Street, NW</w:t>
      </w:r>
    </w:p>
    <w:p w14:paraId="7B8C66DE" w14:textId="77777777" w:rsidR="00E72939" w:rsidRPr="00F019A8" w:rsidRDefault="00E72939" w:rsidP="00E72939">
      <w:pPr>
        <w:widowControl w:val="0"/>
        <w:tabs>
          <w:tab w:val="left" w:pos="9270"/>
        </w:tabs>
        <w:ind w:left="4320"/>
        <w:jc w:val="both"/>
        <w:rPr>
          <w:rFonts w:ascii="Calibri" w:hAnsi="Calibri"/>
        </w:rPr>
      </w:pPr>
      <w:r w:rsidRPr="00F019A8">
        <w:rPr>
          <w:rFonts w:ascii="Calibri" w:hAnsi="Calibri"/>
        </w:rPr>
        <w:t xml:space="preserve">Suite 800 West </w:t>
      </w:r>
    </w:p>
    <w:p w14:paraId="54534699" w14:textId="77777777" w:rsidR="00E72939" w:rsidRPr="00D74A58" w:rsidRDefault="00E72939" w:rsidP="00E72939">
      <w:pPr>
        <w:widowControl w:val="0"/>
        <w:tabs>
          <w:tab w:val="left" w:pos="9270"/>
        </w:tabs>
        <w:ind w:left="4320"/>
        <w:jc w:val="both"/>
        <w:rPr>
          <w:rFonts w:ascii="Calibri" w:hAnsi="Calibri"/>
        </w:rPr>
      </w:pPr>
      <w:r w:rsidRPr="00F019A8">
        <w:rPr>
          <w:rFonts w:ascii="Calibri" w:hAnsi="Calibri"/>
        </w:rPr>
        <w:t>Washington, DC 20007</w:t>
      </w:r>
    </w:p>
    <w:p w14:paraId="19C84C0D" w14:textId="77777777" w:rsidR="00E72939" w:rsidRPr="00D74A58" w:rsidRDefault="00E72939" w:rsidP="00E72939">
      <w:pPr>
        <w:widowControl w:val="0"/>
        <w:tabs>
          <w:tab w:val="left" w:pos="9270"/>
        </w:tabs>
        <w:ind w:left="4320"/>
        <w:jc w:val="both"/>
        <w:rPr>
          <w:rFonts w:ascii="Calibri" w:hAnsi="Calibri"/>
        </w:rPr>
      </w:pPr>
      <w:r w:rsidRPr="00D74A58">
        <w:rPr>
          <w:rFonts w:ascii="Calibri" w:hAnsi="Calibri"/>
        </w:rPr>
        <w:t>(202) 342-0800 (</w:t>
      </w:r>
      <w:r w:rsidRPr="0040750D">
        <w:rPr>
          <w:rFonts w:asciiTheme="minorHAnsi" w:hAnsiTheme="minorHAnsi" w:cstheme="minorHAnsi"/>
          <w:szCs w:val="24"/>
        </w:rPr>
        <w:t>Main</w:t>
      </w:r>
      <w:r w:rsidRPr="00D74A58">
        <w:rPr>
          <w:rFonts w:ascii="Calibri" w:hAnsi="Calibri"/>
        </w:rPr>
        <w:t xml:space="preserve"> Number)</w:t>
      </w:r>
    </w:p>
    <w:p w14:paraId="30E11901" w14:textId="71842D79" w:rsidR="009E6F88" w:rsidRPr="002B0649" w:rsidRDefault="00E72939" w:rsidP="00397EEA">
      <w:pPr>
        <w:widowControl w:val="0"/>
        <w:tabs>
          <w:tab w:val="left" w:pos="9270"/>
        </w:tabs>
        <w:ind w:left="4320"/>
        <w:jc w:val="both"/>
        <w:rPr>
          <w:rFonts w:asciiTheme="minorHAnsi" w:hAnsiTheme="minorHAnsi" w:cstheme="minorHAnsi"/>
          <w:szCs w:val="24"/>
        </w:rPr>
      </w:pPr>
      <w:r w:rsidRPr="00D74A58">
        <w:rPr>
          <w:rFonts w:ascii="Calibri" w:hAnsi="Calibri"/>
        </w:rPr>
        <w:t>(202) 342-080</w:t>
      </w:r>
      <w:r>
        <w:rPr>
          <w:rFonts w:ascii="Calibri" w:hAnsi="Calibri"/>
        </w:rPr>
        <w:t>7</w:t>
      </w:r>
      <w:r w:rsidRPr="00D74A58">
        <w:rPr>
          <w:rFonts w:ascii="Calibri" w:hAnsi="Calibri"/>
        </w:rPr>
        <w:t xml:space="preserve"> (Facsimile)</w:t>
      </w:r>
    </w:p>
    <w:p w14:paraId="61805D4C" w14:textId="76F35F8A" w:rsidR="00DB787A" w:rsidRPr="002B0649" w:rsidRDefault="00DB787A" w:rsidP="002C28DC">
      <w:pPr>
        <w:spacing w:line="480" w:lineRule="auto"/>
        <w:jc w:val="both"/>
        <w:rPr>
          <w:rFonts w:asciiTheme="minorHAnsi" w:hAnsiTheme="minorHAnsi" w:cstheme="minorHAnsi"/>
          <w:szCs w:val="24"/>
        </w:rPr>
      </w:pPr>
    </w:p>
    <w:p w14:paraId="44FE7BDD" w14:textId="0AE2B9BE" w:rsidR="001446F3" w:rsidRPr="002B0649" w:rsidRDefault="001446F3" w:rsidP="00F75F7B">
      <w:pPr>
        <w:spacing w:line="480" w:lineRule="auto"/>
        <w:jc w:val="both"/>
        <w:rPr>
          <w:rFonts w:asciiTheme="minorHAnsi" w:hAnsiTheme="minorHAnsi" w:cstheme="minorHAnsi"/>
          <w:szCs w:val="24"/>
        </w:rPr>
      </w:pPr>
    </w:p>
    <w:p w14:paraId="471A8197" w14:textId="77777777" w:rsidR="00B5557E" w:rsidRDefault="00B5557E" w:rsidP="001446F3">
      <w:pPr>
        <w:spacing w:line="480" w:lineRule="auto"/>
        <w:jc w:val="both"/>
        <w:rPr>
          <w:rFonts w:asciiTheme="minorHAnsi" w:hAnsiTheme="minorHAnsi" w:cstheme="minorHAnsi"/>
          <w:szCs w:val="24"/>
        </w:rPr>
        <w:sectPr w:rsidR="00B5557E" w:rsidSect="00362B15">
          <w:footerReference w:type="default" r:id="rId15"/>
          <w:pgSz w:w="12240" w:h="15840"/>
          <w:pgMar w:top="1440" w:right="1800" w:bottom="1440" w:left="1800" w:header="720" w:footer="720" w:gutter="0"/>
          <w:pgNumType w:start="1"/>
          <w:cols w:space="720"/>
          <w:docGrid w:linePitch="360"/>
        </w:sectPr>
      </w:pPr>
    </w:p>
    <w:p w14:paraId="5EEA5465" w14:textId="77777777" w:rsidR="00B5557E" w:rsidRPr="00D74A58" w:rsidRDefault="00B5557E" w:rsidP="00B5557E">
      <w:pPr>
        <w:widowControl w:val="0"/>
        <w:jc w:val="center"/>
        <w:rPr>
          <w:rFonts w:ascii="Calibri" w:hAnsi="Calibri"/>
          <w:b/>
          <w:color w:val="000000"/>
          <w:szCs w:val="24"/>
          <w:u w:val="single"/>
        </w:rPr>
      </w:pPr>
      <w:r w:rsidRPr="00D74A58">
        <w:rPr>
          <w:rFonts w:ascii="Calibri" w:hAnsi="Calibri"/>
          <w:b/>
          <w:color w:val="000000"/>
          <w:szCs w:val="24"/>
          <w:u w:val="single"/>
        </w:rPr>
        <w:lastRenderedPageBreak/>
        <w:t>CERTIFICATE OF SERVICE</w:t>
      </w:r>
    </w:p>
    <w:p w14:paraId="5EB49F06" w14:textId="77777777" w:rsidR="00B5557E" w:rsidRPr="00D74A58" w:rsidRDefault="00B5557E" w:rsidP="00B5557E">
      <w:pPr>
        <w:widowControl w:val="0"/>
        <w:jc w:val="both"/>
        <w:rPr>
          <w:rFonts w:ascii="Calibri" w:hAnsi="Calibri"/>
          <w:color w:val="000000"/>
          <w:szCs w:val="24"/>
        </w:rPr>
      </w:pPr>
    </w:p>
    <w:p w14:paraId="52459E71" w14:textId="77777777" w:rsidR="00B5557E" w:rsidRPr="00D74A58" w:rsidRDefault="00B5557E" w:rsidP="00B5557E">
      <w:pPr>
        <w:widowControl w:val="0"/>
        <w:ind w:firstLine="720"/>
        <w:jc w:val="both"/>
        <w:rPr>
          <w:rFonts w:ascii="Calibri" w:hAnsi="Calibri"/>
          <w:color w:val="000000"/>
          <w:szCs w:val="24"/>
        </w:rPr>
      </w:pPr>
      <w:bookmarkStart w:id="52" w:name="_Hlk5345294"/>
      <w:r w:rsidRPr="0040447F">
        <w:rPr>
          <w:rFonts w:ascii="Calibri" w:hAnsi="Calibri"/>
          <w:color w:val="000000"/>
          <w:szCs w:val="24"/>
        </w:rPr>
        <w:t>The Public Utilities Commission of Ohio’s e-filing system will electronically serve</w:t>
      </w:r>
      <w:r>
        <w:rPr>
          <w:rFonts w:ascii="Calibri" w:hAnsi="Calibri"/>
          <w:color w:val="000000"/>
          <w:szCs w:val="24"/>
        </w:rPr>
        <w:t xml:space="preserve"> </w:t>
      </w:r>
      <w:r w:rsidRPr="0040447F">
        <w:rPr>
          <w:rFonts w:ascii="Calibri" w:hAnsi="Calibri"/>
          <w:color w:val="000000"/>
          <w:szCs w:val="24"/>
        </w:rPr>
        <w:t xml:space="preserve">notice of the filing of this document on the parties who have electronically subscribed to </w:t>
      </w:r>
      <w:r>
        <w:rPr>
          <w:rFonts w:ascii="Calibri" w:hAnsi="Calibri"/>
          <w:color w:val="000000"/>
          <w:szCs w:val="24"/>
        </w:rPr>
        <w:t xml:space="preserve">this </w:t>
      </w:r>
      <w:r w:rsidRPr="0040447F">
        <w:rPr>
          <w:rFonts w:ascii="Calibri" w:hAnsi="Calibri"/>
          <w:color w:val="000000"/>
          <w:szCs w:val="24"/>
        </w:rPr>
        <w:t>case. I</w:t>
      </w:r>
      <w:r>
        <w:rPr>
          <w:rFonts w:ascii="Calibri" w:hAnsi="Calibri"/>
          <w:color w:val="000000"/>
          <w:szCs w:val="24"/>
        </w:rPr>
        <w:t xml:space="preserve">n addition, </w:t>
      </w:r>
      <w:r w:rsidRPr="00D74A58">
        <w:rPr>
          <w:rFonts w:ascii="Calibri" w:hAnsi="Calibri"/>
          <w:color w:val="000000"/>
          <w:szCs w:val="24"/>
        </w:rPr>
        <w:t xml:space="preserve">I hereby certify that a copy of the foregoing </w:t>
      </w:r>
      <w:proofErr w:type="gramStart"/>
      <w:r w:rsidRPr="00D74A58">
        <w:rPr>
          <w:rFonts w:ascii="Calibri" w:hAnsi="Calibri"/>
          <w:color w:val="000000"/>
          <w:szCs w:val="24"/>
        </w:rPr>
        <w:t>was served</w:t>
      </w:r>
      <w:proofErr w:type="gramEnd"/>
      <w:r w:rsidRPr="00D74A58">
        <w:rPr>
          <w:rFonts w:ascii="Calibri" w:hAnsi="Calibri"/>
          <w:color w:val="000000"/>
          <w:szCs w:val="24"/>
        </w:rPr>
        <w:t xml:space="preserve"> upon the following parties of record or as a courtesy, via electronic transmission</w:t>
      </w:r>
      <w:r>
        <w:rPr>
          <w:rFonts w:ascii="Calibri" w:hAnsi="Calibri"/>
          <w:color w:val="000000"/>
          <w:szCs w:val="24"/>
        </w:rPr>
        <w:t xml:space="preserve"> </w:t>
      </w:r>
      <w:r w:rsidRPr="00D74A58">
        <w:rPr>
          <w:rFonts w:ascii="Calibri" w:hAnsi="Calibri"/>
          <w:color w:val="000000"/>
          <w:szCs w:val="24"/>
        </w:rPr>
        <w:t>on</w:t>
      </w:r>
      <w:r>
        <w:rPr>
          <w:rFonts w:ascii="Calibri" w:hAnsi="Calibri"/>
          <w:color w:val="000000"/>
          <w:szCs w:val="24"/>
        </w:rPr>
        <w:t xml:space="preserve"> January 19, 2024</w:t>
      </w:r>
      <w:r w:rsidRPr="00D74A58">
        <w:rPr>
          <w:rFonts w:ascii="Calibri" w:hAnsi="Calibri"/>
          <w:color w:val="000000"/>
          <w:szCs w:val="24"/>
        </w:rPr>
        <w:t>.</w:t>
      </w:r>
    </w:p>
    <w:p w14:paraId="53DC3927" w14:textId="77777777" w:rsidR="00B5557E" w:rsidRDefault="00B5557E" w:rsidP="007975AB">
      <w:pPr>
        <w:widowControl w:val="0"/>
        <w:jc w:val="both"/>
        <w:rPr>
          <w:rFonts w:ascii="Calibri" w:hAnsi="Calibri"/>
          <w:color w:val="000000"/>
          <w:szCs w:val="24"/>
        </w:rPr>
      </w:pPr>
    </w:p>
    <w:p w14:paraId="58E7DFF3" w14:textId="77777777" w:rsidR="007975AB" w:rsidRPr="008E6EC0" w:rsidRDefault="007975AB" w:rsidP="00933FA4">
      <w:pPr>
        <w:widowControl w:val="0"/>
        <w:tabs>
          <w:tab w:val="left" w:pos="6840"/>
          <w:tab w:val="left" w:pos="7920"/>
        </w:tabs>
        <w:ind w:left="5040"/>
        <w:jc w:val="both"/>
        <w:rPr>
          <w:rFonts w:asciiTheme="minorHAnsi" w:hAnsiTheme="minorHAnsi" w:cstheme="minorHAnsi"/>
          <w:i/>
          <w:iCs/>
          <w:szCs w:val="24"/>
          <w:u w:val="single"/>
        </w:rPr>
      </w:pPr>
      <w:r w:rsidRPr="008E6EC0">
        <w:rPr>
          <w:rFonts w:asciiTheme="minorHAnsi" w:hAnsiTheme="minorHAnsi" w:cstheme="minorHAnsi"/>
          <w:i/>
          <w:iCs/>
          <w:szCs w:val="24"/>
          <w:u w:val="single"/>
        </w:rPr>
        <w:t>/s/ Michael K. Lavanga</w:t>
      </w:r>
      <w:r w:rsidRPr="008E6EC0">
        <w:rPr>
          <w:rFonts w:asciiTheme="minorHAnsi" w:hAnsiTheme="minorHAnsi" w:cstheme="minorHAnsi"/>
          <w:i/>
          <w:iCs/>
          <w:szCs w:val="24"/>
          <w:u w:val="single"/>
        </w:rPr>
        <w:tab/>
      </w:r>
    </w:p>
    <w:p w14:paraId="020A3D45" w14:textId="77777777" w:rsidR="00AC4B6F" w:rsidRPr="00D74A58" w:rsidRDefault="00AC4B6F" w:rsidP="007975AB">
      <w:pPr>
        <w:widowControl w:val="0"/>
        <w:jc w:val="both"/>
        <w:rPr>
          <w:rFonts w:ascii="Calibri" w:hAnsi="Calibri"/>
          <w:color w:val="000000"/>
          <w:szCs w:val="24"/>
        </w:rPr>
      </w:pPr>
    </w:p>
    <w:p w14:paraId="428980C8" w14:textId="77777777" w:rsidR="00B5557E" w:rsidRPr="00202852" w:rsidRDefault="003873AB" w:rsidP="00B5557E">
      <w:pPr>
        <w:ind w:left="2880"/>
        <w:rPr>
          <w:rFonts w:asciiTheme="minorHAnsi" w:hAnsiTheme="minorHAnsi" w:cstheme="minorHAnsi"/>
        </w:rPr>
      </w:pPr>
      <w:hyperlink r:id="rId16" w:history="1">
        <w:r w:rsidR="00B5557E" w:rsidRPr="00202852">
          <w:rPr>
            <w:rStyle w:val="Hyperlink"/>
            <w:rFonts w:asciiTheme="minorHAnsi" w:hAnsiTheme="minorHAnsi" w:cstheme="minorHAnsi"/>
          </w:rPr>
          <w:t>bknipe@firstenergycorp.com</w:t>
        </w:r>
      </w:hyperlink>
      <w:r w:rsidR="00B5557E" w:rsidRPr="00202852">
        <w:rPr>
          <w:rFonts w:asciiTheme="minorHAnsi" w:hAnsiTheme="minorHAnsi" w:cstheme="minorHAnsi"/>
        </w:rPr>
        <w:t xml:space="preserve"> </w:t>
      </w:r>
    </w:p>
    <w:p w14:paraId="301E5CE9" w14:textId="77777777" w:rsidR="00B5557E" w:rsidRPr="00202852" w:rsidRDefault="003873AB" w:rsidP="00B5557E">
      <w:pPr>
        <w:ind w:left="2880"/>
        <w:rPr>
          <w:rFonts w:asciiTheme="minorHAnsi" w:hAnsiTheme="minorHAnsi" w:cstheme="minorHAnsi"/>
        </w:rPr>
      </w:pPr>
      <w:hyperlink r:id="rId17" w:history="1">
        <w:r w:rsidR="00B5557E" w:rsidRPr="00202852">
          <w:rPr>
            <w:rStyle w:val="Hyperlink"/>
            <w:rFonts w:asciiTheme="minorHAnsi" w:hAnsiTheme="minorHAnsi" w:cstheme="minorHAnsi"/>
          </w:rPr>
          <w:t>cwatchorn@firstenergycorp.com</w:t>
        </w:r>
      </w:hyperlink>
    </w:p>
    <w:p w14:paraId="17DF31D6" w14:textId="77777777" w:rsidR="00B5557E" w:rsidRPr="00202852" w:rsidRDefault="003873AB" w:rsidP="00B5557E">
      <w:pPr>
        <w:ind w:left="2880"/>
        <w:rPr>
          <w:rFonts w:asciiTheme="minorHAnsi" w:hAnsiTheme="minorHAnsi" w:cstheme="minorHAnsi"/>
        </w:rPr>
      </w:pPr>
      <w:hyperlink r:id="rId18" w:history="1">
        <w:r w:rsidR="00B5557E" w:rsidRPr="00202852">
          <w:rPr>
            <w:rStyle w:val="Hyperlink"/>
            <w:rFonts w:asciiTheme="minorHAnsi" w:hAnsiTheme="minorHAnsi" w:cstheme="minorHAnsi"/>
          </w:rPr>
          <w:t>talexander@beneschlaw.com</w:t>
        </w:r>
      </w:hyperlink>
      <w:r w:rsidR="00B5557E" w:rsidRPr="00202852">
        <w:rPr>
          <w:rFonts w:asciiTheme="minorHAnsi" w:hAnsiTheme="minorHAnsi" w:cstheme="minorHAnsi"/>
        </w:rPr>
        <w:t xml:space="preserve"> </w:t>
      </w:r>
    </w:p>
    <w:p w14:paraId="68879464" w14:textId="77777777" w:rsidR="00B5557E" w:rsidRPr="00202852" w:rsidRDefault="003873AB" w:rsidP="00B5557E">
      <w:pPr>
        <w:ind w:left="2880"/>
        <w:rPr>
          <w:rFonts w:asciiTheme="minorHAnsi" w:hAnsiTheme="minorHAnsi" w:cstheme="minorHAnsi"/>
        </w:rPr>
      </w:pPr>
      <w:hyperlink r:id="rId19" w:history="1">
        <w:r w:rsidR="00B5557E" w:rsidRPr="00202852">
          <w:rPr>
            <w:rStyle w:val="Hyperlink"/>
            <w:rFonts w:asciiTheme="minorHAnsi" w:hAnsiTheme="minorHAnsi" w:cstheme="minorHAnsi"/>
          </w:rPr>
          <w:t>mkeaney@beneschlaw.com</w:t>
        </w:r>
      </w:hyperlink>
      <w:r w:rsidR="00B5557E" w:rsidRPr="00202852">
        <w:rPr>
          <w:rFonts w:asciiTheme="minorHAnsi" w:hAnsiTheme="minorHAnsi" w:cstheme="minorHAnsi"/>
        </w:rPr>
        <w:t xml:space="preserve"> </w:t>
      </w:r>
    </w:p>
    <w:p w14:paraId="34549C44" w14:textId="77777777" w:rsidR="00B5557E" w:rsidRPr="00202852" w:rsidRDefault="003873AB" w:rsidP="00B5557E">
      <w:pPr>
        <w:ind w:left="2880"/>
        <w:rPr>
          <w:rFonts w:asciiTheme="minorHAnsi" w:hAnsiTheme="minorHAnsi" w:cstheme="minorHAnsi"/>
        </w:rPr>
      </w:pPr>
      <w:hyperlink r:id="rId20" w:history="1">
        <w:r w:rsidR="00B5557E" w:rsidRPr="00202852">
          <w:rPr>
            <w:rStyle w:val="Hyperlink"/>
            <w:rFonts w:asciiTheme="minorHAnsi" w:hAnsiTheme="minorHAnsi" w:cstheme="minorHAnsi"/>
          </w:rPr>
          <w:t>khehmeyer@beneschlaw.com</w:t>
        </w:r>
      </w:hyperlink>
      <w:r w:rsidR="00B5557E" w:rsidRPr="00202852">
        <w:rPr>
          <w:rFonts w:asciiTheme="minorHAnsi" w:hAnsiTheme="minorHAnsi" w:cstheme="minorHAnsi"/>
        </w:rPr>
        <w:t xml:space="preserve"> </w:t>
      </w:r>
    </w:p>
    <w:p w14:paraId="2CFBB1AC" w14:textId="77777777" w:rsidR="00B5557E" w:rsidRPr="00202852" w:rsidRDefault="003873AB" w:rsidP="00B5557E">
      <w:pPr>
        <w:ind w:left="2880"/>
        <w:rPr>
          <w:rFonts w:asciiTheme="minorHAnsi" w:hAnsiTheme="minorHAnsi" w:cstheme="minorHAnsi"/>
        </w:rPr>
      </w:pPr>
      <w:hyperlink r:id="rId21" w:history="1">
        <w:r w:rsidR="00B5557E" w:rsidRPr="00202852">
          <w:rPr>
            <w:rStyle w:val="Hyperlink"/>
            <w:rFonts w:asciiTheme="minorHAnsi" w:hAnsiTheme="minorHAnsi" w:cstheme="minorHAnsi"/>
          </w:rPr>
          <w:t>dromig@nationwideenergypartners.com</w:t>
        </w:r>
      </w:hyperlink>
    </w:p>
    <w:p w14:paraId="4EDBEC93" w14:textId="77777777" w:rsidR="00B5557E" w:rsidRPr="00202852" w:rsidRDefault="003873AB" w:rsidP="00B5557E">
      <w:pPr>
        <w:ind w:left="2880"/>
        <w:rPr>
          <w:rFonts w:asciiTheme="minorHAnsi" w:hAnsiTheme="minorHAnsi" w:cstheme="minorHAnsi"/>
        </w:rPr>
      </w:pPr>
      <w:hyperlink r:id="rId22" w:history="1">
        <w:r w:rsidR="00B5557E" w:rsidRPr="00202852">
          <w:rPr>
            <w:rStyle w:val="Hyperlink"/>
            <w:rFonts w:asciiTheme="minorHAnsi" w:hAnsiTheme="minorHAnsi" w:cstheme="minorHAnsi"/>
          </w:rPr>
          <w:t>brian.gibbs@nationwideenergypartners.com</w:t>
        </w:r>
      </w:hyperlink>
    </w:p>
    <w:p w14:paraId="660F9C1E" w14:textId="77777777" w:rsidR="00B5557E" w:rsidRDefault="003873AB" w:rsidP="00B5557E">
      <w:pPr>
        <w:ind w:left="2880"/>
        <w:rPr>
          <w:rFonts w:asciiTheme="minorHAnsi" w:hAnsiTheme="minorHAnsi" w:cstheme="minorHAnsi"/>
        </w:rPr>
      </w:pPr>
      <w:hyperlink r:id="rId23" w:history="1">
        <w:r w:rsidR="00B5557E" w:rsidRPr="00202852">
          <w:rPr>
            <w:rStyle w:val="Hyperlink"/>
            <w:rFonts w:asciiTheme="minorHAnsi" w:hAnsiTheme="minorHAnsi" w:cstheme="minorHAnsi"/>
          </w:rPr>
          <w:t>whitt@whitt-sturtevant.com</w:t>
        </w:r>
      </w:hyperlink>
    </w:p>
    <w:p w14:paraId="7FE50722" w14:textId="77777777" w:rsidR="00B5557E" w:rsidRDefault="003873AB" w:rsidP="00B5557E">
      <w:pPr>
        <w:ind w:left="2880"/>
        <w:rPr>
          <w:rFonts w:asciiTheme="minorHAnsi" w:hAnsiTheme="minorHAnsi" w:cstheme="minorHAnsi"/>
        </w:rPr>
      </w:pPr>
      <w:hyperlink r:id="rId24" w:history="1">
        <w:r w:rsidR="00B5557E" w:rsidRPr="00470388">
          <w:rPr>
            <w:rStyle w:val="Hyperlink"/>
            <w:rFonts w:asciiTheme="minorHAnsi" w:hAnsiTheme="minorHAnsi" w:cstheme="minorHAnsi"/>
          </w:rPr>
          <w:t>josephmeissner@yahoo.com</w:t>
        </w:r>
      </w:hyperlink>
    </w:p>
    <w:p w14:paraId="104F9432" w14:textId="77777777" w:rsidR="00B5557E" w:rsidRDefault="003873AB" w:rsidP="00B5557E">
      <w:pPr>
        <w:ind w:left="2880"/>
        <w:rPr>
          <w:rFonts w:asciiTheme="minorHAnsi" w:hAnsiTheme="minorHAnsi" w:cstheme="minorHAnsi"/>
        </w:rPr>
      </w:pPr>
      <w:hyperlink r:id="rId25" w:history="1">
        <w:r w:rsidR="00B5557E" w:rsidRPr="00470388">
          <w:rPr>
            <w:rStyle w:val="Hyperlink"/>
            <w:rFonts w:asciiTheme="minorHAnsi" w:hAnsiTheme="minorHAnsi" w:cstheme="minorHAnsi"/>
          </w:rPr>
          <w:t>trent@hubaydougherty.com</w:t>
        </w:r>
      </w:hyperlink>
    </w:p>
    <w:p w14:paraId="57F50AEB" w14:textId="77777777" w:rsidR="00B5557E" w:rsidRDefault="003873AB" w:rsidP="00B5557E">
      <w:pPr>
        <w:ind w:left="2880"/>
        <w:rPr>
          <w:rFonts w:asciiTheme="minorHAnsi" w:hAnsiTheme="minorHAnsi" w:cstheme="minorHAnsi"/>
        </w:rPr>
      </w:pPr>
      <w:hyperlink r:id="rId26" w:history="1">
        <w:r w:rsidR="00B5557E" w:rsidRPr="00470388">
          <w:rPr>
            <w:rStyle w:val="Hyperlink"/>
            <w:rFonts w:asciiTheme="minorHAnsi" w:hAnsiTheme="minorHAnsi" w:cstheme="minorHAnsi"/>
          </w:rPr>
          <w:t>mjsettineri@vorys.com</w:t>
        </w:r>
      </w:hyperlink>
    </w:p>
    <w:p w14:paraId="6EB0C185" w14:textId="77777777" w:rsidR="00B5557E" w:rsidRDefault="003873AB" w:rsidP="00B5557E">
      <w:pPr>
        <w:ind w:left="2880"/>
        <w:rPr>
          <w:rFonts w:asciiTheme="minorHAnsi" w:hAnsiTheme="minorHAnsi" w:cstheme="minorHAnsi"/>
        </w:rPr>
      </w:pPr>
      <w:hyperlink r:id="rId27" w:history="1">
        <w:r w:rsidR="00B5557E" w:rsidRPr="00470388">
          <w:rPr>
            <w:rStyle w:val="Hyperlink"/>
            <w:rFonts w:asciiTheme="minorHAnsi" w:hAnsiTheme="minorHAnsi" w:cstheme="minorHAnsi"/>
          </w:rPr>
          <w:t>glpetrucci@vorys.com</w:t>
        </w:r>
      </w:hyperlink>
    </w:p>
    <w:p w14:paraId="0DFCF797" w14:textId="77777777" w:rsidR="00B5557E" w:rsidRDefault="003873AB" w:rsidP="00B5557E">
      <w:pPr>
        <w:ind w:left="2880"/>
        <w:rPr>
          <w:rFonts w:asciiTheme="minorHAnsi" w:hAnsiTheme="minorHAnsi" w:cstheme="minorHAnsi"/>
        </w:rPr>
      </w:pPr>
      <w:hyperlink r:id="rId28" w:history="1">
        <w:r w:rsidR="00B5557E" w:rsidRPr="00470388">
          <w:rPr>
            <w:rStyle w:val="Hyperlink"/>
            <w:rFonts w:asciiTheme="minorHAnsi" w:hAnsiTheme="minorHAnsi" w:cstheme="minorHAnsi"/>
          </w:rPr>
          <w:t>aasanyal@vorys.com</w:t>
        </w:r>
      </w:hyperlink>
    </w:p>
    <w:p w14:paraId="3CB32177" w14:textId="77777777" w:rsidR="00B5557E" w:rsidRDefault="003873AB" w:rsidP="00B5557E">
      <w:pPr>
        <w:ind w:left="2880"/>
        <w:rPr>
          <w:rFonts w:asciiTheme="minorHAnsi" w:hAnsiTheme="minorHAnsi" w:cstheme="minorHAnsi"/>
        </w:rPr>
      </w:pPr>
      <w:hyperlink r:id="rId29" w:history="1">
        <w:r w:rsidR="00B5557E" w:rsidRPr="00470388">
          <w:rPr>
            <w:rStyle w:val="Hyperlink"/>
            <w:rFonts w:asciiTheme="minorHAnsi" w:hAnsiTheme="minorHAnsi" w:cstheme="minorHAnsi"/>
          </w:rPr>
          <w:t>cynthia.brady@constellation.com</w:t>
        </w:r>
      </w:hyperlink>
    </w:p>
    <w:p w14:paraId="3F17A241" w14:textId="77777777" w:rsidR="00B5557E" w:rsidRDefault="003873AB" w:rsidP="00B5557E">
      <w:pPr>
        <w:ind w:left="2880"/>
        <w:rPr>
          <w:rFonts w:asciiTheme="minorHAnsi" w:hAnsiTheme="minorHAnsi" w:cstheme="minorHAnsi"/>
        </w:rPr>
      </w:pPr>
      <w:hyperlink r:id="rId30" w:history="1">
        <w:r w:rsidR="00B5557E" w:rsidRPr="00470388">
          <w:rPr>
            <w:rStyle w:val="Hyperlink"/>
            <w:rFonts w:asciiTheme="minorHAnsi" w:hAnsiTheme="minorHAnsi" w:cstheme="minorHAnsi"/>
          </w:rPr>
          <w:t>jesse.rodriguez@constellation.com</w:t>
        </w:r>
      </w:hyperlink>
    </w:p>
    <w:p w14:paraId="08B87128" w14:textId="77777777" w:rsidR="00B5557E" w:rsidRDefault="003873AB" w:rsidP="00B5557E">
      <w:pPr>
        <w:ind w:left="2880"/>
        <w:rPr>
          <w:rFonts w:asciiTheme="minorHAnsi" w:hAnsiTheme="minorHAnsi" w:cstheme="minorHAnsi"/>
        </w:rPr>
      </w:pPr>
      <w:hyperlink r:id="rId31" w:history="1">
        <w:r w:rsidR="00B5557E" w:rsidRPr="00470388">
          <w:rPr>
            <w:rStyle w:val="Hyperlink"/>
            <w:rFonts w:asciiTheme="minorHAnsi" w:hAnsiTheme="minorHAnsi" w:cstheme="minorHAnsi"/>
          </w:rPr>
          <w:t>mark.hayden@constellation.com</w:t>
        </w:r>
      </w:hyperlink>
    </w:p>
    <w:p w14:paraId="26D9C155" w14:textId="77777777" w:rsidR="00B5557E" w:rsidRDefault="003873AB" w:rsidP="00B5557E">
      <w:pPr>
        <w:ind w:left="2880"/>
        <w:rPr>
          <w:rFonts w:asciiTheme="minorHAnsi" w:hAnsiTheme="minorHAnsi" w:cstheme="minorHAnsi"/>
        </w:rPr>
      </w:pPr>
      <w:hyperlink r:id="rId32" w:history="1">
        <w:r w:rsidR="00B5557E" w:rsidRPr="00470388">
          <w:rPr>
            <w:rStyle w:val="Hyperlink"/>
            <w:rFonts w:asciiTheme="minorHAnsi" w:hAnsiTheme="minorHAnsi" w:cstheme="minorHAnsi"/>
          </w:rPr>
          <w:t>cpirik@dickinsonwright.com</w:t>
        </w:r>
      </w:hyperlink>
    </w:p>
    <w:p w14:paraId="0ADA9D65" w14:textId="77777777" w:rsidR="00B5557E" w:rsidRDefault="003873AB" w:rsidP="00B5557E">
      <w:pPr>
        <w:ind w:left="2880"/>
        <w:rPr>
          <w:rFonts w:asciiTheme="minorHAnsi" w:hAnsiTheme="minorHAnsi" w:cstheme="minorHAnsi"/>
        </w:rPr>
      </w:pPr>
      <w:hyperlink r:id="rId33" w:history="1">
        <w:r w:rsidR="00B5557E" w:rsidRPr="00470388">
          <w:rPr>
            <w:rStyle w:val="Hyperlink"/>
            <w:rFonts w:asciiTheme="minorHAnsi" w:hAnsiTheme="minorHAnsi" w:cstheme="minorHAnsi"/>
          </w:rPr>
          <w:t>todonnell@dickinsonwright.com</w:t>
        </w:r>
      </w:hyperlink>
    </w:p>
    <w:p w14:paraId="7FD4D20D" w14:textId="77777777" w:rsidR="00B5557E" w:rsidRDefault="003873AB" w:rsidP="00B5557E">
      <w:pPr>
        <w:ind w:left="2880"/>
        <w:rPr>
          <w:rFonts w:asciiTheme="minorHAnsi" w:hAnsiTheme="minorHAnsi" w:cstheme="minorHAnsi"/>
        </w:rPr>
      </w:pPr>
      <w:hyperlink r:id="rId34" w:history="1">
        <w:r w:rsidR="00B5557E" w:rsidRPr="00470388">
          <w:rPr>
            <w:rStyle w:val="Hyperlink"/>
            <w:rFonts w:asciiTheme="minorHAnsi" w:hAnsiTheme="minorHAnsi" w:cstheme="minorHAnsi"/>
          </w:rPr>
          <w:t>kshimp@dickinsonwright.com</w:t>
        </w:r>
      </w:hyperlink>
    </w:p>
    <w:p w14:paraId="228B3CED" w14:textId="77777777" w:rsidR="00B5557E" w:rsidRDefault="003873AB" w:rsidP="00B5557E">
      <w:pPr>
        <w:ind w:left="2880"/>
        <w:rPr>
          <w:rFonts w:asciiTheme="minorHAnsi" w:hAnsiTheme="minorHAnsi" w:cstheme="minorHAnsi"/>
        </w:rPr>
      </w:pPr>
      <w:hyperlink r:id="rId35" w:history="1">
        <w:r w:rsidR="00B5557E" w:rsidRPr="00470388">
          <w:rPr>
            <w:rStyle w:val="Hyperlink"/>
            <w:rFonts w:asciiTheme="minorHAnsi" w:hAnsiTheme="minorHAnsi" w:cstheme="minorHAnsi"/>
          </w:rPr>
          <w:t>emcconnell@elpc.org</w:t>
        </w:r>
      </w:hyperlink>
    </w:p>
    <w:p w14:paraId="52AD21D8" w14:textId="77777777" w:rsidR="00B5557E" w:rsidRPr="00A22451" w:rsidRDefault="003873AB" w:rsidP="00B5557E">
      <w:pPr>
        <w:ind w:left="2880"/>
        <w:rPr>
          <w:rFonts w:asciiTheme="minorHAnsi" w:hAnsiTheme="minorHAnsi" w:cstheme="minorHAnsi"/>
        </w:rPr>
      </w:pPr>
      <w:hyperlink r:id="rId36" w:history="1">
        <w:r w:rsidR="00B5557E" w:rsidRPr="00A22451">
          <w:rPr>
            <w:rStyle w:val="Hyperlink"/>
            <w:rFonts w:asciiTheme="minorHAnsi" w:hAnsiTheme="minorHAnsi" w:cstheme="minorHAnsi"/>
          </w:rPr>
          <w:t>RKelter@elpc.org</w:t>
        </w:r>
      </w:hyperlink>
    </w:p>
    <w:p w14:paraId="56F83BD3" w14:textId="77777777" w:rsidR="00B5557E" w:rsidRDefault="003873AB" w:rsidP="00B5557E">
      <w:pPr>
        <w:ind w:left="2880"/>
        <w:rPr>
          <w:rFonts w:asciiTheme="minorHAnsi" w:hAnsiTheme="minorHAnsi" w:cstheme="minorHAnsi"/>
        </w:rPr>
      </w:pPr>
      <w:hyperlink r:id="rId37" w:history="1">
        <w:r w:rsidR="00B5557E" w:rsidRPr="00A22451">
          <w:rPr>
            <w:rStyle w:val="Hyperlink"/>
            <w:rFonts w:asciiTheme="minorHAnsi" w:hAnsiTheme="minorHAnsi" w:cstheme="minorHAnsi"/>
          </w:rPr>
          <w:t>NWallace@elpc.org</w:t>
        </w:r>
      </w:hyperlink>
    </w:p>
    <w:p w14:paraId="0C1BFE20" w14:textId="77777777" w:rsidR="00B5557E" w:rsidRDefault="003873AB" w:rsidP="00B5557E">
      <w:pPr>
        <w:ind w:left="2880"/>
        <w:rPr>
          <w:rFonts w:asciiTheme="minorHAnsi" w:hAnsiTheme="minorHAnsi" w:cstheme="minorHAnsi"/>
        </w:rPr>
      </w:pPr>
      <w:hyperlink r:id="rId38" w:history="1">
        <w:r w:rsidR="00B5557E" w:rsidRPr="00470388">
          <w:rPr>
            <w:rStyle w:val="Hyperlink"/>
            <w:rFonts w:asciiTheme="minorHAnsi" w:hAnsiTheme="minorHAnsi" w:cstheme="minorHAnsi"/>
          </w:rPr>
          <w:t>Stacie.Cathcart@igs.com</w:t>
        </w:r>
      </w:hyperlink>
    </w:p>
    <w:p w14:paraId="28F0B764" w14:textId="77777777" w:rsidR="00B5557E" w:rsidRDefault="003873AB" w:rsidP="00B5557E">
      <w:pPr>
        <w:ind w:left="2880"/>
        <w:rPr>
          <w:rFonts w:asciiTheme="minorHAnsi" w:hAnsiTheme="minorHAnsi" w:cstheme="minorHAnsi"/>
        </w:rPr>
      </w:pPr>
      <w:hyperlink r:id="rId39" w:history="1">
        <w:r w:rsidR="00B5557E" w:rsidRPr="00470388">
          <w:rPr>
            <w:rStyle w:val="Hyperlink"/>
            <w:rFonts w:asciiTheme="minorHAnsi" w:hAnsiTheme="minorHAnsi" w:cstheme="minorHAnsi"/>
          </w:rPr>
          <w:t>michael.nugent@igs.com</w:t>
        </w:r>
      </w:hyperlink>
    </w:p>
    <w:p w14:paraId="35B83FC9" w14:textId="77777777" w:rsidR="00B5557E" w:rsidRDefault="003873AB" w:rsidP="00B5557E">
      <w:pPr>
        <w:ind w:left="2880"/>
        <w:rPr>
          <w:rFonts w:asciiTheme="minorHAnsi" w:hAnsiTheme="minorHAnsi" w:cstheme="minorHAnsi"/>
        </w:rPr>
      </w:pPr>
      <w:hyperlink r:id="rId40" w:history="1">
        <w:r w:rsidR="00B5557E" w:rsidRPr="00470388">
          <w:rPr>
            <w:rStyle w:val="Hyperlink"/>
            <w:rFonts w:asciiTheme="minorHAnsi" w:hAnsiTheme="minorHAnsi" w:cstheme="minorHAnsi"/>
          </w:rPr>
          <w:t>Joe.Oliker@igs.com</w:t>
        </w:r>
      </w:hyperlink>
    </w:p>
    <w:p w14:paraId="7873CE4B" w14:textId="77777777" w:rsidR="00B5557E" w:rsidRDefault="003873AB" w:rsidP="00B5557E">
      <w:pPr>
        <w:ind w:left="2880"/>
        <w:rPr>
          <w:rFonts w:asciiTheme="minorHAnsi" w:hAnsiTheme="minorHAnsi" w:cstheme="minorHAnsi"/>
        </w:rPr>
      </w:pPr>
      <w:hyperlink r:id="rId41" w:history="1">
        <w:r w:rsidR="00B5557E" w:rsidRPr="00470388">
          <w:rPr>
            <w:rStyle w:val="Hyperlink"/>
            <w:rFonts w:asciiTheme="minorHAnsi" w:hAnsiTheme="minorHAnsi" w:cstheme="minorHAnsi"/>
          </w:rPr>
          <w:t>jlang@calfee.com</w:t>
        </w:r>
      </w:hyperlink>
    </w:p>
    <w:p w14:paraId="0DBE1001" w14:textId="77777777" w:rsidR="00B5557E" w:rsidRDefault="003873AB" w:rsidP="00B5557E">
      <w:pPr>
        <w:ind w:left="2880"/>
        <w:rPr>
          <w:rFonts w:asciiTheme="minorHAnsi" w:hAnsiTheme="minorHAnsi" w:cstheme="minorHAnsi"/>
        </w:rPr>
      </w:pPr>
      <w:hyperlink r:id="rId42" w:history="1">
        <w:r w:rsidR="00B5557E" w:rsidRPr="00470388">
          <w:rPr>
            <w:rStyle w:val="Hyperlink"/>
            <w:rFonts w:asciiTheme="minorHAnsi" w:hAnsiTheme="minorHAnsi" w:cstheme="minorHAnsi"/>
          </w:rPr>
          <w:t>mbarbara@calfee.com</w:t>
        </w:r>
      </w:hyperlink>
    </w:p>
    <w:p w14:paraId="4F78BA79" w14:textId="77777777" w:rsidR="00B5557E" w:rsidRDefault="003873AB" w:rsidP="00B5557E">
      <w:pPr>
        <w:ind w:left="2880"/>
        <w:rPr>
          <w:rFonts w:asciiTheme="minorHAnsi" w:hAnsiTheme="minorHAnsi" w:cstheme="minorHAnsi"/>
        </w:rPr>
      </w:pPr>
      <w:hyperlink r:id="rId43" w:history="1">
        <w:r w:rsidR="00B5557E" w:rsidRPr="00470388">
          <w:rPr>
            <w:rStyle w:val="Hyperlink"/>
            <w:rFonts w:asciiTheme="minorHAnsi" w:hAnsiTheme="minorHAnsi" w:cstheme="minorHAnsi"/>
          </w:rPr>
          <w:t>Paul@carpenterlipps.com</w:t>
        </w:r>
      </w:hyperlink>
    </w:p>
    <w:p w14:paraId="65969211" w14:textId="77777777" w:rsidR="00B5557E" w:rsidRDefault="003873AB" w:rsidP="00B5557E">
      <w:pPr>
        <w:ind w:left="2880"/>
        <w:rPr>
          <w:rFonts w:asciiTheme="minorHAnsi" w:hAnsiTheme="minorHAnsi" w:cstheme="minorHAnsi"/>
        </w:rPr>
      </w:pPr>
      <w:hyperlink r:id="rId44" w:history="1">
        <w:r w:rsidR="00B5557E" w:rsidRPr="00470388">
          <w:rPr>
            <w:rStyle w:val="Hyperlink"/>
            <w:rFonts w:asciiTheme="minorHAnsi" w:hAnsiTheme="minorHAnsi" w:cstheme="minorHAnsi"/>
          </w:rPr>
          <w:t>cadieux@carpenterlipps.com</w:t>
        </w:r>
      </w:hyperlink>
    </w:p>
    <w:p w14:paraId="5C6E7569" w14:textId="77777777" w:rsidR="00B5557E" w:rsidRDefault="003873AB" w:rsidP="00B5557E">
      <w:pPr>
        <w:ind w:left="2880"/>
        <w:rPr>
          <w:rFonts w:asciiTheme="minorHAnsi" w:hAnsiTheme="minorHAnsi" w:cstheme="minorHAnsi"/>
        </w:rPr>
      </w:pPr>
      <w:hyperlink r:id="rId45" w:history="1">
        <w:r w:rsidR="00B5557E" w:rsidRPr="00470388">
          <w:rPr>
            <w:rStyle w:val="Hyperlink"/>
            <w:rFonts w:asciiTheme="minorHAnsi" w:hAnsiTheme="minorHAnsi" w:cstheme="minorHAnsi"/>
          </w:rPr>
          <w:t>dstinson@brickergraydon.com</w:t>
        </w:r>
      </w:hyperlink>
    </w:p>
    <w:p w14:paraId="149B11D1" w14:textId="77777777" w:rsidR="00B5557E" w:rsidRDefault="003873AB" w:rsidP="00B5557E">
      <w:pPr>
        <w:ind w:left="2880"/>
        <w:rPr>
          <w:rFonts w:asciiTheme="minorHAnsi" w:hAnsiTheme="minorHAnsi" w:cstheme="minorHAnsi"/>
        </w:rPr>
      </w:pPr>
      <w:hyperlink r:id="rId46" w:history="1">
        <w:r w:rsidR="00B5557E" w:rsidRPr="00470388">
          <w:rPr>
            <w:rStyle w:val="Hyperlink"/>
            <w:rFonts w:asciiTheme="minorHAnsi" w:hAnsiTheme="minorHAnsi" w:cstheme="minorHAnsi"/>
          </w:rPr>
          <w:t>gkrassen@nopec.org</w:t>
        </w:r>
      </w:hyperlink>
    </w:p>
    <w:p w14:paraId="1C073C25" w14:textId="77777777" w:rsidR="00B5557E" w:rsidRDefault="003873AB" w:rsidP="00B5557E">
      <w:pPr>
        <w:ind w:left="2880"/>
        <w:rPr>
          <w:rFonts w:asciiTheme="minorHAnsi" w:hAnsiTheme="minorHAnsi" w:cstheme="minorHAnsi"/>
        </w:rPr>
      </w:pPr>
      <w:hyperlink r:id="rId47" w:history="1">
        <w:r w:rsidR="00B5557E" w:rsidRPr="00470388">
          <w:rPr>
            <w:rStyle w:val="Hyperlink"/>
            <w:rFonts w:asciiTheme="minorHAnsi" w:hAnsiTheme="minorHAnsi" w:cstheme="minorHAnsi"/>
          </w:rPr>
          <w:t>trhayslaw@gmail.com</w:t>
        </w:r>
      </w:hyperlink>
    </w:p>
    <w:p w14:paraId="5C9B1A47" w14:textId="77777777" w:rsidR="00B5557E" w:rsidRDefault="003873AB" w:rsidP="00B5557E">
      <w:pPr>
        <w:ind w:left="2880"/>
        <w:rPr>
          <w:rFonts w:asciiTheme="minorHAnsi" w:hAnsiTheme="minorHAnsi" w:cstheme="minorHAnsi"/>
        </w:rPr>
      </w:pPr>
      <w:hyperlink r:id="rId48" w:history="1">
        <w:r w:rsidR="00B5557E" w:rsidRPr="00470388">
          <w:rPr>
            <w:rStyle w:val="Hyperlink"/>
            <w:rFonts w:asciiTheme="minorHAnsi" w:hAnsiTheme="minorHAnsi" w:cstheme="minorHAnsi"/>
          </w:rPr>
          <w:t>leslie.kovacik@toledo.oh.gov</w:t>
        </w:r>
      </w:hyperlink>
    </w:p>
    <w:p w14:paraId="454BF088" w14:textId="77777777" w:rsidR="00B5557E" w:rsidRDefault="003873AB" w:rsidP="00B5557E">
      <w:pPr>
        <w:ind w:left="2880"/>
        <w:rPr>
          <w:rFonts w:asciiTheme="minorHAnsi" w:hAnsiTheme="minorHAnsi" w:cstheme="minorHAnsi"/>
        </w:rPr>
      </w:pPr>
      <w:hyperlink r:id="rId49" w:history="1">
        <w:r w:rsidR="00B5557E" w:rsidRPr="00470388">
          <w:rPr>
            <w:rStyle w:val="Hyperlink"/>
            <w:rFonts w:asciiTheme="minorHAnsi" w:hAnsiTheme="minorHAnsi" w:cstheme="minorHAnsi"/>
          </w:rPr>
          <w:t>john.finnigan@occ.ohio.gov</w:t>
        </w:r>
      </w:hyperlink>
    </w:p>
    <w:p w14:paraId="0D5769FA" w14:textId="77777777" w:rsidR="00B5557E" w:rsidRDefault="003873AB" w:rsidP="00B5557E">
      <w:pPr>
        <w:ind w:left="2880"/>
        <w:rPr>
          <w:rFonts w:asciiTheme="minorHAnsi" w:hAnsiTheme="minorHAnsi" w:cstheme="minorHAnsi"/>
        </w:rPr>
      </w:pPr>
      <w:hyperlink r:id="rId50" w:history="1">
        <w:r w:rsidR="00B5557E" w:rsidRPr="00470388">
          <w:rPr>
            <w:rStyle w:val="Hyperlink"/>
            <w:rFonts w:asciiTheme="minorHAnsi" w:hAnsiTheme="minorHAnsi" w:cstheme="minorHAnsi"/>
          </w:rPr>
          <w:t>robert.eubanks@occ.ohio.gov</w:t>
        </w:r>
      </w:hyperlink>
    </w:p>
    <w:p w14:paraId="6D8943C1" w14:textId="77777777" w:rsidR="00B5557E" w:rsidRDefault="003873AB" w:rsidP="00B5557E">
      <w:pPr>
        <w:ind w:left="2880"/>
        <w:rPr>
          <w:rFonts w:asciiTheme="minorHAnsi" w:hAnsiTheme="minorHAnsi" w:cstheme="minorHAnsi"/>
        </w:rPr>
      </w:pPr>
      <w:hyperlink r:id="rId51" w:history="1">
        <w:r w:rsidR="00B5557E" w:rsidRPr="00470388">
          <w:rPr>
            <w:rStyle w:val="Hyperlink"/>
            <w:rFonts w:asciiTheme="minorHAnsi" w:hAnsiTheme="minorHAnsi" w:cstheme="minorHAnsi"/>
          </w:rPr>
          <w:t>william.michael@occ.ohio.gov</w:t>
        </w:r>
      </w:hyperlink>
    </w:p>
    <w:p w14:paraId="45F93C33" w14:textId="77777777" w:rsidR="00B5557E" w:rsidRPr="007A35B9" w:rsidRDefault="003873AB" w:rsidP="00B5557E">
      <w:pPr>
        <w:ind w:left="2880"/>
        <w:rPr>
          <w:rFonts w:asciiTheme="minorHAnsi" w:hAnsiTheme="minorHAnsi" w:cstheme="minorHAnsi"/>
        </w:rPr>
      </w:pPr>
      <w:hyperlink r:id="rId52" w:history="1">
        <w:r w:rsidR="00B5557E" w:rsidRPr="007A35B9">
          <w:rPr>
            <w:rStyle w:val="Hyperlink"/>
            <w:rFonts w:asciiTheme="minorHAnsi" w:hAnsiTheme="minorHAnsi" w:cstheme="minorHAnsi"/>
          </w:rPr>
          <w:t>alex.hickey@occ.ohio.gov</w:t>
        </w:r>
      </w:hyperlink>
    </w:p>
    <w:p w14:paraId="05873863" w14:textId="77777777" w:rsidR="00B5557E" w:rsidRDefault="003873AB" w:rsidP="00B5557E">
      <w:pPr>
        <w:ind w:left="2880"/>
        <w:rPr>
          <w:rFonts w:asciiTheme="minorHAnsi" w:hAnsiTheme="minorHAnsi" w:cstheme="minorHAnsi"/>
        </w:rPr>
      </w:pPr>
      <w:hyperlink r:id="rId53" w:history="1">
        <w:r w:rsidR="00B5557E" w:rsidRPr="007A35B9">
          <w:rPr>
            <w:rStyle w:val="Hyperlink"/>
            <w:rFonts w:asciiTheme="minorHAnsi" w:hAnsiTheme="minorHAnsi" w:cstheme="minorHAnsi"/>
          </w:rPr>
          <w:t>thomas.zuehlke@occ.ohio.gov</w:t>
        </w:r>
      </w:hyperlink>
    </w:p>
    <w:p w14:paraId="2F8AE8DC" w14:textId="77777777" w:rsidR="00B5557E" w:rsidRDefault="003873AB" w:rsidP="00B5557E">
      <w:pPr>
        <w:ind w:left="2880"/>
        <w:rPr>
          <w:rFonts w:asciiTheme="minorHAnsi" w:hAnsiTheme="minorHAnsi" w:cstheme="minorHAnsi"/>
        </w:rPr>
      </w:pPr>
      <w:hyperlink r:id="rId54" w:history="1">
        <w:r w:rsidR="00B5557E" w:rsidRPr="00470388">
          <w:rPr>
            <w:rStyle w:val="Hyperlink"/>
            <w:rFonts w:asciiTheme="minorHAnsi" w:hAnsiTheme="minorHAnsi" w:cstheme="minorHAnsi"/>
          </w:rPr>
          <w:t>mkurtz@BKLlawfirm.com</w:t>
        </w:r>
      </w:hyperlink>
    </w:p>
    <w:p w14:paraId="7F1410EA" w14:textId="77777777" w:rsidR="00B5557E" w:rsidRDefault="003873AB" w:rsidP="00B5557E">
      <w:pPr>
        <w:ind w:left="2880"/>
        <w:rPr>
          <w:rFonts w:asciiTheme="minorHAnsi" w:hAnsiTheme="minorHAnsi" w:cstheme="minorHAnsi"/>
        </w:rPr>
      </w:pPr>
      <w:hyperlink r:id="rId55" w:history="1">
        <w:r w:rsidR="00B5557E" w:rsidRPr="00470388">
          <w:rPr>
            <w:rStyle w:val="Hyperlink"/>
            <w:rFonts w:asciiTheme="minorHAnsi" w:hAnsiTheme="minorHAnsi" w:cstheme="minorHAnsi"/>
          </w:rPr>
          <w:t>jkylercohn@BKLlawfirm.com</w:t>
        </w:r>
      </w:hyperlink>
      <w:r w:rsidR="00B5557E">
        <w:rPr>
          <w:rFonts w:asciiTheme="minorHAnsi" w:hAnsiTheme="minorHAnsi" w:cstheme="minorHAnsi"/>
        </w:rPr>
        <w:t xml:space="preserve"> </w:t>
      </w:r>
    </w:p>
    <w:p w14:paraId="3FD9EEC6" w14:textId="77777777" w:rsidR="00B5557E" w:rsidRDefault="003873AB" w:rsidP="00B5557E">
      <w:pPr>
        <w:ind w:left="2880"/>
        <w:rPr>
          <w:rFonts w:asciiTheme="minorHAnsi" w:hAnsiTheme="minorHAnsi" w:cstheme="minorHAnsi"/>
        </w:rPr>
      </w:pPr>
      <w:hyperlink r:id="rId56" w:history="1">
        <w:r w:rsidR="00B5557E" w:rsidRPr="00470388">
          <w:rPr>
            <w:rStyle w:val="Hyperlink"/>
            <w:rFonts w:asciiTheme="minorHAnsi" w:hAnsiTheme="minorHAnsi" w:cstheme="minorHAnsi"/>
          </w:rPr>
          <w:t>dproano@bakerlaw.com</w:t>
        </w:r>
      </w:hyperlink>
    </w:p>
    <w:p w14:paraId="26A9EEE2" w14:textId="77777777" w:rsidR="00B5557E" w:rsidRDefault="003873AB" w:rsidP="00B5557E">
      <w:pPr>
        <w:ind w:left="2880"/>
        <w:rPr>
          <w:rFonts w:asciiTheme="minorHAnsi" w:hAnsiTheme="minorHAnsi" w:cstheme="minorHAnsi"/>
        </w:rPr>
      </w:pPr>
      <w:hyperlink r:id="rId57" w:history="1">
        <w:r w:rsidR="00B5557E" w:rsidRPr="00470388">
          <w:rPr>
            <w:rStyle w:val="Hyperlink"/>
            <w:rFonts w:asciiTheme="minorHAnsi" w:hAnsiTheme="minorHAnsi" w:cstheme="minorHAnsi"/>
          </w:rPr>
          <w:t>ahaque@bakerlaw.com</w:t>
        </w:r>
      </w:hyperlink>
    </w:p>
    <w:p w14:paraId="603E1C7B" w14:textId="77777777" w:rsidR="00B5557E" w:rsidRDefault="003873AB" w:rsidP="00B5557E">
      <w:pPr>
        <w:ind w:left="2880"/>
        <w:rPr>
          <w:rFonts w:asciiTheme="minorHAnsi" w:hAnsiTheme="minorHAnsi" w:cstheme="minorHAnsi"/>
        </w:rPr>
      </w:pPr>
      <w:hyperlink r:id="rId58" w:history="1">
        <w:r w:rsidR="00B5557E" w:rsidRPr="00470388">
          <w:rPr>
            <w:rStyle w:val="Hyperlink"/>
            <w:rFonts w:asciiTheme="minorHAnsi" w:hAnsiTheme="minorHAnsi" w:cstheme="minorHAnsi"/>
          </w:rPr>
          <w:t>eprouty@bakerlaw.com</w:t>
        </w:r>
      </w:hyperlink>
    </w:p>
    <w:p w14:paraId="49D7865B" w14:textId="77777777" w:rsidR="00B5557E" w:rsidRDefault="003873AB" w:rsidP="00B5557E">
      <w:pPr>
        <w:ind w:left="2880"/>
        <w:rPr>
          <w:rFonts w:asciiTheme="minorHAnsi" w:hAnsiTheme="minorHAnsi" w:cstheme="minorHAnsi"/>
        </w:rPr>
      </w:pPr>
      <w:hyperlink r:id="rId59" w:history="1">
        <w:r w:rsidR="00B5557E" w:rsidRPr="00470388">
          <w:rPr>
            <w:rStyle w:val="Hyperlink"/>
            <w:rFonts w:asciiTheme="minorHAnsi" w:hAnsiTheme="minorHAnsi" w:cstheme="minorHAnsi"/>
          </w:rPr>
          <w:t>pwillison@bakerlaw.com</w:t>
        </w:r>
      </w:hyperlink>
    </w:p>
    <w:p w14:paraId="6C4A2B92" w14:textId="77777777" w:rsidR="00B5557E" w:rsidRDefault="003873AB" w:rsidP="00B5557E">
      <w:pPr>
        <w:ind w:left="2880"/>
        <w:rPr>
          <w:rFonts w:asciiTheme="minorHAnsi" w:hAnsiTheme="minorHAnsi" w:cstheme="minorHAnsi"/>
        </w:rPr>
      </w:pPr>
      <w:hyperlink r:id="rId60" w:history="1">
        <w:r w:rsidR="00B5557E" w:rsidRPr="00470388">
          <w:rPr>
            <w:rStyle w:val="Hyperlink"/>
            <w:rFonts w:asciiTheme="minorHAnsi" w:hAnsiTheme="minorHAnsi" w:cstheme="minorHAnsi"/>
          </w:rPr>
          <w:t>knordstrom@theOEC.org</w:t>
        </w:r>
      </w:hyperlink>
    </w:p>
    <w:p w14:paraId="74766A0F" w14:textId="77777777" w:rsidR="00B5557E" w:rsidRDefault="003873AB" w:rsidP="00B5557E">
      <w:pPr>
        <w:ind w:left="2880"/>
        <w:rPr>
          <w:rFonts w:asciiTheme="minorHAnsi" w:hAnsiTheme="minorHAnsi" w:cstheme="minorHAnsi"/>
        </w:rPr>
      </w:pPr>
      <w:hyperlink r:id="rId61" w:history="1">
        <w:r w:rsidR="00B5557E" w:rsidRPr="00470388">
          <w:rPr>
            <w:rStyle w:val="Hyperlink"/>
            <w:rFonts w:asciiTheme="minorHAnsi" w:hAnsiTheme="minorHAnsi" w:cstheme="minorHAnsi"/>
          </w:rPr>
          <w:t>ctavenor@theOEC.org</w:t>
        </w:r>
      </w:hyperlink>
    </w:p>
    <w:p w14:paraId="7DCFC28C" w14:textId="77777777" w:rsidR="00B5557E" w:rsidRDefault="003873AB" w:rsidP="00B5557E">
      <w:pPr>
        <w:ind w:left="2880"/>
        <w:rPr>
          <w:rFonts w:asciiTheme="minorHAnsi" w:hAnsiTheme="minorHAnsi" w:cstheme="minorHAnsi"/>
        </w:rPr>
      </w:pPr>
      <w:hyperlink r:id="rId62" w:history="1">
        <w:r w:rsidR="00B5557E" w:rsidRPr="00470388">
          <w:rPr>
            <w:rStyle w:val="Hyperlink"/>
            <w:rFonts w:asciiTheme="minorHAnsi" w:hAnsiTheme="minorHAnsi" w:cstheme="minorHAnsi"/>
          </w:rPr>
          <w:t>dparram@brickergraydon.com</w:t>
        </w:r>
      </w:hyperlink>
    </w:p>
    <w:p w14:paraId="266773DD" w14:textId="77777777" w:rsidR="00B5557E" w:rsidRDefault="003873AB" w:rsidP="00B5557E">
      <w:pPr>
        <w:ind w:left="2880"/>
        <w:rPr>
          <w:rFonts w:asciiTheme="minorHAnsi" w:hAnsiTheme="minorHAnsi" w:cstheme="minorHAnsi"/>
        </w:rPr>
      </w:pPr>
      <w:hyperlink r:id="rId63" w:history="1">
        <w:r w:rsidR="00B5557E" w:rsidRPr="00470388">
          <w:rPr>
            <w:rStyle w:val="Hyperlink"/>
            <w:rFonts w:asciiTheme="minorHAnsi" w:hAnsiTheme="minorHAnsi" w:cstheme="minorHAnsi"/>
          </w:rPr>
          <w:t>rmains@brickergraydon.com</w:t>
        </w:r>
      </w:hyperlink>
    </w:p>
    <w:p w14:paraId="69D4BAA0" w14:textId="77777777" w:rsidR="00B5557E" w:rsidRDefault="003873AB" w:rsidP="00B5557E">
      <w:pPr>
        <w:ind w:left="2880"/>
        <w:rPr>
          <w:rFonts w:asciiTheme="minorHAnsi" w:hAnsiTheme="minorHAnsi" w:cstheme="minorHAnsi"/>
        </w:rPr>
      </w:pPr>
      <w:hyperlink r:id="rId64" w:history="1">
        <w:r w:rsidR="00B5557E" w:rsidRPr="00470388">
          <w:rPr>
            <w:rStyle w:val="Hyperlink"/>
            <w:rFonts w:asciiTheme="minorHAnsi" w:hAnsiTheme="minorHAnsi" w:cstheme="minorHAnsi"/>
          </w:rPr>
          <w:t>bojko@carpenterlipps.com</w:t>
        </w:r>
      </w:hyperlink>
    </w:p>
    <w:p w14:paraId="2108880F" w14:textId="77777777" w:rsidR="00B5557E" w:rsidRDefault="003873AB" w:rsidP="00B5557E">
      <w:pPr>
        <w:ind w:left="2880"/>
        <w:rPr>
          <w:rFonts w:asciiTheme="minorHAnsi" w:hAnsiTheme="minorHAnsi" w:cstheme="minorHAnsi"/>
        </w:rPr>
      </w:pPr>
      <w:hyperlink r:id="rId65" w:history="1">
        <w:r w:rsidR="00B5557E" w:rsidRPr="00470388">
          <w:rPr>
            <w:rStyle w:val="Hyperlink"/>
            <w:rFonts w:asciiTheme="minorHAnsi" w:hAnsiTheme="minorHAnsi" w:cstheme="minorHAnsi"/>
          </w:rPr>
          <w:t>easley@carpenterlipps.com</w:t>
        </w:r>
      </w:hyperlink>
    </w:p>
    <w:p w14:paraId="5F586B8F" w14:textId="77777777" w:rsidR="00B5557E" w:rsidRDefault="003873AB" w:rsidP="00B5557E">
      <w:pPr>
        <w:ind w:left="2880"/>
        <w:rPr>
          <w:rFonts w:asciiTheme="minorHAnsi" w:hAnsiTheme="minorHAnsi" w:cstheme="minorHAnsi"/>
        </w:rPr>
      </w:pPr>
      <w:hyperlink r:id="rId66" w:history="1">
        <w:r w:rsidR="00B5557E" w:rsidRPr="00470388">
          <w:rPr>
            <w:rStyle w:val="Hyperlink"/>
            <w:rFonts w:asciiTheme="minorHAnsi" w:hAnsiTheme="minorHAnsi" w:cstheme="minorHAnsi"/>
          </w:rPr>
          <w:t>rdove@keglerbrown.com</w:t>
        </w:r>
      </w:hyperlink>
    </w:p>
    <w:p w14:paraId="5E232B0F" w14:textId="77777777" w:rsidR="00B5557E" w:rsidRDefault="003873AB" w:rsidP="00B5557E">
      <w:pPr>
        <w:ind w:left="2880"/>
        <w:rPr>
          <w:rFonts w:asciiTheme="minorHAnsi" w:hAnsiTheme="minorHAnsi" w:cstheme="minorHAnsi"/>
        </w:rPr>
      </w:pPr>
      <w:hyperlink r:id="rId67" w:history="1">
        <w:r w:rsidR="00B5557E" w:rsidRPr="00470388">
          <w:rPr>
            <w:rStyle w:val="Hyperlink"/>
            <w:rFonts w:asciiTheme="minorHAnsi" w:hAnsiTheme="minorHAnsi" w:cstheme="minorHAnsi"/>
          </w:rPr>
          <w:t>nbobb@keglerbrown.com</w:t>
        </w:r>
      </w:hyperlink>
    </w:p>
    <w:p w14:paraId="0637BDB0" w14:textId="77777777" w:rsidR="00B5557E" w:rsidRDefault="003873AB" w:rsidP="00B5557E">
      <w:pPr>
        <w:ind w:left="2880"/>
        <w:rPr>
          <w:rFonts w:asciiTheme="minorHAnsi" w:hAnsiTheme="minorHAnsi" w:cstheme="minorHAnsi"/>
        </w:rPr>
      </w:pPr>
      <w:hyperlink r:id="rId68" w:history="1">
        <w:r w:rsidR="00B5557E" w:rsidRPr="00470388">
          <w:rPr>
            <w:rStyle w:val="Hyperlink"/>
            <w:rFonts w:asciiTheme="minorHAnsi" w:hAnsiTheme="minorHAnsi" w:cstheme="minorHAnsi"/>
          </w:rPr>
          <w:t>little@litohio.com</w:t>
        </w:r>
      </w:hyperlink>
    </w:p>
    <w:p w14:paraId="2374B73F" w14:textId="77777777" w:rsidR="00B5557E" w:rsidRDefault="003873AB" w:rsidP="00B5557E">
      <w:pPr>
        <w:ind w:left="2880"/>
        <w:rPr>
          <w:rFonts w:asciiTheme="minorHAnsi" w:hAnsiTheme="minorHAnsi" w:cstheme="minorHAnsi"/>
        </w:rPr>
      </w:pPr>
      <w:hyperlink r:id="rId69" w:history="1">
        <w:r w:rsidR="00B5557E" w:rsidRPr="00470388">
          <w:rPr>
            <w:rStyle w:val="Hyperlink"/>
            <w:rFonts w:asciiTheme="minorHAnsi" w:hAnsiTheme="minorHAnsi" w:cstheme="minorHAnsi"/>
          </w:rPr>
          <w:t>hogan@litohio.com</w:t>
        </w:r>
      </w:hyperlink>
    </w:p>
    <w:p w14:paraId="4FA6A91A" w14:textId="77777777" w:rsidR="00B5557E" w:rsidRDefault="003873AB" w:rsidP="00B5557E">
      <w:pPr>
        <w:ind w:left="2880"/>
        <w:rPr>
          <w:rFonts w:asciiTheme="minorHAnsi" w:hAnsiTheme="minorHAnsi" w:cstheme="minorHAnsi"/>
        </w:rPr>
      </w:pPr>
      <w:hyperlink r:id="rId70" w:history="1">
        <w:r w:rsidR="00B5557E" w:rsidRPr="00470388">
          <w:rPr>
            <w:rStyle w:val="Hyperlink"/>
            <w:rFonts w:asciiTheme="minorHAnsi" w:hAnsiTheme="minorHAnsi" w:cstheme="minorHAnsi"/>
          </w:rPr>
          <w:t>ktreadway@oneenergyllc.com</w:t>
        </w:r>
      </w:hyperlink>
    </w:p>
    <w:p w14:paraId="47B233A5" w14:textId="77777777" w:rsidR="00B5557E" w:rsidRDefault="003873AB" w:rsidP="00B5557E">
      <w:pPr>
        <w:ind w:left="2880"/>
        <w:rPr>
          <w:rFonts w:asciiTheme="minorHAnsi" w:hAnsiTheme="minorHAnsi" w:cstheme="minorHAnsi"/>
        </w:rPr>
      </w:pPr>
      <w:hyperlink r:id="rId71" w:history="1">
        <w:r w:rsidR="00B5557E" w:rsidRPr="00470388">
          <w:rPr>
            <w:rStyle w:val="Hyperlink"/>
            <w:rFonts w:asciiTheme="minorHAnsi" w:hAnsiTheme="minorHAnsi" w:cstheme="minorHAnsi"/>
          </w:rPr>
          <w:t>jdunn@oneenergyllc.com</w:t>
        </w:r>
      </w:hyperlink>
    </w:p>
    <w:p w14:paraId="1A741BAF" w14:textId="77777777" w:rsidR="00B5557E" w:rsidRDefault="003873AB" w:rsidP="00B5557E">
      <w:pPr>
        <w:ind w:left="2880"/>
        <w:rPr>
          <w:rFonts w:asciiTheme="minorHAnsi" w:hAnsiTheme="minorHAnsi" w:cstheme="minorHAnsi"/>
        </w:rPr>
      </w:pPr>
      <w:hyperlink r:id="rId72" w:history="1">
        <w:r w:rsidR="00B5557E" w:rsidRPr="00470388">
          <w:rPr>
            <w:rStyle w:val="Hyperlink"/>
            <w:rFonts w:asciiTheme="minorHAnsi" w:hAnsiTheme="minorHAnsi" w:cstheme="minorHAnsi"/>
          </w:rPr>
          <w:t>mpritchard@mcneeslaw.com</w:t>
        </w:r>
      </w:hyperlink>
    </w:p>
    <w:p w14:paraId="7356BAC6" w14:textId="77777777" w:rsidR="00B5557E" w:rsidRDefault="003873AB" w:rsidP="00B5557E">
      <w:pPr>
        <w:ind w:left="2880"/>
        <w:rPr>
          <w:rFonts w:asciiTheme="minorHAnsi" w:hAnsiTheme="minorHAnsi" w:cstheme="minorHAnsi"/>
        </w:rPr>
      </w:pPr>
      <w:hyperlink r:id="rId73" w:history="1">
        <w:r w:rsidR="00B5557E" w:rsidRPr="00470388">
          <w:rPr>
            <w:rStyle w:val="Hyperlink"/>
            <w:rFonts w:asciiTheme="minorHAnsi" w:hAnsiTheme="minorHAnsi" w:cstheme="minorHAnsi"/>
          </w:rPr>
          <w:t>awalke@mcneeslaw.com</w:t>
        </w:r>
      </w:hyperlink>
    </w:p>
    <w:p w14:paraId="61483297" w14:textId="77777777" w:rsidR="00B5557E" w:rsidRDefault="003873AB" w:rsidP="00B5557E">
      <w:pPr>
        <w:ind w:left="2880"/>
        <w:rPr>
          <w:rFonts w:asciiTheme="minorHAnsi" w:hAnsiTheme="minorHAnsi" w:cstheme="minorHAnsi"/>
        </w:rPr>
      </w:pPr>
      <w:hyperlink r:id="rId74" w:history="1">
        <w:r w:rsidR="00B5557E" w:rsidRPr="00470388">
          <w:rPr>
            <w:rStyle w:val="Hyperlink"/>
            <w:rFonts w:asciiTheme="minorHAnsi" w:hAnsiTheme="minorHAnsi" w:cstheme="minorHAnsi"/>
          </w:rPr>
          <w:t>tlong@mcneeslaw.com</w:t>
        </w:r>
      </w:hyperlink>
    </w:p>
    <w:p w14:paraId="29C9C404" w14:textId="77777777" w:rsidR="00B5557E" w:rsidRDefault="003873AB" w:rsidP="00B5557E">
      <w:pPr>
        <w:ind w:left="2880"/>
        <w:rPr>
          <w:rFonts w:asciiTheme="minorHAnsi" w:hAnsiTheme="minorHAnsi" w:cstheme="minorHAnsi"/>
        </w:rPr>
      </w:pPr>
      <w:hyperlink r:id="rId75" w:history="1">
        <w:r w:rsidR="00B5557E" w:rsidRPr="00470388">
          <w:rPr>
            <w:rStyle w:val="Hyperlink"/>
            <w:rFonts w:asciiTheme="minorHAnsi" w:hAnsiTheme="minorHAnsi" w:cstheme="minorHAnsi"/>
          </w:rPr>
          <w:t>eowoyt@vorys.com</w:t>
        </w:r>
      </w:hyperlink>
    </w:p>
    <w:p w14:paraId="3C719C47" w14:textId="77777777" w:rsidR="00B5557E" w:rsidRDefault="003873AB" w:rsidP="00B5557E">
      <w:pPr>
        <w:ind w:left="2880"/>
        <w:rPr>
          <w:rFonts w:asciiTheme="minorHAnsi" w:hAnsiTheme="minorHAnsi" w:cstheme="minorHAnsi"/>
        </w:rPr>
      </w:pPr>
      <w:hyperlink r:id="rId76" w:history="1">
        <w:r w:rsidR="00B5557E" w:rsidRPr="00470388">
          <w:rPr>
            <w:rStyle w:val="Hyperlink"/>
            <w:rFonts w:asciiTheme="minorHAnsi" w:hAnsiTheme="minorHAnsi" w:cstheme="minorHAnsi"/>
          </w:rPr>
          <w:t>todd.schafer@outlook.com</w:t>
        </w:r>
      </w:hyperlink>
    </w:p>
    <w:p w14:paraId="6D852CED" w14:textId="77777777" w:rsidR="00B5557E" w:rsidRDefault="003873AB" w:rsidP="00B5557E">
      <w:pPr>
        <w:ind w:left="2880"/>
        <w:rPr>
          <w:rFonts w:asciiTheme="minorHAnsi" w:hAnsiTheme="minorHAnsi" w:cstheme="minorHAnsi"/>
        </w:rPr>
      </w:pPr>
      <w:hyperlink r:id="rId77" w:history="1">
        <w:r w:rsidR="00B5557E" w:rsidRPr="00470388">
          <w:rPr>
            <w:rStyle w:val="Hyperlink"/>
            <w:rFonts w:asciiTheme="minorHAnsi" w:hAnsiTheme="minorHAnsi" w:cstheme="minorHAnsi"/>
          </w:rPr>
          <w:t>cgrundmann@spilmanlaw.com</w:t>
        </w:r>
      </w:hyperlink>
    </w:p>
    <w:p w14:paraId="291977D6" w14:textId="77777777" w:rsidR="00B5557E" w:rsidRDefault="003873AB" w:rsidP="00B5557E">
      <w:pPr>
        <w:ind w:left="2880"/>
        <w:rPr>
          <w:rFonts w:asciiTheme="minorHAnsi" w:hAnsiTheme="minorHAnsi" w:cstheme="minorHAnsi"/>
        </w:rPr>
      </w:pPr>
      <w:hyperlink r:id="rId78" w:history="1">
        <w:r w:rsidR="00B5557E" w:rsidRPr="00470388">
          <w:rPr>
            <w:rStyle w:val="Hyperlink"/>
            <w:rFonts w:asciiTheme="minorHAnsi" w:hAnsiTheme="minorHAnsi" w:cstheme="minorHAnsi"/>
          </w:rPr>
          <w:t>dwilliamson@spilmanlaw.com</w:t>
        </w:r>
      </w:hyperlink>
    </w:p>
    <w:p w14:paraId="51170A68" w14:textId="77777777" w:rsidR="00B5557E" w:rsidRDefault="003873AB" w:rsidP="00B5557E">
      <w:pPr>
        <w:ind w:left="2880"/>
        <w:rPr>
          <w:rFonts w:asciiTheme="minorHAnsi" w:hAnsiTheme="minorHAnsi" w:cstheme="minorHAnsi"/>
        </w:rPr>
      </w:pPr>
      <w:hyperlink r:id="rId79" w:history="1">
        <w:r w:rsidR="00B5557E" w:rsidRPr="00470388">
          <w:rPr>
            <w:rStyle w:val="Hyperlink"/>
            <w:rFonts w:asciiTheme="minorHAnsi" w:hAnsiTheme="minorHAnsi" w:cstheme="minorHAnsi"/>
          </w:rPr>
          <w:t>slee@spilmanlaw.com</w:t>
        </w:r>
      </w:hyperlink>
    </w:p>
    <w:p w14:paraId="7BF7246D" w14:textId="77777777" w:rsidR="00B5557E" w:rsidRDefault="003873AB" w:rsidP="00B5557E">
      <w:pPr>
        <w:ind w:left="2880"/>
        <w:rPr>
          <w:rFonts w:asciiTheme="minorHAnsi" w:hAnsiTheme="minorHAnsi" w:cstheme="minorHAnsi"/>
        </w:rPr>
      </w:pPr>
      <w:hyperlink r:id="rId80" w:history="1">
        <w:r w:rsidR="00B5557E" w:rsidRPr="00470388">
          <w:rPr>
            <w:rStyle w:val="Hyperlink"/>
            <w:rFonts w:asciiTheme="minorHAnsi" w:hAnsiTheme="minorHAnsi" w:cstheme="minorHAnsi"/>
          </w:rPr>
          <w:t>Alex.Kronauer@walmart.com</w:t>
        </w:r>
      </w:hyperlink>
    </w:p>
    <w:p w14:paraId="533D51F9" w14:textId="77777777" w:rsidR="00B5557E" w:rsidRDefault="003873AB" w:rsidP="00B5557E">
      <w:pPr>
        <w:ind w:left="2880"/>
        <w:rPr>
          <w:rFonts w:asciiTheme="minorHAnsi" w:hAnsiTheme="minorHAnsi" w:cstheme="minorHAnsi"/>
        </w:rPr>
      </w:pPr>
      <w:hyperlink r:id="rId81" w:history="1">
        <w:r w:rsidR="00B5557E" w:rsidRPr="00A22451">
          <w:rPr>
            <w:rStyle w:val="Hyperlink"/>
            <w:rFonts w:asciiTheme="minorHAnsi" w:hAnsiTheme="minorHAnsi" w:cstheme="minorHAnsi"/>
          </w:rPr>
          <w:t>junger@spilmanlaw.com</w:t>
        </w:r>
      </w:hyperlink>
    </w:p>
    <w:p w14:paraId="7DA74E78" w14:textId="77777777" w:rsidR="00B5557E" w:rsidRPr="00E55B88" w:rsidRDefault="003873AB" w:rsidP="00B5557E">
      <w:pPr>
        <w:ind w:left="2880"/>
        <w:rPr>
          <w:rFonts w:asciiTheme="minorHAnsi" w:hAnsiTheme="minorHAnsi" w:cstheme="minorHAnsi"/>
        </w:rPr>
      </w:pPr>
      <w:hyperlink r:id="rId82" w:history="1">
        <w:r w:rsidR="00B5557E" w:rsidRPr="00E55B88">
          <w:rPr>
            <w:rStyle w:val="Hyperlink"/>
            <w:rFonts w:asciiTheme="minorHAnsi" w:hAnsiTheme="minorHAnsi" w:cstheme="minorHAnsi"/>
          </w:rPr>
          <w:t>megan.addison@puco.ohio.gov</w:t>
        </w:r>
      </w:hyperlink>
    </w:p>
    <w:p w14:paraId="167A3E05" w14:textId="77777777" w:rsidR="00B5557E" w:rsidRPr="00E55B88" w:rsidRDefault="003873AB" w:rsidP="00B5557E">
      <w:pPr>
        <w:ind w:left="2880"/>
        <w:rPr>
          <w:rFonts w:asciiTheme="minorHAnsi" w:hAnsiTheme="minorHAnsi" w:cstheme="minorHAnsi"/>
        </w:rPr>
      </w:pPr>
      <w:hyperlink r:id="rId83" w:history="1">
        <w:r w:rsidR="00B5557E" w:rsidRPr="00E55B88">
          <w:rPr>
            <w:rStyle w:val="Hyperlink"/>
            <w:rFonts w:asciiTheme="minorHAnsi" w:hAnsiTheme="minorHAnsi" w:cstheme="minorHAnsi"/>
          </w:rPr>
          <w:t>greg.price@puco.ohio.gov</w:t>
        </w:r>
      </w:hyperlink>
    </w:p>
    <w:p w14:paraId="6AA9F2FF" w14:textId="77777777" w:rsidR="00B5557E" w:rsidRPr="00F72C67" w:rsidRDefault="003873AB" w:rsidP="00B5557E">
      <w:pPr>
        <w:ind w:left="2880"/>
        <w:rPr>
          <w:rFonts w:asciiTheme="minorHAnsi" w:hAnsiTheme="minorHAnsi" w:cstheme="minorHAnsi"/>
        </w:rPr>
      </w:pPr>
      <w:hyperlink r:id="rId84" w:history="1">
        <w:r w:rsidR="00B5557E" w:rsidRPr="00E55B88">
          <w:rPr>
            <w:rStyle w:val="Hyperlink"/>
            <w:rFonts w:asciiTheme="minorHAnsi" w:hAnsiTheme="minorHAnsi" w:cstheme="minorHAnsi"/>
          </w:rPr>
          <w:t>jacqueline.st.john@puco.ohio.gov</w:t>
        </w:r>
      </w:hyperlink>
    </w:p>
    <w:bookmarkEnd w:id="52"/>
    <w:p w14:paraId="14DC0EC9" w14:textId="77777777" w:rsidR="00B5557E" w:rsidRPr="00F72C67" w:rsidRDefault="00B5557E" w:rsidP="00B5557E">
      <w:pPr>
        <w:ind w:left="2880"/>
        <w:rPr>
          <w:rFonts w:asciiTheme="minorHAnsi" w:hAnsiTheme="minorHAnsi" w:cstheme="minorHAnsi"/>
        </w:rPr>
      </w:pPr>
    </w:p>
    <w:sectPr w:rsidR="00B5557E" w:rsidRPr="00F72C67" w:rsidSect="00362B15">
      <w:footerReference w:type="default" r:id="rId85"/>
      <w:pgSz w:w="12240" w:h="15840" w:code="1"/>
      <w:pgMar w:top="1440" w:right="1440" w:bottom="1440" w:left="144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0F2E" w14:textId="77777777" w:rsidR="00362B15" w:rsidRDefault="00362B15">
      <w:r>
        <w:separator/>
      </w:r>
    </w:p>
  </w:endnote>
  <w:endnote w:type="continuationSeparator" w:id="0">
    <w:p w14:paraId="2561935A" w14:textId="77777777" w:rsidR="00362B15" w:rsidRDefault="0036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BB27" w14:textId="77777777" w:rsidR="00C92417" w:rsidRDefault="00C92417" w:rsidP="00676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09C96" w14:textId="77777777" w:rsidR="00C92417" w:rsidRDefault="00C92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09E6" w14:textId="77777777" w:rsidR="00C92417" w:rsidRDefault="00C92417" w:rsidP="00676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C974D3" w14:textId="77777777" w:rsidR="00C92417" w:rsidRDefault="00C92417">
    <w:pPr>
      <w:pStyle w:val="Footer"/>
      <w:framePr w:wrap="around" w:vAnchor="text" w:hAnchor="margin" w:xAlign="right" w:y="1"/>
      <w:ind w:right="360"/>
      <w:jc w:val="center"/>
      <w:rPr>
        <w:rStyle w:val="PageNumber"/>
      </w:rPr>
    </w:pPr>
  </w:p>
  <w:p w14:paraId="6F93AC4C" w14:textId="77777777" w:rsidR="00C92417" w:rsidRDefault="00C9241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50B9" w14:textId="77777777" w:rsidR="00C92417" w:rsidRDefault="00C92417">
    <w:pPr>
      <w:pStyle w:val="Footer"/>
      <w:framePr w:wrap="around" w:vAnchor="text" w:hAnchor="margin" w:xAlign="right" w:y="1"/>
      <w:ind w:right="360"/>
      <w:jc w:val="center"/>
      <w:rPr>
        <w:rStyle w:val="PageNumber"/>
      </w:rPr>
    </w:pPr>
  </w:p>
  <w:p w14:paraId="286B81DB" w14:textId="77777777" w:rsidR="00C92417" w:rsidRDefault="00C92417">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2FBC" w14:textId="77777777" w:rsidR="00C92417" w:rsidRDefault="00C92417">
    <w:pPr>
      <w:pStyle w:val="Footer"/>
      <w:framePr w:wrap="around" w:vAnchor="text" w:hAnchor="margin" w:xAlign="right" w:y="1"/>
      <w:ind w:right="360"/>
      <w:jc w:val="center"/>
      <w:rPr>
        <w:rStyle w:val="PageNumber"/>
      </w:rPr>
    </w:pPr>
  </w:p>
  <w:p w14:paraId="757E0102" w14:textId="77777777" w:rsidR="00C92417" w:rsidRPr="00AE732E" w:rsidRDefault="00C92417" w:rsidP="00E15533">
    <w:pPr>
      <w:pStyle w:val="Footer"/>
      <w:ind w:right="360"/>
      <w:jc w:val="center"/>
      <w:rPr>
        <w:rFonts w:ascii="Calibri" w:hAnsi="Calibri"/>
      </w:rPr>
    </w:pPr>
    <w:r w:rsidRPr="00AE732E">
      <w:rPr>
        <w:rStyle w:val="PageNumber"/>
        <w:rFonts w:ascii="Calibri" w:hAnsi="Calibri"/>
      </w:rPr>
      <w:fldChar w:fldCharType="begin"/>
    </w:r>
    <w:r w:rsidRPr="00AE732E">
      <w:rPr>
        <w:rStyle w:val="PageNumber"/>
        <w:rFonts w:ascii="Calibri" w:hAnsi="Calibri"/>
      </w:rPr>
      <w:instrText xml:space="preserve"> PAGE </w:instrText>
    </w:r>
    <w:r w:rsidRPr="00AE732E">
      <w:rPr>
        <w:rStyle w:val="PageNumber"/>
        <w:rFonts w:ascii="Calibri" w:hAnsi="Calibri"/>
      </w:rPr>
      <w:fldChar w:fldCharType="separate"/>
    </w:r>
    <w:r w:rsidR="001A641B">
      <w:rPr>
        <w:rStyle w:val="PageNumber"/>
        <w:rFonts w:ascii="Calibri" w:hAnsi="Calibri"/>
        <w:noProof/>
      </w:rPr>
      <w:t>29</w:t>
    </w:r>
    <w:r w:rsidRPr="00AE732E">
      <w:rPr>
        <w:rStyle w:val="PageNumber"/>
        <w:rFonts w:ascii="Calibri" w:hAnsi="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DF4D" w14:textId="77777777" w:rsidR="0097133C" w:rsidRDefault="0097133C">
    <w:pPr>
      <w:pStyle w:val="Footer"/>
      <w:framePr w:wrap="around" w:vAnchor="text" w:hAnchor="margin" w:xAlign="right" w:y="1"/>
      <w:ind w:right="360"/>
      <w:jc w:val="center"/>
      <w:rPr>
        <w:rStyle w:val="PageNumber"/>
      </w:rPr>
    </w:pPr>
  </w:p>
  <w:p w14:paraId="16214399" w14:textId="77777777" w:rsidR="0097133C" w:rsidRPr="00A3511B" w:rsidRDefault="004C404A" w:rsidP="00A3511B">
    <w:pPr>
      <w:pStyle w:val="Footer"/>
      <w:ind w:right="360"/>
      <w:jc w:val="center"/>
      <w:rPr>
        <w:rFonts w:ascii="Calibri" w:hAnsi="Calibri"/>
      </w:rPr>
    </w:pPr>
    <w:r w:rsidRPr="00A3511B">
      <w:rPr>
        <w:rStyle w:val="PageNumber"/>
        <w:rFonts w:ascii="Calibri" w:hAnsi="Calibri"/>
      </w:rPr>
      <w:fldChar w:fldCharType="begin"/>
    </w:r>
    <w:r w:rsidRPr="00A3511B">
      <w:rPr>
        <w:rStyle w:val="PageNumber"/>
        <w:rFonts w:ascii="Calibri" w:hAnsi="Calibri"/>
      </w:rPr>
      <w:instrText xml:space="preserve"> PAGE </w:instrText>
    </w:r>
    <w:r w:rsidRPr="00A3511B">
      <w:rPr>
        <w:rStyle w:val="PageNumber"/>
        <w:rFonts w:ascii="Calibri" w:hAnsi="Calibri"/>
      </w:rPr>
      <w:fldChar w:fldCharType="separate"/>
    </w:r>
    <w:r>
      <w:rPr>
        <w:rStyle w:val="PageNumber"/>
        <w:rFonts w:ascii="Calibri" w:hAnsi="Calibri"/>
        <w:noProof/>
      </w:rPr>
      <w:t>4</w:t>
    </w:r>
    <w:r w:rsidRPr="00A3511B">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B464" w14:textId="77777777" w:rsidR="00362B15" w:rsidRDefault="00362B15">
      <w:r>
        <w:separator/>
      </w:r>
    </w:p>
  </w:footnote>
  <w:footnote w:type="continuationSeparator" w:id="0">
    <w:p w14:paraId="5D25BF41" w14:textId="77777777" w:rsidR="00362B15" w:rsidRDefault="00362B15">
      <w:r>
        <w:continuationSeparator/>
      </w:r>
    </w:p>
  </w:footnote>
  <w:footnote w:id="1">
    <w:p w14:paraId="1AFF467F" w14:textId="0F63A231" w:rsidR="005C37F7" w:rsidRDefault="005C37F7">
      <w:pPr>
        <w:pStyle w:val="FootnoteText"/>
      </w:pPr>
      <w:r>
        <w:rPr>
          <w:rStyle w:val="FootnoteReference"/>
        </w:rPr>
        <w:footnoteRef/>
      </w:r>
      <w:r>
        <w:t xml:space="preserve"> </w:t>
      </w:r>
      <w:r w:rsidRPr="005C37F7">
        <w:rPr>
          <w:i/>
          <w:iCs/>
        </w:rPr>
        <w:t>See</w:t>
      </w:r>
      <w:r>
        <w:t xml:space="preserve"> Direct Testimony of Brandon S. McMillen</w:t>
      </w:r>
      <w:r w:rsidR="00206A42">
        <w:t xml:space="preserve"> on Behalf of Ohio Edison Company, The Cleveland Electric Illuminating Company, and </w:t>
      </w:r>
      <w:r w:rsidR="00FC1AA8">
        <w:t xml:space="preserve">The </w:t>
      </w:r>
      <w:r w:rsidR="00206A42">
        <w:t>Toledo Edison Company</w:t>
      </w:r>
      <w:r>
        <w:t>, Companies Ex. 3 (“McMillen Testimony”) at Attachment BSM-1 (Rider ELR for each of the FirstEnergy Ohio utilities showing FirstEnergy’s proposed changes in redline).</w:t>
      </w:r>
    </w:p>
  </w:footnote>
  <w:footnote w:id="2">
    <w:p w14:paraId="01C3F8AA" w14:textId="099A5DBD" w:rsidR="00D95BD3" w:rsidRPr="00CC1256" w:rsidRDefault="00D95BD3">
      <w:pPr>
        <w:pStyle w:val="FootnoteText"/>
      </w:pPr>
      <w:r w:rsidRPr="00CC1256">
        <w:rPr>
          <w:rStyle w:val="FootnoteReference"/>
          <w:rFonts w:cs="Calibri"/>
        </w:rPr>
        <w:footnoteRef/>
      </w:r>
      <w:r w:rsidRPr="00CC1256">
        <w:rPr>
          <w:rFonts w:cs="Calibri"/>
        </w:rPr>
        <w:t xml:space="preserve"> </w:t>
      </w:r>
      <w:r w:rsidR="007F2F1E">
        <w:rPr>
          <w:rFonts w:cs="Calibri"/>
        </w:rPr>
        <w:t>Direct Testimony of Dennis W. Goins</w:t>
      </w:r>
      <w:r w:rsidR="000078DC">
        <w:rPr>
          <w:rFonts w:cs="Calibri"/>
        </w:rPr>
        <w:t xml:space="preserve">, </w:t>
      </w:r>
      <w:r w:rsidR="000078DC" w:rsidRPr="000078DC">
        <w:rPr>
          <w:rFonts w:cs="Calibri"/>
          <w:smallCaps/>
        </w:rPr>
        <w:t>P</w:t>
      </w:r>
      <w:r w:rsidR="000078DC">
        <w:rPr>
          <w:rFonts w:cs="Calibri"/>
          <w:smallCaps/>
        </w:rPr>
        <w:t>h</w:t>
      </w:r>
      <w:r w:rsidR="000078DC">
        <w:rPr>
          <w:rFonts w:cs="Calibri"/>
        </w:rPr>
        <w:t>.D.</w:t>
      </w:r>
      <w:r w:rsidR="00206A42">
        <w:rPr>
          <w:rFonts w:cs="Calibri"/>
        </w:rPr>
        <w:t xml:space="preserve"> on behalf of Nucor Steel Marion, Inc.</w:t>
      </w:r>
      <w:r w:rsidR="007F2F1E">
        <w:rPr>
          <w:rFonts w:cs="Calibri"/>
        </w:rPr>
        <w:t xml:space="preserve">, Nucor Ex. </w:t>
      </w:r>
      <w:r w:rsidRPr="00CC1256">
        <w:rPr>
          <w:rFonts w:cs="Calibri"/>
        </w:rPr>
        <w:t xml:space="preserve">1 </w:t>
      </w:r>
      <w:r w:rsidR="007F2F1E">
        <w:rPr>
          <w:rFonts w:cs="Calibri"/>
        </w:rPr>
        <w:t>(“</w:t>
      </w:r>
      <w:r w:rsidRPr="00CC1256">
        <w:rPr>
          <w:rFonts w:cs="Calibri"/>
        </w:rPr>
        <w:t>Goins Testimony</w:t>
      </w:r>
      <w:r w:rsidR="007F2F1E">
        <w:rPr>
          <w:rFonts w:cs="Calibri"/>
        </w:rPr>
        <w:t>”)</w:t>
      </w:r>
      <w:r w:rsidRPr="00CC1256">
        <w:rPr>
          <w:rFonts w:cs="Calibri"/>
        </w:rPr>
        <w:t xml:space="preserve"> at 6.</w:t>
      </w:r>
    </w:p>
  </w:footnote>
  <w:footnote w:id="3">
    <w:p w14:paraId="17FB7398" w14:textId="5EB56CA6" w:rsidR="00D95BD3" w:rsidRPr="001F190E" w:rsidRDefault="00D95BD3">
      <w:pPr>
        <w:pStyle w:val="FootnoteText"/>
        <w:rPr>
          <w:rFonts w:cs="Calibri"/>
        </w:rPr>
      </w:pPr>
      <w:r w:rsidRPr="00CC1256">
        <w:rPr>
          <w:rStyle w:val="FootnoteReference"/>
          <w:rFonts w:cs="Calibri"/>
        </w:rPr>
        <w:footnoteRef/>
      </w:r>
      <w:r w:rsidRPr="00CC1256">
        <w:rPr>
          <w:rFonts w:cs="Calibri"/>
        </w:rPr>
        <w:t xml:space="preserve"> </w:t>
      </w:r>
      <w:r w:rsidR="001F190E">
        <w:rPr>
          <w:rFonts w:cs="Calibri"/>
        </w:rPr>
        <w:t>McMillen Testimony at Attachment BSM-1; Goins Testimony at 6.</w:t>
      </w:r>
    </w:p>
  </w:footnote>
  <w:footnote w:id="4">
    <w:p w14:paraId="18197E6F" w14:textId="74BE1CFF" w:rsidR="00DF642D" w:rsidRPr="00CC1256" w:rsidRDefault="00DF642D">
      <w:pPr>
        <w:pStyle w:val="FootnoteText"/>
        <w:rPr>
          <w:rFonts w:cs="Calibri"/>
        </w:rPr>
      </w:pPr>
      <w:r w:rsidRPr="00CC1256">
        <w:rPr>
          <w:rStyle w:val="FootnoteReference"/>
          <w:rFonts w:cs="Calibri"/>
        </w:rPr>
        <w:footnoteRef/>
      </w:r>
      <w:r w:rsidR="000B09C7">
        <w:rPr>
          <w:rFonts w:cs="Calibri"/>
        </w:rPr>
        <w:t xml:space="preserve"> McMillen Testimony at Attachment BSM-1; Goins Testimony at 6.</w:t>
      </w:r>
    </w:p>
  </w:footnote>
  <w:footnote w:id="5">
    <w:p w14:paraId="67224211" w14:textId="409163D6" w:rsidR="00A610F8" w:rsidRDefault="00A610F8">
      <w:pPr>
        <w:pStyle w:val="FootnoteText"/>
      </w:pPr>
      <w:r>
        <w:rPr>
          <w:rStyle w:val="FootnoteReference"/>
        </w:rPr>
        <w:footnoteRef/>
      </w:r>
      <w:r>
        <w:t xml:space="preserve"> Tr. Vol.</w:t>
      </w:r>
      <w:r w:rsidR="00796ACD">
        <w:t xml:space="preserve"> III</w:t>
      </w:r>
      <w:r>
        <w:t xml:space="preserve"> at</w:t>
      </w:r>
      <w:r w:rsidR="00796ACD">
        <w:t xml:space="preserve"> 541</w:t>
      </w:r>
      <w:r>
        <w:t>.</w:t>
      </w:r>
    </w:p>
  </w:footnote>
  <w:footnote w:id="6">
    <w:p w14:paraId="3F3A4930" w14:textId="3ECBD6C8" w:rsidR="00162C5E" w:rsidRPr="00CC1256" w:rsidRDefault="00162C5E">
      <w:pPr>
        <w:pStyle w:val="FootnoteText"/>
        <w:rPr>
          <w:rFonts w:cs="Calibri"/>
        </w:rPr>
      </w:pPr>
      <w:r w:rsidRPr="00CC1256">
        <w:rPr>
          <w:rStyle w:val="FootnoteReference"/>
          <w:rFonts w:cs="Calibri"/>
        </w:rPr>
        <w:footnoteRef/>
      </w:r>
      <w:r w:rsidRPr="00CC1256">
        <w:rPr>
          <w:rFonts w:cs="Calibri"/>
        </w:rPr>
        <w:t xml:space="preserve"> </w:t>
      </w:r>
      <w:r w:rsidR="00697682">
        <w:rPr>
          <w:rFonts w:cs="Calibri"/>
        </w:rPr>
        <w:t xml:space="preserve">Tr. Vol. II at 346; </w:t>
      </w:r>
      <w:r w:rsidRPr="00CC1256">
        <w:rPr>
          <w:rFonts w:cs="Calibri"/>
        </w:rPr>
        <w:t>Tr. Vol.</w:t>
      </w:r>
      <w:r w:rsidR="00B56E22">
        <w:rPr>
          <w:rFonts w:cs="Calibri"/>
        </w:rPr>
        <w:t xml:space="preserve"> IX</w:t>
      </w:r>
      <w:r w:rsidRPr="00CC1256">
        <w:rPr>
          <w:rFonts w:cs="Calibri"/>
        </w:rPr>
        <w:t xml:space="preserve"> at</w:t>
      </w:r>
      <w:r w:rsidR="00B56E22">
        <w:rPr>
          <w:rFonts w:cs="Calibri"/>
        </w:rPr>
        <w:t xml:space="preserve"> 1761</w:t>
      </w:r>
      <w:r w:rsidRPr="00CC1256">
        <w:rPr>
          <w:rFonts w:cs="Calibri"/>
        </w:rPr>
        <w:t>.</w:t>
      </w:r>
    </w:p>
  </w:footnote>
  <w:footnote w:id="7">
    <w:p w14:paraId="300F295D" w14:textId="001C5D9D" w:rsidR="00C40039" w:rsidRPr="00CC1256" w:rsidRDefault="00C40039">
      <w:pPr>
        <w:pStyle w:val="FootnoteText"/>
        <w:rPr>
          <w:rFonts w:cs="Calibri"/>
        </w:rPr>
      </w:pPr>
      <w:r w:rsidRPr="00CC1256">
        <w:rPr>
          <w:rStyle w:val="FootnoteReference"/>
          <w:rFonts w:cs="Calibri"/>
        </w:rPr>
        <w:footnoteRef/>
      </w:r>
      <w:r w:rsidRPr="00CC1256">
        <w:rPr>
          <w:rFonts w:cs="Calibri"/>
        </w:rPr>
        <w:t xml:space="preserve"> </w:t>
      </w:r>
      <w:r w:rsidR="008052F6">
        <w:rPr>
          <w:rFonts w:cs="Calibri"/>
        </w:rPr>
        <w:t xml:space="preserve">McMillen Testimony at Attachment BSM-1; Goins Testimony </w:t>
      </w:r>
      <w:r w:rsidRPr="00CC1256">
        <w:rPr>
          <w:rFonts w:cs="Calibri"/>
        </w:rPr>
        <w:t>at 6-7.</w:t>
      </w:r>
    </w:p>
  </w:footnote>
  <w:footnote w:id="8">
    <w:p w14:paraId="36955D5C" w14:textId="6B290D63" w:rsidR="00D676A0" w:rsidRPr="00CC1256" w:rsidRDefault="00D676A0">
      <w:pPr>
        <w:pStyle w:val="FootnoteText"/>
        <w:rPr>
          <w:rFonts w:cs="Calibri"/>
        </w:rPr>
      </w:pPr>
      <w:r w:rsidRPr="00CC1256">
        <w:rPr>
          <w:rStyle w:val="FootnoteReference"/>
          <w:rFonts w:cs="Calibri"/>
        </w:rPr>
        <w:footnoteRef/>
      </w:r>
      <w:r w:rsidRPr="00CC1256">
        <w:rPr>
          <w:rFonts w:cs="Calibri"/>
        </w:rPr>
        <w:t xml:space="preserve"> </w:t>
      </w:r>
      <w:r w:rsidR="000B09C7">
        <w:rPr>
          <w:rFonts w:cs="Calibri"/>
        </w:rPr>
        <w:t>McMillen Testimony at Attachment BSM-1; Goins Testimony</w:t>
      </w:r>
      <w:r w:rsidR="00D92E18">
        <w:rPr>
          <w:rFonts w:cs="Calibri"/>
        </w:rPr>
        <w:t xml:space="preserve"> </w:t>
      </w:r>
      <w:r w:rsidR="008052F6">
        <w:rPr>
          <w:rFonts w:cs="Calibri"/>
        </w:rPr>
        <w:t>at 7.</w:t>
      </w:r>
    </w:p>
  </w:footnote>
  <w:footnote w:id="9">
    <w:p w14:paraId="7751F8D7" w14:textId="36A3862A" w:rsidR="00D676A0" w:rsidRPr="00CC1256" w:rsidRDefault="00D676A0">
      <w:pPr>
        <w:pStyle w:val="FootnoteText"/>
        <w:rPr>
          <w:rFonts w:cs="Calibri"/>
        </w:rPr>
      </w:pPr>
      <w:r w:rsidRPr="00CC1256">
        <w:rPr>
          <w:rStyle w:val="FootnoteReference"/>
          <w:rFonts w:cs="Calibri"/>
        </w:rPr>
        <w:footnoteRef/>
      </w:r>
      <w:r w:rsidRPr="00CC1256">
        <w:rPr>
          <w:rFonts w:cs="Calibri"/>
        </w:rPr>
        <w:t xml:space="preserve"> </w:t>
      </w:r>
      <w:r w:rsidR="000B09C7">
        <w:rPr>
          <w:rFonts w:cs="Calibri"/>
        </w:rPr>
        <w:t>McMillen Testimony at Attachment BSM-1; Goins Testimony at 7.</w:t>
      </w:r>
    </w:p>
  </w:footnote>
  <w:footnote w:id="10">
    <w:p w14:paraId="028A7628" w14:textId="248B02A0" w:rsidR="008C29DC" w:rsidRDefault="008C29DC">
      <w:pPr>
        <w:pStyle w:val="FootnoteText"/>
      </w:pPr>
      <w:r>
        <w:rPr>
          <w:rStyle w:val="FootnoteReference"/>
        </w:rPr>
        <w:footnoteRef/>
      </w:r>
      <w:r w:rsidR="00E62A1C">
        <w:rPr>
          <w:rFonts w:cs="Calibri"/>
        </w:rPr>
        <w:t xml:space="preserve"> </w:t>
      </w:r>
      <w:r w:rsidR="000B09C7">
        <w:rPr>
          <w:rFonts w:cs="Calibri"/>
        </w:rPr>
        <w:t>McMillen Testimony at Attachment BSM-1; Goins Testimony at 7.</w:t>
      </w:r>
    </w:p>
  </w:footnote>
  <w:footnote w:id="11">
    <w:p w14:paraId="4CD5073E" w14:textId="03F07CE2" w:rsidR="00726968" w:rsidRDefault="00726968">
      <w:pPr>
        <w:pStyle w:val="FootnoteText"/>
      </w:pPr>
      <w:r>
        <w:rPr>
          <w:rStyle w:val="FootnoteReference"/>
        </w:rPr>
        <w:footnoteRef/>
      </w:r>
      <w:r w:rsidR="00E62A1C">
        <w:rPr>
          <w:rFonts w:cs="Calibri"/>
        </w:rPr>
        <w:t xml:space="preserve"> </w:t>
      </w:r>
      <w:r w:rsidR="000B09C7">
        <w:rPr>
          <w:rFonts w:cs="Calibri"/>
        </w:rPr>
        <w:t>McMillen Testimony at Attachment BSM-1; Goins Testimony at 7.</w:t>
      </w:r>
    </w:p>
  </w:footnote>
  <w:footnote w:id="12">
    <w:p w14:paraId="7E9EA2E6" w14:textId="3BF3ABE4" w:rsidR="008D48BC" w:rsidRDefault="008D48BC">
      <w:pPr>
        <w:pStyle w:val="FootnoteText"/>
      </w:pPr>
      <w:r>
        <w:rPr>
          <w:rStyle w:val="FootnoteReference"/>
        </w:rPr>
        <w:footnoteRef/>
      </w:r>
      <w:r w:rsidR="00E62A1C">
        <w:rPr>
          <w:rFonts w:cs="Calibri"/>
        </w:rPr>
        <w:t xml:space="preserve"> </w:t>
      </w:r>
      <w:r w:rsidR="000B09C7">
        <w:rPr>
          <w:rFonts w:cs="Calibri"/>
        </w:rPr>
        <w:t>McMillen Testimony at Attachment BSM-1; Goins Testimony at 7.</w:t>
      </w:r>
    </w:p>
  </w:footnote>
  <w:footnote w:id="13">
    <w:p w14:paraId="5E31B8F0" w14:textId="6DFA3321" w:rsidR="008D48BC" w:rsidRDefault="008D48BC">
      <w:pPr>
        <w:pStyle w:val="FootnoteText"/>
      </w:pPr>
      <w:r>
        <w:rPr>
          <w:rStyle w:val="FootnoteReference"/>
        </w:rPr>
        <w:footnoteRef/>
      </w:r>
      <w:r>
        <w:t xml:space="preserve"> </w:t>
      </w:r>
      <w:r w:rsidRPr="00CC1256">
        <w:rPr>
          <w:rFonts w:cs="Calibri"/>
        </w:rPr>
        <w:t>Goins Testimony at 7.</w:t>
      </w:r>
    </w:p>
  </w:footnote>
  <w:footnote w:id="14">
    <w:p w14:paraId="5CA36DE2" w14:textId="5E62B6B4" w:rsidR="00A14FC8" w:rsidRDefault="00A14FC8">
      <w:pPr>
        <w:pStyle w:val="FootnoteText"/>
      </w:pPr>
      <w:r>
        <w:rPr>
          <w:rStyle w:val="FootnoteReference"/>
        </w:rPr>
        <w:footnoteRef/>
      </w:r>
      <w:r>
        <w:t xml:space="preserve"> Case No. 14-1297-EL-SSO, </w:t>
      </w:r>
      <w:r w:rsidR="00A95894" w:rsidRPr="00A95894">
        <w:rPr>
          <w:i/>
          <w:iCs/>
        </w:rPr>
        <w:t xml:space="preserve">In the Matter of the Application of Ohio Edison Company, The Cleveland Electric Illuminating Company, and </w:t>
      </w:r>
      <w:r w:rsidR="00F22AF6">
        <w:rPr>
          <w:i/>
          <w:iCs/>
        </w:rPr>
        <w:t>T</w:t>
      </w:r>
      <w:r w:rsidR="00F22AF6" w:rsidRPr="00A95894">
        <w:rPr>
          <w:i/>
          <w:iCs/>
        </w:rPr>
        <w:t xml:space="preserve">he </w:t>
      </w:r>
      <w:r w:rsidR="00A95894" w:rsidRPr="00A95894">
        <w:rPr>
          <w:i/>
          <w:iCs/>
        </w:rPr>
        <w:t>Toledo Edison Company for Authority to Provide for a Standard Service Offer Pursuant to R.C. § 4928.143 in the Form of an Electric Security Plan</w:t>
      </w:r>
      <w:r w:rsidR="00A95894">
        <w:t xml:space="preserve">, </w:t>
      </w:r>
      <w:r>
        <w:t>Opinion and Order at 94 (March 31, 2016).</w:t>
      </w:r>
    </w:p>
  </w:footnote>
  <w:footnote w:id="15">
    <w:p w14:paraId="2F5465EE" w14:textId="020AD12A" w:rsidR="00F75F7B" w:rsidRDefault="00F75F7B">
      <w:pPr>
        <w:pStyle w:val="FootnoteText"/>
      </w:pPr>
      <w:r>
        <w:rPr>
          <w:rStyle w:val="FootnoteReference"/>
        </w:rPr>
        <w:footnoteRef/>
      </w:r>
      <w:r>
        <w:t xml:space="preserve"> </w:t>
      </w:r>
      <w:r w:rsidR="00A95894" w:rsidRPr="00A95894">
        <w:rPr>
          <w:i/>
          <w:iCs/>
        </w:rPr>
        <w:t>Id</w:t>
      </w:r>
      <w:r w:rsidR="00A95894">
        <w:t>.</w:t>
      </w:r>
      <w:r w:rsidR="00143DBB">
        <w:t>;</w:t>
      </w:r>
      <w:r w:rsidR="00A95894">
        <w:t xml:space="preserve">  </w:t>
      </w:r>
      <w:r w:rsidR="00143DBB">
        <w:rPr>
          <w:i/>
          <w:iCs/>
        </w:rPr>
        <w:t>s</w:t>
      </w:r>
      <w:r w:rsidR="00A95894" w:rsidRPr="00A95894">
        <w:rPr>
          <w:i/>
          <w:iCs/>
        </w:rPr>
        <w:t>ee also</w:t>
      </w:r>
      <w:r w:rsidR="00A95894">
        <w:t xml:space="preserve">, Case No. 12-1230-EL-SSO, </w:t>
      </w:r>
      <w:r w:rsidR="0033734B" w:rsidRPr="0033734B">
        <w:rPr>
          <w:i/>
          <w:iCs/>
        </w:rPr>
        <w:t xml:space="preserve">In the Matter of the Application of Ohio Edison Company, The Cleveland Electric Illuminating Company, and </w:t>
      </w:r>
      <w:r w:rsidR="004235E5">
        <w:rPr>
          <w:i/>
          <w:iCs/>
        </w:rPr>
        <w:t>T</w:t>
      </w:r>
      <w:r w:rsidR="004235E5" w:rsidRPr="0033734B">
        <w:rPr>
          <w:i/>
          <w:iCs/>
        </w:rPr>
        <w:t xml:space="preserve">he </w:t>
      </w:r>
      <w:r w:rsidR="0033734B" w:rsidRPr="0033734B">
        <w:rPr>
          <w:i/>
          <w:iCs/>
        </w:rPr>
        <w:t>Toledo Edison Company for Authority to Provide for a Standard Service Offer Pursuant to R.C. § 4928.143 in the Form of an Electric Security Plan</w:t>
      </w:r>
      <w:r w:rsidR="0033734B">
        <w:t xml:space="preserve">, </w:t>
      </w:r>
      <w:r w:rsidR="00A95894" w:rsidRPr="0033734B">
        <w:t>Second</w:t>
      </w:r>
      <w:r w:rsidR="00A95894">
        <w:t xml:space="preserve"> Entry on Rehearing at 14</w:t>
      </w:r>
      <w:r w:rsidR="0033734B">
        <w:t xml:space="preserve"> (January 30, 2013)</w:t>
      </w:r>
      <w:r w:rsidR="004235E5">
        <w:t xml:space="preserve"> </w:t>
      </w:r>
      <w:r w:rsidR="0033734B">
        <w:t>(finding in the ESP III case that Rider ELR “tend</w:t>
      </w:r>
      <w:r w:rsidR="00E93690">
        <w:t>[</w:t>
      </w:r>
      <w:r w:rsidR="0033734B">
        <w:t>s</w:t>
      </w:r>
      <w:r w:rsidR="00E93690">
        <w:t>]</w:t>
      </w:r>
      <w:r w:rsidR="0033734B">
        <w:t xml:space="preserve"> to lower SSO generation prices” as well as promoting economic development); Case No. 10-388-EL-SSO, </w:t>
      </w:r>
      <w:r w:rsidR="0033734B" w:rsidRPr="0033734B">
        <w:rPr>
          <w:i/>
          <w:iCs/>
        </w:rPr>
        <w:t xml:space="preserve">In the Matter of the Application of Ohio Edison Company, The Cleveland Electric Illuminating Company, and </w:t>
      </w:r>
      <w:r w:rsidR="00B204AE">
        <w:rPr>
          <w:i/>
          <w:iCs/>
        </w:rPr>
        <w:t>T</w:t>
      </w:r>
      <w:r w:rsidR="00B204AE" w:rsidRPr="0033734B">
        <w:rPr>
          <w:i/>
          <w:iCs/>
        </w:rPr>
        <w:t xml:space="preserve">he </w:t>
      </w:r>
      <w:r w:rsidR="0033734B" w:rsidRPr="0033734B">
        <w:rPr>
          <w:i/>
          <w:iCs/>
        </w:rPr>
        <w:t xml:space="preserve">Toledo Edison Company for Authority to </w:t>
      </w:r>
      <w:r w:rsidR="001D2793">
        <w:rPr>
          <w:i/>
          <w:iCs/>
        </w:rPr>
        <w:t>Establish</w:t>
      </w:r>
      <w:r w:rsidR="007B67E1">
        <w:rPr>
          <w:i/>
          <w:iCs/>
        </w:rPr>
        <w:t xml:space="preserve"> </w:t>
      </w:r>
      <w:r w:rsidR="0033734B" w:rsidRPr="0033734B">
        <w:rPr>
          <w:i/>
          <w:iCs/>
        </w:rPr>
        <w:t>a Standard Service Offer Pursuant to R.C. § 4928.143 in the Form of an Electric Security Plan</w:t>
      </w:r>
      <w:r w:rsidR="0033734B">
        <w:t>, Opinion and Order at 30</w:t>
      </w:r>
      <w:r w:rsidR="00BB4BB0">
        <w:t>, 45-46</w:t>
      </w:r>
      <w:r w:rsidR="0033734B">
        <w:t xml:space="preserve"> (August 25, 2010)</w:t>
      </w:r>
      <w:r w:rsidR="007D0908">
        <w:t xml:space="preserve"> </w:t>
      </w:r>
      <w:r w:rsidR="00BB4BB0">
        <w:t>(</w:t>
      </w:r>
      <w:r w:rsidR="00151FBE">
        <w:t>r</w:t>
      </w:r>
      <w:r w:rsidR="00BB4BB0">
        <w:t xml:space="preserve">ejecting arguments in the ESP II case that Rider ELR should be terminated since other demand response opportunities are available through RTO programs and recognizing that termination of the rate would harm large industrial customers in the state). </w:t>
      </w:r>
      <w:r w:rsidR="0033734B">
        <w:t xml:space="preserve"> </w:t>
      </w:r>
    </w:p>
  </w:footnote>
  <w:footnote w:id="16">
    <w:p w14:paraId="04565683" w14:textId="091C2BD7" w:rsidR="00307E7C" w:rsidRDefault="00307E7C">
      <w:pPr>
        <w:pStyle w:val="FootnoteText"/>
      </w:pPr>
      <w:r>
        <w:rPr>
          <w:rStyle w:val="FootnoteReference"/>
        </w:rPr>
        <w:footnoteRef/>
      </w:r>
      <w:r>
        <w:t xml:space="preserve"> </w:t>
      </w:r>
      <w:r w:rsidR="009868EA">
        <w:t>Direct Testimony of Kevin M. Murray on Behalf of the Ohio Energy Group</w:t>
      </w:r>
      <w:r w:rsidR="00AA445B">
        <w:t>, OEG Ex. 3 (“Murray Testimony) at 3</w:t>
      </w:r>
      <w:r w:rsidR="00143DBB">
        <w:t>;</w:t>
      </w:r>
      <w:r w:rsidR="00AA445B">
        <w:t xml:space="preserve">  </w:t>
      </w:r>
      <w:r w:rsidR="00143DBB">
        <w:rPr>
          <w:i/>
          <w:iCs/>
        </w:rPr>
        <w:t>s</w:t>
      </w:r>
      <w:r w:rsidR="00022DE9" w:rsidRPr="006227C7">
        <w:rPr>
          <w:i/>
          <w:iCs/>
        </w:rPr>
        <w:t>ee</w:t>
      </w:r>
      <w:r w:rsidR="00022DE9">
        <w:rPr>
          <w:i/>
          <w:iCs/>
        </w:rPr>
        <w:t xml:space="preserve"> </w:t>
      </w:r>
      <w:r w:rsidR="00AA445B">
        <w:rPr>
          <w:i/>
          <w:iCs/>
        </w:rPr>
        <w:t>also</w:t>
      </w:r>
      <w:r w:rsidR="003321D0">
        <w:t>, Tr. Vol. XIV at 2569, 2571-72 (Staff Witness Healey agreeing that Rider ELR provides both economic development and reliability benefits);</w:t>
      </w:r>
      <w:r w:rsidR="00206A42">
        <w:t xml:space="preserve"> McMillen Testimony at 11 (characterizing Rider ELR as a “tariff-based interruptible program to support demand response and economic development</w:t>
      </w:r>
      <w:r w:rsidR="002D4A87">
        <w:t>”</w:t>
      </w:r>
      <w:r w:rsidR="00206A42">
        <w:t>);</w:t>
      </w:r>
      <w:r w:rsidR="00E76755">
        <w:t xml:space="preserve"> Direct Testimony of Matthew Brakey on </w:t>
      </w:r>
      <w:r w:rsidR="00022DE9">
        <w:t xml:space="preserve">Behalf </w:t>
      </w:r>
      <w:r w:rsidR="00E76755">
        <w:t>of Ohio Energy Leadership Council, OELC Ex. 32 (“Brakey Testimony”) at 41, 51-52 (discussi</w:t>
      </w:r>
      <w:r w:rsidR="0067682F">
        <w:t>ng</w:t>
      </w:r>
      <w:r w:rsidR="00E76755">
        <w:t xml:space="preserve"> reliability and economic development benefits of Rider ELR).</w:t>
      </w:r>
    </w:p>
  </w:footnote>
  <w:footnote w:id="17">
    <w:p w14:paraId="1CD93188" w14:textId="14D078C8" w:rsidR="001446F3" w:rsidRDefault="001446F3">
      <w:pPr>
        <w:pStyle w:val="FootnoteText"/>
      </w:pPr>
      <w:r>
        <w:rPr>
          <w:rStyle w:val="FootnoteReference"/>
        </w:rPr>
        <w:footnoteRef/>
      </w:r>
      <w:r>
        <w:t xml:space="preserve"> Goins Testimony at 7.</w:t>
      </w:r>
    </w:p>
  </w:footnote>
  <w:footnote w:id="18">
    <w:p w14:paraId="7BEB84D4" w14:textId="43ACF741" w:rsidR="003D0C5D" w:rsidRDefault="003D0C5D">
      <w:pPr>
        <w:pStyle w:val="FootnoteText"/>
      </w:pPr>
      <w:r>
        <w:rPr>
          <w:rStyle w:val="FootnoteReference"/>
        </w:rPr>
        <w:footnoteRef/>
      </w:r>
      <w:r>
        <w:t xml:space="preserve"> Tr. Vol. VII at 1519-21.</w:t>
      </w:r>
    </w:p>
  </w:footnote>
  <w:footnote w:id="19">
    <w:p w14:paraId="7F6ECBFB" w14:textId="041B08FA" w:rsidR="00A14118" w:rsidRDefault="00A14118">
      <w:pPr>
        <w:pStyle w:val="FootnoteText"/>
      </w:pPr>
      <w:r>
        <w:rPr>
          <w:rStyle w:val="FootnoteReference"/>
        </w:rPr>
        <w:footnoteRef/>
      </w:r>
      <w:r>
        <w:t xml:space="preserve"> </w:t>
      </w:r>
      <w:r w:rsidR="008520C3" w:rsidRPr="008520C3">
        <w:rPr>
          <w:i/>
          <w:iCs/>
        </w:rPr>
        <w:t>Id</w:t>
      </w:r>
      <w:r w:rsidR="008520C3">
        <w:t>.</w:t>
      </w:r>
      <w:r>
        <w:t xml:space="preserve"> at</w:t>
      </w:r>
      <w:r w:rsidR="008520C3">
        <w:t xml:space="preserve"> 1519</w:t>
      </w:r>
      <w:r>
        <w:t>.</w:t>
      </w:r>
    </w:p>
  </w:footnote>
  <w:footnote w:id="20">
    <w:p w14:paraId="65A9A7C8" w14:textId="38FCF03D" w:rsidR="00A14118" w:rsidRDefault="00A14118">
      <w:pPr>
        <w:pStyle w:val="FootnoteText"/>
      </w:pPr>
      <w:r>
        <w:rPr>
          <w:rStyle w:val="FootnoteReference"/>
        </w:rPr>
        <w:footnoteRef/>
      </w:r>
      <w:r>
        <w:t xml:space="preserve"> </w:t>
      </w:r>
      <w:r w:rsidRPr="00EF4087">
        <w:rPr>
          <w:i/>
          <w:iCs/>
        </w:rPr>
        <w:t>Id</w:t>
      </w:r>
      <w:r>
        <w:t>. at</w:t>
      </w:r>
      <w:r w:rsidR="00EF4087">
        <w:t xml:space="preserve"> 1520-21</w:t>
      </w:r>
      <w:r>
        <w:t>.</w:t>
      </w:r>
    </w:p>
  </w:footnote>
  <w:footnote w:id="21">
    <w:p w14:paraId="694762CC" w14:textId="01F0E392" w:rsidR="00D3053E" w:rsidRDefault="00D3053E">
      <w:pPr>
        <w:pStyle w:val="FootnoteText"/>
      </w:pPr>
      <w:r>
        <w:rPr>
          <w:rStyle w:val="FootnoteReference"/>
        </w:rPr>
        <w:footnoteRef/>
      </w:r>
      <w:r>
        <w:t xml:space="preserve"> </w:t>
      </w:r>
      <w:r w:rsidR="002A0020">
        <w:t>Goins Testimony</w:t>
      </w:r>
      <w:r>
        <w:t xml:space="preserve"> at 7-8; </w:t>
      </w:r>
      <w:r w:rsidR="002A0020">
        <w:t>Brakey Testimony at 43-44.</w:t>
      </w:r>
    </w:p>
  </w:footnote>
  <w:footnote w:id="22">
    <w:p w14:paraId="04A8C74E" w14:textId="1156FAF5" w:rsidR="00C90700" w:rsidRDefault="00C90700">
      <w:pPr>
        <w:pStyle w:val="FootnoteText"/>
      </w:pPr>
      <w:r>
        <w:rPr>
          <w:rStyle w:val="FootnoteReference"/>
        </w:rPr>
        <w:footnoteRef/>
      </w:r>
      <w:r>
        <w:t xml:space="preserve"> Goins Testimony at 8.</w:t>
      </w:r>
    </w:p>
  </w:footnote>
  <w:footnote w:id="23">
    <w:p w14:paraId="1CF44C27" w14:textId="5A2F5E2D" w:rsidR="001136DD" w:rsidRDefault="001136DD">
      <w:pPr>
        <w:pStyle w:val="FootnoteText"/>
      </w:pPr>
      <w:r>
        <w:rPr>
          <w:rStyle w:val="FootnoteReference"/>
        </w:rPr>
        <w:footnoteRef/>
      </w:r>
      <w:r>
        <w:t xml:space="preserve"> Brakey Testimony at 45-46.</w:t>
      </w:r>
    </w:p>
  </w:footnote>
  <w:footnote w:id="24">
    <w:p w14:paraId="1A7D72C5" w14:textId="1EA94318" w:rsidR="00FE682E" w:rsidRDefault="00FE682E">
      <w:pPr>
        <w:pStyle w:val="FootnoteText"/>
      </w:pPr>
      <w:r>
        <w:rPr>
          <w:rStyle w:val="FootnoteReference"/>
        </w:rPr>
        <w:footnoteRef/>
      </w:r>
      <w:r>
        <w:t xml:space="preserve"> </w:t>
      </w:r>
      <w:r w:rsidR="00566C53">
        <w:t>Goins Testimony at 8</w:t>
      </w:r>
      <w:r>
        <w:t>.</w:t>
      </w:r>
    </w:p>
  </w:footnote>
  <w:footnote w:id="25">
    <w:p w14:paraId="211E77E0" w14:textId="1345FDF6" w:rsidR="004C4336" w:rsidRDefault="004C4336">
      <w:pPr>
        <w:pStyle w:val="FootnoteText"/>
      </w:pPr>
      <w:r>
        <w:rPr>
          <w:rStyle w:val="FootnoteReference"/>
        </w:rPr>
        <w:footnoteRef/>
      </w:r>
      <w:r>
        <w:t xml:space="preserve"> </w:t>
      </w:r>
      <w:proofErr w:type="gramStart"/>
      <w:r w:rsidRPr="000A3C61">
        <w:rPr>
          <w:i/>
          <w:iCs/>
        </w:rPr>
        <w:t>Id</w:t>
      </w:r>
      <w:r>
        <w:t>.;</w:t>
      </w:r>
      <w:proofErr w:type="gramEnd"/>
      <w:r>
        <w:t xml:space="preserve"> </w:t>
      </w:r>
      <w:r w:rsidR="002D3985">
        <w:t xml:space="preserve">Tr. Vol. VII at 1526 (FirstEnergy Witness Stein confirmed PJM annual testing requirement and noted that a PJM test had </w:t>
      </w:r>
      <w:r w:rsidR="001A2B51">
        <w:t>recently</w:t>
      </w:r>
      <w:r w:rsidR="002D3985">
        <w:t xml:space="preserve"> been performed).</w:t>
      </w:r>
    </w:p>
  </w:footnote>
  <w:footnote w:id="26">
    <w:p w14:paraId="374D980E" w14:textId="44B94983" w:rsidR="00405189" w:rsidRDefault="00405189">
      <w:pPr>
        <w:pStyle w:val="FootnoteText"/>
      </w:pPr>
      <w:r>
        <w:rPr>
          <w:rStyle w:val="FootnoteReference"/>
        </w:rPr>
        <w:footnoteRef/>
      </w:r>
      <w:r>
        <w:t xml:space="preserve"> Goins Testimony at 9</w:t>
      </w:r>
      <w:r w:rsidR="001A2B51">
        <w:t>.</w:t>
      </w:r>
    </w:p>
  </w:footnote>
  <w:footnote w:id="27">
    <w:p w14:paraId="4E59DC6D" w14:textId="2868C0EF" w:rsidR="00405189" w:rsidRDefault="00405189">
      <w:pPr>
        <w:pStyle w:val="FootnoteText"/>
      </w:pPr>
      <w:r>
        <w:rPr>
          <w:rStyle w:val="FootnoteReference"/>
        </w:rPr>
        <w:footnoteRef/>
      </w:r>
      <w:r w:rsidR="002D789B">
        <w:rPr>
          <w:i/>
          <w:iCs/>
        </w:rPr>
        <w:t xml:space="preserve"> </w:t>
      </w:r>
      <w:r w:rsidR="004F6668" w:rsidRPr="006202EA">
        <w:rPr>
          <w:i/>
          <w:iCs/>
        </w:rPr>
        <w:t>Id</w:t>
      </w:r>
      <w:r w:rsidR="004F6668">
        <w:t>.</w:t>
      </w:r>
      <w:r>
        <w:t xml:space="preserve">; </w:t>
      </w:r>
      <w:r w:rsidR="00DF54ED">
        <w:t>OMAEG Ex. 12, Response to PUCO DR-006(h).</w:t>
      </w:r>
    </w:p>
  </w:footnote>
  <w:footnote w:id="28">
    <w:p w14:paraId="1E0C5529" w14:textId="1D50911F" w:rsidR="00913922" w:rsidRDefault="00913922">
      <w:pPr>
        <w:pStyle w:val="FootnoteText"/>
      </w:pPr>
      <w:r>
        <w:rPr>
          <w:rStyle w:val="FootnoteReference"/>
        </w:rPr>
        <w:footnoteRef/>
      </w:r>
      <w:r>
        <w:t xml:space="preserve"> Goins Testimony at 9.</w:t>
      </w:r>
    </w:p>
  </w:footnote>
  <w:footnote w:id="29">
    <w:p w14:paraId="34528E23" w14:textId="4D2F04C3" w:rsidR="005F431C" w:rsidRDefault="005F431C">
      <w:pPr>
        <w:pStyle w:val="FootnoteText"/>
      </w:pPr>
      <w:r>
        <w:rPr>
          <w:rStyle w:val="FootnoteReference"/>
        </w:rPr>
        <w:footnoteRef/>
      </w:r>
      <w:r>
        <w:t xml:space="preserve"> </w:t>
      </w:r>
      <w:r w:rsidRPr="00C4133A">
        <w:rPr>
          <w:i/>
          <w:iCs/>
        </w:rPr>
        <w:t>Id</w:t>
      </w:r>
      <w:r>
        <w:t>.</w:t>
      </w:r>
    </w:p>
  </w:footnote>
  <w:footnote w:id="30">
    <w:p w14:paraId="4A0DE49B" w14:textId="1D8E6902" w:rsidR="00A21866" w:rsidRDefault="00A21866">
      <w:pPr>
        <w:pStyle w:val="FootnoteText"/>
      </w:pPr>
      <w:r>
        <w:rPr>
          <w:rStyle w:val="FootnoteReference"/>
        </w:rPr>
        <w:footnoteRef/>
      </w:r>
      <w:r>
        <w:t xml:space="preserve"> </w:t>
      </w:r>
      <w:r w:rsidRPr="00C4133A">
        <w:rPr>
          <w:i/>
          <w:iCs/>
        </w:rPr>
        <w:t>Id</w:t>
      </w:r>
      <w:r>
        <w:t>.</w:t>
      </w:r>
    </w:p>
  </w:footnote>
  <w:footnote w:id="31">
    <w:p w14:paraId="3F225A21" w14:textId="6ED29169" w:rsidR="00F41C73" w:rsidRDefault="00F41C73">
      <w:pPr>
        <w:pStyle w:val="FootnoteText"/>
      </w:pPr>
      <w:r>
        <w:rPr>
          <w:rStyle w:val="FootnoteReference"/>
        </w:rPr>
        <w:footnoteRef/>
      </w:r>
      <w:r>
        <w:t xml:space="preserve"> </w:t>
      </w:r>
      <w:r w:rsidR="005B1038">
        <w:t>Brakey Testimony at 51-52.</w:t>
      </w:r>
    </w:p>
  </w:footnote>
  <w:footnote w:id="32">
    <w:p w14:paraId="2ADBE566" w14:textId="4F3468CB" w:rsidR="00A21866" w:rsidRDefault="00A21866">
      <w:pPr>
        <w:pStyle w:val="FootnoteText"/>
      </w:pPr>
      <w:r>
        <w:rPr>
          <w:rStyle w:val="FootnoteReference"/>
        </w:rPr>
        <w:footnoteRef/>
      </w:r>
      <w:r>
        <w:t xml:space="preserve"> </w:t>
      </w:r>
      <w:r w:rsidR="00EC4657">
        <w:t>Goins Testimony at 9</w:t>
      </w:r>
      <w:r>
        <w:t>.</w:t>
      </w:r>
    </w:p>
  </w:footnote>
  <w:footnote w:id="33">
    <w:p w14:paraId="2DD6E4D1" w14:textId="03947099" w:rsidR="00931D80" w:rsidRDefault="00931D80">
      <w:pPr>
        <w:pStyle w:val="FootnoteText"/>
      </w:pPr>
      <w:r>
        <w:rPr>
          <w:rStyle w:val="FootnoteReference"/>
        </w:rPr>
        <w:footnoteRef/>
      </w:r>
      <w:r>
        <w:t xml:space="preserve"> </w:t>
      </w:r>
      <w:r w:rsidRPr="00EB6AB3">
        <w:rPr>
          <w:i/>
          <w:iCs/>
        </w:rPr>
        <w:t>Id</w:t>
      </w:r>
      <w:r>
        <w:t xml:space="preserve">. at 10; </w:t>
      </w:r>
      <w:r w:rsidR="00EB6AB3">
        <w:t>Tr. Vol. VII at 1520-21.</w:t>
      </w:r>
    </w:p>
  </w:footnote>
  <w:footnote w:id="34">
    <w:p w14:paraId="65D666AB" w14:textId="64EFFEFD" w:rsidR="009C66A6" w:rsidRDefault="009C66A6">
      <w:pPr>
        <w:pStyle w:val="FootnoteText"/>
      </w:pPr>
      <w:r>
        <w:rPr>
          <w:rStyle w:val="FootnoteReference"/>
        </w:rPr>
        <w:footnoteRef/>
      </w:r>
      <w:r>
        <w:t xml:space="preserve"> </w:t>
      </w:r>
      <w:r w:rsidR="00D95379">
        <w:t>Goins Testimony at 9; Tr. Vol. VII at 1520.</w:t>
      </w:r>
    </w:p>
  </w:footnote>
  <w:footnote w:id="35">
    <w:p w14:paraId="01950AB7" w14:textId="0582EB9C" w:rsidR="009C66A6" w:rsidRDefault="009C66A6">
      <w:pPr>
        <w:pStyle w:val="FootnoteText"/>
      </w:pPr>
      <w:r>
        <w:rPr>
          <w:rStyle w:val="FootnoteReference"/>
        </w:rPr>
        <w:footnoteRef/>
      </w:r>
      <w:r>
        <w:t xml:space="preserve"> Goins Testimony at 10.</w:t>
      </w:r>
    </w:p>
  </w:footnote>
  <w:footnote w:id="36">
    <w:p w14:paraId="79DDC641" w14:textId="12CD9CAC" w:rsidR="00D343F6" w:rsidRDefault="00D343F6">
      <w:pPr>
        <w:pStyle w:val="FootnoteText"/>
      </w:pPr>
      <w:r>
        <w:rPr>
          <w:rStyle w:val="FootnoteReference"/>
        </w:rPr>
        <w:footnoteRef/>
      </w:r>
      <w:r>
        <w:t xml:space="preserve"> Ohio Revised Code, Section 4928.02(N).</w:t>
      </w:r>
    </w:p>
  </w:footnote>
  <w:footnote w:id="37">
    <w:p w14:paraId="3DFB6FAB" w14:textId="7E379DD4" w:rsidR="00F83D17" w:rsidRDefault="00F83D17">
      <w:pPr>
        <w:pStyle w:val="FootnoteText"/>
      </w:pPr>
      <w:r>
        <w:rPr>
          <w:rStyle w:val="FootnoteReference"/>
        </w:rPr>
        <w:footnoteRef/>
      </w:r>
      <w:r>
        <w:t xml:space="preserve"> McMillen</w:t>
      </w:r>
      <w:r w:rsidR="00262C51">
        <w:t xml:space="preserve"> Testimony at 12-13.</w:t>
      </w:r>
    </w:p>
  </w:footnote>
  <w:footnote w:id="38">
    <w:p w14:paraId="55E2B704" w14:textId="35B1E099" w:rsidR="00D67C61" w:rsidRDefault="00D67C61">
      <w:pPr>
        <w:pStyle w:val="FootnoteText"/>
      </w:pPr>
      <w:r>
        <w:rPr>
          <w:rStyle w:val="FootnoteReference"/>
        </w:rPr>
        <w:footnoteRef/>
      </w:r>
      <w:r>
        <w:t xml:space="preserve"> </w:t>
      </w:r>
      <w:r w:rsidR="00262C51" w:rsidRPr="00262C51">
        <w:rPr>
          <w:i/>
          <w:iCs/>
        </w:rPr>
        <w:t>Id</w:t>
      </w:r>
      <w:r w:rsidR="00262C51">
        <w:t>.</w:t>
      </w:r>
    </w:p>
  </w:footnote>
  <w:footnote w:id="39">
    <w:p w14:paraId="026A6563" w14:textId="5F6A8607" w:rsidR="003723B7" w:rsidRDefault="003723B7">
      <w:pPr>
        <w:pStyle w:val="FootnoteText"/>
      </w:pPr>
      <w:r>
        <w:rPr>
          <w:rStyle w:val="FootnoteReference"/>
        </w:rPr>
        <w:footnoteRef/>
      </w:r>
      <w:r>
        <w:t xml:space="preserve"> </w:t>
      </w:r>
      <w:r w:rsidR="00632FC2" w:rsidRPr="006202EA">
        <w:rPr>
          <w:i/>
          <w:iCs/>
        </w:rPr>
        <w:t>Id</w:t>
      </w:r>
      <w:r w:rsidR="00632FC2">
        <w:t xml:space="preserve">. </w:t>
      </w:r>
      <w:r w:rsidR="00EA3C4B">
        <w:t>at 14-15.</w:t>
      </w:r>
    </w:p>
  </w:footnote>
  <w:footnote w:id="40">
    <w:p w14:paraId="6EC8CB91" w14:textId="14A4AEC2" w:rsidR="0004444E" w:rsidRPr="00EA3C4B" w:rsidRDefault="0004444E">
      <w:pPr>
        <w:pStyle w:val="FootnoteText"/>
      </w:pPr>
      <w:r>
        <w:rPr>
          <w:rStyle w:val="FootnoteReference"/>
        </w:rPr>
        <w:footnoteRef/>
      </w:r>
      <w:r>
        <w:t xml:space="preserve"> </w:t>
      </w:r>
      <w:r w:rsidR="00EA3C4B">
        <w:t xml:space="preserve">Direct Testimony of Edward M. Stein on Behalf of Ohio Edison Company, The Cleveland Electric Illuminating Company, and </w:t>
      </w:r>
      <w:r w:rsidR="00632FC2">
        <w:t xml:space="preserve">The </w:t>
      </w:r>
      <w:r w:rsidR="00EA3C4B">
        <w:t>Toledo Edison Company, Companies Ex. 10 (“Stein Testimony”) at 4-5.</w:t>
      </w:r>
    </w:p>
  </w:footnote>
  <w:footnote w:id="41">
    <w:p w14:paraId="499AFB82" w14:textId="4DC552E7" w:rsidR="0053665F" w:rsidRDefault="0053665F">
      <w:pPr>
        <w:pStyle w:val="FootnoteText"/>
      </w:pPr>
      <w:r>
        <w:rPr>
          <w:rStyle w:val="FootnoteReference"/>
        </w:rPr>
        <w:footnoteRef/>
      </w:r>
      <w:r>
        <w:t xml:space="preserve"> Parties made other recommendations</w:t>
      </w:r>
      <w:r w:rsidR="00174762">
        <w:t xml:space="preserve"> </w:t>
      </w:r>
      <w:r w:rsidR="003629CA">
        <w:t>concerning</w:t>
      </w:r>
      <w:r w:rsidR="00174762">
        <w:t xml:space="preserve"> Rider ELR</w:t>
      </w:r>
      <w:r w:rsidR="003D6480">
        <w:t xml:space="preserve"> that are not addressed in this brief.  </w:t>
      </w:r>
      <w:r w:rsidR="002E7E5B">
        <w:t xml:space="preserve">Failure to address a particular recommendation should not be </w:t>
      </w:r>
      <w:r w:rsidR="003D6480">
        <w:t xml:space="preserve">interpreted </w:t>
      </w:r>
      <w:r w:rsidR="002E7E5B">
        <w:t>as Nucor’s support for such recommendation.</w:t>
      </w:r>
      <w:r w:rsidR="003D6480">
        <w:t xml:space="preserve">  Nucor reserves the right to address additional recommendations, issues, and arguments related to Rider ELR in its reply brief.</w:t>
      </w:r>
    </w:p>
  </w:footnote>
  <w:footnote w:id="42">
    <w:p w14:paraId="052103F0" w14:textId="77777777" w:rsidR="003B6D6F" w:rsidRDefault="003B6D6F" w:rsidP="003B6D6F">
      <w:pPr>
        <w:pStyle w:val="FootnoteText"/>
      </w:pPr>
      <w:r>
        <w:rPr>
          <w:rStyle w:val="FootnoteReference"/>
        </w:rPr>
        <w:footnoteRef/>
      </w:r>
      <w:r>
        <w:t xml:space="preserve"> Goins Testimony at 15, 17-18.</w:t>
      </w:r>
    </w:p>
  </w:footnote>
  <w:footnote w:id="43">
    <w:p w14:paraId="5EA0C4E2" w14:textId="77777777" w:rsidR="003B6D6F" w:rsidRDefault="003B6D6F" w:rsidP="003B6D6F">
      <w:pPr>
        <w:pStyle w:val="FootnoteText"/>
      </w:pPr>
      <w:r>
        <w:rPr>
          <w:rStyle w:val="FootnoteReference"/>
        </w:rPr>
        <w:footnoteRef/>
      </w:r>
      <w:r>
        <w:t xml:space="preserve"> </w:t>
      </w:r>
      <w:r w:rsidRPr="006B65B0">
        <w:rPr>
          <w:i/>
          <w:iCs/>
        </w:rPr>
        <w:t>Id</w:t>
      </w:r>
      <w:r>
        <w:t>. at 16.</w:t>
      </w:r>
    </w:p>
  </w:footnote>
  <w:footnote w:id="44">
    <w:p w14:paraId="26BA129B" w14:textId="4C890155" w:rsidR="003629CA" w:rsidRDefault="003629CA">
      <w:pPr>
        <w:pStyle w:val="FootnoteText"/>
      </w:pPr>
      <w:r>
        <w:rPr>
          <w:rStyle w:val="FootnoteReference"/>
        </w:rPr>
        <w:footnoteRef/>
      </w:r>
      <w:r>
        <w:t xml:space="preserve"> Direct Testimony of Christopher Healey, </w:t>
      </w:r>
      <w:r w:rsidR="00632FC2">
        <w:t xml:space="preserve">Rates </w:t>
      </w:r>
      <w:r>
        <w:t xml:space="preserve">and Analysis Department, Accounting and </w:t>
      </w:r>
      <w:r w:rsidR="00632FC2">
        <w:t xml:space="preserve">Finance </w:t>
      </w:r>
      <w:r>
        <w:t>Division, Staff Ex. 10 (“Healey Testimony”) at 24.</w:t>
      </w:r>
      <w:r w:rsidR="005A13E7">
        <w:t xml:space="preserve">  Witness Healey also testifies in support of a six-year ESP instead of the eight-year ESP proposed by FirstEnergy.  </w:t>
      </w:r>
      <w:r w:rsidR="005A13E7" w:rsidRPr="005A13E7">
        <w:rPr>
          <w:i/>
          <w:iCs/>
        </w:rPr>
        <w:t>Id</w:t>
      </w:r>
      <w:r w:rsidR="005A13E7">
        <w:t>. at 3.</w:t>
      </w:r>
    </w:p>
  </w:footnote>
  <w:footnote w:id="45">
    <w:p w14:paraId="663AE094" w14:textId="5129F1FC" w:rsidR="007B754D" w:rsidRDefault="007B754D">
      <w:pPr>
        <w:pStyle w:val="FootnoteText"/>
      </w:pPr>
      <w:r>
        <w:rPr>
          <w:rStyle w:val="FootnoteReference"/>
        </w:rPr>
        <w:footnoteRef/>
      </w:r>
      <w:r>
        <w:t xml:space="preserve"> </w:t>
      </w:r>
      <w:r w:rsidRPr="007B754D">
        <w:rPr>
          <w:i/>
          <w:iCs/>
        </w:rPr>
        <w:t>Id</w:t>
      </w:r>
      <w:r>
        <w:t xml:space="preserve">. at </w:t>
      </w:r>
      <w:r w:rsidR="00D025EF">
        <w:t>21</w:t>
      </w:r>
      <w:r w:rsidR="00D01E8C">
        <w:t>-22</w:t>
      </w:r>
      <w:r>
        <w:t>.</w:t>
      </w:r>
    </w:p>
  </w:footnote>
  <w:footnote w:id="46">
    <w:p w14:paraId="5C9C10E1" w14:textId="680EFE24" w:rsidR="00206615" w:rsidRDefault="00206615">
      <w:pPr>
        <w:pStyle w:val="FootnoteText"/>
      </w:pPr>
      <w:r>
        <w:rPr>
          <w:rStyle w:val="FootnoteReference"/>
        </w:rPr>
        <w:footnoteRef/>
      </w:r>
      <w:r>
        <w:t xml:space="preserve"> Murray Testimony at 3</w:t>
      </w:r>
      <w:r w:rsidR="002A05A3">
        <w:t>.</w:t>
      </w:r>
    </w:p>
  </w:footnote>
  <w:footnote w:id="47">
    <w:p w14:paraId="46B5BF25" w14:textId="2E744E43" w:rsidR="005A13E7" w:rsidRDefault="005A13E7">
      <w:pPr>
        <w:pStyle w:val="FootnoteText"/>
      </w:pPr>
      <w:r>
        <w:rPr>
          <w:rStyle w:val="FootnoteReference"/>
        </w:rPr>
        <w:footnoteRef/>
      </w:r>
      <w:r>
        <w:t xml:space="preserve"> </w:t>
      </w:r>
      <w:r w:rsidRPr="005A13E7">
        <w:rPr>
          <w:i/>
          <w:iCs/>
        </w:rPr>
        <w:t>Id</w:t>
      </w:r>
      <w:r>
        <w:t>. at 20.</w:t>
      </w:r>
    </w:p>
  </w:footnote>
  <w:footnote w:id="48">
    <w:p w14:paraId="51C59DBE" w14:textId="73DD7BA0" w:rsidR="00206615" w:rsidRDefault="00206615">
      <w:pPr>
        <w:pStyle w:val="FootnoteText"/>
      </w:pPr>
      <w:r>
        <w:rPr>
          <w:rStyle w:val="FootnoteReference"/>
        </w:rPr>
        <w:footnoteRef/>
      </w:r>
      <w:r>
        <w:t xml:space="preserve"> </w:t>
      </w:r>
      <w:r w:rsidRPr="006B65B0">
        <w:rPr>
          <w:i/>
          <w:iCs/>
        </w:rPr>
        <w:t>Id</w:t>
      </w:r>
      <w:r>
        <w:t>. at 4.</w:t>
      </w:r>
    </w:p>
  </w:footnote>
  <w:footnote w:id="49">
    <w:p w14:paraId="5667C0A8" w14:textId="0742DDE6" w:rsidR="000A16D7" w:rsidRDefault="000A16D7">
      <w:pPr>
        <w:pStyle w:val="FootnoteText"/>
      </w:pPr>
      <w:r>
        <w:rPr>
          <w:rStyle w:val="FootnoteReference"/>
        </w:rPr>
        <w:footnoteRef/>
      </w:r>
      <w:r>
        <w:t xml:space="preserve"> </w:t>
      </w:r>
      <w:r w:rsidRPr="006B65B0">
        <w:rPr>
          <w:i/>
          <w:iCs/>
        </w:rPr>
        <w:t>Id</w:t>
      </w:r>
      <w:r>
        <w:t>.</w:t>
      </w:r>
    </w:p>
  </w:footnote>
  <w:footnote w:id="50">
    <w:p w14:paraId="50E09EF4" w14:textId="2E59EB7E" w:rsidR="00F51D5D" w:rsidRDefault="00F51D5D">
      <w:pPr>
        <w:pStyle w:val="FootnoteText"/>
      </w:pPr>
      <w:r>
        <w:rPr>
          <w:rStyle w:val="FootnoteReference"/>
        </w:rPr>
        <w:footnoteRef/>
      </w:r>
      <w:r>
        <w:t xml:space="preserve"> Brakey Testimony at 53-54.</w:t>
      </w:r>
    </w:p>
  </w:footnote>
  <w:footnote w:id="51">
    <w:p w14:paraId="31FA3433" w14:textId="5429C81D" w:rsidR="00F51D5D" w:rsidRDefault="00F51D5D">
      <w:pPr>
        <w:pStyle w:val="FootnoteText"/>
      </w:pPr>
      <w:r>
        <w:rPr>
          <w:rStyle w:val="FootnoteReference"/>
        </w:rPr>
        <w:footnoteRef/>
      </w:r>
      <w:r>
        <w:t xml:space="preserve"> </w:t>
      </w:r>
      <w:r w:rsidRPr="006B65B0">
        <w:rPr>
          <w:i/>
          <w:iCs/>
        </w:rPr>
        <w:t>Id</w:t>
      </w:r>
      <w:r w:rsidR="006B65B0">
        <w:t>.</w:t>
      </w:r>
      <w:r>
        <w:t xml:space="preserve"> at 54-55.</w:t>
      </w:r>
    </w:p>
  </w:footnote>
  <w:footnote w:id="52">
    <w:p w14:paraId="41CAB9F4" w14:textId="3F04F8E3" w:rsidR="004927A7" w:rsidRDefault="004927A7">
      <w:pPr>
        <w:pStyle w:val="FootnoteText"/>
      </w:pPr>
      <w:r>
        <w:rPr>
          <w:rStyle w:val="FootnoteReference"/>
        </w:rPr>
        <w:footnoteRef/>
      </w:r>
      <w:r>
        <w:t xml:space="preserve"> </w:t>
      </w:r>
      <w:r w:rsidR="006B65B0">
        <w:t xml:space="preserve">Direct Testimony of John A. </w:t>
      </w:r>
      <w:r>
        <w:t>Seryak</w:t>
      </w:r>
      <w:r w:rsidR="006B65B0">
        <w:t xml:space="preserve"> on Behalf of The Ohio Manufacturers’ Association Energy Group, OMAEG Ex. 1 at</w:t>
      </w:r>
      <w:r>
        <w:t xml:space="preserve"> 12.</w:t>
      </w:r>
    </w:p>
  </w:footnote>
  <w:footnote w:id="53">
    <w:p w14:paraId="629825E0" w14:textId="7559E931" w:rsidR="001E7248" w:rsidRDefault="001E7248">
      <w:pPr>
        <w:pStyle w:val="FootnoteText"/>
      </w:pPr>
      <w:r>
        <w:rPr>
          <w:rStyle w:val="FootnoteReference"/>
        </w:rPr>
        <w:footnoteRef/>
      </w:r>
      <w:r>
        <w:t xml:space="preserve"> McMillen Testimony at 13.</w:t>
      </w:r>
    </w:p>
  </w:footnote>
  <w:footnote w:id="54">
    <w:p w14:paraId="0D026680" w14:textId="04AF3047" w:rsidR="009F112B" w:rsidRDefault="009F112B">
      <w:pPr>
        <w:pStyle w:val="FootnoteText"/>
      </w:pPr>
      <w:r>
        <w:rPr>
          <w:rStyle w:val="FootnoteReference"/>
        </w:rPr>
        <w:footnoteRef/>
      </w:r>
      <w:r>
        <w:t xml:space="preserve"> </w:t>
      </w:r>
      <w:r w:rsidR="00221C3B">
        <w:t>Healey Testimony at 24 (agreeing with FirstEnergy Witness Stein that the ELR program should better align the cost of the program with market pricing).</w:t>
      </w:r>
    </w:p>
  </w:footnote>
  <w:footnote w:id="55">
    <w:p w14:paraId="4AE57FA0" w14:textId="0337E80C" w:rsidR="001E7248" w:rsidRDefault="001E7248">
      <w:pPr>
        <w:pStyle w:val="FootnoteText"/>
      </w:pPr>
      <w:r>
        <w:rPr>
          <w:rStyle w:val="FootnoteReference"/>
        </w:rPr>
        <w:footnoteRef/>
      </w:r>
      <w:r>
        <w:t xml:space="preserve"> Goins Testimony at 12.</w:t>
      </w:r>
    </w:p>
  </w:footnote>
  <w:footnote w:id="56">
    <w:p w14:paraId="1AB9BF80" w14:textId="62E061CE" w:rsidR="0027555E" w:rsidRDefault="0027555E">
      <w:pPr>
        <w:pStyle w:val="FootnoteText"/>
      </w:pPr>
      <w:r>
        <w:rPr>
          <w:rStyle w:val="FootnoteReference"/>
        </w:rPr>
        <w:footnoteRef/>
      </w:r>
      <w:r>
        <w:t xml:space="preserve"> </w:t>
      </w:r>
      <w:r w:rsidRPr="00FF4DFB">
        <w:rPr>
          <w:i/>
          <w:iCs/>
        </w:rPr>
        <w:t>Id</w:t>
      </w:r>
      <w:r>
        <w:t>. at 13.</w:t>
      </w:r>
    </w:p>
  </w:footnote>
  <w:footnote w:id="57">
    <w:p w14:paraId="07F4D047" w14:textId="0F707F91" w:rsidR="0027555E" w:rsidRDefault="0027555E">
      <w:pPr>
        <w:pStyle w:val="FootnoteText"/>
      </w:pPr>
      <w:r>
        <w:rPr>
          <w:rStyle w:val="FootnoteReference"/>
        </w:rPr>
        <w:footnoteRef/>
      </w:r>
      <w:r>
        <w:t xml:space="preserve"> </w:t>
      </w:r>
      <w:r w:rsidRPr="00FF4DFB">
        <w:rPr>
          <w:i/>
          <w:iCs/>
        </w:rPr>
        <w:t>Id</w:t>
      </w:r>
      <w:r>
        <w:t>.</w:t>
      </w:r>
    </w:p>
  </w:footnote>
  <w:footnote w:id="58">
    <w:p w14:paraId="0829B5F4" w14:textId="141BA79C" w:rsidR="006A2107" w:rsidRDefault="006A2107">
      <w:pPr>
        <w:pStyle w:val="FootnoteText"/>
      </w:pPr>
      <w:r>
        <w:rPr>
          <w:rStyle w:val="FootnoteReference"/>
        </w:rPr>
        <w:footnoteRef/>
      </w:r>
      <w:r>
        <w:t xml:space="preserve"> </w:t>
      </w:r>
      <w:r w:rsidRPr="00FF4DFB">
        <w:rPr>
          <w:i/>
          <w:iCs/>
        </w:rPr>
        <w:t>Id</w:t>
      </w:r>
      <w:r>
        <w:t>.</w:t>
      </w:r>
    </w:p>
  </w:footnote>
  <w:footnote w:id="59">
    <w:p w14:paraId="72E23F3A" w14:textId="6A6081A1" w:rsidR="008F49FC" w:rsidRDefault="008F49FC">
      <w:pPr>
        <w:pStyle w:val="FootnoteText"/>
      </w:pPr>
      <w:r>
        <w:rPr>
          <w:rStyle w:val="FootnoteReference"/>
        </w:rPr>
        <w:footnoteRef/>
      </w:r>
      <w:r>
        <w:t xml:space="preserve"> </w:t>
      </w:r>
      <w:r w:rsidR="00FA4ACA">
        <w:t xml:space="preserve">Direct Testimony of James F. Wilson on Behalf of the Office of the Ohio Consumers’ Counsel, OCC Ex. </w:t>
      </w:r>
      <w:r w:rsidR="008D36A2">
        <w:t>2 at 9.</w:t>
      </w:r>
    </w:p>
  </w:footnote>
  <w:footnote w:id="60">
    <w:p w14:paraId="19547C62" w14:textId="52665C46" w:rsidR="006B18AF" w:rsidRDefault="006B18AF">
      <w:pPr>
        <w:pStyle w:val="FootnoteText"/>
      </w:pPr>
      <w:r>
        <w:rPr>
          <w:rStyle w:val="FootnoteReference"/>
        </w:rPr>
        <w:footnoteRef/>
      </w:r>
      <w:r>
        <w:t xml:space="preserve"> </w:t>
      </w:r>
      <w:r w:rsidRPr="006B18AF">
        <w:rPr>
          <w:i/>
          <w:iCs/>
        </w:rPr>
        <w:t>Id</w:t>
      </w:r>
      <w:r>
        <w:t>.</w:t>
      </w:r>
    </w:p>
  </w:footnote>
  <w:footnote w:id="61">
    <w:p w14:paraId="223918C4" w14:textId="2991D5CA" w:rsidR="008F49FC" w:rsidRDefault="008F49FC">
      <w:pPr>
        <w:pStyle w:val="FootnoteText"/>
      </w:pPr>
      <w:r>
        <w:rPr>
          <w:rStyle w:val="FootnoteReference"/>
        </w:rPr>
        <w:footnoteRef/>
      </w:r>
      <w:r>
        <w:t xml:space="preserve"> </w:t>
      </w:r>
      <w:r w:rsidR="00F3193F">
        <w:t>Goins Testimony at 13</w:t>
      </w:r>
      <w:r>
        <w:t>.</w:t>
      </w:r>
    </w:p>
  </w:footnote>
  <w:footnote w:id="62">
    <w:p w14:paraId="705DB00F" w14:textId="48FEF2B6" w:rsidR="00576D78" w:rsidRDefault="00576D78">
      <w:pPr>
        <w:pStyle w:val="FootnoteText"/>
      </w:pPr>
      <w:r>
        <w:rPr>
          <w:rStyle w:val="FootnoteReference"/>
        </w:rPr>
        <w:footnoteRef/>
      </w:r>
      <w:r>
        <w:t xml:space="preserve"> </w:t>
      </w:r>
      <w:r w:rsidRPr="00576D78">
        <w:rPr>
          <w:i/>
          <w:iCs/>
        </w:rPr>
        <w:t>Id</w:t>
      </w:r>
      <w:r>
        <w:t>.</w:t>
      </w:r>
      <w:r w:rsidR="00F667BD">
        <w:t xml:space="preserve"> at 14.</w:t>
      </w:r>
    </w:p>
  </w:footnote>
  <w:footnote w:id="63">
    <w:p w14:paraId="037B943C" w14:textId="2B9DA884" w:rsidR="006B5947" w:rsidRDefault="006B5947">
      <w:pPr>
        <w:pStyle w:val="FootnoteText"/>
      </w:pPr>
      <w:r>
        <w:rPr>
          <w:rStyle w:val="FootnoteReference"/>
        </w:rPr>
        <w:footnoteRef/>
      </w:r>
      <w:r>
        <w:t xml:space="preserve"> </w:t>
      </w:r>
      <w:r w:rsidRPr="006B5947">
        <w:rPr>
          <w:i/>
          <w:iCs/>
        </w:rPr>
        <w:t>Id</w:t>
      </w:r>
      <w:r>
        <w:t>.</w:t>
      </w:r>
    </w:p>
  </w:footnote>
  <w:footnote w:id="64">
    <w:p w14:paraId="2366B64E" w14:textId="3CCD0298" w:rsidR="00042EDC" w:rsidRDefault="00042EDC">
      <w:pPr>
        <w:pStyle w:val="FootnoteText"/>
      </w:pPr>
      <w:r>
        <w:rPr>
          <w:rStyle w:val="FootnoteReference"/>
        </w:rPr>
        <w:footnoteRef/>
      </w:r>
      <w:r>
        <w:t xml:space="preserve"> </w:t>
      </w:r>
      <w:r w:rsidRPr="00AF63B0">
        <w:rPr>
          <w:i/>
          <w:iCs/>
        </w:rPr>
        <w:t>Id</w:t>
      </w:r>
      <w:r>
        <w:t>.</w:t>
      </w:r>
    </w:p>
  </w:footnote>
  <w:footnote w:id="65">
    <w:p w14:paraId="3349FC2D" w14:textId="16DBC055" w:rsidR="006B5947" w:rsidRDefault="006B5947">
      <w:pPr>
        <w:pStyle w:val="FootnoteText"/>
      </w:pPr>
      <w:r>
        <w:rPr>
          <w:rStyle w:val="FootnoteReference"/>
        </w:rPr>
        <w:footnoteRef/>
      </w:r>
      <w:r>
        <w:t xml:space="preserve"> Brakey Testimony at 50.</w:t>
      </w:r>
    </w:p>
  </w:footnote>
  <w:footnote w:id="66">
    <w:p w14:paraId="04AEE2DC" w14:textId="3EB7B3A2" w:rsidR="006B5947" w:rsidRDefault="006B5947">
      <w:pPr>
        <w:pStyle w:val="FootnoteText"/>
      </w:pPr>
      <w:r>
        <w:rPr>
          <w:rStyle w:val="FootnoteReference"/>
        </w:rPr>
        <w:footnoteRef/>
      </w:r>
      <w:r>
        <w:t xml:space="preserve"> </w:t>
      </w:r>
      <w:r w:rsidRPr="006B5947">
        <w:rPr>
          <w:i/>
          <w:iCs/>
        </w:rPr>
        <w:t>Id</w:t>
      </w:r>
      <w:r>
        <w:t>. at 50-51</w:t>
      </w:r>
      <w:r w:rsidR="00995752">
        <w:t xml:space="preserve"> (citations omitted)</w:t>
      </w:r>
      <w:r>
        <w:t>.</w:t>
      </w:r>
    </w:p>
  </w:footnote>
  <w:footnote w:id="67">
    <w:p w14:paraId="092F75A6" w14:textId="3E1203FA" w:rsidR="00AE5047" w:rsidRDefault="00AE5047">
      <w:pPr>
        <w:pStyle w:val="FootnoteText"/>
      </w:pPr>
      <w:r>
        <w:rPr>
          <w:rStyle w:val="FootnoteReference"/>
        </w:rPr>
        <w:footnoteRef/>
      </w:r>
      <w:r>
        <w:t xml:space="preserve"> </w:t>
      </w:r>
      <w:r w:rsidR="00A10DC3">
        <w:t>Goins Testimony</w:t>
      </w:r>
      <w:r>
        <w:t xml:space="preserve"> at 15.</w:t>
      </w:r>
    </w:p>
  </w:footnote>
  <w:footnote w:id="68">
    <w:p w14:paraId="4CBC81BD" w14:textId="18CA8E68" w:rsidR="00445829" w:rsidRDefault="00445829">
      <w:pPr>
        <w:pStyle w:val="FootnoteText"/>
      </w:pPr>
      <w:r>
        <w:rPr>
          <w:rStyle w:val="FootnoteReference"/>
        </w:rPr>
        <w:footnoteRef/>
      </w:r>
      <w:r>
        <w:t xml:space="preserve"> </w:t>
      </w:r>
      <w:r w:rsidR="004E3BC6">
        <w:rPr>
          <w:i/>
          <w:iCs/>
        </w:rPr>
        <w:t xml:space="preserve">Id. </w:t>
      </w:r>
      <w:r>
        <w:t>at 14.</w:t>
      </w:r>
    </w:p>
  </w:footnote>
  <w:footnote w:id="69">
    <w:p w14:paraId="7554054D" w14:textId="00296C5D" w:rsidR="001D742B" w:rsidRDefault="001D742B">
      <w:pPr>
        <w:pStyle w:val="FootnoteText"/>
      </w:pPr>
      <w:r>
        <w:rPr>
          <w:rStyle w:val="FootnoteReference"/>
        </w:rPr>
        <w:footnoteRef/>
      </w:r>
      <w:r>
        <w:t xml:space="preserve"> Tr. Vol.</w:t>
      </w:r>
      <w:r w:rsidR="00BA4CCD">
        <w:t xml:space="preserve"> III</w:t>
      </w:r>
      <w:r>
        <w:t xml:space="preserve"> at</w:t>
      </w:r>
      <w:r w:rsidR="00595C34">
        <w:t xml:space="preserve"> 548</w:t>
      </w:r>
      <w:r>
        <w:t>.</w:t>
      </w:r>
    </w:p>
  </w:footnote>
  <w:footnote w:id="70">
    <w:p w14:paraId="13F62F4A" w14:textId="495F4FB1" w:rsidR="00595C34" w:rsidRDefault="00595C34">
      <w:pPr>
        <w:pStyle w:val="FootnoteText"/>
      </w:pPr>
      <w:r>
        <w:rPr>
          <w:rStyle w:val="FootnoteReference"/>
        </w:rPr>
        <w:footnoteRef/>
      </w:r>
      <w:r>
        <w:t xml:space="preserve"> Tr. Vol. III at 546.</w:t>
      </w:r>
    </w:p>
  </w:footnote>
  <w:footnote w:id="71">
    <w:p w14:paraId="72C1C3C9" w14:textId="7EDA58E6" w:rsidR="00DD3A06" w:rsidRDefault="00DD3A06">
      <w:pPr>
        <w:pStyle w:val="FootnoteText"/>
      </w:pPr>
      <w:r>
        <w:rPr>
          <w:rStyle w:val="FootnoteReference"/>
        </w:rPr>
        <w:footnoteRef/>
      </w:r>
      <w:r>
        <w:t xml:space="preserve"> Tr. Vol. II at 351.</w:t>
      </w:r>
    </w:p>
  </w:footnote>
  <w:footnote w:id="72">
    <w:p w14:paraId="1B14F7A3" w14:textId="700D7CC2" w:rsidR="007F399E" w:rsidRDefault="007F399E">
      <w:pPr>
        <w:pStyle w:val="FootnoteText"/>
      </w:pPr>
      <w:r>
        <w:rPr>
          <w:rStyle w:val="FootnoteReference"/>
        </w:rPr>
        <w:footnoteRef/>
      </w:r>
      <w:r>
        <w:t xml:space="preserve"> Brakey Testimony at 47.</w:t>
      </w:r>
    </w:p>
  </w:footnote>
  <w:footnote w:id="73">
    <w:p w14:paraId="03ABBABA" w14:textId="18ED135A" w:rsidR="007F399E" w:rsidRDefault="007F399E">
      <w:pPr>
        <w:pStyle w:val="FootnoteText"/>
      </w:pPr>
      <w:r>
        <w:rPr>
          <w:rStyle w:val="FootnoteReference"/>
        </w:rPr>
        <w:footnoteRef/>
      </w:r>
      <w:r w:rsidR="0002222C">
        <w:rPr>
          <w:i/>
          <w:iCs/>
        </w:rPr>
        <w:t xml:space="preserve"> </w:t>
      </w:r>
      <w:r w:rsidR="004F420C" w:rsidRPr="006202EA">
        <w:rPr>
          <w:i/>
          <w:iCs/>
        </w:rPr>
        <w:t>Id</w:t>
      </w:r>
      <w:r>
        <w:t>.</w:t>
      </w:r>
    </w:p>
  </w:footnote>
  <w:footnote w:id="74">
    <w:p w14:paraId="42805E6D" w14:textId="1D49BA56" w:rsidR="00C318DF" w:rsidRDefault="00C318DF" w:rsidP="00C318DF">
      <w:pPr>
        <w:pStyle w:val="FootnoteText"/>
      </w:pPr>
      <w:r>
        <w:rPr>
          <w:rStyle w:val="FootnoteReference"/>
        </w:rPr>
        <w:footnoteRef/>
      </w:r>
      <w:r>
        <w:t xml:space="preserve"> </w:t>
      </w:r>
      <w:r w:rsidR="007F399E">
        <w:t>Goins Direct at</w:t>
      </w:r>
      <w:r w:rsidR="00995752">
        <w:t xml:space="preserve"> 8</w:t>
      </w:r>
      <w:r w:rsidR="007F399E">
        <w:t>.</w:t>
      </w:r>
    </w:p>
  </w:footnote>
  <w:footnote w:id="75">
    <w:p w14:paraId="236EC024" w14:textId="6DC83208" w:rsidR="00447D14" w:rsidRDefault="00447D14" w:rsidP="0015067B">
      <w:pPr>
        <w:pStyle w:val="FootnoteText"/>
      </w:pPr>
      <w:r>
        <w:rPr>
          <w:rStyle w:val="FootnoteReference"/>
        </w:rPr>
        <w:footnoteRef/>
      </w:r>
      <w:r w:rsidR="009614A3">
        <w:rPr>
          <w:i/>
          <w:iCs/>
        </w:rPr>
        <w:t xml:space="preserve"> </w:t>
      </w:r>
      <w:r w:rsidR="004F420C" w:rsidRPr="006202EA">
        <w:rPr>
          <w:i/>
          <w:iCs/>
        </w:rPr>
        <w:t>Id</w:t>
      </w:r>
      <w:r>
        <w:t>.</w:t>
      </w:r>
    </w:p>
  </w:footnote>
  <w:footnote w:id="76">
    <w:p w14:paraId="5B4FDF6C" w14:textId="606119F9" w:rsidR="00626C36" w:rsidRDefault="00626C36" w:rsidP="0015067B">
      <w:pPr>
        <w:pStyle w:val="FootnoteText"/>
      </w:pPr>
      <w:r>
        <w:rPr>
          <w:rStyle w:val="FootnoteReference"/>
        </w:rPr>
        <w:footnoteRef/>
      </w:r>
      <w:r>
        <w:t xml:space="preserve"> </w:t>
      </w:r>
      <w:r w:rsidRPr="00995752">
        <w:rPr>
          <w:i/>
          <w:iCs/>
        </w:rPr>
        <w:t>Id</w:t>
      </w:r>
      <w:r>
        <w:t>.</w:t>
      </w:r>
    </w:p>
  </w:footnote>
  <w:footnote w:id="77">
    <w:p w14:paraId="32318510" w14:textId="1A91E3CF" w:rsidR="00995752" w:rsidRDefault="00995752">
      <w:pPr>
        <w:pStyle w:val="FootnoteText"/>
      </w:pPr>
      <w:r>
        <w:rPr>
          <w:rStyle w:val="FootnoteReference"/>
        </w:rPr>
        <w:footnoteRef/>
      </w:r>
      <w:r>
        <w:t xml:space="preserve"> Murray Testimony at 7.</w:t>
      </w:r>
    </w:p>
  </w:footnote>
  <w:footnote w:id="78">
    <w:p w14:paraId="0EB79F92" w14:textId="2DC5E135" w:rsidR="00740522" w:rsidRDefault="00740522">
      <w:pPr>
        <w:pStyle w:val="FootnoteText"/>
      </w:pPr>
      <w:r>
        <w:rPr>
          <w:rStyle w:val="FootnoteReference"/>
        </w:rPr>
        <w:footnoteRef/>
      </w:r>
      <w:r>
        <w:t xml:space="preserve"> </w:t>
      </w:r>
      <w:r w:rsidRPr="00740522">
        <w:rPr>
          <w:i/>
          <w:iCs/>
        </w:rPr>
        <w:t>Id</w:t>
      </w:r>
      <w:r>
        <w:t>. at 8 (discussing a recently published joint Memorandum of Understanding “emphasizing the need to maintain the reliability of the power grid during the current energy transition”).</w:t>
      </w:r>
    </w:p>
  </w:footnote>
  <w:footnote w:id="79">
    <w:p w14:paraId="6051285D" w14:textId="3B739682" w:rsidR="00740522" w:rsidRDefault="00740522">
      <w:pPr>
        <w:pStyle w:val="FootnoteText"/>
      </w:pPr>
      <w:r>
        <w:rPr>
          <w:rStyle w:val="FootnoteReference"/>
        </w:rPr>
        <w:footnoteRef/>
      </w:r>
      <w:r>
        <w:t xml:space="preserve"> </w:t>
      </w:r>
      <w:r w:rsidRPr="00740522">
        <w:rPr>
          <w:i/>
          <w:iCs/>
        </w:rPr>
        <w:t>Id</w:t>
      </w:r>
      <w:r>
        <w:t>. at 10 (</w:t>
      </w:r>
      <w:r w:rsidR="00B44987">
        <w:t xml:space="preserve">“In a May 4, </w:t>
      </w:r>
      <w:proofErr w:type="gramStart"/>
      <w:r w:rsidR="00B44987">
        <w:t>2023</w:t>
      </w:r>
      <w:proofErr w:type="gramEnd"/>
      <w:r w:rsidR="00B44987">
        <w:t xml:space="preserve"> hearing before the U.S. Senate Energy and Natural Resources Committee, multiple FERC Commissioners emphasized the reliability issues stemming from the accelerated retirement of thermal generation without commensurate new generation to offset the loss of supply.”)</w:t>
      </w:r>
      <w:r w:rsidR="00254CBD">
        <w:t>.</w:t>
      </w:r>
    </w:p>
  </w:footnote>
  <w:footnote w:id="80">
    <w:p w14:paraId="0D4F6BAD" w14:textId="1C465319" w:rsidR="00B44987" w:rsidRDefault="00B44987">
      <w:pPr>
        <w:pStyle w:val="FootnoteText"/>
      </w:pPr>
      <w:r>
        <w:rPr>
          <w:rStyle w:val="FootnoteReference"/>
        </w:rPr>
        <w:footnoteRef/>
      </w:r>
      <w:r>
        <w:t xml:space="preserve"> </w:t>
      </w:r>
      <w:r w:rsidRPr="00B44987">
        <w:rPr>
          <w:i/>
          <w:iCs/>
        </w:rPr>
        <w:t>Id</w:t>
      </w:r>
      <w:r>
        <w:t xml:space="preserve">. at </w:t>
      </w:r>
      <w:r w:rsidR="00222207">
        <w:t>11</w:t>
      </w:r>
      <w:r>
        <w:t>-</w:t>
      </w:r>
      <w:r w:rsidR="00222207">
        <w:t>12</w:t>
      </w:r>
      <w:r>
        <w:t>.</w:t>
      </w:r>
    </w:p>
  </w:footnote>
  <w:footnote w:id="81">
    <w:p w14:paraId="6F8C6E41" w14:textId="18F47264" w:rsidR="00B44987" w:rsidRDefault="00B44987">
      <w:pPr>
        <w:pStyle w:val="FootnoteText"/>
      </w:pPr>
      <w:r>
        <w:rPr>
          <w:rStyle w:val="FootnoteReference"/>
        </w:rPr>
        <w:footnoteRef/>
      </w:r>
      <w:r>
        <w:t xml:space="preserve"> </w:t>
      </w:r>
      <w:r w:rsidRPr="00B44987">
        <w:rPr>
          <w:i/>
          <w:iCs/>
        </w:rPr>
        <w:t>Id</w:t>
      </w:r>
      <w:r>
        <w:t>. at 12-13.</w:t>
      </w:r>
    </w:p>
  </w:footnote>
  <w:footnote w:id="82">
    <w:p w14:paraId="39A3C415" w14:textId="11D892CC" w:rsidR="00400A78" w:rsidRDefault="00400A78">
      <w:pPr>
        <w:pStyle w:val="FootnoteText"/>
      </w:pPr>
      <w:r>
        <w:rPr>
          <w:rStyle w:val="FootnoteReference"/>
        </w:rPr>
        <w:footnoteRef/>
      </w:r>
      <w:r>
        <w:t xml:space="preserve"> </w:t>
      </w:r>
      <w:r w:rsidRPr="00400A78">
        <w:rPr>
          <w:i/>
          <w:iCs/>
        </w:rPr>
        <w:t>Id</w:t>
      </w:r>
      <w:r>
        <w:t>. at 14.</w:t>
      </w:r>
    </w:p>
  </w:footnote>
  <w:footnote w:id="83">
    <w:p w14:paraId="34B529CC" w14:textId="77777777" w:rsidR="00400A78" w:rsidRDefault="00400A78" w:rsidP="00400A78">
      <w:pPr>
        <w:pStyle w:val="FootnoteText"/>
      </w:pPr>
      <w:r>
        <w:rPr>
          <w:rStyle w:val="FootnoteReference"/>
        </w:rPr>
        <w:footnoteRef/>
      </w:r>
      <w:r>
        <w:t xml:space="preserve"> Brakey Testimony at 46.</w:t>
      </w:r>
    </w:p>
  </w:footnote>
  <w:footnote w:id="84">
    <w:p w14:paraId="5B1E3406" w14:textId="35FAE594" w:rsidR="00EF52F9" w:rsidRDefault="00EF52F9">
      <w:pPr>
        <w:pStyle w:val="FootnoteText"/>
      </w:pPr>
      <w:r>
        <w:rPr>
          <w:rStyle w:val="FootnoteReference"/>
        </w:rPr>
        <w:footnoteRef/>
      </w:r>
      <w:r>
        <w:t xml:space="preserve"> Tr. Vol. III at 542.</w:t>
      </w:r>
    </w:p>
  </w:footnote>
  <w:footnote w:id="85">
    <w:p w14:paraId="2281CB3A" w14:textId="2278983D" w:rsidR="00BD0D5B" w:rsidRDefault="00BD0D5B" w:rsidP="00BD0D5B">
      <w:pPr>
        <w:pStyle w:val="FootnoteText"/>
      </w:pPr>
      <w:r>
        <w:rPr>
          <w:rStyle w:val="FootnoteReference"/>
        </w:rPr>
        <w:footnoteRef/>
      </w:r>
      <w:r>
        <w:t xml:space="preserve"> </w:t>
      </w:r>
      <w:r w:rsidR="00EF52F9" w:rsidRPr="00EF52F9">
        <w:rPr>
          <w:i/>
          <w:iCs/>
        </w:rPr>
        <w:t>Id</w:t>
      </w:r>
      <w:r w:rsidR="00EF52F9">
        <w:t>. at 543</w:t>
      </w:r>
      <w:r>
        <w:t>.</w:t>
      </w:r>
    </w:p>
  </w:footnote>
  <w:footnote w:id="86">
    <w:p w14:paraId="685E3FDE" w14:textId="6775DD2D" w:rsidR="00BD0D5B" w:rsidRDefault="00BD0D5B" w:rsidP="00BD0D5B">
      <w:pPr>
        <w:pStyle w:val="FootnoteText"/>
      </w:pPr>
      <w:r>
        <w:rPr>
          <w:rStyle w:val="FootnoteReference"/>
        </w:rPr>
        <w:footnoteRef/>
      </w:r>
      <w:r>
        <w:t xml:space="preserve"> </w:t>
      </w:r>
      <w:r w:rsidR="00951355" w:rsidRPr="00951355">
        <w:rPr>
          <w:i/>
          <w:iCs/>
        </w:rPr>
        <w:t>Id</w:t>
      </w:r>
      <w:r>
        <w:t>.</w:t>
      </w:r>
    </w:p>
  </w:footnote>
  <w:footnote w:id="87">
    <w:p w14:paraId="3ABD5CCF" w14:textId="6DC85C60" w:rsidR="00951355" w:rsidRDefault="00951355">
      <w:pPr>
        <w:pStyle w:val="FootnoteText"/>
      </w:pPr>
      <w:r>
        <w:rPr>
          <w:rStyle w:val="FootnoteReference"/>
        </w:rPr>
        <w:footnoteRef/>
      </w:r>
      <w:r>
        <w:t xml:space="preserve"> Direct Testimony of Dhara Patel on Behalf of Ohio Edison Company, The Cleveland Electric Illuminating Company and </w:t>
      </w:r>
      <w:r w:rsidR="00181456">
        <w:t xml:space="preserve">The </w:t>
      </w:r>
      <w:r>
        <w:t xml:space="preserve">Toledo Edison Company, Companies Ex. </w:t>
      </w:r>
      <w:r w:rsidR="00C942A0">
        <w:t xml:space="preserve">4 at 5. </w:t>
      </w:r>
    </w:p>
  </w:footnote>
  <w:footnote w:id="88">
    <w:p w14:paraId="31F42A0B" w14:textId="583976BC" w:rsidR="002305E6" w:rsidRDefault="002305E6" w:rsidP="0015067B">
      <w:pPr>
        <w:pStyle w:val="FootnoteText"/>
      </w:pPr>
      <w:r>
        <w:rPr>
          <w:rStyle w:val="FootnoteReference"/>
        </w:rPr>
        <w:footnoteRef/>
      </w:r>
      <w:r>
        <w:t xml:space="preserve"> Goins Testimony at 16.</w:t>
      </w:r>
    </w:p>
  </w:footnote>
  <w:footnote w:id="89">
    <w:p w14:paraId="0A72F601" w14:textId="554BD19D" w:rsidR="009E6F88" w:rsidRDefault="009E6F88" w:rsidP="0015067B">
      <w:pPr>
        <w:pStyle w:val="FootnoteText"/>
      </w:pPr>
      <w:r>
        <w:rPr>
          <w:rStyle w:val="FootnoteReference"/>
        </w:rPr>
        <w:footnoteRef/>
      </w:r>
      <w:r>
        <w:t xml:space="preserve"> McMillen</w:t>
      </w:r>
      <w:r w:rsidR="00D9731A">
        <w:t xml:space="preserve"> Testimony</w:t>
      </w:r>
      <w:r>
        <w:t xml:space="preserve"> at 12.</w:t>
      </w:r>
    </w:p>
  </w:footnote>
  <w:footnote w:id="90">
    <w:p w14:paraId="77542C4C" w14:textId="7396D6B1" w:rsidR="009E6F88" w:rsidRDefault="009E6F88" w:rsidP="0015067B">
      <w:pPr>
        <w:pStyle w:val="FootnoteText"/>
      </w:pPr>
      <w:r>
        <w:rPr>
          <w:rStyle w:val="FootnoteReference"/>
        </w:rPr>
        <w:footnoteRef/>
      </w:r>
      <w:r>
        <w:t xml:space="preserve"> Stein</w:t>
      </w:r>
      <w:r w:rsidR="00D9731A">
        <w:t xml:space="preserve"> Testimony</w:t>
      </w:r>
      <w:r>
        <w:t xml:space="preserve"> at 4</w:t>
      </w:r>
      <w:r w:rsidR="00327E81">
        <w:t>-5</w:t>
      </w:r>
      <w:r>
        <w:t>.</w:t>
      </w:r>
    </w:p>
  </w:footnote>
  <w:footnote w:id="91">
    <w:p w14:paraId="3A3B6C85" w14:textId="4432EEB0" w:rsidR="009E6F88" w:rsidRPr="00DA7160" w:rsidRDefault="009E6F88" w:rsidP="0015067B">
      <w:pPr>
        <w:pStyle w:val="FootnoteText"/>
      </w:pPr>
      <w:r>
        <w:rPr>
          <w:rStyle w:val="FootnoteReference"/>
        </w:rPr>
        <w:footnoteRef/>
      </w:r>
      <w:r>
        <w:t xml:space="preserve"> </w:t>
      </w:r>
      <w:r w:rsidRPr="00945919">
        <w:rPr>
          <w:i/>
          <w:iCs/>
        </w:rPr>
        <w:t>Id</w:t>
      </w:r>
      <w:r>
        <w:rPr>
          <w:i/>
          <w:iCs/>
        </w:rPr>
        <w:t>.</w:t>
      </w:r>
      <w:r>
        <w:t xml:space="preserve"> </w:t>
      </w:r>
      <w:r w:rsidR="00327E81">
        <w:t>at 5-6.</w:t>
      </w:r>
    </w:p>
  </w:footnote>
  <w:footnote w:id="92">
    <w:p w14:paraId="6775E674" w14:textId="54793A02" w:rsidR="00945919" w:rsidRDefault="00945919">
      <w:pPr>
        <w:pStyle w:val="FootnoteText"/>
      </w:pPr>
      <w:r>
        <w:rPr>
          <w:rStyle w:val="FootnoteReference"/>
        </w:rPr>
        <w:footnoteRef/>
      </w:r>
      <w:r>
        <w:t xml:space="preserve"> </w:t>
      </w:r>
      <w:r w:rsidRPr="00945919">
        <w:rPr>
          <w:i/>
          <w:iCs/>
        </w:rPr>
        <w:t>Id</w:t>
      </w:r>
      <w:r>
        <w:t xml:space="preserve">. </w:t>
      </w:r>
      <w:r w:rsidR="00327E81">
        <w:t>at 5.</w:t>
      </w:r>
    </w:p>
  </w:footnote>
  <w:footnote w:id="93">
    <w:p w14:paraId="1B39B559" w14:textId="3A8CBEE5" w:rsidR="009E6F88" w:rsidRPr="004822E9" w:rsidRDefault="009E6F88" w:rsidP="0015067B">
      <w:pPr>
        <w:pStyle w:val="FootnoteText"/>
      </w:pPr>
      <w:r>
        <w:rPr>
          <w:rStyle w:val="FootnoteReference"/>
        </w:rPr>
        <w:footnoteRef/>
      </w:r>
      <w:r>
        <w:t xml:space="preserve"> </w:t>
      </w:r>
      <w:r>
        <w:rPr>
          <w:i/>
          <w:iCs/>
        </w:rPr>
        <w:t>See</w:t>
      </w:r>
      <w:r>
        <w:t xml:space="preserve"> OMAEG Ex. 12, Response to PUCO DR-006(i); </w:t>
      </w:r>
      <w:r>
        <w:rPr>
          <w:i/>
          <w:iCs/>
        </w:rPr>
        <w:t>see also</w:t>
      </w:r>
      <w:r>
        <w:t xml:space="preserve"> McMill</w:t>
      </w:r>
      <w:r w:rsidR="00B40BE8">
        <w:t>e</w:t>
      </w:r>
      <w:r>
        <w:t>n</w:t>
      </w:r>
      <w:r w:rsidR="0047380D">
        <w:t xml:space="preserve"> Testimony</w:t>
      </w:r>
      <w:r>
        <w:t xml:space="preserve"> at 14 (“Over the term of ESP IV, average annual PJM revenue offsets for Rider ELR resources credited to customers were approximately $2 million.”).</w:t>
      </w:r>
    </w:p>
  </w:footnote>
  <w:footnote w:id="94">
    <w:p w14:paraId="044D4010" w14:textId="2B82420E" w:rsidR="00B40BE8" w:rsidRDefault="00B40BE8">
      <w:pPr>
        <w:pStyle w:val="FootnoteText"/>
      </w:pPr>
      <w:r>
        <w:rPr>
          <w:rStyle w:val="FootnoteReference"/>
        </w:rPr>
        <w:footnoteRef/>
      </w:r>
      <w:r>
        <w:t xml:space="preserve"> McMillen Testimony at 14. </w:t>
      </w:r>
    </w:p>
  </w:footnote>
  <w:footnote w:id="95">
    <w:p w14:paraId="6CB5C4D1" w14:textId="25C5D2C0" w:rsidR="00461FB2" w:rsidRDefault="00461FB2">
      <w:pPr>
        <w:pStyle w:val="FootnoteText"/>
      </w:pPr>
      <w:r>
        <w:rPr>
          <w:rStyle w:val="FootnoteReference"/>
        </w:rPr>
        <w:footnoteRef/>
      </w:r>
      <w:r>
        <w:t xml:space="preserve"> </w:t>
      </w:r>
      <w:r w:rsidRPr="00461FB2">
        <w:rPr>
          <w:i/>
          <w:iCs/>
        </w:rPr>
        <w:t xml:space="preserve">See </w:t>
      </w:r>
      <w:proofErr w:type="gramStart"/>
      <w:r w:rsidRPr="00461FB2">
        <w:rPr>
          <w:i/>
          <w:iCs/>
        </w:rPr>
        <w:t>supra</w:t>
      </w:r>
      <w:r>
        <w:t xml:space="preserve"> </w:t>
      </w:r>
      <w:r w:rsidR="00FB6A23">
        <w:t>Section III</w:t>
      </w:r>
      <w:proofErr w:type="gramEnd"/>
      <w:r w:rsidR="00FB6A23">
        <w:t>.A.3.a.</w:t>
      </w:r>
    </w:p>
  </w:footnote>
  <w:footnote w:id="96">
    <w:p w14:paraId="5A907242" w14:textId="4A69012E" w:rsidR="00461FB2" w:rsidRDefault="00461FB2">
      <w:pPr>
        <w:pStyle w:val="FootnoteText"/>
      </w:pPr>
      <w:r>
        <w:rPr>
          <w:rStyle w:val="FootnoteReference"/>
        </w:rPr>
        <w:footnoteRef/>
      </w:r>
      <w:r>
        <w:t xml:space="preserve"> </w:t>
      </w:r>
      <w:r w:rsidR="002913AF">
        <w:t xml:space="preserve">Tr. Vol. III at 548-49; </w:t>
      </w:r>
      <w:r>
        <w:t>Tr. Vol. XIV at 2572-73 (Staff Witness Healey acknowledged that if PJM capacity prices increase, assuming FirstEnergy prudently bids the ELR load into the capacity markets as it does today, credits back to non-ELR customers would increase).</w:t>
      </w:r>
    </w:p>
  </w:footnote>
  <w:footnote w:id="97">
    <w:p w14:paraId="0FEEE4AA" w14:textId="77777777" w:rsidR="009E6F88" w:rsidRPr="007A6C83" w:rsidRDefault="009E6F88" w:rsidP="0015067B">
      <w:pPr>
        <w:pStyle w:val="FootnoteText"/>
      </w:pPr>
      <w:r>
        <w:rPr>
          <w:rStyle w:val="FootnoteReference"/>
        </w:rPr>
        <w:footnoteRef/>
      </w:r>
      <w:r>
        <w:t xml:space="preserve"> </w:t>
      </w:r>
      <w:r>
        <w:rPr>
          <w:i/>
          <w:iCs/>
        </w:rPr>
        <w:t>See</w:t>
      </w:r>
      <w:r>
        <w:t xml:space="preserve"> OELC Ex. 2, Response to OELC Set 01-INT-014(g).</w:t>
      </w:r>
    </w:p>
  </w:footnote>
  <w:footnote w:id="98">
    <w:p w14:paraId="78822543" w14:textId="0579E343" w:rsidR="00127170" w:rsidRDefault="00127170">
      <w:pPr>
        <w:pStyle w:val="FootnoteText"/>
      </w:pPr>
      <w:r>
        <w:rPr>
          <w:rStyle w:val="FootnoteReference"/>
        </w:rPr>
        <w:footnoteRef/>
      </w:r>
      <w:r>
        <w:t xml:space="preserve"> </w:t>
      </w:r>
      <w:r w:rsidR="00D51E96">
        <w:t>Tr. Vol. III at 550.</w:t>
      </w:r>
    </w:p>
  </w:footnote>
  <w:footnote w:id="99">
    <w:p w14:paraId="654CB776" w14:textId="7A0363EB" w:rsidR="00DF2082" w:rsidRDefault="00DF2082" w:rsidP="00DF2082">
      <w:pPr>
        <w:pStyle w:val="FootnoteText"/>
      </w:pPr>
      <w:r>
        <w:rPr>
          <w:rStyle w:val="FootnoteReference"/>
        </w:rPr>
        <w:footnoteRef/>
      </w:r>
      <w:r>
        <w:t xml:space="preserve"> </w:t>
      </w:r>
      <w:r w:rsidR="00D51E96">
        <w:t>Tr. Vol. VII at 1525.</w:t>
      </w:r>
    </w:p>
  </w:footnote>
  <w:footnote w:id="100">
    <w:p w14:paraId="22A0EEB7" w14:textId="525D9A5E" w:rsidR="00182C02" w:rsidRDefault="00182C02">
      <w:pPr>
        <w:pStyle w:val="FootnoteText"/>
      </w:pPr>
      <w:r>
        <w:rPr>
          <w:rStyle w:val="FootnoteReference"/>
        </w:rPr>
        <w:footnoteRef/>
      </w:r>
      <w:r>
        <w:t xml:space="preserve"> Tr. Vol. III at 523.</w:t>
      </w:r>
    </w:p>
  </w:footnote>
  <w:footnote w:id="101">
    <w:p w14:paraId="378D6A9B" w14:textId="4CB10286" w:rsidR="009E6F88" w:rsidRDefault="009E6F88" w:rsidP="002B0649">
      <w:pPr>
        <w:pStyle w:val="FootnoteText"/>
      </w:pPr>
      <w:r>
        <w:rPr>
          <w:rStyle w:val="FootnoteReference"/>
        </w:rPr>
        <w:footnoteRef/>
      </w:r>
      <w:r>
        <w:t xml:space="preserve"> FirstEnergy indicated that even if the Companies did not serve as CSP for Rider ELR customers, FirstEnergy will still need to maintain a communicates system with Rider ELR customers. Tr. </w:t>
      </w:r>
      <w:r w:rsidR="0018493F">
        <w:t>V</w:t>
      </w:r>
      <w:r w:rsidR="00DC658D">
        <w:t>ol</w:t>
      </w:r>
      <w:r>
        <w:t>. VII</w:t>
      </w:r>
      <w:r w:rsidR="0018493F">
        <w:t xml:space="preserve"> at</w:t>
      </w:r>
      <w:r>
        <w:t xml:space="preserve"> 1526.</w:t>
      </w:r>
    </w:p>
  </w:footnote>
  <w:footnote w:id="102">
    <w:p w14:paraId="5FC0452D" w14:textId="2D103579" w:rsidR="002D0136" w:rsidRDefault="002D0136">
      <w:pPr>
        <w:pStyle w:val="FootnoteText"/>
      </w:pPr>
      <w:r>
        <w:rPr>
          <w:rStyle w:val="FootnoteReference"/>
        </w:rPr>
        <w:footnoteRef/>
      </w:r>
      <w:r>
        <w:t xml:space="preserve"> Goins Testimony at 17.</w:t>
      </w:r>
    </w:p>
  </w:footnote>
  <w:footnote w:id="103">
    <w:p w14:paraId="473F8FEE" w14:textId="7506AA69" w:rsidR="009E6F88" w:rsidRPr="006F259A" w:rsidRDefault="009E6F88" w:rsidP="002B0649">
      <w:pPr>
        <w:pStyle w:val="FootnoteText"/>
      </w:pPr>
      <w:r>
        <w:rPr>
          <w:rStyle w:val="FootnoteReference"/>
        </w:rPr>
        <w:footnoteRef/>
      </w:r>
      <w:r>
        <w:t xml:space="preserve"> </w:t>
      </w:r>
      <w:r>
        <w:rPr>
          <w:i/>
          <w:iCs/>
        </w:rPr>
        <w:t>See</w:t>
      </w:r>
      <w:r>
        <w:t xml:space="preserve"> OELC Ex. 1, </w:t>
      </w:r>
      <w:r w:rsidRPr="006F259A">
        <w:t>Response to Nucor Set 1-INT-004(b)</w:t>
      </w:r>
      <w:r w:rsidR="006E4036">
        <w:t>; Tr. Vol. II at 298</w:t>
      </w:r>
      <w:r w:rsidRPr="006F259A">
        <w:t>.</w:t>
      </w:r>
    </w:p>
  </w:footnote>
  <w:footnote w:id="104">
    <w:p w14:paraId="0B8B27CE" w14:textId="33B2A51C" w:rsidR="00DA71A3" w:rsidRDefault="00DA71A3" w:rsidP="002B0649">
      <w:pPr>
        <w:pStyle w:val="FootnoteText"/>
      </w:pPr>
      <w:r>
        <w:rPr>
          <w:rStyle w:val="FootnoteReference"/>
        </w:rPr>
        <w:footnoteRef/>
      </w:r>
      <w:r w:rsidR="009F5F3F">
        <w:t xml:space="preserve"> </w:t>
      </w:r>
      <w:r w:rsidR="00F363E6">
        <w:t>OELC Ex. 1</w:t>
      </w:r>
      <w:r>
        <w:t xml:space="preserve">, </w:t>
      </w:r>
      <w:r w:rsidRPr="006F259A">
        <w:t>Response to Nucor Set 1-INT-004(</w:t>
      </w:r>
      <w:r>
        <w:t>f).</w:t>
      </w:r>
    </w:p>
  </w:footnote>
  <w:footnote w:id="105">
    <w:p w14:paraId="6C816C35" w14:textId="35F3A898" w:rsidR="009E6F88" w:rsidRPr="006F259A" w:rsidRDefault="009E6F88" w:rsidP="002B0649">
      <w:pPr>
        <w:pStyle w:val="FootnoteText"/>
      </w:pPr>
      <w:r>
        <w:rPr>
          <w:rStyle w:val="FootnoteReference"/>
        </w:rPr>
        <w:footnoteRef/>
      </w:r>
      <w:r>
        <w:t xml:space="preserve"> </w:t>
      </w:r>
      <w:r>
        <w:rPr>
          <w:i/>
          <w:iCs/>
        </w:rPr>
        <w:t xml:space="preserve">See </w:t>
      </w:r>
      <w:r>
        <w:t>Direct Testimony of Edward C. Miller</w:t>
      </w:r>
      <w:r w:rsidR="005B2296">
        <w:t xml:space="preserve"> on Behalf of Ohio Edison Company, The Cleveland Electric Illuminating C</w:t>
      </w:r>
      <w:r w:rsidR="00066D0B">
        <w:t xml:space="preserve">ompany and </w:t>
      </w:r>
      <w:r w:rsidR="0040386F">
        <w:t xml:space="preserve">The </w:t>
      </w:r>
      <w:r w:rsidR="00066D0B">
        <w:t>Toledo Edison Company</w:t>
      </w:r>
      <w:r w:rsidR="0040386F">
        <w:t>, Companies Ex. 5</w:t>
      </w:r>
      <w:r>
        <w:t xml:space="preserve"> at 30 (explaining that the Companies will offer qualifying energy efficiency resources into PJM’s capacity market).</w:t>
      </w:r>
    </w:p>
  </w:footnote>
  <w:footnote w:id="106">
    <w:p w14:paraId="2338F5C5" w14:textId="76157D15" w:rsidR="00CF6527" w:rsidRDefault="00CF6527">
      <w:pPr>
        <w:pStyle w:val="FootnoteText"/>
      </w:pPr>
      <w:r>
        <w:rPr>
          <w:rStyle w:val="FootnoteReference"/>
        </w:rPr>
        <w:footnoteRef/>
      </w:r>
      <w:r>
        <w:t xml:space="preserve"> Stein Testimony at 4-5.</w:t>
      </w:r>
    </w:p>
  </w:footnote>
  <w:footnote w:id="107">
    <w:p w14:paraId="6146DBCF" w14:textId="16ED3DF8" w:rsidR="00CF6527" w:rsidRDefault="00CF6527">
      <w:pPr>
        <w:pStyle w:val="FootnoteText"/>
      </w:pPr>
      <w:r>
        <w:rPr>
          <w:rStyle w:val="FootnoteReference"/>
        </w:rPr>
        <w:footnoteRef/>
      </w:r>
      <w:r>
        <w:t xml:space="preserve"> Brakey Testimony at 54-55.</w:t>
      </w:r>
    </w:p>
  </w:footnote>
  <w:footnote w:id="108">
    <w:p w14:paraId="0AF498D3" w14:textId="13014E9A" w:rsidR="00CF6527" w:rsidRDefault="00CF6527">
      <w:pPr>
        <w:pStyle w:val="FootnoteText"/>
      </w:pPr>
      <w:r>
        <w:rPr>
          <w:rStyle w:val="FootnoteReference"/>
        </w:rPr>
        <w:footnoteRef/>
      </w:r>
      <w:r>
        <w:t xml:space="preserve"> </w:t>
      </w:r>
      <w:r w:rsidRPr="00CF6527">
        <w:rPr>
          <w:i/>
          <w:iCs/>
        </w:rPr>
        <w:t>Id</w:t>
      </w:r>
      <w:r>
        <w:t>. at 55.</w:t>
      </w:r>
    </w:p>
  </w:footnote>
  <w:footnote w:id="109">
    <w:p w14:paraId="24385455" w14:textId="29CB680A" w:rsidR="00F46AC2" w:rsidRDefault="00F46AC2">
      <w:pPr>
        <w:pStyle w:val="FootnoteText"/>
      </w:pPr>
      <w:r>
        <w:rPr>
          <w:rStyle w:val="FootnoteReference"/>
        </w:rPr>
        <w:footnoteRef/>
      </w:r>
      <w:r>
        <w:t xml:space="preserve"> </w:t>
      </w:r>
      <w:r w:rsidRPr="00F46AC2">
        <w:rPr>
          <w:i/>
          <w:iCs/>
        </w:rPr>
        <w:t>Id</w:t>
      </w:r>
      <w:r>
        <w:t>.</w:t>
      </w:r>
    </w:p>
  </w:footnote>
  <w:footnote w:id="110">
    <w:p w14:paraId="3A018549" w14:textId="4E11F0FD" w:rsidR="00F46AC2" w:rsidRDefault="00F46AC2">
      <w:pPr>
        <w:pStyle w:val="FootnoteText"/>
      </w:pPr>
      <w:r>
        <w:rPr>
          <w:rStyle w:val="FootnoteReference"/>
        </w:rPr>
        <w:footnoteRef/>
      </w:r>
      <w:r>
        <w:t xml:space="preserve"> Healey Testimony at 21-22.</w:t>
      </w:r>
    </w:p>
  </w:footnote>
  <w:footnote w:id="111">
    <w:p w14:paraId="4933DF2F" w14:textId="3DDD283A" w:rsidR="002B0649" w:rsidRDefault="002B0649" w:rsidP="002B0649">
      <w:pPr>
        <w:pStyle w:val="FootnoteText"/>
      </w:pPr>
      <w:r>
        <w:rPr>
          <w:rStyle w:val="FootnoteReference"/>
        </w:rPr>
        <w:footnoteRef/>
      </w:r>
      <w:r>
        <w:t xml:space="preserve"> Direct Testimony of Juliette Lawless</w:t>
      </w:r>
      <w:r w:rsidR="009C0849">
        <w:t xml:space="preserve"> on Behalf of Ohio Edison Company, The Cleveland Electric Illuminating Company, and </w:t>
      </w:r>
      <w:r w:rsidR="00635B06">
        <w:t xml:space="preserve">The </w:t>
      </w:r>
      <w:r w:rsidR="009C0849">
        <w:t>Toledo Edison Company, Companies Ex. 7 (“Lawless Testimony”)</w:t>
      </w:r>
      <w:r>
        <w:t xml:space="preserve"> at 7-8.</w:t>
      </w:r>
    </w:p>
  </w:footnote>
  <w:footnote w:id="112">
    <w:p w14:paraId="6605E9A2" w14:textId="06F7ECF3" w:rsidR="002B0649" w:rsidRPr="00F32F81" w:rsidRDefault="002B0649" w:rsidP="002B0649">
      <w:pPr>
        <w:pStyle w:val="FootnoteText"/>
      </w:pPr>
      <w:r>
        <w:rPr>
          <w:rStyle w:val="FootnoteReference"/>
        </w:rPr>
        <w:footnoteRef/>
      </w:r>
      <w:r>
        <w:t xml:space="preserve"> </w:t>
      </w:r>
      <w:r>
        <w:rPr>
          <w:i/>
          <w:iCs/>
        </w:rPr>
        <w:t>Id.</w:t>
      </w:r>
      <w:r>
        <w:t xml:space="preserve"> at 8.</w:t>
      </w:r>
    </w:p>
  </w:footnote>
  <w:footnote w:id="113">
    <w:p w14:paraId="0BE0EAB5" w14:textId="37575284" w:rsidR="002B0649" w:rsidRPr="00F32F81" w:rsidRDefault="002B0649" w:rsidP="002B0649">
      <w:pPr>
        <w:pStyle w:val="FootnoteText"/>
      </w:pPr>
      <w:r w:rsidRPr="001E764C">
        <w:rPr>
          <w:rStyle w:val="FootnoteReference"/>
        </w:rPr>
        <w:footnoteRef/>
      </w:r>
      <w:r w:rsidRPr="001E764C">
        <w:t xml:space="preserve"> </w:t>
      </w:r>
      <w:r w:rsidRPr="001E764C">
        <w:rPr>
          <w:i/>
          <w:iCs/>
        </w:rPr>
        <w:t>Id.</w:t>
      </w:r>
    </w:p>
  </w:footnote>
  <w:footnote w:id="114">
    <w:p w14:paraId="4E98E916" w14:textId="584FBEFC" w:rsidR="002B0649" w:rsidRDefault="002B0649" w:rsidP="002B0649">
      <w:pPr>
        <w:pStyle w:val="FootnoteText"/>
      </w:pPr>
      <w:r>
        <w:rPr>
          <w:rStyle w:val="FootnoteReference"/>
        </w:rPr>
        <w:footnoteRef/>
      </w:r>
      <w:r>
        <w:t xml:space="preserve"> Goins</w:t>
      </w:r>
      <w:r w:rsidR="007D0422">
        <w:t xml:space="preserve"> Testimony</w:t>
      </w:r>
      <w:r>
        <w:t xml:space="preserve"> at 19.</w:t>
      </w:r>
    </w:p>
  </w:footnote>
  <w:footnote w:id="115">
    <w:p w14:paraId="5B32C7D5" w14:textId="2C056520" w:rsidR="002B0649" w:rsidRPr="00D56F51" w:rsidRDefault="002B0649" w:rsidP="002B0649">
      <w:pPr>
        <w:pStyle w:val="FootnoteText"/>
      </w:pPr>
      <w:r>
        <w:rPr>
          <w:rStyle w:val="FootnoteReference"/>
        </w:rPr>
        <w:footnoteRef/>
      </w:r>
      <w:r>
        <w:t xml:space="preserve"> Stein</w:t>
      </w:r>
      <w:r w:rsidR="00B46954">
        <w:t xml:space="preserve"> Testimony</w:t>
      </w:r>
      <w:r>
        <w:t xml:space="preserve"> at 10. Each customer’s NSPL is set by taking the average of the customer’s hourly load coincident with the Companies’ five highest hourly peaks during a year; NSPL values are set each year for the period January 1 to December 31 based on the system peak from the prior year. </w:t>
      </w:r>
      <w:r>
        <w:rPr>
          <w:i/>
          <w:iCs/>
        </w:rPr>
        <w:t>Id.</w:t>
      </w:r>
    </w:p>
  </w:footnote>
  <w:footnote w:id="116">
    <w:p w14:paraId="46292439" w14:textId="79A3C257" w:rsidR="002B0649" w:rsidRPr="008F3120" w:rsidRDefault="002B0649" w:rsidP="002B0649">
      <w:pPr>
        <w:pStyle w:val="FootnoteText"/>
      </w:pPr>
      <w:r>
        <w:rPr>
          <w:rStyle w:val="FootnoteReference"/>
        </w:rPr>
        <w:footnoteRef/>
      </w:r>
      <w:r>
        <w:t xml:space="preserve"> Goins</w:t>
      </w:r>
      <w:r w:rsidR="00DE6572">
        <w:t xml:space="preserve"> Testimony</w:t>
      </w:r>
      <w:r>
        <w:t xml:space="preserve"> at 19.</w:t>
      </w:r>
    </w:p>
  </w:footnote>
  <w:footnote w:id="117">
    <w:p w14:paraId="335F837D" w14:textId="660547ED" w:rsidR="002B0649" w:rsidRPr="008F3120" w:rsidRDefault="002B0649" w:rsidP="002B0649">
      <w:pPr>
        <w:pStyle w:val="FootnoteText"/>
      </w:pPr>
      <w:r>
        <w:rPr>
          <w:rStyle w:val="FootnoteReference"/>
        </w:rPr>
        <w:footnoteRef/>
      </w:r>
      <w:r>
        <w:t xml:space="preserve"> </w:t>
      </w:r>
      <w:r>
        <w:rPr>
          <w:i/>
          <w:iCs/>
        </w:rPr>
        <w:t>Id.</w:t>
      </w:r>
    </w:p>
  </w:footnote>
  <w:footnote w:id="118">
    <w:p w14:paraId="724411A6" w14:textId="0D02E467" w:rsidR="002B0649" w:rsidRDefault="002B0649" w:rsidP="002B0649">
      <w:pPr>
        <w:pStyle w:val="FootnoteText"/>
      </w:pPr>
      <w:r>
        <w:rPr>
          <w:rStyle w:val="FootnoteReference"/>
        </w:rPr>
        <w:footnoteRef/>
      </w:r>
      <w:r>
        <w:t xml:space="preserve"> Lawless</w:t>
      </w:r>
      <w:r w:rsidR="00CE57F0">
        <w:t xml:space="preserve"> Testimony</w:t>
      </w:r>
      <w:r>
        <w:t xml:space="preserve"> at 10.</w:t>
      </w:r>
    </w:p>
  </w:footnote>
  <w:footnote w:id="119">
    <w:p w14:paraId="3865F2D5" w14:textId="7D018315" w:rsidR="002B0649" w:rsidRPr="00285593" w:rsidRDefault="002B0649" w:rsidP="002B0649">
      <w:pPr>
        <w:pStyle w:val="FootnoteText"/>
      </w:pPr>
      <w:r>
        <w:rPr>
          <w:rStyle w:val="FootnoteReference"/>
        </w:rPr>
        <w:footnoteRef/>
      </w:r>
      <w:r>
        <w:t xml:space="preserve"> </w:t>
      </w:r>
      <w:r>
        <w:rPr>
          <w:i/>
          <w:iCs/>
        </w:rPr>
        <w:t>Id.</w:t>
      </w:r>
      <w:r>
        <w:t xml:space="preserve"> at 11.</w:t>
      </w:r>
    </w:p>
  </w:footnote>
  <w:footnote w:id="120">
    <w:p w14:paraId="3A21B404" w14:textId="77777777" w:rsidR="002B0649" w:rsidRPr="00285593" w:rsidRDefault="002B0649" w:rsidP="002B0649">
      <w:pPr>
        <w:pStyle w:val="FootnoteText"/>
      </w:pPr>
      <w:r>
        <w:rPr>
          <w:rStyle w:val="FootnoteReference"/>
        </w:rPr>
        <w:footnoteRef/>
      </w:r>
      <w:r>
        <w:t xml:space="preserve"> </w:t>
      </w:r>
      <w:r>
        <w:rPr>
          <w:i/>
          <w:iCs/>
        </w:rPr>
        <w:t>Id.</w:t>
      </w:r>
    </w:p>
  </w:footnote>
  <w:footnote w:id="121">
    <w:p w14:paraId="3A03C0BD" w14:textId="3A98851B" w:rsidR="002B0649" w:rsidRPr="00D12837" w:rsidRDefault="002B0649" w:rsidP="002B0649">
      <w:pPr>
        <w:pStyle w:val="FootnoteText"/>
      </w:pPr>
      <w:r>
        <w:rPr>
          <w:rStyle w:val="FootnoteReference"/>
        </w:rPr>
        <w:footnoteRef/>
      </w:r>
      <w:r>
        <w:t xml:space="preserve"> </w:t>
      </w:r>
      <w:r>
        <w:rPr>
          <w:i/>
          <w:iCs/>
        </w:rPr>
        <w:t>Id.</w:t>
      </w:r>
    </w:p>
  </w:footnote>
  <w:footnote w:id="122">
    <w:p w14:paraId="3D05F0D8" w14:textId="10768D1A" w:rsidR="002B0649" w:rsidRPr="00641490" w:rsidRDefault="002B0649" w:rsidP="002B0649">
      <w:pPr>
        <w:pStyle w:val="FootnoteText"/>
      </w:pPr>
      <w:r>
        <w:rPr>
          <w:rStyle w:val="FootnoteReference"/>
        </w:rPr>
        <w:footnoteRef/>
      </w:r>
      <w:r>
        <w:t xml:space="preserve"> </w:t>
      </w:r>
      <w:r>
        <w:rPr>
          <w:i/>
          <w:iCs/>
        </w:rPr>
        <w:t>Id.</w:t>
      </w:r>
      <w:r>
        <w:t xml:space="preserve"> at 10.</w:t>
      </w:r>
    </w:p>
  </w:footnote>
  <w:footnote w:id="123">
    <w:p w14:paraId="27F574AC" w14:textId="5F97B08D" w:rsidR="002B0649" w:rsidRPr="00D56F51" w:rsidRDefault="002B0649" w:rsidP="002B0649">
      <w:pPr>
        <w:pStyle w:val="FootnoteText"/>
      </w:pPr>
      <w:r>
        <w:rPr>
          <w:rStyle w:val="FootnoteReference"/>
        </w:rPr>
        <w:footnoteRef/>
      </w:r>
      <w:r>
        <w:t xml:space="preserve"> </w:t>
      </w:r>
      <w:r>
        <w:rPr>
          <w:i/>
          <w:iCs/>
        </w:rPr>
        <w:t>Id.</w:t>
      </w:r>
      <w:r>
        <w:t xml:space="preserve"> at 12.</w:t>
      </w:r>
    </w:p>
  </w:footnote>
  <w:footnote w:id="124">
    <w:p w14:paraId="0E89BB09" w14:textId="73A53DFD" w:rsidR="002B0649" w:rsidRPr="00D56F51" w:rsidRDefault="002B0649" w:rsidP="002B0649">
      <w:pPr>
        <w:pStyle w:val="FootnoteText"/>
      </w:pPr>
      <w:r>
        <w:rPr>
          <w:rStyle w:val="FootnoteReference"/>
        </w:rPr>
        <w:footnoteRef/>
      </w:r>
      <w:r>
        <w:t xml:space="preserve"> </w:t>
      </w:r>
      <w:r>
        <w:rPr>
          <w:i/>
          <w:iCs/>
        </w:rPr>
        <w:t>Id.</w:t>
      </w:r>
    </w:p>
  </w:footnote>
  <w:footnote w:id="125">
    <w:p w14:paraId="54D905DC" w14:textId="01141732" w:rsidR="002B0649" w:rsidRPr="003B5845" w:rsidRDefault="002B0649" w:rsidP="002B0649">
      <w:pPr>
        <w:pStyle w:val="FootnoteText"/>
      </w:pPr>
      <w:r>
        <w:rPr>
          <w:rStyle w:val="FootnoteReference"/>
        </w:rPr>
        <w:footnoteRef/>
      </w:r>
      <w:r>
        <w:t xml:space="preserve"> Stein</w:t>
      </w:r>
      <w:r w:rsidR="00FB639A">
        <w:t xml:space="preserve"> Testimony</w:t>
      </w:r>
      <w:r>
        <w:t xml:space="preserve"> at 11.</w:t>
      </w:r>
    </w:p>
  </w:footnote>
  <w:footnote w:id="126">
    <w:p w14:paraId="5BB11014" w14:textId="4F4DA88A" w:rsidR="002B0649" w:rsidRDefault="002B0649" w:rsidP="002B0649">
      <w:pPr>
        <w:pStyle w:val="FootnoteText"/>
      </w:pPr>
      <w:r>
        <w:rPr>
          <w:rStyle w:val="FootnoteReference"/>
        </w:rPr>
        <w:footnoteRef/>
      </w:r>
      <w:r>
        <w:t xml:space="preserve"> Case No. 14-1297-EL-SSO, Fifth Entry on Rehearing at </w:t>
      </w:r>
      <w:r w:rsidR="00CB2245">
        <w:t xml:space="preserve">139 </w:t>
      </w:r>
      <w:r>
        <w:t>(October 12, 2016).</w:t>
      </w:r>
    </w:p>
  </w:footnote>
  <w:footnote w:id="127">
    <w:p w14:paraId="32C2A9B5" w14:textId="77777777" w:rsidR="002B0649" w:rsidRDefault="002B0649" w:rsidP="002B0649">
      <w:pPr>
        <w:pStyle w:val="FootnoteText"/>
      </w:pPr>
      <w:r>
        <w:rPr>
          <w:rStyle w:val="FootnoteReference"/>
        </w:rPr>
        <w:footnoteRef/>
      </w:r>
      <w:r>
        <w:t xml:space="preserve"> Rider NMB Audit Report at 1.</w:t>
      </w:r>
    </w:p>
  </w:footnote>
  <w:footnote w:id="128">
    <w:p w14:paraId="70F54171" w14:textId="77777777" w:rsidR="002B0649" w:rsidRPr="00EA02F8" w:rsidRDefault="002B0649" w:rsidP="002B0649">
      <w:pPr>
        <w:pStyle w:val="FootnoteText"/>
      </w:pPr>
      <w:r>
        <w:rPr>
          <w:rStyle w:val="FootnoteReference"/>
        </w:rPr>
        <w:footnoteRef/>
      </w:r>
      <w:r>
        <w:t xml:space="preserve"> </w:t>
      </w:r>
      <w:r>
        <w:rPr>
          <w:i/>
          <w:iCs/>
        </w:rPr>
        <w:t>Id.</w:t>
      </w:r>
      <w:r>
        <w:t xml:space="preserve"> at 17.  The Rider NMB Audit Report found that if the Pilot Program had not existed during the review period (March 2017 to February 2023), the </w:t>
      </w:r>
      <w:r w:rsidRPr="00EA02F8">
        <w:t>Rider NMB revenue requirement would have been $231,092,997 higher</w:t>
      </w:r>
      <w:r>
        <w:t xml:space="preserve">. </w:t>
      </w:r>
      <w:r>
        <w:rPr>
          <w:i/>
          <w:iCs/>
        </w:rPr>
        <w:t>Id.</w:t>
      </w:r>
    </w:p>
  </w:footnote>
  <w:footnote w:id="129">
    <w:p w14:paraId="0BDC9134" w14:textId="77777777" w:rsidR="002B0649" w:rsidRPr="00941E5E" w:rsidRDefault="002B0649" w:rsidP="002B0649">
      <w:pPr>
        <w:pStyle w:val="FootnoteText"/>
        <w:rPr>
          <w:i/>
          <w:iCs/>
        </w:rPr>
      </w:pPr>
      <w:r>
        <w:rPr>
          <w:rStyle w:val="FootnoteReference"/>
        </w:rPr>
        <w:footnoteRef/>
      </w:r>
      <w:r>
        <w:t xml:space="preserve"> </w:t>
      </w:r>
      <w:r>
        <w:rPr>
          <w:i/>
          <w:iCs/>
        </w:rPr>
        <w:t>Id.</w:t>
      </w:r>
      <w:r>
        <w:t xml:space="preserve"> at 27.  Exeter’s analysis found that NSPL reductions by Pilot Program customers reduced the transmission cost revenue requirement during the review period (March 2017 to February 2023) by $8,949,908.</w:t>
      </w:r>
      <w:r>
        <w:rPr>
          <w:i/>
          <w:iCs/>
        </w:rPr>
        <w:t xml:space="preserve"> Id.</w:t>
      </w:r>
    </w:p>
  </w:footnote>
  <w:footnote w:id="130">
    <w:p w14:paraId="27BB22D4" w14:textId="77777777" w:rsidR="002B0649" w:rsidRPr="00941E5E" w:rsidRDefault="002B0649" w:rsidP="002B0649">
      <w:pPr>
        <w:pStyle w:val="FootnoteText"/>
      </w:pPr>
      <w:r>
        <w:rPr>
          <w:rStyle w:val="FootnoteReference"/>
        </w:rPr>
        <w:footnoteRef/>
      </w:r>
      <w:r>
        <w:t xml:space="preserve"> </w:t>
      </w:r>
      <w:r>
        <w:rPr>
          <w:i/>
          <w:iCs/>
        </w:rPr>
        <w:t>Id.</w:t>
      </w:r>
      <w:r>
        <w:t xml:space="preserve"> at 33.</w:t>
      </w:r>
    </w:p>
  </w:footnote>
  <w:footnote w:id="131">
    <w:p w14:paraId="5133D590" w14:textId="77777777" w:rsidR="002B0649" w:rsidRPr="00941E5E" w:rsidRDefault="002B0649" w:rsidP="002B0649">
      <w:pPr>
        <w:pStyle w:val="FootnoteText"/>
      </w:pPr>
      <w:r>
        <w:rPr>
          <w:rStyle w:val="FootnoteReference"/>
        </w:rPr>
        <w:footnoteRef/>
      </w:r>
      <w:r>
        <w:t xml:space="preserve"> </w:t>
      </w:r>
      <w:r>
        <w:rPr>
          <w:i/>
          <w:iCs/>
        </w:rPr>
        <w:t>See id.</w:t>
      </w:r>
      <w:r>
        <w:t xml:space="preserve"> at 37-38.</w:t>
      </w:r>
    </w:p>
  </w:footnote>
  <w:footnote w:id="132">
    <w:p w14:paraId="4C94D824" w14:textId="77777777" w:rsidR="002B0649" w:rsidRPr="00941E5E" w:rsidRDefault="002B0649" w:rsidP="002B0649">
      <w:pPr>
        <w:pStyle w:val="FootnoteText"/>
      </w:pPr>
      <w:r>
        <w:rPr>
          <w:rStyle w:val="FootnoteReference"/>
        </w:rPr>
        <w:footnoteRef/>
      </w:r>
      <w:r>
        <w:t xml:space="preserve"> </w:t>
      </w:r>
      <w:r>
        <w:rPr>
          <w:i/>
          <w:iCs/>
        </w:rPr>
        <w:t>Id.</w:t>
      </w:r>
      <w:r>
        <w:t xml:space="preserve"> at 39 (noting that while Pilot Program customers may alleviate grid stress in certain circumstances, the Pilot Program may not provide direct reliability benefits).</w:t>
      </w:r>
    </w:p>
  </w:footnote>
  <w:footnote w:id="133">
    <w:p w14:paraId="0534CD53" w14:textId="7147A39A" w:rsidR="002B0649" w:rsidRPr="00B250B5" w:rsidRDefault="002B0649" w:rsidP="002B0649">
      <w:pPr>
        <w:pStyle w:val="FootnoteText"/>
      </w:pPr>
      <w:r>
        <w:rPr>
          <w:rStyle w:val="FootnoteReference"/>
        </w:rPr>
        <w:footnoteRef/>
      </w:r>
      <w:r>
        <w:t xml:space="preserve"> The Rider NMB Audit Report Recommendations 1 and 2A support assigning PJM transmission charges to customers. </w:t>
      </w:r>
      <w:r>
        <w:rPr>
          <w:i/>
          <w:iCs/>
        </w:rPr>
        <w:t>See</w:t>
      </w:r>
      <w:r>
        <w:t xml:space="preserve"> </w:t>
      </w:r>
      <w:r w:rsidR="00811B78" w:rsidRPr="006202EA">
        <w:rPr>
          <w:i/>
          <w:iCs/>
        </w:rPr>
        <w:t>id</w:t>
      </w:r>
      <w:r w:rsidR="00811B78">
        <w:t xml:space="preserve">. </w:t>
      </w:r>
      <w:r>
        <w:t>at 50-52.</w:t>
      </w:r>
    </w:p>
  </w:footnote>
  <w:footnote w:id="134">
    <w:p w14:paraId="55B5A060" w14:textId="645C333E" w:rsidR="002B0649" w:rsidRDefault="002B0649" w:rsidP="002B0649">
      <w:pPr>
        <w:pStyle w:val="FootnoteText"/>
      </w:pPr>
      <w:r>
        <w:rPr>
          <w:rStyle w:val="FootnoteReference"/>
        </w:rPr>
        <w:footnoteRef/>
      </w:r>
      <w:r>
        <w:t xml:space="preserve"> </w:t>
      </w:r>
      <w:r w:rsidR="00D3527C" w:rsidRPr="006202EA">
        <w:rPr>
          <w:i/>
          <w:iCs/>
        </w:rPr>
        <w:t>See</w:t>
      </w:r>
      <w:r w:rsidR="00D3527C">
        <w:t xml:space="preserve"> </w:t>
      </w:r>
      <w:r>
        <w:t xml:space="preserve">Direct Testimony </w:t>
      </w:r>
      <w:r w:rsidR="00D3527C">
        <w:t xml:space="preserve">and Exhibit </w:t>
      </w:r>
      <w:r>
        <w:t>of Stephen J. Baron</w:t>
      </w:r>
      <w:r w:rsidR="00D3527C">
        <w:t xml:space="preserve"> on Behalf of </w:t>
      </w:r>
      <w:r w:rsidR="00F50DBA">
        <w:t>t</w:t>
      </w:r>
      <w:r w:rsidR="00536582">
        <w:t>he Ohio Energy Group</w:t>
      </w:r>
      <w:r w:rsidR="00AF0A9E">
        <w:t>, OEG Ex. 1</w:t>
      </w:r>
      <w:r>
        <w:t xml:space="preserve"> </w:t>
      </w:r>
      <w:r w:rsidR="008064A3">
        <w:t>at </w:t>
      </w:r>
      <w:r>
        <w:t>5.</w:t>
      </w:r>
    </w:p>
  </w:footnote>
  <w:footnote w:id="135">
    <w:p w14:paraId="33D657B2" w14:textId="54CC04B6" w:rsidR="002B0649" w:rsidRPr="006E7B18" w:rsidRDefault="002B0649" w:rsidP="002B0649">
      <w:pPr>
        <w:pStyle w:val="FootnoteText"/>
      </w:pPr>
      <w:r>
        <w:rPr>
          <w:rStyle w:val="FootnoteReference"/>
        </w:rPr>
        <w:footnoteRef/>
      </w:r>
      <w:r>
        <w:t xml:space="preserve"> </w:t>
      </w:r>
      <w:r w:rsidR="008064A3" w:rsidRPr="006202EA">
        <w:rPr>
          <w:i/>
          <w:iCs/>
        </w:rPr>
        <w:t>See</w:t>
      </w:r>
      <w:r w:rsidR="008064A3">
        <w:t xml:space="preserve"> </w:t>
      </w:r>
      <w:r>
        <w:t>Direct Testimony of Jesse Rodriquez</w:t>
      </w:r>
      <w:r w:rsidR="008064A3">
        <w:t xml:space="preserve"> on Behalf of the Retail Energy Supply Association</w:t>
      </w:r>
      <w:r w:rsidR="00AF0A9E">
        <w:t>, RESA</w:t>
      </w:r>
      <w:r w:rsidR="00C06B2E">
        <w:t>/IGS</w:t>
      </w:r>
      <w:r w:rsidR="00AF0A9E">
        <w:t xml:space="preserve"> Ex. 15</w:t>
      </w:r>
      <w:r>
        <w:t xml:space="preserve"> at 6. </w:t>
      </w:r>
      <w:r w:rsidR="00AF0A9E">
        <w:t xml:space="preserve">Witness </w:t>
      </w:r>
      <w:r>
        <w:t xml:space="preserve">Rodriquez further explains that expanding NSPL billing “would ensure that costs and benefits are properly allocated to the customer based on cost-causation principles” and would “encourage customers to utilize electricity more efficiently and consume less electricity during peak periods.” </w:t>
      </w:r>
      <w:r>
        <w:rPr>
          <w:i/>
          <w:iCs/>
        </w:rPr>
        <w:t>Id.</w:t>
      </w:r>
      <w:r>
        <w:t xml:space="preserve"> at 6</w:t>
      </w:r>
      <w:r w:rsidR="00C06B2E">
        <w:t>-7</w:t>
      </w:r>
      <w:r>
        <w:t>.</w:t>
      </w:r>
    </w:p>
  </w:footnote>
  <w:footnote w:id="136">
    <w:p w14:paraId="40EF12D1" w14:textId="5C5B3A08" w:rsidR="002B0649" w:rsidRPr="005A537E" w:rsidRDefault="002B0649" w:rsidP="002B0649">
      <w:pPr>
        <w:pStyle w:val="FootnoteText"/>
      </w:pPr>
      <w:r>
        <w:rPr>
          <w:rStyle w:val="FootnoteReference"/>
        </w:rPr>
        <w:footnoteRef/>
      </w:r>
      <w:r>
        <w:t xml:space="preserve"> </w:t>
      </w:r>
      <w:r w:rsidR="00C06B2E" w:rsidRPr="006202EA">
        <w:rPr>
          <w:i/>
          <w:iCs/>
        </w:rPr>
        <w:t>See</w:t>
      </w:r>
      <w:r w:rsidR="00C06B2E">
        <w:t xml:space="preserve"> </w:t>
      </w:r>
      <w:r>
        <w:t>Direct Testimony of Jim Poprocki</w:t>
      </w:r>
      <w:r w:rsidR="00C06B2E">
        <w:t xml:space="preserve"> on Behalf of Interstate Gas Supply, LLC</w:t>
      </w:r>
      <w:r w:rsidR="00AF0A9E">
        <w:t>, IGS Ex. 1</w:t>
      </w:r>
      <w:r>
        <w:t xml:space="preserve"> at 15.</w:t>
      </w:r>
    </w:p>
  </w:footnote>
  <w:footnote w:id="137">
    <w:p w14:paraId="737F5A9B" w14:textId="66ADAA8E" w:rsidR="00C210BC" w:rsidRDefault="00C210BC">
      <w:pPr>
        <w:pStyle w:val="FootnoteText"/>
      </w:pPr>
      <w:r>
        <w:rPr>
          <w:rStyle w:val="FootnoteReference"/>
        </w:rPr>
        <w:footnoteRef/>
      </w:r>
      <w:r>
        <w:t xml:space="preserve"> Goins Testimony at 19</w:t>
      </w:r>
      <w:r w:rsidR="006B7FFA">
        <w:t>.</w:t>
      </w:r>
    </w:p>
  </w:footnote>
  <w:footnote w:id="138">
    <w:p w14:paraId="2EB1BCE2" w14:textId="4026CBBB" w:rsidR="002B0649" w:rsidRDefault="002B0649" w:rsidP="002B0649">
      <w:pPr>
        <w:pStyle w:val="FootnoteText"/>
      </w:pPr>
      <w:r>
        <w:rPr>
          <w:rStyle w:val="FootnoteReference"/>
        </w:rPr>
        <w:footnoteRef/>
      </w:r>
      <w:r>
        <w:t xml:space="preserve"> </w:t>
      </w:r>
      <w:r w:rsidR="008F2E90" w:rsidRPr="006202EA">
        <w:rPr>
          <w:i/>
          <w:iCs/>
        </w:rPr>
        <w:t>See</w:t>
      </w:r>
      <w:r w:rsidR="008F2E90">
        <w:t xml:space="preserve"> </w:t>
      </w:r>
      <w:r>
        <w:t xml:space="preserve">Direct Testimony of Ryan </w:t>
      </w:r>
      <w:r w:rsidR="008F2E90">
        <w:t xml:space="preserve">S. </w:t>
      </w:r>
      <w:r>
        <w:t>Schuessler</w:t>
      </w:r>
      <w:r w:rsidR="008F2E90">
        <w:t xml:space="preserve"> on Behalf of the Ohio Manufacturers’ Association Energy Group</w:t>
      </w:r>
      <w:r w:rsidR="004C42D4">
        <w:t xml:space="preserve">, OMAEG Ex. 2 </w:t>
      </w:r>
      <w:r>
        <w:t>at 5</w:t>
      </w:r>
      <w:r w:rsidR="004C42D4">
        <w:t xml:space="preserve">, </w:t>
      </w:r>
      <w:r>
        <w:t>7.</w:t>
      </w:r>
    </w:p>
  </w:footnote>
  <w:footnote w:id="139">
    <w:p w14:paraId="73A80596" w14:textId="013DA23D" w:rsidR="002B0649" w:rsidRPr="009270AF" w:rsidRDefault="002B0649" w:rsidP="002B0649">
      <w:pPr>
        <w:pStyle w:val="FootnoteText"/>
      </w:pPr>
      <w:r>
        <w:rPr>
          <w:rStyle w:val="FootnoteReference"/>
        </w:rPr>
        <w:footnoteRef/>
      </w:r>
      <w:r>
        <w:t xml:space="preserve"> </w:t>
      </w:r>
      <w:r>
        <w:rPr>
          <w:i/>
          <w:iCs/>
        </w:rPr>
        <w:t>Id.</w:t>
      </w:r>
      <w:r>
        <w:t xml:space="preserve"> at 8.</w:t>
      </w:r>
    </w:p>
  </w:footnote>
  <w:footnote w:id="140">
    <w:p w14:paraId="0FEB4361" w14:textId="2D5F62F9" w:rsidR="002B0649" w:rsidRDefault="002B0649" w:rsidP="002B0649">
      <w:pPr>
        <w:pStyle w:val="FootnoteText"/>
      </w:pPr>
      <w:r>
        <w:rPr>
          <w:rStyle w:val="FootnoteReference"/>
        </w:rPr>
        <w:footnoteRef/>
      </w:r>
      <w:r>
        <w:t xml:space="preserve"> Brakey</w:t>
      </w:r>
      <w:r w:rsidR="004C42D4">
        <w:t xml:space="preserve"> Testimony</w:t>
      </w:r>
      <w:r>
        <w:t xml:space="preserve"> at 10.</w:t>
      </w:r>
    </w:p>
  </w:footnote>
  <w:footnote w:id="141">
    <w:p w14:paraId="2CDAAB22" w14:textId="5C1316E4" w:rsidR="00173D36" w:rsidRDefault="00173D36">
      <w:pPr>
        <w:pStyle w:val="FootnoteText"/>
      </w:pPr>
      <w:r>
        <w:rPr>
          <w:rStyle w:val="FootnoteReference"/>
        </w:rPr>
        <w:footnoteRef/>
      </w:r>
      <w:r>
        <w:t xml:space="preserve"> Goins Testimony at 20.</w:t>
      </w:r>
    </w:p>
  </w:footnote>
  <w:footnote w:id="142">
    <w:p w14:paraId="4F84ABB1" w14:textId="3C7CED33" w:rsidR="002B0649" w:rsidRPr="009050D4" w:rsidRDefault="002B0649" w:rsidP="002B0649">
      <w:pPr>
        <w:pStyle w:val="FootnoteText"/>
      </w:pPr>
      <w:r>
        <w:rPr>
          <w:rStyle w:val="FootnoteReference"/>
        </w:rPr>
        <w:footnoteRef/>
      </w:r>
      <w:r>
        <w:t xml:space="preserve"> </w:t>
      </w:r>
      <w:r>
        <w:rPr>
          <w:i/>
          <w:iCs/>
        </w:rPr>
        <w:t>See, e.g.</w:t>
      </w:r>
      <w:r>
        <w:t xml:space="preserve">, </w:t>
      </w:r>
      <w:r w:rsidR="00173D36">
        <w:t xml:space="preserve">Brakey Testimony </w:t>
      </w:r>
      <w:r>
        <w:t>at 13 (explaining that customers that are weather sensitive, operate mainly during on-peak hours, or do not have the ability to curtail or shift their load could pay more for transmission charges under NSPL billing compared to the current Rider NMB rate design).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5FE5" w14:textId="77777777" w:rsidR="00C92417" w:rsidRDefault="00C92417">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88E" w14:textId="77777777" w:rsidR="00C92417" w:rsidRDefault="00C92417">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02"/>
    <w:multiLevelType w:val="hybridMultilevel"/>
    <w:tmpl w:val="CB6A4AC6"/>
    <w:lvl w:ilvl="0" w:tplc="9FAAC1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A4530F"/>
    <w:multiLevelType w:val="hybridMultilevel"/>
    <w:tmpl w:val="E76E2C38"/>
    <w:lvl w:ilvl="0" w:tplc="3B9C3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F2B64"/>
    <w:multiLevelType w:val="hybridMultilevel"/>
    <w:tmpl w:val="921E2290"/>
    <w:lvl w:ilvl="0" w:tplc="BEE00E68">
      <w:start w:val="4"/>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EE00E68">
      <w:start w:val="4"/>
      <w:numFmt w:val="bullet"/>
      <w:lvlText w:val=""/>
      <w:lvlJc w:val="left"/>
      <w:pPr>
        <w:tabs>
          <w:tab w:val="num" w:pos="720"/>
        </w:tabs>
        <w:ind w:left="1080" w:hanging="360"/>
      </w:pPr>
      <w:rPr>
        <w:rFonts w:ascii="Symbol" w:hAnsi="Symbol" w:hint="default"/>
      </w:rPr>
    </w:lvl>
    <w:lvl w:ilvl="3" w:tplc="0E620B12">
      <w:start w:val="1"/>
      <w:numFmt w:val="bullet"/>
      <w:lvlText w:val="o"/>
      <w:lvlJc w:val="left"/>
      <w:pPr>
        <w:tabs>
          <w:tab w:val="num" w:pos="1800"/>
        </w:tabs>
        <w:ind w:left="1800" w:hanging="360"/>
      </w:pPr>
      <w:rPr>
        <w:rFonts w:ascii="Courier New" w:hAnsi="Courier New" w:hint="default"/>
      </w:rPr>
    </w:lvl>
    <w:lvl w:ilvl="4" w:tplc="04090005">
      <w:start w:val="1"/>
      <w:numFmt w:val="bullet"/>
      <w:lvlText w:val=""/>
      <w:lvlJc w:val="left"/>
      <w:pPr>
        <w:tabs>
          <w:tab w:val="num" w:pos="2520"/>
        </w:tabs>
        <w:ind w:left="2520" w:hanging="360"/>
      </w:pPr>
      <w:rPr>
        <w:rFonts w:ascii="Wingdings" w:hAnsi="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C8E2137"/>
    <w:multiLevelType w:val="hybridMultilevel"/>
    <w:tmpl w:val="46EE8D10"/>
    <w:lvl w:ilvl="0" w:tplc="189C9B16">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555014"/>
    <w:multiLevelType w:val="multilevel"/>
    <w:tmpl w:val="33A2265C"/>
    <w:lvl w:ilvl="0">
      <w:start w:val="4"/>
      <w:numFmt w:val="bullet"/>
      <w:lvlText w:val=""/>
      <w:lvlJc w:val="left"/>
      <w:pPr>
        <w:tabs>
          <w:tab w:val="num" w:pos="720"/>
        </w:tabs>
        <w:ind w:left="108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53C1525"/>
    <w:multiLevelType w:val="hybridMultilevel"/>
    <w:tmpl w:val="CE424266"/>
    <w:lvl w:ilvl="0" w:tplc="7A5A2E2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8C12970"/>
    <w:multiLevelType w:val="hybridMultilevel"/>
    <w:tmpl w:val="B9768C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BA2C23"/>
    <w:multiLevelType w:val="hybridMultilevel"/>
    <w:tmpl w:val="E6DC40E0"/>
    <w:lvl w:ilvl="0" w:tplc="89C4C55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B170F3A"/>
    <w:multiLevelType w:val="multilevel"/>
    <w:tmpl w:val="2ACAEBF0"/>
    <w:lvl w:ilvl="0">
      <w:start w:val="4"/>
      <w:numFmt w:val="bullet"/>
      <w:lvlText w:val=""/>
      <w:lvlJc w:val="left"/>
      <w:pPr>
        <w:tabs>
          <w:tab w:val="num" w:pos="720"/>
        </w:tabs>
        <w:ind w:left="108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BD4687C"/>
    <w:multiLevelType w:val="hybridMultilevel"/>
    <w:tmpl w:val="41DE6C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1A39C6"/>
    <w:multiLevelType w:val="hybridMultilevel"/>
    <w:tmpl w:val="4C166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822F3"/>
    <w:multiLevelType w:val="multilevel"/>
    <w:tmpl w:val="B776A32A"/>
    <w:lvl w:ilvl="0">
      <w:start w:val="4"/>
      <w:numFmt w:val="bullet"/>
      <w:lvlText w:val=""/>
      <w:lvlJc w:val="left"/>
      <w:pPr>
        <w:tabs>
          <w:tab w:val="num" w:pos="720"/>
        </w:tabs>
        <w:ind w:left="108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4"/>
      <w:numFmt w:val="bullet"/>
      <w:lvlText w:val=""/>
      <w:lvlJc w:val="left"/>
      <w:pPr>
        <w:tabs>
          <w:tab w:val="num" w:pos="720"/>
        </w:tabs>
        <w:ind w:left="1080" w:hanging="360"/>
      </w:pPr>
      <w:rPr>
        <w:rFonts w:ascii="Symbol" w:hAnsi="Symbol" w:hint="default"/>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435C6287"/>
    <w:multiLevelType w:val="hybridMultilevel"/>
    <w:tmpl w:val="37145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A166E3"/>
    <w:multiLevelType w:val="hybridMultilevel"/>
    <w:tmpl w:val="BF246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F0184A"/>
    <w:multiLevelType w:val="hybridMultilevel"/>
    <w:tmpl w:val="F0800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A33EFC"/>
    <w:multiLevelType w:val="hybridMultilevel"/>
    <w:tmpl w:val="3664F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C5532D"/>
    <w:multiLevelType w:val="hybridMultilevel"/>
    <w:tmpl w:val="33A2265C"/>
    <w:lvl w:ilvl="0" w:tplc="BEE00E68">
      <w:start w:val="4"/>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C0B6C18"/>
    <w:multiLevelType w:val="hybridMultilevel"/>
    <w:tmpl w:val="2ACAEBF0"/>
    <w:lvl w:ilvl="0" w:tplc="BEE00E68">
      <w:start w:val="4"/>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E620B12">
      <w:start w:val="1"/>
      <w:numFmt w:val="bullet"/>
      <w:lvlText w:val="o"/>
      <w:lvlJc w:val="left"/>
      <w:pPr>
        <w:tabs>
          <w:tab w:val="num" w:pos="1800"/>
        </w:tabs>
        <w:ind w:left="1800" w:hanging="360"/>
      </w:pPr>
      <w:rPr>
        <w:rFonts w:ascii="Courier New" w:hAnsi="Courier New"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682E0307"/>
    <w:multiLevelType w:val="hybridMultilevel"/>
    <w:tmpl w:val="B776A32A"/>
    <w:lvl w:ilvl="0" w:tplc="BEE00E68">
      <w:start w:val="4"/>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EE00E68">
      <w:start w:val="4"/>
      <w:numFmt w:val="bullet"/>
      <w:lvlText w:val=""/>
      <w:lvlJc w:val="left"/>
      <w:pPr>
        <w:tabs>
          <w:tab w:val="num" w:pos="720"/>
        </w:tabs>
        <w:ind w:left="1080" w:hanging="360"/>
      </w:pPr>
      <w:rPr>
        <w:rFonts w:ascii="Symbol" w:hAnsi="Symbol" w:hint="default"/>
      </w:rPr>
    </w:lvl>
    <w:lvl w:ilvl="3" w:tplc="0E620B12">
      <w:start w:val="1"/>
      <w:numFmt w:val="bullet"/>
      <w:lvlText w:val="o"/>
      <w:lvlJc w:val="left"/>
      <w:pPr>
        <w:tabs>
          <w:tab w:val="num" w:pos="1800"/>
        </w:tabs>
        <w:ind w:left="1800" w:hanging="360"/>
      </w:pPr>
      <w:rPr>
        <w:rFonts w:ascii="Courier New" w:hAnsi="Courier New"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6BC361DB"/>
    <w:multiLevelType w:val="hybridMultilevel"/>
    <w:tmpl w:val="269C816A"/>
    <w:lvl w:ilvl="0" w:tplc="1D104CE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2147354037">
    <w:abstractNumId w:val="9"/>
  </w:num>
  <w:num w:numId="2" w16cid:durableId="1368994311">
    <w:abstractNumId w:val="6"/>
  </w:num>
  <w:num w:numId="3" w16cid:durableId="1175848371">
    <w:abstractNumId w:val="19"/>
  </w:num>
  <w:num w:numId="4" w16cid:durableId="2003894687">
    <w:abstractNumId w:val="7"/>
  </w:num>
  <w:num w:numId="5" w16cid:durableId="1047804841">
    <w:abstractNumId w:val="0"/>
  </w:num>
  <w:num w:numId="6" w16cid:durableId="1417239681">
    <w:abstractNumId w:val="12"/>
  </w:num>
  <w:num w:numId="7" w16cid:durableId="1258249791">
    <w:abstractNumId w:val="15"/>
  </w:num>
  <w:num w:numId="8" w16cid:durableId="1582371592">
    <w:abstractNumId w:val="14"/>
  </w:num>
  <w:num w:numId="9" w16cid:durableId="548151757">
    <w:abstractNumId w:val="13"/>
  </w:num>
  <w:num w:numId="10" w16cid:durableId="58866287">
    <w:abstractNumId w:val="16"/>
  </w:num>
  <w:num w:numId="11" w16cid:durableId="183173424">
    <w:abstractNumId w:val="4"/>
  </w:num>
  <w:num w:numId="12" w16cid:durableId="208542895">
    <w:abstractNumId w:val="17"/>
  </w:num>
  <w:num w:numId="13" w16cid:durableId="670256963">
    <w:abstractNumId w:val="8"/>
  </w:num>
  <w:num w:numId="14" w16cid:durableId="1511094328">
    <w:abstractNumId w:val="18"/>
  </w:num>
  <w:num w:numId="15" w16cid:durableId="1998418511">
    <w:abstractNumId w:val="11"/>
  </w:num>
  <w:num w:numId="16" w16cid:durableId="1426224512">
    <w:abstractNumId w:val="2"/>
  </w:num>
  <w:num w:numId="17" w16cid:durableId="1008601270">
    <w:abstractNumId w:val="3"/>
  </w:num>
  <w:num w:numId="18" w16cid:durableId="1220094179">
    <w:abstractNumId w:val="1"/>
  </w:num>
  <w:num w:numId="19" w16cid:durableId="2126732248">
    <w:abstractNumId w:val="10"/>
  </w:num>
  <w:num w:numId="20" w16cid:durableId="929001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E0"/>
    <w:rsid w:val="000001B4"/>
    <w:rsid w:val="000005AD"/>
    <w:rsid w:val="00000908"/>
    <w:rsid w:val="00000BCE"/>
    <w:rsid w:val="00001B57"/>
    <w:rsid w:val="00002668"/>
    <w:rsid w:val="000029CE"/>
    <w:rsid w:val="000034B2"/>
    <w:rsid w:val="0000353C"/>
    <w:rsid w:val="0000437C"/>
    <w:rsid w:val="000051BF"/>
    <w:rsid w:val="00006032"/>
    <w:rsid w:val="000063B1"/>
    <w:rsid w:val="00006EB3"/>
    <w:rsid w:val="00007247"/>
    <w:rsid w:val="000078DC"/>
    <w:rsid w:val="00007C3F"/>
    <w:rsid w:val="00010622"/>
    <w:rsid w:val="0001071E"/>
    <w:rsid w:val="00010814"/>
    <w:rsid w:val="00010B50"/>
    <w:rsid w:val="0001125B"/>
    <w:rsid w:val="00012102"/>
    <w:rsid w:val="00012C4C"/>
    <w:rsid w:val="00013003"/>
    <w:rsid w:val="000133F0"/>
    <w:rsid w:val="000134C1"/>
    <w:rsid w:val="0001423A"/>
    <w:rsid w:val="00014EE5"/>
    <w:rsid w:val="00015CA9"/>
    <w:rsid w:val="00016000"/>
    <w:rsid w:val="000169A9"/>
    <w:rsid w:val="00016ACB"/>
    <w:rsid w:val="00017402"/>
    <w:rsid w:val="00017655"/>
    <w:rsid w:val="000177AE"/>
    <w:rsid w:val="0002222C"/>
    <w:rsid w:val="00022DE9"/>
    <w:rsid w:val="0002306D"/>
    <w:rsid w:val="00023C07"/>
    <w:rsid w:val="0002488C"/>
    <w:rsid w:val="000249A0"/>
    <w:rsid w:val="000252CE"/>
    <w:rsid w:val="00025935"/>
    <w:rsid w:val="0003058C"/>
    <w:rsid w:val="00030B26"/>
    <w:rsid w:val="000312E6"/>
    <w:rsid w:val="0003155E"/>
    <w:rsid w:val="00031667"/>
    <w:rsid w:val="00033D38"/>
    <w:rsid w:val="00034A86"/>
    <w:rsid w:val="00034BB0"/>
    <w:rsid w:val="00034D72"/>
    <w:rsid w:val="000352D9"/>
    <w:rsid w:val="00035C00"/>
    <w:rsid w:val="00036833"/>
    <w:rsid w:val="00036B53"/>
    <w:rsid w:val="00036B74"/>
    <w:rsid w:val="00037096"/>
    <w:rsid w:val="000370CF"/>
    <w:rsid w:val="000378A9"/>
    <w:rsid w:val="00037D2D"/>
    <w:rsid w:val="00040370"/>
    <w:rsid w:val="000407CF"/>
    <w:rsid w:val="00042254"/>
    <w:rsid w:val="00042C63"/>
    <w:rsid w:val="00042EDC"/>
    <w:rsid w:val="00043745"/>
    <w:rsid w:val="0004444E"/>
    <w:rsid w:val="00044627"/>
    <w:rsid w:val="0004488C"/>
    <w:rsid w:val="00044D44"/>
    <w:rsid w:val="000456D1"/>
    <w:rsid w:val="00046584"/>
    <w:rsid w:val="00046DA0"/>
    <w:rsid w:val="0004712B"/>
    <w:rsid w:val="00047AE4"/>
    <w:rsid w:val="00050140"/>
    <w:rsid w:val="00050857"/>
    <w:rsid w:val="00050C63"/>
    <w:rsid w:val="00051369"/>
    <w:rsid w:val="00051483"/>
    <w:rsid w:val="00052DE2"/>
    <w:rsid w:val="00052E47"/>
    <w:rsid w:val="000531EF"/>
    <w:rsid w:val="00053218"/>
    <w:rsid w:val="00053A2C"/>
    <w:rsid w:val="000542E7"/>
    <w:rsid w:val="00054472"/>
    <w:rsid w:val="00055C41"/>
    <w:rsid w:val="00056558"/>
    <w:rsid w:val="00056D6F"/>
    <w:rsid w:val="0005760E"/>
    <w:rsid w:val="00057751"/>
    <w:rsid w:val="00060348"/>
    <w:rsid w:val="00061885"/>
    <w:rsid w:val="000621DA"/>
    <w:rsid w:val="000627A2"/>
    <w:rsid w:val="000630CC"/>
    <w:rsid w:val="0006358F"/>
    <w:rsid w:val="000636B2"/>
    <w:rsid w:val="00063B31"/>
    <w:rsid w:val="000641DC"/>
    <w:rsid w:val="00064BBB"/>
    <w:rsid w:val="000656D0"/>
    <w:rsid w:val="00065720"/>
    <w:rsid w:val="00065D6F"/>
    <w:rsid w:val="0006650E"/>
    <w:rsid w:val="00066D0B"/>
    <w:rsid w:val="00066D15"/>
    <w:rsid w:val="00066D89"/>
    <w:rsid w:val="000672DD"/>
    <w:rsid w:val="000674B2"/>
    <w:rsid w:val="00067CC0"/>
    <w:rsid w:val="00067FAD"/>
    <w:rsid w:val="000713AF"/>
    <w:rsid w:val="0007281E"/>
    <w:rsid w:val="000729E4"/>
    <w:rsid w:val="00075775"/>
    <w:rsid w:val="00075DE3"/>
    <w:rsid w:val="0007728A"/>
    <w:rsid w:val="00080062"/>
    <w:rsid w:val="000800C8"/>
    <w:rsid w:val="00080B06"/>
    <w:rsid w:val="00081295"/>
    <w:rsid w:val="000813D1"/>
    <w:rsid w:val="00081456"/>
    <w:rsid w:val="000820C0"/>
    <w:rsid w:val="00082D09"/>
    <w:rsid w:val="00083E00"/>
    <w:rsid w:val="00084121"/>
    <w:rsid w:val="000843EB"/>
    <w:rsid w:val="000848AE"/>
    <w:rsid w:val="00084C4C"/>
    <w:rsid w:val="00084EAD"/>
    <w:rsid w:val="00086259"/>
    <w:rsid w:val="00086EA3"/>
    <w:rsid w:val="00090291"/>
    <w:rsid w:val="0009072E"/>
    <w:rsid w:val="0009181D"/>
    <w:rsid w:val="000921D8"/>
    <w:rsid w:val="000922A0"/>
    <w:rsid w:val="00093331"/>
    <w:rsid w:val="0009433D"/>
    <w:rsid w:val="000953CB"/>
    <w:rsid w:val="00096C10"/>
    <w:rsid w:val="00096E34"/>
    <w:rsid w:val="0009705A"/>
    <w:rsid w:val="0009736C"/>
    <w:rsid w:val="0009736D"/>
    <w:rsid w:val="000975DA"/>
    <w:rsid w:val="000A07C0"/>
    <w:rsid w:val="000A089A"/>
    <w:rsid w:val="000A09E3"/>
    <w:rsid w:val="000A09E9"/>
    <w:rsid w:val="000A16D7"/>
    <w:rsid w:val="000A200E"/>
    <w:rsid w:val="000A3C61"/>
    <w:rsid w:val="000A4234"/>
    <w:rsid w:val="000A455E"/>
    <w:rsid w:val="000A4799"/>
    <w:rsid w:val="000A50ED"/>
    <w:rsid w:val="000A623F"/>
    <w:rsid w:val="000A7C77"/>
    <w:rsid w:val="000B061E"/>
    <w:rsid w:val="000B09C7"/>
    <w:rsid w:val="000B0D33"/>
    <w:rsid w:val="000B2163"/>
    <w:rsid w:val="000B2EEF"/>
    <w:rsid w:val="000B34D2"/>
    <w:rsid w:val="000B409A"/>
    <w:rsid w:val="000B429F"/>
    <w:rsid w:val="000B4E11"/>
    <w:rsid w:val="000B5564"/>
    <w:rsid w:val="000B58DA"/>
    <w:rsid w:val="000B6588"/>
    <w:rsid w:val="000B790D"/>
    <w:rsid w:val="000C060A"/>
    <w:rsid w:val="000C0970"/>
    <w:rsid w:val="000C10D0"/>
    <w:rsid w:val="000C3490"/>
    <w:rsid w:val="000C4071"/>
    <w:rsid w:val="000C483E"/>
    <w:rsid w:val="000C5212"/>
    <w:rsid w:val="000C5501"/>
    <w:rsid w:val="000C5779"/>
    <w:rsid w:val="000C5EE3"/>
    <w:rsid w:val="000C5F7D"/>
    <w:rsid w:val="000C5FB5"/>
    <w:rsid w:val="000C7163"/>
    <w:rsid w:val="000C77F5"/>
    <w:rsid w:val="000C7AAF"/>
    <w:rsid w:val="000D0F78"/>
    <w:rsid w:val="000D15F7"/>
    <w:rsid w:val="000D1A0D"/>
    <w:rsid w:val="000D1FBC"/>
    <w:rsid w:val="000D2276"/>
    <w:rsid w:val="000D2841"/>
    <w:rsid w:val="000D3133"/>
    <w:rsid w:val="000D344A"/>
    <w:rsid w:val="000D368E"/>
    <w:rsid w:val="000D5017"/>
    <w:rsid w:val="000D559E"/>
    <w:rsid w:val="000D5B57"/>
    <w:rsid w:val="000D5F4E"/>
    <w:rsid w:val="000D60F4"/>
    <w:rsid w:val="000D6B3A"/>
    <w:rsid w:val="000D6D6F"/>
    <w:rsid w:val="000D6E15"/>
    <w:rsid w:val="000D78D4"/>
    <w:rsid w:val="000D7CE9"/>
    <w:rsid w:val="000E0147"/>
    <w:rsid w:val="000E034A"/>
    <w:rsid w:val="000E16C0"/>
    <w:rsid w:val="000E1E1A"/>
    <w:rsid w:val="000E3036"/>
    <w:rsid w:val="000E3603"/>
    <w:rsid w:val="000E4E70"/>
    <w:rsid w:val="000E52A1"/>
    <w:rsid w:val="000E52A3"/>
    <w:rsid w:val="000E5AF2"/>
    <w:rsid w:val="000E6973"/>
    <w:rsid w:val="000E69BB"/>
    <w:rsid w:val="000E69F6"/>
    <w:rsid w:val="000E7416"/>
    <w:rsid w:val="000E7E0C"/>
    <w:rsid w:val="000F0A17"/>
    <w:rsid w:val="000F0B8A"/>
    <w:rsid w:val="000F0FD0"/>
    <w:rsid w:val="000F15CF"/>
    <w:rsid w:val="000F1A21"/>
    <w:rsid w:val="000F1D19"/>
    <w:rsid w:val="000F220F"/>
    <w:rsid w:val="000F2ED3"/>
    <w:rsid w:val="000F348A"/>
    <w:rsid w:val="000F3CF3"/>
    <w:rsid w:val="000F4ACF"/>
    <w:rsid w:val="000F52D4"/>
    <w:rsid w:val="000F6520"/>
    <w:rsid w:val="000F67B5"/>
    <w:rsid w:val="000F6AEF"/>
    <w:rsid w:val="001007AB"/>
    <w:rsid w:val="00100902"/>
    <w:rsid w:val="00101D84"/>
    <w:rsid w:val="00102DB5"/>
    <w:rsid w:val="0010565F"/>
    <w:rsid w:val="00105B91"/>
    <w:rsid w:val="001062FB"/>
    <w:rsid w:val="00106C41"/>
    <w:rsid w:val="00107A68"/>
    <w:rsid w:val="0011037E"/>
    <w:rsid w:val="00112218"/>
    <w:rsid w:val="00112EB2"/>
    <w:rsid w:val="0011331E"/>
    <w:rsid w:val="001136DD"/>
    <w:rsid w:val="00113C05"/>
    <w:rsid w:val="00117C76"/>
    <w:rsid w:val="00120F26"/>
    <w:rsid w:val="0012120C"/>
    <w:rsid w:val="0012133E"/>
    <w:rsid w:val="001218A1"/>
    <w:rsid w:val="001219AF"/>
    <w:rsid w:val="001219D6"/>
    <w:rsid w:val="00121C21"/>
    <w:rsid w:val="00121E07"/>
    <w:rsid w:val="001236BE"/>
    <w:rsid w:val="00123E64"/>
    <w:rsid w:val="001245E4"/>
    <w:rsid w:val="00125529"/>
    <w:rsid w:val="0012608D"/>
    <w:rsid w:val="001262C8"/>
    <w:rsid w:val="00126DF7"/>
    <w:rsid w:val="00127170"/>
    <w:rsid w:val="00127C80"/>
    <w:rsid w:val="00127C88"/>
    <w:rsid w:val="00130118"/>
    <w:rsid w:val="001302F1"/>
    <w:rsid w:val="00131867"/>
    <w:rsid w:val="001320A8"/>
    <w:rsid w:val="0013419B"/>
    <w:rsid w:val="00135461"/>
    <w:rsid w:val="001356F0"/>
    <w:rsid w:val="0013596F"/>
    <w:rsid w:val="00135D5C"/>
    <w:rsid w:val="00136014"/>
    <w:rsid w:val="001363B8"/>
    <w:rsid w:val="001363DB"/>
    <w:rsid w:val="00136B99"/>
    <w:rsid w:val="0014072C"/>
    <w:rsid w:val="00140A2F"/>
    <w:rsid w:val="0014128A"/>
    <w:rsid w:val="001415F3"/>
    <w:rsid w:val="00142E82"/>
    <w:rsid w:val="00143498"/>
    <w:rsid w:val="00143C46"/>
    <w:rsid w:val="00143DBB"/>
    <w:rsid w:val="001446F3"/>
    <w:rsid w:val="00145755"/>
    <w:rsid w:val="0014622B"/>
    <w:rsid w:val="00146509"/>
    <w:rsid w:val="0014675E"/>
    <w:rsid w:val="00147364"/>
    <w:rsid w:val="00147652"/>
    <w:rsid w:val="00147C21"/>
    <w:rsid w:val="0015067B"/>
    <w:rsid w:val="0015163C"/>
    <w:rsid w:val="00151787"/>
    <w:rsid w:val="00151CAA"/>
    <w:rsid w:val="00151DC0"/>
    <w:rsid w:val="00151DF7"/>
    <w:rsid w:val="00151FBE"/>
    <w:rsid w:val="0015326A"/>
    <w:rsid w:val="00153362"/>
    <w:rsid w:val="001534C5"/>
    <w:rsid w:val="00153519"/>
    <w:rsid w:val="001541E6"/>
    <w:rsid w:val="00154420"/>
    <w:rsid w:val="00154CE7"/>
    <w:rsid w:val="0015536E"/>
    <w:rsid w:val="00156462"/>
    <w:rsid w:val="001567D2"/>
    <w:rsid w:val="00157F3D"/>
    <w:rsid w:val="00160160"/>
    <w:rsid w:val="00160600"/>
    <w:rsid w:val="001606A0"/>
    <w:rsid w:val="0016172F"/>
    <w:rsid w:val="00161888"/>
    <w:rsid w:val="00161955"/>
    <w:rsid w:val="001628D2"/>
    <w:rsid w:val="00162A0B"/>
    <w:rsid w:val="00162A1D"/>
    <w:rsid w:val="00162C5E"/>
    <w:rsid w:val="001630F7"/>
    <w:rsid w:val="0016415F"/>
    <w:rsid w:val="001646BF"/>
    <w:rsid w:val="00165007"/>
    <w:rsid w:val="00165040"/>
    <w:rsid w:val="00165294"/>
    <w:rsid w:val="001655A9"/>
    <w:rsid w:val="00165EE3"/>
    <w:rsid w:val="00166D79"/>
    <w:rsid w:val="00167A46"/>
    <w:rsid w:val="00167B6F"/>
    <w:rsid w:val="0017140B"/>
    <w:rsid w:val="001717E5"/>
    <w:rsid w:val="00171F81"/>
    <w:rsid w:val="0017254A"/>
    <w:rsid w:val="0017279D"/>
    <w:rsid w:val="0017288D"/>
    <w:rsid w:val="00172CD3"/>
    <w:rsid w:val="00173D36"/>
    <w:rsid w:val="00174762"/>
    <w:rsid w:val="00175E93"/>
    <w:rsid w:val="001774B8"/>
    <w:rsid w:val="00177642"/>
    <w:rsid w:val="00177BE9"/>
    <w:rsid w:val="001803D0"/>
    <w:rsid w:val="001810B8"/>
    <w:rsid w:val="001812E9"/>
    <w:rsid w:val="00181456"/>
    <w:rsid w:val="00181B99"/>
    <w:rsid w:val="00181D34"/>
    <w:rsid w:val="00181E50"/>
    <w:rsid w:val="00181F23"/>
    <w:rsid w:val="0018247B"/>
    <w:rsid w:val="00182C02"/>
    <w:rsid w:val="001837E4"/>
    <w:rsid w:val="00183B46"/>
    <w:rsid w:val="00183BF3"/>
    <w:rsid w:val="0018475F"/>
    <w:rsid w:val="0018493F"/>
    <w:rsid w:val="00184B90"/>
    <w:rsid w:val="00184DEE"/>
    <w:rsid w:val="0018606E"/>
    <w:rsid w:val="001865C7"/>
    <w:rsid w:val="00186941"/>
    <w:rsid w:val="00186DD9"/>
    <w:rsid w:val="001871EF"/>
    <w:rsid w:val="00187F0D"/>
    <w:rsid w:val="001907A2"/>
    <w:rsid w:val="00190B43"/>
    <w:rsid w:val="00190BF6"/>
    <w:rsid w:val="001911C9"/>
    <w:rsid w:val="0019186C"/>
    <w:rsid w:val="0019217B"/>
    <w:rsid w:val="001927AB"/>
    <w:rsid w:val="00192B65"/>
    <w:rsid w:val="00192FF7"/>
    <w:rsid w:val="00193C37"/>
    <w:rsid w:val="0019548C"/>
    <w:rsid w:val="001957D3"/>
    <w:rsid w:val="00195869"/>
    <w:rsid w:val="00196304"/>
    <w:rsid w:val="001979A9"/>
    <w:rsid w:val="001A011A"/>
    <w:rsid w:val="001A0982"/>
    <w:rsid w:val="001A0A20"/>
    <w:rsid w:val="001A1E8F"/>
    <w:rsid w:val="001A2205"/>
    <w:rsid w:val="001A2967"/>
    <w:rsid w:val="001A2B51"/>
    <w:rsid w:val="001A313A"/>
    <w:rsid w:val="001A41A1"/>
    <w:rsid w:val="001A4229"/>
    <w:rsid w:val="001A476F"/>
    <w:rsid w:val="001A4B3B"/>
    <w:rsid w:val="001A58FE"/>
    <w:rsid w:val="001A5E58"/>
    <w:rsid w:val="001A641B"/>
    <w:rsid w:val="001A6A69"/>
    <w:rsid w:val="001A773D"/>
    <w:rsid w:val="001B0218"/>
    <w:rsid w:val="001B0A86"/>
    <w:rsid w:val="001B152E"/>
    <w:rsid w:val="001B1FDD"/>
    <w:rsid w:val="001B2007"/>
    <w:rsid w:val="001B28E6"/>
    <w:rsid w:val="001B2B1A"/>
    <w:rsid w:val="001B34EB"/>
    <w:rsid w:val="001B52A8"/>
    <w:rsid w:val="001B6490"/>
    <w:rsid w:val="001B67BE"/>
    <w:rsid w:val="001B7831"/>
    <w:rsid w:val="001C139D"/>
    <w:rsid w:val="001C1666"/>
    <w:rsid w:val="001C1738"/>
    <w:rsid w:val="001C1F12"/>
    <w:rsid w:val="001C223C"/>
    <w:rsid w:val="001C25A7"/>
    <w:rsid w:val="001C2DE1"/>
    <w:rsid w:val="001C36F6"/>
    <w:rsid w:val="001C5428"/>
    <w:rsid w:val="001C6C72"/>
    <w:rsid w:val="001C72C7"/>
    <w:rsid w:val="001C791A"/>
    <w:rsid w:val="001D20A3"/>
    <w:rsid w:val="001D258B"/>
    <w:rsid w:val="001D26D0"/>
    <w:rsid w:val="001D2793"/>
    <w:rsid w:val="001D4495"/>
    <w:rsid w:val="001D4E9A"/>
    <w:rsid w:val="001D5662"/>
    <w:rsid w:val="001D6F28"/>
    <w:rsid w:val="001D742B"/>
    <w:rsid w:val="001D7690"/>
    <w:rsid w:val="001E0B72"/>
    <w:rsid w:val="001E0D50"/>
    <w:rsid w:val="001E239F"/>
    <w:rsid w:val="001E244D"/>
    <w:rsid w:val="001E26AA"/>
    <w:rsid w:val="001E2BA2"/>
    <w:rsid w:val="001E380C"/>
    <w:rsid w:val="001E3F42"/>
    <w:rsid w:val="001E42FD"/>
    <w:rsid w:val="001E4ABC"/>
    <w:rsid w:val="001E4D26"/>
    <w:rsid w:val="001E4F42"/>
    <w:rsid w:val="001E57DB"/>
    <w:rsid w:val="001E57F7"/>
    <w:rsid w:val="001E5C70"/>
    <w:rsid w:val="001E5D39"/>
    <w:rsid w:val="001E65EB"/>
    <w:rsid w:val="001E679C"/>
    <w:rsid w:val="001E6FE4"/>
    <w:rsid w:val="001E7248"/>
    <w:rsid w:val="001E7878"/>
    <w:rsid w:val="001F03B4"/>
    <w:rsid w:val="001F0A38"/>
    <w:rsid w:val="001F17D9"/>
    <w:rsid w:val="001F190E"/>
    <w:rsid w:val="001F1F2B"/>
    <w:rsid w:val="001F2D07"/>
    <w:rsid w:val="001F2DA4"/>
    <w:rsid w:val="001F399E"/>
    <w:rsid w:val="001F3E01"/>
    <w:rsid w:val="001F66A5"/>
    <w:rsid w:val="001F7AEB"/>
    <w:rsid w:val="001F7B6E"/>
    <w:rsid w:val="0020021C"/>
    <w:rsid w:val="00200DF4"/>
    <w:rsid w:val="00201A5E"/>
    <w:rsid w:val="002028F5"/>
    <w:rsid w:val="00202ED1"/>
    <w:rsid w:val="00204059"/>
    <w:rsid w:val="002054A9"/>
    <w:rsid w:val="002055B2"/>
    <w:rsid w:val="00205757"/>
    <w:rsid w:val="00205856"/>
    <w:rsid w:val="00206344"/>
    <w:rsid w:val="00206615"/>
    <w:rsid w:val="00206A42"/>
    <w:rsid w:val="00207740"/>
    <w:rsid w:val="0020799D"/>
    <w:rsid w:val="0021005B"/>
    <w:rsid w:val="00211A41"/>
    <w:rsid w:val="00211B79"/>
    <w:rsid w:val="00211FEC"/>
    <w:rsid w:val="00212174"/>
    <w:rsid w:val="0021311B"/>
    <w:rsid w:val="002141AF"/>
    <w:rsid w:val="002145E8"/>
    <w:rsid w:val="00214610"/>
    <w:rsid w:val="00214C84"/>
    <w:rsid w:val="00215296"/>
    <w:rsid w:val="00215C6A"/>
    <w:rsid w:val="00217AC1"/>
    <w:rsid w:val="002201F3"/>
    <w:rsid w:val="00220C8F"/>
    <w:rsid w:val="00221235"/>
    <w:rsid w:val="00221C3B"/>
    <w:rsid w:val="00222119"/>
    <w:rsid w:val="00222207"/>
    <w:rsid w:val="00223261"/>
    <w:rsid w:val="0022740A"/>
    <w:rsid w:val="002305E6"/>
    <w:rsid w:val="00230AB9"/>
    <w:rsid w:val="00230D61"/>
    <w:rsid w:val="002321B3"/>
    <w:rsid w:val="00232C19"/>
    <w:rsid w:val="002332AD"/>
    <w:rsid w:val="0023357F"/>
    <w:rsid w:val="002348F8"/>
    <w:rsid w:val="0023540B"/>
    <w:rsid w:val="002365B9"/>
    <w:rsid w:val="00237DD0"/>
    <w:rsid w:val="002408AD"/>
    <w:rsid w:val="00240BE1"/>
    <w:rsid w:val="00241223"/>
    <w:rsid w:val="00241CE0"/>
    <w:rsid w:val="00242089"/>
    <w:rsid w:val="002424E0"/>
    <w:rsid w:val="00242F6B"/>
    <w:rsid w:val="00244F3D"/>
    <w:rsid w:val="0024551C"/>
    <w:rsid w:val="00245626"/>
    <w:rsid w:val="002459E9"/>
    <w:rsid w:val="00245C24"/>
    <w:rsid w:val="00245DBB"/>
    <w:rsid w:val="002467E6"/>
    <w:rsid w:val="002469E6"/>
    <w:rsid w:val="00246A9B"/>
    <w:rsid w:val="00250424"/>
    <w:rsid w:val="002534E2"/>
    <w:rsid w:val="002534F3"/>
    <w:rsid w:val="00254032"/>
    <w:rsid w:val="00254094"/>
    <w:rsid w:val="00254CBD"/>
    <w:rsid w:val="00257136"/>
    <w:rsid w:val="00257AC8"/>
    <w:rsid w:val="00257D07"/>
    <w:rsid w:val="00257F32"/>
    <w:rsid w:val="0026007B"/>
    <w:rsid w:val="002601EF"/>
    <w:rsid w:val="002607C5"/>
    <w:rsid w:val="00260B41"/>
    <w:rsid w:val="002614D0"/>
    <w:rsid w:val="00261CF0"/>
    <w:rsid w:val="002627DC"/>
    <w:rsid w:val="00262A75"/>
    <w:rsid w:val="00262C51"/>
    <w:rsid w:val="00262D55"/>
    <w:rsid w:val="002635A0"/>
    <w:rsid w:val="002635FE"/>
    <w:rsid w:val="00264401"/>
    <w:rsid w:val="00264E28"/>
    <w:rsid w:val="00264EAE"/>
    <w:rsid w:val="002657A2"/>
    <w:rsid w:val="00265A9F"/>
    <w:rsid w:val="00265B08"/>
    <w:rsid w:val="002662DC"/>
    <w:rsid w:val="002668B4"/>
    <w:rsid w:val="00267273"/>
    <w:rsid w:val="00267B84"/>
    <w:rsid w:val="002706C1"/>
    <w:rsid w:val="0027189E"/>
    <w:rsid w:val="0027248D"/>
    <w:rsid w:val="00273715"/>
    <w:rsid w:val="00274D41"/>
    <w:rsid w:val="0027540B"/>
    <w:rsid w:val="0027555E"/>
    <w:rsid w:val="00275F5B"/>
    <w:rsid w:val="002764A4"/>
    <w:rsid w:val="002772FF"/>
    <w:rsid w:val="00277E03"/>
    <w:rsid w:val="0028038C"/>
    <w:rsid w:val="00280697"/>
    <w:rsid w:val="00280B08"/>
    <w:rsid w:val="0028105C"/>
    <w:rsid w:val="00281264"/>
    <w:rsid w:val="002828E3"/>
    <w:rsid w:val="00283189"/>
    <w:rsid w:val="0028384A"/>
    <w:rsid w:val="00283ECD"/>
    <w:rsid w:val="002844E8"/>
    <w:rsid w:val="00285B0E"/>
    <w:rsid w:val="00285F2E"/>
    <w:rsid w:val="00286145"/>
    <w:rsid w:val="00286EEA"/>
    <w:rsid w:val="00287080"/>
    <w:rsid w:val="00290AFF"/>
    <w:rsid w:val="002913AF"/>
    <w:rsid w:val="00291620"/>
    <w:rsid w:val="00291A5C"/>
    <w:rsid w:val="00293C04"/>
    <w:rsid w:val="00293C3F"/>
    <w:rsid w:val="00294743"/>
    <w:rsid w:val="002950FA"/>
    <w:rsid w:val="00295222"/>
    <w:rsid w:val="00295248"/>
    <w:rsid w:val="00295D85"/>
    <w:rsid w:val="002963BB"/>
    <w:rsid w:val="0029649E"/>
    <w:rsid w:val="002966D2"/>
    <w:rsid w:val="00296FE3"/>
    <w:rsid w:val="0029701D"/>
    <w:rsid w:val="0029736C"/>
    <w:rsid w:val="002973A1"/>
    <w:rsid w:val="002976BD"/>
    <w:rsid w:val="002977C5"/>
    <w:rsid w:val="00297A03"/>
    <w:rsid w:val="00297B2F"/>
    <w:rsid w:val="002A0020"/>
    <w:rsid w:val="002A05A3"/>
    <w:rsid w:val="002A0FB9"/>
    <w:rsid w:val="002A179D"/>
    <w:rsid w:val="002A22B2"/>
    <w:rsid w:val="002A2A6B"/>
    <w:rsid w:val="002A2C91"/>
    <w:rsid w:val="002A2F2C"/>
    <w:rsid w:val="002A452D"/>
    <w:rsid w:val="002A48E8"/>
    <w:rsid w:val="002A497B"/>
    <w:rsid w:val="002A49EC"/>
    <w:rsid w:val="002A54C5"/>
    <w:rsid w:val="002A57B5"/>
    <w:rsid w:val="002A58C1"/>
    <w:rsid w:val="002A7382"/>
    <w:rsid w:val="002A7425"/>
    <w:rsid w:val="002A7D60"/>
    <w:rsid w:val="002B0649"/>
    <w:rsid w:val="002B1807"/>
    <w:rsid w:val="002B26BA"/>
    <w:rsid w:val="002B329E"/>
    <w:rsid w:val="002B33C4"/>
    <w:rsid w:val="002B3919"/>
    <w:rsid w:val="002B39B9"/>
    <w:rsid w:val="002B4267"/>
    <w:rsid w:val="002B5305"/>
    <w:rsid w:val="002B574A"/>
    <w:rsid w:val="002B5D30"/>
    <w:rsid w:val="002B6981"/>
    <w:rsid w:val="002B7AED"/>
    <w:rsid w:val="002C03FE"/>
    <w:rsid w:val="002C1027"/>
    <w:rsid w:val="002C1268"/>
    <w:rsid w:val="002C1550"/>
    <w:rsid w:val="002C1617"/>
    <w:rsid w:val="002C1D60"/>
    <w:rsid w:val="002C1F92"/>
    <w:rsid w:val="002C22DF"/>
    <w:rsid w:val="002C28DC"/>
    <w:rsid w:val="002C3350"/>
    <w:rsid w:val="002C3628"/>
    <w:rsid w:val="002C3BB2"/>
    <w:rsid w:val="002C3D60"/>
    <w:rsid w:val="002C3DE4"/>
    <w:rsid w:val="002C42FC"/>
    <w:rsid w:val="002C57F8"/>
    <w:rsid w:val="002C5B03"/>
    <w:rsid w:val="002C6269"/>
    <w:rsid w:val="002C632E"/>
    <w:rsid w:val="002C78B0"/>
    <w:rsid w:val="002C79DF"/>
    <w:rsid w:val="002C7C1B"/>
    <w:rsid w:val="002D00DE"/>
    <w:rsid w:val="002D0116"/>
    <w:rsid w:val="002D0136"/>
    <w:rsid w:val="002D0257"/>
    <w:rsid w:val="002D0285"/>
    <w:rsid w:val="002D0655"/>
    <w:rsid w:val="002D0A77"/>
    <w:rsid w:val="002D0E3D"/>
    <w:rsid w:val="002D177E"/>
    <w:rsid w:val="002D1992"/>
    <w:rsid w:val="002D1E3B"/>
    <w:rsid w:val="002D1F19"/>
    <w:rsid w:val="002D21A7"/>
    <w:rsid w:val="002D285E"/>
    <w:rsid w:val="002D2F11"/>
    <w:rsid w:val="002D3985"/>
    <w:rsid w:val="002D4A87"/>
    <w:rsid w:val="002D5046"/>
    <w:rsid w:val="002D5114"/>
    <w:rsid w:val="002D535F"/>
    <w:rsid w:val="002D5A29"/>
    <w:rsid w:val="002D5A40"/>
    <w:rsid w:val="002D5E2B"/>
    <w:rsid w:val="002D71EC"/>
    <w:rsid w:val="002D7344"/>
    <w:rsid w:val="002D7349"/>
    <w:rsid w:val="002D789B"/>
    <w:rsid w:val="002D7A80"/>
    <w:rsid w:val="002D7C18"/>
    <w:rsid w:val="002E0024"/>
    <w:rsid w:val="002E0161"/>
    <w:rsid w:val="002E0823"/>
    <w:rsid w:val="002E0947"/>
    <w:rsid w:val="002E0D55"/>
    <w:rsid w:val="002E1580"/>
    <w:rsid w:val="002E1928"/>
    <w:rsid w:val="002E19F5"/>
    <w:rsid w:val="002E2907"/>
    <w:rsid w:val="002E3618"/>
    <w:rsid w:val="002E4B31"/>
    <w:rsid w:val="002E5B5C"/>
    <w:rsid w:val="002E5D5A"/>
    <w:rsid w:val="002E6703"/>
    <w:rsid w:val="002E7716"/>
    <w:rsid w:val="002E7764"/>
    <w:rsid w:val="002E7E5B"/>
    <w:rsid w:val="002E7F07"/>
    <w:rsid w:val="002F076E"/>
    <w:rsid w:val="002F1D2B"/>
    <w:rsid w:val="002F1D9D"/>
    <w:rsid w:val="002F1D9E"/>
    <w:rsid w:val="002F1E31"/>
    <w:rsid w:val="002F34E1"/>
    <w:rsid w:val="002F3B41"/>
    <w:rsid w:val="002F461C"/>
    <w:rsid w:val="002F4A6B"/>
    <w:rsid w:val="002F54F4"/>
    <w:rsid w:val="002F552A"/>
    <w:rsid w:val="002F5D87"/>
    <w:rsid w:val="002F60FA"/>
    <w:rsid w:val="002F64BC"/>
    <w:rsid w:val="002F6EDC"/>
    <w:rsid w:val="002F7459"/>
    <w:rsid w:val="00300578"/>
    <w:rsid w:val="00300759"/>
    <w:rsid w:val="00300950"/>
    <w:rsid w:val="00300C70"/>
    <w:rsid w:val="00301780"/>
    <w:rsid w:val="003023E6"/>
    <w:rsid w:val="003025A8"/>
    <w:rsid w:val="00302683"/>
    <w:rsid w:val="003026A1"/>
    <w:rsid w:val="003026B9"/>
    <w:rsid w:val="00302745"/>
    <w:rsid w:val="003027F6"/>
    <w:rsid w:val="0030290E"/>
    <w:rsid w:val="0030478D"/>
    <w:rsid w:val="0030581C"/>
    <w:rsid w:val="003063D5"/>
    <w:rsid w:val="00306AFD"/>
    <w:rsid w:val="00306B66"/>
    <w:rsid w:val="0030757D"/>
    <w:rsid w:val="00307E7C"/>
    <w:rsid w:val="00311743"/>
    <w:rsid w:val="00312870"/>
    <w:rsid w:val="00312D12"/>
    <w:rsid w:val="0031376E"/>
    <w:rsid w:val="0031398D"/>
    <w:rsid w:val="00313D5E"/>
    <w:rsid w:val="00314481"/>
    <w:rsid w:val="00314AAB"/>
    <w:rsid w:val="00314B11"/>
    <w:rsid w:val="0031520C"/>
    <w:rsid w:val="00315706"/>
    <w:rsid w:val="003175CF"/>
    <w:rsid w:val="0031761F"/>
    <w:rsid w:val="00320A58"/>
    <w:rsid w:val="00321ABB"/>
    <w:rsid w:val="00321EA3"/>
    <w:rsid w:val="00322173"/>
    <w:rsid w:val="00322CE6"/>
    <w:rsid w:val="00323948"/>
    <w:rsid w:val="003239F6"/>
    <w:rsid w:val="00326F49"/>
    <w:rsid w:val="00326F68"/>
    <w:rsid w:val="00327E81"/>
    <w:rsid w:val="00331481"/>
    <w:rsid w:val="0033158A"/>
    <w:rsid w:val="003315C3"/>
    <w:rsid w:val="003319B7"/>
    <w:rsid w:val="003321D0"/>
    <w:rsid w:val="003337C9"/>
    <w:rsid w:val="00333DC2"/>
    <w:rsid w:val="00333FA9"/>
    <w:rsid w:val="00334022"/>
    <w:rsid w:val="0033436F"/>
    <w:rsid w:val="00334E68"/>
    <w:rsid w:val="0033560F"/>
    <w:rsid w:val="00336700"/>
    <w:rsid w:val="0033734B"/>
    <w:rsid w:val="00337613"/>
    <w:rsid w:val="0033776A"/>
    <w:rsid w:val="0033798C"/>
    <w:rsid w:val="003404F2"/>
    <w:rsid w:val="003413D2"/>
    <w:rsid w:val="0034181D"/>
    <w:rsid w:val="00341B3C"/>
    <w:rsid w:val="003448B6"/>
    <w:rsid w:val="003452D2"/>
    <w:rsid w:val="00345B4E"/>
    <w:rsid w:val="00345B9D"/>
    <w:rsid w:val="00345DD8"/>
    <w:rsid w:val="003473C6"/>
    <w:rsid w:val="00347506"/>
    <w:rsid w:val="003479D3"/>
    <w:rsid w:val="00347B58"/>
    <w:rsid w:val="00350B9A"/>
    <w:rsid w:val="00350D0E"/>
    <w:rsid w:val="00351BA4"/>
    <w:rsid w:val="00351C97"/>
    <w:rsid w:val="00351D7D"/>
    <w:rsid w:val="00352CCB"/>
    <w:rsid w:val="003533CE"/>
    <w:rsid w:val="00353D3B"/>
    <w:rsid w:val="003543AE"/>
    <w:rsid w:val="00355B30"/>
    <w:rsid w:val="00355B37"/>
    <w:rsid w:val="00355D2D"/>
    <w:rsid w:val="00356713"/>
    <w:rsid w:val="00356877"/>
    <w:rsid w:val="00356A75"/>
    <w:rsid w:val="00357563"/>
    <w:rsid w:val="0035789D"/>
    <w:rsid w:val="00357BFF"/>
    <w:rsid w:val="0036168D"/>
    <w:rsid w:val="00361AF3"/>
    <w:rsid w:val="003620DA"/>
    <w:rsid w:val="00362936"/>
    <w:rsid w:val="003629CA"/>
    <w:rsid w:val="00362B15"/>
    <w:rsid w:val="00363EE7"/>
    <w:rsid w:val="00364957"/>
    <w:rsid w:val="00364E15"/>
    <w:rsid w:val="00366302"/>
    <w:rsid w:val="00367428"/>
    <w:rsid w:val="00370D1A"/>
    <w:rsid w:val="00370F03"/>
    <w:rsid w:val="003713C4"/>
    <w:rsid w:val="0037198F"/>
    <w:rsid w:val="00371E0F"/>
    <w:rsid w:val="003721B9"/>
    <w:rsid w:val="003723B7"/>
    <w:rsid w:val="00372507"/>
    <w:rsid w:val="00372509"/>
    <w:rsid w:val="00372861"/>
    <w:rsid w:val="0037291A"/>
    <w:rsid w:val="00373651"/>
    <w:rsid w:val="00373E5B"/>
    <w:rsid w:val="003743D6"/>
    <w:rsid w:val="00375EB8"/>
    <w:rsid w:val="00376CFF"/>
    <w:rsid w:val="00380224"/>
    <w:rsid w:val="00382DA8"/>
    <w:rsid w:val="00383718"/>
    <w:rsid w:val="00383B75"/>
    <w:rsid w:val="00384402"/>
    <w:rsid w:val="003849BD"/>
    <w:rsid w:val="00384CBB"/>
    <w:rsid w:val="003868D0"/>
    <w:rsid w:val="00386993"/>
    <w:rsid w:val="0038711B"/>
    <w:rsid w:val="003873AB"/>
    <w:rsid w:val="0038775C"/>
    <w:rsid w:val="00390784"/>
    <w:rsid w:val="00390E21"/>
    <w:rsid w:val="0039134B"/>
    <w:rsid w:val="0039187D"/>
    <w:rsid w:val="00391B68"/>
    <w:rsid w:val="003923AC"/>
    <w:rsid w:val="00392A16"/>
    <w:rsid w:val="00393E6B"/>
    <w:rsid w:val="00395114"/>
    <w:rsid w:val="003952E0"/>
    <w:rsid w:val="00395B36"/>
    <w:rsid w:val="00395F38"/>
    <w:rsid w:val="00397EEA"/>
    <w:rsid w:val="003A0288"/>
    <w:rsid w:val="003A04D6"/>
    <w:rsid w:val="003A0963"/>
    <w:rsid w:val="003A0AB7"/>
    <w:rsid w:val="003A11A0"/>
    <w:rsid w:val="003A2454"/>
    <w:rsid w:val="003A2BB8"/>
    <w:rsid w:val="003A2CF2"/>
    <w:rsid w:val="003A2DEE"/>
    <w:rsid w:val="003A3653"/>
    <w:rsid w:val="003A3A07"/>
    <w:rsid w:val="003A49FD"/>
    <w:rsid w:val="003A4B03"/>
    <w:rsid w:val="003A4EA9"/>
    <w:rsid w:val="003A55C9"/>
    <w:rsid w:val="003A60DF"/>
    <w:rsid w:val="003A62A4"/>
    <w:rsid w:val="003A69D8"/>
    <w:rsid w:val="003A6B34"/>
    <w:rsid w:val="003A6E40"/>
    <w:rsid w:val="003A7279"/>
    <w:rsid w:val="003A7779"/>
    <w:rsid w:val="003A7FE3"/>
    <w:rsid w:val="003B02D6"/>
    <w:rsid w:val="003B0DAA"/>
    <w:rsid w:val="003B179C"/>
    <w:rsid w:val="003B1F29"/>
    <w:rsid w:val="003B24C5"/>
    <w:rsid w:val="003B279D"/>
    <w:rsid w:val="003B2906"/>
    <w:rsid w:val="003B3092"/>
    <w:rsid w:val="003B30C3"/>
    <w:rsid w:val="003B3C50"/>
    <w:rsid w:val="003B42FF"/>
    <w:rsid w:val="003B4B5E"/>
    <w:rsid w:val="003B4D5B"/>
    <w:rsid w:val="003B51B2"/>
    <w:rsid w:val="003B5306"/>
    <w:rsid w:val="003B588D"/>
    <w:rsid w:val="003B67B9"/>
    <w:rsid w:val="003B6D6F"/>
    <w:rsid w:val="003B7603"/>
    <w:rsid w:val="003C13BB"/>
    <w:rsid w:val="003C3597"/>
    <w:rsid w:val="003C3862"/>
    <w:rsid w:val="003C40D0"/>
    <w:rsid w:val="003C4342"/>
    <w:rsid w:val="003C4594"/>
    <w:rsid w:val="003C52E5"/>
    <w:rsid w:val="003C5F29"/>
    <w:rsid w:val="003C6378"/>
    <w:rsid w:val="003C6D16"/>
    <w:rsid w:val="003C6F11"/>
    <w:rsid w:val="003C70AF"/>
    <w:rsid w:val="003D0A45"/>
    <w:rsid w:val="003D0C5D"/>
    <w:rsid w:val="003D0DF8"/>
    <w:rsid w:val="003D1184"/>
    <w:rsid w:val="003D186F"/>
    <w:rsid w:val="003D1CAB"/>
    <w:rsid w:val="003D24EF"/>
    <w:rsid w:val="003D305A"/>
    <w:rsid w:val="003D343B"/>
    <w:rsid w:val="003D38DF"/>
    <w:rsid w:val="003D39F1"/>
    <w:rsid w:val="003D3B2B"/>
    <w:rsid w:val="003D433B"/>
    <w:rsid w:val="003D58FA"/>
    <w:rsid w:val="003D6480"/>
    <w:rsid w:val="003E106B"/>
    <w:rsid w:val="003E117D"/>
    <w:rsid w:val="003E17F3"/>
    <w:rsid w:val="003E2AC1"/>
    <w:rsid w:val="003E35A3"/>
    <w:rsid w:val="003E3FB4"/>
    <w:rsid w:val="003E4566"/>
    <w:rsid w:val="003E4B8D"/>
    <w:rsid w:val="003E5069"/>
    <w:rsid w:val="003E56C2"/>
    <w:rsid w:val="003E5B3D"/>
    <w:rsid w:val="003E5D01"/>
    <w:rsid w:val="003E62E9"/>
    <w:rsid w:val="003E77D3"/>
    <w:rsid w:val="003F03EB"/>
    <w:rsid w:val="003F236F"/>
    <w:rsid w:val="003F2A34"/>
    <w:rsid w:val="003F3B1F"/>
    <w:rsid w:val="003F3B5D"/>
    <w:rsid w:val="003F4473"/>
    <w:rsid w:val="003F4498"/>
    <w:rsid w:val="003F4C8E"/>
    <w:rsid w:val="003F520B"/>
    <w:rsid w:val="003F567C"/>
    <w:rsid w:val="003F5940"/>
    <w:rsid w:val="003F6038"/>
    <w:rsid w:val="003F6217"/>
    <w:rsid w:val="003F641B"/>
    <w:rsid w:val="003F6E5A"/>
    <w:rsid w:val="003F713D"/>
    <w:rsid w:val="003F726B"/>
    <w:rsid w:val="003F7702"/>
    <w:rsid w:val="003F7986"/>
    <w:rsid w:val="003F7C9E"/>
    <w:rsid w:val="00400462"/>
    <w:rsid w:val="00400A78"/>
    <w:rsid w:val="00400B31"/>
    <w:rsid w:val="00400C6C"/>
    <w:rsid w:val="00400EF6"/>
    <w:rsid w:val="00400F86"/>
    <w:rsid w:val="0040105C"/>
    <w:rsid w:val="004015B3"/>
    <w:rsid w:val="0040163A"/>
    <w:rsid w:val="00401C13"/>
    <w:rsid w:val="00401FB6"/>
    <w:rsid w:val="00403199"/>
    <w:rsid w:val="004031FF"/>
    <w:rsid w:val="0040386F"/>
    <w:rsid w:val="00404165"/>
    <w:rsid w:val="00405189"/>
    <w:rsid w:val="00406F91"/>
    <w:rsid w:val="00406FC8"/>
    <w:rsid w:val="004075DC"/>
    <w:rsid w:val="00407825"/>
    <w:rsid w:val="00407865"/>
    <w:rsid w:val="004078DA"/>
    <w:rsid w:val="0041055F"/>
    <w:rsid w:val="00410B1A"/>
    <w:rsid w:val="004126B2"/>
    <w:rsid w:val="00412941"/>
    <w:rsid w:val="00412CE2"/>
    <w:rsid w:val="00413A04"/>
    <w:rsid w:val="00413B80"/>
    <w:rsid w:val="00413D16"/>
    <w:rsid w:val="0041418A"/>
    <w:rsid w:val="00414925"/>
    <w:rsid w:val="00414A4A"/>
    <w:rsid w:val="004175C6"/>
    <w:rsid w:val="00417C26"/>
    <w:rsid w:val="004201A7"/>
    <w:rsid w:val="0042023F"/>
    <w:rsid w:val="0042125D"/>
    <w:rsid w:val="00421A79"/>
    <w:rsid w:val="00421B6F"/>
    <w:rsid w:val="0042226C"/>
    <w:rsid w:val="00423575"/>
    <w:rsid w:val="004235E5"/>
    <w:rsid w:val="004236B6"/>
    <w:rsid w:val="00424058"/>
    <w:rsid w:val="00425246"/>
    <w:rsid w:val="0042545A"/>
    <w:rsid w:val="00425585"/>
    <w:rsid w:val="00425CB7"/>
    <w:rsid w:val="004269E9"/>
    <w:rsid w:val="00426A62"/>
    <w:rsid w:val="0042750B"/>
    <w:rsid w:val="00427FCF"/>
    <w:rsid w:val="004302B6"/>
    <w:rsid w:val="00430C8D"/>
    <w:rsid w:val="00430D04"/>
    <w:rsid w:val="00431265"/>
    <w:rsid w:val="00431539"/>
    <w:rsid w:val="004318D4"/>
    <w:rsid w:val="00431C3E"/>
    <w:rsid w:val="00431E08"/>
    <w:rsid w:val="00432635"/>
    <w:rsid w:val="0043382D"/>
    <w:rsid w:val="0043484D"/>
    <w:rsid w:val="00434F31"/>
    <w:rsid w:val="004357B0"/>
    <w:rsid w:val="0043686D"/>
    <w:rsid w:val="004372D0"/>
    <w:rsid w:val="004410E3"/>
    <w:rsid w:val="004415C1"/>
    <w:rsid w:val="004424F4"/>
    <w:rsid w:val="004427F8"/>
    <w:rsid w:val="004454D5"/>
    <w:rsid w:val="00445829"/>
    <w:rsid w:val="004466F9"/>
    <w:rsid w:val="004475D5"/>
    <w:rsid w:val="00447D14"/>
    <w:rsid w:val="00447F04"/>
    <w:rsid w:val="004507C1"/>
    <w:rsid w:val="00450819"/>
    <w:rsid w:val="004508DB"/>
    <w:rsid w:val="00450D09"/>
    <w:rsid w:val="00450F52"/>
    <w:rsid w:val="004514D1"/>
    <w:rsid w:val="00453CC3"/>
    <w:rsid w:val="00453E4F"/>
    <w:rsid w:val="0045415D"/>
    <w:rsid w:val="00454FE5"/>
    <w:rsid w:val="004552A1"/>
    <w:rsid w:val="004555D8"/>
    <w:rsid w:val="004556F8"/>
    <w:rsid w:val="00455C5A"/>
    <w:rsid w:val="00456091"/>
    <w:rsid w:val="00456294"/>
    <w:rsid w:val="00456535"/>
    <w:rsid w:val="00456C41"/>
    <w:rsid w:val="004573F5"/>
    <w:rsid w:val="00460298"/>
    <w:rsid w:val="00460D03"/>
    <w:rsid w:val="00460F8A"/>
    <w:rsid w:val="00461FB2"/>
    <w:rsid w:val="00462383"/>
    <w:rsid w:val="004633C6"/>
    <w:rsid w:val="00463486"/>
    <w:rsid w:val="00463AD7"/>
    <w:rsid w:val="00463E95"/>
    <w:rsid w:val="00464020"/>
    <w:rsid w:val="00465757"/>
    <w:rsid w:val="00466172"/>
    <w:rsid w:val="00466ABF"/>
    <w:rsid w:val="00467418"/>
    <w:rsid w:val="004700C5"/>
    <w:rsid w:val="00472722"/>
    <w:rsid w:val="00473177"/>
    <w:rsid w:val="0047380D"/>
    <w:rsid w:val="00473AB3"/>
    <w:rsid w:val="00474015"/>
    <w:rsid w:val="004745D2"/>
    <w:rsid w:val="00474661"/>
    <w:rsid w:val="0047493E"/>
    <w:rsid w:val="00474D88"/>
    <w:rsid w:val="00474F12"/>
    <w:rsid w:val="0047596D"/>
    <w:rsid w:val="00475A39"/>
    <w:rsid w:val="004765CE"/>
    <w:rsid w:val="00476AB2"/>
    <w:rsid w:val="00476F60"/>
    <w:rsid w:val="00476F9C"/>
    <w:rsid w:val="00483262"/>
    <w:rsid w:val="00483832"/>
    <w:rsid w:val="004848F6"/>
    <w:rsid w:val="00484C22"/>
    <w:rsid w:val="0048555A"/>
    <w:rsid w:val="00485879"/>
    <w:rsid w:val="00485880"/>
    <w:rsid w:val="00485EEF"/>
    <w:rsid w:val="004865D0"/>
    <w:rsid w:val="004874D7"/>
    <w:rsid w:val="004877C9"/>
    <w:rsid w:val="00487B07"/>
    <w:rsid w:val="00490EEB"/>
    <w:rsid w:val="00491E3F"/>
    <w:rsid w:val="004927A7"/>
    <w:rsid w:val="00492FBE"/>
    <w:rsid w:val="00493548"/>
    <w:rsid w:val="004943D6"/>
    <w:rsid w:val="00494E1C"/>
    <w:rsid w:val="00494E60"/>
    <w:rsid w:val="0049537B"/>
    <w:rsid w:val="00496919"/>
    <w:rsid w:val="00497DE8"/>
    <w:rsid w:val="00497F2E"/>
    <w:rsid w:val="004A027C"/>
    <w:rsid w:val="004A0455"/>
    <w:rsid w:val="004A0562"/>
    <w:rsid w:val="004A0651"/>
    <w:rsid w:val="004A0889"/>
    <w:rsid w:val="004A0A19"/>
    <w:rsid w:val="004A0FAD"/>
    <w:rsid w:val="004A191D"/>
    <w:rsid w:val="004A1B67"/>
    <w:rsid w:val="004A21B9"/>
    <w:rsid w:val="004A2557"/>
    <w:rsid w:val="004A2F66"/>
    <w:rsid w:val="004A43EF"/>
    <w:rsid w:val="004A4864"/>
    <w:rsid w:val="004A5944"/>
    <w:rsid w:val="004A61E2"/>
    <w:rsid w:val="004A623E"/>
    <w:rsid w:val="004A63F3"/>
    <w:rsid w:val="004A781F"/>
    <w:rsid w:val="004A78D1"/>
    <w:rsid w:val="004A7966"/>
    <w:rsid w:val="004B0A59"/>
    <w:rsid w:val="004B18A8"/>
    <w:rsid w:val="004B2E09"/>
    <w:rsid w:val="004B3C39"/>
    <w:rsid w:val="004B4EF2"/>
    <w:rsid w:val="004B5B57"/>
    <w:rsid w:val="004B696A"/>
    <w:rsid w:val="004B6A80"/>
    <w:rsid w:val="004B7115"/>
    <w:rsid w:val="004B7895"/>
    <w:rsid w:val="004B7909"/>
    <w:rsid w:val="004B7B15"/>
    <w:rsid w:val="004C03FD"/>
    <w:rsid w:val="004C0D4F"/>
    <w:rsid w:val="004C13D2"/>
    <w:rsid w:val="004C1BFC"/>
    <w:rsid w:val="004C24E8"/>
    <w:rsid w:val="004C29AA"/>
    <w:rsid w:val="004C29E4"/>
    <w:rsid w:val="004C404A"/>
    <w:rsid w:val="004C42D4"/>
    <w:rsid w:val="004C4336"/>
    <w:rsid w:val="004C5B92"/>
    <w:rsid w:val="004C6FF8"/>
    <w:rsid w:val="004C79FD"/>
    <w:rsid w:val="004D2989"/>
    <w:rsid w:val="004D2C5B"/>
    <w:rsid w:val="004D2F24"/>
    <w:rsid w:val="004D37BB"/>
    <w:rsid w:val="004D3E2C"/>
    <w:rsid w:val="004D4C27"/>
    <w:rsid w:val="004D52B9"/>
    <w:rsid w:val="004D57DB"/>
    <w:rsid w:val="004D58A0"/>
    <w:rsid w:val="004D5CEB"/>
    <w:rsid w:val="004D753E"/>
    <w:rsid w:val="004D7690"/>
    <w:rsid w:val="004E0682"/>
    <w:rsid w:val="004E0813"/>
    <w:rsid w:val="004E0E04"/>
    <w:rsid w:val="004E27BF"/>
    <w:rsid w:val="004E3184"/>
    <w:rsid w:val="004E3BC6"/>
    <w:rsid w:val="004E41D7"/>
    <w:rsid w:val="004E5B68"/>
    <w:rsid w:val="004E6878"/>
    <w:rsid w:val="004E75D1"/>
    <w:rsid w:val="004F034C"/>
    <w:rsid w:val="004F083C"/>
    <w:rsid w:val="004F1A44"/>
    <w:rsid w:val="004F420C"/>
    <w:rsid w:val="004F5320"/>
    <w:rsid w:val="004F5708"/>
    <w:rsid w:val="004F59A5"/>
    <w:rsid w:val="004F5DAD"/>
    <w:rsid w:val="004F5EE9"/>
    <w:rsid w:val="004F6668"/>
    <w:rsid w:val="004F6E26"/>
    <w:rsid w:val="004F7069"/>
    <w:rsid w:val="0050250C"/>
    <w:rsid w:val="0050262B"/>
    <w:rsid w:val="00502A2A"/>
    <w:rsid w:val="00502C98"/>
    <w:rsid w:val="00502F3D"/>
    <w:rsid w:val="005039D8"/>
    <w:rsid w:val="00503B05"/>
    <w:rsid w:val="00503BBF"/>
    <w:rsid w:val="00504550"/>
    <w:rsid w:val="0050534E"/>
    <w:rsid w:val="00505C0E"/>
    <w:rsid w:val="00506F62"/>
    <w:rsid w:val="0050727E"/>
    <w:rsid w:val="00510524"/>
    <w:rsid w:val="00510DB5"/>
    <w:rsid w:val="00510F0B"/>
    <w:rsid w:val="00512044"/>
    <w:rsid w:val="0051394F"/>
    <w:rsid w:val="00514460"/>
    <w:rsid w:val="00514469"/>
    <w:rsid w:val="00515064"/>
    <w:rsid w:val="00515349"/>
    <w:rsid w:val="005155D6"/>
    <w:rsid w:val="00515F5A"/>
    <w:rsid w:val="00516181"/>
    <w:rsid w:val="00516724"/>
    <w:rsid w:val="0051679F"/>
    <w:rsid w:val="0051773C"/>
    <w:rsid w:val="00520D97"/>
    <w:rsid w:val="00520FD4"/>
    <w:rsid w:val="00521AB4"/>
    <w:rsid w:val="0052229B"/>
    <w:rsid w:val="00523667"/>
    <w:rsid w:val="00523B90"/>
    <w:rsid w:val="00523D96"/>
    <w:rsid w:val="00523F12"/>
    <w:rsid w:val="00524A72"/>
    <w:rsid w:val="00524D73"/>
    <w:rsid w:val="00524DB5"/>
    <w:rsid w:val="00524DF7"/>
    <w:rsid w:val="00525CCB"/>
    <w:rsid w:val="00525CFF"/>
    <w:rsid w:val="005267DD"/>
    <w:rsid w:val="00526B18"/>
    <w:rsid w:val="0052767A"/>
    <w:rsid w:val="00527BEE"/>
    <w:rsid w:val="00530432"/>
    <w:rsid w:val="00531A8B"/>
    <w:rsid w:val="00533187"/>
    <w:rsid w:val="00533A65"/>
    <w:rsid w:val="00533A85"/>
    <w:rsid w:val="00533C0C"/>
    <w:rsid w:val="00534174"/>
    <w:rsid w:val="00534BEC"/>
    <w:rsid w:val="00535DC1"/>
    <w:rsid w:val="00536582"/>
    <w:rsid w:val="0053665F"/>
    <w:rsid w:val="00536723"/>
    <w:rsid w:val="005371DC"/>
    <w:rsid w:val="005374CF"/>
    <w:rsid w:val="00537E43"/>
    <w:rsid w:val="005404B6"/>
    <w:rsid w:val="00540542"/>
    <w:rsid w:val="00540DED"/>
    <w:rsid w:val="00540EFE"/>
    <w:rsid w:val="0054179E"/>
    <w:rsid w:val="00541D2C"/>
    <w:rsid w:val="00542003"/>
    <w:rsid w:val="005420D3"/>
    <w:rsid w:val="005427FE"/>
    <w:rsid w:val="0054394F"/>
    <w:rsid w:val="005443C6"/>
    <w:rsid w:val="00545014"/>
    <w:rsid w:val="005451FB"/>
    <w:rsid w:val="005453CE"/>
    <w:rsid w:val="005476F9"/>
    <w:rsid w:val="00547B23"/>
    <w:rsid w:val="00547E59"/>
    <w:rsid w:val="005502EA"/>
    <w:rsid w:val="00550B44"/>
    <w:rsid w:val="00550C65"/>
    <w:rsid w:val="00551845"/>
    <w:rsid w:val="00551D41"/>
    <w:rsid w:val="005527FD"/>
    <w:rsid w:val="00552BEE"/>
    <w:rsid w:val="0055348F"/>
    <w:rsid w:val="00553ADE"/>
    <w:rsid w:val="00554505"/>
    <w:rsid w:val="005545DA"/>
    <w:rsid w:val="00556090"/>
    <w:rsid w:val="005562C1"/>
    <w:rsid w:val="00556327"/>
    <w:rsid w:val="00556CBC"/>
    <w:rsid w:val="00557399"/>
    <w:rsid w:val="0055750F"/>
    <w:rsid w:val="0055795F"/>
    <w:rsid w:val="005617B5"/>
    <w:rsid w:val="00563315"/>
    <w:rsid w:val="00563550"/>
    <w:rsid w:val="0056419A"/>
    <w:rsid w:val="00564E62"/>
    <w:rsid w:val="00565D6C"/>
    <w:rsid w:val="00566C53"/>
    <w:rsid w:val="00567CFE"/>
    <w:rsid w:val="00570544"/>
    <w:rsid w:val="00570B6B"/>
    <w:rsid w:val="005713FA"/>
    <w:rsid w:val="005714DF"/>
    <w:rsid w:val="00571F08"/>
    <w:rsid w:val="005725FE"/>
    <w:rsid w:val="00572DD9"/>
    <w:rsid w:val="00573305"/>
    <w:rsid w:val="005739BA"/>
    <w:rsid w:val="00574C4D"/>
    <w:rsid w:val="00575E22"/>
    <w:rsid w:val="00576053"/>
    <w:rsid w:val="00576117"/>
    <w:rsid w:val="00576D78"/>
    <w:rsid w:val="005778D3"/>
    <w:rsid w:val="00577BAB"/>
    <w:rsid w:val="00577D38"/>
    <w:rsid w:val="00577D9B"/>
    <w:rsid w:val="005801EE"/>
    <w:rsid w:val="00581CA4"/>
    <w:rsid w:val="00582082"/>
    <w:rsid w:val="005823B6"/>
    <w:rsid w:val="00582593"/>
    <w:rsid w:val="0058273C"/>
    <w:rsid w:val="005840DA"/>
    <w:rsid w:val="00584109"/>
    <w:rsid w:val="00584941"/>
    <w:rsid w:val="00584DC1"/>
    <w:rsid w:val="0058513A"/>
    <w:rsid w:val="005852B9"/>
    <w:rsid w:val="00585F16"/>
    <w:rsid w:val="00587156"/>
    <w:rsid w:val="0058758B"/>
    <w:rsid w:val="005876F5"/>
    <w:rsid w:val="00587BE8"/>
    <w:rsid w:val="00587E28"/>
    <w:rsid w:val="00590E01"/>
    <w:rsid w:val="0059107A"/>
    <w:rsid w:val="0059227C"/>
    <w:rsid w:val="00592474"/>
    <w:rsid w:val="00592E90"/>
    <w:rsid w:val="00593609"/>
    <w:rsid w:val="00594A8E"/>
    <w:rsid w:val="00595A1A"/>
    <w:rsid w:val="00595AF1"/>
    <w:rsid w:val="00595C34"/>
    <w:rsid w:val="005965CC"/>
    <w:rsid w:val="005965EC"/>
    <w:rsid w:val="0059692C"/>
    <w:rsid w:val="00596A10"/>
    <w:rsid w:val="00596E2F"/>
    <w:rsid w:val="00597303"/>
    <w:rsid w:val="00597D53"/>
    <w:rsid w:val="005A0890"/>
    <w:rsid w:val="005A0A2F"/>
    <w:rsid w:val="005A0D7A"/>
    <w:rsid w:val="005A0E2A"/>
    <w:rsid w:val="005A0F49"/>
    <w:rsid w:val="005A114D"/>
    <w:rsid w:val="005A13E7"/>
    <w:rsid w:val="005A17FF"/>
    <w:rsid w:val="005A1968"/>
    <w:rsid w:val="005A1E0F"/>
    <w:rsid w:val="005A254C"/>
    <w:rsid w:val="005A2DAE"/>
    <w:rsid w:val="005A32FC"/>
    <w:rsid w:val="005A335E"/>
    <w:rsid w:val="005A3BA7"/>
    <w:rsid w:val="005A4505"/>
    <w:rsid w:val="005A477D"/>
    <w:rsid w:val="005A4BE0"/>
    <w:rsid w:val="005A5AE7"/>
    <w:rsid w:val="005A5F8D"/>
    <w:rsid w:val="005A67F9"/>
    <w:rsid w:val="005A71D0"/>
    <w:rsid w:val="005A7363"/>
    <w:rsid w:val="005A743C"/>
    <w:rsid w:val="005B1038"/>
    <w:rsid w:val="005B1188"/>
    <w:rsid w:val="005B1B12"/>
    <w:rsid w:val="005B1C66"/>
    <w:rsid w:val="005B2296"/>
    <w:rsid w:val="005B37A6"/>
    <w:rsid w:val="005B4689"/>
    <w:rsid w:val="005B4782"/>
    <w:rsid w:val="005B4C7C"/>
    <w:rsid w:val="005B4E30"/>
    <w:rsid w:val="005B5027"/>
    <w:rsid w:val="005B623A"/>
    <w:rsid w:val="005B637F"/>
    <w:rsid w:val="005B63A9"/>
    <w:rsid w:val="005B7008"/>
    <w:rsid w:val="005B71E5"/>
    <w:rsid w:val="005B7516"/>
    <w:rsid w:val="005C0116"/>
    <w:rsid w:val="005C0290"/>
    <w:rsid w:val="005C05A6"/>
    <w:rsid w:val="005C083C"/>
    <w:rsid w:val="005C09D7"/>
    <w:rsid w:val="005C1DFA"/>
    <w:rsid w:val="005C1FB8"/>
    <w:rsid w:val="005C22E3"/>
    <w:rsid w:val="005C30AD"/>
    <w:rsid w:val="005C3102"/>
    <w:rsid w:val="005C37F7"/>
    <w:rsid w:val="005C3BB6"/>
    <w:rsid w:val="005C423D"/>
    <w:rsid w:val="005C4623"/>
    <w:rsid w:val="005C4D8A"/>
    <w:rsid w:val="005C55BA"/>
    <w:rsid w:val="005C62C7"/>
    <w:rsid w:val="005C68CD"/>
    <w:rsid w:val="005C6B3B"/>
    <w:rsid w:val="005C7C7F"/>
    <w:rsid w:val="005C7CEC"/>
    <w:rsid w:val="005C7F41"/>
    <w:rsid w:val="005D02C2"/>
    <w:rsid w:val="005D1035"/>
    <w:rsid w:val="005D14FB"/>
    <w:rsid w:val="005D1BDE"/>
    <w:rsid w:val="005D1C55"/>
    <w:rsid w:val="005D1CE8"/>
    <w:rsid w:val="005D2177"/>
    <w:rsid w:val="005D263E"/>
    <w:rsid w:val="005D26F9"/>
    <w:rsid w:val="005D2EFA"/>
    <w:rsid w:val="005D2F2B"/>
    <w:rsid w:val="005D324C"/>
    <w:rsid w:val="005D33BF"/>
    <w:rsid w:val="005D4099"/>
    <w:rsid w:val="005D5706"/>
    <w:rsid w:val="005D5931"/>
    <w:rsid w:val="005D60AF"/>
    <w:rsid w:val="005D68C9"/>
    <w:rsid w:val="005D758E"/>
    <w:rsid w:val="005D7E90"/>
    <w:rsid w:val="005E179C"/>
    <w:rsid w:val="005E1FEB"/>
    <w:rsid w:val="005E20AC"/>
    <w:rsid w:val="005E2793"/>
    <w:rsid w:val="005E313C"/>
    <w:rsid w:val="005E378F"/>
    <w:rsid w:val="005E4107"/>
    <w:rsid w:val="005E4295"/>
    <w:rsid w:val="005E4595"/>
    <w:rsid w:val="005E48F0"/>
    <w:rsid w:val="005E4B6E"/>
    <w:rsid w:val="005E54FD"/>
    <w:rsid w:val="005E62A0"/>
    <w:rsid w:val="005E6CA2"/>
    <w:rsid w:val="005E766B"/>
    <w:rsid w:val="005F0644"/>
    <w:rsid w:val="005F081A"/>
    <w:rsid w:val="005F0CAA"/>
    <w:rsid w:val="005F1CDE"/>
    <w:rsid w:val="005F25B4"/>
    <w:rsid w:val="005F2E9C"/>
    <w:rsid w:val="005F3928"/>
    <w:rsid w:val="005F3B82"/>
    <w:rsid w:val="005F3CCD"/>
    <w:rsid w:val="005F40B1"/>
    <w:rsid w:val="005F431C"/>
    <w:rsid w:val="005F4CBD"/>
    <w:rsid w:val="005F5007"/>
    <w:rsid w:val="005F5037"/>
    <w:rsid w:val="005F7423"/>
    <w:rsid w:val="005F755B"/>
    <w:rsid w:val="005F75F3"/>
    <w:rsid w:val="005F7A15"/>
    <w:rsid w:val="00600D44"/>
    <w:rsid w:val="0060150E"/>
    <w:rsid w:val="006019A3"/>
    <w:rsid w:val="00601B64"/>
    <w:rsid w:val="00602409"/>
    <w:rsid w:val="006029DE"/>
    <w:rsid w:val="00602B0B"/>
    <w:rsid w:val="006032BB"/>
    <w:rsid w:val="0060481B"/>
    <w:rsid w:val="0060488A"/>
    <w:rsid w:val="00605B9F"/>
    <w:rsid w:val="00610B87"/>
    <w:rsid w:val="00610C72"/>
    <w:rsid w:val="00610F02"/>
    <w:rsid w:val="00611274"/>
    <w:rsid w:val="0061132A"/>
    <w:rsid w:val="00611439"/>
    <w:rsid w:val="00611A7A"/>
    <w:rsid w:val="006121D2"/>
    <w:rsid w:val="00612308"/>
    <w:rsid w:val="00612A17"/>
    <w:rsid w:val="00613605"/>
    <w:rsid w:val="00613AC6"/>
    <w:rsid w:val="00613B8E"/>
    <w:rsid w:val="0061415A"/>
    <w:rsid w:val="00614339"/>
    <w:rsid w:val="00615CDF"/>
    <w:rsid w:val="006162D1"/>
    <w:rsid w:val="006168D0"/>
    <w:rsid w:val="00617532"/>
    <w:rsid w:val="006176E0"/>
    <w:rsid w:val="00617851"/>
    <w:rsid w:val="0062019F"/>
    <w:rsid w:val="006202EA"/>
    <w:rsid w:val="00620BB9"/>
    <w:rsid w:val="00620FCD"/>
    <w:rsid w:val="00620FEC"/>
    <w:rsid w:val="006213CB"/>
    <w:rsid w:val="006214A6"/>
    <w:rsid w:val="006227C7"/>
    <w:rsid w:val="00622A5A"/>
    <w:rsid w:val="00622CE3"/>
    <w:rsid w:val="00624E8F"/>
    <w:rsid w:val="00625D0F"/>
    <w:rsid w:val="00626A6B"/>
    <w:rsid w:val="00626C36"/>
    <w:rsid w:val="00626FBC"/>
    <w:rsid w:val="00627752"/>
    <w:rsid w:val="00627AAA"/>
    <w:rsid w:val="00632D67"/>
    <w:rsid w:val="00632E5F"/>
    <w:rsid w:val="00632FC2"/>
    <w:rsid w:val="006333AD"/>
    <w:rsid w:val="00633BB7"/>
    <w:rsid w:val="006343A4"/>
    <w:rsid w:val="0063463D"/>
    <w:rsid w:val="006349AA"/>
    <w:rsid w:val="00635B06"/>
    <w:rsid w:val="00635E2D"/>
    <w:rsid w:val="00636013"/>
    <w:rsid w:val="0063631C"/>
    <w:rsid w:val="0063634A"/>
    <w:rsid w:val="006370B7"/>
    <w:rsid w:val="0064085A"/>
    <w:rsid w:val="00641420"/>
    <w:rsid w:val="00642165"/>
    <w:rsid w:val="0064229B"/>
    <w:rsid w:val="006425FB"/>
    <w:rsid w:val="006427DF"/>
    <w:rsid w:val="006431F1"/>
    <w:rsid w:val="006432BD"/>
    <w:rsid w:val="006442E8"/>
    <w:rsid w:val="00644458"/>
    <w:rsid w:val="00644773"/>
    <w:rsid w:val="00644E47"/>
    <w:rsid w:val="006451FD"/>
    <w:rsid w:val="00645A78"/>
    <w:rsid w:val="0064687B"/>
    <w:rsid w:val="00646CF7"/>
    <w:rsid w:val="0064775A"/>
    <w:rsid w:val="00647763"/>
    <w:rsid w:val="00647DBE"/>
    <w:rsid w:val="00647E49"/>
    <w:rsid w:val="0065020D"/>
    <w:rsid w:val="00651476"/>
    <w:rsid w:val="00651860"/>
    <w:rsid w:val="00651ECF"/>
    <w:rsid w:val="00651F17"/>
    <w:rsid w:val="00652698"/>
    <w:rsid w:val="00652F46"/>
    <w:rsid w:val="00653062"/>
    <w:rsid w:val="0065326A"/>
    <w:rsid w:val="00653B16"/>
    <w:rsid w:val="00653EAF"/>
    <w:rsid w:val="00654C93"/>
    <w:rsid w:val="00655117"/>
    <w:rsid w:val="00655FBD"/>
    <w:rsid w:val="00657907"/>
    <w:rsid w:val="00657923"/>
    <w:rsid w:val="0066062B"/>
    <w:rsid w:val="00660F56"/>
    <w:rsid w:val="00664269"/>
    <w:rsid w:val="006651B8"/>
    <w:rsid w:val="00665D13"/>
    <w:rsid w:val="00665D27"/>
    <w:rsid w:val="0066627E"/>
    <w:rsid w:val="006678B0"/>
    <w:rsid w:val="00667A58"/>
    <w:rsid w:val="00667ECF"/>
    <w:rsid w:val="00670265"/>
    <w:rsid w:val="00670774"/>
    <w:rsid w:val="00670E80"/>
    <w:rsid w:val="00671454"/>
    <w:rsid w:val="00671552"/>
    <w:rsid w:val="0067167B"/>
    <w:rsid w:val="00671C42"/>
    <w:rsid w:val="00672F7F"/>
    <w:rsid w:val="006747B5"/>
    <w:rsid w:val="006754CA"/>
    <w:rsid w:val="0067647D"/>
    <w:rsid w:val="0067682F"/>
    <w:rsid w:val="00676CE0"/>
    <w:rsid w:val="00680254"/>
    <w:rsid w:val="006808C4"/>
    <w:rsid w:val="00680985"/>
    <w:rsid w:val="00680A0C"/>
    <w:rsid w:val="00681436"/>
    <w:rsid w:val="006816B3"/>
    <w:rsid w:val="006819A4"/>
    <w:rsid w:val="00684B66"/>
    <w:rsid w:val="00685048"/>
    <w:rsid w:val="00685D65"/>
    <w:rsid w:val="00686A36"/>
    <w:rsid w:val="00686E6F"/>
    <w:rsid w:val="006873B2"/>
    <w:rsid w:val="00690AFB"/>
    <w:rsid w:val="00690EC7"/>
    <w:rsid w:val="00691434"/>
    <w:rsid w:val="006920E3"/>
    <w:rsid w:val="00692737"/>
    <w:rsid w:val="006929EA"/>
    <w:rsid w:val="00693057"/>
    <w:rsid w:val="006932DC"/>
    <w:rsid w:val="00693912"/>
    <w:rsid w:val="0069491E"/>
    <w:rsid w:val="006949BD"/>
    <w:rsid w:val="00694BC1"/>
    <w:rsid w:val="00697121"/>
    <w:rsid w:val="00697682"/>
    <w:rsid w:val="006A1261"/>
    <w:rsid w:val="006A2107"/>
    <w:rsid w:val="006A3C06"/>
    <w:rsid w:val="006A4EAC"/>
    <w:rsid w:val="006A5DE7"/>
    <w:rsid w:val="006A6E05"/>
    <w:rsid w:val="006A75B4"/>
    <w:rsid w:val="006B088F"/>
    <w:rsid w:val="006B18AF"/>
    <w:rsid w:val="006B194C"/>
    <w:rsid w:val="006B2251"/>
    <w:rsid w:val="006B2838"/>
    <w:rsid w:val="006B2F94"/>
    <w:rsid w:val="006B303D"/>
    <w:rsid w:val="006B32D5"/>
    <w:rsid w:val="006B3826"/>
    <w:rsid w:val="006B42B3"/>
    <w:rsid w:val="006B5947"/>
    <w:rsid w:val="006B5EB6"/>
    <w:rsid w:val="006B6179"/>
    <w:rsid w:val="006B65B0"/>
    <w:rsid w:val="006B7B97"/>
    <w:rsid w:val="006B7EA1"/>
    <w:rsid w:val="006B7FFA"/>
    <w:rsid w:val="006C1232"/>
    <w:rsid w:val="006C1733"/>
    <w:rsid w:val="006C1946"/>
    <w:rsid w:val="006C1A2E"/>
    <w:rsid w:val="006C1D59"/>
    <w:rsid w:val="006C1FD5"/>
    <w:rsid w:val="006C3AB1"/>
    <w:rsid w:val="006C43B1"/>
    <w:rsid w:val="006C4685"/>
    <w:rsid w:val="006C483C"/>
    <w:rsid w:val="006C4D75"/>
    <w:rsid w:val="006C5468"/>
    <w:rsid w:val="006C5A0D"/>
    <w:rsid w:val="006C7708"/>
    <w:rsid w:val="006C77E5"/>
    <w:rsid w:val="006C783B"/>
    <w:rsid w:val="006C7C34"/>
    <w:rsid w:val="006D05E0"/>
    <w:rsid w:val="006D0641"/>
    <w:rsid w:val="006D0954"/>
    <w:rsid w:val="006D09FA"/>
    <w:rsid w:val="006D0E1C"/>
    <w:rsid w:val="006D199D"/>
    <w:rsid w:val="006D1A8D"/>
    <w:rsid w:val="006D1E24"/>
    <w:rsid w:val="006D3835"/>
    <w:rsid w:val="006D585C"/>
    <w:rsid w:val="006D7CA8"/>
    <w:rsid w:val="006D7D63"/>
    <w:rsid w:val="006E09DA"/>
    <w:rsid w:val="006E0C35"/>
    <w:rsid w:val="006E0F84"/>
    <w:rsid w:val="006E14DC"/>
    <w:rsid w:val="006E1FC0"/>
    <w:rsid w:val="006E203E"/>
    <w:rsid w:val="006E208F"/>
    <w:rsid w:val="006E2362"/>
    <w:rsid w:val="006E2D1B"/>
    <w:rsid w:val="006E330A"/>
    <w:rsid w:val="006E4036"/>
    <w:rsid w:val="006E44BA"/>
    <w:rsid w:val="006E696A"/>
    <w:rsid w:val="006E7400"/>
    <w:rsid w:val="006E7910"/>
    <w:rsid w:val="006E7AB3"/>
    <w:rsid w:val="006E7BA0"/>
    <w:rsid w:val="006F0379"/>
    <w:rsid w:val="006F0A3E"/>
    <w:rsid w:val="006F0FC8"/>
    <w:rsid w:val="006F1F67"/>
    <w:rsid w:val="006F213B"/>
    <w:rsid w:val="006F28A8"/>
    <w:rsid w:val="006F2C8B"/>
    <w:rsid w:val="006F3262"/>
    <w:rsid w:val="006F33E9"/>
    <w:rsid w:val="006F48DB"/>
    <w:rsid w:val="006F6965"/>
    <w:rsid w:val="006F6D6E"/>
    <w:rsid w:val="00700973"/>
    <w:rsid w:val="007009BE"/>
    <w:rsid w:val="00700D5E"/>
    <w:rsid w:val="007013EF"/>
    <w:rsid w:val="00701961"/>
    <w:rsid w:val="00701BF3"/>
    <w:rsid w:val="007020E4"/>
    <w:rsid w:val="00702BA6"/>
    <w:rsid w:val="0070309B"/>
    <w:rsid w:val="00703D85"/>
    <w:rsid w:val="0070432C"/>
    <w:rsid w:val="00704B33"/>
    <w:rsid w:val="00706951"/>
    <w:rsid w:val="0070794D"/>
    <w:rsid w:val="00710E0C"/>
    <w:rsid w:val="00711156"/>
    <w:rsid w:val="0071139A"/>
    <w:rsid w:val="00711607"/>
    <w:rsid w:val="007122A1"/>
    <w:rsid w:val="00712BB7"/>
    <w:rsid w:val="0071552B"/>
    <w:rsid w:val="007158CE"/>
    <w:rsid w:val="00715F80"/>
    <w:rsid w:val="00716317"/>
    <w:rsid w:val="00717248"/>
    <w:rsid w:val="0072080E"/>
    <w:rsid w:val="00720BF1"/>
    <w:rsid w:val="00721D2E"/>
    <w:rsid w:val="0072268C"/>
    <w:rsid w:val="00722803"/>
    <w:rsid w:val="00722BA8"/>
    <w:rsid w:val="0072300C"/>
    <w:rsid w:val="00723BA1"/>
    <w:rsid w:val="00726569"/>
    <w:rsid w:val="00726792"/>
    <w:rsid w:val="00726968"/>
    <w:rsid w:val="00726F88"/>
    <w:rsid w:val="00727170"/>
    <w:rsid w:val="00727685"/>
    <w:rsid w:val="007278A9"/>
    <w:rsid w:val="00730A5A"/>
    <w:rsid w:val="0073105A"/>
    <w:rsid w:val="00731309"/>
    <w:rsid w:val="0073154A"/>
    <w:rsid w:val="00734557"/>
    <w:rsid w:val="00734902"/>
    <w:rsid w:val="00734B4F"/>
    <w:rsid w:val="007362EF"/>
    <w:rsid w:val="0073758F"/>
    <w:rsid w:val="0074012A"/>
    <w:rsid w:val="00740522"/>
    <w:rsid w:val="007411E0"/>
    <w:rsid w:val="00741609"/>
    <w:rsid w:val="007427B5"/>
    <w:rsid w:val="00742DF2"/>
    <w:rsid w:val="00743299"/>
    <w:rsid w:val="007432F2"/>
    <w:rsid w:val="00743353"/>
    <w:rsid w:val="00743647"/>
    <w:rsid w:val="00743B0A"/>
    <w:rsid w:val="00743E2A"/>
    <w:rsid w:val="00743FE3"/>
    <w:rsid w:val="00744212"/>
    <w:rsid w:val="00744F93"/>
    <w:rsid w:val="00745CF8"/>
    <w:rsid w:val="0075092C"/>
    <w:rsid w:val="00750E79"/>
    <w:rsid w:val="00752390"/>
    <w:rsid w:val="00753384"/>
    <w:rsid w:val="00753E37"/>
    <w:rsid w:val="0075446F"/>
    <w:rsid w:val="00755169"/>
    <w:rsid w:val="0075606C"/>
    <w:rsid w:val="00757115"/>
    <w:rsid w:val="007575E4"/>
    <w:rsid w:val="00757BE5"/>
    <w:rsid w:val="00757BFC"/>
    <w:rsid w:val="007605FE"/>
    <w:rsid w:val="00760D91"/>
    <w:rsid w:val="00761ABC"/>
    <w:rsid w:val="00762BBF"/>
    <w:rsid w:val="00762F99"/>
    <w:rsid w:val="007634DF"/>
    <w:rsid w:val="0076447D"/>
    <w:rsid w:val="007647DC"/>
    <w:rsid w:val="00764AFD"/>
    <w:rsid w:val="00765112"/>
    <w:rsid w:val="007661C9"/>
    <w:rsid w:val="00766D7C"/>
    <w:rsid w:val="00766DF5"/>
    <w:rsid w:val="00766F2E"/>
    <w:rsid w:val="007672C5"/>
    <w:rsid w:val="0076795C"/>
    <w:rsid w:val="00767DB7"/>
    <w:rsid w:val="0077011A"/>
    <w:rsid w:val="00770531"/>
    <w:rsid w:val="00770C74"/>
    <w:rsid w:val="00770DAE"/>
    <w:rsid w:val="00770F71"/>
    <w:rsid w:val="00771743"/>
    <w:rsid w:val="00772640"/>
    <w:rsid w:val="00772EC8"/>
    <w:rsid w:val="00773074"/>
    <w:rsid w:val="007738B2"/>
    <w:rsid w:val="007742B9"/>
    <w:rsid w:val="007746E6"/>
    <w:rsid w:val="007754B4"/>
    <w:rsid w:val="00775876"/>
    <w:rsid w:val="00775A4E"/>
    <w:rsid w:val="007760A6"/>
    <w:rsid w:val="007773EA"/>
    <w:rsid w:val="0077759A"/>
    <w:rsid w:val="007776E2"/>
    <w:rsid w:val="0077789B"/>
    <w:rsid w:val="00777CCD"/>
    <w:rsid w:val="00780BEB"/>
    <w:rsid w:val="00781046"/>
    <w:rsid w:val="0078256D"/>
    <w:rsid w:val="00782818"/>
    <w:rsid w:val="00782D26"/>
    <w:rsid w:val="00783A39"/>
    <w:rsid w:val="007849ED"/>
    <w:rsid w:val="00784C7A"/>
    <w:rsid w:val="00785221"/>
    <w:rsid w:val="00785E93"/>
    <w:rsid w:val="00786579"/>
    <w:rsid w:val="00786894"/>
    <w:rsid w:val="0078693A"/>
    <w:rsid w:val="007901A5"/>
    <w:rsid w:val="0079033A"/>
    <w:rsid w:val="00791F21"/>
    <w:rsid w:val="007926A2"/>
    <w:rsid w:val="00792A76"/>
    <w:rsid w:val="007945B1"/>
    <w:rsid w:val="00795796"/>
    <w:rsid w:val="00795D4E"/>
    <w:rsid w:val="00796A74"/>
    <w:rsid w:val="00796ACD"/>
    <w:rsid w:val="0079715F"/>
    <w:rsid w:val="00797535"/>
    <w:rsid w:val="007975AB"/>
    <w:rsid w:val="0079798D"/>
    <w:rsid w:val="007A02B9"/>
    <w:rsid w:val="007A0988"/>
    <w:rsid w:val="007A09A5"/>
    <w:rsid w:val="007A1A8A"/>
    <w:rsid w:val="007A3067"/>
    <w:rsid w:val="007A3E86"/>
    <w:rsid w:val="007A4306"/>
    <w:rsid w:val="007A48CB"/>
    <w:rsid w:val="007A4F32"/>
    <w:rsid w:val="007A5711"/>
    <w:rsid w:val="007A6171"/>
    <w:rsid w:val="007A661B"/>
    <w:rsid w:val="007A6C3C"/>
    <w:rsid w:val="007A7011"/>
    <w:rsid w:val="007A755E"/>
    <w:rsid w:val="007A76B1"/>
    <w:rsid w:val="007B0436"/>
    <w:rsid w:val="007B050E"/>
    <w:rsid w:val="007B176D"/>
    <w:rsid w:val="007B2958"/>
    <w:rsid w:val="007B3802"/>
    <w:rsid w:val="007B4535"/>
    <w:rsid w:val="007B469D"/>
    <w:rsid w:val="007B4EE2"/>
    <w:rsid w:val="007B4F8A"/>
    <w:rsid w:val="007B5573"/>
    <w:rsid w:val="007B5836"/>
    <w:rsid w:val="007B5868"/>
    <w:rsid w:val="007B663E"/>
    <w:rsid w:val="007B67E1"/>
    <w:rsid w:val="007B6C83"/>
    <w:rsid w:val="007B754D"/>
    <w:rsid w:val="007B7778"/>
    <w:rsid w:val="007C047C"/>
    <w:rsid w:val="007C2ED3"/>
    <w:rsid w:val="007C3703"/>
    <w:rsid w:val="007C4558"/>
    <w:rsid w:val="007C4CCE"/>
    <w:rsid w:val="007C5F04"/>
    <w:rsid w:val="007C6681"/>
    <w:rsid w:val="007C741C"/>
    <w:rsid w:val="007C7E86"/>
    <w:rsid w:val="007D004F"/>
    <w:rsid w:val="007D0422"/>
    <w:rsid w:val="007D0908"/>
    <w:rsid w:val="007D0C33"/>
    <w:rsid w:val="007D2348"/>
    <w:rsid w:val="007D23A4"/>
    <w:rsid w:val="007D3598"/>
    <w:rsid w:val="007D3691"/>
    <w:rsid w:val="007D36E0"/>
    <w:rsid w:val="007D388B"/>
    <w:rsid w:val="007D46EB"/>
    <w:rsid w:val="007D52FA"/>
    <w:rsid w:val="007D5AE4"/>
    <w:rsid w:val="007D5BD8"/>
    <w:rsid w:val="007D5C08"/>
    <w:rsid w:val="007D6840"/>
    <w:rsid w:val="007D749E"/>
    <w:rsid w:val="007D751B"/>
    <w:rsid w:val="007E08C4"/>
    <w:rsid w:val="007E0A39"/>
    <w:rsid w:val="007E0AC0"/>
    <w:rsid w:val="007E0B52"/>
    <w:rsid w:val="007E15C3"/>
    <w:rsid w:val="007E26B4"/>
    <w:rsid w:val="007E2F6C"/>
    <w:rsid w:val="007E3607"/>
    <w:rsid w:val="007E4C3F"/>
    <w:rsid w:val="007E4E3A"/>
    <w:rsid w:val="007E5269"/>
    <w:rsid w:val="007E56D7"/>
    <w:rsid w:val="007E5D34"/>
    <w:rsid w:val="007E5D50"/>
    <w:rsid w:val="007E7797"/>
    <w:rsid w:val="007F04F5"/>
    <w:rsid w:val="007F1643"/>
    <w:rsid w:val="007F2511"/>
    <w:rsid w:val="007F2AC5"/>
    <w:rsid w:val="007F2F1E"/>
    <w:rsid w:val="007F31B3"/>
    <w:rsid w:val="007F399E"/>
    <w:rsid w:val="007F3A52"/>
    <w:rsid w:val="007F3DD6"/>
    <w:rsid w:val="007F3E4B"/>
    <w:rsid w:val="007F41F2"/>
    <w:rsid w:val="007F46E5"/>
    <w:rsid w:val="007F476F"/>
    <w:rsid w:val="007F4B01"/>
    <w:rsid w:val="007F58DA"/>
    <w:rsid w:val="007F61D7"/>
    <w:rsid w:val="007F6D14"/>
    <w:rsid w:val="007F6E2C"/>
    <w:rsid w:val="007F6FE9"/>
    <w:rsid w:val="007F79E8"/>
    <w:rsid w:val="008007E7"/>
    <w:rsid w:val="00800BBA"/>
    <w:rsid w:val="00800CFC"/>
    <w:rsid w:val="00801E7E"/>
    <w:rsid w:val="008030FA"/>
    <w:rsid w:val="008031F4"/>
    <w:rsid w:val="00803204"/>
    <w:rsid w:val="0080451E"/>
    <w:rsid w:val="00804D3E"/>
    <w:rsid w:val="008050AC"/>
    <w:rsid w:val="008052F6"/>
    <w:rsid w:val="00805341"/>
    <w:rsid w:val="00805DB2"/>
    <w:rsid w:val="008064A3"/>
    <w:rsid w:val="008067C6"/>
    <w:rsid w:val="008076B1"/>
    <w:rsid w:val="0080792C"/>
    <w:rsid w:val="00807DB0"/>
    <w:rsid w:val="0081075E"/>
    <w:rsid w:val="00811B78"/>
    <w:rsid w:val="008130D7"/>
    <w:rsid w:val="00813933"/>
    <w:rsid w:val="008147CA"/>
    <w:rsid w:val="0081498B"/>
    <w:rsid w:val="00815E59"/>
    <w:rsid w:val="00816066"/>
    <w:rsid w:val="00816837"/>
    <w:rsid w:val="0081794A"/>
    <w:rsid w:val="00817B6D"/>
    <w:rsid w:val="00821268"/>
    <w:rsid w:val="00821D01"/>
    <w:rsid w:val="00821EAA"/>
    <w:rsid w:val="0082245A"/>
    <w:rsid w:val="00823650"/>
    <w:rsid w:val="00825A87"/>
    <w:rsid w:val="00825F53"/>
    <w:rsid w:val="00826699"/>
    <w:rsid w:val="00826927"/>
    <w:rsid w:val="0082692C"/>
    <w:rsid w:val="0082777F"/>
    <w:rsid w:val="00827BAD"/>
    <w:rsid w:val="00830A8A"/>
    <w:rsid w:val="00831A6F"/>
    <w:rsid w:val="00833F58"/>
    <w:rsid w:val="00834963"/>
    <w:rsid w:val="00835EB8"/>
    <w:rsid w:val="00836210"/>
    <w:rsid w:val="008362EB"/>
    <w:rsid w:val="008368B9"/>
    <w:rsid w:val="008378A9"/>
    <w:rsid w:val="00837998"/>
    <w:rsid w:val="008406BF"/>
    <w:rsid w:val="00840736"/>
    <w:rsid w:val="00840BAC"/>
    <w:rsid w:val="00841301"/>
    <w:rsid w:val="00841FDE"/>
    <w:rsid w:val="00843457"/>
    <w:rsid w:val="0084566F"/>
    <w:rsid w:val="0084582C"/>
    <w:rsid w:val="00846414"/>
    <w:rsid w:val="008466D5"/>
    <w:rsid w:val="008479B0"/>
    <w:rsid w:val="008513EE"/>
    <w:rsid w:val="00851802"/>
    <w:rsid w:val="00851854"/>
    <w:rsid w:val="00851D92"/>
    <w:rsid w:val="008520C3"/>
    <w:rsid w:val="00852958"/>
    <w:rsid w:val="00852A14"/>
    <w:rsid w:val="00854C2D"/>
    <w:rsid w:val="0085519A"/>
    <w:rsid w:val="008556B2"/>
    <w:rsid w:val="008563DC"/>
    <w:rsid w:val="0085720F"/>
    <w:rsid w:val="00860DA9"/>
    <w:rsid w:val="00862FE7"/>
    <w:rsid w:val="008634AC"/>
    <w:rsid w:val="008639C9"/>
    <w:rsid w:val="00864BE5"/>
    <w:rsid w:val="00865705"/>
    <w:rsid w:val="00865D34"/>
    <w:rsid w:val="008703F1"/>
    <w:rsid w:val="00870AA0"/>
    <w:rsid w:val="00870EA7"/>
    <w:rsid w:val="008713B8"/>
    <w:rsid w:val="008714BC"/>
    <w:rsid w:val="008727A1"/>
    <w:rsid w:val="00873EB0"/>
    <w:rsid w:val="00873F1E"/>
    <w:rsid w:val="00873F4E"/>
    <w:rsid w:val="008742F9"/>
    <w:rsid w:val="00874FA7"/>
    <w:rsid w:val="00875156"/>
    <w:rsid w:val="008758DA"/>
    <w:rsid w:val="00875DF7"/>
    <w:rsid w:val="00875F4B"/>
    <w:rsid w:val="00876758"/>
    <w:rsid w:val="00877BDD"/>
    <w:rsid w:val="00877DBF"/>
    <w:rsid w:val="0088024C"/>
    <w:rsid w:val="00881AD2"/>
    <w:rsid w:val="008827C8"/>
    <w:rsid w:val="00882C16"/>
    <w:rsid w:val="00882E33"/>
    <w:rsid w:val="00883464"/>
    <w:rsid w:val="00883719"/>
    <w:rsid w:val="00883D89"/>
    <w:rsid w:val="00883E37"/>
    <w:rsid w:val="008841B2"/>
    <w:rsid w:val="0088434D"/>
    <w:rsid w:val="00884ADC"/>
    <w:rsid w:val="00884B4D"/>
    <w:rsid w:val="00884E01"/>
    <w:rsid w:val="0088565B"/>
    <w:rsid w:val="00885B79"/>
    <w:rsid w:val="0089013E"/>
    <w:rsid w:val="00891130"/>
    <w:rsid w:val="00891552"/>
    <w:rsid w:val="008932F0"/>
    <w:rsid w:val="00893D4F"/>
    <w:rsid w:val="00894276"/>
    <w:rsid w:val="00894446"/>
    <w:rsid w:val="00894E5F"/>
    <w:rsid w:val="00895442"/>
    <w:rsid w:val="00895B62"/>
    <w:rsid w:val="00896825"/>
    <w:rsid w:val="00896922"/>
    <w:rsid w:val="008972E7"/>
    <w:rsid w:val="00897F52"/>
    <w:rsid w:val="008A03B5"/>
    <w:rsid w:val="008A062F"/>
    <w:rsid w:val="008A068C"/>
    <w:rsid w:val="008A07A5"/>
    <w:rsid w:val="008A1843"/>
    <w:rsid w:val="008A1A57"/>
    <w:rsid w:val="008A1B2E"/>
    <w:rsid w:val="008A207D"/>
    <w:rsid w:val="008A24B1"/>
    <w:rsid w:val="008A3B27"/>
    <w:rsid w:val="008A432E"/>
    <w:rsid w:val="008A4574"/>
    <w:rsid w:val="008A48C8"/>
    <w:rsid w:val="008A497E"/>
    <w:rsid w:val="008A5D1C"/>
    <w:rsid w:val="008A5ED9"/>
    <w:rsid w:val="008A659C"/>
    <w:rsid w:val="008A6C88"/>
    <w:rsid w:val="008A729C"/>
    <w:rsid w:val="008A7619"/>
    <w:rsid w:val="008A7B9A"/>
    <w:rsid w:val="008A7F73"/>
    <w:rsid w:val="008B0045"/>
    <w:rsid w:val="008B0113"/>
    <w:rsid w:val="008B106C"/>
    <w:rsid w:val="008B1230"/>
    <w:rsid w:val="008B1EF9"/>
    <w:rsid w:val="008B2B21"/>
    <w:rsid w:val="008B334B"/>
    <w:rsid w:val="008B4648"/>
    <w:rsid w:val="008B4995"/>
    <w:rsid w:val="008B6B9D"/>
    <w:rsid w:val="008B6DB2"/>
    <w:rsid w:val="008B7E4E"/>
    <w:rsid w:val="008B7E9C"/>
    <w:rsid w:val="008C0255"/>
    <w:rsid w:val="008C041E"/>
    <w:rsid w:val="008C0763"/>
    <w:rsid w:val="008C0A2C"/>
    <w:rsid w:val="008C1164"/>
    <w:rsid w:val="008C277C"/>
    <w:rsid w:val="008C29DC"/>
    <w:rsid w:val="008C34F0"/>
    <w:rsid w:val="008C3F6D"/>
    <w:rsid w:val="008C5598"/>
    <w:rsid w:val="008C5840"/>
    <w:rsid w:val="008C5C1B"/>
    <w:rsid w:val="008C6C04"/>
    <w:rsid w:val="008C6CD3"/>
    <w:rsid w:val="008D04F8"/>
    <w:rsid w:val="008D0709"/>
    <w:rsid w:val="008D0C8C"/>
    <w:rsid w:val="008D1AED"/>
    <w:rsid w:val="008D1ED4"/>
    <w:rsid w:val="008D2DB5"/>
    <w:rsid w:val="008D3072"/>
    <w:rsid w:val="008D3498"/>
    <w:rsid w:val="008D36A2"/>
    <w:rsid w:val="008D3B0D"/>
    <w:rsid w:val="008D3B6B"/>
    <w:rsid w:val="008D3E4F"/>
    <w:rsid w:val="008D4155"/>
    <w:rsid w:val="008D4728"/>
    <w:rsid w:val="008D48BC"/>
    <w:rsid w:val="008D4F55"/>
    <w:rsid w:val="008D5189"/>
    <w:rsid w:val="008D5F52"/>
    <w:rsid w:val="008D60F9"/>
    <w:rsid w:val="008D61D7"/>
    <w:rsid w:val="008D6A14"/>
    <w:rsid w:val="008D7686"/>
    <w:rsid w:val="008E05BF"/>
    <w:rsid w:val="008E072C"/>
    <w:rsid w:val="008E078C"/>
    <w:rsid w:val="008E12EC"/>
    <w:rsid w:val="008E15A0"/>
    <w:rsid w:val="008E184F"/>
    <w:rsid w:val="008E2124"/>
    <w:rsid w:val="008E5D4B"/>
    <w:rsid w:val="008E5DE6"/>
    <w:rsid w:val="008E6426"/>
    <w:rsid w:val="008E6EC0"/>
    <w:rsid w:val="008E7E08"/>
    <w:rsid w:val="008E7F56"/>
    <w:rsid w:val="008F07D4"/>
    <w:rsid w:val="008F0DDF"/>
    <w:rsid w:val="008F10F0"/>
    <w:rsid w:val="008F1596"/>
    <w:rsid w:val="008F1B60"/>
    <w:rsid w:val="008F2E90"/>
    <w:rsid w:val="008F2EAE"/>
    <w:rsid w:val="008F3CB7"/>
    <w:rsid w:val="008F49FC"/>
    <w:rsid w:val="008F4B8E"/>
    <w:rsid w:val="008F4BA8"/>
    <w:rsid w:val="008F5AD6"/>
    <w:rsid w:val="008F628B"/>
    <w:rsid w:val="008F68FE"/>
    <w:rsid w:val="008F6D61"/>
    <w:rsid w:val="008F6E71"/>
    <w:rsid w:val="008F70EE"/>
    <w:rsid w:val="008F79B9"/>
    <w:rsid w:val="00900055"/>
    <w:rsid w:val="00900C1A"/>
    <w:rsid w:val="009018CD"/>
    <w:rsid w:val="00902024"/>
    <w:rsid w:val="0090223C"/>
    <w:rsid w:val="009027DA"/>
    <w:rsid w:val="0090296E"/>
    <w:rsid w:val="00903902"/>
    <w:rsid w:val="00904FF5"/>
    <w:rsid w:val="009054C5"/>
    <w:rsid w:val="00906323"/>
    <w:rsid w:val="0090644E"/>
    <w:rsid w:val="00907737"/>
    <w:rsid w:val="009077AD"/>
    <w:rsid w:val="00907ACD"/>
    <w:rsid w:val="00910382"/>
    <w:rsid w:val="009108ED"/>
    <w:rsid w:val="00912387"/>
    <w:rsid w:val="00912B5F"/>
    <w:rsid w:val="00913527"/>
    <w:rsid w:val="00913922"/>
    <w:rsid w:val="00913AF1"/>
    <w:rsid w:val="00914DED"/>
    <w:rsid w:val="00915700"/>
    <w:rsid w:val="009161F1"/>
    <w:rsid w:val="00916805"/>
    <w:rsid w:val="0091697F"/>
    <w:rsid w:val="00917EBA"/>
    <w:rsid w:val="00920EB2"/>
    <w:rsid w:val="009210D5"/>
    <w:rsid w:val="00921BA6"/>
    <w:rsid w:val="00922306"/>
    <w:rsid w:val="009236AD"/>
    <w:rsid w:val="0092382F"/>
    <w:rsid w:val="00924AFE"/>
    <w:rsid w:val="009255A6"/>
    <w:rsid w:val="00925AA1"/>
    <w:rsid w:val="00925BAB"/>
    <w:rsid w:val="009270F4"/>
    <w:rsid w:val="0092719A"/>
    <w:rsid w:val="00927400"/>
    <w:rsid w:val="00927587"/>
    <w:rsid w:val="00927FD0"/>
    <w:rsid w:val="00930262"/>
    <w:rsid w:val="0093120A"/>
    <w:rsid w:val="00931345"/>
    <w:rsid w:val="00931D0D"/>
    <w:rsid w:val="00931D80"/>
    <w:rsid w:val="00931E90"/>
    <w:rsid w:val="00932040"/>
    <w:rsid w:val="0093214C"/>
    <w:rsid w:val="00933A9A"/>
    <w:rsid w:val="00933C57"/>
    <w:rsid w:val="00933FA4"/>
    <w:rsid w:val="0093505B"/>
    <w:rsid w:val="00937B6B"/>
    <w:rsid w:val="009405CF"/>
    <w:rsid w:val="00941F29"/>
    <w:rsid w:val="0094228F"/>
    <w:rsid w:val="0094303A"/>
    <w:rsid w:val="00944CEE"/>
    <w:rsid w:val="0094578B"/>
    <w:rsid w:val="00945919"/>
    <w:rsid w:val="0094652C"/>
    <w:rsid w:val="00946C06"/>
    <w:rsid w:val="00946D35"/>
    <w:rsid w:val="00947531"/>
    <w:rsid w:val="00947BA8"/>
    <w:rsid w:val="00947EDF"/>
    <w:rsid w:val="0095030D"/>
    <w:rsid w:val="00950DCF"/>
    <w:rsid w:val="009510F4"/>
    <w:rsid w:val="00951355"/>
    <w:rsid w:val="00951CFA"/>
    <w:rsid w:val="00952259"/>
    <w:rsid w:val="00953429"/>
    <w:rsid w:val="00953E5E"/>
    <w:rsid w:val="00954621"/>
    <w:rsid w:val="00954C66"/>
    <w:rsid w:val="00954CFE"/>
    <w:rsid w:val="00954D5D"/>
    <w:rsid w:val="00955295"/>
    <w:rsid w:val="00957037"/>
    <w:rsid w:val="009571B2"/>
    <w:rsid w:val="00960A3C"/>
    <w:rsid w:val="009614A3"/>
    <w:rsid w:val="009615E2"/>
    <w:rsid w:val="0096164D"/>
    <w:rsid w:val="00961A88"/>
    <w:rsid w:val="00961FA4"/>
    <w:rsid w:val="0096225E"/>
    <w:rsid w:val="009651AB"/>
    <w:rsid w:val="00966287"/>
    <w:rsid w:val="0096649D"/>
    <w:rsid w:val="00966EA1"/>
    <w:rsid w:val="00967E37"/>
    <w:rsid w:val="00970119"/>
    <w:rsid w:val="0097024D"/>
    <w:rsid w:val="009711AF"/>
    <w:rsid w:val="0097133C"/>
    <w:rsid w:val="00971513"/>
    <w:rsid w:val="009715DF"/>
    <w:rsid w:val="0097187D"/>
    <w:rsid w:val="009718D3"/>
    <w:rsid w:val="00971EC0"/>
    <w:rsid w:val="00972728"/>
    <w:rsid w:val="00972B8C"/>
    <w:rsid w:val="00972FA3"/>
    <w:rsid w:val="009734CA"/>
    <w:rsid w:val="00974638"/>
    <w:rsid w:val="009755FC"/>
    <w:rsid w:val="00975EBE"/>
    <w:rsid w:val="0097689F"/>
    <w:rsid w:val="009770BE"/>
    <w:rsid w:val="00977343"/>
    <w:rsid w:val="00977680"/>
    <w:rsid w:val="009800AD"/>
    <w:rsid w:val="00982E11"/>
    <w:rsid w:val="009835FF"/>
    <w:rsid w:val="0098467E"/>
    <w:rsid w:val="009849F3"/>
    <w:rsid w:val="00985AD7"/>
    <w:rsid w:val="009862E5"/>
    <w:rsid w:val="009868EA"/>
    <w:rsid w:val="0098722E"/>
    <w:rsid w:val="009878AD"/>
    <w:rsid w:val="009902A0"/>
    <w:rsid w:val="00991720"/>
    <w:rsid w:val="009917F5"/>
    <w:rsid w:val="009918A7"/>
    <w:rsid w:val="0099261E"/>
    <w:rsid w:val="00992AF5"/>
    <w:rsid w:val="009930BF"/>
    <w:rsid w:val="009943A3"/>
    <w:rsid w:val="00995476"/>
    <w:rsid w:val="009956BD"/>
    <w:rsid w:val="00995752"/>
    <w:rsid w:val="0099619A"/>
    <w:rsid w:val="009964FF"/>
    <w:rsid w:val="00996747"/>
    <w:rsid w:val="00996BE5"/>
    <w:rsid w:val="0099760E"/>
    <w:rsid w:val="00997DA7"/>
    <w:rsid w:val="009A0962"/>
    <w:rsid w:val="009A0F10"/>
    <w:rsid w:val="009A234D"/>
    <w:rsid w:val="009A24C9"/>
    <w:rsid w:val="009A2560"/>
    <w:rsid w:val="009A2672"/>
    <w:rsid w:val="009A490A"/>
    <w:rsid w:val="009A4D87"/>
    <w:rsid w:val="009A5343"/>
    <w:rsid w:val="009A59C4"/>
    <w:rsid w:val="009A6B3C"/>
    <w:rsid w:val="009A70BE"/>
    <w:rsid w:val="009A7701"/>
    <w:rsid w:val="009A7795"/>
    <w:rsid w:val="009B0651"/>
    <w:rsid w:val="009B0729"/>
    <w:rsid w:val="009B0BA0"/>
    <w:rsid w:val="009B0CEC"/>
    <w:rsid w:val="009B12AF"/>
    <w:rsid w:val="009B145B"/>
    <w:rsid w:val="009B1764"/>
    <w:rsid w:val="009B1BC8"/>
    <w:rsid w:val="009B28C0"/>
    <w:rsid w:val="009B2944"/>
    <w:rsid w:val="009B2BC8"/>
    <w:rsid w:val="009B338B"/>
    <w:rsid w:val="009B3C5C"/>
    <w:rsid w:val="009B4294"/>
    <w:rsid w:val="009B44B5"/>
    <w:rsid w:val="009B46B1"/>
    <w:rsid w:val="009B6525"/>
    <w:rsid w:val="009B666B"/>
    <w:rsid w:val="009B7D5F"/>
    <w:rsid w:val="009C00D5"/>
    <w:rsid w:val="009C016F"/>
    <w:rsid w:val="009C0792"/>
    <w:rsid w:val="009C0849"/>
    <w:rsid w:val="009C0EF9"/>
    <w:rsid w:val="009C1974"/>
    <w:rsid w:val="009C1DE4"/>
    <w:rsid w:val="009C2860"/>
    <w:rsid w:val="009C32F7"/>
    <w:rsid w:val="009C3513"/>
    <w:rsid w:val="009C35E8"/>
    <w:rsid w:val="009C36EA"/>
    <w:rsid w:val="009C3A54"/>
    <w:rsid w:val="009C4993"/>
    <w:rsid w:val="009C49DD"/>
    <w:rsid w:val="009C4FC4"/>
    <w:rsid w:val="009C4FED"/>
    <w:rsid w:val="009C5C89"/>
    <w:rsid w:val="009C6520"/>
    <w:rsid w:val="009C66A6"/>
    <w:rsid w:val="009C6900"/>
    <w:rsid w:val="009C6A61"/>
    <w:rsid w:val="009C7F6A"/>
    <w:rsid w:val="009D0784"/>
    <w:rsid w:val="009D0D10"/>
    <w:rsid w:val="009D11B6"/>
    <w:rsid w:val="009D1B81"/>
    <w:rsid w:val="009D27BF"/>
    <w:rsid w:val="009D3AF5"/>
    <w:rsid w:val="009D44AC"/>
    <w:rsid w:val="009D4A36"/>
    <w:rsid w:val="009D4E38"/>
    <w:rsid w:val="009D5071"/>
    <w:rsid w:val="009D5891"/>
    <w:rsid w:val="009D612D"/>
    <w:rsid w:val="009D64B9"/>
    <w:rsid w:val="009D7003"/>
    <w:rsid w:val="009D735A"/>
    <w:rsid w:val="009D7D12"/>
    <w:rsid w:val="009D7D44"/>
    <w:rsid w:val="009E1091"/>
    <w:rsid w:val="009E1122"/>
    <w:rsid w:val="009E138D"/>
    <w:rsid w:val="009E1504"/>
    <w:rsid w:val="009E1597"/>
    <w:rsid w:val="009E193F"/>
    <w:rsid w:val="009E2683"/>
    <w:rsid w:val="009E2AF0"/>
    <w:rsid w:val="009E3485"/>
    <w:rsid w:val="009E43E9"/>
    <w:rsid w:val="009E4B52"/>
    <w:rsid w:val="009E5460"/>
    <w:rsid w:val="009E564F"/>
    <w:rsid w:val="009E5E96"/>
    <w:rsid w:val="009E6F88"/>
    <w:rsid w:val="009E7658"/>
    <w:rsid w:val="009E7916"/>
    <w:rsid w:val="009E7C53"/>
    <w:rsid w:val="009F036C"/>
    <w:rsid w:val="009F0442"/>
    <w:rsid w:val="009F046B"/>
    <w:rsid w:val="009F112B"/>
    <w:rsid w:val="009F157A"/>
    <w:rsid w:val="009F164E"/>
    <w:rsid w:val="009F1AF9"/>
    <w:rsid w:val="009F2242"/>
    <w:rsid w:val="009F23FA"/>
    <w:rsid w:val="009F2655"/>
    <w:rsid w:val="009F3040"/>
    <w:rsid w:val="009F31F1"/>
    <w:rsid w:val="009F32BC"/>
    <w:rsid w:val="009F373E"/>
    <w:rsid w:val="009F3AD8"/>
    <w:rsid w:val="009F3B07"/>
    <w:rsid w:val="009F3BB3"/>
    <w:rsid w:val="009F3FF7"/>
    <w:rsid w:val="009F42E5"/>
    <w:rsid w:val="009F5CE1"/>
    <w:rsid w:val="009F5F3F"/>
    <w:rsid w:val="009F5F62"/>
    <w:rsid w:val="009F60F2"/>
    <w:rsid w:val="009F62CF"/>
    <w:rsid w:val="009F681A"/>
    <w:rsid w:val="009F6E05"/>
    <w:rsid w:val="009F781A"/>
    <w:rsid w:val="009F7823"/>
    <w:rsid w:val="00A00D11"/>
    <w:rsid w:val="00A02195"/>
    <w:rsid w:val="00A0311C"/>
    <w:rsid w:val="00A0433B"/>
    <w:rsid w:val="00A04B8B"/>
    <w:rsid w:val="00A051C3"/>
    <w:rsid w:val="00A0527E"/>
    <w:rsid w:val="00A052A6"/>
    <w:rsid w:val="00A0545B"/>
    <w:rsid w:val="00A05EBE"/>
    <w:rsid w:val="00A07598"/>
    <w:rsid w:val="00A07B0E"/>
    <w:rsid w:val="00A07D7F"/>
    <w:rsid w:val="00A07DF1"/>
    <w:rsid w:val="00A10142"/>
    <w:rsid w:val="00A10197"/>
    <w:rsid w:val="00A10DC3"/>
    <w:rsid w:val="00A11346"/>
    <w:rsid w:val="00A12765"/>
    <w:rsid w:val="00A12915"/>
    <w:rsid w:val="00A1334F"/>
    <w:rsid w:val="00A1397F"/>
    <w:rsid w:val="00A1401F"/>
    <w:rsid w:val="00A14118"/>
    <w:rsid w:val="00A14358"/>
    <w:rsid w:val="00A14FC8"/>
    <w:rsid w:val="00A16B3C"/>
    <w:rsid w:val="00A17E8C"/>
    <w:rsid w:val="00A20A72"/>
    <w:rsid w:val="00A20F0A"/>
    <w:rsid w:val="00A21361"/>
    <w:rsid w:val="00A2185F"/>
    <w:rsid w:val="00A21866"/>
    <w:rsid w:val="00A218AB"/>
    <w:rsid w:val="00A21DDB"/>
    <w:rsid w:val="00A22CA6"/>
    <w:rsid w:val="00A2333B"/>
    <w:rsid w:val="00A23749"/>
    <w:rsid w:val="00A24011"/>
    <w:rsid w:val="00A24208"/>
    <w:rsid w:val="00A255F9"/>
    <w:rsid w:val="00A26369"/>
    <w:rsid w:val="00A267F5"/>
    <w:rsid w:val="00A26D11"/>
    <w:rsid w:val="00A26F60"/>
    <w:rsid w:val="00A27426"/>
    <w:rsid w:val="00A27649"/>
    <w:rsid w:val="00A3062B"/>
    <w:rsid w:val="00A31888"/>
    <w:rsid w:val="00A31996"/>
    <w:rsid w:val="00A31A58"/>
    <w:rsid w:val="00A31C12"/>
    <w:rsid w:val="00A31C74"/>
    <w:rsid w:val="00A32C9C"/>
    <w:rsid w:val="00A33299"/>
    <w:rsid w:val="00A33CA9"/>
    <w:rsid w:val="00A34504"/>
    <w:rsid w:val="00A34886"/>
    <w:rsid w:val="00A3517C"/>
    <w:rsid w:val="00A35280"/>
    <w:rsid w:val="00A3661C"/>
    <w:rsid w:val="00A376F8"/>
    <w:rsid w:val="00A37726"/>
    <w:rsid w:val="00A400FF"/>
    <w:rsid w:val="00A4014F"/>
    <w:rsid w:val="00A403E9"/>
    <w:rsid w:val="00A40480"/>
    <w:rsid w:val="00A40CB0"/>
    <w:rsid w:val="00A41221"/>
    <w:rsid w:val="00A4170C"/>
    <w:rsid w:val="00A4181E"/>
    <w:rsid w:val="00A41FF9"/>
    <w:rsid w:val="00A42247"/>
    <w:rsid w:val="00A42656"/>
    <w:rsid w:val="00A42B3B"/>
    <w:rsid w:val="00A4320A"/>
    <w:rsid w:val="00A443F8"/>
    <w:rsid w:val="00A44441"/>
    <w:rsid w:val="00A4572D"/>
    <w:rsid w:val="00A458AA"/>
    <w:rsid w:val="00A46A50"/>
    <w:rsid w:val="00A4745A"/>
    <w:rsid w:val="00A47519"/>
    <w:rsid w:val="00A47663"/>
    <w:rsid w:val="00A50968"/>
    <w:rsid w:val="00A50FE5"/>
    <w:rsid w:val="00A5143D"/>
    <w:rsid w:val="00A51A04"/>
    <w:rsid w:val="00A51E06"/>
    <w:rsid w:val="00A51E39"/>
    <w:rsid w:val="00A53495"/>
    <w:rsid w:val="00A53C6B"/>
    <w:rsid w:val="00A543F4"/>
    <w:rsid w:val="00A545C1"/>
    <w:rsid w:val="00A56270"/>
    <w:rsid w:val="00A568A0"/>
    <w:rsid w:val="00A56E2B"/>
    <w:rsid w:val="00A573A2"/>
    <w:rsid w:val="00A57D0C"/>
    <w:rsid w:val="00A610F8"/>
    <w:rsid w:val="00A6307B"/>
    <w:rsid w:val="00A639D2"/>
    <w:rsid w:val="00A63FBB"/>
    <w:rsid w:val="00A649D2"/>
    <w:rsid w:val="00A651F9"/>
    <w:rsid w:val="00A65352"/>
    <w:rsid w:val="00A653ED"/>
    <w:rsid w:val="00A65827"/>
    <w:rsid w:val="00A65981"/>
    <w:rsid w:val="00A66055"/>
    <w:rsid w:val="00A6663E"/>
    <w:rsid w:val="00A6686D"/>
    <w:rsid w:val="00A66A82"/>
    <w:rsid w:val="00A67C83"/>
    <w:rsid w:val="00A7077A"/>
    <w:rsid w:val="00A70ACD"/>
    <w:rsid w:val="00A7104D"/>
    <w:rsid w:val="00A71AE0"/>
    <w:rsid w:val="00A72840"/>
    <w:rsid w:val="00A736C9"/>
    <w:rsid w:val="00A73A9E"/>
    <w:rsid w:val="00A7403E"/>
    <w:rsid w:val="00A75A11"/>
    <w:rsid w:val="00A75EFA"/>
    <w:rsid w:val="00A761FA"/>
    <w:rsid w:val="00A7639D"/>
    <w:rsid w:val="00A76A0E"/>
    <w:rsid w:val="00A76D94"/>
    <w:rsid w:val="00A76E04"/>
    <w:rsid w:val="00A77EDA"/>
    <w:rsid w:val="00A80915"/>
    <w:rsid w:val="00A82F01"/>
    <w:rsid w:val="00A83AB5"/>
    <w:rsid w:val="00A83E81"/>
    <w:rsid w:val="00A83F21"/>
    <w:rsid w:val="00A8415B"/>
    <w:rsid w:val="00A85001"/>
    <w:rsid w:val="00A853CE"/>
    <w:rsid w:val="00A85B41"/>
    <w:rsid w:val="00A90C11"/>
    <w:rsid w:val="00A912D8"/>
    <w:rsid w:val="00A9150F"/>
    <w:rsid w:val="00A9167D"/>
    <w:rsid w:val="00A92211"/>
    <w:rsid w:val="00A92521"/>
    <w:rsid w:val="00A93C5C"/>
    <w:rsid w:val="00A93D84"/>
    <w:rsid w:val="00A93E9C"/>
    <w:rsid w:val="00A9446B"/>
    <w:rsid w:val="00A945FC"/>
    <w:rsid w:val="00A948B7"/>
    <w:rsid w:val="00A94C9A"/>
    <w:rsid w:val="00A95175"/>
    <w:rsid w:val="00A95894"/>
    <w:rsid w:val="00A95E76"/>
    <w:rsid w:val="00A96A73"/>
    <w:rsid w:val="00A9710B"/>
    <w:rsid w:val="00AA05F8"/>
    <w:rsid w:val="00AA0713"/>
    <w:rsid w:val="00AA11AD"/>
    <w:rsid w:val="00AA131D"/>
    <w:rsid w:val="00AA23CE"/>
    <w:rsid w:val="00AA2A20"/>
    <w:rsid w:val="00AA445B"/>
    <w:rsid w:val="00AA52F0"/>
    <w:rsid w:val="00AA5A88"/>
    <w:rsid w:val="00AA5E5A"/>
    <w:rsid w:val="00AA638B"/>
    <w:rsid w:val="00AA6769"/>
    <w:rsid w:val="00AA6DF4"/>
    <w:rsid w:val="00AA7428"/>
    <w:rsid w:val="00AA7457"/>
    <w:rsid w:val="00AA7DFF"/>
    <w:rsid w:val="00AA7E70"/>
    <w:rsid w:val="00AB150D"/>
    <w:rsid w:val="00AB2020"/>
    <w:rsid w:val="00AB2841"/>
    <w:rsid w:val="00AB546B"/>
    <w:rsid w:val="00AB5BDB"/>
    <w:rsid w:val="00AB648F"/>
    <w:rsid w:val="00AB6684"/>
    <w:rsid w:val="00AB6B7E"/>
    <w:rsid w:val="00AB7A7D"/>
    <w:rsid w:val="00AB7D46"/>
    <w:rsid w:val="00AC00FD"/>
    <w:rsid w:val="00AC06AC"/>
    <w:rsid w:val="00AC0FA5"/>
    <w:rsid w:val="00AC2250"/>
    <w:rsid w:val="00AC2D49"/>
    <w:rsid w:val="00AC2D91"/>
    <w:rsid w:val="00AC3474"/>
    <w:rsid w:val="00AC4061"/>
    <w:rsid w:val="00AC4B6F"/>
    <w:rsid w:val="00AC5776"/>
    <w:rsid w:val="00AC57EF"/>
    <w:rsid w:val="00AC6021"/>
    <w:rsid w:val="00AC63A1"/>
    <w:rsid w:val="00AC64E8"/>
    <w:rsid w:val="00AC67B4"/>
    <w:rsid w:val="00AC6B73"/>
    <w:rsid w:val="00AD042F"/>
    <w:rsid w:val="00AD058B"/>
    <w:rsid w:val="00AD155A"/>
    <w:rsid w:val="00AD1DF2"/>
    <w:rsid w:val="00AD279A"/>
    <w:rsid w:val="00AD3090"/>
    <w:rsid w:val="00AD3A4E"/>
    <w:rsid w:val="00AD3B1D"/>
    <w:rsid w:val="00AD4121"/>
    <w:rsid w:val="00AD4492"/>
    <w:rsid w:val="00AD50E4"/>
    <w:rsid w:val="00AD5206"/>
    <w:rsid w:val="00AD75AE"/>
    <w:rsid w:val="00AD75E7"/>
    <w:rsid w:val="00AE0AC4"/>
    <w:rsid w:val="00AE159A"/>
    <w:rsid w:val="00AE221A"/>
    <w:rsid w:val="00AE25E6"/>
    <w:rsid w:val="00AE263F"/>
    <w:rsid w:val="00AE28E3"/>
    <w:rsid w:val="00AE36CC"/>
    <w:rsid w:val="00AE3F7F"/>
    <w:rsid w:val="00AE45DA"/>
    <w:rsid w:val="00AE5047"/>
    <w:rsid w:val="00AE6547"/>
    <w:rsid w:val="00AE6DD3"/>
    <w:rsid w:val="00AE732E"/>
    <w:rsid w:val="00AE7F32"/>
    <w:rsid w:val="00AF0047"/>
    <w:rsid w:val="00AF052C"/>
    <w:rsid w:val="00AF0865"/>
    <w:rsid w:val="00AF0A9E"/>
    <w:rsid w:val="00AF1677"/>
    <w:rsid w:val="00AF1F75"/>
    <w:rsid w:val="00AF2151"/>
    <w:rsid w:val="00AF26AA"/>
    <w:rsid w:val="00AF30EA"/>
    <w:rsid w:val="00AF482B"/>
    <w:rsid w:val="00AF52BB"/>
    <w:rsid w:val="00AF5E96"/>
    <w:rsid w:val="00AF63B0"/>
    <w:rsid w:val="00AF66A7"/>
    <w:rsid w:val="00AF670F"/>
    <w:rsid w:val="00AF6A14"/>
    <w:rsid w:val="00AF6B6B"/>
    <w:rsid w:val="00AF6F40"/>
    <w:rsid w:val="00AF7E32"/>
    <w:rsid w:val="00B00D05"/>
    <w:rsid w:val="00B01C85"/>
    <w:rsid w:val="00B01DE5"/>
    <w:rsid w:val="00B02444"/>
    <w:rsid w:val="00B02F56"/>
    <w:rsid w:val="00B03ECA"/>
    <w:rsid w:val="00B043AE"/>
    <w:rsid w:val="00B0455A"/>
    <w:rsid w:val="00B047BB"/>
    <w:rsid w:val="00B04E20"/>
    <w:rsid w:val="00B04F91"/>
    <w:rsid w:val="00B05162"/>
    <w:rsid w:val="00B058C1"/>
    <w:rsid w:val="00B067F3"/>
    <w:rsid w:val="00B06D2B"/>
    <w:rsid w:val="00B07636"/>
    <w:rsid w:val="00B104C7"/>
    <w:rsid w:val="00B10856"/>
    <w:rsid w:val="00B10C98"/>
    <w:rsid w:val="00B1129F"/>
    <w:rsid w:val="00B11EFF"/>
    <w:rsid w:val="00B12171"/>
    <w:rsid w:val="00B12212"/>
    <w:rsid w:val="00B12750"/>
    <w:rsid w:val="00B12C0C"/>
    <w:rsid w:val="00B13763"/>
    <w:rsid w:val="00B15228"/>
    <w:rsid w:val="00B16312"/>
    <w:rsid w:val="00B17534"/>
    <w:rsid w:val="00B17851"/>
    <w:rsid w:val="00B17A15"/>
    <w:rsid w:val="00B17CE8"/>
    <w:rsid w:val="00B204AE"/>
    <w:rsid w:val="00B20CD5"/>
    <w:rsid w:val="00B2265E"/>
    <w:rsid w:val="00B22981"/>
    <w:rsid w:val="00B22E04"/>
    <w:rsid w:val="00B2369E"/>
    <w:rsid w:val="00B23B40"/>
    <w:rsid w:val="00B243BA"/>
    <w:rsid w:val="00B2463B"/>
    <w:rsid w:val="00B24DEB"/>
    <w:rsid w:val="00B25A35"/>
    <w:rsid w:val="00B25C56"/>
    <w:rsid w:val="00B2635F"/>
    <w:rsid w:val="00B26384"/>
    <w:rsid w:val="00B30107"/>
    <w:rsid w:val="00B3086A"/>
    <w:rsid w:val="00B30BD2"/>
    <w:rsid w:val="00B312A6"/>
    <w:rsid w:val="00B334D0"/>
    <w:rsid w:val="00B34549"/>
    <w:rsid w:val="00B34D02"/>
    <w:rsid w:val="00B350CA"/>
    <w:rsid w:val="00B36451"/>
    <w:rsid w:val="00B37B62"/>
    <w:rsid w:val="00B37C54"/>
    <w:rsid w:val="00B400D4"/>
    <w:rsid w:val="00B409DB"/>
    <w:rsid w:val="00B40BE8"/>
    <w:rsid w:val="00B412ED"/>
    <w:rsid w:val="00B42F73"/>
    <w:rsid w:val="00B43675"/>
    <w:rsid w:val="00B43970"/>
    <w:rsid w:val="00B44975"/>
    <w:rsid w:val="00B44987"/>
    <w:rsid w:val="00B46016"/>
    <w:rsid w:val="00B4639D"/>
    <w:rsid w:val="00B46954"/>
    <w:rsid w:val="00B50091"/>
    <w:rsid w:val="00B519F3"/>
    <w:rsid w:val="00B521D6"/>
    <w:rsid w:val="00B535FA"/>
    <w:rsid w:val="00B5381F"/>
    <w:rsid w:val="00B53EB7"/>
    <w:rsid w:val="00B5401C"/>
    <w:rsid w:val="00B544DA"/>
    <w:rsid w:val="00B546CF"/>
    <w:rsid w:val="00B54BA8"/>
    <w:rsid w:val="00B5557E"/>
    <w:rsid w:val="00B55C53"/>
    <w:rsid w:val="00B568FB"/>
    <w:rsid w:val="00B56BA0"/>
    <w:rsid w:val="00B56E22"/>
    <w:rsid w:val="00B5703D"/>
    <w:rsid w:val="00B57899"/>
    <w:rsid w:val="00B60044"/>
    <w:rsid w:val="00B6119F"/>
    <w:rsid w:val="00B6175E"/>
    <w:rsid w:val="00B62441"/>
    <w:rsid w:val="00B645EB"/>
    <w:rsid w:val="00B65EEA"/>
    <w:rsid w:val="00B66137"/>
    <w:rsid w:val="00B66194"/>
    <w:rsid w:val="00B66A96"/>
    <w:rsid w:val="00B66B62"/>
    <w:rsid w:val="00B67C1D"/>
    <w:rsid w:val="00B67DD1"/>
    <w:rsid w:val="00B67F58"/>
    <w:rsid w:val="00B712EC"/>
    <w:rsid w:val="00B719F4"/>
    <w:rsid w:val="00B72175"/>
    <w:rsid w:val="00B72625"/>
    <w:rsid w:val="00B726DA"/>
    <w:rsid w:val="00B72923"/>
    <w:rsid w:val="00B735BE"/>
    <w:rsid w:val="00B73E9D"/>
    <w:rsid w:val="00B756CA"/>
    <w:rsid w:val="00B757F4"/>
    <w:rsid w:val="00B75F46"/>
    <w:rsid w:val="00B77053"/>
    <w:rsid w:val="00B8008C"/>
    <w:rsid w:val="00B807D1"/>
    <w:rsid w:val="00B8128A"/>
    <w:rsid w:val="00B813EB"/>
    <w:rsid w:val="00B81474"/>
    <w:rsid w:val="00B81A0D"/>
    <w:rsid w:val="00B81FED"/>
    <w:rsid w:val="00B82F1D"/>
    <w:rsid w:val="00B835BA"/>
    <w:rsid w:val="00B83F4D"/>
    <w:rsid w:val="00B85AB3"/>
    <w:rsid w:val="00B86687"/>
    <w:rsid w:val="00B90340"/>
    <w:rsid w:val="00B9099D"/>
    <w:rsid w:val="00B90DE3"/>
    <w:rsid w:val="00B91041"/>
    <w:rsid w:val="00B9127F"/>
    <w:rsid w:val="00B924F6"/>
    <w:rsid w:val="00B92978"/>
    <w:rsid w:val="00B929B8"/>
    <w:rsid w:val="00B93D0F"/>
    <w:rsid w:val="00B93EC2"/>
    <w:rsid w:val="00B94886"/>
    <w:rsid w:val="00B94F6D"/>
    <w:rsid w:val="00B94FBA"/>
    <w:rsid w:val="00B95020"/>
    <w:rsid w:val="00B95D3F"/>
    <w:rsid w:val="00B96002"/>
    <w:rsid w:val="00B9615E"/>
    <w:rsid w:val="00B96D27"/>
    <w:rsid w:val="00B971F4"/>
    <w:rsid w:val="00B973C9"/>
    <w:rsid w:val="00B97F15"/>
    <w:rsid w:val="00BA02D9"/>
    <w:rsid w:val="00BA05BB"/>
    <w:rsid w:val="00BA0998"/>
    <w:rsid w:val="00BA0A75"/>
    <w:rsid w:val="00BA18BB"/>
    <w:rsid w:val="00BA1E53"/>
    <w:rsid w:val="00BA1EF3"/>
    <w:rsid w:val="00BA22A7"/>
    <w:rsid w:val="00BA3726"/>
    <w:rsid w:val="00BA4A6A"/>
    <w:rsid w:val="00BA4CCD"/>
    <w:rsid w:val="00BA549E"/>
    <w:rsid w:val="00BA5EF5"/>
    <w:rsid w:val="00BA624E"/>
    <w:rsid w:val="00BA6E6D"/>
    <w:rsid w:val="00BA7265"/>
    <w:rsid w:val="00BB06E1"/>
    <w:rsid w:val="00BB1A3B"/>
    <w:rsid w:val="00BB2296"/>
    <w:rsid w:val="00BB2706"/>
    <w:rsid w:val="00BB31B4"/>
    <w:rsid w:val="00BB381A"/>
    <w:rsid w:val="00BB3C64"/>
    <w:rsid w:val="00BB437E"/>
    <w:rsid w:val="00BB4BB0"/>
    <w:rsid w:val="00BB662A"/>
    <w:rsid w:val="00BB6D19"/>
    <w:rsid w:val="00BB70BB"/>
    <w:rsid w:val="00BC05BA"/>
    <w:rsid w:val="00BC0C32"/>
    <w:rsid w:val="00BC1B95"/>
    <w:rsid w:val="00BC1BFE"/>
    <w:rsid w:val="00BC2596"/>
    <w:rsid w:val="00BC2A94"/>
    <w:rsid w:val="00BC2D08"/>
    <w:rsid w:val="00BC319B"/>
    <w:rsid w:val="00BC33D0"/>
    <w:rsid w:val="00BC393A"/>
    <w:rsid w:val="00BC3F94"/>
    <w:rsid w:val="00BC44C5"/>
    <w:rsid w:val="00BC4971"/>
    <w:rsid w:val="00BC519B"/>
    <w:rsid w:val="00BC5568"/>
    <w:rsid w:val="00BC64CE"/>
    <w:rsid w:val="00BC651C"/>
    <w:rsid w:val="00BC653C"/>
    <w:rsid w:val="00BC6549"/>
    <w:rsid w:val="00BC7C25"/>
    <w:rsid w:val="00BD0D5B"/>
    <w:rsid w:val="00BD1E05"/>
    <w:rsid w:val="00BD1FDA"/>
    <w:rsid w:val="00BD2396"/>
    <w:rsid w:val="00BD2D77"/>
    <w:rsid w:val="00BD4C3E"/>
    <w:rsid w:val="00BD5B41"/>
    <w:rsid w:val="00BD6F16"/>
    <w:rsid w:val="00BD6F5C"/>
    <w:rsid w:val="00BD76B1"/>
    <w:rsid w:val="00BD7B1E"/>
    <w:rsid w:val="00BE2355"/>
    <w:rsid w:val="00BE2D3F"/>
    <w:rsid w:val="00BE2D9D"/>
    <w:rsid w:val="00BE4089"/>
    <w:rsid w:val="00BE63AE"/>
    <w:rsid w:val="00BE679E"/>
    <w:rsid w:val="00BE7391"/>
    <w:rsid w:val="00BE7C31"/>
    <w:rsid w:val="00BE7C5F"/>
    <w:rsid w:val="00BF1A49"/>
    <w:rsid w:val="00BF2011"/>
    <w:rsid w:val="00BF2A70"/>
    <w:rsid w:val="00BF520C"/>
    <w:rsid w:val="00BF55CA"/>
    <w:rsid w:val="00BF5A04"/>
    <w:rsid w:val="00BF5E79"/>
    <w:rsid w:val="00BF71BC"/>
    <w:rsid w:val="00BF72F4"/>
    <w:rsid w:val="00C01162"/>
    <w:rsid w:val="00C01C0B"/>
    <w:rsid w:val="00C0247A"/>
    <w:rsid w:val="00C02691"/>
    <w:rsid w:val="00C02A27"/>
    <w:rsid w:val="00C03281"/>
    <w:rsid w:val="00C033FC"/>
    <w:rsid w:val="00C039D0"/>
    <w:rsid w:val="00C04B6E"/>
    <w:rsid w:val="00C06B2E"/>
    <w:rsid w:val="00C0705E"/>
    <w:rsid w:val="00C07137"/>
    <w:rsid w:val="00C07174"/>
    <w:rsid w:val="00C0739F"/>
    <w:rsid w:val="00C07E4C"/>
    <w:rsid w:val="00C10842"/>
    <w:rsid w:val="00C1106E"/>
    <w:rsid w:val="00C110AB"/>
    <w:rsid w:val="00C111A2"/>
    <w:rsid w:val="00C13145"/>
    <w:rsid w:val="00C13373"/>
    <w:rsid w:val="00C133CB"/>
    <w:rsid w:val="00C135B6"/>
    <w:rsid w:val="00C135C1"/>
    <w:rsid w:val="00C13A71"/>
    <w:rsid w:val="00C13B4D"/>
    <w:rsid w:val="00C14782"/>
    <w:rsid w:val="00C14D82"/>
    <w:rsid w:val="00C15040"/>
    <w:rsid w:val="00C150A4"/>
    <w:rsid w:val="00C152E8"/>
    <w:rsid w:val="00C15923"/>
    <w:rsid w:val="00C15D2C"/>
    <w:rsid w:val="00C15DF0"/>
    <w:rsid w:val="00C164CE"/>
    <w:rsid w:val="00C164D1"/>
    <w:rsid w:val="00C16E2A"/>
    <w:rsid w:val="00C17089"/>
    <w:rsid w:val="00C17252"/>
    <w:rsid w:val="00C201F1"/>
    <w:rsid w:val="00C20B97"/>
    <w:rsid w:val="00C210BC"/>
    <w:rsid w:val="00C213D3"/>
    <w:rsid w:val="00C213EC"/>
    <w:rsid w:val="00C22AF5"/>
    <w:rsid w:val="00C2310E"/>
    <w:rsid w:val="00C23C6E"/>
    <w:rsid w:val="00C23CDE"/>
    <w:rsid w:val="00C23CEB"/>
    <w:rsid w:val="00C24FD4"/>
    <w:rsid w:val="00C257F7"/>
    <w:rsid w:val="00C26F5A"/>
    <w:rsid w:val="00C27935"/>
    <w:rsid w:val="00C30176"/>
    <w:rsid w:val="00C30447"/>
    <w:rsid w:val="00C30E1B"/>
    <w:rsid w:val="00C31042"/>
    <w:rsid w:val="00C3152B"/>
    <w:rsid w:val="00C318DF"/>
    <w:rsid w:val="00C324B2"/>
    <w:rsid w:val="00C332E1"/>
    <w:rsid w:val="00C335DB"/>
    <w:rsid w:val="00C336D8"/>
    <w:rsid w:val="00C35427"/>
    <w:rsid w:val="00C3684E"/>
    <w:rsid w:val="00C36BEF"/>
    <w:rsid w:val="00C378D0"/>
    <w:rsid w:val="00C37CA9"/>
    <w:rsid w:val="00C40039"/>
    <w:rsid w:val="00C4058D"/>
    <w:rsid w:val="00C4133A"/>
    <w:rsid w:val="00C413DF"/>
    <w:rsid w:val="00C422A4"/>
    <w:rsid w:val="00C42D97"/>
    <w:rsid w:val="00C42DC7"/>
    <w:rsid w:val="00C4326F"/>
    <w:rsid w:val="00C4362E"/>
    <w:rsid w:val="00C43D6A"/>
    <w:rsid w:val="00C4414C"/>
    <w:rsid w:val="00C44564"/>
    <w:rsid w:val="00C449BA"/>
    <w:rsid w:val="00C461D3"/>
    <w:rsid w:val="00C46269"/>
    <w:rsid w:val="00C463EE"/>
    <w:rsid w:val="00C46A19"/>
    <w:rsid w:val="00C47514"/>
    <w:rsid w:val="00C476C1"/>
    <w:rsid w:val="00C478CB"/>
    <w:rsid w:val="00C47BC4"/>
    <w:rsid w:val="00C50F49"/>
    <w:rsid w:val="00C51125"/>
    <w:rsid w:val="00C5388E"/>
    <w:rsid w:val="00C53B60"/>
    <w:rsid w:val="00C53C40"/>
    <w:rsid w:val="00C55C78"/>
    <w:rsid w:val="00C567A4"/>
    <w:rsid w:val="00C5756E"/>
    <w:rsid w:val="00C5774F"/>
    <w:rsid w:val="00C57F97"/>
    <w:rsid w:val="00C60221"/>
    <w:rsid w:val="00C606EB"/>
    <w:rsid w:val="00C60A61"/>
    <w:rsid w:val="00C60B28"/>
    <w:rsid w:val="00C6164E"/>
    <w:rsid w:val="00C62635"/>
    <w:rsid w:val="00C63DD9"/>
    <w:rsid w:val="00C64487"/>
    <w:rsid w:val="00C65ADB"/>
    <w:rsid w:val="00C65F5A"/>
    <w:rsid w:val="00C6640D"/>
    <w:rsid w:val="00C70B49"/>
    <w:rsid w:val="00C70CC5"/>
    <w:rsid w:val="00C72CF6"/>
    <w:rsid w:val="00C73407"/>
    <w:rsid w:val="00C73E9C"/>
    <w:rsid w:val="00C740FE"/>
    <w:rsid w:val="00C746AA"/>
    <w:rsid w:val="00C74815"/>
    <w:rsid w:val="00C74ADC"/>
    <w:rsid w:val="00C74EAB"/>
    <w:rsid w:val="00C751E6"/>
    <w:rsid w:val="00C75917"/>
    <w:rsid w:val="00C76CF4"/>
    <w:rsid w:val="00C76FC6"/>
    <w:rsid w:val="00C7781B"/>
    <w:rsid w:val="00C80C39"/>
    <w:rsid w:val="00C82008"/>
    <w:rsid w:val="00C82F1D"/>
    <w:rsid w:val="00C832AF"/>
    <w:rsid w:val="00C8467E"/>
    <w:rsid w:val="00C85194"/>
    <w:rsid w:val="00C85CF7"/>
    <w:rsid w:val="00C85FDC"/>
    <w:rsid w:val="00C8618C"/>
    <w:rsid w:val="00C86DF9"/>
    <w:rsid w:val="00C87E91"/>
    <w:rsid w:val="00C900E4"/>
    <w:rsid w:val="00C90501"/>
    <w:rsid w:val="00C90700"/>
    <w:rsid w:val="00C9158C"/>
    <w:rsid w:val="00C91645"/>
    <w:rsid w:val="00C91688"/>
    <w:rsid w:val="00C91841"/>
    <w:rsid w:val="00C92417"/>
    <w:rsid w:val="00C92EB0"/>
    <w:rsid w:val="00C93434"/>
    <w:rsid w:val="00C9422A"/>
    <w:rsid w:val="00C942A0"/>
    <w:rsid w:val="00C95E16"/>
    <w:rsid w:val="00C96013"/>
    <w:rsid w:val="00C96C72"/>
    <w:rsid w:val="00C96D17"/>
    <w:rsid w:val="00C96D2A"/>
    <w:rsid w:val="00C97486"/>
    <w:rsid w:val="00C974DB"/>
    <w:rsid w:val="00C97C5C"/>
    <w:rsid w:val="00CA0B74"/>
    <w:rsid w:val="00CA3E56"/>
    <w:rsid w:val="00CA3FBE"/>
    <w:rsid w:val="00CA73FA"/>
    <w:rsid w:val="00CA7D22"/>
    <w:rsid w:val="00CB0D87"/>
    <w:rsid w:val="00CB0E49"/>
    <w:rsid w:val="00CB2245"/>
    <w:rsid w:val="00CB291C"/>
    <w:rsid w:val="00CB299B"/>
    <w:rsid w:val="00CB32FE"/>
    <w:rsid w:val="00CB389A"/>
    <w:rsid w:val="00CB4471"/>
    <w:rsid w:val="00CB452A"/>
    <w:rsid w:val="00CB658E"/>
    <w:rsid w:val="00CB667A"/>
    <w:rsid w:val="00CB67B6"/>
    <w:rsid w:val="00CB6A1E"/>
    <w:rsid w:val="00CB6AD0"/>
    <w:rsid w:val="00CB7556"/>
    <w:rsid w:val="00CB7A3A"/>
    <w:rsid w:val="00CB7D07"/>
    <w:rsid w:val="00CC072F"/>
    <w:rsid w:val="00CC0B68"/>
    <w:rsid w:val="00CC11AD"/>
    <w:rsid w:val="00CC1256"/>
    <w:rsid w:val="00CC1512"/>
    <w:rsid w:val="00CC1D0F"/>
    <w:rsid w:val="00CC1D1B"/>
    <w:rsid w:val="00CC1DDA"/>
    <w:rsid w:val="00CC2933"/>
    <w:rsid w:val="00CC445F"/>
    <w:rsid w:val="00CC44C5"/>
    <w:rsid w:val="00CC628B"/>
    <w:rsid w:val="00CC6DB2"/>
    <w:rsid w:val="00CD1153"/>
    <w:rsid w:val="00CD12AE"/>
    <w:rsid w:val="00CD134A"/>
    <w:rsid w:val="00CD1898"/>
    <w:rsid w:val="00CD2E96"/>
    <w:rsid w:val="00CD4174"/>
    <w:rsid w:val="00CD4204"/>
    <w:rsid w:val="00CD4D26"/>
    <w:rsid w:val="00CD5EF2"/>
    <w:rsid w:val="00CD607A"/>
    <w:rsid w:val="00CD62F4"/>
    <w:rsid w:val="00CD6E99"/>
    <w:rsid w:val="00CD732F"/>
    <w:rsid w:val="00CD74FC"/>
    <w:rsid w:val="00CD7AD9"/>
    <w:rsid w:val="00CD7D8D"/>
    <w:rsid w:val="00CE0BE1"/>
    <w:rsid w:val="00CE114F"/>
    <w:rsid w:val="00CE2072"/>
    <w:rsid w:val="00CE25D6"/>
    <w:rsid w:val="00CE3408"/>
    <w:rsid w:val="00CE3A4D"/>
    <w:rsid w:val="00CE5670"/>
    <w:rsid w:val="00CE57F0"/>
    <w:rsid w:val="00CE7040"/>
    <w:rsid w:val="00CF085E"/>
    <w:rsid w:val="00CF0868"/>
    <w:rsid w:val="00CF086B"/>
    <w:rsid w:val="00CF0B38"/>
    <w:rsid w:val="00CF30EA"/>
    <w:rsid w:val="00CF4D94"/>
    <w:rsid w:val="00CF4F18"/>
    <w:rsid w:val="00CF5570"/>
    <w:rsid w:val="00CF5BE5"/>
    <w:rsid w:val="00CF5DF8"/>
    <w:rsid w:val="00CF60FF"/>
    <w:rsid w:val="00CF6527"/>
    <w:rsid w:val="00CF6EBF"/>
    <w:rsid w:val="00CF70E8"/>
    <w:rsid w:val="00CF715D"/>
    <w:rsid w:val="00CF77A4"/>
    <w:rsid w:val="00D0043B"/>
    <w:rsid w:val="00D01033"/>
    <w:rsid w:val="00D01629"/>
    <w:rsid w:val="00D016E7"/>
    <w:rsid w:val="00D01853"/>
    <w:rsid w:val="00D0196D"/>
    <w:rsid w:val="00D01E8C"/>
    <w:rsid w:val="00D02374"/>
    <w:rsid w:val="00D025EF"/>
    <w:rsid w:val="00D03269"/>
    <w:rsid w:val="00D03712"/>
    <w:rsid w:val="00D03A0D"/>
    <w:rsid w:val="00D04645"/>
    <w:rsid w:val="00D04D10"/>
    <w:rsid w:val="00D05049"/>
    <w:rsid w:val="00D05677"/>
    <w:rsid w:val="00D05726"/>
    <w:rsid w:val="00D067CE"/>
    <w:rsid w:val="00D06B7C"/>
    <w:rsid w:val="00D105FB"/>
    <w:rsid w:val="00D117DE"/>
    <w:rsid w:val="00D11AFB"/>
    <w:rsid w:val="00D11DFE"/>
    <w:rsid w:val="00D124BE"/>
    <w:rsid w:val="00D127D8"/>
    <w:rsid w:val="00D12ADA"/>
    <w:rsid w:val="00D12B92"/>
    <w:rsid w:val="00D12CA5"/>
    <w:rsid w:val="00D13290"/>
    <w:rsid w:val="00D14968"/>
    <w:rsid w:val="00D15943"/>
    <w:rsid w:val="00D162CC"/>
    <w:rsid w:val="00D16AE9"/>
    <w:rsid w:val="00D16FAB"/>
    <w:rsid w:val="00D20C6D"/>
    <w:rsid w:val="00D213CE"/>
    <w:rsid w:val="00D21B1D"/>
    <w:rsid w:val="00D2294B"/>
    <w:rsid w:val="00D22EF6"/>
    <w:rsid w:val="00D238A8"/>
    <w:rsid w:val="00D2451C"/>
    <w:rsid w:val="00D24652"/>
    <w:rsid w:val="00D2550A"/>
    <w:rsid w:val="00D25F8F"/>
    <w:rsid w:val="00D2687D"/>
    <w:rsid w:val="00D275B8"/>
    <w:rsid w:val="00D27A0F"/>
    <w:rsid w:val="00D27CDF"/>
    <w:rsid w:val="00D30145"/>
    <w:rsid w:val="00D3053E"/>
    <w:rsid w:val="00D3092A"/>
    <w:rsid w:val="00D309C2"/>
    <w:rsid w:val="00D30A6D"/>
    <w:rsid w:val="00D311C2"/>
    <w:rsid w:val="00D32B85"/>
    <w:rsid w:val="00D32CC3"/>
    <w:rsid w:val="00D343F6"/>
    <w:rsid w:val="00D34829"/>
    <w:rsid w:val="00D34FB2"/>
    <w:rsid w:val="00D3527C"/>
    <w:rsid w:val="00D35383"/>
    <w:rsid w:val="00D35B54"/>
    <w:rsid w:val="00D35C7B"/>
    <w:rsid w:val="00D35FF3"/>
    <w:rsid w:val="00D366D9"/>
    <w:rsid w:val="00D3681D"/>
    <w:rsid w:val="00D36B3E"/>
    <w:rsid w:val="00D37916"/>
    <w:rsid w:val="00D37A10"/>
    <w:rsid w:val="00D37F4B"/>
    <w:rsid w:val="00D41092"/>
    <w:rsid w:val="00D41A1E"/>
    <w:rsid w:val="00D42803"/>
    <w:rsid w:val="00D42D3C"/>
    <w:rsid w:val="00D4323F"/>
    <w:rsid w:val="00D436A2"/>
    <w:rsid w:val="00D437A2"/>
    <w:rsid w:val="00D437D2"/>
    <w:rsid w:val="00D43B34"/>
    <w:rsid w:val="00D43B85"/>
    <w:rsid w:val="00D44A49"/>
    <w:rsid w:val="00D453F3"/>
    <w:rsid w:val="00D45554"/>
    <w:rsid w:val="00D45993"/>
    <w:rsid w:val="00D459DB"/>
    <w:rsid w:val="00D46198"/>
    <w:rsid w:val="00D469BB"/>
    <w:rsid w:val="00D46BAA"/>
    <w:rsid w:val="00D47971"/>
    <w:rsid w:val="00D501AA"/>
    <w:rsid w:val="00D5132C"/>
    <w:rsid w:val="00D513F7"/>
    <w:rsid w:val="00D51E96"/>
    <w:rsid w:val="00D51FF1"/>
    <w:rsid w:val="00D52334"/>
    <w:rsid w:val="00D52FC7"/>
    <w:rsid w:val="00D53178"/>
    <w:rsid w:val="00D551C3"/>
    <w:rsid w:val="00D5559D"/>
    <w:rsid w:val="00D55AE7"/>
    <w:rsid w:val="00D5663E"/>
    <w:rsid w:val="00D56F02"/>
    <w:rsid w:val="00D604EB"/>
    <w:rsid w:val="00D63AC2"/>
    <w:rsid w:val="00D63C88"/>
    <w:rsid w:val="00D649AA"/>
    <w:rsid w:val="00D64F7E"/>
    <w:rsid w:val="00D66257"/>
    <w:rsid w:val="00D66DAA"/>
    <w:rsid w:val="00D671C9"/>
    <w:rsid w:val="00D676A0"/>
    <w:rsid w:val="00D6777D"/>
    <w:rsid w:val="00D6788B"/>
    <w:rsid w:val="00D67C61"/>
    <w:rsid w:val="00D67CDF"/>
    <w:rsid w:val="00D70B08"/>
    <w:rsid w:val="00D70FB8"/>
    <w:rsid w:val="00D7272E"/>
    <w:rsid w:val="00D7286C"/>
    <w:rsid w:val="00D729FA"/>
    <w:rsid w:val="00D72D47"/>
    <w:rsid w:val="00D73298"/>
    <w:rsid w:val="00D73427"/>
    <w:rsid w:val="00D745F3"/>
    <w:rsid w:val="00D74871"/>
    <w:rsid w:val="00D74983"/>
    <w:rsid w:val="00D75579"/>
    <w:rsid w:val="00D75696"/>
    <w:rsid w:val="00D75CD5"/>
    <w:rsid w:val="00D765AC"/>
    <w:rsid w:val="00D7708D"/>
    <w:rsid w:val="00D80107"/>
    <w:rsid w:val="00D80334"/>
    <w:rsid w:val="00D8054E"/>
    <w:rsid w:val="00D82DC7"/>
    <w:rsid w:val="00D82F92"/>
    <w:rsid w:val="00D83227"/>
    <w:rsid w:val="00D83509"/>
    <w:rsid w:val="00D83B10"/>
    <w:rsid w:val="00D8425A"/>
    <w:rsid w:val="00D85020"/>
    <w:rsid w:val="00D854BC"/>
    <w:rsid w:val="00D85D7D"/>
    <w:rsid w:val="00D868E8"/>
    <w:rsid w:val="00D9007B"/>
    <w:rsid w:val="00D91664"/>
    <w:rsid w:val="00D91D6C"/>
    <w:rsid w:val="00D92E18"/>
    <w:rsid w:val="00D9396C"/>
    <w:rsid w:val="00D95379"/>
    <w:rsid w:val="00D955D6"/>
    <w:rsid w:val="00D95BD3"/>
    <w:rsid w:val="00D95C19"/>
    <w:rsid w:val="00D9608B"/>
    <w:rsid w:val="00D96318"/>
    <w:rsid w:val="00D96474"/>
    <w:rsid w:val="00D968B8"/>
    <w:rsid w:val="00D96E16"/>
    <w:rsid w:val="00D9731A"/>
    <w:rsid w:val="00D97A2F"/>
    <w:rsid w:val="00DA1381"/>
    <w:rsid w:val="00DA258D"/>
    <w:rsid w:val="00DA315A"/>
    <w:rsid w:val="00DA37D5"/>
    <w:rsid w:val="00DA4171"/>
    <w:rsid w:val="00DA4BEE"/>
    <w:rsid w:val="00DA5A05"/>
    <w:rsid w:val="00DA5D75"/>
    <w:rsid w:val="00DA63E5"/>
    <w:rsid w:val="00DA657D"/>
    <w:rsid w:val="00DA6E43"/>
    <w:rsid w:val="00DA719D"/>
    <w:rsid w:val="00DA71A3"/>
    <w:rsid w:val="00DA74DB"/>
    <w:rsid w:val="00DA7F74"/>
    <w:rsid w:val="00DB0B5F"/>
    <w:rsid w:val="00DB0EC2"/>
    <w:rsid w:val="00DB17C7"/>
    <w:rsid w:val="00DB1F84"/>
    <w:rsid w:val="00DB202A"/>
    <w:rsid w:val="00DB2385"/>
    <w:rsid w:val="00DB23E2"/>
    <w:rsid w:val="00DB269F"/>
    <w:rsid w:val="00DB36F8"/>
    <w:rsid w:val="00DB39ED"/>
    <w:rsid w:val="00DB456F"/>
    <w:rsid w:val="00DB48D3"/>
    <w:rsid w:val="00DB787A"/>
    <w:rsid w:val="00DB7CA4"/>
    <w:rsid w:val="00DC0FB5"/>
    <w:rsid w:val="00DC1D39"/>
    <w:rsid w:val="00DC1E28"/>
    <w:rsid w:val="00DC3F73"/>
    <w:rsid w:val="00DC4927"/>
    <w:rsid w:val="00DC5ED2"/>
    <w:rsid w:val="00DC654F"/>
    <w:rsid w:val="00DC658D"/>
    <w:rsid w:val="00DC6AC2"/>
    <w:rsid w:val="00DC7191"/>
    <w:rsid w:val="00DC7F37"/>
    <w:rsid w:val="00DD1888"/>
    <w:rsid w:val="00DD2A56"/>
    <w:rsid w:val="00DD3A06"/>
    <w:rsid w:val="00DD4343"/>
    <w:rsid w:val="00DD455C"/>
    <w:rsid w:val="00DD461F"/>
    <w:rsid w:val="00DD4972"/>
    <w:rsid w:val="00DD4984"/>
    <w:rsid w:val="00DD4AE0"/>
    <w:rsid w:val="00DD51E9"/>
    <w:rsid w:val="00DD5252"/>
    <w:rsid w:val="00DD7104"/>
    <w:rsid w:val="00DD7E5E"/>
    <w:rsid w:val="00DD7ED4"/>
    <w:rsid w:val="00DD7F4A"/>
    <w:rsid w:val="00DE0480"/>
    <w:rsid w:val="00DE07A1"/>
    <w:rsid w:val="00DE0D52"/>
    <w:rsid w:val="00DE1519"/>
    <w:rsid w:val="00DE1A1C"/>
    <w:rsid w:val="00DE1E07"/>
    <w:rsid w:val="00DE2189"/>
    <w:rsid w:val="00DE35A0"/>
    <w:rsid w:val="00DE3D9B"/>
    <w:rsid w:val="00DE47F7"/>
    <w:rsid w:val="00DE48F9"/>
    <w:rsid w:val="00DE526F"/>
    <w:rsid w:val="00DE5D6F"/>
    <w:rsid w:val="00DE6572"/>
    <w:rsid w:val="00DE773E"/>
    <w:rsid w:val="00DE7959"/>
    <w:rsid w:val="00DF0017"/>
    <w:rsid w:val="00DF0260"/>
    <w:rsid w:val="00DF0C5B"/>
    <w:rsid w:val="00DF1685"/>
    <w:rsid w:val="00DF1D45"/>
    <w:rsid w:val="00DF2082"/>
    <w:rsid w:val="00DF25DE"/>
    <w:rsid w:val="00DF325B"/>
    <w:rsid w:val="00DF3281"/>
    <w:rsid w:val="00DF3DF8"/>
    <w:rsid w:val="00DF4058"/>
    <w:rsid w:val="00DF4066"/>
    <w:rsid w:val="00DF4784"/>
    <w:rsid w:val="00DF4BF1"/>
    <w:rsid w:val="00DF4EF2"/>
    <w:rsid w:val="00DF54ED"/>
    <w:rsid w:val="00DF5D62"/>
    <w:rsid w:val="00DF6091"/>
    <w:rsid w:val="00DF642D"/>
    <w:rsid w:val="00DF66CF"/>
    <w:rsid w:val="00DF6BB1"/>
    <w:rsid w:val="00E00745"/>
    <w:rsid w:val="00E00D4A"/>
    <w:rsid w:val="00E01275"/>
    <w:rsid w:val="00E0160B"/>
    <w:rsid w:val="00E01671"/>
    <w:rsid w:val="00E02FA1"/>
    <w:rsid w:val="00E03A2F"/>
    <w:rsid w:val="00E0455A"/>
    <w:rsid w:val="00E052A5"/>
    <w:rsid w:val="00E054BB"/>
    <w:rsid w:val="00E0574D"/>
    <w:rsid w:val="00E05A35"/>
    <w:rsid w:val="00E06E6E"/>
    <w:rsid w:val="00E07CCF"/>
    <w:rsid w:val="00E100A9"/>
    <w:rsid w:val="00E10CB8"/>
    <w:rsid w:val="00E1180E"/>
    <w:rsid w:val="00E1274C"/>
    <w:rsid w:val="00E13952"/>
    <w:rsid w:val="00E14ECC"/>
    <w:rsid w:val="00E15533"/>
    <w:rsid w:val="00E15ACE"/>
    <w:rsid w:val="00E161B5"/>
    <w:rsid w:val="00E162C4"/>
    <w:rsid w:val="00E16D3E"/>
    <w:rsid w:val="00E1714E"/>
    <w:rsid w:val="00E179BB"/>
    <w:rsid w:val="00E2111F"/>
    <w:rsid w:val="00E2187B"/>
    <w:rsid w:val="00E22C82"/>
    <w:rsid w:val="00E22E96"/>
    <w:rsid w:val="00E2363B"/>
    <w:rsid w:val="00E2429E"/>
    <w:rsid w:val="00E25538"/>
    <w:rsid w:val="00E26407"/>
    <w:rsid w:val="00E26E98"/>
    <w:rsid w:val="00E2711F"/>
    <w:rsid w:val="00E271A0"/>
    <w:rsid w:val="00E27BEA"/>
    <w:rsid w:val="00E304C2"/>
    <w:rsid w:val="00E3088C"/>
    <w:rsid w:val="00E31454"/>
    <w:rsid w:val="00E317A8"/>
    <w:rsid w:val="00E318AF"/>
    <w:rsid w:val="00E32BC9"/>
    <w:rsid w:val="00E33B47"/>
    <w:rsid w:val="00E33BE3"/>
    <w:rsid w:val="00E351B6"/>
    <w:rsid w:val="00E359D6"/>
    <w:rsid w:val="00E365C2"/>
    <w:rsid w:val="00E3680B"/>
    <w:rsid w:val="00E418F5"/>
    <w:rsid w:val="00E41D40"/>
    <w:rsid w:val="00E421B4"/>
    <w:rsid w:val="00E4262C"/>
    <w:rsid w:val="00E432E3"/>
    <w:rsid w:val="00E43846"/>
    <w:rsid w:val="00E43955"/>
    <w:rsid w:val="00E43E55"/>
    <w:rsid w:val="00E44676"/>
    <w:rsid w:val="00E454E1"/>
    <w:rsid w:val="00E460EC"/>
    <w:rsid w:val="00E46147"/>
    <w:rsid w:val="00E47ABD"/>
    <w:rsid w:val="00E52892"/>
    <w:rsid w:val="00E52CA7"/>
    <w:rsid w:val="00E52F46"/>
    <w:rsid w:val="00E54020"/>
    <w:rsid w:val="00E54CBE"/>
    <w:rsid w:val="00E550DF"/>
    <w:rsid w:val="00E553A1"/>
    <w:rsid w:val="00E55A7B"/>
    <w:rsid w:val="00E56B18"/>
    <w:rsid w:val="00E570B5"/>
    <w:rsid w:val="00E570EC"/>
    <w:rsid w:val="00E603B2"/>
    <w:rsid w:val="00E60A0A"/>
    <w:rsid w:val="00E625E9"/>
    <w:rsid w:val="00E62A1C"/>
    <w:rsid w:val="00E62CFF"/>
    <w:rsid w:val="00E62FA5"/>
    <w:rsid w:val="00E63240"/>
    <w:rsid w:val="00E64003"/>
    <w:rsid w:val="00E64446"/>
    <w:rsid w:val="00E64669"/>
    <w:rsid w:val="00E6557C"/>
    <w:rsid w:val="00E655E6"/>
    <w:rsid w:val="00E6786C"/>
    <w:rsid w:val="00E67E3A"/>
    <w:rsid w:val="00E70BAB"/>
    <w:rsid w:val="00E71FC8"/>
    <w:rsid w:val="00E726F6"/>
    <w:rsid w:val="00E72939"/>
    <w:rsid w:val="00E73705"/>
    <w:rsid w:val="00E743BB"/>
    <w:rsid w:val="00E74B30"/>
    <w:rsid w:val="00E74F65"/>
    <w:rsid w:val="00E75486"/>
    <w:rsid w:val="00E75DAC"/>
    <w:rsid w:val="00E76618"/>
    <w:rsid w:val="00E76755"/>
    <w:rsid w:val="00E76B01"/>
    <w:rsid w:val="00E807DF"/>
    <w:rsid w:val="00E80A52"/>
    <w:rsid w:val="00E813C3"/>
    <w:rsid w:val="00E81803"/>
    <w:rsid w:val="00E82274"/>
    <w:rsid w:val="00E8337E"/>
    <w:rsid w:val="00E84536"/>
    <w:rsid w:val="00E84603"/>
    <w:rsid w:val="00E8485F"/>
    <w:rsid w:val="00E85728"/>
    <w:rsid w:val="00E857DB"/>
    <w:rsid w:val="00E85B39"/>
    <w:rsid w:val="00E87431"/>
    <w:rsid w:val="00E90300"/>
    <w:rsid w:val="00E90315"/>
    <w:rsid w:val="00E911D8"/>
    <w:rsid w:val="00E9174A"/>
    <w:rsid w:val="00E91A73"/>
    <w:rsid w:val="00E923CB"/>
    <w:rsid w:val="00E93690"/>
    <w:rsid w:val="00E938F6"/>
    <w:rsid w:val="00E939C2"/>
    <w:rsid w:val="00E94130"/>
    <w:rsid w:val="00E94E72"/>
    <w:rsid w:val="00E95063"/>
    <w:rsid w:val="00E951E4"/>
    <w:rsid w:val="00E9696E"/>
    <w:rsid w:val="00E971D7"/>
    <w:rsid w:val="00E974A3"/>
    <w:rsid w:val="00EA037C"/>
    <w:rsid w:val="00EA039C"/>
    <w:rsid w:val="00EA0574"/>
    <w:rsid w:val="00EA05F6"/>
    <w:rsid w:val="00EA0BD1"/>
    <w:rsid w:val="00EA0C80"/>
    <w:rsid w:val="00EA1422"/>
    <w:rsid w:val="00EA18EE"/>
    <w:rsid w:val="00EA20CA"/>
    <w:rsid w:val="00EA229C"/>
    <w:rsid w:val="00EA2DCA"/>
    <w:rsid w:val="00EA31E0"/>
    <w:rsid w:val="00EA3C4B"/>
    <w:rsid w:val="00EA433C"/>
    <w:rsid w:val="00EA493D"/>
    <w:rsid w:val="00EA5903"/>
    <w:rsid w:val="00EA5F35"/>
    <w:rsid w:val="00EA6134"/>
    <w:rsid w:val="00EA6C7E"/>
    <w:rsid w:val="00EA7A06"/>
    <w:rsid w:val="00EB011D"/>
    <w:rsid w:val="00EB01AE"/>
    <w:rsid w:val="00EB05B6"/>
    <w:rsid w:val="00EB0935"/>
    <w:rsid w:val="00EB257E"/>
    <w:rsid w:val="00EB48D5"/>
    <w:rsid w:val="00EB6108"/>
    <w:rsid w:val="00EB6AB3"/>
    <w:rsid w:val="00EB7442"/>
    <w:rsid w:val="00EB7ABF"/>
    <w:rsid w:val="00EC3391"/>
    <w:rsid w:val="00EC38E4"/>
    <w:rsid w:val="00EC4657"/>
    <w:rsid w:val="00EC65A1"/>
    <w:rsid w:val="00EC7E34"/>
    <w:rsid w:val="00ED11D3"/>
    <w:rsid w:val="00ED1801"/>
    <w:rsid w:val="00ED1C33"/>
    <w:rsid w:val="00ED2A21"/>
    <w:rsid w:val="00ED3BD4"/>
    <w:rsid w:val="00ED3C0E"/>
    <w:rsid w:val="00ED42C1"/>
    <w:rsid w:val="00ED47D8"/>
    <w:rsid w:val="00ED48B0"/>
    <w:rsid w:val="00ED48C0"/>
    <w:rsid w:val="00ED4E67"/>
    <w:rsid w:val="00ED548C"/>
    <w:rsid w:val="00ED5B22"/>
    <w:rsid w:val="00ED5CB8"/>
    <w:rsid w:val="00ED656D"/>
    <w:rsid w:val="00ED67C4"/>
    <w:rsid w:val="00ED6879"/>
    <w:rsid w:val="00ED76B7"/>
    <w:rsid w:val="00ED7A8F"/>
    <w:rsid w:val="00EE0795"/>
    <w:rsid w:val="00EE1146"/>
    <w:rsid w:val="00EE2707"/>
    <w:rsid w:val="00EE522B"/>
    <w:rsid w:val="00EE57F4"/>
    <w:rsid w:val="00EE59FC"/>
    <w:rsid w:val="00EE711C"/>
    <w:rsid w:val="00EE75A5"/>
    <w:rsid w:val="00EF1211"/>
    <w:rsid w:val="00EF176C"/>
    <w:rsid w:val="00EF1D3D"/>
    <w:rsid w:val="00EF3A40"/>
    <w:rsid w:val="00EF4087"/>
    <w:rsid w:val="00EF46A6"/>
    <w:rsid w:val="00EF4C47"/>
    <w:rsid w:val="00EF52F9"/>
    <w:rsid w:val="00EF7170"/>
    <w:rsid w:val="00EF79F0"/>
    <w:rsid w:val="00F00308"/>
    <w:rsid w:val="00F0041A"/>
    <w:rsid w:val="00F006E3"/>
    <w:rsid w:val="00F00776"/>
    <w:rsid w:val="00F00DF8"/>
    <w:rsid w:val="00F014FD"/>
    <w:rsid w:val="00F01563"/>
    <w:rsid w:val="00F01F7B"/>
    <w:rsid w:val="00F01FAE"/>
    <w:rsid w:val="00F028CD"/>
    <w:rsid w:val="00F03246"/>
    <w:rsid w:val="00F0334C"/>
    <w:rsid w:val="00F04796"/>
    <w:rsid w:val="00F05032"/>
    <w:rsid w:val="00F0545A"/>
    <w:rsid w:val="00F059A6"/>
    <w:rsid w:val="00F0713D"/>
    <w:rsid w:val="00F07386"/>
    <w:rsid w:val="00F07D79"/>
    <w:rsid w:val="00F10F54"/>
    <w:rsid w:val="00F113CB"/>
    <w:rsid w:val="00F11729"/>
    <w:rsid w:val="00F1213D"/>
    <w:rsid w:val="00F12EF3"/>
    <w:rsid w:val="00F140EB"/>
    <w:rsid w:val="00F1598F"/>
    <w:rsid w:val="00F16087"/>
    <w:rsid w:val="00F166EE"/>
    <w:rsid w:val="00F20443"/>
    <w:rsid w:val="00F20B54"/>
    <w:rsid w:val="00F21181"/>
    <w:rsid w:val="00F223C6"/>
    <w:rsid w:val="00F22AF6"/>
    <w:rsid w:val="00F23310"/>
    <w:rsid w:val="00F244D4"/>
    <w:rsid w:val="00F25729"/>
    <w:rsid w:val="00F258AC"/>
    <w:rsid w:val="00F259B0"/>
    <w:rsid w:val="00F2625A"/>
    <w:rsid w:val="00F2703D"/>
    <w:rsid w:val="00F30115"/>
    <w:rsid w:val="00F3193F"/>
    <w:rsid w:val="00F319C8"/>
    <w:rsid w:val="00F31EDF"/>
    <w:rsid w:val="00F31EF4"/>
    <w:rsid w:val="00F32BCC"/>
    <w:rsid w:val="00F3478D"/>
    <w:rsid w:val="00F3485E"/>
    <w:rsid w:val="00F34B48"/>
    <w:rsid w:val="00F35938"/>
    <w:rsid w:val="00F35ED9"/>
    <w:rsid w:val="00F363E6"/>
    <w:rsid w:val="00F37D9F"/>
    <w:rsid w:val="00F411BF"/>
    <w:rsid w:val="00F41946"/>
    <w:rsid w:val="00F41A9B"/>
    <w:rsid w:val="00F41BC1"/>
    <w:rsid w:val="00F41C73"/>
    <w:rsid w:val="00F41EB2"/>
    <w:rsid w:val="00F41FAB"/>
    <w:rsid w:val="00F42044"/>
    <w:rsid w:val="00F422B3"/>
    <w:rsid w:val="00F42A2B"/>
    <w:rsid w:val="00F42F0D"/>
    <w:rsid w:val="00F43361"/>
    <w:rsid w:val="00F45CE4"/>
    <w:rsid w:val="00F46AC2"/>
    <w:rsid w:val="00F47BCF"/>
    <w:rsid w:val="00F5060C"/>
    <w:rsid w:val="00F50DBA"/>
    <w:rsid w:val="00F51D5D"/>
    <w:rsid w:val="00F51ED1"/>
    <w:rsid w:val="00F52398"/>
    <w:rsid w:val="00F53485"/>
    <w:rsid w:val="00F53570"/>
    <w:rsid w:val="00F557F6"/>
    <w:rsid w:val="00F55879"/>
    <w:rsid w:val="00F605CE"/>
    <w:rsid w:val="00F60D71"/>
    <w:rsid w:val="00F6189B"/>
    <w:rsid w:val="00F61E1F"/>
    <w:rsid w:val="00F6237A"/>
    <w:rsid w:val="00F625C9"/>
    <w:rsid w:val="00F62E93"/>
    <w:rsid w:val="00F633E1"/>
    <w:rsid w:val="00F64E25"/>
    <w:rsid w:val="00F667BD"/>
    <w:rsid w:val="00F66D01"/>
    <w:rsid w:val="00F67BDB"/>
    <w:rsid w:val="00F702FE"/>
    <w:rsid w:val="00F7074D"/>
    <w:rsid w:val="00F70A30"/>
    <w:rsid w:val="00F713B5"/>
    <w:rsid w:val="00F71973"/>
    <w:rsid w:val="00F71A29"/>
    <w:rsid w:val="00F72744"/>
    <w:rsid w:val="00F72BF3"/>
    <w:rsid w:val="00F734AB"/>
    <w:rsid w:val="00F74B0A"/>
    <w:rsid w:val="00F75F7B"/>
    <w:rsid w:val="00F76251"/>
    <w:rsid w:val="00F7644A"/>
    <w:rsid w:val="00F773CE"/>
    <w:rsid w:val="00F77669"/>
    <w:rsid w:val="00F77AFF"/>
    <w:rsid w:val="00F77FAE"/>
    <w:rsid w:val="00F80035"/>
    <w:rsid w:val="00F804B6"/>
    <w:rsid w:val="00F80532"/>
    <w:rsid w:val="00F8138F"/>
    <w:rsid w:val="00F81565"/>
    <w:rsid w:val="00F82E77"/>
    <w:rsid w:val="00F83A25"/>
    <w:rsid w:val="00F83B8F"/>
    <w:rsid w:val="00F83D17"/>
    <w:rsid w:val="00F83DA5"/>
    <w:rsid w:val="00F840F8"/>
    <w:rsid w:val="00F84C71"/>
    <w:rsid w:val="00F84DC8"/>
    <w:rsid w:val="00F85F30"/>
    <w:rsid w:val="00F86529"/>
    <w:rsid w:val="00F865BC"/>
    <w:rsid w:val="00F865E3"/>
    <w:rsid w:val="00F87386"/>
    <w:rsid w:val="00F8766E"/>
    <w:rsid w:val="00F919DC"/>
    <w:rsid w:val="00F91A4C"/>
    <w:rsid w:val="00F92544"/>
    <w:rsid w:val="00F928B6"/>
    <w:rsid w:val="00F936D1"/>
    <w:rsid w:val="00F938D0"/>
    <w:rsid w:val="00F93D41"/>
    <w:rsid w:val="00F93F06"/>
    <w:rsid w:val="00F9483C"/>
    <w:rsid w:val="00F951A4"/>
    <w:rsid w:val="00F967A9"/>
    <w:rsid w:val="00FA00AE"/>
    <w:rsid w:val="00FA0B44"/>
    <w:rsid w:val="00FA285C"/>
    <w:rsid w:val="00FA2E62"/>
    <w:rsid w:val="00FA4ACA"/>
    <w:rsid w:val="00FA521A"/>
    <w:rsid w:val="00FA52B4"/>
    <w:rsid w:val="00FA54A2"/>
    <w:rsid w:val="00FA730F"/>
    <w:rsid w:val="00FA7A67"/>
    <w:rsid w:val="00FA7FE8"/>
    <w:rsid w:val="00FB0513"/>
    <w:rsid w:val="00FB0FDD"/>
    <w:rsid w:val="00FB119E"/>
    <w:rsid w:val="00FB15A8"/>
    <w:rsid w:val="00FB161E"/>
    <w:rsid w:val="00FB22D3"/>
    <w:rsid w:val="00FB258A"/>
    <w:rsid w:val="00FB26E8"/>
    <w:rsid w:val="00FB2BFF"/>
    <w:rsid w:val="00FB3FD8"/>
    <w:rsid w:val="00FB4CD3"/>
    <w:rsid w:val="00FB5C1D"/>
    <w:rsid w:val="00FB639A"/>
    <w:rsid w:val="00FB6A23"/>
    <w:rsid w:val="00FB6CC8"/>
    <w:rsid w:val="00FB7004"/>
    <w:rsid w:val="00FC01EA"/>
    <w:rsid w:val="00FC028A"/>
    <w:rsid w:val="00FC0429"/>
    <w:rsid w:val="00FC0736"/>
    <w:rsid w:val="00FC0D66"/>
    <w:rsid w:val="00FC0EF3"/>
    <w:rsid w:val="00FC19C2"/>
    <w:rsid w:val="00FC1AA8"/>
    <w:rsid w:val="00FC1E4C"/>
    <w:rsid w:val="00FC2132"/>
    <w:rsid w:val="00FC2313"/>
    <w:rsid w:val="00FC26E2"/>
    <w:rsid w:val="00FC5BD3"/>
    <w:rsid w:val="00FC67D7"/>
    <w:rsid w:val="00FC7E25"/>
    <w:rsid w:val="00FD0C6A"/>
    <w:rsid w:val="00FD0E0B"/>
    <w:rsid w:val="00FD146F"/>
    <w:rsid w:val="00FD160C"/>
    <w:rsid w:val="00FD316C"/>
    <w:rsid w:val="00FD35DB"/>
    <w:rsid w:val="00FD382B"/>
    <w:rsid w:val="00FD3993"/>
    <w:rsid w:val="00FD3AE7"/>
    <w:rsid w:val="00FD3B8B"/>
    <w:rsid w:val="00FD3C37"/>
    <w:rsid w:val="00FD493F"/>
    <w:rsid w:val="00FD527A"/>
    <w:rsid w:val="00FD5592"/>
    <w:rsid w:val="00FD5972"/>
    <w:rsid w:val="00FD614A"/>
    <w:rsid w:val="00FD65A1"/>
    <w:rsid w:val="00FD6DEC"/>
    <w:rsid w:val="00FD7123"/>
    <w:rsid w:val="00FD7639"/>
    <w:rsid w:val="00FE0B6D"/>
    <w:rsid w:val="00FE13DE"/>
    <w:rsid w:val="00FE1FEF"/>
    <w:rsid w:val="00FE28D9"/>
    <w:rsid w:val="00FE430F"/>
    <w:rsid w:val="00FE453C"/>
    <w:rsid w:val="00FE6388"/>
    <w:rsid w:val="00FE6619"/>
    <w:rsid w:val="00FE682E"/>
    <w:rsid w:val="00FE7866"/>
    <w:rsid w:val="00FE7AFE"/>
    <w:rsid w:val="00FF1361"/>
    <w:rsid w:val="00FF199E"/>
    <w:rsid w:val="00FF1BBB"/>
    <w:rsid w:val="00FF2038"/>
    <w:rsid w:val="00FF3F6E"/>
    <w:rsid w:val="00FF4DFB"/>
    <w:rsid w:val="00FF539B"/>
    <w:rsid w:val="00FF552D"/>
    <w:rsid w:val="00FF55AF"/>
    <w:rsid w:val="00FF7A69"/>
    <w:rsid w:val="00FF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1A5B616"/>
  <w15:docId w15:val="{DB919061-DB94-4552-B38C-9C0C5231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E0"/>
    <w:rPr>
      <w:sz w:val="24"/>
    </w:rPr>
  </w:style>
  <w:style w:type="paragraph" w:styleId="Heading1">
    <w:name w:val="heading 1"/>
    <w:basedOn w:val="Normal"/>
    <w:next w:val="Normal"/>
    <w:qFormat/>
    <w:rsid w:val="000E52A1"/>
    <w:pPr>
      <w:keepNext/>
      <w:widowControl w:val="0"/>
      <w:overflowPunct w:val="0"/>
      <w:autoSpaceDE w:val="0"/>
      <w:autoSpaceDN w:val="0"/>
      <w:adjustRightInd w:val="0"/>
      <w:spacing w:before="360"/>
      <w:ind w:left="1440" w:right="1440"/>
      <w:jc w:val="center"/>
      <w:textAlignment w:val="baseline"/>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CE0"/>
    <w:pPr>
      <w:jc w:val="center"/>
    </w:pPr>
    <w:rPr>
      <w:b/>
    </w:rPr>
  </w:style>
  <w:style w:type="paragraph" w:styleId="Footer">
    <w:name w:val="footer"/>
    <w:basedOn w:val="Normal"/>
    <w:link w:val="FooterChar"/>
    <w:uiPriority w:val="99"/>
    <w:rsid w:val="00676CE0"/>
    <w:pPr>
      <w:tabs>
        <w:tab w:val="center" w:pos="4320"/>
        <w:tab w:val="right" w:pos="8640"/>
      </w:tabs>
    </w:pPr>
  </w:style>
  <w:style w:type="character" w:styleId="PageNumber">
    <w:name w:val="page number"/>
    <w:basedOn w:val="DefaultParagraphFont"/>
    <w:uiPriority w:val="99"/>
    <w:rsid w:val="00676CE0"/>
  </w:style>
  <w:style w:type="character" w:styleId="Hyperlink">
    <w:name w:val="Hyperlink"/>
    <w:basedOn w:val="DefaultParagraphFont"/>
    <w:uiPriority w:val="99"/>
    <w:rsid w:val="00676CE0"/>
    <w:rPr>
      <w:color w:val="0000FF"/>
      <w:u w:val="single"/>
    </w:rPr>
  </w:style>
  <w:style w:type="paragraph" w:styleId="Header">
    <w:name w:val="header"/>
    <w:basedOn w:val="Normal"/>
    <w:link w:val="HeaderChar"/>
    <w:uiPriority w:val="99"/>
    <w:rsid w:val="00676CE0"/>
    <w:pPr>
      <w:tabs>
        <w:tab w:val="center" w:pos="4320"/>
        <w:tab w:val="right" w:pos="8640"/>
      </w:tabs>
    </w:pPr>
  </w:style>
  <w:style w:type="paragraph" w:styleId="TOC1">
    <w:name w:val="toc 1"/>
    <w:basedOn w:val="Normal"/>
    <w:next w:val="Normal"/>
    <w:autoRedefine/>
    <w:uiPriority w:val="39"/>
    <w:rsid w:val="00AF6F40"/>
    <w:pPr>
      <w:tabs>
        <w:tab w:val="left" w:pos="720"/>
        <w:tab w:val="right" w:leader="dot" w:pos="9350"/>
      </w:tabs>
      <w:spacing w:before="120" w:after="120"/>
      <w:ind w:left="720" w:right="720" w:hanging="720"/>
    </w:pPr>
    <w:rPr>
      <w:rFonts w:ascii="Calibri" w:hAnsi="Calibri"/>
      <w:b/>
    </w:rPr>
  </w:style>
  <w:style w:type="paragraph" w:customStyle="1" w:styleId="AnswerPar1">
    <w:name w:val="Answer Par1"/>
    <w:rsid w:val="006F48DB"/>
    <w:pPr>
      <w:tabs>
        <w:tab w:val="left" w:pos="720"/>
      </w:tabs>
      <w:overflowPunct w:val="0"/>
      <w:autoSpaceDE w:val="0"/>
      <w:autoSpaceDN w:val="0"/>
      <w:adjustRightInd w:val="0"/>
      <w:spacing w:line="360" w:lineRule="auto"/>
      <w:ind w:left="720" w:hanging="720"/>
      <w:jc w:val="both"/>
      <w:textAlignment w:val="baseline"/>
    </w:pPr>
    <w:rPr>
      <w:sz w:val="24"/>
    </w:rPr>
  </w:style>
  <w:style w:type="paragraph" w:customStyle="1" w:styleId="AnswerPar2">
    <w:name w:val="Answer Par2"/>
    <w:link w:val="AnswerPar2Char"/>
    <w:rsid w:val="006F48DB"/>
    <w:pPr>
      <w:overflowPunct w:val="0"/>
      <w:autoSpaceDE w:val="0"/>
      <w:autoSpaceDN w:val="0"/>
      <w:adjustRightInd w:val="0"/>
      <w:spacing w:line="360" w:lineRule="auto"/>
      <w:ind w:left="720" w:firstLine="288"/>
      <w:jc w:val="both"/>
      <w:textAlignment w:val="baseline"/>
    </w:pPr>
    <w:rPr>
      <w:sz w:val="24"/>
    </w:rPr>
  </w:style>
  <w:style w:type="paragraph" w:styleId="FootnoteText">
    <w:name w:val="footnote text"/>
    <w:basedOn w:val="Normal"/>
    <w:link w:val="FootnoteTextChar"/>
    <w:uiPriority w:val="99"/>
    <w:semiHidden/>
    <w:rsid w:val="00CC1256"/>
    <w:pPr>
      <w:overflowPunct w:val="0"/>
      <w:autoSpaceDE w:val="0"/>
      <w:autoSpaceDN w:val="0"/>
      <w:adjustRightInd w:val="0"/>
      <w:textAlignment w:val="baseline"/>
    </w:pPr>
    <w:rPr>
      <w:rFonts w:ascii="Calibri" w:hAnsi="Calibri"/>
      <w:sz w:val="20"/>
    </w:rPr>
  </w:style>
  <w:style w:type="character" w:styleId="FootnoteReference">
    <w:name w:val="footnote reference"/>
    <w:basedOn w:val="DefaultParagraphFont"/>
    <w:uiPriority w:val="99"/>
    <w:semiHidden/>
    <w:rsid w:val="006F48DB"/>
    <w:rPr>
      <w:sz w:val="20"/>
      <w:vertAlign w:val="superscript"/>
    </w:rPr>
  </w:style>
  <w:style w:type="character" w:customStyle="1" w:styleId="FootnoteTextChar">
    <w:name w:val="Footnote Text Char"/>
    <w:basedOn w:val="DefaultParagraphFont"/>
    <w:link w:val="FootnoteText"/>
    <w:uiPriority w:val="99"/>
    <w:semiHidden/>
    <w:rsid w:val="00CC1256"/>
    <w:rPr>
      <w:rFonts w:ascii="Calibri" w:hAnsi="Calibri"/>
    </w:rPr>
  </w:style>
  <w:style w:type="character" w:customStyle="1" w:styleId="AnswerPar2Char">
    <w:name w:val="Answer Par2 Char"/>
    <w:basedOn w:val="DefaultParagraphFont"/>
    <w:link w:val="AnswerPar2"/>
    <w:rsid w:val="006F48DB"/>
    <w:rPr>
      <w:sz w:val="24"/>
      <w:lang w:val="en-US" w:eastAsia="en-US" w:bidi="ar-SA"/>
    </w:rPr>
  </w:style>
  <w:style w:type="paragraph" w:customStyle="1" w:styleId="QuoteA115X">
    <w:name w:val="Quote A1 1.5X"/>
    <w:basedOn w:val="Normal"/>
    <w:rsid w:val="001262C8"/>
    <w:pPr>
      <w:keepLines/>
      <w:widowControl w:val="0"/>
      <w:overflowPunct w:val="0"/>
      <w:autoSpaceDE w:val="0"/>
      <w:autoSpaceDN w:val="0"/>
      <w:adjustRightInd w:val="0"/>
      <w:spacing w:before="120" w:after="240" w:line="360" w:lineRule="auto"/>
      <w:ind w:left="1440" w:right="288"/>
      <w:jc w:val="both"/>
      <w:textAlignment w:val="baseline"/>
    </w:pPr>
  </w:style>
  <w:style w:type="table" w:styleId="TableGrid">
    <w:name w:val="Table Grid"/>
    <w:basedOn w:val="TableNormal"/>
    <w:rsid w:val="00597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NRRecommendation">
    <w:name w:val="Bullet List NR Recommendation"/>
    <w:rsid w:val="00B5401C"/>
    <w:pPr>
      <w:tabs>
        <w:tab w:val="left" w:pos="1872"/>
      </w:tabs>
      <w:overflowPunct w:val="0"/>
      <w:autoSpaceDE w:val="0"/>
      <w:autoSpaceDN w:val="0"/>
      <w:adjustRightInd w:val="0"/>
      <w:spacing w:line="360" w:lineRule="auto"/>
      <w:ind w:left="1872" w:hanging="432"/>
      <w:jc w:val="both"/>
      <w:textAlignment w:val="baseline"/>
    </w:pPr>
    <w:rPr>
      <w:sz w:val="24"/>
    </w:rPr>
  </w:style>
  <w:style w:type="paragraph" w:customStyle="1" w:styleId="SUB-LISTINGINNUMBEREDLIST">
    <w:name w:val="SUB-LISTING IN NUMBERED LIST"/>
    <w:rsid w:val="000E52A1"/>
    <w:pPr>
      <w:widowControl w:val="0"/>
      <w:tabs>
        <w:tab w:val="left" w:pos="2448"/>
      </w:tabs>
      <w:overflowPunct w:val="0"/>
      <w:autoSpaceDE w:val="0"/>
      <w:autoSpaceDN w:val="0"/>
      <w:adjustRightInd w:val="0"/>
      <w:spacing w:line="480" w:lineRule="exact"/>
      <w:ind w:left="2448" w:hanging="720"/>
      <w:jc w:val="both"/>
      <w:textAlignment w:val="baseline"/>
    </w:pPr>
    <w:rPr>
      <w:sz w:val="24"/>
    </w:rPr>
  </w:style>
  <w:style w:type="paragraph" w:styleId="BalloonText">
    <w:name w:val="Balloon Text"/>
    <w:basedOn w:val="Normal"/>
    <w:link w:val="BalloonTextChar"/>
    <w:rsid w:val="00596E2F"/>
    <w:rPr>
      <w:rFonts w:ascii="Tahoma" w:hAnsi="Tahoma" w:cs="Tahoma"/>
      <w:sz w:val="16"/>
      <w:szCs w:val="16"/>
    </w:rPr>
  </w:style>
  <w:style w:type="character" w:customStyle="1" w:styleId="BalloonTextChar">
    <w:name w:val="Balloon Text Char"/>
    <w:basedOn w:val="DefaultParagraphFont"/>
    <w:link w:val="BalloonText"/>
    <w:rsid w:val="00596E2F"/>
    <w:rPr>
      <w:rFonts w:ascii="Tahoma" w:hAnsi="Tahoma" w:cs="Tahoma"/>
      <w:sz w:val="16"/>
      <w:szCs w:val="16"/>
    </w:rPr>
  </w:style>
  <w:style w:type="paragraph" w:styleId="TOC2">
    <w:name w:val="toc 2"/>
    <w:basedOn w:val="Normal"/>
    <w:next w:val="Normal"/>
    <w:autoRedefine/>
    <w:uiPriority w:val="39"/>
    <w:rsid w:val="00AF6F40"/>
    <w:pPr>
      <w:tabs>
        <w:tab w:val="left" w:pos="1440"/>
        <w:tab w:val="right" w:leader="dot" w:pos="9350"/>
      </w:tabs>
      <w:spacing w:before="120" w:after="120"/>
      <w:ind w:left="1440" w:right="720" w:hanging="720"/>
    </w:pPr>
    <w:rPr>
      <w:rFonts w:ascii="Calibri" w:hAnsi="Calibri"/>
      <w:b/>
    </w:rPr>
  </w:style>
  <w:style w:type="paragraph" w:styleId="TOC3">
    <w:name w:val="toc 3"/>
    <w:basedOn w:val="Normal"/>
    <w:next w:val="Normal"/>
    <w:autoRedefine/>
    <w:uiPriority w:val="39"/>
    <w:rsid w:val="00AF6F40"/>
    <w:pPr>
      <w:tabs>
        <w:tab w:val="left" w:pos="2160"/>
        <w:tab w:val="right" w:leader="dot" w:pos="9350"/>
      </w:tabs>
      <w:spacing w:before="120" w:after="120"/>
      <w:ind w:left="2160" w:right="720" w:hanging="720"/>
    </w:pPr>
    <w:rPr>
      <w:rFonts w:ascii="Calibri" w:hAnsi="Calibri"/>
      <w:b/>
    </w:rPr>
  </w:style>
  <w:style w:type="paragraph" w:styleId="TOC4">
    <w:name w:val="toc 4"/>
    <w:basedOn w:val="Normal"/>
    <w:next w:val="Normal"/>
    <w:autoRedefine/>
    <w:uiPriority w:val="39"/>
    <w:rsid w:val="009715DF"/>
    <w:pPr>
      <w:tabs>
        <w:tab w:val="left" w:pos="2880"/>
        <w:tab w:val="right" w:leader="dot" w:pos="9350"/>
      </w:tabs>
      <w:spacing w:before="120" w:after="120"/>
      <w:ind w:left="2880" w:right="720" w:hanging="720"/>
    </w:pPr>
    <w:rPr>
      <w:rFonts w:ascii="Calibri" w:hAnsi="Calibri"/>
      <w:b/>
    </w:rPr>
  </w:style>
  <w:style w:type="paragraph" w:styleId="TOC5">
    <w:name w:val="toc 5"/>
    <w:basedOn w:val="Normal"/>
    <w:next w:val="Normal"/>
    <w:autoRedefine/>
    <w:uiPriority w:val="39"/>
    <w:rsid w:val="007849ED"/>
    <w:pPr>
      <w:tabs>
        <w:tab w:val="left" w:pos="3600"/>
        <w:tab w:val="right" w:leader="dot" w:pos="9350"/>
      </w:tabs>
      <w:spacing w:before="120" w:after="120"/>
      <w:ind w:left="3600" w:right="720" w:hanging="720"/>
    </w:pPr>
    <w:rPr>
      <w:rFonts w:asciiTheme="minorHAnsi" w:hAnsiTheme="minorHAnsi"/>
      <w:b/>
    </w:rPr>
  </w:style>
  <w:style w:type="character" w:styleId="Emphasis">
    <w:name w:val="Emphasis"/>
    <w:basedOn w:val="DefaultParagraphFont"/>
    <w:qFormat/>
    <w:rsid w:val="000848AE"/>
    <w:rPr>
      <w:i/>
      <w:iCs/>
    </w:rPr>
  </w:style>
  <w:style w:type="paragraph" w:styleId="ListParagraph">
    <w:name w:val="List Paragraph"/>
    <w:basedOn w:val="Normal"/>
    <w:uiPriority w:val="34"/>
    <w:qFormat/>
    <w:rsid w:val="005C22E3"/>
    <w:pPr>
      <w:ind w:left="720"/>
    </w:pPr>
  </w:style>
  <w:style w:type="paragraph" w:styleId="NormalWeb">
    <w:name w:val="Normal (Web)"/>
    <w:basedOn w:val="Normal"/>
    <w:uiPriority w:val="99"/>
    <w:unhideWhenUsed/>
    <w:rsid w:val="000B0D33"/>
    <w:pPr>
      <w:spacing w:before="100" w:beforeAutospacing="1" w:after="100" w:afterAutospacing="1"/>
    </w:pPr>
    <w:rPr>
      <w:szCs w:val="24"/>
    </w:rPr>
  </w:style>
  <w:style w:type="paragraph" w:styleId="EndnoteText">
    <w:name w:val="endnote text"/>
    <w:basedOn w:val="Normal"/>
    <w:link w:val="EndnoteTextChar"/>
    <w:rsid w:val="0022740A"/>
    <w:rPr>
      <w:sz w:val="20"/>
    </w:rPr>
  </w:style>
  <w:style w:type="character" w:customStyle="1" w:styleId="EndnoteTextChar">
    <w:name w:val="Endnote Text Char"/>
    <w:basedOn w:val="DefaultParagraphFont"/>
    <w:link w:val="EndnoteText"/>
    <w:rsid w:val="0022740A"/>
  </w:style>
  <w:style w:type="character" w:styleId="EndnoteReference">
    <w:name w:val="endnote reference"/>
    <w:basedOn w:val="DefaultParagraphFont"/>
    <w:rsid w:val="0022740A"/>
    <w:rPr>
      <w:vertAlign w:val="superscript"/>
    </w:rPr>
  </w:style>
  <w:style w:type="character" w:styleId="IntenseEmphasis">
    <w:name w:val="Intense Emphasis"/>
    <w:basedOn w:val="DefaultParagraphFont"/>
    <w:uiPriority w:val="21"/>
    <w:qFormat/>
    <w:rsid w:val="005C0290"/>
    <w:rPr>
      <w:b/>
      <w:bCs/>
      <w:i/>
      <w:iCs/>
      <w:color w:val="4F81BD" w:themeColor="accent1"/>
    </w:rPr>
  </w:style>
  <w:style w:type="character" w:styleId="SubtleEmphasis">
    <w:name w:val="Subtle Emphasis"/>
    <w:basedOn w:val="DefaultParagraphFont"/>
    <w:uiPriority w:val="19"/>
    <w:qFormat/>
    <w:rsid w:val="005C0290"/>
    <w:rPr>
      <w:i/>
      <w:iCs/>
      <w:color w:val="808080" w:themeColor="text1" w:themeTint="7F"/>
    </w:rPr>
  </w:style>
  <w:style w:type="character" w:styleId="CommentReference">
    <w:name w:val="annotation reference"/>
    <w:basedOn w:val="DefaultParagraphFont"/>
    <w:uiPriority w:val="99"/>
    <w:rsid w:val="002614D0"/>
    <w:rPr>
      <w:sz w:val="16"/>
      <w:szCs w:val="16"/>
    </w:rPr>
  </w:style>
  <w:style w:type="paragraph" w:styleId="CommentText">
    <w:name w:val="annotation text"/>
    <w:basedOn w:val="Normal"/>
    <w:link w:val="CommentTextChar"/>
    <w:uiPriority w:val="99"/>
    <w:rsid w:val="002614D0"/>
    <w:rPr>
      <w:sz w:val="20"/>
    </w:rPr>
  </w:style>
  <w:style w:type="character" w:customStyle="1" w:styleId="CommentTextChar">
    <w:name w:val="Comment Text Char"/>
    <w:basedOn w:val="DefaultParagraphFont"/>
    <w:link w:val="CommentText"/>
    <w:uiPriority w:val="99"/>
    <w:rsid w:val="002614D0"/>
  </w:style>
  <w:style w:type="paragraph" w:styleId="CommentSubject">
    <w:name w:val="annotation subject"/>
    <w:basedOn w:val="CommentText"/>
    <w:next w:val="CommentText"/>
    <w:link w:val="CommentSubjectChar"/>
    <w:rsid w:val="002614D0"/>
    <w:rPr>
      <w:b/>
      <w:bCs/>
    </w:rPr>
  </w:style>
  <w:style w:type="character" w:customStyle="1" w:styleId="CommentSubjectChar">
    <w:name w:val="Comment Subject Char"/>
    <w:basedOn w:val="CommentTextChar"/>
    <w:link w:val="CommentSubject"/>
    <w:rsid w:val="002614D0"/>
    <w:rPr>
      <w:b/>
      <w:bCs/>
    </w:rPr>
  </w:style>
  <w:style w:type="paragraph" w:styleId="Revision">
    <w:name w:val="Revision"/>
    <w:hidden/>
    <w:uiPriority w:val="99"/>
    <w:semiHidden/>
    <w:rsid w:val="002614D0"/>
    <w:rPr>
      <w:sz w:val="24"/>
    </w:rPr>
  </w:style>
  <w:style w:type="character" w:styleId="Strong">
    <w:name w:val="Strong"/>
    <w:basedOn w:val="DefaultParagraphFont"/>
    <w:qFormat/>
    <w:rsid w:val="00264401"/>
    <w:rPr>
      <w:b/>
      <w:bCs/>
    </w:rPr>
  </w:style>
  <w:style w:type="character" w:customStyle="1" w:styleId="FooterChar">
    <w:name w:val="Footer Char"/>
    <w:basedOn w:val="DefaultParagraphFont"/>
    <w:link w:val="Footer"/>
    <w:uiPriority w:val="99"/>
    <w:rsid w:val="00BA3726"/>
    <w:rPr>
      <w:sz w:val="24"/>
    </w:rPr>
  </w:style>
  <w:style w:type="paragraph" w:styleId="BodyTextIndent">
    <w:name w:val="Body Text Indent"/>
    <w:basedOn w:val="Normal"/>
    <w:link w:val="BodyTextIndentChar"/>
    <w:rsid w:val="00BA3726"/>
    <w:pPr>
      <w:spacing w:before="240"/>
      <w:ind w:left="5040"/>
    </w:pPr>
    <w:rPr>
      <w:szCs w:val="24"/>
    </w:rPr>
  </w:style>
  <w:style w:type="character" w:customStyle="1" w:styleId="BodyTextIndentChar">
    <w:name w:val="Body Text Indent Char"/>
    <w:basedOn w:val="DefaultParagraphFont"/>
    <w:link w:val="BodyTextIndent"/>
    <w:rsid w:val="00BA3726"/>
    <w:rPr>
      <w:sz w:val="24"/>
      <w:szCs w:val="24"/>
    </w:rPr>
  </w:style>
  <w:style w:type="character" w:customStyle="1" w:styleId="HeaderChar">
    <w:name w:val="Header Char"/>
    <w:basedOn w:val="DefaultParagraphFont"/>
    <w:link w:val="Header"/>
    <w:uiPriority w:val="99"/>
    <w:rsid w:val="001A5E58"/>
    <w:rPr>
      <w:sz w:val="24"/>
    </w:rPr>
  </w:style>
  <w:style w:type="character" w:styleId="UnresolvedMention">
    <w:name w:val="Unresolved Mention"/>
    <w:basedOn w:val="DefaultParagraphFont"/>
    <w:uiPriority w:val="99"/>
    <w:semiHidden/>
    <w:unhideWhenUsed/>
    <w:rsid w:val="003D2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jsettineri@vorys.com" TargetMode="External"/><Relationship Id="rId21" Type="http://schemas.openxmlformats.org/officeDocument/2006/relationships/hyperlink" Target="mailto:dromig@nationwideenergypartners.com" TargetMode="External"/><Relationship Id="rId42" Type="http://schemas.openxmlformats.org/officeDocument/2006/relationships/hyperlink" Target="mailto:mbarbara@calfee.com" TargetMode="External"/><Relationship Id="rId47" Type="http://schemas.openxmlformats.org/officeDocument/2006/relationships/hyperlink" Target="mailto:trhayslaw@gmail.com" TargetMode="External"/><Relationship Id="rId63" Type="http://schemas.openxmlformats.org/officeDocument/2006/relationships/hyperlink" Target="mailto:rmains@brickergraydon.com" TargetMode="External"/><Relationship Id="rId68" Type="http://schemas.openxmlformats.org/officeDocument/2006/relationships/hyperlink" Target="mailto:little@litohio.com" TargetMode="External"/><Relationship Id="rId84" Type="http://schemas.openxmlformats.org/officeDocument/2006/relationships/hyperlink" Target="mailto:jacqueline.st.john@puco.ohio.gov" TargetMode="External"/><Relationship Id="rId16" Type="http://schemas.openxmlformats.org/officeDocument/2006/relationships/hyperlink" Target="mailto:bknipe@firstenergycorp.com" TargetMode="External"/><Relationship Id="rId11" Type="http://schemas.openxmlformats.org/officeDocument/2006/relationships/footer" Target="footer1.xml"/><Relationship Id="rId32" Type="http://schemas.openxmlformats.org/officeDocument/2006/relationships/hyperlink" Target="mailto:cpirik@dickinsonwright.com" TargetMode="External"/><Relationship Id="rId37" Type="http://schemas.openxmlformats.org/officeDocument/2006/relationships/hyperlink" Target="mailto:NWallace@elpc.org" TargetMode="External"/><Relationship Id="rId53" Type="http://schemas.openxmlformats.org/officeDocument/2006/relationships/hyperlink" Target="mailto:thomas.zuehlke@occ.ohio.gov" TargetMode="External"/><Relationship Id="rId58" Type="http://schemas.openxmlformats.org/officeDocument/2006/relationships/hyperlink" Target="mailto:eprouty@bakerlaw.com" TargetMode="External"/><Relationship Id="rId74" Type="http://schemas.openxmlformats.org/officeDocument/2006/relationships/hyperlink" Target="mailto:tlong@mcneeslaw.com" TargetMode="External"/><Relationship Id="rId79" Type="http://schemas.openxmlformats.org/officeDocument/2006/relationships/hyperlink" Target="mailto:slee@spilmanlaw.com" TargetMode="External"/><Relationship Id="rId5" Type="http://schemas.openxmlformats.org/officeDocument/2006/relationships/webSettings" Target="webSettings.xml"/><Relationship Id="rId19" Type="http://schemas.openxmlformats.org/officeDocument/2006/relationships/hyperlink" Target="mailto:mkeaney@beneschlaw.com" TargetMode="External"/><Relationship Id="rId14" Type="http://schemas.openxmlformats.org/officeDocument/2006/relationships/footer" Target="footer3.xml"/><Relationship Id="rId22" Type="http://schemas.openxmlformats.org/officeDocument/2006/relationships/hyperlink" Target="mailto:brian.gibbs@nationwideenergypartners.com" TargetMode="External"/><Relationship Id="rId27" Type="http://schemas.openxmlformats.org/officeDocument/2006/relationships/hyperlink" Target="mailto:glpetrucci@vorys.com" TargetMode="External"/><Relationship Id="rId30" Type="http://schemas.openxmlformats.org/officeDocument/2006/relationships/hyperlink" Target="mailto:jesse.rodriguez@constellation.com" TargetMode="External"/><Relationship Id="rId35" Type="http://schemas.openxmlformats.org/officeDocument/2006/relationships/hyperlink" Target="mailto:emcconnell@elpc.org" TargetMode="External"/><Relationship Id="rId43" Type="http://schemas.openxmlformats.org/officeDocument/2006/relationships/hyperlink" Target="mailto:Paul@carpenterlipps.com" TargetMode="External"/><Relationship Id="rId48" Type="http://schemas.openxmlformats.org/officeDocument/2006/relationships/hyperlink" Target="mailto:leslie.kovacik@toledo.oh.gov" TargetMode="External"/><Relationship Id="rId56" Type="http://schemas.openxmlformats.org/officeDocument/2006/relationships/hyperlink" Target="mailto:dproano@bakerlaw.com" TargetMode="External"/><Relationship Id="rId64" Type="http://schemas.openxmlformats.org/officeDocument/2006/relationships/hyperlink" Target="mailto:bojko@carpenterlipps.com" TargetMode="External"/><Relationship Id="rId69" Type="http://schemas.openxmlformats.org/officeDocument/2006/relationships/hyperlink" Target="mailto:hogan@litohio.com" TargetMode="External"/><Relationship Id="rId77" Type="http://schemas.openxmlformats.org/officeDocument/2006/relationships/hyperlink" Target="mailto:cgrundmann@spilmanlaw.com" TargetMode="External"/><Relationship Id="rId8" Type="http://schemas.openxmlformats.org/officeDocument/2006/relationships/hyperlink" Target="mailto:mkl@smxblaw.com" TargetMode="External"/><Relationship Id="rId51" Type="http://schemas.openxmlformats.org/officeDocument/2006/relationships/hyperlink" Target="mailto:william.michael@occ.ohio.gov" TargetMode="External"/><Relationship Id="rId72" Type="http://schemas.openxmlformats.org/officeDocument/2006/relationships/hyperlink" Target="mailto:mpritchard@mcneeslaw.com" TargetMode="External"/><Relationship Id="rId80" Type="http://schemas.openxmlformats.org/officeDocument/2006/relationships/hyperlink" Target="mailto:Alex.Kronauer@walmart.com" TargetMode="External"/><Relationship Id="rId85"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cwatchorn@firstenergycorp.com" TargetMode="External"/><Relationship Id="rId25" Type="http://schemas.openxmlformats.org/officeDocument/2006/relationships/hyperlink" Target="mailto:trent@hubaydougherty.com" TargetMode="External"/><Relationship Id="rId33" Type="http://schemas.openxmlformats.org/officeDocument/2006/relationships/hyperlink" Target="mailto:todonnell@dickinsonwright.com" TargetMode="External"/><Relationship Id="rId38" Type="http://schemas.openxmlformats.org/officeDocument/2006/relationships/hyperlink" Target="mailto:Stacie.Cathcart@igs.com" TargetMode="External"/><Relationship Id="rId46" Type="http://schemas.openxmlformats.org/officeDocument/2006/relationships/hyperlink" Target="mailto:gkrassen@nopec.org" TargetMode="External"/><Relationship Id="rId59" Type="http://schemas.openxmlformats.org/officeDocument/2006/relationships/hyperlink" Target="mailto:pwillison@bakerlaw.com" TargetMode="External"/><Relationship Id="rId67" Type="http://schemas.openxmlformats.org/officeDocument/2006/relationships/hyperlink" Target="mailto:nbobb@keglerbrown.com" TargetMode="External"/><Relationship Id="rId20" Type="http://schemas.openxmlformats.org/officeDocument/2006/relationships/hyperlink" Target="mailto:khehmeyer@beneschlaw.com" TargetMode="External"/><Relationship Id="rId41" Type="http://schemas.openxmlformats.org/officeDocument/2006/relationships/hyperlink" Target="mailto:jlang@calfee.com" TargetMode="External"/><Relationship Id="rId54" Type="http://schemas.openxmlformats.org/officeDocument/2006/relationships/hyperlink" Target="mailto:mkurtz@BKLlawfirm.com" TargetMode="External"/><Relationship Id="rId62" Type="http://schemas.openxmlformats.org/officeDocument/2006/relationships/hyperlink" Target="mailto:dparram@brickergraydon.com" TargetMode="External"/><Relationship Id="rId70" Type="http://schemas.openxmlformats.org/officeDocument/2006/relationships/hyperlink" Target="mailto:ktreadway@oneenergyllc.com" TargetMode="External"/><Relationship Id="rId75" Type="http://schemas.openxmlformats.org/officeDocument/2006/relationships/hyperlink" Target="mailto:eowoyt@vorys.com" TargetMode="External"/><Relationship Id="rId83" Type="http://schemas.openxmlformats.org/officeDocument/2006/relationships/hyperlink" Target="mailto:greg.price@puco.ohio.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whitt@whitt-sturtevant.com" TargetMode="External"/><Relationship Id="rId28" Type="http://schemas.openxmlformats.org/officeDocument/2006/relationships/hyperlink" Target="mailto:aasanyal@vorys.com" TargetMode="External"/><Relationship Id="rId36" Type="http://schemas.openxmlformats.org/officeDocument/2006/relationships/hyperlink" Target="mailto:RKelter@elpc.org" TargetMode="External"/><Relationship Id="rId49" Type="http://schemas.openxmlformats.org/officeDocument/2006/relationships/hyperlink" Target="mailto:john.finnigan@occ.ohio.gov" TargetMode="External"/><Relationship Id="rId57" Type="http://schemas.openxmlformats.org/officeDocument/2006/relationships/hyperlink" Target="mailto:ahaque@bakerlaw.com" TargetMode="External"/><Relationship Id="rId10" Type="http://schemas.openxmlformats.org/officeDocument/2006/relationships/header" Target="header1.xml"/><Relationship Id="rId31" Type="http://schemas.openxmlformats.org/officeDocument/2006/relationships/hyperlink" Target="mailto:mark.hayden@constellation.com" TargetMode="External"/><Relationship Id="rId44" Type="http://schemas.openxmlformats.org/officeDocument/2006/relationships/hyperlink" Target="mailto:cadieux@carpenterlipps.com" TargetMode="External"/><Relationship Id="rId52" Type="http://schemas.openxmlformats.org/officeDocument/2006/relationships/hyperlink" Target="mailto:alex.hickey@occ.ohio.gov" TargetMode="External"/><Relationship Id="rId60" Type="http://schemas.openxmlformats.org/officeDocument/2006/relationships/hyperlink" Target="mailto:knordstrom@theOEC.org" TargetMode="External"/><Relationship Id="rId65" Type="http://schemas.openxmlformats.org/officeDocument/2006/relationships/hyperlink" Target="mailto:easley@carpenterlipps.com" TargetMode="External"/><Relationship Id="rId73" Type="http://schemas.openxmlformats.org/officeDocument/2006/relationships/hyperlink" Target="mailto:awalke@mcneeslaw.com" TargetMode="External"/><Relationship Id="rId78" Type="http://schemas.openxmlformats.org/officeDocument/2006/relationships/hyperlink" Target="mailto:dwilliamson@spilmanlaw.com" TargetMode="External"/><Relationship Id="rId81" Type="http://schemas.openxmlformats.org/officeDocument/2006/relationships/hyperlink" Target="mailto:junger@spilmanlaw.com"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b@smxblaw.com" TargetMode="External"/><Relationship Id="rId13" Type="http://schemas.openxmlformats.org/officeDocument/2006/relationships/header" Target="header2.xml"/><Relationship Id="rId18" Type="http://schemas.openxmlformats.org/officeDocument/2006/relationships/hyperlink" Target="mailto:talexander@beneschlaw.com" TargetMode="External"/><Relationship Id="rId39" Type="http://schemas.openxmlformats.org/officeDocument/2006/relationships/hyperlink" Target="mailto:michael.nugent@igs.com" TargetMode="External"/><Relationship Id="rId34" Type="http://schemas.openxmlformats.org/officeDocument/2006/relationships/hyperlink" Target="mailto:kshimp@dickinsonwright.com" TargetMode="External"/><Relationship Id="rId50" Type="http://schemas.openxmlformats.org/officeDocument/2006/relationships/hyperlink" Target="mailto:robert.eubanks@occ.ohio.gov" TargetMode="External"/><Relationship Id="rId55" Type="http://schemas.openxmlformats.org/officeDocument/2006/relationships/hyperlink" Target="mailto:jkylercohn@BKLlawfirm.com" TargetMode="External"/><Relationship Id="rId76" Type="http://schemas.openxmlformats.org/officeDocument/2006/relationships/hyperlink" Target="mailto:todd.schafer@outlook.com" TargetMode="External"/><Relationship Id="rId7" Type="http://schemas.openxmlformats.org/officeDocument/2006/relationships/endnotes" Target="endnotes.xml"/><Relationship Id="rId71" Type="http://schemas.openxmlformats.org/officeDocument/2006/relationships/hyperlink" Target="mailto:jdunn@oneenergyllc.com" TargetMode="External"/><Relationship Id="rId2" Type="http://schemas.openxmlformats.org/officeDocument/2006/relationships/numbering" Target="numbering.xml"/><Relationship Id="rId29" Type="http://schemas.openxmlformats.org/officeDocument/2006/relationships/hyperlink" Target="mailto:cynthia.brady@constellation.com" TargetMode="External"/><Relationship Id="rId24" Type="http://schemas.openxmlformats.org/officeDocument/2006/relationships/hyperlink" Target="mailto:josephmeissner@yahoo.com" TargetMode="External"/><Relationship Id="rId40" Type="http://schemas.openxmlformats.org/officeDocument/2006/relationships/hyperlink" Target="mailto:Joe.Oliker@igs.com" TargetMode="External"/><Relationship Id="rId45" Type="http://schemas.openxmlformats.org/officeDocument/2006/relationships/hyperlink" Target="mailto:dstinson@brickergraydon.com" TargetMode="External"/><Relationship Id="rId66" Type="http://schemas.openxmlformats.org/officeDocument/2006/relationships/hyperlink" Target="mailto:rdove@keglerbrown.com" TargetMode="External"/><Relationship Id="rId87" Type="http://schemas.openxmlformats.org/officeDocument/2006/relationships/theme" Target="theme/theme1.xml"/><Relationship Id="rId61" Type="http://schemas.openxmlformats.org/officeDocument/2006/relationships/hyperlink" Target="mailto:ctavenor@theOEC.org" TargetMode="External"/><Relationship Id="rId82" Type="http://schemas.openxmlformats.org/officeDocument/2006/relationships/hyperlink" Target="mailto:megan.addison@puco.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4CE2-2F4B-4286-B1CA-4BCB3BDD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8908</Words>
  <Characters>57555</Characters>
  <Application>Microsoft Office Word</Application>
  <DocSecurity>0</DocSecurity>
  <Lines>479</Lines>
  <Paragraphs>132</Paragraphs>
  <ScaleCrop>false</ScaleCrop>
  <HeadingPairs>
    <vt:vector size="2" baseType="variant">
      <vt:variant>
        <vt:lpstr>Title</vt:lpstr>
      </vt:variant>
      <vt:variant>
        <vt:i4>1</vt:i4>
      </vt:variant>
    </vt:vector>
  </HeadingPairs>
  <TitlesOfParts>
    <vt:vector size="1" baseType="lpstr">
      <vt:lpstr>BEFORE</vt:lpstr>
    </vt:vector>
  </TitlesOfParts>
  <Company>Wilkinson Barker &amp; Knauer</Company>
  <LinksUpToDate>false</LinksUpToDate>
  <CharactersWithSpaces>66331</CharactersWithSpaces>
  <SharedDoc>false</SharedDoc>
  <HLinks>
    <vt:vector size="24" baseType="variant">
      <vt:variant>
        <vt:i4>7536730</vt:i4>
      </vt:variant>
      <vt:variant>
        <vt:i4>63</vt:i4>
      </vt:variant>
      <vt:variant>
        <vt:i4>0</vt:i4>
      </vt:variant>
      <vt:variant>
        <vt:i4>5</vt:i4>
      </vt:variant>
      <vt:variant>
        <vt:lpwstr>mailto:gas@bbrslaw.com</vt:lpwstr>
      </vt:variant>
      <vt:variant>
        <vt:lpwstr/>
      </vt:variant>
      <vt:variant>
        <vt:i4>6684752</vt:i4>
      </vt:variant>
      <vt:variant>
        <vt:i4>60</vt:i4>
      </vt:variant>
      <vt:variant>
        <vt:i4>0</vt:i4>
      </vt:variant>
      <vt:variant>
        <vt:i4>5</vt:i4>
      </vt:variant>
      <vt:variant>
        <vt:lpwstr>mailto:mkl@bbrslaw.com</vt:lpwstr>
      </vt:variant>
      <vt:variant>
        <vt:lpwstr/>
      </vt:variant>
      <vt:variant>
        <vt:i4>7536730</vt:i4>
      </vt:variant>
      <vt:variant>
        <vt:i4>3</vt:i4>
      </vt:variant>
      <vt:variant>
        <vt:i4>0</vt:i4>
      </vt:variant>
      <vt:variant>
        <vt:i4>5</vt:i4>
      </vt:variant>
      <vt:variant>
        <vt:lpwstr>mailto:gas@bbrslaw.com</vt:lpwstr>
      </vt:variant>
      <vt:variant>
        <vt:lpwstr/>
      </vt:variant>
      <vt:variant>
        <vt:i4>6684752</vt:i4>
      </vt:variant>
      <vt:variant>
        <vt:i4>0</vt:i4>
      </vt:variant>
      <vt:variant>
        <vt:i4>0</vt:i4>
      </vt:variant>
      <vt:variant>
        <vt:i4>5</vt:i4>
      </vt:variant>
      <vt:variant>
        <vt:lpwstr>mailto:mkl@bbrslaw.com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Mike Lavanga</dc:creator>
  <cp:lastModifiedBy>Chris A</cp:lastModifiedBy>
  <cp:revision>14</cp:revision>
  <cp:lastPrinted>2024-01-17T21:08:00Z</cp:lastPrinted>
  <dcterms:created xsi:type="dcterms:W3CDTF">2024-01-19T17:18:00Z</dcterms:created>
  <dcterms:modified xsi:type="dcterms:W3CDTF">2024-01-19T17:34:00Z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gFAAXJDLFUo5N7tRhvSJ0mfoJLY2n2s1+YFQ9o8dSDqneKSXwBLcf8ERQgOw4aJO692S7f5oIkkT64B0
wFTGrxZ2mETdBwMzvT9DwHe9pCeJvrGAtW/3pX3z+K/N9LM4viMtVs/OMQtCIbF0wFTGrxZ2mETd
BwMzvT9DwHe9pCeJvrGAtW/3pX3z+PNgz5+EL9E8xhkJ9olBn05O6W1Vr0wJfQNyR46ljrwZ32Z0
vMj+Rz4ZDWatieAhf</vt:lpwstr>
  </property>
  <property fmtid="{D5CDD505-2E9C-101B-9397-08002B2CF9AE}" pid="3" name="MAIL_MSG_ID2">
    <vt:lpwstr>M4ihfK5JE6QIroUlkLBPQLjTQDkwU9iUC3j0jGtXWYAUSM2GCq9sGbNOJdu
z2c3QkD9bOPcmC7QeGcXaPNUANDdnW2Z7yvLNw==</vt:lpwstr>
  </property>
  <property fmtid="{D5CDD505-2E9C-101B-9397-08002B2CF9AE}" pid="4" name="RESPONSE_SENDER_NAME">
    <vt:lpwstr>sAAAE34RQVAK31nwNtqUVWPs3rhDvcsBr1nQF/AwBCPUwcw=</vt:lpwstr>
  </property>
  <property fmtid="{D5CDD505-2E9C-101B-9397-08002B2CF9AE}" pid="5" name="EMAIL_OWNER_ADDRESS">
    <vt:lpwstr>4AAA6DouqOs9baHywr09OXht198AsmectTi8d7KDpX3hNRVE3UljaFw0Zg==</vt:lpwstr>
  </property>
</Properties>
</file>