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0167" w14:textId="77777777" w:rsidR="00222345" w:rsidRPr="000D5558" w:rsidRDefault="00222345" w:rsidP="0015109D">
      <w:pPr>
        <w:pStyle w:val="Title"/>
        <w:outlineLvl w:val="0"/>
      </w:pPr>
      <w:r w:rsidRPr="000D5558">
        <w:t>BEFORE</w:t>
      </w:r>
    </w:p>
    <w:p w14:paraId="6793D3D0" w14:textId="77777777" w:rsidR="00222345" w:rsidRPr="000D5558" w:rsidRDefault="00222345" w:rsidP="0015109D">
      <w:pPr>
        <w:pStyle w:val="Subtitle"/>
      </w:pPr>
      <w:r w:rsidRPr="000D5558">
        <w:t>THE PUBLIC UTILITIES COMMISSION OF OHIO</w:t>
      </w:r>
    </w:p>
    <w:p w14:paraId="2D31B518" w14:textId="77777777" w:rsidR="00222345" w:rsidRPr="000D5558" w:rsidRDefault="00222345" w:rsidP="0015109D">
      <w:pPr>
        <w:rPr>
          <w:rFonts w:ascii="Arial" w:hAnsi="Arial" w:cs="Arial"/>
        </w:rPr>
      </w:pPr>
    </w:p>
    <w:p w14:paraId="66FD2E16" w14:textId="77777777" w:rsidR="00222345" w:rsidRPr="000D5558" w:rsidRDefault="00222345" w:rsidP="00D51245">
      <w:pPr>
        <w:rPr>
          <w:rFonts w:ascii="Arial" w:hAnsi="Arial" w:cs="Arial"/>
        </w:rPr>
      </w:pPr>
    </w:p>
    <w:p w14:paraId="19DDF011" w14:textId="77777777" w:rsidR="00222345" w:rsidRDefault="00222345" w:rsidP="00D51245">
      <w:pPr>
        <w:tabs>
          <w:tab w:val="left" w:pos="4320"/>
        </w:tabs>
        <w:rPr>
          <w:rFonts w:ascii="Arial" w:hAnsi="Arial" w:cs="Arial"/>
        </w:rPr>
      </w:pPr>
      <w:r>
        <w:rPr>
          <w:rFonts w:ascii="Arial" w:hAnsi="Arial" w:cs="Arial"/>
        </w:rPr>
        <w:t xml:space="preserve">In the Matter of the Application of Duke </w:t>
      </w:r>
      <w:r>
        <w:rPr>
          <w:rFonts w:ascii="Arial" w:hAnsi="Arial" w:cs="Arial"/>
        </w:rPr>
        <w:tab/>
        <w:t>)</w:t>
      </w:r>
    </w:p>
    <w:p w14:paraId="724F6921" w14:textId="77777777" w:rsidR="00222345" w:rsidRPr="000D5558" w:rsidRDefault="00222345" w:rsidP="00D51245">
      <w:pPr>
        <w:tabs>
          <w:tab w:val="left" w:pos="4320"/>
        </w:tabs>
        <w:rPr>
          <w:rFonts w:ascii="Arial" w:hAnsi="Arial" w:cs="Arial"/>
        </w:rPr>
      </w:pPr>
      <w:r>
        <w:rPr>
          <w:rFonts w:ascii="Arial" w:hAnsi="Arial" w:cs="Arial"/>
        </w:rPr>
        <w:t xml:space="preserve">Energy Ohio, Inc. for Approval to  </w:t>
      </w:r>
      <w:r>
        <w:rPr>
          <w:rFonts w:ascii="Arial" w:hAnsi="Arial" w:cs="Arial"/>
        </w:rPr>
        <w:tab/>
      </w:r>
      <w:r w:rsidRPr="000D5558">
        <w:rPr>
          <w:rFonts w:ascii="Arial" w:hAnsi="Arial" w:cs="Arial"/>
        </w:rPr>
        <w:t>)</w:t>
      </w:r>
    </w:p>
    <w:p w14:paraId="6B811697" w14:textId="77777777" w:rsidR="00222345" w:rsidRDefault="00222345" w:rsidP="00D51245">
      <w:pPr>
        <w:tabs>
          <w:tab w:val="left" w:pos="4320"/>
        </w:tabs>
        <w:ind w:right="-360"/>
        <w:rPr>
          <w:rFonts w:ascii="Arial" w:hAnsi="Arial" w:cs="Arial"/>
        </w:rPr>
      </w:pPr>
      <w:r>
        <w:rPr>
          <w:rFonts w:ascii="Arial" w:hAnsi="Arial" w:cs="Arial"/>
        </w:rPr>
        <w:t>Continue Cost Recovery Mechanism</w:t>
      </w:r>
      <w:r>
        <w:rPr>
          <w:rFonts w:ascii="Arial" w:hAnsi="Arial" w:cs="Arial"/>
        </w:rPr>
        <w:tab/>
        <w:t>)</w:t>
      </w:r>
      <w:r>
        <w:rPr>
          <w:rFonts w:ascii="Arial" w:hAnsi="Arial" w:cs="Arial"/>
        </w:rPr>
        <w:tab/>
        <w:t>Case No. 14-1580-EL-RDR</w:t>
      </w:r>
    </w:p>
    <w:p w14:paraId="524C8595" w14:textId="77777777" w:rsidR="00222345" w:rsidRDefault="00222345" w:rsidP="00D51245">
      <w:pPr>
        <w:tabs>
          <w:tab w:val="left" w:pos="4320"/>
        </w:tabs>
        <w:ind w:right="-360"/>
        <w:rPr>
          <w:rFonts w:ascii="Arial" w:hAnsi="Arial" w:cs="Arial"/>
        </w:rPr>
      </w:pPr>
      <w:r>
        <w:rPr>
          <w:rFonts w:ascii="Arial" w:hAnsi="Arial" w:cs="Arial"/>
        </w:rPr>
        <w:t>For Energy Efficiency Programs</w:t>
      </w:r>
      <w:r>
        <w:rPr>
          <w:rFonts w:ascii="Arial" w:hAnsi="Arial" w:cs="Arial"/>
        </w:rPr>
        <w:tab/>
        <w:t>)</w:t>
      </w:r>
    </w:p>
    <w:p w14:paraId="5CAD802A" w14:textId="77777777" w:rsidR="00222345" w:rsidRDefault="00222345" w:rsidP="00D51245">
      <w:pPr>
        <w:tabs>
          <w:tab w:val="left" w:pos="4320"/>
        </w:tabs>
        <w:ind w:right="-360"/>
        <w:rPr>
          <w:rFonts w:ascii="Arial" w:hAnsi="Arial" w:cs="Arial"/>
        </w:rPr>
      </w:pPr>
      <w:r>
        <w:rPr>
          <w:rFonts w:ascii="Arial" w:hAnsi="Arial" w:cs="Arial"/>
        </w:rPr>
        <w:t>through 2016.</w:t>
      </w:r>
      <w:r>
        <w:rPr>
          <w:rFonts w:ascii="Arial" w:hAnsi="Arial" w:cs="Arial"/>
        </w:rPr>
        <w:tab/>
        <w:t>)</w:t>
      </w:r>
    </w:p>
    <w:p w14:paraId="071ABFB3" w14:textId="77777777" w:rsidR="00222345" w:rsidRPr="000D5558" w:rsidRDefault="00222345" w:rsidP="00D51245">
      <w:pPr>
        <w:pBdr>
          <w:bottom w:val="single" w:sz="12" w:space="1" w:color="auto"/>
        </w:pBdr>
        <w:tabs>
          <w:tab w:val="left" w:pos="720"/>
          <w:tab w:val="left" w:pos="1440"/>
          <w:tab w:val="left" w:pos="2160"/>
          <w:tab w:val="left" w:pos="2880"/>
          <w:tab w:val="left" w:pos="3600"/>
        </w:tabs>
        <w:rPr>
          <w:rFonts w:ascii="Arial" w:hAnsi="Arial" w:cs="Arial"/>
        </w:rPr>
      </w:pPr>
    </w:p>
    <w:p w14:paraId="2838F3D8" w14:textId="77777777" w:rsidR="00222345" w:rsidRPr="000D5558" w:rsidRDefault="00222345" w:rsidP="0015109D">
      <w:pPr>
        <w:rPr>
          <w:rFonts w:ascii="Arial" w:hAnsi="Arial" w:cs="Arial"/>
        </w:rPr>
      </w:pPr>
    </w:p>
    <w:p w14:paraId="2BEF79B1" w14:textId="1AD58B93" w:rsidR="00222345" w:rsidRPr="000D5558" w:rsidRDefault="001C265F" w:rsidP="0015109D">
      <w:pPr>
        <w:jc w:val="center"/>
        <w:outlineLvl w:val="0"/>
        <w:rPr>
          <w:rFonts w:ascii="Arial" w:hAnsi="Arial" w:cs="Arial"/>
          <w:b/>
          <w:bCs/>
          <w:sz w:val="26"/>
          <w:szCs w:val="26"/>
        </w:rPr>
      </w:pPr>
      <w:r>
        <w:rPr>
          <w:rFonts w:ascii="Arial" w:hAnsi="Arial" w:cs="Arial"/>
          <w:b/>
          <w:bCs/>
          <w:sz w:val="26"/>
          <w:szCs w:val="26"/>
        </w:rPr>
        <w:t xml:space="preserve">REPLY </w:t>
      </w:r>
      <w:r w:rsidR="00222345">
        <w:rPr>
          <w:rFonts w:ascii="Arial" w:hAnsi="Arial" w:cs="Arial"/>
          <w:b/>
          <w:bCs/>
          <w:sz w:val="26"/>
          <w:szCs w:val="26"/>
        </w:rPr>
        <w:t xml:space="preserve">COMMENTS OF </w:t>
      </w:r>
      <w:r w:rsidR="00222345" w:rsidRPr="000D5558">
        <w:rPr>
          <w:rFonts w:ascii="Arial" w:hAnsi="Arial" w:cs="Arial"/>
          <w:b/>
          <w:bCs/>
          <w:sz w:val="26"/>
          <w:szCs w:val="26"/>
        </w:rPr>
        <w:t>OHIO PARTNERS FOR AFFORDABLE ENERGY</w:t>
      </w:r>
    </w:p>
    <w:p w14:paraId="1D1C3513" w14:textId="77777777" w:rsidR="00222345" w:rsidRPr="000D5558" w:rsidRDefault="00222345" w:rsidP="0015109D">
      <w:pPr>
        <w:pBdr>
          <w:bottom w:val="single" w:sz="12" w:space="1" w:color="auto"/>
        </w:pBdr>
        <w:tabs>
          <w:tab w:val="left" w:pos="720"/>
          <w:tab w:val="left" w:pos="1440"/>
          <w:tab w:val="left" w:pos="2160"/>
          <w:tab w:val="left" w:pos="2880"/>
          <w:tab w:val="left" w:pos="3600"/>
        </w:tabs>
        <w:ind w:left="3600" w:hanging="3600"/>
        <w:rPr>
          <w:rFonts w:ascii="Arial" w:hAnsi="Arial" w:cs="Arial"/>
        </w:rPr>
      </w:pPr>
    </w:p>
    <w:p w14:paraId="27972938" w14:textId="3078F862" w:rsidR="0058176E" w:rsidRPr="0058176E" w:rsidRDefault="0058176E" w:rsidP="0058176E">
      <w:pPr>
        <w:pStyle w:val="Heading1"/>
        <w:rPr>
          <w:rFonts w:ascii="Arial" w:hAnsi="Arial" w:cs="Arial"/>
          <w:sz w:val="24"/>
          <w:szCs w:val="24"/>
        </w:rPr>
      </w:pPr>
      <w:r w:rsidRPr="0058176E">
        <w:rPr>
          <w:rFonts w:ascii="Arial" w:hAnsi="Arial" w:cs="Arial"/>
          <w:sz w:val="24"/>
          <w:szCs w:val="24"/>
        </w:rPr>
        <w:t xml:space="preserve">INTRODUCTION </w:t>
      </w:r>
    </w:p>
    <w:p w14:paraId="5E2CCF1A" w14:textId="26156DF8" w:rsidR="00222345" w:rsidRDefault="00222345" w:rsidP="00DA553C">
      <w:pPr>
        <w:spacing w:line="480" w:lineRule="atLeast"/>
        <w:ind w:right="-180" w:firstLine="720"/>
        <w:rPr>
          <w:rFonts w:ascii="Arial" w:hAnsi="Arial" w:cs="Arial"/>
        </w:rPr>
      </w:pPr>
      <w:r>
        <w:rPr>
          <w:rFonts w:ascii="Arial" w:hAnsi="Arial" w:cs="Arial"/>
        </w:rPr>
        <w:t xml:space="preserve">Duke </w:t>
      </w:r>
      <w:r w:rsidR="001C265F">
        <w:rPr>
          <w:rFonts w:ascii="Arial" w:hAnsi="Arial" w:cs="Arial"/>
        </w:rPr>
        <w:t xml:space="preserve">Energy Ohio (“Duke”) filed this application </w:t>
      </w:r>
      <w:r w:rsidR="00F26820">
        <w:rPr>
          <w:rFonts w:ascii="Arial" w:hAnsi="Arial" w:cs="Arial"/>
        </w:rPr>
        <w:t xml:space="preserve">on September 9, 2014, </w:t>
      </w:r>
      <w:r w:rsidR="001C265F">
        <w:rPr>
          <w:rFonts w:ascii="Arial" w:hAnsi="Arial" w:cs="Arial"/>
        </w:rPr>
        <w:t>requesting</w:t>
      </w:r>
      <w:r>
        <w:rPr>
          <w:rFonts w:ascii="Arial" w:hAnsi="Arial" w:cs="Arial"/>
        </w:rPr>
        <w:t xml:space="preserve"> permission of the Public Utilities Commission of Ohio (“Commission”) to modify its previously approved demand si</w:t>
      </w:r>
      <w:r w:rsidR="001C265F">
        <w:rPr>
          <w:rFonts w:ascii="Arial" w:hAnsi="Arial" w:cs="Arial"/>
        </w:rPr>
        <w:t>de management (“DSM”) portfolio.  The proposed amendment to the plan would permit Duke t</w:t>
      </w:r>
      <w:r>
        <w:rPr>
          <w:rFonts w:ascii="Arial" w:hAnsi="Arial" w:cs="Arial"/>
        </w:rPr>
        <w:t xml:space="preserve">o recover incentives in 2016.  </w:t>
      </w:r>
      <w:r w:rsidR="00F26820">
        <w:rPr>
          <w:rFonts w:ascii="Arial" w:hAnsi="Arial" w:cs="Arial"/>
        </w:rPr>
        <w:t xml:space="preserve">Sec. 6 of </w:t>
      </w:r>
      <w:r>
        <w:rPr>
          <w:rFonts w:ascii="Arial" w:hAnsi="Arial" w:cs="Arial"/>
        </w:rPr>
        <w:t>Substit</w:t>
      </w:r>
      <w:r w:rsidR="00F26820">
        <w:rPr>
          <w:rFonts w:ascii="Arial" w:hAnsi="Arial" w:cs="Arial"/>
        </w:rPr>
        <w:t>ute Senate Bill 310 (“SB 310”) give</w:t>
      </w:r>
      <w:r w:rsidR="00E41DBF">
        <w:rPr>
          <w:rFonts w:ascii="Arial" w:hAnsi="Arial" w:cs="Arial"/>
        </w:rPr>
        <w:t>s</w:t>
      </w:r>
      <w:r w:rsidR="00F26820">
        <w:rPr>
          <w:rFonts w:ascii="Arial" w:hAnsi="Arial" w:cs="Arial"/>
        </w:rPr>
        <w:t xml:space="preserve"> Duke two options:  1) it can continue to operate its</w:t>
      </w:r>
      <w:r>
        <w:rPr>
          <w:rFonts w:ascii="Arial" w:hAnsi="Arial" w:cs="Arial"/>
        </w:rPr>
        <w:t xml:space="preserve"> previously approved DSM plan</w:t>
      </w:r>
      <w:r w:rsidR="00F26820">
        <w:rPr>
          <w:rFonts w:ascii="Arial" w:hAnsi="Arial" w:cs="Arial"/>
        </w:rPr>
        <w:t xml:space="preserve"> without amendment; or, 2) it can file an amended proposal.</w:t>
      </w:r>
      <w:r>
        <w:rPr>
          <w:rFonts w:ascii="Arial" w:hAnsi="Arial" w:cs="Arial"/>
        </w:rPr>
        <w:t xml:space="preserve">  </w:t>
      </w:r>
      <w:r w:rsidR="00F26820">
        <w:rPr>
          <w:rFonts w:ascii="Arial" w:hAnsi="Arial" w:cs="Arial"/>
        </w:rPr>
        <w:t xml:space="preserve">Sec. 7 </w:t>
      </w:r>
      <w:r>
        <w:rPr>
          <w:rFonts w:ascii="Arial" w:hAnsi="Arial" w:cs="Arial"/>
        </w:rPr>
        <w:t xml:space="preserve">prohibits </w:t>
      </w:r>
      <w:r w:rsidR="00170E3D">
        <w:rPr>
          <w:rFonts w:ascii="Arial" w:hAnsi="Arial" w:cs="Arial"/>
        </w:rPr>
        <w:t>the Commission from considering</w:t>
      </w:r>
      <w:r>
        <w:rPr>
          <w:rFonts w:ascii="Arial" w:hAnsi="Arial" w:cs="Arial"/>
        </w:rPr>
        <w:t xml:space="preserve"> modifications </w:t>
      </w:r>
      <w:r w:rsidR="00F26820">
        <w:rPr>
          <w:rFonts w:ascii="Arial" w:hAnsi="Arial" w:cs="Arial"/>
        </w:rPr>
        <w:t xml:space="preserve">to </w:t>
      </w:r>
      <w:r>
        <w:rPr>
          <w:rFonts w:ascii="Arial" w:hAnsi="Arial" w:cs="Arial"/>
        </w:rPr>
        <w:t>existing DSM portfolios</w:t>
      </w:r>
      <w:r w:rsidR="00170E3D">
        <w:rPr>
          <w:rFonts w:ascii="Arial" w:hAnsi="Arial" w:cs="Arial"/>
        </w:rPr>
        <w:t xml:space="preserve"> if the application was pending on the effective date of the legislation.  This application was filed three days prior</w:t>
      </w:r>
      <w:r w:rsidR="00E41DBF">
        <w:rPr>
          <w:rFonts w:ascii="Arial" w:hAnsi="Arial" w:cs="Arial"/>
        </w:rPr>
        <w:t xml:space="preserve"> to the effective date</w:t>
      </w:r>
      <w:r w:rsidR="00170E3D">
        <w:rPr>
          <w:rFonts w:ascii="Arial" w:hAnsi="Arial" w:cs="Arial"/>
        </w:rPr>
        <w:t xml:space="preserve">, and thus should be dismissed.  Duke is free to file to amend its plan, but if it does so </w:t>
      </w:r>
      <w:r w:rsidR="00F26820">
        <w:rPr>
          <w:rFonts w:ascii="Arial" w:hAnsi="Arial" w:cs="Arial"/>
        </w:rPr>
        <w:t>the plan</w:t>
      </w:r>
      <w:r w:rsidR="00170E3D">
        <w:rPr>
          <w:rFonts w:ascii="Arial" w:hAnsi="Arial" w:cs="Arial"/>
        </w:rPr>
        <w:t xml:space="preserve"> becomes subject to the terms of SB 310</w:t>
      </w:r>
      <w:r w:rsidR="0058176E">
        <w:rPr>
          <w:rFonts w:ascii="Arial" w:hAnsi="Arial" w:cs="Arial"/>
        </w:rPr>
        <w:t xml:space="preserve">. </w:t>
      </w:r>
    </w:p>
    <w:p w14:paraId="7811F0EF" w14:textId="08E66DC4" w:rsidR="00222345" w:rsidRDefault="00222345" w:rsidP="0058176E">
      <w:pPr>
        <w:spacing w:line="480" w:lineRule="atLeast"/>
        <w:ind w:right="-180"/>
        <w:rPr>
          <w:rFonts w:ascii="Arial" w:hAnsi="Arial" w:cs="Arial"/>
          <w:b/>
          <w:bCs/>
        </w:rPr>
      </w:pPr>
    </w:p>
    <w:p w14:paraId="7D6A0D1E" w14:textId="1303EBB4" w:rsidR="0058176E" w:rsidRPr="0058176E" w:rsidRDefault="00F26820" w:rsidP="0058176E">
      <w:pPr>
        <w:pStyle w:val="Heading1"/>
        <w:rPr>
          <w:rFonts w:ascii="Arial" w:hAnsi="Arial" w:cs="Arial"/>
          <w:sz w:val="24"/>
          <w:szCs w:val="24"/>
        </w:rPr>
      </w:pPr>
      <w:r>
        <w:rPr>
          <w:rFonts w:ascii="Arial" w:hAnsi="Arial" w:cs="Arial"/>
          <w:sz w:val="24"/>
          <w:szCs w:val="24"/>
        </w:rPr>
        <w:br w:type="page"/>
      </w:r>
      <w:r w:rsidR="0058176E">
        <w:rPr>
          <w:rFonts w:ascii="Arial" w:hAnsi="Arial" w:cs="Arial"/>
          <w:sz w:val="24"/>
          <w:szCs w:val="24"/>
        </w:rPr>
        <w:lastRenderedPageBreak/>
        <w:t xml:space="preserve">REPLY </w:t>
      </w:r>
      <w:r w:rsidR="0058176E" w:rsidRPr="0058176E">
        <w:rPr>
          <w:rFonts w:ascii="Arial" w:hAnsi="Arial" w:cs="Arial"/>
          <w:sz w:val="24"/>
          <w:szCs w:val="24"/>
        </w:rPr>
        <w:t>COMMENTS</w:t>
      </w:r>
    </w:p>
    <w:p w14:paraId="19E7A669" w14:textId="1D3A4979" w:rsidR="0058176E" w:rsidRDefault="0058176E" w:rsidP="0058176E">
      <w:pPr>
        <w:pStyle w:val="Heading2"/>
        <w:ind w:left="1440" w:hanging="720"/>
        <w:rPr>
          <w:rFonts w:ascii="Arial" w:hAnsi="Arial" w:cs="Arial"/>
          <w:i w:val="0"/>
          <w:sz w:val="24"/>
          <w:szCs w:val="24"/>
        </w:rPr>
      </w:pPr>
      <w:r>
        <w:rPr>
          <w:rFonts w:ascii="Arial" w:hAnsi="Arial" w:cs="Arial"/>
          <w:i w:val="0"/>
          <w:sz w:val="24"/>
          <w:szCs w:val="24"/>
        </w:rPr>
        <w:t>Initial Comments of the Natural Resources Defense Council, Environmental Law and Policy Center, and Ohio Environmental Council (“Environmental Groups”).</w:t>
      </w:r>
    </w:p>
    <w:p w14:paraId="083D3C47" w14:textId="77777777" w:rsidR="0058176E" w:rsidRDefault="0058176E" w:rsidP="0058176E"/>
    <w:p w14:paraId="3E7EAE95" w14:textId="7C80080B" w:rsidR="00C17AE9" w:rsidRDefault="0058176E" w:rsidP="005762CD">
      <w:pPr>
        <w:spacing w:line="480" w:lineRule="auto"/>
        <w:ind w:left="720" w:right="-180" w:firstLine="720"/>
        <w:rPr>
          <w:rFonts w:ascii="Arial" w:hAnsi="Arial" w:cs="Arial"/>
        </w:rPr>
      </w:pPr>
      <w:r>
        <w:rPr>
          <w:rFonts w:ascii="Arial" w:hAnsi="Arial" w:cs="Arial"/>
        </w:rPr>
        <w:t xml:space="preserve">The Environmental Groups support extension of the current incentive mechanism despite the prohibitions of Substitute Senate Bill 310 (“SB 310”) which prevent the modification of an existing DSM Plan.  </w:t>
      </w:r>
      <w:r w:rsidR="000E7921">
        <w:rPr>
          <w:rFonts w:ascii="Arial" w:hAnsi="Arial" w:cs="Arial"/>
        </w:rPr>
        <w:t xml:space="preserve">The Groups attempt to detach the incentive mechanism from the portfolio.  However, a review of the history of this portfolio makes clear that the incentive mechanism was a key </w:t>
      </w:r>
      <w:r w:rsidR="009823CE">
        <w:rPr>
          <w:rFonts w:ascii="Arial" w:hAnsi="Arial" w:cs="Arial"/>
        </w:rPr>
        <w:t>component</w:t>
      </w:r>
      <w:r w:rsidR="000E7921">
        <w:rPr>
          <w:rFonts w:ascii="Arial" w:hAnsi="Arial" w:cs="Arial"/>
        </w:rPr>
        <w:t xml:space="preserve"> in the development and agreement of the parties </w:t>
      </w:r>
      <w:r w:rsidR="009823CE">
        <w:rPr>
          <w:rFonts w:ascii="Arial" w:hAnsi="Arial" w:cs="Arial"/>
        </w:rPr>
        <w:t>to</w:t>
      </w:r>
      <w:r w:rsidR="000E7921">
        <w:rPr>
          <w:rFonts w:ascii="Arial" w:hAnsi="Arial" w:cs="Arial"/>
        </w:rPr>
        <w:t xml:space="preserve"> the </w:t>
      </w:r>
      <w:r w:rsidR="00F26820">
        <w:rPr>
          <w:rFonts w:ascii="Arial" w:hAnsi="Arial" w:cs="Arial"/>
        </w:rPr>
        <w:t>DSM plan</w:t>
      </w:r>
      <w:r w:rsidR="000E7921">
        <w:rPr>
          <w:rFonts w:ascii="Arial" w:hAnsi="Arial" w:cs="Arial"/>
        </w:rPr>
        <w:t xml:space="preserve"> approved in Case No. 11-4393-EL-PDR.  No incentive mechanism has ever been approved </w:t>
      </w:r>
      <w:r w:rsidR="00F26820">
        <w:rPr>
          <w:rFonts w:ascii="Arial" w:hAnsi="Arial" w:cs="Arial"/>
        </w:rPr>
        <w:t>except as a part of</w:t>
      </w:r>
      <w:r w:rsidR="000E7921">
        <w:rPr>
          <w:rFonts w:ascii="Arial" w:hAnsi="Arial" w:cs="Arial"/>
        </w:rPr>
        <w:t xml:space="preserve"> a portfolio plan.  See </w:t>
      </w:r>
      <w:r w:rsidR="00C17AE9">
        <w:rPr>
          <w:rFonts w:ascii="Arial" w:hAnsi="Arial" w:cs="Arial"/>
          <w:i/>
          <w:iCs/>
        </w:rPr>
        <w:t xml:space="preserve">In the Matter of the Cleveland Electric Illuminating Company, Ohio Edison Company, and The Toledo Edison Company for Approval of Their Energy Efficiency and Peak Demand Reduction Programs Plans for 2013 through 2015. </w:t>
      </w:r>
      <w:r w:rsidR="00C17AE9">
        <w:rPr>
          <w:rFonts w:ascii="Arial" w:hAnsi="Arial" w:cs="Arial"/>
        </w:rPr>
        <w:t xml:space="preserve">Case No. 12-2190-EL-POR, et.al.; </w:t>
      </w:r>
      <w:r w:rsidR="00C17AE9" w:rsidRPr="009823CE">
        <w:rPr>
          <w:rFonts w:ascii="Arial" w:hAnsi="Arial" w:cs="Arial"/>
          <w:i/>
        </w:rPr>
        <w:t>I</w:t>
      </w:r>
      <w:r w:rsidR="00C17AE9" w:rsidRPr="00C17AE9">
        <w:rPr>
          <w:rFonts w:ascii="Arial" w:hAnsi="Arial" w:cs="Arial"/>
          <w:i/>
        </w:rPr>
        <w:t>n the Matter of the Application of Columbus Southern Power Company and Ohio Power Company for Approval of its Program Portfolio Plan and Request for Expedited Consideration</w:t>
      </w:r>
      <w:r w:rsidR="00C17AE9">
        <w:rPr>
          <w:rFonts w:ascii="Arial" w:hAnsi="Arial" w:cs="Arial"/>
          <w:i/>
        </w:rPr>
        <w:t>,</w:t>
      </w:r>
      <w:r w:rsidR="00C17AE9">
        <w:rPr>
          <w:rFonts w:ascii="Arial" w:hAnsi="Arial" w:cs="Arial"/>
        </w:rPr>
        <w:t xml:space="preserve"> Case Nos. 11-5568-EL-POR and 11-5569-EL-POR; and, </w:t>
      </w:r>
      <w:r w:rsidR="00C17AE9">
        <w:rPr>
          <w:rFonts w:ascii="Arial" w:hAnsi="Arial" w:cs="Arial"/>
          <w:i/>
        </w:rPr>
        <w:t xml:space="preserve">In the Matter of the Application of The Dayton Power and Light Company for Approval of Its Energy Efficiency Portfolio Plan, </w:t>
      </w:r>
      <w:r w:rsidR="00C17AE9">
        <w:rPr>
          <w:rFonts w:ascii="Arial" w:hAnsi="Arial" w:cs="Arial"/>
        </w:rPr>
        <w:t>Case No. 13-833-EL-POR, et.al.</w:t>
      </w:r>
    </w:p>
    <w:p w14:paraId="303E169B" w14:textId="5D025689" w:rsidR="0058176E" w:rsidRDefault="000E7921" w:rsidP="005762CD">
      <w:pPr>
        <w:spacing w:line="480" w:lineRule="auto"/>
        <w:ind w:left="720" w:firstLine="634"/>
        <w:rPr>
          <w:rFonts w:ascii="Arial" w:hAnsi="Arial" w:cs="Arial"/>
        </w:rPr>
      </w:pPr>
      <w:r>
        <w:rPr>
          <w:rFonts w:ascii="Arial" w:hAnsi="Arial" w:cs="Arial"/>
        </w:rPr>
        <w:t xml:space="preserve"> </w:t>
      </w:r>
      <w:r w:rsidR="00CE1021">
        <w:rPr>
          <w:rFonts w:ascii="Arial" w:hAnsi="Arial" w:cs="Arial"/>
        </w:rPr>
        <w:t>I</w:t>
      </w:r>
      <w:r>
        <w:rPr>
          <w:rFonts w:ascii="Arial" w:hAnsi="Arial" w:cs="Arial"/>
        </w:rPr>
        <w:t>ncentive mechanism</w:t>
      </w:r>
      <w:r w:rsidR="00CE1021">
        <w:rPr>
          <w:rFonts w:ascii="Arial" w:hAnsi="Arial" w:cs="Arial"/>
        </w:rPr>
        <w:t>s</w:t>
      </w:r>
      <w:r>
        <w:rPr>
          <w:rFonts w:ascii="Arial" w:hAnsi="Arial" w:cs="Arial"/>
        </w:rPr>
        <w:t xml:space="preserve"> </w:t>
      </w:r>
      <w:r w:rsidR="00CE1021">
        <w:rPr>
          <w:rFonts w:ascii="Arial" w:hAnsi="Arial" w:cs="Arial"/>
        </w:rPr>
        <w:t>have</w:t>
      </w:r>
      <w:r>
        <w:rPr>
          <w:rFonts w:ascii="Arial" w:hAnsi="Arial" w:cs="Arial"/>
        </w:rPr>
        <w:t xml:space="preserve"> no life separate from a portfolio plan, and in this case the incentive provisions existence terminates at the end of 2015 per the terms of the </w:t>
      </w:r>
      <w:r w:rsidR="00CE1021">
        <w:rPr>
          <w:rFonts w:ascii="Arial" w:hAnsi="Arial" w:cs="Arial"/>
        </w:rPr>
        <w:t xml:space="preserve">approved </w:t>
      </w:r>
      <w:r>
        <w:rPr>
          <w:rFonts w:ascii="Arial" w:hAnsi="Arial" w:cs="Arial"/>
        </w:rPr>
        <w:t>DSM Plan.</w:t>
      </w:r>
    </w:p>
    <w:p w14:paraId="00DFFA8E" w14:textId="119F39CF" w:rsidR="000E7921" w:rsidRDefault="000E7921" w:rsidP="0058176E">
      <w:pPr>
        <w:spacing w:line="480" w:lineRule="auto"/>
        <w:ind w:left="720" w:firstLine="634"/>
        <w:rPr>
          <w:rFonts w:ascii="Arial" w:hAnsi="Arial" w:cs="Arial"/>
        </w:rPr>
      </w:pPr>
      <w:r>
        <w:rPr>
          <w:rFonts w:ascii="Arial" w:hAnsi="Arial" w:cs="Arial"/>
        </w:rPr>
        <w:lastRenderedPageBreak/>
        <w:t xml:space="preserve">That the incentive mechanism Duke and the Environmental Groups seek to extend would be the same as that currently in place is not determinative and is, in fact, the reason why the incentive mechanism is to expire at the end of 2015.  As noted in the Comments filed by the Office of the Ohio Consumers’ Counsel (“OCC”), the Ohio Manufacturers’ Association Energy Group (“OMAEG”), Industrial Energy Users – Ohio (“IEU”), Kroger, and the Ohio Energy Group (“OEG”), there is significant disagreement over whether an incentive mechanism should exist; whether it should be capped; whether savings accrued in a prior year (“banked savings”) can be used to justify and determine the amount of shared savings; and, </w:t>
      </w:r>
      <w:r w:rsidR="00F26820">
        <w:rPr>
          <w:rFonts w:ascii="Arial" w:hAnsi="Arial" w:cs="Arial"/>
        </w:rPr>
        <w:t xml:space="preserve">whether the use of net present value of the lifetime </w:t>
      </w:r>
      <w:r w:rsidR="00DA351E">
        <w:rPr>
          <w:rFonts w:ascii="Arial" w:hAnsi="Arial" w:cs="Arial"/>
        </w:rPr>
        <w:t xml:space="preserve">energy and capacity </w:t>
      </w:r>
      <w:r w:rsidR="00F26820">
        <w:rPr>
          <w:rFonts w:ascii="Arial" w:hAnsi="Arial" w:cs="Arial"/>
        </w:rPr>
        <w:t xml:space="preserve">savings from these measures </w:t>
      </w:r>
      <w:r w:rsidR="00DA351E">
        <w:rPr>
          <w:rFonts w:ascii="Arial" w:hAnsi="Arial" w:cs="Arial"/>
        </w:rPr>
        <w:t>to determine the incentive is</w:t>
      </w:r>
      <w:r w:rsidR="00F26820">
        <w:rPr>
          <w:rFonts w:ascii="Arial" w:hAnsi="Arial" w:cs="Arial"/>
        </w:rPr>
        <w:t xml:space="preserve"> appropriate</w:t>
      </w:r>
      <w:r>
        <w:rPr>
          <w:rFonts w:ascii="Arial" w:hAnsi="Arial" w:cs="Arial"/>
        </w:rPr>
        <w:t>.</w:t>
      </w:r>
      <w:r w:rsidR="005762CD">
        <w:rPr>
          <w:rStyle w:val="FootnoteReference"/>
          <w:rFonts w:ascii="Arial" w:hAnsi="Arial" w:cs="Arial"/>
        </w:rPr>
        <w:footnoteReference w:id="1"/>
      </w:r>
      <w:r>
        <w:rPr>
          <w:rFonts w:ascii="Arial" w:hAnsi="Arial" w:cs="Arial"/>
        </w:rPr>
        <w:t xml:space="preserve">  </w:t>
      </w:r>
      <w:r w:rsidR="00462AF6">
        <w:rPr>
          <w:rFonts w:ascii="Arial" w:hAnsi="Arial" w:cs="Arial"/>
        </w:rPr>
        <w:t>Several of these</w:t>
      </w:r>
      <w:r>
        <w:rPr>
          <w:rFonts w:ascii="Arial" w:hAnsi="Arial" w:cs="Arial"/>
        </w:rPr>
        <w:t xml:space="preserve"> issues were raised in Case No. 13-431-EL-POR, </w:t>
      </w:r>
      <w:r w:rsidR="00DA351E">
        <w:rPr>
          <w:rFonts w:ascii="Arial" w:hAnsi="Arial" w:cs="Arial"/>
        </w:rPr>
        <w:t>wherein the Commission</w:t>
      </w:r>
      <w:r>
        <w:rPr>
          <w:rFonts w:ascii="Arial" w:hAnsi="Arial" w:cs="Arial"/>
        </w:rPr>
        <w:t xml:space="preserve"> confirmed to original agreement that the incentive mechanism component of Duke’s DSM Portfolio would expire.  </w:t>
      </w:r>
      <w:r w:rsidR="009823CE">
        <w:rPr>
          <w:rFonts w:ascii="Arial" w:hAnsi="Arial" w:cs="Arial"/>
        </w:rPr>
        <w:t xml:space="preserve">The majority of the parties, particularly those representing people and businesses that actually pay utility bills, </w:t>
      </w:r>
      <w:r w:rsidR="00405A55">
        <w:rPr>
          <w:rFonts w:ascii="Arial" w:hAnsi="Arial" w:cs="Arial"/>
        </w:rPr>
        <w:t>clearly do not support the existing mechanism.  To extend the shared savings provisions would violate the stipulations in Case Nos. 11-4393-EL-RDR and 13-431-EL-POR.</w:t>
      </w:r>
    </w:p>
    <w:p w14:paraId="05FF3A51" w14:textId="41DAC79D" w:rsidR="00405A55" w:rsidRDefault="00405A55" w:rsidP="00980414">
      <w:pPr>
        <w:spacing w:line="480" w:lineRule="auto"/>
        <w:ind w:left="720" w:firstLine="634"/>
        <w:rPr>
          <w:rFonts w:ascii="Arial" w:hAnsi="Arial" w:cs="Arial"/>
        </w:rPr>
      </w:pPr>
      <w:r>
        <w:rPr>
          <w:rFonts w:ascii="Arial" w:hAnsi="Arial" w:cs="Arial"/>
        </w:rPr>
        <w:t xml:space="preserve">The Environmental Groups also err when they argue that the incentive mechanism is inextricably intertwined with the cost recovery mechanism.  It is not.  The stipulation in Case No. 11-4393-EL-RDR makes clear that it is </w:t>
      </w:r>
      <w:r w:rsidRPr="00405A55">
        <w:rPr>
          <w:rFonts w:ascii="Arial" w:hAnsi="Arial" w:cs="Arial"/>
          <w:i/>
        </w:rPr>
        <w:t>only</w:t>
      </w:r>
      <w:r>
        <w:rPr>
          <w:rFonts w:ascii="Arial" w:hAnsi="Arial" w:cs="Arial"/>
        </w:rPr>
        <w:t xml:space="preserve"> the </w:t>
      </w:r>
      <w:r>
        <w:rPr>
          <w:rFonts w:ascii="Arial" w:hAnsi="Arial" w:cs="Arial"/>
        </w:rPr>
        <w:lastRenderedPageBreak/>
        <w:t xml:space="preserve">incentive mechanism that expires.  </w:t>
      </w:r>
      <w:r w:rsidRPr="00405A55">
        <w:rPr>
          <w:rFonts w:ascii="Arial" w:hAnsi="Arial" w:cs="Arial"/>
          <w:i/>
        </w:rPr>
        <w:t>Stipulation</w:t>
      </w:r>
      <w:r>
        <w:rPr>
          <w:rFonts w:ascii="Arial" w:hAnsi="Arial" w:cs="Arial"/>
        </w:rPr>
        <w:t xml:space="preserve"> at 5</w:t>
      </w:r>
      <w:r w:rsidR="00980414">
        <w:rPr>
          <w:rFonts w:ascii="Arial" w:hAnsi="Arial" w:cs="Arial"/>
        </w:rPr>
        <w:t xml:space="preserve"> (November 18, 2011)</w:t>
      </w:r>
      <w:r>
        <w:rPr>
          <w:rFonts w:ascii="Arial" w:hAnsi="Arial" w:cs="Arial"/>
        </w:rPr>
        <w:t>.  Recovery of program costs through the life of the portfolio is provided for in the same stipulation.  Id. at 4.</w:t>
      </w:r>
      <w:r w:rsidR="00087437">
        <w:rPr>
          <w:rFonts w:ascii="Arial" w:hAnsi="Arial" w:cs="Arial"/>
        </w:rPr>
        <w:t xml:space="preserve">  The Stipulation in Case No. 13-431-EL-POR also makes this clear: </w:t>
      </w:r>
    </w:p>
    <w:p w14:paraId="0128B120" w14:textId="730B25D0" w:rsidR="00087437" w:rsidRDefault="00087437" w:rsidP="00C17AE9">
      <w:pPr>
        <w:ind w:left="1440" w:right="720"/>
        <w:rPr>
          <w:rFonts w:ascii="Arial" w:hAnsi="Arial" w:cs="Arial"/>
        </w:rPr>
      </w:pPr>
      <w:r>
        <w:rPr>
          <w:rFonts w:ascii="Arial" w:hAnsi="Arial" w:cs="Arial"/>
        </w:rPr>
        <w:t xml:space="preserve">If the interested parties reach an agreement for implementing an incentive mechanism for the year 2016, the interested parties will jointly file their recommendation, </w:t>
      </w:r>
      <w:r>
        <w:rPr>
          <w:rFonts w:ascii="Arial" w:hAnsi="Arial" w:cs="Arial"/>
          <w:i/>
        </w:rPr>
        <w:t xml:space="preserve">related only to the incentive recovery mechanism, </w:t>
      </w:r>
      <w:r>
        <w:rPr>
          <w:rFonts w:ascii="Arial" w:hAnsi="Arial" w:cs="Arial"/>
        </w:rPr>
        <w:t>to seek the Commission’s approval in 2015 for use in 2016.  Stipulation at 5.  [Emphasis added.]</w:t>
      </w:r>
    </w:p>
    <w:p w14:paraId="2479692E" w14:textId="77777777" w:rsidR="00462AF6" w:rsidRDefault="00462AF6" w:rsidP="00C17AE9">
      <w:pPr>
        <w:ind w:left="1440" w:right="720"/>
        <w:rPr>
          <w:rFonts w:ascii="Arial" w:hAnsi="Arial" w:cs="Arial"/>
        </w:rPr>
      </w:pPr>
    </w:p>
    <w:p w14:paraId="60C4DF47" w14:textId="55DAC0CD" w:rsidR="00462AF6" w:rsidRDefault="00462AF6" w:rsidP="00462AF6">
      <w:pPr>
        <w:ind w:left="810" w:right="720"/>
        <w:rPr>
          <w:rFonts w:ascii="Arial" w:hAnsi="Arial" w:cs="Arial"/>
        </w:rPr>
      </w:pPr>
      <w:r>
        <w:rPr>
          <w:rFonts w:ascii="Arial" w:hAnsi="Arial" w:cs="Arial"/>
        </w:rPr>
        <w:t>Only the incentive mechanism, and not the recovery mechanism, is at issue in this case.</w:t>
      </w:r>
    </w:p>
    <w:p w14:paraId="19D55DAF" w14:textId="77777777" w:rsidR="00087437" w:rsidRPr="00087437" w:rsidRDefault="00087437" w:rsidP="00087437">
      <w:pPr>
        <w:ind w:left="1440"/>
        <w:rPr>
          <w:rFonts w:ascii="Arial" w:hAnsi="Arial" w:cs="Arial"/>
        </w:rPr>
      </w:pPr>
    </w:p>
    <w:p w14:paraId="01F85D2C" w14:textId="7E17D325" w:rsidR="00980414" w:rsidRDefault="00980414" w:rsidP="00980414">
      <w:pPr>
        <w:spacing w:line="480" w:lineRule="auto"/>
        <w:ind w:left="720" w:right="-180" w:firstLine="720"/>
        <w:rPr>
          <w:rFonts w:ascii="Arial" w:hAnsi="Arial" w:cs="Arial"/>
        </w:rPr>
      </w:pPr>
      <w:r>
        <w:rPr>
          <w:rFonts w:ascii="Arial" w:hAnsi="Arial" w:cs="Arial"/>
        </w:rPr>
        <w:t xml:space="preserve">The Environmental Groups also put in a plug for using banked savings to trigger shared savings.  As noted in OPAE’s initial comments, savings can only be used to qualify for an incentive in the year the savings accrue and are banked.  The Commission has affirmed this policy.  See </w:t>
      </w:r>
      <w:r>
        <w:rPr>
          <w:rFonts w:ascii="Arial" w:hAnsi="Arial" w:cs="Arial"/>
          <w:i/>
        </w:rPr>
        <w:t xml:space="preserve">Opinion and Order, </w:t>
      </w:r>
      <w:r>
        <w:rPr>
          <w:rFonts w:ascii="Arial" w:hAnsi="Arial" w:cs="Arial"/>
        </w:rPr>
        <w:t>Case No. 12-2190-EL-POR at 15-17 (March 20, 2013).</w:t>
      </w:r>
      <w:r w:rsidR="00087437">
        <w:rPr>
          <w:rFonts w:ascii="Arial" w:hAnsi="Arial" w:cs="Arial"/>
        </w:rPr>
        <w:t xml:space="preserve">  It is illegal to provide incentives when savings during a program year </w:t>
      </w:r>
      <w:r w:rsidR="00D57349">
        <w:rPr>
          <w:rFonts w:ascii="Arial" w:hAnsi="Arial" w:cs="Arial"/>
        </w:rPr>
        <w:t xml:space="preserve">when Duke’s savings </w:t>
      </w:r>
      <w:r w:rsidR="00087437">
        <w:rPr>
          <w:rFonts w:ascii="Arial" w:hAnsi="Arial" w:cs="Arial"/>
        </w:rPr>
        <w:t>do</w:t>
      </w:r>
      <w:r w:rsidR="00D57349">
        <w:rPr>
          <w:rFonts w:ascii="Arial" w:hAnsi="Arial" w:cs="Arial"/>
        </w:rPr>
        <w:t>es</w:t>
      </w:r>
      <w:r w:rsidR="00087437">
        <w:rPr>
          <w:rFonts w:ascii="Arial" w:hAnsi="Arial" w:cs="Arial"/>
        </w:rPr>
        <w:t xml:space="preserve"> not exceed the benchmarks.</w:t>
      </w:r>
    </w:p>
    <w:p w14:paraId="191F08B0" w14:textId="4F448F68" w:rsidR="00222345" w:rsidRPr="00462AF6" w:rsidRDefault="00980414" w:rsidP="00462AF6">
      <w:pPr>
        <w:spacing w:line="480" w:lineRule="auto"/>
        <w:ind w:left="720" w:right="-180" w:firstLine="720"/>
        <w:rPr>
          <w:rFonts w:ascii="Arial" w:hAnsi="Arial" w:cs="Arial"/>
          <w:i/>
        </w:rPr>
      </w:pPr>
      <w:r>
        <w:rPr>
          <w:rFonts w:ascii="Arial" w:hAnsi="Arial" w:cs="Arial"/>
        </w:rPr>
        <w:t>Finally, the Environmental Groups argue that the incentive mechanism is simply a continuation of the current portfolio and, as such, does not run afoul of the</w:t>
      </w:r>
      <w:r w:rsidR="00087437">
        <w:rPr>
          <w:rFonts w:ascii="Arial" w:hAnsi="Arial" w:cs="Arial"/>
        </w:rPr>
        <w:t xml:space="preserve"> </w:t>
      </w:r>
      <w:r>
        <w:rPr>
          <w:rFonts w:ascii="Arial" w:hAnsi="Arial" w:cs="Arial"/>
        </w:rPr>
        <w:t>provisions of SB 310</w:t>
      </w:r>
      <w:r w:rsidR="009823CE">
        <w:rPr>
          <w:rFonts w:ascii="Arial" w:hAnsi="Arial" w:cs="Arial"/>
        </w:rPr>
        <w:t xml:space="preserve"> (after arguing it is not part of the DSM plan).</w:t>
      </w:r>
      <w:r>
        <w:rPr>
          <w:rFonts w:ascii="Arial" w:hAnsi="Arial" w:cs="Arial"/>
        </w:rPr>
        <w:t xml:space="preserve">  Again, the </w:t>
      </w:r>
      <w:r w:rsidR="00DA351E">
        <w:rPr>
          <w:rFonts w:ascii="Arial" w:hAnsi="Arial" w:cs="Arial"/>
        </w:rPr>
        <w:t xml:space="preserve">Environmental </w:t>
      </w:r>
      <w:r>
        <w:rPr>
          <w:rFonts w:ascii="Arial" w:hAnsi="Arial" w:cs="Arial"/>
        </w:rPr>
        <w:t xml:space="preserve">Groups mischaracterize the prior stipulations approved by the Commission, which make clear that </w:t>
      </w:r>
      <w:r w:rsidR="00222345">
        <w:rPr>
          <w:rFonts w:ascii="Arial" w:hAnsi="Arial" w:cs="Arial"/>
        </w:rPr>
        <w:t>the Commission</w:t>
      </w:r>
      <w:r>
        <w:rPr>
          <w:rFonts w:ascii="Arial" w:hAnsi="Arial" w:cs="Arial"/>
        </w:rPr>
        <w:t xml:space="preserve"> would determine</w:t>
      </w:r>
      <w:r w:rsidR="00222345">
        <w:rPr>
          <w:rFonts w:ascii="Arial" w:hAnsi="Arial" w:cs="Arial"/>
        </w:rPr>
        <w:t xml:space="preserve"> </w:t>
      </w:r>
      <w:r>
        <w:rPr>
          <w:rFonts w:ascii="Arial" w:hAnsi="Arial" w:cs="Arial"/>
        </w:rPr>
        <w:t>“</w:t>
      </w:r>
      <w:r w:rsidR="00222345">
        <w:rPr>
          <w:rFonts w:ascii="Arial" w:hAnsi="Arial" w:cs="Arial"/>
        </w:rPr>
        <w:t xml:space="preserve">whether an incentive mechanism should be implemented…(for the year 2016).”  </w:t>
      </w:r>
      <w:r w:rsidR="00222345" w:rsidRPr="00980414">
        <w:rPr>
          <w:rFonts w:ascii="Arial" w:hAnsi="Arial" w:cs="Arial"/>
          <w:i/>
        </w:rPr>
        <w:t>Stipulation</w:t>
      </w:r>
      <w:r>
        <w:rPr>
          <w:rFonts w:ascii="Arial" w:hAnsi="Arial" w:cs="Arial"/>
          <w:i/>
        </w:rPr>
        <w:t xml:space="preserve">, </w:t>
      </w:r>
      <w:r w:rsidRPr="00462AF6">
        <w:rPr>
          <w:rFonts w:ascii="Arial" w:hAnsi="Arial" w:cs="Arial"/>
        </w:rPr>
        <w:lastRenderedPageBreak/>
        <w:t>Case No. 13-431-EL-POR</w:t>
      </w:r>
      <w:r w:rsidR="00222345" w:rsidRPr="00462AF6">
        <w:rPr>
          <w:rFonts w:ascii="Arial" w:hAnsi="Arial" w:cs="Arial"/>
        </w:rPr>
        <w:t xml:space="preserve"> at 5</w:t>
      </w:r>
      <w:r w:rsidRPr="00462AF6">
        <w:rPr>
          <w:rFonts w:ascii="Arial" w:hAnsi="Arial" w:cs="Arial"/>
        </w:rPr>
        <w:t xml:space="preserve"> (</w:t>
      </w:r>
      <w:r w:rsidR="00087437" w:rsidRPr="00462AF6">
        <w:rPr>
          <w:rFonts w:ascii="Arial" w:hAnsi="Arial" w:cs="Arial"/>
        </w:rPr>
        <w:t>September 16, 2013)</w:t>
      </w:r>
      <w:r w:rsidR="00222345" w:rsidRPr="00462AF6">
        <w:rPr>
          <w:rFonts w:ascii="Arial" w:hAnsi="Arial" w:cs="Arial"/>
        </w:rPr>
        <w:t>; Opinion and Order at 6</w:t>
      </w:r>
      <w:r w:rsidR="00087437" w:rsidRPr="00462AF6">
        <w:rPr>
          <w:rFonts w:ascii="Arial" w:hAnsi="Arial" w:cs="Arial"/>
        </w:rPr>
        <w:t xml:space="preserve"> (December 4, 2013)</w:t>
      </w:r>
      <w:r w:rsidR="00222345" w:rsidRPr="00462AF6">
        <w:rPr>
          <w:rFonts w:ascii="Arial" w:hAnsi="Arial" w:cs="Arial"/>
        </w:rPr>
        <w:t>.</w:t>
      </w:r>
    </w:p>
    <w:p w14:paraId="506071F8" w14:textId="6A4E0C8E" w:rsidR="00087437" w:rsidRPr="00462AF6" w:rsidRDefault="00462AF6" w:rsidP="00462AF6">
      <w:pPr>
        <w:pStyle w:val="Heading2"/>
        <w:spacing w:line="480" w:lineRule="auto"/>
        <w:rPr>
          <w:rFonts w:ascii="Arial" w:hAnsi="Arial" w:cs="Arial"/>
          <w:i w:val="0"/>
          <w:sz w:val="24"/>
          <w:szCs w:val="24"/>
        </w:rPr>
      </w:pPr>
      <w:r w:rsidRPr="00462AF6">
        <w:rPr>
          <w:sz w:val="24"/>
          <w:szCs w:val="24"/>
        </w:rPr>
        <w:t xml:space="preserve"> </w:t>
      </w:r>
      <w:r w:rsidRPr="00462AF6">
        <w:rPr>
          <w:rFonts w:ascii="Arial" w:hAnsi="Arial" w:cs="Arial"/>
          <w:i w:val="0"/>
          <w:sz w:val="24"/>
          <w:szCs w:val="24"/>
        </w:rPr>
        <w:t>Comments of the Ohio Energy Group</w:t>
      </w:r>
    </w:p>
    <w:p w14:paraId="1F01083E" w14:textId="6202F17F" w:rsidR="00087437" w:rsidRPr="00F75280" w:rsidRDefault="00F75280" w:rsidP="00462AF6">
      <w:pPr>
        <w:spacing w:line="480" w:lineRule="auto"/>
        <w:ind w:left="720" w:firstLine="720"/>
        <w:rPr>
          <w:rFonts w:ascii="Arial" w:hAnsi="Arial" w:cs="Arial"/>
        </w:rPr>
      </w:pPr>
      <w:r w:rsidRPr="00462AF6">
        <w:rPr>
          <w:rFonts w:ascii="Arial" w:hAnsi="Arial" w:cs="Arial"/>
        </w:rPr>
        <w:t xml:space="preserve">OEG, in its arguments against shared savings, </w:t>
      </w:r>
      <w:r w:rsidR="00462AF6">
        <w:rPr>
          <w:rFonts w:ascii="Arial" w:hAnsi="Arial" w:cs="Arial"/>
        </w:rPr>
        <w:t>contends</w:t>
      </w:r>
      <w:r w:rsidRPr="00462AF6">
        <w:rPr>
          <w:rFonts w:ascii="Arial" w:hAnsi="Arial" w:cs="Arial"/>
        </w:rPr>
        <w:t xml:space="preserve"> that one of the benefits tr</w:t>
      </w:r>
      <w:r>
        <w:rPr>
          <w:rFonts w:ascii="Arial" w:hAnsi="Arial" w:cs="Arial"/>
        </w:rPr>
        <w:t xml:space="preserve">aditionally associated with DSM portfolios – avoiding the cost of recovering the cost of a new powerplant – is no longer relevant because Duke has exited the generation business in Ohio.  Comments at 2.  However, OEG misunderstands the purpose of the energy efficiency and demand response (“EE/PDR”) requirements of Amended Substitute Senate Bill 221 (SB 221).  The EE/PDR benchmarks are designated as a distribution function, a component of the services provided by regulated monopoly electric distribution utilities (“EDUs”).  The General Assembly required </w:t>
      </w:r>
      <w:r w:rsidR="00DA351E">
        <w:rPr>
          <w:rFonts w:ascii="Arial" w:hAnsi="Arial" w:cs="Arial"/>
        </w:rPr>
        <w:t xml:space="preserve">the provision of </w:t>
      </w:r>
      <w:r>
        <w:rPr>
          <w:rFonts w:ascii="Arial" w:hAnsi="Arial" w:cs="Arial"/>
        </w:rPr>
        <w:t>these services as sound public policy because efficiency and demand response would ameliorate the impact of retiring generation by reducing the need for capacity and energy; providing a hedge against future price increases; and, diversif</w:t>
      </w:r>
      <w:r w:rsidR="00DA351E">
        <w:rPr>
          <w:rFonts w:ascii="Arial" w:hAnsi="Arial" w:cs="Arial"/>
        </w:rPr>
        <w:t>y</w:t>
      </w:r>
      <w:r>
        <w:rPr>
          <w:rFonts w:ascii="Arial" w:hAnsi="Arial" w:cs="Arial"/>
        </w:rPr>
        <w:t xml:space="preserve"> the resource base available to Ohio utility customers.  These policies are embodied in R.C. 4928.02.  OEG may prefer traditional regulation where the distribution utility owns </w:t>
      </w:r>
      <w:r w:rsidR="00DA351E">
        <w:rPr>
          <w:rFonts w:ascii="Arial" w:hAnsi="Arial" w:cs="Arial"/>
        </w:rPr>
        <w:t>regulated</w:t>
      </w:r>
      <w:r>
        <w:rPr>
          <w:rFonts w:ascii="Arial" w:hAnsi="Arial" w:cs="Arial"/>
        </w:rPr>
        <w:t xml:space="preserve"> and sells it to customers at cost plus profit</w:t>
      </w:r>
      <w:r w:rsidR="00DA351E">
        <w:rPr>
          <w:rFonts w:ascii="Arial" w:hAnsi="Arial" w:cs="Arial"/>
        </w:rPr>
        <w:t xml:space="preserve"> (and for residential customers </w:t>
      </w:r>
      <w:r w:rsidR="0001794B">
        <w:rPr>
          <w:rFonts w:ascii="Arial" w:hAnsi="Arial" w:cs="Arial"/>
        </w:rPr>
        <w:t xml:space="preserve">includes </w:t>
      </w:r>
      <w:r w:rsidR="00DA351E">
        <w:rPr>
          <w:rFonts w:ascii="Arial" w:hAnsi="Arial" w:cs="Arial"/>
        </w:rPr>
        <w:t>the delta revenue resulting from special contracts given to many OEG clients)</w:t>
      </w:r>
      <w:r>
        <w:rPr>
          <w:rFonts w:ascii="Arial" w:hAnsi="Arial" w:cs="Arial"/>
        </w:rPr>
        <w:t>.  This regulatory regime no longer exists in Ohio</w:t>
      </w:r>
      <w:r w:rsidR="00DA351E">
        <w:rPr>
          <w:rFonts w:ascii="Arial" w:hAnsi="Arial" w:cs="Arial"/>
        </w:rPr>
        <w:t>, though many of the largest industrials still receive rate subsidies</w:t>
      </w:r>
      <w:r w:rsidR="0001794B">
        <w:rPr>
          <w:rFonts w:ascii="Arial" w:hAnsi="Arial" w:cs="Arial"/>
        </w:rPr>
        <w:t xml:space="preserve"> that shift costs onto residential customers</w:t>
      </w:r>
      <w:r>
        <w:rPr>
          <w:rFonts w:ascii="Arial" w:hAnsi="Arial" w:cs="Arial"/>
        </w:rPr>
        <w:t xml:space="preserve">.  Requiring EDUs to provide EE/PDR options to customers </w:t>
      </w:r>
      <w:r>
        <w:rPr>
          <w:rFonts w:ascii="Arial" w:hAnsi="Arial" w:cs="Arial"/>
        </w:rPr>
        <w:lastRenderedPageBreak/>
        <w:t>to protect them against unregul</w:t>
      </w:r>
      <w:r w:rsidR="00C17AE9">
        <w:rPr>
          <w:rFonts w:ascii="Arial" w:hAnsi="Arial" w:cs="Arial"/>
        </w:rPr>
        <w:t>ated generation markets is</w:t>
      </w:r>
      <w:r>
        <w:rPr>
          <w:rFonts w:ascii="Arial" w:hAnsi="Arial" w:cs="Arial"/>
        </w:rPr>
        <w:t xml:space="preserve"> the regulatory paradigm in Ohio.</w:t>
      </w:r>
    </w:p>
    <w:p w14:paraId="7D435E59" w14:textId="3975B5F8" w:rsidR="00222345" w:rsidRPr="00C17AE9" w:rsidRDefault="00222345" w:rsidP="00C17AE9">
      <w:pPr>
        <w:pStyle w:val="Heading1"/>
        <w:rPr>
          <w:rFonts w:ascii="Arial" w:hAnsi="Arial" w:cs="Arial"/>
          <w:sz w:val="24"/>
          <w:szCs w:val="24"/>
        </w:rPr>
      </w:pPr>
      <w:r w:rsidRPr="00C17AE9">
        <w:rPr>
          <w:rFonts w:ascii="Arial" w:hAnsi="Arial" w:cs="Arial"/>
          <w:sz w:val="24"/>
          <w:szCs w:val="24"/>
        </w:rPr>
        <w:t>Conclusion</w:t>
      </w:r>
    </w:p>
    <w:p w14:paraId="3E4BF8D2" w14:textId="77777777" w:rsidR="001C265F" w:rsidRDefault="001C265F" w:rsidP="001C265F">
      <w:pPr>
        <w:ind w:left="720" w:right="-180"/>
        <w:rPr>
          <w:rFonts w:ascii="Arial" w:hAnsi="Arial" w:cs="Arial"/>
          <w:b/>
          <w:bCs/>
        </w:rPr>
      </w:pPr>
    </w:p>
    <w:p w14:paraId="03955A2C" w14:textId="123DCB2B" w:rsidR="001C265F" w:rsidRPr="001C265F" w:rsidRDefault="001C265F" w:rsidP="00170E3D">
      <w:pPr>
        <w:spacing w:line="480" w:lineRule="auto"/>
        <w:ind w:right="-180" w:firstLine="720"/>
        <w:rPr>
          <w:rFonts w:ascii="Arial" w:hAnsi="Arial" w:cs="Arial"/>
          <w:bCs/>
        </w:rPr>
      </w:pPr>
      <w:r>
        <w:rPr>
          <w:rFonts w:ascii="Arial" w:hAnsi="Arial" w:cs="Arial"/>
          <w:bCs/>
        </w:rPr>
        <w:t xml:space="preserve">It is clear that parties to Case Nos. 11-4393-EL-RDR and </w:t>
      </w:r>
      <w:r w:rsidR="00170E3D">
        <w:rPr>
          <w:rFonts w:ascii="Arial" w:hAnsi="Arial" w:cs="Arial"/>
          <w:bCs/>
        </w:rPr>
        <w:t xml:space="preserve">13-431-EL-POR did not intend for the </w:t>
      </w:r>
      <w:r w:rsidR="00462AF6">
        <w:rPr>
          <w:rFonts w:ascii="Arial" w:hAnsi="Arial" w:cs="Arial"/>
          <w:bCs/>
        </w:rPr>
        <w:t>shared savings</w:t>
      </w:r>
      <w:r w:rsidR="00462AF6">
        <w:rPr>
          <w:rFonts w:ascii="Arial" w:hAnsi="Arial" w:cs="Arial"/>
          <w:bCs/>
        </w:rPr>
        <w:t xml:space="preserve"> </w:t>
      </w:r>
      <w:r w:rsidR="00170E3D">
        <w:rPr>
          <w:rFonts w:ascii="Arial" w:hAnsi="Arial" w:cs="Arial"/>
          <w:bCs/>
        </w:rPr>
        <w:t xml:space="preserve">mechanism </w:t>
      </w:r>
      <w:bookmarkStart w:id="0" w:name="_GoBack"/>
      <w:bookmarkEnd w:id="0"/>
      <w:r w:rsidR="00170E3D">
        <w:rPr>
          <w:rFonts w:ascii="Arial" w:hAnsi="Arial" w:cs="Arial"/>
          <w:bCs/>
        </w:rPr>
        <w:t>to continue beyond 2015.  It is clear the parties were to discuss what, if any, incentive mechanism would apply to the approved portfolio in 2016</w:t>
      </w:r>
      <w:r w:rsidR="00DA351E">
        <w:rPr>
          <w:rFonts w:ascii="Arial" w:hAnsi="Arial" w:cs="Arial"/>
          <w:bCs/>
        </w:rPr>
        <w:t>, and whether or not a savings mechanism would apply in 2016 would be decided in a contested proceeding before the Commis</w:t>
      </w:r>
      <w:r w:rsidR="0001794B">
        <w:rPr>
          <w:rFonts w:ascii="Arial" w:hAnsi="Arial" w:cs="Arial"/>
          <w:bCs/>
        </w:rPr>
        <w:t>s</w:t>
      </w:r>
      <w:r w:rsidR="00DA351E">
        <w:rPr>
          <w:rFonts w:ascii="Arial" w:hAnsi="Arial" w:cs="Arial"/>
          <w:bCs/>
        </w:rPr>
        <w:t>ion</w:t>
      </w:r>
      <w:r w:rsidR="00170E3D">
        <w:rPr>
          <w:rFonts w:ascii="Arial" w:hAnsi="Arial" w:cs="Arial"/>
          <w:bCs/>
        </w:rPr>
        <w:t xml:space="preserve">.  The passage of SB 310 prohibits the Commission from ruling on an amendment to the current DSM plan to create an incentive </w:t>
      </w:r>
      <w:r w:rsidR="002C5A6B">
        <w:rPr>
          <w:rFonts w:ascii="Arial" w:hAnsi="Arial" w:cs="Arial"/>
          <w:bCs/>
        </w:rPr>
        <w:t xml:space="preserve">mechanism </w:t>
      </w:r>
      <w:r w:rsidR="00170E3D">
        <w:rPr>
          <w:rFonts w:ascii="Arial" w:hAnsi="Arial" w:cs="Arial"/>
          <w:bCs/>
        </w:rPr>
        <w:t>whe</w:t>
      </w:r>
      <w:r w:rsidR="002C5A6B">
        <w:rPr>
          <w:rFonts w:ascii="Arial" w:hAnsi="Arial" w:cs="Arial"/>
          <w:bCs/>
        </w:rPr>
        <w:t>n</w:t>
      </w:r>
      <w:r w:rsidR="00170E3D">
        <w:rPr>
          <w:rFonts w:ascii="Arial" w:hAnsi="Arial" w:cs="Arial"/>
          <w:bCs/>
        </w:rPr>
        <w:t xml:space="preserve"> no</w:t>
      </w:r>
      <w:r w:rsidR="00DA351E">
        <w:rPr>
          <w:rFonts w:ascii="Arial" w:hAnsi="Arial" w:cs="Arial"/>
          <w:bCs/>
        </w:rPr>
        <w:t>ne is approved for 2016</w:t>
      </w:r>
      <w:r w:rsidR="00170E3D">
        <w:rPr>
          <w:rFonts w:ascii="Arial" w:hAnsi="Arial" w:cs="Arial"/>
          <w:bCs/>
        </w:rPr>
        <w:t>.  If Duke chooses to amend the plan to adopt a new incentive mechanism for 2016, it must comply with the provisions of SB 310, a test which this application fails.  The application must be rejected.</w:t>
      </w:r>
    </w:p>
    <w:p w14:paraId="1C877E8F" w14:textId="77777777" w:rsidR="00222345" w:rsidRDefault="00222345" w:rsidP="00271AF4">
      <w:pPr>
        <w:ind w:right="-180"/>
        <w:rPr>
          <w:rFonts w:ascii="Arial" w:hAnsi="Arial" w:cs="Arial"/>
          <w:b/>
          <w:bCs/>
        </w:rPr>
      </w:pPr>
    </w:p>
    <w:p w14:paraId="7BD0643A" w14:textId="77777777" w:rsidR="00222345" w:rsidRPr="000D5558" w:rsidRDefault="00222345" w:rsidP="00D700EC">
      <w:pPr>
        <w:ind w:left="4320" w:right="-180"/>
        <w:rPr>
          <w:rFonts w:ascii="Arial" w:hAnsi="Arial" w:cs="Arial"/>
        </w:rPr>
      </w:pPr>
      <w:r w:rsidRPr="000D5558">
        <w:rPr>
          <w:rFonts w:ascii="Arial" w:hAnsi="Arial" w:cs="Arial"/>
        </w:rPr>
        <w:t>Respectfully submitted,</w:t>
      </w:r>
    </w:p>
    <w:p w14:paraId="04A1FB89" w14:textId="77777777" w:rsidR="00222345" w:rsidRPr="000D5558" w:rsidRDefault="00222345" w:rsidP="00D700EC">
      <w:pPr>
        <w:ind w:firstLine="810"/>
        <w:rPr>
          <w:rFonts w:ascii="Arial" w:hAnsi="Arial" w:cs="Arial"/>
        </w:rPr>
      </w:pPr>
    </w:p>
    <w:p w14:paraId="553B70FD" w14:textId="77777777" w:rsidR="00222345" w:rsidRDefault="00222345" w:rsidP="00D700EC">
      <w:pPr>
        <w:ind w:left="4320"/>
        <w:rPr>
          <w:rFonts w:ascii="Arial" w:hAnsi="Arial" w:cs="Arial"/>
          <w:u w:val="single"/>
        </w:rPr>
      </w:pPr>
      <w:r>
        <w:rPr>
          <w:rFonts w:ascii="Arial" w:hAnsi="Arial" w:cs="Arial"/>
          <w:u w:val="single"/>
        </w:rPr>
        <w:t xml:space="preserve">/s/ </w:t>
      </w:r>
      <w:r w:rsidRPr="00C70DCD">
        <w:rPr>
          <w:rFonts w:ascii="Brush Script MT" w:hAnsi="Brush Script MT" w:cs="Brush Script MT"/>
          <w:u w:val="single"/>
        </w:rPr>
        <w:t>David C. Rinebolt</w:t>
      </w:r>
    </w:p>
    <w:p w14:paraId="646A78EB" w14:textId="77777777" w:rsidR="00222345" w:rsidRPr="00232322" w:rsidRDefault="00222345" w:rsidP="00D700EC">
      <w:pPr>
        <w:ind w:left="4320"/>
        <w:rPr>
          <w:rFonts w:ascii="Arial" w:hAnsi="Arial" w:cs="Arial"/>
        </w:rPr>
      </w:pPr>
      <w:r>
        <w:rPr>
          <w:rFonts w:ascii="Arial" w:hAnsi="Arial" w:cs="Arial"/>
        </w:rPr>
        <w:t>David C. Rinebolt (Counsel of Record)</w:t>
      </w:r>
    </w:p>
    <w:p w14:paraId="63ADB57F" w14:textId="77777777" w:rsidR="00222345" w:rsidRPr="000D5558" w:rsidRDefault="00222345" w:rsidP="0015109D">
      <w:pPr>
        <w:ind w:left="3600" w:firstLine="720"/>
        <w:rPr>
          <w:rFonts w:ascii="Arial" w:hAnsi="Arial" w:cs="Arial"/>
        </w:rPr>
      </w:pPr>
      <w:r>
        <w:rPr>
          <w:rFonts w:ascii="Arial" w:hAnsi="Arial" w:cs="Arial"/>
        </w:rPr>
        <w:t>Colleen L. Mooney</w:t>
      </w:r>
    </w:p>
    <w:p w14:paraId="1A18B915" w14:textId="77777777" w:rsidR="00222345" w:rsidRPr="000D5558" w:rsidRDefault="00222345" w:rsidP="0015109D">
      <w:pPr>
        <w:ind w:left="4230" w:firstLine="90"/>
        <w:rPr>
          <w:rFonts w:ascii="Arial" w:hAnsi="Arial" w:cs="Arial"/>
        </w:rPr>
      </w:pPr>
      <w:r w:rsidRPr="000D5558">
        <w:rPr>
          <w:rFonts w:ascii="Arial" w:hAnsi="Arial" w:cs="Arial"/>
        </w:rPr>
        <w:t>Ohio Partners for Affordable Energy</w:t>
      </w:r>
    </w:p>
    <w:p w14:paraId="41811C57" w14:textId="77777777" w:rsidR="00222345" w:rsidRPr="000D5558" w:rsidRDefault="00222345" w:rsidP="0015109D">
      <w:pPr>
        <w:ind w:left="4230" w:firstLine="90"/>
        <w:rPr>
          <w:rFonts w:ascii="Arial" w:hAnsi="Arial" w:cs="Arial"/>
        </w:rPr>
      </w:pPr>
      <w:r w:rsidRPr="000D5558">
        <w:rPr>
          <w:rFonts w:ascii="Arial" w:hAnsi="Arial" w:cs="Arial"/>
        </w:rPr>
        <w:t>231 West Lima Street</w:t>
      </w:r>
    </w:p>
    <w:p w14:paraId="11291AE9" w14:textId="77777777" w:rsidR="00222345" w:rsidRPr="000D5558" w:rsidRDefault="00222345" w:rsidP="0015109D">
      <w:pPr>
        <w:ind w:left="4230" w:firstLine="90"/>
        <w:rPr>
          <w:rFonts w:ascii="Arial" w:hAnsi="Arial" w:cs="Arial"/>
        </w:rPr>
      </w:pPr>
      <w:r w:rsidRPr="000D5558">
        <w:rPr>
          <w:rFonts w:ascii="Arial" w:hAnsi="Arial" w:cs="Arial"/>
        </w:rPr>
        <w:t>Findlay, OH45840</w:t>
      </w:r>
    </w:p>
    <w:p w14:paraId="70FA264C" w14:textId="77777777" w:rsidR="00222345" w:rsidRPr="000D5558" w:rsidRDefault="00222345" w:rsidP="0015109D">
      <w:pPr>
        <w:ind w:left="4230" w:firstLine="90"/>
        <w:rPr>
          <w:rFonts w:ascii="Arial" w:hAnsi="Arial" w:cs="Arial"/>
        </w:rPr>
      </w:pPr>
      <w:r w:rsidRPr="000D5558">
        <w:rPr>
          <w:rFonts w:ascii="Arial" w:hAnsi="Arial" w:cs="Arial"/>
        </w:rPr>
        <w:t>Telephone: (419) 425-8860</w:t>
      </w:r>
    </w:p>
    <w:p w14:paraId="479C20A7" w14:textId="77777777" w:rsidR="00222345" w:rsidRDefault="00222345" w:rsidP="0015109D">
      <w:pPr>
        <w:ind w:left="4230" w:firstLine="90"/>
        <w:rPr>
          <w:rFonts w:ascii="Arial" w:hAnsi="Arial" w:cs="Arial"/>
        </w:rPr>
      </w:pPr>
      <w:r w:rsidRPr="000D5558">
        <w:rPr>
          <w:rFonts w:ascii="Arial" w:hAnsi="Arial" w:cs="Arial"/>
        </w:rPr>
        <w:t>FAX: (419) 425-8862</w:t>
      </w:r>
    </w:p>
    <w:p w14:paraId="4B9D8800" w14:textId="77777777" w:rsidR="00222345" w:rsidRDefault="00AC4FA0" w:rsidP="0015109D">
      <w:pPr>
        <w:ind w:left="4230" w:firstLine="90"/>
        <w:rPr>
          <w:rFonts w:ascii="Arial" w:hAnsi="Arial" w:cs="Arial"/>
        </w:rPr>
      </w:pPr>
      <w:hyperlink r:id="rId8" w:history="1">
        <w:r w:rsidR="00222345" w:rsidRPr="00A05BC4">
          <w:rPr>
            <w:rStyle w:val="Hyperlink"/>
            <w:rFonts w:ascii="Arial" w:hAnsi="Arial" w:cs="Arial"/>
          </w:rPr>
          <w:t>drinebolt@ohiopartners.org</w:t>
        </w:r>
      </w:hyperlink>
    </w:p>
    <w:p w14:paraId="75773FF6" w14:textId="77777777" w:rsidR="00222345" w:rsidRDefault="00AC4FA0" w:rsidP="0015109D">
      <w:pPr>
        <w:ind w:left="4230" w:firstLine="90"/>
        <w:rPr>
          <w:rFonts w:ascii="Arial" w:hAnsi="Arial" w:cs="Arial"/>
        </w:rPr>
      </w:pPr>
      <w:hyperlink r:id="rId9" w:history="1">
        <w:r w:rsidR="00222345" w:rsidRPr="00A05BC4">
          <w:rPr>
            <w:rStyle w:val="Hyperlink"/>
            <w:rFonts w:ascii="Arial" w:hAnsi="Arial" w:cs="Arial"/>
          </w:rPr>
          <w:t>cmooney@ohiopartners.org</w:t>
        </w:r>
      </w:hyperlink>
    </w:p>
    <w:p w14:paraId="7ADDCA02" w14:textId="77777777" w:rsidR="00222345" w:rsidRDefault="00222345" w:rsidP="008054B0">
      <w:pPr>
        <w:rPr>
          <w:rFonts w:ascii="Arial" w:hAnsi="Arial" w:cs="Arial"/>
        </w:rPr>
      </w:pPr>
    </w:p>
    <w:p w14:paraId="299BA27E" w14:textId="77777777" w:rsidR="00222345" w:rsidRDefault="00222345" w:rsidP="0015109D">
      <w:pPr>
        <w:ind w:left="4230"/>
        <w:rPr>
          <w:rFonts w:ascii="Arial" w:hAnsi="Arial" w:cs="Arial"/>
        </w:rPr>
      </w:pPr>
    </w:p>
    <w:p w14:paraId="52B587AD" w14:textId="77777777" w:rsidR="00222345" w:rsidRPr="000D5558" w:rsidRDefault="00222345" w:rsidP="00E52DD8">
      <w:pPr>
        <w:rPr>
          <w:rFonts w:ascii="Arial" w:hAnsi="Arial" w:cs="Arial"/>
        </w:rPr>
      </w:pPr>
    </w:p>
    <w:p w14:paraId="1922D1C4" w14:textId="77777777" w:rsidR="00222345" w:rsidRPr="000D5558" w:rsidRDefault="00222345" w:rsidP="00D11A0A">
      <w:pPr>
        <w:jc w:val="center"/>
        <w:outlineLvl w:val="0"/>
        <w:rPr>
          <w:rFonts w:ascii="Arial" w:hAnsi="Arial" w:cs="Arial"/>
          <w:b/>
          <w:bCs/>
        </w:rPr>
      </w:pPr>
      <w:r>
        <w:rPr>
          <w:rFonts w:ascii="Arial" w:hAnsi="Arial" w:cs="Arial"/>
          <w:b/>
          <w:bCs/>
        </w:rPr>
        <w:br w:type="page"/>
      </w:r>
      <w:r w:rsidRPr="000D5558">
        <w:rPr>
          <w:rFonts w:ascii="Arial" w:hAnsi="Arial" w:cs="Arial"/>
          <w:b/>
          <w:bCs/>
        </w:rPr>
        <w:lastRenderedPageBreak/>
        <w:t>CERTIFICATE OF SERVICE</w:t>
      </w:r>
    </w:p>
    <w:p w14:paraId="67D5FE7A" w14:textId="77777777" w:rsidR="00222345" w:rsidRPr="000D5558" w:rsidRDefault="00222345" w:rsidP="0015109D">
      <w:pPr>
        <w:rPr>
          <w:rFonts w:ascii="Arial" w:hAnsi="Arial" w:cs="Arial"/>
          <w:b/>
          <w:bCs/>
        </w:rPr>
      </w:pPr>
    </w:p>
    <w:p w14:paraId="179089F4" w14:textId="7F7413F0" w:rsidR="00222345" w:rsidRDefault="00222345" w:rsidP="0015109D">
      <w:pPr>
        <w:spacing w:line="480" w:lineRule="auto"/>
        <w:ind w:right="-360"/>
        <w:rPr>
          <w:rFonts w:ascii="Arial" w:hAnsi="Arial" w:cs="Arial"/>
        </w:rPr>
      </w:pPr>
      <w:r w:rsidRPr="000D5558">
        <w:rPr>
          <w:rFonts w:ascii="Arial" w:hAnsi="Arial" w:cs="Arial"/>
          <w:b/>
          <w:bCs/>
        </w:rPr>
        <w:tab/>
      </w:r>
      <w:r w:rsidRPr="000D5558">
        <w:rPr>
          <w:rFonts w:ascii="Arial" w:hAnsi="Arial" w:cs="Arial"/>
        </w:rPr>
        <w:t xml:space="preserve">I hereby certify that a copy of the foregoing </w:t>
      </w:r>
      <w:r w:rsidR="00C17AE9">
        <w:rPr>
          <w:rFonts w:ascii="Arial" w:hAnsi="Arial" w:cs="Arial"/>
        </w:rPr>
        <w:t xml:space="preserve">Reply </w:t>
      </w:r>
      <w:r>
        <w:rPr>
          <w:rFonts w:ascii="Arial" w:hAnsi="Arial" w:cs="Arial"/>
        </w:rPr>
        <w:t>Comments was served electronically upon the persons</w:t>
      </w:r>
      <w:r w:rsidRPr="000D5558">
        <w:rPr>
          <w:rFonts w:ascii="Arial" w:hAnsi="Arial" w:cs="Arial"/>
        </w:rPr>
        <w:t xml:space="preserve"> identified</w:t>
      </w:r>
      <w:r>
        <w:rPr>
          <w:rFonts w:ascii="Arial" w:hAnsi="Arial" w:cs="Arial"/>
        </w:rPr>
        <w:t xml:space="preserve"> below in this case on this </w:t>
      </w:r>
      <w:r w:rsidR="00C17AE9">
        <w:rPr>
          <w:rFonts w:ascii="Arial" w:hAnsi="Arial" w:cs="Arial"/>
        </w:rPr>
        <w:t>9</w:t>
      </w:r>
      <w:r>
        <w:rPr>
          <w:rFonts w:ascii="Arial" w:hAnsi="Arial" w:cs="Arial"/>
        </w:rPr>
        <w:t xml:space="preserve">th day of </w:t>
      </w:r>
      <w:r w:rsidR="00C17AE9">
        <w:rPr>
          <w:rFonts w:ascii="Arial" w:hAnsi="Arial" w:cs="Arial"/>
        </w:rPr>
        <w:t>January, 2015</w:t>
      </w:r>
      <w:r w:rsidRPr="000D5558">
        <w:rPr>
          <w:rFonts w:ascii="Arial" w:hAnsi="Arial" w:cs="Arial"/>
        </w:rPr>
        <w:t>.</w:t>
      </w:r>
    </w:p>
    <w:p w14:paraId="1F09243E" w14:textId="77777777" w:rsidR="00222345" w:rsidRPr="000D5558" w:rsidRDefault="00222345" w:rsidP="0015109D">
      <w:pPr>
        <w:spacing w:line="480" w:lineRule="auto"/>
        <w:ind w:right="-360"/>
        <w:rPr>
          <w:rFonts w:ascii="Arial" w:hAnsi="Arial" w:cs="Arial"/>
        </w:rPr>
      </w:pPr>
    </w:p>
    <w:p w14:paraId="3CC026C1" w14:textId="77777777" w:rsidR="00222345" w:rsidRPr="00C51B73" w:rsidRDefault="00222345" w:rsidP="006C2E08">
      <w:pPr>
        <w:pStyle w:val="BodyTextIndent"/>
        <w:rPr>
          <w:u w:val="single"/>
        </w:rPr>
      </w:pPr>
      <w:r w:rsidRPr="00C51B73">
        <w:rPr>
          <w:u w:val="single"/>
        </w:rPr>
        <w:t>/s/</w:t>
      </w:r>
      <w:r w:rsidRPr="00D11A0A">
        <w:rPr>
          <w:rFonts w:ascii="Brush Script MT" w:hAnsi="Brush Script MT" w:cs="Brush Script MT"/>
          <w:u w:val="single"/>
        </w:rPr>
        <w:t>David C. Rinebolt</w:t>
      </w:r>
    </w:p>
    <w:p w14:paraId="329B97DA" w14:textId="77777777" w:rsidR="00222345" w:rsidRPr="008C76AC" w:rsidRDefault="00222345" w:rsidP="006C2E08">
      <w:pPr>
        <w:pStyle w:val="BodyTextIndent"/>
        <w:outlineLvl w:val="0"/>
      </w:pPr>
      <w:r>
        <w:t>David C. Rinebolt</w:t>
      </w:r>
    </w:p>
    <w:p w14:paraId="161D4297" w14:textId="77777777" w:rsidR="00222345" w:rsidRPr="00BB6B94" w:rsidRDefault="00222345" w:rsidP="0015109D">
      <w:r w:rsidRPr="000D5558">
        <w:tab/>
      </w:r>
      <w:r w:rsidRPr="000D5558">
        <w:tab/>
      </w:r>
      <w:r w:rsidRPr="000D5558">
        <w:tab/>
      </w:r>
      <w:r w:rsidRPr="000D5558">
        <w:tab/>
      </w:r>
      <w:r w:rsidRPr="000D5558">
        <w:tab/>
      </w:r>
      <w:r w:rsidRPr="000D5558">
        <w:tab/>
      </w:r>
      <w:r w:rsidRPr="000D5558">
        <w:tab/>
      </w:r>
    </w:p>
    <w:p w14:paraId="7B905DC3" w14:textId="77777777" w:rsidR="00222345" w:rsidRDefault="00222345" w:rsidP="0015109D">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SERVICE LIST</w:t>
      </w:r>
    </w:p>
    <w:p w14:paraId="6C6A09E8" w14:textId="77777777" w:rsidR="00222345" w:rsidRPr="0070229D" w:rsidRDefault="00222345" w:rsidP="0015109D">
      <w:pPr>
        <w:rPr>
          <w:rFonts w:ascii="Arial" w:hAnsi="Arial" w:cs="Arial"/>
          <w:b/>
          <w:bCs/>
        </w:rPr>
      </w:pPr>
    </w:p>
    <w:p w14:paraId="3B0B0417" w14:textId="77777777" w:rsidR="00222345" w:rsidRPr="00F037ED" w:rsidRDefault="00222345" w:rsidP="0015109D">
      <w:pPr>
        <w:pStyle w:val="ListBullet"/>
        <w:numPr>
          <w:ilvl w:val="0"/>
          <w:numId w:val="0"/>
        </w:numPr>
        <w:rPr>
          <w:rFonts w:ascii="Arial" w:hAnsi="Arial" w:cs="Arial"/>
        </w:rPr>
      </w:pPr>
      <w:r>
        <w:tab/>
      </w:r>
      <w:r>
        <w:tab/>
      </w:r>
      <w:r>
        <w:tab/>
      </w:r>
      <w:r>
        <w:tab/>
      </w:r>
      <w:r w:rsidRPr="000D5558">
        <w:tab/>
      </w:r>
      <w:r w:rsidRPr="000D5558">
        <w:tab/>
      </w:r>
    </w:p>
    <w:p w14:paraId="30A8B51B" w14:textId="77777777" w:rsidR="00222345" w:rsidRPr="00D23DCF" w:rsidRDefault="00222345" w:rsidP="0015109D">
      <w:pPr>
        <w:pStyle w:val="ListBullet"/>
        <w:numPr>
          <w:ilvl w:val="0"/>
          <w:numId w:val="0"/>
        </w:numPr>
        <w:rPr>
          <w:rFonts w:ascii="Arial" w:hAnsi="Arial" w:cs="Arial"/>
        </w:rPr>
      </w:pPr>
      <w:r>
        <w:rPr>
          <w:rFonts w:ascii="Arial" w:hAnsi="Arial" w:cs="Arial"/>
        </w:rPr>
        <w:t>William Wright</w:t>
      </w:r>
      <w:r>
        <w:rPr>
          <w:rFonts w:ascii="Arial" w:hAnsi="Arial" w:cs="Arial"/>
        </w:rPr>
        <w:tab/>
      </w:r>
      <w:r>
        <w:rPr>
          <w:rFonts w:ascii="Arial" w:hAnsi="Arial" w:cs="Arial"/>
        </w:rPr>
        <w:tab/>
      </w:r>
      <w:r>
        <w:rPr>
          <w:rFonts w:ascii="Arial" w:hAnsi="Arial" w:cs="Arial"/>
        </w:rPr>
        <w:tab/>
      </w:r>
      <w:r>
        <w:rPr>
          <w:rFonts w:ascii="Arial" w:hAnsi="Arial" w:cs="Arial"/>
        </w:rPr>
        <w:tab/>
        <w:t>Amy B. Spiller</w:t>
      </w:r>
    </w:p>
    <w:p w14:paraId="5338A2FA" w14:textId="77777777" w:rsidR="00222345" w:rsidRPr="00D23DCF" w:rsidRDefault="00222345" w:rsidP="0015109D">
      <w:pPr>
        <w:pStyle w:val="ListBullet"/>
        <w:numPr>
          <w:ilvl w:val="0"/>
          <w:numId w:val="0"/>
        </w:numPr>
        <w:rPr>
          <w:rFonts w:ascii="Arial" w:hAnsi="Arial" w:cs="Arial"/>
        </w:rPr>
      </w:pPr>
      <w:r w:rsidRPr="00D23DCF">
        <w:rPr>
          <w:rFonts w:ascii="Arial" w:hAnsi="Arial" w:cs="Arial"/>
        </w:rPr>
        <w:t>Attorney General’s Office</w:t>
      </w:r>
      <w:r w:rsidRPr="00D23DCF">
        <w:rPr>
          <w:rFonts w:ascii="Arial" w:hAnsi="Arial" w:cs="Arial"/>
        </w:rPr>
        <w:tab/>
      </w:r>
      <w:r w:rsidRPr="00D23DCF">
        <w:rPr>
          <w:rFonts w:ascii="Arial" w:hAnsi="Arial" w:cs="Arial"/>
        </w:rPr>
        <w:tab/>
      </w:r>
      <w:r w:rsidRPr="00D23DCF">
        <w:rPr>
          <w:rFonts w:ascii="Arial" w:hAnsi="Arial" w:cs="Arial"/>
        </w:rPr>
        <w:tab/>
      </w:r>
      <w:r>
        <w:rPr>
          <w:rFonts w:ascii="Arial" w:hAnsi="Arial" w:cs="Arial"/>
        </w:rPr>
        <w:t>Elizabeth H. Watts</w:t>
      </w:r>
    </w:p>
    <w:p w14:paraId="3ED12650" w14:textId="77777777" w:rsidR="00222345" w:rsidRPr="00D23DCF" w:rsidRDefault="00222345" w:rsidP="0015109D">
      <w:pPr>
        <w:pStyle w:val="ListBullet"/>
        <w:numPr>
          <w:ilvl w:val="0"/>
          <w:numId w:val="0"/>
        </w:numPr>
        <w:rPr>
          <w:rFonts w:ascii="Arial" w:hAnsi="Arial" w:cs="Arial"/>
        </w:rPr>
      </w:pPr>
      <w:r w:rsidRPr="00D23DCF">
        <w:rPr>
          <w:rFonts w:ascii="Arial" w:hAnsi="Arial" w:cs="Arial"/>
        </w:rPr>
        <w:t>Public Utilities Commission Section</w:t>
      </w:r>
      <w:r w:rsidRPr="00D23DCF">
        <w:rPr>
          <w:rFonts w:ascii="Arial" w:hAnsi="Arial" w:cs="Arial"/>
        </w:rPr>
        <w:tab/>
      </w:r>
      <w:r>
        <w:rPr>
          <w:rFonts w:ascii="Arial" w:hAnsi="Arial" w:cs="Arial"/>
        </w:rPr>
        <w:t>Duke Energy Business Services LLC</w:t>
      </w:r>
    </w:p>
    <w:p w14:paraId="78B7AE90" w14:textId="77777777" w:rsidR="00222345" w:rsidRDefault="00222345" w:rsidP="0015109D">
      <w:pPr>
        <w:pStyle w:val="ListBullet"/>
        <w:numPr>
          <w:ilvl w:val="0"/>
          <w:numId w:val="0"/>
        </w:numPr>
        <w:rPr>
          <w:rFonts w:ascii="Arial" w:hAnsi="Arial" w:cs="Arial"/>
        </w:rPr>
      </w:pPr>
      <w:r w:rsidRPr="00D23DCF">
        <w:rPr>
          <w:rFonts w:ascii="Arial" w:hAnsi="Arial" w:cs="Arial"/>
        </w:rPr>
        <w:t>180 E. Broad Street, 9</w:t>
      </w:r>
      <w:r w:rsidRPr="00D23DCF">
        <w:rPr>
          <w:rFonts w:ascii="Arial" w:hAnsi="Arial" w:cs="Arial"/>
          <w:vertAlign w:val="superscript"/>
        </w:rPr>
        <w:t>th</w:t>
      </w:r>
      <w:r w:rsidRPr="00D23DCF">
        <w:rPr>
          <w:rFonts w:ascii="Arial" w:hAnsi="Arial" w:cs="Arial"/>
        </w:rPr>
        <w:t xml:space="preserve"> Floor</w:t>
      </w:r>
      <w:r w:rsidRPr="00D23DCF">
        <w:rPr>
          <w:rFonts w:ascii="Arial" w:hAnsi="Arial" w:cs="Arial"/>
        </w:rPr>
        <w:tab/>
      </w:r>
      <w:r w:rsidRPr="00D23DCF">
        <w:rPr>
          <w:rFonts w:ascii="Arial" w:hAnsi="Arial" w:cs="Arial"/>
        </w:rPr>
        <w:tab/>
      </w:r>
      <w:r>
        <w:rPr>
          <w:rFonts w:ascii="Arial" w:hAnsi="Arial" w:cs="Arial"/>
        </w:rPr>
        <w:t>139 East Fourth Street, 1303-Main</w:t>
      </w:r>
    </w:p>
    <w:p w14:paraId="39B0D2E8" w14:textId="77777777" w:rsidR="00222345" w:rsidRPr="00D23DCF" w:rsidRDefault="00222345" w:rsidP="0015109D">
      <w:pPr>
        <w:pStyle w:val="ListBullet"/>
        <w:numPr>
          <w:ilvl w:val="0"/>
          <w:numId w:val="0"/>
        </w:numPr>
        <w:rPr>
          <w:rFonts w:ascii="Arial" w:hAnsi="Arial" w:cs="Arial"/>
        </w:rPr>
      </w:pPr>
      <w:r w:rsidRPr="00D23DCF">
        <w:rPr>
          <w:rFonts w:ascii="Arial" w:hAnsi="Arial" w:cs="Arial"/>
        </w:rPr>
        <w:t>Columbus, Ohio43215-3793</w:t>
      </w:r>
      <w:r>
        <w:rPr>
          <w:rFonts w:ascii="Arial" w:hAnsi="Arial" w:cs="Arial"/>
        </w:rPr>
        <w:tab/>
      </w:r>
      <w:r>
        <w:rPr>
          <w:rFonts w:ascii="Arial" w:hAnsi="Arial" w:cs="Arial"/>
        </w:rPr>
        <w:tab/>
        <w:t>PO Box 960</w:t>
      </w:r>
    </w:p>
    <w:p w14:paraId="4F97ED37" w14:textId="77777777" w:rsidR="00222345" w:rsidRPr="00D23DCF" w:rsidRDefault="00AC4FA0" w:rsidP="0015109D">
      <w:pPr>
        <w:pStyle w:val="ListBullet"/>
        <w:numPr>
          <w:ilvl w:val="0"/>
          <w:numId w:val="0"/>
        </w:numPr>
        <w:rPr>
          <w:rFonts w:ascii="Arial" w:hAnsi="Arial" w:cs="Arial"/>
        </w:rPr>
      </w:pPr>
      <w:hyperlink r:id="rId10" w:history="1">
        <w:r w:rsidR="00222345" w:rsidRPr="00B623E1">
          <w:rPr>
            <w:rStyle w:val="Hyperlink"/>
            <w:rFonts w:ascii="Arial" w:hAnsi="Arial" w:cs="Arial"/>
          </w:rPr>
          <w:t>William.Wright@puc.state.oh.us</w:t>
        </w:r>
      </w:hyperlink>
      <w:r w:rsidR="00222345" w:rsidRPr="00D23DCF">
        <w:rPr>
          <w:rFonts w:ascii="Arial" w:hAnsi="Arial" w:cs="Arial"/>
        </w:rPr>
        <w:tab/>
      </w:r>
      <w:r w:rsidR="00222345" w:rsidRPr="00D23DCF">
        <w:rPr>
          <w:rFonts w:ascii="Arial" w:hAnsi="Arial" w:cs="Arial"/>
        </w:rPr>
        <w:tab/>
      </w:r>
      <w:r w:rsidR="00222345">
        <w:rPr>
          <w:rFonts w:ascii="Arial" w:hAnsi="Arial" w:cs="Arial"/>
        </w:rPr>
        <w:t>Cincinnati, Ohio45201-0960</w:t>
      </w:r>
    </w:p>
    <w:p w14:paraId="12743624" w14:textId="77777777" w:rsidR="00222345" w:rsidRDefault="00AC4FA0" w:rsidP="00F56771">
      <w:pPr>
        <w:pStyle w:val="ListBullet"/>
        <w:numPr>
          <w:ilvl w:val="0"/>
          <w:numId w:val="0"/>
        </w:numPr>
        <w:ind w:left="4320"/>
        <w:rPr>
          <w:rFonts w:ascii="Arial" w:hAnsi="Arial" w:cs="Arial"/>
        </w:rPr>
      </w:pPr>
      <w:hyperlink r:id="rId11" w:history="1">
        <w:r w:rsidR="00222345" w:rsidRPr="00A05BC4">
          <w:rPr>
            <w:rStyle w:val="Hyperlink"/>
            <w:rFonts w:ascii="Arial" w:hAnsi="Arial" w:cs="Arial"/>
          </w:rPr>
          <w:t>amy.spiller@duke-energy.com</w:t>
        </w:r>
      </w:hyperlink>
    </w:p>
    <w:p w14:paraId="0F4DD0C8" w14:textId="77777777" w:rsidR="00222345" w:rsidRDefault="00AC4FA0" w:rsidP="00F56771">
      <w:pPr>
        <w:pStyle w:val="ListBullet"/>
        <w:numPr>
          <w:ilvl w:val="0"/>
          <w:numId w:val="0"/>
        </w:numPr>
        <w:ind w:left="4320"/>
        <w:rPr>
          <w:rFonts w:ascii="Arial" w:hAnsi="Arial" w:cs="Arial"/>
        </w:rPr>
      </w:pPr>
      <w:hyperlink r:id="rId12" w:history="1">
        <w:r w:rsidR="00222345" w:rsidRPr="00A05BC4">
          <w:rPr>
            <w:rStyle w:val="Hyperlink"/>
            <w:rFonts w:ascii="Arial" w:hAnsi="Arial" w:cs="Arial"/>
          </w:rPr>
          <w:t>elizabeth.watts@duke-energy.com</w:t>
        </w:r>
      </w:hyperlink>
    </w:p>
    <w:p w14:paraId="374F49FF" w14:textId="77777777" w:rsidR="00222345" w:rsidRPr="005273EF" w:rsidRDefault="00222345" w:rsidP="00F56771">
      <w:pPr>
        <w:pStyle w:val="ListBullet"/>
        <w:numPr>
          <w:ilvl w:val="0"/>
          <w:numId w:val="0"/>
        </w:numPr>
        <w:ind w:left="4320"/>
        <w:rPr>
          <w:rFonts w:ascii="Arial" w:hAnsi="Arial" w:cs="Arial"/>
          <w:lang w:val="es-ES_tradnl"/>
        </w:rPr>
      </w:pPr>
    </w:p>
    <w:p w14:paraId="77D67E18" w14:textId="77777777" w:rsidR="00222345" w:rsidRDefault="00222345" w:rsidP="0015109D">
      <w:pPr>
        <w:pStyle w:val="ListBullet"/>
        <w:numPr>
          <w:ilvl w:val="0"/>
          <w:numId w:val="0"/>
        </w:numPr>
        <w:rPr>
          <w:rFonts w:ascii="Arial" w:hAnsi="Arial" w:cs="Arial"/>
        </w:rPr>
      </w:pPr>
      <w:r>
        <w:rPr>
          <w:rFonts w:ascii="Arial" w:hAnsi="Arial" w:cs="Arial"/>
        </w:rPr>
        <w:t>Matthew R. Pritchard</w:t>
      </w:r>
      <w:r>
        <w:rPr>
          <w:rFonts w:ascii="Arial" w:hAnsi="Arial" w:cs="Arial"/>
        </w:rPr>
        <w:tab/>
      </w:r>
      <w:r>
        <w:rPr>
          <w:rFonts w:ascii="Arial" w:hAnsi="Arial" w:cs="Arial"/>
        </w:rPr>
        <w:tab/>
      </w:r>
      <w:r>
        <w:rPr>
          <w:rFonts w:ascii="Arial" w:hAnsi="Arial" w:cs="Arial"/>
        </w:rPr>
        <w:tab/>
        <w:t>Rebecca L. Hussey</w:t>
      </w:r>
    </w:p>
    <w:p w14:paraId="7AB06357" w14:textId="77777777" w:rsidR="00222345" w:rsidRDefault="00222345" w:rsidP="000E6887">
      <w:pPr>
        <w:pStyle w:val="ListBullet"/>
        <w:numPr>
          <w:ilvl w:val="0"/>
          <w:numId w:val="0"/>
        </w:numPr>
        <w:rPr>
          <w:rFonts w:ascii="Arial" w:hAnsi="Arial" w:cs="Arial"/>
        </w:rPr>
      </w:pPr>
      <w:r>
        <w:rPr>
          <w:rFonts w:ascii="Arial" w:hAnsi="Arial" w:cs="Arial"/>
        </w:rPr>
        <w:t>McNees, Wallace &amp;Nurick</w:t>
      </w:r>
      <w:r>
        <w:rPr>
          <w:rFonts w:ascii="Arial" w:hAnsi="Arial" w:cs="Arial"/>
        </w:rPr>
        <w:tab/>
      </w:r>
      <w:r>
        <w:rPr>
          <w:rFonts w:ascii="Arial" w:hAnsi="Arial" w:cs="Arial"/>
        </w:rPr>
        <w:tab/>
      </w:r>
      <w:r>
        <w:rPr>
          <w:rFonts w:ascii="Arial" w:hAnsi="Arial" w:cs="Arial"/>
        </w:rPr>
        <w:tab/>
        <w:t>Carpenter Lipps &amp; Leland</w:t>
      </w:r>
    </w:p>
    <w:p w14:paraId="5BDFEDED" w14:textId="77777777" w:rsidR="00222345" w:rsidRDefault="00222345" w:rsidP="000E6887">
      <w:pPr>
        <w:pStyle w:val="ListBullet"/>
        <w:numPr>
          <w:ilvl w:val="0"/>
          <w:numId w:val="0"/>
        </w:numPr>
        <w:rPr>
          <w:rFonts w:ascii="Arial" w:hAnsi="Arial" w:cs="Arial"/>
        </w:rPr>
      </w:pPr>
      <w:r>
        <w:rPr>
          <w:rFonts w:ascii="Arial" w:hAnsi="Arial" w:cs="Arial"/>
        </w:rPr>
        <w:t>21 East State St., 17</w:t>
      </w:r>
      <w:r w:rsidRPr="000E6887">
        <w:rPr>
          <w:rFonts w:ascii="Arial" w:hAnsi="Arial" w:cs="Arial"/>
          <w:vertAlign w:val="superscript"/>
        </w:rPr>
        <w:t>th</w:t>
      </w:r>
      <w:r>
        <w:rPr>
          <w:rFonts w:ascii="Arial" w:hAnsi="Arial" w:cs="Arial"/>
        </w:rPr>
        <w:t xml:space="preserve"> Floor</w:t>
      </w:r>
      <w:r>
        <w:rPr>
          <w:rFonts w:ascii="Arial" w:hAnsi="Arial" w:cs="Arial"/>
        </w:rPr>
        <w:tab/>
      </w:r>
      <w:r>
        <w:rPr>
          <w:rFonts w:ascii="Arial" w:hAnsi="Arial" w:cs="Arial"/>
        </w:rPr>
        <w:tab/>
        <w:t>280 Plaza, Suite 1300</w:t>
      </w:r>
    </w:p>
    <w:p w14:paraId="38B77789" w14:textId="77777777" w:rsidR="00222345" w:rsidRDefault="00222345" w:rsidP="000E6887">
      <w:pPr>
        <w:pStyle w:val="ListBullet"/>
        <w:numPr>
          <w:ilvl w:val="0"/>
          <w:numId w:val="0"/>
        </w:numPr>
        <w:rPr>
          <w:rFonts w:ascii="Arial" w:hAnsi="Arial" w:cs="Arial"/>
        </w:rPr>
      </w:pPr>
      <w:r>
        <w:rPr>
          <w:rFonts w:ascii="Arial" w:hAnsi="Arial" w:cs="Arial"/>
        </w:rPr>
        <w:t>Columbus, OH  43215</w:t>
      </w:r>
      <w:r>
        <w:rPr>
          <w:rFonts w:ascii="Arial" w:hAnsi="Arial" w:cs="Arial"/>
        </w:rPr>
        <w:tab/>
      </w:r>
      <w:r>
        <w:rPr>
          <w:rFonts w:ascii="Arial" w:hAnsi="Arial" w:cs="Arial"/>
        </w:rPr>
        <w:tab/>
      </w:r>
      <w:r>
        <w:rPr>
          <w:rFonts w:ascii="Arial" w:hAnsi="Arial" w:cs="Arial"/>
        </w:rPr>
        <w:tab/>
        <w:t>280 North High Street</w:t>
      </w:r>
    </w:p>
    <w:p w14:paraId="7171A5D2" w14:textId="77777777" w:rsidR="00222345" w:rsidRDefault="00AC4FA0" w:rsidP="000E6887">
      <w:pPr>
        <w:pStyle w:val="ListBullet"/>
        <w:numPr>
          <w:ilvl w:val="0"/>
          <w:numId w:val="0"/>
        </w:numPr>
        <w:rPr>
          <w:rFonts w:ascii="Arial" w:hAnsi="Arial" w:cs="Arial"/>
        </w:rPr>
      </w:pPr>
      <w:hyperlink r:id="rId13" w:history="1">
        <w:r w:rsidR="00222345" w:rsidRPr="00172B4C">
          <w:rPr>
            <w:rStyle w:val="Hyperlink"/>
            <w:rFonts w:ascii="Arial" w:hAnsi="Arial" w:cs="Arial"/>
          </w:rPr>
          <w:t>mpritchard@mwncmh.com</w:t>
        </w:r>
      </w:hyperlink>
      <w:r w:rsidR="00222345">
        <w:rPr>
          <w:rFonts w:ascii="Arial" w:hAnsi="Arial" w:cs="Arial"/>
        </w:rPr>
        <w:tab/>
      </w:r>
      <w:r w:rsidR="00222345">
        <w:rPr>
          <w:rFonts w:ascii="Arial" w:hAnsi="Arial" w:cs="Arial"/>
        </w:rPr>
        <w:tab/>
      </w:r>
      <w:r w:rsidR="00222345">
        <w:rPr>
          <w:rFonts w:ascii="Arial" w:hAnsi="Arial" w:cs="Arial"/>
        </w:rPr>
        <w:tab/>
        <w:t>Columbus, OH  43215</w:t>
      </w:r>
    </w:p>
    <w:p w14:paraId="2FF36E70" w14:textId="77777777" w:rsidR="00222345" w:rsidRDefault="00AC4FA0" w:rsidP="0021631E">
      <w:pPr>
        <w:pStyle w:val="ListBullet"/>
        <w:numPr>
          <w:ilvl w:val="0"/>
          <w:numId w:val="0"/>
        </w:numPr>
        <w:ind w:left="3600" w:firstLine="720"/>
        <w:rPr>
          <w:rFonts w:ascii="Arial" w:hAnsi="Arial" w:cs="Arial"/>
        </w:rPr>
      </w:pPr>
      <w:hyperlink r:id="rId14" w:history="1">
        <w:r w:rsidR="00222345" w:rsidRPr="00172B4C">
          <w:rPr>
            <w:rStyle w:val="Hyperlink"/>
            <w:rFonts w:ascii="Arial" w:hAnsi="Arial" w:cs="Arial"/>
          </w:rPr>
          <w:t>Hussey@carpenterlipps.com</w:t>
        </w:r>
      </w:hyperlink>
    </w:p>
    <w:p w14:paraId="28E08FFD" w14:textId="77777777" w:rsidR="00222345" w:rsidRDefault="00222345" w:rsidP="0021631E">
      <w:pPr>
        <w:pStyle w:val="ListBullet"/>
        <w:numPr>
          <w:ilvl w:val="0"/>
          <w:numId w:val="0"/>
        </w:numPr>
        <w:rPr>
          <w:rFonts w:ascii="Arial" w:hAnsi="Arial" w:cs="Arial"/>
        </w:rPr>
      </w:pPr>
    </w:p>
    <w:p w14:paraId="4A009375" w14:textId="77777777" w:rsidR="00222345" w:rsidRDefault="00222345" w:rsidP="0021631E">
      <w:pPr>
        <w:pStyle w:val="ListBullet"/>
        <w:numPr>
          <w:ilvl w:val="0"/>
          <w:numId w:val="0"/>
        </w:numPr>
        <w:rPr>
          <w:rFonts w:ascii="Arial" w:hAnsi="Arial" w:cs="Arial"/>
        </w:rPr>
      </w:pPr>
      <w:r>
        <w:rPr>
          <w:rFonts w:ascii="Arial" w:hAnsi="Arial" w:cs="Arial"/>
        </w:rPr>
        <w:t>Kyle L. Kern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David F. Boehm</w:t>
      </w:r>
    </w:p>
    <w:p w14:paraId="1325D256" w14:textId="77777777" w:rsidR="00222345" w:rsidRDefault="00222345" w:rsidP="0021631E">
      <w:pPr>
        <w:pStyle w:val="ListBullet"/>
        <w:numPr>
          <w:ilvl w:val="0"/>
          <w:numId w:val="0"/>
        </w:numPr>
        <w:rPr>
          <w:rFonts w:ascii="Arial" w:hAnsi="Arial" w:cs="Arial"/>
        </w:rPr>
      </w:pPr>
      <w:r>
        <w:rPr>
          <w:rFonts w:ascii="Arial" w:hAnsi="Arial" w:cs="Arial"/>
        </w:rPr>
        <w:t>Office of the Ohio Consumers’ Counsel</w:t>
      </w:r>
      <w:r>
        <w:rPr>
          <w:rFonts w:ascii="Arial" w:hAnsi="Arial" w:cs="Arial"/>
        </w:rPr>
        <w:tab/>
        <w:t>Boehm, Kurtz &amp; Lowery</w:t>
      </w:r>
    </w:p>
    <w:p w14:paraId="2D02F71F" w14:textId="77777777" w:rsidR="00222345" w:rsidRDefault="00222345" w:rsidP="0021631E">
      <w:pPr>
        <w:pStyle w:val="ListBullet"/>
        <w:numPr>
          <w:ilvl w:val="0"/>
          <w:numId w:val="0"/>
        </w:numPr>
        <w:rPr>
          <w:rFonts w:ascii="Arial" w:hAnsi="Arial" w:cs="Arial"/>
        </w:rPr>
      </w:pPr>
      <w:r>
        <w:rPr>
          <w:rFonts w:ascii="Arial" w:hAnsi="Arial" w:cs="Arial"/>
        </w:rPr>
        <w:t>10 West Broad St, Suite 1800</w:t>
      </w:r>
      <w:r>
        <w:rPr>
          <w:rFonts w:ascii="Arial" w:hAnsi="Arial" w:cs="Arial"/>
        </w:rPr>
        <w:tab/>
      </w:r>
      <w:r>
        <w:rPr>
          <w:rFonts w:ascii="Arial" w:hAnsi="Arial" w:cs="Arial"/>
        </w:rPr>
        <w:tab/>
        <w:t>36 East Seventh Street, Suite 1510</w:t>
      </w:r>
    </w:p>
    <w:p w14:paraId="65CF3DD8" w14:textId="77777777" w:rsidR="00222345" w:rsidRDefault="00222345" w:rsidP="0021631E">
      <w:pPr>
        <w:pStyle w:val="ListBullet"/>
        <w:numPr>
          <w:ilvl w:val="0"/>
          <w:numId w:val="0"/>
        </w:numPr>
        <w:rPr>
          <w:rFonts w:ascii="Arial" w:hAnsi="Arial" w:cs="Arial"/>
        </w:rPr>
      </w:pPr>
      <w:r>
        <w:rPr>
          <w:rFonts w:ascii="Arial" w:hAnsi="Arial" w:cs="Arial"/>
        </w:rPr>
        <w:t>Columbus, OH  43215-3485</w:t>
      </w:r>
      <w:r>
        <w:rPr>
          <w:rFonts w:ascii="Arial" w:hAnsi="Arial" w:cs="Arial"/>
        </w:rPr>
        <w:tab/>
      </w:r>
      <w:r>
        <w:rPr>
          <w:rFonts w:ascii="Arial" w:hAnsi="Arial" w:cs="Arial"/>
        </w:rPr>
        <w:tab/>
        <w:t>Cincinnati, OH  45202</w:t>
      </w:r>
    </w:p>
    <w:p w14:paraId="5A8482A6" w14:textId="77777777" w:rsidR="00222345" w:rsidRDefault="00AC4FA0" w:rsidP="0021631E">
      <w:pPr>
        <w:pStyle w:val="ListBullet"/>
        <w:numPr>
          <w:ilvl w:val="0"/>
          <w:numId w:val="0"/>
        </w:numPr>
      </w:pPr>
      <w:hyperlink r:id="rId15" w:history="1">
        <w:r w:rsidR="00BE4BE2" w:rsidRPr="008568D1">
          <w:rPr>
            <w:rStyle w:val="Hyperlink"/>
            <w:rFonts w:ascii="Arial" w:hAnsi="Arial" w:cs="Arial"/>
          </w:rPr>
          <w:t>Kyle.kern@occ.ohio.gov</w:t>
        </w:r>
      </w:hyperlink>
      <w:r w:rsidR="00BE4BE2">
        <w:rPr>
          <w:rFonts w:ascii="Arial" w:hAnsi="Arial" w:cs="Arial"/>
        </w:rPr>
        <w:t xml:space="preserve"> </w:t>
      </w:r>
      <w:r w:rsidR="00222345">
        <w:rPr>
          <w:rFonts w:ascii="Arial" w:hAnsi="Arial" w:cs="Arial"/>
        </w:rPr>
        <w:tab/>
      </w:r>
      <w:r w:rsidR="00222345">
        <w:rPr>
          <w:rFonts w:ascii="Arial" w:hAnsi="Arial" w:cs="Arial"/>
        </w:rPr>
        <w:tab/>
      </w:r>
      <w:r w:rsidR="00222345">
        <w:rPr>
          <w:rFonts w:ascii="Arial" w:hAnsi="Arial" w:cs="Arial"/>
        </w:rPr>
        <w:tab/>
      </w:r>
      <w:hyperlink r:id="rId16" w:history="1">
        <w:r w:rsidR="00222345" w:rsidRPr="00172B4C">
          <w:rPr>
            <w:rStyle w:val="Hyperlink"/>
            <w:rFonts w:ascii="Arial" w:hAnsi="Arial" w:cs="Arial"/>
          </w:rPr>
          <w:t>dboehm@bkllawfirm.com</w:t>
        </w:r>
      </w:hyperlink>
    </w:p>
    <w:p w14:paraId="28950BD3" w14:textId="77777777" w:rsidR="00222345" w:rsidRDefault="00AC4FA0" w:rsidP="0021631E">
      <w:pPr>
        <w:pStyle w:val="ListBullet"/>
        <w:numPr>
          <w:ilvl w:val="0"/>
          <w:numId w:val="0"/>
        </w:numPr>
        <w:rPr>
          <w:rFonts w:ascii="Arial" w:hAnsi="Arial" w:cs="Arial"/>
        </w:rPr>
      </w:pPr>
      <w:hyperlink r:id="rId17" w:history="1">
        <w:r w:rsidR="00222345" w:rsidRPr="00B623E1">
          <w:rPr>
            <w:rStyle w:val="Hyperlink"/>
            <w:rFonts w:ascii="Arial" w:hAnsi="Arial" w:cs="Arial"/>
          </w:rPr>
          <w:t>Michael.schuler@occ.ohio.gov</w:t>
        </w:r>
      </w:hyperlink>
    </w:p>
    <w:p w14:paraId="78F3583E" w14:textId="77777777" w:rsidR="00222345" w:rsidRDefault="00222345" w:rsidP="0021631E">
      <w:pPr>
        <w:pStyle w:val="ListBullet"/>
        <w:numPr>
          <w:ilvl w:val="0"/>
          <w:numId w:val="0"/>
        </w:numPr>
        <w:rPr>
          <w:rFonts w:ascii="Arial" w:hAnsi="Arial" w:cs="Arial"/>
        </w:rPr>
      </w:pPr>
    </w:p>
    <w:p w14:paraId="2A8D4460" w14:textId="77777777" w:rsidR="00222345" w:rsidRDefault="00222345" w:rsidP="0021631E">
      <w:pPr>
        <w:pStyle w:val="ListBullet"/>
        <w:numPr>
          <w:ilvl w:val="0"/>
          <w:numId w:val="0"/>
        </w:numPr>
        <w:rPr>
          <w:rFonts w:ascii="Arial" w:hAnsi="Arial" w:cs="Arial"/>
        </w:rPr>
      </w:pPr>
      <w:r>
        <w:rPr>
          <w:rFonts w:ascii="Arial" w:hAnsi="Arial" w:cs="Arial"/>
        </w:rPr>
        <w:t>Kimberly W. Bojko</w:t>
      </w:r>
      <w:r>
        <w:rPr>
          <w:rFonts w:ascii="Arial" w:hAnsi="Arial" w:cs="Arial"/>
        </w:rPr>
        <w:tab/>
      </w:r>
      <w:r>
        <w:rPr>
          <w:rFonts w:ascii="Arial" w:hAnsi="Arial" w:cs="Arial"/>
        </w:rPr>
        <w:tab/>
      </w:r>
      <w:r>
        <w:rPr>
          <w:rFonts w:ascii="Arial" w:hAnsi="Arial" w:cs="Arial"/>
        </w:rPr>
        <w:tab/>
      </w:r>
      <w:r>
        <w:rPr>
          <w:rFonts w:ascii="Arial" w:hAnsi="Arial" w:cs="Arial"/>
        </w:rPr>
        <w:tab/>
        <w:t>Andrew J. Sonderman</w:t>
      </w:r>
    </w:p>
    <w:p w14:paraId="0884E87A" w14:textId="77777777" w:rsidR="00222345" w:rsidRDefault="00222345" w:rsidP="0021631E">
      <w:pPr>
        <w:pStyle w:val="ListBullet"/>
        <w:numPr>
          <w:ilvl w:val="0"/>
          <w:numId w:val="0"/>
        </w:numPr>
        <w:rPr>
          <w:rFonts w:ascii="Arial" w:hAnsi="Arial" w:cs="Arial"/>
        </w:rPr>
      </w:pPr>
      <w:r>
        <w:rPr>
          <w:rFonts w:ascii="Arial" w:hAnsi="Arial" w:cs="Arial"/>
        </w:rPr>
        <w:t>Carpenter Lipps&amp; Leland</w:t>
      </w:r>
      <w:r>
        <w:rPr>
          <w:rFonts w:ascii="Arial" w:hAnsi="Arial" w:cs="Arial"/>
        </w:rPr>
        <w:tab/>
      </w:r>
      <w:r>
        <w:rPr>
          <w:rFonts w:ascii="Arial" w:hAnsi="Arial" w:cs="Arial"/>
        </w:rPr>
        <w:tab/>
      </w:r>
      <w:r>
        <w:rPr>
          <w:rFonts w:ascii="Arial" w:hAnsi="Arial" w:cs="Arial"/>
        </w:rPr>
        <w:tab/>
        <w:t>Kegler Brown Hill &amp; Ritter</w:t>
      </w:r>
    </w:p>
    <w:p w14:paraId="6DD73C60" w14:textId="77777777" w:rsidR="00222345" w:rsidRDefault="00222345" w:rsidP="0015109D">
      <w:pPr>
        <w:pStyle w:val="ListBullet"/>
        <w:numPr>
          <w:ilvl w:val="0"/>
          <w:numId w:val="0"/>
        </w:numPr>
        <w:rPr>
          <w:rFonts w:ascii="Arial" w:hAnsi="Arial" w:cs="Arial"/>
        </w:rPr>
      </w:pPr>
      <w:r>
        <w:rPr>
          <w:rFonts w:ascii="Arial" w:hAnsi="Arial" w:cs="Arial"/>
        </w:rPr>
        <w:t>280 Plaza, Suite 1300</w:t>
      </w:r>
      <w:r>
        <w:rPr>
          <w:rFonts w:ascii="Arial" w:hAnsi="Arial" w:cs="Arial"/>
        </w:rPr>
        <w:tab/>
      </w:r>
      <w:r>
        <w:rPr>
          <w:rFonts w:ascii="Arial" w:hAnsi="Arial" w:cs="Arial"/>
        </w:rPr>
        <w:tab/>
      </w:r>
      <w:r>
        <w:rPr>
          <w:rFonts w:ascii="Arial" w:hAnsi="Arial" w:cs="Arial"/>
        </w:rPr>
        <w:tab/>
        <w:t>Capitol Square, Suite 1800</w:t>
      </w:r>
    </w:p>
    <w:p w14:paraId="75342795" w14:textId="77777777" w:rsidR="00222345" w:rsidRDefault="00222345" w:rsidP="0015109D">
      <w:pPr>
        <w:pStyle w:val="ListBullet"/>
        <w:numPr>
          <w:ilvl w:val="0"/>
          <w:numId w:val="0"/>
        </w:numPr>
        <w:rPr>
          <w:rFonts w:ascii="Arial" w:hAnsi="Arial" w:cs="Arial"/>
        </w:rPr>
      </w:pPr>
      <w:r>
        <w:rPr>
          <w:rFonts w:ascii="Arial" w:hAnsi="Arial" w:cs="Arial"/>
        </w:rPr>
        <w:t>280 North High Street</w:t>
      </w:r>
      <w:r>
        <w:rPr>
          <w:rFonts w:ascii="Arial" w:hAnsi="Arial" w:cs="Arial"/>
        </w:rPr>
        <w:tab/>
      </w:r>
      <w:r>
        <w:rPr>
          <w:rFonts w:ascii="Arial" w:hAnsi="Arial" w:cs="Arial"/>
        </w:rPr>
        <w:tab/>
      </w:r>
      <w:r>
        <w:rPr>
          <w:rFonts w:ascii="Arial" w:hAnsi="Arial" w:cs="Arial"/>
        </w:rPr>
        <w:tab/>
        <w:t>65 East State Street</w:t>
      </w:r>
    </w:p>
    <w:p w14:paraId="6CDF70F1" w14:textId="77777777" w:rsidR="00222345" w:rsidRDefault="00222345" w:rsidP="0015109D">
      <w:pPr>
        <w:pStyle w:val="ListBullet"/>
        <w:numPr>
          <w:ilvl w:val="0"/>
          <w:numId w:val="0"/>
        </w:numPr>
        <w:rPr>
          <w:rFonts w:ascii="Arial" w:hAnsi="Arial" w:cs="Arial"/>
        </w:rPr>
      </w:pPr>
      <w:r>
        <w:rPr>
          <w:rFonts w:ascii="Arial" w:hAnsi="Arial" w:cs="Arial"/>
        </w:rPr>
        <w:t>Columbus, OH  43215</w:t>
      </w:r>
      <w:r>
        <w:rPr>
          <w:rFonts w:ascii="Arial" w:hAnsi="Arial" w:cs="Arial"/>
        </w:rPr>
        <w:tab/>
      </w:r>
      <w:r>
        <w:rPr>
          <w:rFonts w:ascii="Arial" w:hAnsi="Arial" w:cs="Arial"/>
        </w:rPr>
        <w:tab/>
      </w:r>
      <w:r>
        <w:rPr>
          <w:rFonts w:ascii="Arial" w:hAnsi="Arial" w:cs="Arial"/>
        </w:rPr>
        <w:tab/>
        <w:t>Columbus, OH  43215-4294</w:t>
      </w:r>
    </w:p>
    <w:p w14:paraId="52FCCA75" w14:textId="77777777" w:rsidR="00222345" w:rsidRDefault="00AC4FA0" w:rsidP="0015109D">
      <w:pPr>
        <w:pStyle w:val="ListBullet"/>
        <w:numPr>
          <w:ilvl w:val="0"/>
          <w:numId w:val="0"/>
        </w:numPr>
      </w:pPr>
      <w:hyperlink r:id="rId18" w:history="1">
        <w:r w:rsidR="00222345" w:rsidRPr="00172B4C">
          <w:rPr>
            <w:rStyle w:val="Hyperlink"/>
            <w:rFonts w:ascii="Arial" w:hAnsi="Arial" w:cs="Arial"/>
          </w:rPr>
          <w:t>bojko@carpenterlipps.com</w:t>
        </w:r>
      </w:hyperlink>
      <w:r w:rsidR="00222345">
        <w:rPr>
          <w:rFonts w:ascii="Arial" w:hAnsi="Arial" w:cs="Arial"/>
        </w:rPr>
        <w:tab/>
      </w:r>
      <w:r w:rsidR="00222345">
        <w:rPr>
          <w:rFonts w:ascii="Arial" w:hAnsi="Arial" w:cs="Arial"/>
        </w:rPr>
        <w:tab/>
      </w:r>
      <w:r w:rsidR="00222345">
        <w:rPr>
          <w:rFonts w:ascii="Arial" w:hAnsi="Arial" w:cs="Arial"/>
        </w:rPr>
        <w:tab/>
      </w:r>
      <w:hyperlink r:id="rId19" w:history="1">
        <w:r w:rsidR="00222345" w:rsidRPr="00172B4C">
          <w:rPr>
            <w:rStyle w:val="Hyperlink"/>
            <w:rFonts w:ascii="Arial" w:hAnsi="Arial" w:cs="Arial"/>
          </w:rPr>
          <w:t>asonderman@keglerbrown.com</w:t>
        </w:r>
      </w:hyperlink>
    </w:p>
    <w:p w14:paraId="46EFBC8D" w14:textId="77777777" w:rsidR="00222345" w:rsidRDefault="00222345" w:rsidP="0015109D">
      <w:pPr>
        <w:pStyle w:val="ListBullet"/>
        <w:numPr>
          <w:ilvl w:val="0"/>
          <w:numId w:val="0"/>
        </w:numPr>
        <w:rPr>
          <w:rFonts w:ascii="Arial" w:hAnsi="Arial" w:cs="Arial"/>
        </w:rPr>
      </w:pPr>
    </w:p>
    <w:p w14:paraId="76214316" w14:textId="77777777" w:rsidR="00222345" w:rsidRDefault="00222345" w:rsidP="0015109D">
      <w:pPr>
        <w:pStyle w:val="ListBullet"/>
        <w:numPr>
          <w:ilvl w:val="0"/>
          <w:numId w:val="0"/>
        </w:numPr>
        <w:rPr>
          <w:rFonts w:ascii="Arial" w:hAnsi="Arial" w:cs="Arial"/>
        </w:rPr>
      </w:pPr>
    </w:p>
    <w:p w14:paraId="7517A956" w14:textId="77777777" w:rsidR="00222345" w:rsidRPr="008054B0" w:rsidRDefault="00222345" w:rsidP="0015109D">
      <w:pPr>
        <w:pStyle w:val="ListBullet"/>
        <w:numPr>
          <w:ilvl w:val="0"/>
          <w:numId w:val="0"/>
        </w:numPr>
        <w:rPr>
          <w:rFonts w:ascii="Arial" w:hAnsi="Arial" w:cs="Arial"/>
        </w:rPr>
      </w:pPr>
      <w:r w:rsidRPr="008054B0">
        <w:rPr>
          <w:rFonts w:ascii="Arial" w:hAnsi="Arial" w:cs="Arial"/>
        </w:rPr>
        <w:t>Trent A. Dougherty</w:t>
      </w:r>
      <w:r>
        <w:rPr>
          <w:rFonts w:ascii="Arial" w:hAnsi="Arial" w:cs="Arial"/>
        </w:rPr>
        <w:tab/>
      </w:r>
      <w:r>
        <w:rPr>
          <w:rFonts w:ascii="Arial" w:hAnsi="Arial" w:cs="Arial"/>
        </w:rPr>
        <w:tab/>
      </w:r>
      <w:r>
        <w:rPr>
          <w:rFonts w:ascii="Arial" w:hAnsi="Arial" w:cs="Arial"/>
        </w:rPr>
        <w:tab/>
      </w:r>
      <w:r>
        <w:rPr>
          <w:rFonts w:ascii="Arial" w:hAnsi="Arial" w:cs="Arial"/>
        </w:rPr>
        <w:tab/>
        <w:t>Sama</w:t>
      </w:r>
      <w:r w:rsidR="00BE4BE2">
        <w:rPr>
          <w:rFonts w:ascii="Arial" w:hAnsi="Arial" w:cs="Arial"/>
        </w:rPr>
        <w:t>n</w:t>
      </w:r>
      <w:r>
        <w:rPr>
          <w:rFonts w:ascii="Arial" w:hAnsi="Arial" w:cs="Arial"/>
        </w:rPr>
        <w:t>tha Williams</w:t>
      </w:r>
    </w:p>
    <w:p w14:paraId="27C83C4F" w14:textId="77777777" w:rsidR="00BE4BE2" w:rsidRDefault="00BE4BE2" w:rsidP="0015109D">
      <w:pPr>
        <w:pStyle w:val="ListBullet"/>
        <w:numPr>
          <w:ilvl w:val="0"/>
          <w:numId w:val="0"/>
        </w:numPr>
        <w:rPr>
          <w:rFonts w:ascii="Arial" w:hAnsi="Arial" w:cs="Arial"/>
        </w:rPr>
      </w:pPr>
      <w:r>
        <w:rPr>
          <w:rFonts w:ascii="Arial" w:hAnsi="Arial" w:cs="Arial"/>
        </w:rPr>
        <w:t>Ohio Environmental Council</w:t>
      </w:r>
      <w:r>
        <w:rPr>
          <w:rFonts w:ascii="Arial" w:hAnsi="Arial" w:cs="Arial"/>
        </w:rPr>
        <w:tab/>
      </w:r>
      <w:r>
        <w:rPr>
          <w:rFonts w:ascii="Arial" w:hAnsi="Arial" w:cs="Arial"/>
        </w:rPr>
        <w:tab/>
        <w:t>Natural Resources Defense Council</w:t>
      </w:r>
    </w:p>
    <w:p w14:paraId="47BE641D" w14:textId="77777777" w:rsidR="00222345" w:rsidRPr="008054B0" w:rsidRDefault="00222345" w:rsidP="0015109D">
      <w:pPr>
        <w:pStyle w:val="ListBullet"/>
        <w:numPr>
          <w:ilvl w:val="0"/>
          <w:numId w:val="0"/>
        </w:numPr>
        <w:rPr>
          <w:rFonts w:ascii="Arial" w:hAnsi="Arial" w:cs="Arial"/>
        </w:rPr>
      </w:pPr>
      <w:r w:rsidRPr="008054B0">
        <w:rPr>
          <w:rFonts w:ascii="Arial" w:hAnsi="Arial" w:cs="Arial"/>
        </w:rPr>
        <w:t>1207 Grandview Avenue</w:t>
      </w:r>
      <w:r>
        <w:rPr>
          <w:rFonts w:ascii="Arial" w:hAnsi="Arial" w:cs="Arial"/>
        </w:rPr>
        <w:tab/>
      </w:r>
      <w:r>
        <w:rPr>
          <w:rFonts w:ascii="Arial" w:hAnsi="Arial" w:cs="Arial"/>
        </w:rPr>
        <w:tab/>
      </w:r>
      <w:r>
        <w:rPr>
          <w:rFonts w:ascii="Arial" w:hAnsi="Arial" w:cs="Arial"/>
        </w:rPr>
        <w:tab/>
        <w:t>20 N. Wacker Drive, Suite 1600</w:t>
      </w:r>
    </w:p>
    <w:p w14:paraId="6E1375F6" w14:textId="77777777" w:rsidR="00222345" w:rsidRPr="008054B0" w:rsidRDefault="00222345" w:rsidP="0015109D">
      <w:pPr>
        <w:pStyle w:val="ListBullet"/>
        <w:numPr>
          <w:ilvl w:val="0"/>
          <w:numId w:val="0"/>
        </w:numPr>
        <w:rPr>
          <w:rFonts w:ascii="Arial" w:hAnsi="Arial" w:cs="Arial"/>
        </w:rPr>
      </w:pPr>
      <w:r w:rsidRPr="008054B0">
        <w:rPr>
          <w:rFonts w:ascii="Arial" w:hAnsi="Arial" w:cs="Arial"/>
        </w:rPr>
        <w:t>Columbus, Ohio 43212</w:t>
      </w:r>
      <w:r>
        <w:rPr>
          <w:rFonts w:ascii="Arial" w:hAnsi="Arial" w:cs="Arial"/>
        </w:rPr>
        <w:tab/>
      </w:r>
      <w:r>
        <w:rPr>
          <w:rFonts w:ascii="Arial" w:hAnsi="Arial" w:cs="Arial"/>
        </w:rPr>
        <w:tab/>
      </w:r>
      <w:r>
        <w:rPr>
          <w:rFonts w:ascii="Arial" w:hAnsi="Arial" w:cs="Arial"/>
        </w:rPr>
        <w:tab/>
        <w:t>Chicago, Illinois 60606</w:t>
      </w:r>
    </w:p>
    <w:p w14:paraId="7BA15EDE" w14:textId="77777777" w:rsidR="00222345" w:rsidRDefault="00AC4FA0" w:rsidP="0015109D">
      <w:pPr>
        <w:pStyle w:val="ListBullet"/>
        <w:numPr>
          <w:ilvl w:val="0"/>
          <w:numId w:val="0"/>
        </w:numPr>
        <w:rPr>
          <w:rFonts w:ascii="Arial" w:hAnsi="Arial" w:cs="Arial"/>
        </w:rPr>
      </w:pPr>
      <w:hyperlink r:id="rId20" w:history="1">
        <w:r w:rsidR="00222345" w:rsidRPr="008054B0">
          <w:rPr>
            <w:rStyle w:val="Hyperlink"/>
            <w:rFonts w:ascii="Arial" w:hAnsi="Arial" w:cs="Arial"/>
          </w:rPr>
          <w:t>TDougherty@theOEC.org</w:t>
        </w:r>
      </w:hyperlink>
      <w:r w:rsidR="00222345">
        <w:rPr>
          <w:rFonts w:ascii="Arial" w:hAnsi="Arial" w:cs="Arial"/>
        </w:rPr>
        <w:tab/>
      </w:r>
      <w:r w:rsidR="00222345">
        <w:rPr>
          <w:rFonts w:ascii="Arial" w:hAnsi="Arial" w:cs="Arial"/>
        </w:rPr>
        <w:tab/>
      </w:r>
      <w:r w:rsidR="00222345">
        <w:rPr>
          <w:rFonts w:ascii="Arial" w:hAnsi="Arial" w:cs="Arial"/>
        </w:rPr>
        <w:tab/>
      </w:r>
      <w:hyperlink r:id="rId21" w:history="1">
        <w:r w:rsidR="00222345" w:rsidRPr="00B623E1">
          <w:rPr>
            <w:rStyle w:val="Hyperlink"/>
            <w:rFonts w:ascii="Arial" w:hAnsi="Arial" w:cs="Arial"/>
          </w:rPr>
          <w:t>seilliams@nrdc.org</w:t>
        </w:r>
      </w:hyperlink>
    </w:p>
    <w:p w14:paraId="78C15844" w14:textId="77777777" w:rsidR="00222345" w:rsidRDefault="00222345" w:rsidP="0015109D">
      <w:pPr>
        <w:pStyle w:val="ListBullet"/>
        <w:numPr>
          <w:ilvl w:val="0"/>
          <w:numId w:val="0"/>
        </w:numPr>
        <w:rPr>
          <w:rFonts w:ascii="Arial" w:hAnsi="Arial" w:cs="Arial"/>
        </w:rPr>
      </w:pPr>
    </w:p>
    <w:p w14:paraId="2C641F04" w14:textId="77777777" w:rsidR="00222345" w:rsidRDefault="00222345" w:rsidP="0015109D">
      <w:pPr>
        <w:pStyle w:val="ListBullet"/>
        <w:numPr>
          <w:ilvl w:val="0"/>
          <w:numId w:val="0"/>
        </w:numPr>
        <w:rPr>
          <w:rFonts w:ascii="Arial" w:hAnsi="Arial" w:cs="Arial"/>
        </w:rPr>
      </w:pPr>
      <w:r>
        <w:rPr>
          <w:rFonts w:ascii="Arial" w:hAnsi="Arial" w:cs="Arial"/>
        </w:rPr>
        <w:t>Justin Vickers</w:t>
      </w:r>
    </w:p>
    <w:p w14:paraId="1806AF1A" w14:textId="77777777" w:rsidR="00BE4BE2" w:rsidRDefault="00BE4BE2" w:rsidP="0015109D">
      <w:pPr>
        <w:pStyle w:val="ListBullet"/>
        <w:numPr>
          <w:ilvl w:val="0"/>
          <w:numId w:val="0"/>
        </w:numPr>
        <w:rPr>
          <w:rFonts w:ascii="Arial" w:hAnsi="Arial" w:cs="Arial"/>
        </w:rPr>
      </w:pPr>
      <w:r>
        <w:rPr>
          <w:rFonts w:ascii="Arial" w:hAnsi="Arial" w:cs="Arial"/>
        </w:rPr>
        <w:t>Environmental Law and Policy Center</w:t>
      </w:r>
    </w:p>
    <w:p w14:paraId="53783955" w14:textId="77777777" w:rsidR="00222345" w:rsidRDefault="00222345" w:rsidP="0015109D">
      <w:pPr>
        <w:pStyle w:val="ListBullet"/>
        <w:numPr>
          <w:ilvl w:val="0"/>
          <w:numId w:val="0"/>
        </w:numPr>
        <w:rPr>
          <w:rFonts w:ascii="Arial" w:hAnsi="Arial" w:cs="Arial"/>
        </w:rPr>
      </w:pPr>
      <w:r>
        <w:rPr>
          <w:rFonts w:ascii="Arial" w:hAnsi="Arial" w:cs="Arial"/>
        </w:rPr>
        <w:t>35 East Wacker Drive, Suite 1600</w:t>
      </w:r>
    </w:p>
    <w:p w14:paraId="463C5742" w14:textId="77777777" w:rsidR="00222345" w:rsidRDefault="00222345" w:rsidP="0015109D">
      <w:pPr>
        <w:pStyle w:val="ListBullet"/>
        <w:numPr>
          <w:ilvl w:val="0"/>
          <w:numId w:val="0"/>
        </w:numPr>
        <w:rPr>
          <w:rFonts w:ascii="Arial" w:hAnsi="Arial" w:cs="Arial"/>
        </w:rPr>
      </w:pPr>
      <w:r>
        <w:rPr>
          <w:rFonts w:ascii="Arial" w:hAnsi="Arial" w:cs="Arial"/>
        </w:rPr>
        <w:t>Chicago, Illinois  60601</w:t>
      </w:r>
    </w:p>
    <w:p w14:paraId="13EC4F9A" w14:textId="77777777" w:rsidR="00222345" w:rsidRDefault="00AC4FA0" w:rsidP="0015109D">
      <w:pPr>
        <w:pStyle w:val="ListBullet"/>
        <w:numPr>
          <w:ilvl w:val="0"/>
          <w:numId w:val="0"/>
        </w:numPr>
        <w:rPr>
          <w:rFonts w:ascii="Arial" w:hAnsi="Arial" w:cs="Arial"/>
        </w:rPr>
      </w:pPr>
      <w:hyperlink r:id="rId22" w:history="1">
        <w:r w:rsidR="00222345" w:rsidRPr="00B623E1">
          <w:rPr>
            <w:rStyle w:val="Hyperlink"/>
            <w:rFonts w:ascii="Arial" w:hAnsi="Arial" w:cs="Arial"/>
          </w:rPr>
          <w:t>jvickers@elpc.org</w:t>
        </w:r>
      </w:hyperlink>
    </w:p>
    <w:p w14:paraId="6BB68B81" w14:textId="77777777" w:rsidR="00222345" w:rsidRPr="008054B0" w:rsidRDefault="00222345" w:rsidP="0015109D">
      <w:pPr>
        <w:pStyle w:val="ListBullet"/>
        <w:numPr>
          <w:ilvl w:val="0"/>
          <w:numId w:val="0"/>
        </w:numPr>
        <w:rPr>
          <w:rFonts w:ascii="Arial" w:hAnsi="Arial" w:cs="Arial"/>
        </w:rPr>
      </w:pPr>
    </w:p>
    <w:p w14:paraId="5512B56B" w14:textId="77777777" w:rsidR="00222345" w:rsidRPr="008054B0" w:rsidRDefault="00222345" w:rsidP="0015109D">
      <w:pPr>
        <w:pStyle w:val="ListBullet"/>
        <w:numPr>
          <w:ilvl w:val="0"/>
          <w:numId w:val="0"/>
        </w:numPr>
        <w:rPr>
          <w:rFonts w:ascii="Arial" w:hAnsi="Arial" w:cs="Arial"/>
        </w:rPr>
      </w:pPr>
    </w:p>
    <w:p w14:paraId="49C6B6E4" w14:textId="77777777" w:rsidR="00222345" w:rsidRDefault="00222345" w:rsidP="0015109D">
      <w:pPr>
        <w:pStyle w:val="ListBullet"/>
        <w:numPr>
          <w:ilvl w:val="0"/>
          <w:numId w:val="0"/>
        </w:numPr>
        <w:rPr>
          <w:rFonts w:ascii="Arial" w:hAnsi="Arial" w:cs="Arial"/>
        </w:rPr>
      </w:pPr>
    </w:p>
    <w:sectPr w:rsidR="00222345" w:rsidSect="008054B0">
      <w:footerReference w:type="default" r:id="rId23"/>
      <w:pgSz w:w="12240" w:h="15840" w:code="1"/>
      <w:pgMar w:top="1440" w:right="1440" w:bottom="1440" w:left="1440" w:header="720" w:footer="144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FE8CD" w14:textId="77777777" w:rsidR="00AC4FA0" w:rsidRDefault="00AC4FA0">
      <w:r>
        <w:separator/>
      </w:r>
    </w:p>
  </w:endnote>
  <w:endnote w:type="continuationSeparator" w:id="0">
    <w:p w14:paraId="3AFEBD6E" w14:textId="77777777" w:rsidR="00AC4FA0" w:rsidRDefault="00AC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274BE" w14:textId="77777777" w:rsidR="00222345" w:rsidRDefault="00222345" w:rsidP="00CA42C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2AF6">
      <w:rPr>
        <w:rStyle w:val="PageNumber"/>
        <w:noProof/>
      </w:rPr>
      <w:t>- 5 -</w:t>
    </w:r>
    <w:r>
      <w:rPr>
        <w:rStyle w:val="PageNumber"/>
      </w:rPr>
      <w:fldChar w:fldCharType="end"/>
    </w:r>
  </w:p>
  <w:p w14:paraId="29657212" w14:textId="77777777" w:rsidR="00222345" w:rsidRDefault="00222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0B09A" w14:textId="77777777" w:rsidR="00AC4FA0" w:rsidRDefault="00AC4FA0">
      <w:r>
        <w:separator/>
      </w:r>
    </w:p>
  </w:footnote>
  <w:footnote w:type="continuationSeparator" w:id="0">
    <w:p w14:paraId="24DF70B2" w14:textId="77777777" w:rsidR="00AC4FA0" w:rsidRDefault="00AC4FA0">
      <w:r>
        <w:continuationSeparator/>
      </w:r>
    </w:p>
  </w:footnote>
  <w:footnote w:id="1">
    <w:p w14:paraId="452A8651" w14:textId="2BED08B4" w:rsidR="005762CD" w:rsidRPr="004E70B8" w:rsidRDefault="005762CD">
      <w:pPr>
        <w:pStyle w:val="FootnoteText"/>
        <w:rPr>
          <w:rFonts w:ascii="Arial" w:hAnsi="Arial" w:cs="Arial"/>
        </w:rPr>
      </w:pPr>
      <w:r>
        <w:rPr>
          <w:rStyle w:val="FootnoteReference"/>
        </w:rPr>
        <w:footnoteRef/>
      </w:r>
      <w:r>
        <w:t xml:space="preserve"> </w:t>
      </w:r>
      <w:r>
        <w:rPr>
          <w:rFonts w:ascii="Arial" w:hAnsi="Arial" w:cs="Arial"/>
        </w:rPr>
        <w:t>The issue of the use of banked savings to trigger shared savings is being litigated in Case No. 14-457-EL-RDR. OPAE views the inclusion of banked savings</w:t>
      </w:r>
      <w:r w:rsidR="004E70B8">
        <w:rPr>
          <w:rFonts w:ascii="Arial" w:hAnsi="Arial" w:cs="Arial"/>
        </w:rPr>
        <w:t xml:space="preserve"> when calculating shared savings to be a violation of the stipulations in Case Nos. 11-4393-EL-RDR and 13-341-EL-POR, and counter to Commission precedent.  See </w:t>
      </w:r>
      <w:r w:rsidR="004E70B8">
        <w:rPr>
          <w:rFonts w:ascii="Arial" w:hAnsi="Arial" w:cs="Arial"/>
          <w:i/>
        </w:rPr>
        <w:t xml:space="preserve">Opinion and Order, </w:t>
      </w:r>
      <w:r w:rsidR="004E70B8">
        <w:rPr>
          <w:rFonts w:ascii="Arial" w:hAnsi="Arial" w:cs="Arial"/>
        </w:rPr>
        <w:t>Case No. 12-2190-EL-POR, at 15-17</w:t>
      </w:r>
      <w:r w:rsidR="003133A5">
        <w:rPr>
          <w:rFonts w:ascii="Arial" w:hAnsi="Arial" w:cs="Arial"/>
        </w:rPr>
        <w:t xml:space="preserve"> (March 20, 2013)</w:t>
      </w:r>
      <w:r w:rsidR="004E70B8">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B46C55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260A0FE5"/>
    <w:multiLevelType w:val="hybridMultilevel"/>
    <w:tmpl w:val="479A2F52"/>
    <w:lvl w:ilvl="0" w:tplc="B4F483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BF6B39"/>
    <w:multiLevelType w:val="hybridMultilevel"/>
    <w:tmpl w:val="DD34A6E6"/>
    <w:lvl w:ilvl="0" w:tplc="5228443A">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
    <w:nsid w:val="2BDD70FC"/>
    <w:multiLevelType w:val="multilevel"/>
    <w:tmpl w:val="92101638"/>
    <w:lvl w:ilvl="0">
      <w:start w:val="1"/>
      <w:numFmt w:val="upperRoman"/>
      <w:pStyle w:val="Heading1"/>
      <w:lvlText w:val="%1."/>
      <w:lvlJc w:val="left"/>
      <w:pPr>
        <w:ind w:left="0" w:firstLine="0"/>
      </w:pPr>
      <w:rPr>
        <w:rFonts w:hint="default"/>
        <w:b/>
      </w:rPr>
    </w:lvl>
    <w:lvl w:ilvl="1">
      <w:start w:val="1"/>
      <w:numFmt w:val="upperLetter"/>
      <w:pStyle w:val="Heading2"/>
      <w:lvlText w:val="%2."/>
      <w:lvlJc w:val="left"/>
      <w:pPr>
        <w:ind w:left="720" w:firstLine="0"/>
      </w:pPr>
      <w:rPr>
        <w:rFonts w:ascii="Arial" w:hAnsi="Arial" w:cs="Arial" w:hint="default"/>
        <w:i w:val="0"/>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373F2644"/>
    <w:multiLevelType w:val="hybridMultilevel"/>
    <w:tmpl w:val="6600953E"/>
    <w:lvl w:ilvl="0" w:tplc="8AAA40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337161"/>
    <w:multiLevelType w:val="hybridMultilevel"/>
    <w:tmpl w:val="22F0D8A6"/>
    <w:lvl w:ilvl="0" w:tplc="A0183366">
      <w:start w:val="1"/>
      <w:numFmt w:val="decimal"/>
      <w:lvlText w:val="%1."/>
      <w:lvlJc w:val="left"/>
      <w:pPr>
        <w:tabs>
          <w:tab w:val="num" w:pos="1440"/>
        </w:tabs>
        <w:ind w:left="1440" w:hanging="720"/>
      </w:pPr>
      <w:rPr>
        <w:rFonts w:hint="default"/>
      </w:rPr>
    </w:lvl>
    <w:lvl w:ilvl="1" w:tplc="D766E376">
      <w:start w:val="5"/>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3E421884"/>
    <w:multiLevelType w:val="hybridMultilevel"/>
    <w:tmpl w:val="B1F248EC"/>
    <w:lvl w:ilvl="0" w:tplc="2BCA60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1717556"/>
    <w:multiLevelType w:val="hybridMultilevel"/>
    <w:tmpl w:val="93DA82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C5F3E34"/>
    <w:multiLevelType w:val="hybridMultilevel"/>
    <w:tmpl w:val="9AC05560"/>
    <w:lvl w:ilvl="0" w:tplc="0409000F">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5"/>
  </w:num>
  <w:num w:numId="9">
    <w:abstractNumId w:val="8"/>
  </w:num>
  <w:num w:numId="10">
    <w:abstractNumId w:val="1"/>
  </w:num>
  <w:num w:numId="11">
    <w:abstractNumId w:val="2"/>
  </w:num>
  <w:num w:numId="12">
    <w:abstractNumId w:val="6"/>
  </w:num>
  <w:num w:numId="13">
    <w:abstractNumId w:val="7"/>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09D"/>
    <w:rsid w:val="00004A94"/>
    <w:rsid w:val="0001794B"/>
    <w:rsid w:val="0002403A"/>
    <w:rsid w:val="00025546"/>
    <w:rsid w:val="00087437"/>
    <w:rsid w:val="00087AD3"/>
    <w:rsid w:val="000905B5"/>
    <w:rsid w:val="00092F22"/>
    <w:rsid w:val="000A7ECA"/>
    <w:rsid w:val="000B3B48"/>
    <w:rsid w:val="000D5558"/>
    <w:rsid w:val="000D7D17"/>
    <w:rsid w:val="000E4868"/>
    <w:rsid w:val="000E4D34"/>
    <w:rsid w:val="000E559B"/>
    <w:rsid w:val="000E6887"/>
    <w:rsid w:val="000E7921"/>
    <w:rsid w:val="0012404A"/>
    <w:rsid w:val="001249B7"/>
    <w:rsid w:val="0015109D"/>
    <w:rsid w:val="00156BDC"/>
    <w:rsid w:val="00166171"/>
    <w:rsid w:val="00170E3D"/>
    <w:rsid w:val="00172B4C"/>
    <w:rsid w:val="001B08EB"/>
    <w:rsid w:val="001C265F"/>
    <w:rsid w:val="001D05CA"/>
    <w:rsid w:val="0021631E"/>
    <w:rsid w:val="00216C3F"/>
    <w:rsid w:val="00220E7E"/>
    <w:rsid w:val="00222345"/>
    <w:rsid w:val="00232322"/>
    <w:rsid w:val="002374FA"/>
    <w:rsid w:val="00271AF4"/>
    <w:rsid w:val="00272394"/>
    <w:rsid w:val="00275FF6"/>
    <w:rsid w:val="002A3B77"/>
    <w:rsid w:val="002A4F52"/>
    <w:rsid w:val="002C25B2"/>
    <w:rsid w:val="002C3A61"/>
    <w:rsid w:val="002C5A6B"/>
    <w:rsid w:val="002D0F01"/>
    <w:rsid w:val="002D3751"/>
    <w:rsid w:val="002D6A6A"/>
    <w:rsid w:val="003133A5"/>
    <w:rsid w:val="003410D1"/>
    <w:rsid w:val="00380FA7"/>
    <w:rsid w:val="00387155"/>
    <w:rsid w:val="0038793A"/>
    <w:rsid w:val="003949CD"/>
    <w:rsid w:val="003C3B46"/>
    <w:rsid w:val="003C62E0"/>
    <w:rsid w:val="003D391B"/>
    <w:rsid w:val="003D4B86"/>
    <w:rsid w:val="00405A55"/>
    <w:rsid w:val="00424251"/>
    <w:rsid w:val="00430EEA"/>
    <w:rsid w:val="00431198"/>
    <w:rsid w:val="00436217"/>
    <w:rsid w:val="0043663A"/>
    <w:rsid w:val="00447529"/>
    <w:rsid w:val="0046045D"/>
    <w:rsid w:val="00460D65"/>
    <w:rsid w:val="00462AF6"/>
    <w:rsid w:val="00464E2E"/>
    <w:rsid w:val="00470546"/>
    <w:rsid w:val="00470B2A"/>
    <w:rsid w:val="004720F6"/>
    <w:rsid w:val="0047493D"/>
    <w:rsid w:val="00483045"/>
    <w:rsid w:val="00486995"/>
    <w:rsid w:val="004A1567"/>
    <w:rsid w:val="004B657D"/>
    <w:rsid w:val="004E1411"/>
    <w:rsid w:val="004E70B8"/>
    <w:rsid w:val="004F4CA5"/>
    <w:rsid w:val="005070D8"/>
    <w:rsid w:val="005273EF"/>
    <w:rsid w:val="00544247"/>
    <w:rsid w:val="0055582C"/>
    <w:rsid w:val="005608C1"/>
    <w:rsid w:val="0056590B"/>
    <w:rsid w:val="00567ED0"/>
    <w:rsid w:val="005762CD"/>
    <w:rsid w:val="0058176E"/>
    <w:rsid w:val="00581C70"/>
    <w:rsid w:val="00582FB4"/>
    <w:rsid w:val="005B53F2"/>
    <w:rsid w:val="005C5AD3"/>
    <w:rsid w:val="005C6F6C"/>
    <w:rsid w:val="005E720D"/>
    <w:rsid w:val="006104BF"/>
    <w:rsid w:val="006276BF"/>
    <w:rsid w:val="00635C61"/>
    <w:rsid w:val="006A5AEF"/>
    <w:rsid w:val="006B2769"/>
    <w:rsid w:val="006B3D0B"/>
    <w:rsid w:val="006C2E08"/>
    <w:rsid w:val="006D6870"/>
    <w:rsid w:val="0070229D"/>
    <w:rsid w:val="00711FDE"/>
    <w:rsid w:val="00722654"/>
    <w:rsid w:val="007259EF"/>
    <w:rsid w:val="007278C2"/>
    <w:rsid w:val="00755A93"/>
    <w:rsid w:val="007721D0"/>
    <w:rsid w:val="00783E50"/>
    <w:rsid w:val="00793F76"/>
    <w:rsid w:val="007B1D5A"/>
    <w:rsid w:val="007B7666"/>
    <w:rsid w:val="007C3806"/>
    <w:rsid w:val="007D0A62"/>
    <w:rsid w:val="007D33E7"/>
    <w:rsid w:val="007F4D6F"/>
    <w:rsid w:val="008054B0"/>
    <w:rsid w:val="00813220"/>
    <w:rsid w:val="0083502E"/>
    <w:rsid w:val="00835E12"/>
    <w:rsid w:val="008443B8"/>
    <w:rsid w:val="00851D87"/>
    <w:rsid w:val="008704FC"/>
    <w:rsid w:val="008819D9"/>
    <w:rsid w:val="00894BEB"/>
    <w:rsid w:val="008C76AC"/>
    <w:rsid w:val="00931AD5"/>
    <w:rsid w:val="00980414"/>
    <w:rsid w:val="009823CE"/>
    <w:rsid w:val="009C0DE0"/>
    <w:rsid w:val="009C1832"/>
    <w:rsid w:val="009D2759"/>
    <w:rsid w:val="009E6B87"/>
    <w:rsid w:val="009E7611"/>
    <w:rsid w:val="00A0325D"/>
    <w:rsid w:val="00A05455"/>
    <w:rsid w:val="00A05BC4"/>
    <w:rsid w:val="00A11945"/>
    <w:rsid w:val="00A277B4"/>
    <w:rsid w:val="00A4794F"/>
    <w:rsid w:val="00A6651A"/>
    <w:rsid w:val="00A860CC"/>
    <w:rsid w:val="00A95AF9"/>
    <w:rsid w:val="00AC4FA0"/>
    <w:rsid w:val="00AD1133"/>
    <w:rsid w:val="00AE40B8"/>
    <w:rsid w:val="00AF4C8F"/>
    <w:rsid w:val="00B038F8"/>
    <w:rsid w:val="00B04821"/>
    <w:rsid w:val="00B50D05"/>
    <w:rsid w:val="00B53202"/>
    <w:rsid w:val="00B623E1"/>
    <w:rsid w:val="00B7615E"/>
    <w:rsid w:val="00BA33E2"/>
    <w:rsid w:val="00BB1DD4"/>
    <w:rsid w:val="00BB6B94"/>
    <w:rsid w:val="00BD0868"/>
    <w:rsid w:val="00BD4081"/>
    <w:rsid w:val="00BD459F"/>
    <w:rsid w:val="00BE259D"/>
    <w:rsid w:val="00BE39AF"/>
    <w:rsid w:val="00BE4BE2"/>
    <w:rsid w:val="00C17AE9"/>
    <w:rsid w:val="00C24BAA"/>
    <w:rsid w:val="00C42C30"/>
    <w:rsid w:val="00C46B83"/>
    <w:rsid w:val="00C51B73"/>
    <w:rsid w:val="00C5462C"/>
    <w:rsid w:val="00C70D5A"/>
    <w:rsid w:val="00C70DCD"/>
    <w:rsid w:val="00CA2A03"/>
    <w:rsid w:val="00CA42CB"/>
    <w:rsid w:val="00CE1021"/>
    <w:rsid w:val="00D06C33"/>
    <w:rsid w:val="00D1187E"/>
    <w:rsid w:val="00D11A0A"/>
    <w:rsid w:val="00D23DCF"/>
    <w:rsid w:val="00D312A9"/>
    <w:rsid w:val="00D327E1"/>
    <w:rsid w:val="00D34344"/>
    <w:rsid w:val="00D37E25"/>
    <w:rsid w:val="00D51245"/>
    <w:rsid w:val="00D57349"/>
    <w:rsid w:val="00D700EC"/>
    <w:rsid w:val="00D82193"/>
    <w:rsid w:val="00DA351E"/>
    <w:rsid w:val="00DA553C"/>
    <w:rsid w:val="00DB0025"/>
    <w:rsid w:val="00DB7A5F"/>
    <w:rsid w:val="00DF49AF"/>
    <w:rsid w:val="00DF4ABA"/>
    <w:rsid w:val="00E0730A"/>
    <w:rsid w:val="00E13269"/>
    <w:rsid w:val="00E27979"/>
    <w:rsid w:val="00E32405"/>
    <w:rsid w:val="00E41DBF"/>
    <w:rsid w:val="00E52DD8"/>
    <w:rsid w:val="00E84271"/>
    <w:rsid w:val="00E850EE"/>
    <w:rsid w:val="00EC0DBB"/>
    <w:rsid w:val="00EC4720"/>
    <w:rsid w:val="00ED5CEB"/>
    <w:rsid w:val="00EF24AD"/>
    <w:rsid w:val="00F037ED"/>
    <w:rsid w:val="00F26820"/>
    <w:rsid w:val="00F44DC3"/>
    <w:rsid w:val="00F56771"/>
    <w:rsid w:val="00F75280"/>
    <w:rsid w:val="00F93FD9"/>
    <w:rsid w:val="00FA381D"/>
    <w:rsid w:val="00FA7AB2"/>
    <w:rsid w:val="00FC018D"/>
    <w:rsid w:val="00FD3A30"/>
    <w:rsid w:val="00FD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E1024"/>
  <w15:docId w15:val="{268F41CA-0FD8-416E-BF62-D057CDC5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9D"/>
    <w:rPr>
      <w:sz w:val="24"/>
      <w:szCs w:val="24"/>
    </w:rPr>
  </w:style>
  <w:style w:type="paragraph" w:styleId="Heading1">
    <w:name w:val="heading 1"/>
    <w:basedOn w:val="Normal"/>
    <w:next w:val="Normal"/>
    <w:link w:val="Heading1Char"/>
    <w:qFormat/>
    <w:rsid w:val="0058176E"/>
    <w:pPr>
      <w:keepNext/>
      <w:numPr>
        <w:numId w:val="15"/>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8176E"/>
    <w:pPr>
      <w:keepNext/>
      <w:numPr>
        <w:ilvl w:val="1"/>
        <w:numId w:val="15"/>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8176E"/>
    <w:pPr>
      <w:keepNext/>
      <w:numPr>
        <w:ilvl w:val="2"/>
        <w:numId w:val="15"/>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8176E"/>
    <w:pPr>
      <w:keepNext/>
      <w:numPr>
        <w:ilvl w:val="3"/>
        <w:numId w:val="1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8176E"/>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8176E"/>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8176E"/>
    <w:pPr>
      <w:numPr>
        <w:ilvl w:val="6"/>
        <w:numId w:val="15"/>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58176E"/>
    <w:pPr>
      <w:numPr>
        <w:ilvl w:val="7"/>
        <w:numId w:val="15"/>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8176E"/>
    <w:pPr>
      <w:numPr>
        <w:ilvl w:val="8"/>
        <w:numId w:val="1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5109D"/>
    <w:pPr>
      <w:jc w:val="center"/>
    </w:pPr>
    <w:rPr>
      <w:rFonts w:ascii="Arial" w:hAnsi="Arial" w:cs="Arial"/>
      <w:b/>
      <w:bCs/>
    </w:rPr>
  </w:style>
  <w:style w:type="character" w:customStyle="1" w:styleId="TitleChar">
    <w:name w:val="Title Char"/>
    <w:link w:val="Title"/>
    <w:uiPriority w:val="99"/>
    <w:locked/>
    <w:rsid w:val="0055582C"/>
    <w:rPr>
      <w:rFonts w:ascii="Cambria" w:hAnsi="Cambria" w:cs="Cambria"/>
      <w:b/>
      <w:bCs/>
      <w:kern w:val="28"/>
      <w:sz w:val="32"/>
      <w:szCs w:val="32"/>
    </w:rPr>
  </w:style>
  <w:style w:type="paragraph" w:styleId="Subtitle">
    <w:name w:val="Subtitle"/>
    <w:basedOn w:val="Normal"/>
    <w:link w:val="SubtitleChar"/>
    <w:uiPriority w:val="99"/>
    <w:qFormat/>
    <w:rsid w:val="0015109D"/>
    <w:pPr>
      <w:jc w:val="center"/>
    </w:pPr>
    <w:rPr>
      <w:rFonts w:ascii="Arial" w:hAnsi="Arial" w:cs="Arial"/>
      <w:b/>
      <w:bCs/>
    </w:rPr>
  </w:style>
  <w:style w:type="character" w:customStyle="1" w:styleId="SubtitleChar">
    <w:name w:val="Subtitle Char"/>
    <w:link w:val="Subtitle"/>
    <w:uiPriority w:val="99"/>
    <w:locked/>
    <w:rsid w:val="0055582C"/>
    <w:rPr>
      <w:rFonts w:ascii="Cambria" w:hAnsi="Cambria" w:cs="Cambria"/>
      <w:sz w:val="24"/>
      <w:szCs w:val="24"/>
    </w:rPr>
  </w:style>
  <w:style w:type="paragraph" w:styleId="BodyTextIndent">
    <w:name w:val="Body Text Indent"/>
    <w:basedOn w:val="Normal"/>
    <w:link w:val="BodyTextIndentChar"/>
    <w:uiPriority w:val="99"/>
    <w:rsid w:val="0015109D"/>
    <w:pPr>
      <w:ind w:left="4320"/>
    </w:pPr>
    <w:rPr>
      <w:rFonts w:ascii="Arial" w:hAnsi="Arial" w:cs="Arial"/>
    </w:rPr>
  </w:style>
  <w:style w:type="character" w:customStyle="1" w:styleId="BodyTextIndentChar">
    <w:name w:val="Body Text Indent Char"/>
    <w:link w:val="BodyTextIndent"/>
    <w:uiPriority w:val="99"/>
    <w:semiHidden/>
    <w:locked/>
    <w:rsid w:val="0055582C"/>
    <w:rPr>
      <w:sz w:val="24"/>
      <w:szCs w:val="24"/>
    </w:rPr>
  </w:style>
  <w:style w:type="paragraph" w:styleId="Footer">
    <w:name w:val="footer"/>
    <w:basedOn w:val="Normal"/>
    <w:link w:val="FooterChar"/>
    <w:uiPriority w:val="99"/>
    <w:rsid w:val="0015109D"/>
    <w:pPr>
      <w:tabs>
        <w:tab w:val="center" w:pos="4320"/>
        <w:tab w:val="right" w:pos="8640"/>
      </w:tabs>
    </w:pPr>
  </w:style>
  <w:style w:type="character" w:customStyle="1" w:styleId="FooterChar">
    <w:name w:val="Footer Char"/>
    <w:link w:val="Footer"/>
    <w:uiPriority w:val="99"/>
    <w:semiHidden/>
    <w:locked/>
    <w:rsid w:val="0055582C"/>
    <w:rPr>
      <w:sz w:val="24"/>
      <w:szCs w:val="24"/>
    </w:rPr>
  </w:style>
  <w:style w:type="character" w:styleId="PageNumber">
    <w:name w:val="page number"/>
    <w:basedOn w:val="DefaultParagraphFont"/>
    <w:uiPriority w:val="99"/>
    <w:rsid w:val="0015109D"/>
  </w:style>
  <w:style w:type="character" w:styleId="Hyperlink">
    <w:name w:val="Hyperlink"/>
    <w:uiPriority w:val="99"/>
    <w:rsid w:val="0015109D"/>
    <w:rPr>
      <w:color w:val="0000FF"/>
      <w:u w:val="single"/>
    </w:rPr>
  </w:style>
  <w:style w:type="paragraph" w:styleId="ListBullet">
    <w:name w:val="List Bullet"/>
    <w:basedOn w:val="Normal"/>
    <w:uiPriority w:val="99"/>
    <w:rsid w:val="0015109D"/>
    <w:pPr>
      <w:numPr>
        <w:numId w:val="2"/>
      </w:numPr>
    </w:pPr>
  </w:style>
  <w:style w:type="paragraph" w:styleId="FootnoteText">
    <w:name w:val="footnote text"/>
    <w:basedOn w:val="Normal"/>
    <w:link w:val="FootnoteTextChar"/>
    <w:uiPriority w:val="99"/>
    <w:semiHidden/>
    <w:rsid w:val="0015109D"/>
    <w:rPr>
      <w:sz w:val="20"/>
      <w:szCs w:val="20"/>
    </w:rPr>
  </w:style>
  <w:style w:type="character" w:customStyle="1" w:styleId="FootnoteTextChar">
    <w:name w:val="Footnote Text Char"/>
    <w:link w:val="FootnoteText"/>
    <w:uiPriority w:val="99"/>
    <w:semiHidden/>
    <w:locked/>
    <w:rsid w:val="0055582C"/>
    <w:rPr>
      <w:sz w:val="20"/>
      <w:szCs w:val="20"/>
    </w:rPr>
  </w:style>
  <w:style w:type="character" w:styleId="FootnoteReference">
    <w:name w:val="footnote reference"/>
    <w:uiPriority w:val="99"/>
    <w:semiHidden/>
    <w:rsid w:val="0015109D"/>
    <w:rPr>
      <w:vertAlign w:val="superscript"/>
    </w:rPr>
  </w:style>
  <w:style w:type="paragraph" w:styleId="NormalWeb">
    <w:name w:val="Normal (Web)"/>
    <w:basedOn w:val="Normal"/>
    <w:uiPriority w:val="99"/>
    <w:rsid w:val="0015109D"/>
    <w:pPr>
      <w:spacing w:before="100" w:beforeAutospacing="1" w:after="100" w:afterAutospacing="1"/>
    </w:pPr>
  </w:style>
  <w:style w:type="paragraph" w:styleId="BalloonText">
    <w:name w:val="Balloon Text"/>
    <w:basedOn w:val="Normal"/>
    <w:link w:val="BalloonTextChar"/>
    <w:uiPriority w:val="99"/>
    <w:semiHidden/>
    <w:rsid w:val="006B3D0B"/>
    <w:rPr>
      <w:rFonts w:ascii="Tahoma" w:hAnsi="Tahoma" w:cs="Tahoma"/>
      <w:sz w:val="16"/>
      <w:szCs w:val="16"/>
    </w:rPr>
  </w:style>
  <w:style w:type="character" w:customStyle="1" w:styleId="BalloonTextChar">
    <w:name w:val="Balloon Text Char"/>
    <w:link w:val="BalloonText"/>
    <w:uiPriority w:val="99"/>
    <w:locked/>
    <w:rsid w:val="006B3D0B"/>
    <w:rPr>
      <w:rFonts w:ascii="Tahoma" w:hAnsi="Tahoma" w:cs="Tahoma"/>
      <w:sz w:val="16"/>
      <w:szCs w:val="16"/>
    </w:rPr>
  </w:style>
  <w:style w:type="character" w:customStyle="1" w:styleId="Heading1Char">
    <w:name w:val="Heading 1 Char"/>
    <w:link w:val="Heading1"/>
    <w:rsid w:val="0058176E"/>
    <w:rPr>
      <w:rFonts w:ascii="Cambria" w:eastAsia="Times New Roman" w:hAnsi="Cambria" w:cs="Times New Roman"/>
      <w:b/>
      <w:bCs/>
      <w:kern w:val="32"/>
      <w:sz w:val="32"/>
      <w:szCs w:val="32"/>
    </w:rPr>
  </w:style>
  <w:style w:type="character" w:customStyle="1" w:styleId="Heading2Char">
    <w:name w:val="Heading 2 Char"/>
    <w:link w:val="Heading2"/>
    <w:rsid w:val="0058176E"/>
    <w:rPr>
      <w:rFonts w:ascii="Cambria" w:eastAsia="Times New Roman" w:hAnsi="Cambria" w:cs="Times New Roman"/>
      <w:b/>
      <w:bCs/>
      <w:i/>
      <w:iCs/>
      <w:sz w:val="28"/>
      <w:szCs w:val="28"/>
    </w:rPr>
  </w:style>
  <w:style w:type="character" w:customStyle="1" w:styleId="Heading3Char">
    <w:name w:val="Heading 3 Char"/>
    <w:link w:val="Heading3"/>
    <w:semiHidden/>
    <w:rsid w:val="0058176E"/>
    <w:rPr>
      <w:rFonts w:ascii="Cambria" w:eastAsia="Times New Roman" w:hAnsi="Cambria" w:cs="Times New Roman"/>
      <w:b/>
      <w:bCs/>
      <w:sz w:val="26"/>
      <w:szCs w:val="26"/>
    </w:rPr>
  </w:style>
  <w:style w:type="character" w:customStyle="1" w:styleId="Heading4Char">
    <w:name w:val="Heading 4 Char"/>
    <w:link w:val="Heading4"/>
    <w:semiHidden/>
    <w:rsid w:val="0058176E"/>
    <w:rPr>
      <w:rFonts w:ascii="Calibri" w:eastAsia="Times New Roman" w:hAnsi="Calibri" w:cs="Times New Roman"/>
      <w:b/>
      <w:bCs/>
      <w:sz w:val="28"/>
      <w:szCs w:val="28"/>
    </w:rPr>
  </w:style>
  <w:style w:type="character" w:customStyle="1" w:styleId="Heading5Char">
    <w:name w:val="Heading 5 Char"/>
    <w:link w:val="Heading5"/>
    <w:semiHidden/>
    <w:rsid w:val="0058176E"/>
    <w:rPr>
      <w:rFonts w:ascii="Calibri" w:eastAsia="Times New Roman" w:hAnsi="Calibri" w:cs="Times New Roman"/>
      <w:b/>
      <w:bCs/>
      <w:i/>
      <w:iCs/>
      <w:sz w:val="26"/>
      <w:szCs w:val="26"/>
    </w:rPr>
  </w:style>
  <w:style w:type="character" w:customStyle="1" w:styleId="Heading6Char">
    <w:name w:val="Heading 6 Char"/>
    <w:link w:val="Heading6"/>
    <w:semiHidden/>
    <w:rsid w:val="0058176E"/>
    <w:rPr>
      <w:rFonts w:ascii="Calibri" w:eastAsia="Times New Roman" w:hAnsi="Calibri" w:cs="Times New Roman"/>
      <w:b/>
      <w:bCs/>
    </w:rPr>
  </w:style>
  <w:style w:type="character" w:customStyle="1" w:styleId="Heading7Char">
    <w:name w:val="Heading 7 Char"/>
    <w:link w:val="Heading7"/>
    <w:semiHidden/>
    <w:rsid w:val="0058176E"/>
    <w:rPr>
      <w:rFonts w:ascii="Calibri" w:eastAsia="Times New Roman" w:hAnsi="Calibri" w:cs="Times New Roman"/>
      <w:sz w:val="24"/>
      <w:szCs w:val="24"/>
    </w:rPr>
  </w:style>
  <w:style w:type="character" w:customStyle="1" w:styleId="Heading8Char">
    <w:name w:val="Heading 8 Char"/>
    <w:link w:val="Heading8"/>
    <w:semiHidden/>
    <w:rsid w:val="0058176E"/>
    <w:rPr>
      <w:rFonts w:ascii="Calibri" w:eastAsia="Times New Roman" w:hAnsi="Calibri" w:cs="Times New Roman"/>
      <w:i/>
      <w:iCs/>
      <w:sz w:val="24"/>
      <w:szCs w:val="24"/>
    </w:rPr>
  </w:style>
  <w:style w:type="character" w:customStyle="1" w:styleId="Heading9Char">
    <w:name w:val="Heading 9 Char"/>
    <w:link w:val="Heading9"/>
    <w:semiHidden/>
    <w:rsid w:val="0058176E"/>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inebolt@ohiopartners.org" TargetMode="External"/><Relationship Id="rId13" Type="http://schemas.openxmlformats.org/officeDocument/2006/relationships/hyperlink" Target="mailto:mpritchard@mwncmh.com" TargetMode="External"/><Relationship Id="rId18" Type="http://schemas.openxmlformats.org/officeDocument/2006/relationships/hyperlink" Target="mailto:bojko@carpenterlipps.com" TargetMode="External"/><Relationship Id="rId3" Type="http://schemas.openxmlformats.org/officeDocument/2006/relationships/styles" Target="styles.xml"/><Relationship Id="rId21" Type="http://schemas.openxmlformats.org/officeDocument/2006/relationships/hyperlink" Target="mailto:seilliams@nrdc.org" TargetMode="External"/><Relationship Id="rId7" Type="http://schemas.openxmlformats.org/officeDocument/2006/relationships/endnotes" Target="endnotes.xml"/><Relationship Id="rId12" Type="http://schemas.openxmlformats.org/officeDocument/2006/relationships/hyperlink" Target="mailto:elizabeth.watts@duke-energy.com" TargetMode="External"/><Relationship Id="rId17" Type="http://schemas.openxmlformats.org/officeDocument/2006/relationships/hyperlink" Target="mailto:Michael.schuler@occ.ohio.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boehm@bkllawfirm.com" TargetMode="External"/><Relationship Id="rId20" Type="http://schemas.openxmlformats.org/officeDocument/2006/relationships/hyperlink" Target="mailto:TDougherty@theO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y.spiller@duke-energy.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yle.kern@occ.ohio.gov" TargetMode="External"/><Relationship Id="rId23" Type="http://schemas.openxmlformats.org/officeDocument/2006/relationships/footer" Target="footer1.xml"/><Relationship Id="rId10" Type="http://schemas.openxmlformats.org/officeDocument/2006/relationships/hyperlink" Target="mailto:William.Wright@puc.state.oh.us" TargetMode="External"/><Relationship Id="rId19" Type="http://schemas.openxmlformats.org/officeDocument/2006/relationships/hyperlink" Target="mailto:asonderman@keglerbrown.com" TargetMode="External"/><Relationship Id="rId4" Type="http://schemas.openxmlformats.org/officeDocument/2006/relationships/settings" Target="settings.xml"/><Relationship Id="rId9" Type="http://schemas.openxmlformats.org/officeDocument/2006/relationships/hyperlink" Target="mailto:cmooney@ohiopartners.org" TargetMode="External"/><Relationship Id="rId14" Type="http://schemas.openxmlformats.org/officeDocument/2006/relationships/hyperlink" Target="mailto:Hussey@carpenterlipps.com" TargetMode="External"/><Relationship Id="rId22" Type="http://schemas.openxmlformats.org/officeDocument/2006/relationships/hyperlink" Target="mailto:jvickers@el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0F4E-80CB-46EF-9B95-EA4C9A29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1711</Words>
  <Characters>9515</Characters>
  <Application>Microsoft Office Word</Application>
  <DocSecurity>0</DocSecurity>
  <Lines>226</Lines>
  <Paragraphs>98</Paragraphs>
  <ScaleCrop>false</ScaleCrop>
  <HeadingPairs>
    <vt:vector size="2" baseType="variant">
      <vt:variant>
        <vt:lpstr>Title</vt:lpstr>
      </vt:variant>
      <vt:variant>
        <vt:i4>1</vt:i4>
      </vt:variant>
    </vt:vector>
  </HeadingPairs>
  <TitlesOfParts>
    <vt:vector size="1" baseType="lpstr">
      <vt:lpstr>BEFORE</vt:lpstr>
    </vt:vector>
  </TitlesOfParts>
  <Company>Toshiba</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subject/>
  <dc:creator>Colleen</dc:creator>
  <cp:keywords/>
  <dc:description/>
  <cp:lastModifiedBy>Dave Rinebolt</cp:lastModifiedBy>
  <cp:revision>2</cp:revision>
  <dcterms:created xsi:type="dcterms:W3CDTF">2015-01-09T21:55:00Z</dcterms:created>
  <dcterms:modified xsi:type="dcterms:W3CDTF">2015-01-09T21:55:00Z</dcterms:modified>
</cp:coreProperties>
</file>