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D43FE">
      <w:pPr>
        <w:jc w:val="center"/>
        <w:rPr>
          <w:b/>
        </w:rPr>
      </w:pPr>
      <w:bookmarkStart w:id="0" w:name="_GoBack"/>
      <w:bookmarkEnd w:id="0"/>
      <w:r>
        <w:rPr>
          <w:b/>
        </w:rPr>
        <w:t>BEFORE</w:t>
      </w:r>
    </w:p>
    <w:p w:rsidR="001D43FE">
      <w:pPr>
        <w:jc w:val="center"/>
        <w:rPr>
          <w:b/>
          <w:bCs/>
          <w:szCs w:val="24"/>
        </w:rPr>
      </w:pPr>
      <w:r>
        <w:rPr>
          <w:b/>
          <w:bCs/>
          <w:szCs w:val="24"/>
        </w:rPr>
        <w:t>THE PUBLIC UTILITIES COMMISSION OF OHIO</w:t>
      </w:r>
    </w:p>
    <w:p w:rsidR="001D43FE" w:rsidP="00CC7702">
      <w:pPr>
        <w:pStyle w:val="HTMLPreformatted"/>
        <w:ind w:left="-270"/>
        <w:rPr>
          <w:rFonts w:ascii="Times New Roman" w:hAnsi="Times New Roman" w:cs="Times New Roman"/>
          <w:sz w:val="24"/>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EC1EEC">
        <w:tblPrEx>
          <w:tblW w:w="8730" w:type="dxa"/>
          <w:tblInd w:w="18" w:type="dxa"/>
          <w:tblCellMar>
            <w:top w:w="0" w:type="dxa"/>
            <w:left w:w="108" w:type="dxa"/>
            <w:bottom w:w="0" w:type="dxa"/>
            <w:right w:w="108" w:type="dxa"/>
          </w:tblCellMar>
          <w:tblLook w:val="01E0"/>
        </w:tblPrEx>
        <w:tc>
          <w:tcPr>
            <w:tcW w:w="4680" w:type="dxa"/>
          </w:tcPr>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C232F0" w:rsidP="00FC7BB9">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214BE5" w:rsidP="00FC7BB9">
            <w:pPr>
              <w:rPr>
                <w:rStyle w:val="DefaultParagraphFont"/>
                <w:sz w:val="24"/>
                <w:szCs w:val="24"/>
                <w:lang w:val="en-US" w:eastAsia="en-US" w:bidi="ar-SA"/>
              </w:rPr>
            </w:pPr>
          </w:p>
          <w:p w:rsidR="00214BE5" w:rsidP="00FC7BB9">
            <w:pPr>
              <w:rPr>
                <w:rStyle w:val="DefaultParagraphFont"/>
                <w:sz w:val="24"/>
                <w:szCs w:val="24"/>
                <w:lang w:val="en-US" w:eastAsia="en-US" w:bidi="ar-SA"/>
              </w:rPr>
            </w:pPr>
            <w:r>
              <w:rPr>
                <w:sz w:val="24"/>
                <w:szCs w:val="24"/>
                <w:lang w:val="en-US" w:eastAsia="en-US" w:bidi="ar-SA"/>
              </w:rPr>
              <w:t>)</w:t>
            </w:r>
          </w:p>
          <w:p w:rsidR="00C232F0" w:rsidP="00FC7BB9">
            <w:pPr>
              <w:rPr>
                <w:rStyle w:val="DefaultParagraphFont"/>
                <w:sz w:val="24"/>
                <w:szCs w:val="24"/>
                <w:lang w:val="en-US" w:eastAsia="en-US" w:bidi="ar-SA"/>
              </w:rPr>
            </w:pPr>
            <w:r>
              <w:rPr>
                <w:sz w:val="24"/>
                <w:szCs w:val="24"/>
                <w:lang w:val="en-US" w:eastAsia="en-US" w:bidi="ar-SA"/>
              </w:rPr>
              <w:t>)</w:t>
            </w:r>
          </w:p>
          <w:p w:rsidR="00C232F0" w:rsidRPr="001A22D5" w:rsidP="00FC7BB9">
            <w:pPr>
              <w:rPr>
                <w:rStyle w:val="DefaultParagraphFont"/>
                <w:sz w:val="24"/>
                <w:szCs w:val="24"/>
                <w:lang w:val="en-US" w:eastAsia="en-US" w:bidi="ar-SA"/>
              </w:rPr>
            </w:pPr>
            <w:r>
              <w:rPr>
                <w:sz w:val="24"/>
                <w:szCs w:val="24"/>
                <w:lang w:val="en-US" w:eastAsia="en-US" w:bidi="ar-SA"/>
              </w:rPr>
              <w:t>)</w:t>
            </w:r>
          </w:p>
        </w:tc>
        <w:tc>
          <w:tcPr>
            <w:tcW w:w="3690" w:type="dxa"/>
          </w:tcPr>
          <w:p w:rsidR="00EC1EEC" w:rsidRPr="001A22D5"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12-426-EL-SSO</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12-427-EL-ATA</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12-428-EL-AAM</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12-429-EL-WVR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RPr="001A22D5" w:rsidP="00FC7BB9">
            <w:pPr>
              <w:rPr>
                <w:rStyle w:val="DefaultParagraphFont"/>
                <w:sz w:val="24"/>
                <w:szCs w:val="24"/>
                <w:lang w:val="en-US" w:eastAsia="en-US" w:bidi="ar-SA"/>
              </w:rPr>
            </w:pPr>
            <w:r>
              <w:rPr>
                <w:sz w:val="24"/>
                <w:szCs w:val="24"/>
                <w:lang w:val="en-US" w:eastAsia="en-US" w:bidi="ar-SA"/>
              </w:rPr>
              <w:t>Case No. 12-672-EL-RDR</w:t>
            </w:r>
          </w:p>
        </w:tc>
      </w:tr>
    </w:tbl>
    <w:p w:rsidR="001D43FE" w:rsidP="004606D9">
      <w:pPr>
        <w:pStyle w:val="HTMLPreformatted"/>
        <w:pBdr>
          <w:bottom w:val="single" w:sz="12" w:space="1" w:color="auto"/>
        </w:pBdr>
        <w:rPr>
          <w:rFonts w:ascii="Times New Roman" w:hAnsi="Times New Roman" w:cs="Times New Roman"/>
          <w:sz w:val="24"/>
          <w:szCs w:val="24"/>
        </w:rPr>
      </w:pPr>
    </w:p>
    <w:p w:rsidR="00141105" w:rsidP="004606D9">
      <w:pPr>
        <w:jc w:val="center"/>
        <w:rPr>
          <w:b/>
          <w:szCs w:val="24"/>
        </w:rPr>
      </w:pPr>
    </w:p>
    <w:p w:rsidR="003502BC">
      <w:pPr>
        <w:jc w:val="center"/>
        <w:rPr>
          <w:b/>
          <w:szCs w:val="24"/>
        </w:rPr>
      </w:pPr>
      <w:r>
        <w:rPr>
          <w:b/>
          <w:szCs w:val="24"/>
        </w:rPr>
        <w:t xml:space="preserve">APPLICATION FOR REHEARING </w:t>
      </w:r>
    </w:p>
    <w:p w:rsidR="008B08A8">
      <w:pPr>
        <w:jc w:val="center"/>
        <w:rPr>
          <w:b/>
          <w:szCs w:val="24"/>
        </w:rPr>
      </w:pPr>
      <w:r>
        <w:rPr>
          <w:b/>
          <w:szCs w:val="24"/>
        </w:rPr>
        <w:t>BY</w:t>
      </w:r>
    </w:p>
    <w:p w:rsidR="00C10521">
      <w:pPr>
        <w:jc w:val="center"/>
        <w:rPr>
          <w:b/>
          <w:szCs w:val="24"/>
        </w:rPr>
      </w:pPr>
      <w:r>
        <w:rPr>
          <w:b/>
          <w:szCs w:val="24"/>
        </w:rPr>
        <w:t xml:space="preserve">THE OFFICE OF THE OHIO CONSUMERS’ COUNSEL </w:t>
      </w:r>
    </w:p>
    <w:p w:rsidR="001D43FE" w:rsidP="005E4337">
      <w:pPr>
        <w:pBdr>
          <w:bottom w:val="single" w:sz="12" w:space="1" w:color="auto"/>
        </w:pBdr>
        <w:jc w:val="center"/>
        <w:rPr>
          <w:b/>
          <w:szCs w:val="24"/>
        </w:rPr>
      </w:pPr>
    </w:p>
    <w:p w:rsidR="00141105" w:rsidP="005E4337">
      <w:pPr>
        <w:tabs>
          <w:tab w:val="left" w:pos="4320"/>
        </w:tabs>
        <w:ind w:firstLine="48"/>
        <w:rPr>
          <w:szCs w:val="24"/>
        </w:rPr>
      </w:pPr>
      <w:r>
        <w:br/>
      </w:r>
    </w:p>
    <w:p w:rsidR="00152983" w:rsidP="005E4337">
      <w:pPr>
        <w:tabs>
          <w:tab w:val="left" w:pos="4320"/>
        </w:tabs>
        <w:ind w:firstLine="48"/>
        <w:rPr>
          <w:szCs w:val="24"/>
        </w:rPr>
      </w:pPr>
    </w:p>
    <w:p w:rsidR="00910F01" w:rsidP="00910F01">
      <w:pPr>
        <w:tabs>
          <w:tab w:val="left" w:pos="4320"/>
        </w:tabs>
        <w:ind w:left="4320"/>
        <w:rPr>
          <w:szCs w:val="24"/>
        </w:rPr>
      </w:pPr>
      <w:r>
        <w:rPr>
          <w:szCs w:val="24"/>
        </w:rPr>
        <w:t>BRUCE WESTON (0016973)</w:t>
      </w:r>
    </w:p>
    <w:p w:rsidR="00910F01" w:rsidP="00910F01">
      <w:pPr>
        <w:tabs>
          <w:tab w:val="left" w:pos="4320"/>
        </w:tabs>
        <w:ind w:left="4320"/>
        <w:rPr>
          <w:szCs w:val="24"/>
        </w:rPr>
      </w:pPr>
      <w:r>
        <w:rPr>
          <w:szCs w:val="24"/>
        </w:rPr>
        <w:t>OHIO CONSUMERS’ COUNSEL</w:t>
      </w:r>
    </w:p>
    <w:p w:rsidR="00910F01" w:rsidRPr="002A7C48" w:rsidP="00910F01">
      <w:pPr>
        <w:tabs>
          <w:tab w:val="left" w:pos="4320"/>
        </w:tabs>
        <w:ind w:left="4320"/>
        <w:rPr>
          <w:sz w:val="16"/>
          <w:szCs w:val="16"/>
        </w:rPr>
      </w:pPr>
    </w:p>
    <w:p w:rsidR="00506883" w:rsidP="00506883">
      <w:pPr>
        <w:ind w:left="4320"/>
        <w:rPr>
          <w:szCs w:val="24"/>
        </w:rPr>
      </w:pPr>
      <w:r>
        <w:rPr>
          <w:szCs w:val="24"/>
        </w:rPr>
        <w:t>Maureen Willis (0020847)</w:t>
      </w:r>
    </w:p>
    <w:p w:rsidR="00910F01" w:rsidP="00506883">
      <w:pPr>
        <w:ind w:left="4320"/>
        <w:rPr>
          <w:szCs w:val="24"/>
        </w:rPr>
      </w:pPr>
      <w:r>
        <w:rPr>
          <w:szCs w:val="24"/>
        </w:rPr>
        <w:t>Counsel of Record</w:t>
      </w:r>
    </w:p>
    <w:p w:rsidR="00910F01" w:rsidP="00910F01">
      <w:pPr>
        <w:tabs>
          <w:tab w:val="left" w:pos="4320"/>
        </w:tabs>
        <w:ind w:left="4320"/>
        <w:rPr>
          <w:szCs w:val="24"/>
        </w:rPr>
      </w:pPr>
      <w:r>
        <w:rPr>
          <w:szCs w:val="24"/>
        </w:rPr>
        <w:t>Assistant Consumers’ Counsel</w:t>
      </w:r>
    </w:p>
    <w:p w:rsidR="00910F01" w:rsidRPr="002A7C48" w:rsidP="00910F01">
      <w:pPr>
        <w:tabs>
          <w:tab w:val="left" w:pos="4320"/>
          <w:tab w:val="left" w:pos="4755"/>
        </w:tabs>
        <w:ind w:left="4320"/>
        <w:rPr>
          <w:sz w:val="16"/>
          <w:szCs w:val="16"/>
        </w:rPr>
      </w:pPr>
    </w:p>
    <w:p w:rsidR="00910F01" w:rsidRPr="002A7C48" w:rsidP="00910F01">
      <w:pPr>
        <w:ind w:left="4320"/>
        <w:rPr>
          <w:b/>
          <w:szCs w:val="24"/>
        </w:rPr>
      </w:pPr>
      <w:bookmarkStart w:id="1" w:name="_Toc354492841"/>
      <w:r w:rsidRPr="002A7C48">
        <w:rPr>
          <w:b/>
          <w:szCs w:val="24"/>
        </w:rPr>
        <w:t>Office of the Ohio Consumers</w:t>
      </w:r>
      <w:r>
        <w:rPr>
          <w:b/>
          <w:szCs w:val="24"/>
        </w:rPr>
        <w:t>’</w:t>
      </w:r>
      <w:r w:rsidRPr="002A7C48">
        <w:rPr>
          <w:b/>
          <w:szCs w:val="24"/>
        </w:rPr>
        <w:t xml:space="preserve"> Counsel</w:t>
      </w:r>
      <w:bookmarkEnd w:id="1"/>
    </w:p>
    <w:p w:rsidR="00910F01" w:rsidRPr="002A7C48" w:rsidP="00910F01">
      <w:pPr>
        <w:ind w:left="4320"/>
        <w:rPr>
          <w:szCs w:val="24"/>
        </w:rPr>
      </w:pPr>
      <w:bookmarkStart w:id="2" w:name="_Toc354492842"/>
      <w:r w:rsidRPr="002A7C48">
        <w:rPr>
          <w:szCs w:val="24"/>
        </w:rPr>
        <w:t>10 West Broad Street, Suite 1800</w:t>
      </w:r>
      <w:bookmarkEnd w:id="2"/>
    </w:p>
    <w:p w:rsidR="00910F01" w:rsidRPr="002A7C48" w:rsidP="00910F01">
      <w:pPr>
        <w:ind w:left="4320"/>
        <w:rPr>
          <w:szCs w:val="24"/>
        </w:rPr>
      </w:pPr>
      <w:bookmarkStart w:id="3" w:name="_Toc354492843"/>
      <w:r w:rsidRPr="002A7C48">
        <w:rPr>
          <w:szCs w:val="24"/>
        </w:rPr>
        <w:t>Columbus, Ohio 43215-3485</w:t>
      </w:r>
      <w:bookmarkEnd w:id="3"/>
    </w:p>
    <w:p w:rsidR="00910F01" w:rsidP="00910F01">
      <w:pPr>
        <w:autoSpaceDE w:val="0"/>
        <w:autoSpaceDN w:val="0"/>
        <w:adjustRightInd w:val="0"/>
        <w:ind w:left="4320"/>
        <w:rPr>
          <w:szCs w:val="24"/>
        </w:rPr>
      </w:pPr>
      <w:r>
        <w:rPr>
          <w:szCs w:val="24"/>
        </w:rPr>
        <w:t>Telephone: Willis (614) 466-9567</w:t>
      </w:r>
    </w:p>
    <w:p w:rsidR="004F25E2" w:rsidP="00910F01">
      <w:pPr>
        <w:autoSpaceDE w:val="0"/>
        <w:autoSpaceDN w:val="0"/>
        <w:adjustRightInd w:val="0"/>
        <w:ind w:left="4320"/>
        <w:rPr>
          <w:szCs w:val="24"/>
        </w:rPr>
      </w:pPr>
      <w:r>
        <w:fldChar w:fldCharType="begin"/>
      </w:r>
      <w:r>
        <w:instrText xml:space="preserve"> HYPERLINK "mailto:maureen.willis@occ.ohio.gov" </w:instrText>
      </w:r>
      <w:r>
        <w:fldChar w:fldCharType="separate"/>
      </w:r>
      <w:r w:rsidRPr="00B1111D" w:rsidR="00647248">
        <w:rPr>
          <w:rStyle w:val="Hyperlink"/>
          <w:szCs w:val="24"/>
        </w:rPr>
        <w:t>maureen.willis@occ.ohio.gov</w:t>
      </w:r>
      <w:r>
        <w:fldChar w:fldCharType="end"/>
      </w:r>
      <w:r w:rsidR="00647248">
        <w:rPr>
          <w:szCs w:val="24"/>
        </w:rPr>
        <w:t xml:space="preserve"> </w:t>
      </w:r>
    </w:p>
    <w:p w:rsidR="001C2394" w:rsidP="00910F01">
      <w:pPr>
        <w:autoSpaceDE w:val="0"/>
        <w:autoSpaceDN w:val="0"/>
        <w:adjustRightInd w:val="0"/>
        <w:ind w:left="4320"/>
        <w:rPr>
          <w:szCs w:val="24"/>
        </w:rPr>
      </w:pPr>
      <w:r>
        <w:rPr>
          <w:szCs w:val="24"/>
        </w:rPr>
        <w:t>(will accept service via email)</w:t>
      </w:r>
    </w:p>
    <w:p w:rsidR="001D43FE">
      <w:pPr>
        <w:autoSpaceDE w:val="0"/>
        <w:autoSpaceDN w:val="0"/>
        <w:adjustRightInd w:val="0"/>
        <w:ind w:left="24"/>
        <w:rPr>
          <w:szCs w:val="24"/>
        </w:rPr>
      </w:pPr>
      <w:r>
        <w:rPr>
          <w:szCs w:val="24"/>
        </w:rPr>
        <w:t>January 13, 2017</w:t>
      </w:r>
    </w:p>
    <w:p w:rsidR="005D1C1E">
      <w:pPr>
        <w:jc w:val="center"/>
        <w:rPr>
          <w:b/>
          <w:szCs w:val="24"/>
        </w:rPr>
        <w:sectPr w:rsidSect="00FC79F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26"/>
        </w:sectPr>
      </w:pPr>
    </w:p>
    <w:p w:rsidR="001D43FE" w:rsidP="003056EE">
      <w:pPr>
        <w:jc w:val="center"/>
        <w:rPr>
          <w:b/>
          <w:szCs w:val="24"/>
        </w:rPr>
      </w:pPr>
      <w:r>
        <w:rPr>
          <w:b/>
          <w:szCs w:val="24"/>
        </w:rPr>
        <w:t>BEFORE</w:t>
      </w:r>
    </w:p>
    <w:p w:rsidR="001D43FE" w:rsidP="00CC7702">
      <w:pPr>
        <w:jc w:val="center"/>
        <w:rPr>
          <w:b/>
          <w:bCs/>
          <w:szCs w:val="24"/>
        </w:rPr>
      </w:pPr>
      <w:r>
        <w:rPr>
          <w:b/>
          <w:bCs/>
          <w:szCs w:val="24"/>
        </w:rPr>
        <w:t>THE PUBLIC UTILITIES COMMISSION OF OHIO</w:t>
      </w:r>
    </w:p>
    <w:p w:rsidR="00CC7702" w:rsidRPr="00CC7702" w:rsidP="00CC7702">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FC7BB9">
        <w:tblPrEx>
          <w:tblW w:w="8730" w:type="dxa"/>
          <w:tblInd w:w="18" w:type="dxa"/>
          <w:tblCellMar>
            <w:top w:w="0" w:type="dxa"/>
            <w:left w:w="108" w:type="dxa"/>
            <w:bottom w:w="0" w:type="dxa"/>
            <w:right w:w="108" w:type="dxa"/>
          </w:tblCellMar>
          <w:tblLook w:val="01E0"/>
        </w:tblPrEx>
        <w:tc>
          <w:tcPr>
            <w:tcW w:w="4680" w:type="dxa"/>
          </w:tcPr>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5E4337" w:rsidP="005E4337">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RPr="001A22D5" w:rsidP="00FC7BB9">
            <w:pPr>
              <w:rPr>
                <w:rStyle w:val="DefaultParagraphFont"/>
                <w:sz w:val="24"/>
                <w:szCs w:val="24"/>
                <w:lang w:val="en-US" w:eastAsia="en-US" w:bidi="ar-SA"/>
              </w:rPr>
            </w:pPr>
          </w:p>
        </w:tc>
        <w:tc>
          <w:tcPr>
            <w:tcW w:w="3690" w:type="dxa"/>
          </w:tcPr>
          <w:p w:rsidR="00EC1EEC" w:rsidRPr="001A22D5" w:rsidP="00FC7BB9">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12-426-EL-SSO</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12-427-EL-ATA</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12-428-EL-AAM</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12-429-EL-WVR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RPr="001A22D5" w:rsidP="005E4337">
            <w:pPr>
              <w:rPr>
                <w:rStyle w:val="DefaultParagraphFont"/>
                <w:sz w:val="24"/>
                <w:szCs w:val="24"/>
                <w:lang w:val="en-US" w:eastAsia="en-US" w:bidi="ar-SA"/>
              </w:rPr>
            </w:pPr>
            <w:r>
              <w:rPr>
                <w:sz w:val="24"/>
                <w:szCs w:val="24"/>
                <w:lang w:val="en-US" w:eastAsia="en-US" w:bidi="ar-SA"/>
              </w:rPr>
              <w:t>Case No. 12-672-EL-RDR</w:t>
            </w:r>
          </w:p>
        </w:tc>
      </w:tr>
    </w:tbl>
    <w:p w:rsidR="001D43FE" w:rsidP="00141105">
      <w:pPr>
        <w:pStyle w:val="HTMLPreformatted"/>
        <w:pBdr>
          <w:bottom w:val="single" w:sz="12" w:space="1" w:color="auto"/>
        </w:pBdr>
        <w:rPr>
          <w:rFonts w:ascii="Times New Roman" w:hAnsi="Times New Roman" w:cs="Times New Roman"/>
          <w:sz w:val="24"/>
          <w:szCs w:val="24"/>
        </w:rPr>
      </w:pPr>
    </w:p>
    <w:p w:rsidR="00141105" w:rsidP="004F25E2">
      <w:pPr>
        <w:jc w:val="center"/>
        <w:rPr>
          <w:b/>
          <w:szCs w:val="24"/>
        </w:rPr>
      </w:pPr>
    </w:p>
    <w:p w:rsidR="004F25E2" w:rsidP="004F25E2">
      <w:pPr>
        <w:jc w:val="center"/>
        <w:rPr>
          <w:b/>
          <w:szCs w:val="24"/>
        </w:rPr>
      </w:pPr>
      <w:r>
        <w:rPr>
          <w:b/>
          <w:szCs w:val="24"/>
        </w:rPr>
        <w:t xml:space="preserve">APPLICATION FOR REHEARING </w:t>
      </w:r>
    </w:p>
    <w:p w:rsidR="001D43FE" w:rsidP="00276D5D">
      <w:pPr>
        <w:pBdr>
          <w:bottom w:val="single" w:sz="12" w:space="1" w:color="auto"/>
        </w:pBdr>
        <w:rPr>
          <w:b/>
          <w:szCs w:val="24"/>
        </w:rPr>
      </w:pPr>
    </w:p>
    <w:p w:rsidR="005E4337" w:rsidP="00F2288D">
      <w:pPr>
        <w:tabs>
          <w:tab w:val="left" w:pos="-720"/>
        </w:tabs>
        <w:suppressAutoHyphens/>
        <w:rPr>
          <w:szCs w:val="24"/>
        </w:rPr>
      </w:pPr>
      <w:r>
        <w:rPr>
          <w:szCs w:val="24"/>
        </w:rPr>
        <w:tab/>
      </w:r>
      <w:r>
        <w:rPr>
          <w:szCs w:val="24"/>
        </w:rPr>
        <w:tab/>
      </w:r>
    </w:p>
    <w:p w:rsidR="0047541A" w:rsidP="00F52141">
      <w:pPr>
        <w:spacing w:line="480" w:lineRule="auto"/>
        <w:ind w:firstLine="720"/>
      </w:pPr>
      <w:r>
        <w:t xml:space="preserve">The Office of the Ohio Consumers' Counsel ("OCC") files this application for rehearing to protect customers who have paid plenty to Dayton Power and Light Company (“DP&amp;L”) over the past three years for standard service offer rates.  Customers in the Dayton area --where there is financial distress and a poverty level of 35%-- paid approximately $285 million in above market subsidies (through a so-called stability charge) to prop up DP&amp;L's aging uneconomic power plants.  </w:t>
      </w:r>
    </w:p>
    <w:p w:rsidR="006E22B3" w:rsidP="00F52141">
      <w:pPr>
        <w:spacing w:line="480" w:lineRule="auto"/>
        <w:ind w:firstLine="720"/>
      </w:pPr>
      <w:r>
        <w:t xml:space="preserve">The Ohio Supreme Court (“Court”), however, found the PUCO should not have approved DP&amp;L's $9.86 per month stability charge.  The Court ruled that the stability </w:t>
      </w:r>
      <w:r>
        <w:t>charge is an unlawful transition charge that customers should no longer pay.</w:t>
      </w:r>
      <w:r w:rsidRPr="006F1D62">
        <w:rPr>
          <w:rStyle w:val="FootnoteReference"/>
        </w:rPr>
        <w:t xml:space="preserve"> </w:t>
      </w:r>
      <w:r>
        <w:rPr>
          <w:rStyle w:val="FootnoteReference"/>
        </w:rPr>
        <w:footnoteReference w:id="2"/>
      </w:r>
      <w:r>
        <w:t xml:space="preserve">  On remand, it was up to the PUCO to carry out that Court decision.  </w:t>
      </w:r>
    </w:p>
    <w:p w:rsidR="0002268E" w:rsidP="000C45C6">
      <w:pPr>
        <w:spacing w:line="480" w:lineRule="auto"/>
        <w:ind w:firstLine="720"/>
      </w:pPr>
      <w:r>
        <w:t>But instead of requiring DP&amp;L to reduce rates by excluding the $9.86 per month stability charge, the PUCO allowed DP&amp;L to circumvent the Court.  The PUCO ruled that DP&amp;L could withdraw its current electric security plan (“ESP”) rates, and in their place, charge rates to customers that include a $6.05 monthly stability charge from the Utility’s previous ESP.</w:t>
      </w:r>
      <w:r>
        <w:rPr>
          <w:rStyle w:val="FootnoteReference"/>
        </w:rPr>
        <w:footnoteReference w:id="3"/>
      </w:r>
      <w:r>
        <w:t xml:space="preserve"> So instead of getting nearly a $10 per month reduction, as the Court ordered, customers got only a fraction of the reduction ($4.00 per month). DP&amp;L continues to charge customers the difference.  </w:t>
      </w:r>
    </w:p>
    <w:p w:rsidR="0047541A" w:rsidP="0002268E">
      <w:pPr>
        <w:spacing w:line="480" w:lineRule="auto"/>
        <w:ind w:firstLine="720"/>
      </w:pPr>
      <w:r>
        <w:t xml:space="preserve">The OCC filed an application for rehearing from the PUCO's August 26, 2016 Finding and Order. On October 12, 2016, the PUCO granted rehearing allowing itself more time to consider the applications for rehearing.  OCC filed an application for rehearing from the PUCO's October 12, 2016 Entry.  On December 14, 2016, the PUCO issued its Seventh Entry on Rehearing.  In its Seventh Entry on Rehearing the PUCO denied all parties' applications for rehearing, including OCC's. </w:t>
      </w:r>
    </w:p>
    <w:p w:rsidR="00240218" w:rsidP="0002268E">
      <w:pPr>
        <w:spacing w:line="480" w:lineRule="auto"/>
        <w:ind w:firstLine="720"/>
      </w:pPr>
      <w:r>
        <w:t xml:space="preserve"> The PUCO's Seventh Entry on Rehearing was unreasonable or unlawful in the following respect:</w:t>
      </w:r>
    </w:p>
    <w:p w:rsidR="00EB2D16" w:rsidRPr="00F97A77" w:rsidP="00BE2A5C">
      <w:pPr>
        <w:spacing w:line="480" w:lineRule="auto"/>
        <w:ind w:firstLine="720"/>
      </w:pPr>
      <w:r>
        <w:t xml:space="preserve">Assignment of Error 1:  The PUCO erred when it found the issue of whether a utility has an indefinite right to withdraw from an electric security plan is not present in this case.  This finding is manifestly against the weight of the evidence and clearly unsupported so as to show a mistake.  </w:t>
      </w:r>
    </w:p>
    <w:p w:rsidR="0025193D" w:rsidP="0025193D">
      <w:pPr>
        <w:spacing w:line="480" w:lineRule="auto"/>
        <w:ind w:firstLine="720"/>
      </w:pPr>
      <w:r>
        <w:t>The reasons in support of this application for rehearing are set forth in the accompanying Memorandum in Support. The PUCO should grant rehearing and abrogate or modify its Seventh Entry on Rehearing as requested by OCC.</w:t>
      </w:r>
    </w:p>
    <w:p w:rsidR="00152983" w:rsidP="0025193D">
      <w:pPr>
        <w:spacing w:line="480" w:lineRule="auto"/>
        <w:ind w:firstLine="720"/>
      </w:pPr>
    </w:p>
    <w:p w:rsidR="0025193D" w:rsidRPr="00EB2D16" w:rsidP="0025193D">
      <w:pPr>
        <w:pStyle w:val="Footer"/>
        <w:tabs>
          <w:tab w:val="left" w:pos="4320"/>
        </w:tabs>
        <w:ind w:left="4320"/>
        <w:rPr>
          <w:sz w:val="24"/>
          <w:szCs w:val="24"/>
        </w:rPr>
      </w:pPr>
      <w:r w:rsidRPr="00EB2D16">
        <w:rPr>
          <w:sz w:val="24"/>
          <w:szCs w:val="24"/>
        </w:rPr>
        <w:t>Respectfully submitted,</w:t>
      </w:r>
    </w:p>
    <w:p w:rsidR="0025193D" w:rsidRPr="00EB2D16" w:rsidP="0025193D">
      <w:pPr>
        <w:pStyle w:val="Footer"/>
        <w:tabs>
          <w:tab w:val="left" w:pos="4320"/>
        </w:tabs>
        <w:ind w:left="4320"/>
        <w:rPr>
          <w:sz w:val="24"/>
          <w:szCs w:val="24"/>
        </w:rPr>
      </w:pPr>
    </w:p>
    <w:p w:rsidR="0025193D" w:rsidRPr="00EB2D16" w:rsidP="0025193D">
      <w:pPr>
        <w:pStyle w:val="Footer"/>
        <w:tabs>
          <w:tab w:val="left" w:pos="4320"/>
        </w:tabs>
        <w:ind w:left="4320"/>
        <w:rPr>
          <w:sz w:val="24"/>
          <w:szCs w:val="24"/>
        </w:rPr>
      </w:pPr>
      <w:r w:rsidRPr="00EB2D16">
        <w:rPr>
          <w:sz w:val="24"/>
          <w:szCs w:val="24"/>
        </w:rPr>
        <w:t>BRUCE WESTON (0016973)</w:t>
      </w:r>
    </w:p>
    <w:p w:rsidR="0025193D" w:rsidRPr="00EB2D16" w:rsidP="0025193D">
      <w:pPr>
        <w:pStyle w:val="Footer"/>
        <w:tabs>
          <w:tab w:val="left" w:pos="4320"/>
        </w:tabs>
        <w:ind w:left="4320"/>
        <w:rPr>
          <w:sz w:val="24"/>
          <w:szCs w:val="24"/>
        </w:rPr>
      </w:pPr>
      <w:r w:rsidRPr="00EB2D16">
        <w:rPr>
          <w:sz w:val="24"/>
          <w:szCs w:val="24"/>
        </w:rPr>
        <w:t>OHIO CONSUMERS</w:t>
      </w:r>
      <w:r>
        <w:rPr>
          <w:sz w:val="24"/>
          <w:szCs w:val="24"/>
        </w:rPr>
        <w:t>'</w:t>
      </w:r>
      <w:r w:rsidRPr="00EB2D16">
        <w:rPr>
          <w:sz w:val="24"/>
          <w:szCs w:val="24"/>
        </w:rPr>
        <w:t xml:space="preserve"> COUNSEL</w:t>
      </w:r>
    </w:p>
    <w:p w:rsidR="0025193D" w:rsidRPr="00EB2D16" w:rsidP="0025193D">
      <w:pPr>
        <w:pStyle w:val="Footer"/>
        <w:tabs>
          <w:tab w:val="left" w:pos="4320"/>
        </w:tabs>
        <w:ind w:left="4320"/>
        <w:rPr>
          <w:sz w:val="24"/>
          <w:szCs w:val="24"/>
        </w:rPr>
      </w:pPr>
    </w:p>
    <w:p w:rsidR="00EB2D16" w:rsidRPr="00EB2D16" w:rsidP="0025193D">
      <w:pPr>
        <w:pStyle w:val="Footer"/>
        <w:tabs>
          <w:tab w:val="left" w:pos="4320"/>
        </w:tabs>
        <w:ind w:left="4320"/>
        <w:rPr>
          <w:i/>
          <w:sz w:val="24"/>
          <w:szCs w:val="24"/>
          <w:u w:val="single"/>
        </w:rPr>
      </w:pPr>
      <w:r w:rsidRPr="00EB2D16">
        <w:rPr>
          <w:i/>
          <w:sz w:val="24"/>
          <w:szCs w:val="24"/>
          <w:u w:val="single"/>
        </w:rPr>
        <w:t>/s/ Maureen Willis</w:t>
      </w:r>
      <w:r w:rsidRPr="00152983">
        <w:rPr>
          <w:sz w:val="24"/>
          <w:szCs w:val="24"/>
        </w:rPr>
        <w:t>__</w:t>
      </w:r>
    </w:p>
    <w:p w:rsidR="005D1C1E" w:rsidRPr="00EB2D16" w:rsidP="0025193D">
      <w:pPr>
        <w:tabs>
          <w:tab w:val="left" w:pos="4320"/>
        </w:tabs>
        <w:rPr>
          <w:szCs w:val="24"/>
        </w:rPr>
      </w:pPr>
      <w:r w:rsidRPr="00EB2D16">
        <w:rPr>
          <w:szCs w:val="24"/>
        </w:rPr>
        <w:tab/>
        <w:t>Maureen R. Willis, (0020847)</w:t>
      </w:r>
    </w:p>
    <w:p w:rsidR="0025193D" w:rsidRPr="00EB2D16" w:rsidP="0025193D">
      <w:pPr>
        <w:tabs>
          <w:tab w:val="left" w:pos="4320"/>
        </w:tabs>
        <w:rPr>
          <w:szCs w:val="24"/>
        </w:rPr>
      </w:pPr>
      <w:r w:rsidRPr="00EB2D16">
        <w:rPr>
          <w:szCs w:val="24"/>
        </w:rPr>
        <w:tab/>
        <w:t>Counsel of Record</w:t>
      </w:r>
    </w:p>
    <w:p w:rsidR="0025193D" w:rsidRPr="00EB2D16" w:rsidP="005D1C1E">
      <w:pPr>
        <w:tabs>
          <w:tab w:val="left" w:pos="4320"/>
        </w:tabs>
        <w:rPr>
          <w:szCs w:val="24"/>
        </w:rPr>
      </w:pPr>
      <w:r w:rsidRPr="00EB2D16">
        <w:rPr>
          <w:szCs w:val="24"/>
        </w:rPr>
        <w:tab/>
        <w:t xml:space="preserve">Senior Regulatory Attorney </w:t>
      </w:r>
    </w:p>
    <w:p w:rsidR="0025193D" w:rsidRPr="00EB2D16" w:rsidP="0025193D">
      <w:pPr>
        <w:tabs>
          <w:tab w:val="left" w:pos="4320"/>
          <w:tab w:val="left" w:pos="4755"/>
        </w:tabs>
        <w:ind w:left="4320"/>
        <w:rPr>
          <w:szCs w:val="24"/>
        </w:rPr>
      </w:pPr>
    </w:p>
    <w:p w:rsidR="0025193D" w:rsidRPr="00F23767" w:rsidP="0025193D">
      <w:pPr>
        <w:ind w:left="4320"/>
        <w:rPr>
          <w:b/>
          <w:szCs w:val="24"/>
        </w:rPr>
      </w:pPr>
      <w:r w:rsidRPr="00F23767">
        <w:rPr>
          <w:b/>
          <w:szCs w:val="24"/>
        </w:rPr>
        <w:t>Office of the Ohio Consumers’ Counsel</w:t>
      </w:r>
    </w:p>
    <w:p w:rsidR="0025193D" w:rsidRPr="00EB2D16" w:rsidP="0025193D">
      <w:pPr>
        <w:ind w:left="4320"/>
        <w:rPr>
          <w:szCs w:val="24"/>
        </w:rPr>
      </w:pPr>
      <w:r w:rsidRPr="00EB2D16">
        <w:rPr>
          <w:szCs w:val="24"/>
        </w:rPr>
        <w:t>10 West Broad Street, Suite 1800</w:t>
      </w:r>
    </w:p>
    <w:p w:rsidR="0025193D" w:rsidRPr="00EB2D16" w:rsidP="0025193D">
      <w:pPr>
        <w:ind w:left="4320"/>
        <w:rPr>
          <w:szCs w:val="24"/>
        </w:rPr>
      </w:pPr>
      <w:r w:rsidRPr="00EB2D16">
        <w:rPr>
          <w:szCs w:val="24"/>
        </w:rPr>
        <w:t>Columbus, Ohio 43215-3485</w:t>
      </w:r>
    </w:p>
    <w:p w:rsidR="0025193D" w:rsidRPr="00EB2D16" w:rsidP="0025193D">
      <w:pPr>
        <w:autoSpaceDE w:val="0"/>
        <w:autoSpaceDN w:val="0"/>
        <w:adjustRightInd w:val="0"/>
        <w:ind w:left="4320"/>
        <w:rPr>
          <w:szCs w:val="24"/>
        </w:rPr>
      </w:pPr>
      <w:r w:rsidRPr="00EB2D16">
        <w:rPr>
          <w:szCs w:val="24"/>
        </w:rPr>
        <w:t>Telephone: (614) 466-9567</w:t>
      </w:r>
    </w:p>
    <w:p w:rsidR="0025193D" w:rsidRPr="00EB2D16" w:rsidP="0025193D">
      <w:pPr>
        <w:ind w:left="4320"/>
        <w:rPr>
          <w:szCs w:val="24"/>
        </w:rPr>
      </w:pPr>
      <w:r>
        <w:fldChar w:fldCharType="begin"/>
      </w:r>
      <w:r>
        <w:instrText xml:space="preserve"> HYPERLINK "mailto:maureen.willis@occ.ohio.gov" </w:instrText>
      </w:r>
      <w:r>
        <w:fldChar w:fldCharType="separate"/>
      </w:r>
      <w:r w:rsidRPr="00EB2D16" w:rsidR="00647248">
        <w:rPr>
          <w:rStyle w:val="Hyperlink"/>
          <w:szCs w:val="24"/>
        </w:rPr>
        <w:t>maureen.willis@occ.ohio.gov</w:t>
      </w:r>
      <w:r>
        <w:fldChar w:fldCharType="end"/>
      </w:r>
      <w:r w:rsidRPr="00EB2D16" w:rsidR="00647248">
        <w:rPr>
          <w:szCs w:val="24"/>
        </w:rPr>
        <w:t xml:space="preserve">  </w:t>
      </w:r>
    </w:p>
    <w:p w:rsidR="003056EE" w:rsidP="003056EE">
      <w:pPr>
        <w:ind w:left="4320"/>
        <w:sectPr w:rsidSect="00F52141">
          <w:footerReference w:type="default" r:id="rId11"/>
          <w:footerReference w:type="first" r:id="rId12"/>
          <w:pgSz w:w="12240" w:h="15840"/>
          <w:pgMar w:top="1440" w:right="1800" w:bottom="1440" w:left="1800" w:header="720" w:footer="720" w:gutter="0"/>
          <w:pgNumType w:start="1"/>
          <w:cols w:space="720"/>
          <w:titlePg/>
          <w:docGrid w:linePitch="326"/>
        </w:sectPr>
      </w:pPr>
      <w:r w:rsidRPr="00EB2D16">
        <w:rPr>
          <w:szCs w:val="24"/>
        </w:rPr>
        <w:t>(will accept service</w:t>
      </w:r>
      <w:r>
        <w:t xml:space="preserve"> via email)</w:t>
      </w:r>
    </w:p>
    <w:p w:rsidR="003056EE" w:rsidRPr="00F2288D" w:rsidP="003056EE">
      <w:pPr>
        <w:jc w:val="center"/>
        <w:rPr>
          <w:b/>
          <w:szCs w:val="24"/>
          <w:u w:val="single"/>
        </w:rPr>
      </w:pPr>
      <w:r w:rsidRPr="00F2288D">
        <w:rPr>
          <w:b/>
          <w:szCs w:val="24"/>
          <w:u w:val="single"/>
        </w:rPr>
        <w:t>TABLE OF CONTENTS</w:t>
      </w:r>
    </w:p>
    <w:p w:rsidR="003056EE" w:rsidP="003056EE">
      <w:pPr>
        <w:jc w:val="right"/>
        <w:rPr>
          <w:b/>
          <w:szCs w:val="24"/>
        </w:rPr>
      </w:pPr>
      <w:r>
        <w:rPr>
          <w:b/>
          <w:szCs w:val="24"/>
        </w:rPr>
        <w:t>PAGE</w:t>
      </w:r>
    </w:p>
    <w:p w:rsidR="003056EE" w:rsidP="003056EE">
      <w:pPr>
        <w:rPr>
          <w:b/>
          <w:szCs w:val="24"/>
        </w:rPr>
      </w:pPr>
    </w:p>
    <w:p w:rsidR="00FD6204">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"_Toc472081178" </w:instrText>
      </w:r>
      <w:r>
        <w:fldChar w:fldCharType="separate"/>
      </w:r>
      <w:r w:rsidRPr="00D0170D">
        <w:rPr>
          <w:rStyle w:val="Hyperlink"/>
          <w:noProof/>
        </w:rPr>
        <w:t xml:space="preserve">I. </w:t>
      </w:r>
      <w:r>
        <w:rPr>
          <w:rFonts w:asciiTheme="minorHAnsi" w:eastAsiaTheme="minorEastAsia" w:hAnsiTheme="minorHAnsi" w:cstheme="minorBidi"/>
          <w:caps w:val="0"/>
          <w:noProof/>
          <w:sz w:val="22"/>
          <w:szCs w:val="22"/>
        </w:rPr>
        <w:tab/>
      </w:r>
      <w:r w:rsidRPr="00D0170D">
        <w:rPr>
          <w:rStyle w:val="Hyperlink"/>
          <w:noProof/>
        </w:rPr>
        <w:t>INTRODUCTION</w:t>
      </w:r>
      <w:r>
        <w:rPr>
          <w:noProof/>
          <w:webHidden/>
        </w:rPr>
        <w:tab/>
      </w:r>
      <w:r>
        <w:rPr>
          <w:noProof/>
          <w:webHidden/>
        </w:rPr>
        <w:fldChar w:fldCharType="begin"/>
      </w:r>
      <w:r>
        <w:rPr>
          <w:noProof/>
          <w:webHidden/>
        </w:rPr>
        <w:instrText xml:space="preserve"> PAGEREF _Toc472081178 \h </w:instrText>
      </w:r>
      <w:r>
        <w:rPr>
          <w:noProof/>
          <w:webHidden/>
        </w:rPr>
        <w:fldChar w:fldCharType="separate"/>
      </w:r>
      <w:r>
        <w:rPr>
          <w:noProof/>
          <w:webHidden/>
        </w:rPr>
        <w:t>1</w:t>
      </w:r>
      <w:r>
        <w:rPr>
          <w:noProof/>
          <w:webHidden/>
        </w:rPr>
        <w:fldChar w:fldCharType="end"/>
      </w:r>
      <w:r>
        <w:fldChar w:fldCharType="end"/>
      </w:r>
    </w:p>
    <w:p w:rsidR="00FD6204">
      <w:pPr>
        <w:pStyle w:val="TOC1"/>
        <w:rPr>
          <w:rFonts w:asciiTheme="minorHAnsi" w:eastAsiaTheme="minorEastAsia" w:hAnsiTheme="minorHAnsi" w:cstheme="minorBidi"/>
          <w:caps w:val="0"/>
          <w:noProof/>
          <w:sz w:val="22"/>
          <w:szCs w:val="22"/>
        </w:rPr>
      </w:pPr>
      <w:r>
        <w:fldChar w:fldCharType="begin"/>
      </w:r>
      <w:r>
        <w:instrText xml:space="preserve"> HYPERLINK \l "_Toc472081179" </w:instrText>
      </w:r>
      <w:r>
        <w:fldChar w:fldCharType="separate"/>
      </w:r>
      <w:r w:rsidRPr="00D0170D" w:rsidR="00647248">
        <w:rPr>
          <w:rStyle w:val="Hyperlink"/>
          <w:noProof/>
        </w:rPr>
        <w:t>II.</w:t>
      </w:r>
      <w:r w:rsidR="00647248">
        <w:rPr>
          <w:rFonts w:asciiTheme="minorHAnsi" w:eastAsiaTheme="minorEastAsia" w:hAnsiTheme="minorHAnsi" w:cstheme="minorBidi"/>
          <w:caps w:val="0"/>
          <w:noProof/>
          <w:sz w:val="22"/>
          <w:szCs w:val="22"/>
        </w:rPr>
        <w:tab/>
      </w:r>
      <w:r w:rsidRPr="00D0170D" w:rsidR="00647248">
        <w:rPr>
          <w:rStyle w:val="Hyperlink"/>
          <w:noProof/>
        </w:rPr>
        <w:t>STANDARD OF REVIEW</w:t>
      </w:r>
      <w:r w:rsidR="00647248">
        <w:rPr>
          <w:noProof/>
          <w:webHidden/>
        </w:rPr>
        <w:tab/>
      </w:r>
      <w:r w:rsidR="00647248">
        <w:rPr>
          <w:noProof/>
          <w:webHidden/>
        </w:rPr>
        <w:fldChar w:fldCharType="begin"/>
      </w:r>
      <w:r w:rsidR="00647248">
        <w:rPr>
          <w:noProof/>
          <w:webHidden/>
        </w:rPr>
        <w:instrText xml:space="preserve"> PAGEREF _Toc472081179 \h </w:instrText>
      </w:r>
      <w:r w:rsidR="00647248">
        <w:rPr>
          <w:noProof/>
          <w:webHidden/>
        </w:rPr>
        <w:fldChar w:fldCharType="separate"/>
      </w:r>
      <w:r w:rsidR="00647248">
        <w:rPr>
          <w:noProof/>
          <w:webHidden/>
        </w:rPr>
        <w:t>2</w:t>
      </w:r>
      <w:r w:rsidR="00647248">
        <w:rPr>
          <w:noProof/>
          <w:webHidden/>
        </w:rPr>
        <w:fldChar w:fldCharType="end"/>
      </w:r>
      <w:r>
        <w:fldChar w:fldCharType="end"/>
      </w:r>
    </w:p>
    <w:p w:rsidR="00FD6204">
      <w:pPr>
        <w:pStyle w:val="TOC1"/>
        <w:rPr>
          <w:rFonts w:asciiTheme="minorHAnsi" w:eastAsiaTheme="minorEastAsia" w:hAnsiTheme="minorHAnsi" w:cstheme="minorBidi"/>
          <w:caps w:val="0"/>
          <w:noProof/>
          <w:sz w:val="22"/>
          <w:szCs w:val="22"/>
        </w:rPr>
      </w:pPr>
      <w:r>
        <w:fldChar w:fldCharType="begin"/>
      </w:r>
      <w:r>
        <w:instrText xml:space="preserve"> HYPERLINK \l "_Toc472081180" </w:instrText>
      </w:r>
      <w:r>
        <w:fldChar w:fldCharType="separate"/>
      </w:r>
      <w:r w:rsidRPr="00D0170D" w:rsidR="00647248">
        <w:rPr>
          <w:rStyle w:val="Hyperlink"/>
          <w:noProof/>
        </w:rPr>
        <w:t xml:space="preserve">III. </w:t>
      </w:r>
      <w:r w:rsidR="00647248">
        <w:rPr>
          <w:rFonts w:asciiTheme="minorHAnsi" w:eastAsiaTheme="minorEastAsia" w:hAnsiTheme="minorHAnsi" w:cstheme="minorBidi"/>
          <w:caps w:val="0"/>
          <w:noProof/>
          <w:sz w:val="22"/>
          <w:szCs w:val="22"/>
        </w:rPr>
        <w:tab/>
      </w:r>
      <w:r w:rsidRPr="00D0170D" w:rsidR="00647248">
        <w:rPr>
          <w:rStyle w:val="Hyperlink"/>
          <w:noProof/>
        </w:rPr>
        <w:t>ERRORS</w:t>
      </w:r>
      <w:r w:rsidR="00647248">
        <w:rPr>
          <w:noProof/>
          <w:webHidden/>
        </w:rPr>
        <w:tab/>
      </w:r>
      <w:r w:rsidR="00647248">
        <w:rPr>
          <w:noProof/>
          <w:webHidden/>
        </w:rPr>
        <w:fldChar w:fldCharType="begin"/>
      </w:r>
      <w:r w:rsidR="00647248">
        <w:rPr>
          <w:noProof/>
          <w:webHidden/>
        </w:rPr>
        <w:instrText xml:space="preserve"> PAGEREF _Toc472081180 \h </w:instrText>
      </w:r>
      <w:r w:rsidR="00647248">
        <w:rPr>
          <w:noProof/>
          <w:webHidden/>
        </w:rPr>
        <w:fldChar w:fldCharType="separate"/>
      </w:r>
      <w:r w:rsidR="00647248">
        <w:rPr>
          <w:noProof/>
          <w:webHidden/>
        </w:rPr>
        <w:t>4</w:t>
      </w:r>
      <w:r w:rsidR="00647248">
        <w:rPr>
          <w:noProof/>
          <w:webHidden/>
        </w:rPr>
        <w:fldChar w:fldCharType="end"/>
      </w:r>
      <w:r>
        <w:fldChar w:fldCharType="end"/>
      </w:r>
    </w:p>
    <w:p w:rsidR="00FD6204">
      <w:pPr>
        <w:pStyle w:val="TOC2"/>
        <w:rPr>
          <w:rFonts w:asciiTheme="minorHAnsi" w:eastAsiaTheme="minorEastAsia" w:hAnsiTheme="minorHAnsi" w:cstheme="minorBidi"/>
          <w:noProof/>
          <w:sz w:val="22"/>
          <w:szCs w:val="22"/>
        </w:rPr>
      </w:pPr>
      <w:r>
        <w:fldChar w:fldCharType="begin"/>
      </w:r>
      <w:r>
        <w:instrText xml:space="preserve"> HYPERLINK \l "_Toc472081181" </w:instrText>
      </w:r>
      <w:r>
        <w:fldChar w:fldCharType="separate"/>
      </w:r>
      <w:r w:rsidRPr="00D0170D" w:rsidR="00647248">
        <w:rPr>
          <w:rStyle w:val="Hyperlink"/>
          <w:noProof/>
        </w:rPr>
        <w:t xml:space="preserve">Assignment of Error 1: The PUCO erred when it found the issue of whether a utility has an indefinite right to withdraw from an electric security plan is not present in this case.  This finding is manifestly against the weight of the </w:t>
      </w:r>
      <w:r w:rsidR="00647248">
        <w:rPr>
          <w:rStyle w:val="Hyperlink"/>
          <w:noProof/>
        </w:rPr>
        <w:br/>
      </w:r>
      <w:r w:rsidRPr="00D0170D" w:rsidR="00647248">
        <w:rPr>
          <w:rStyle w:val="Hyperlink"/>
          <w:noProof/>
        </w:rPr>
        <w:t>evidence and clearly unsupported so as to show mistake.</w:t>
      </w:r>
      <w:r w:rsidR="00647248">
        <w:rPr>
          <w:noProof/>
          <w:webHidden/>
        </w:rPr>
        <w:tab/>
      </w:r>
      <w:r w:rsidR="00647248">
        <w:rPr>
          <w:noProof/>
          <w:webHidden/>
        </w:rPr>
        <w:fldChar w:fldCharType="begin"/>
      </w:r>
      <w:r w:rsidR="00647248">
        <w:rPr>
          <w:noProof/>
          <w:webHidden/>
        </w:rPr>
        <w:instrText xml:space="preserve"> PAGEREF _Toc472081181 \h </w:instrText>
      </w:r>
      <w:r w:rsidR="00647248">
        <w:rPr>
          <w:noProof/>
          <w:webHidden/>
        </w:rPr>
        <w:fldChar w:fldCharType="separate"/>
      </w:r>
      <w:r w:rsidR="00647248">
        <w:rPr>
          <w:noProof/>
          <w:webHidden/>
        </w:rPr>
        <w:t>4</w:t>
      </w:r>
      <w:r w:rsidR="00647248">
        <w:rPr>
          <w:noProof/>
          <w:webHidden/>
        </w:rPr>
        <w:fldChar w:fldCharType="end"/>
      </w:r>
      <w:r>
        <w:fldChar w:fldCharType="end"/>
      </w:r>
    </w:p>
    <w:p w:rsidR="00FD6204">
      <w:pPr>
        <w:pStyle w:val="TOC1"/>
        <w:rPr>
          <w:rFonts w:asciiTheme="minorHAnsi" w:eastAsiaTheme="minorEastAsia" w:hAnsiTheme="minorHAnsi" w:cstheme="minorBidi"/>
          <w:caps w:val="0"/>
          <w:noProof/>
          <w:sz w:val="22"/>
          <w:szCs w:val="22"/>
        </w:rPr>
      </w:pPr>
      <w:r>
        <w:fldChar w:fldCharType="begin"/>
      </w:r>
      <w:r>
        <w:instrText xml:space="preserve"> HYPERLINK \l "_Toc472081182" </w:instrText>
      </w:r>
      <w:r>
        <w:fldChar w:fldCharType="separate"/>
      </w:r>
      <w:r w:rsidRPr="00D0170D" w:rsidR="00647248">
        <w:rPr>
          <w:rStyle w:val="Hyperlink"/>
          <w:noProof/>
        </w:rPr>
        <w:t xml:space="preserve">IV. </w:t>
      </w:r>
      <w:r w:rsidR="00647248">
        <w:rPr>
          <w:rFonts w:asciiTheme="minorHAnsi" w:eastAsiaTheme="minorEastAsia" w:hAnsiTheme="minorHAnsi" w:cstheme="minorBidi"/>
          <w:caps w:val="0"/>
          <w:noProof/>
          <w:sz w:val="22"/>
          <w:szCs w:val="22"/>
        </w:rPr>
        <w:tab/>
      </w:r>
      <w:r w:rsidRPr="00D0170D" w:rsidR="00647248">
        <w:rPr>
          <w:rStyle w:val="Hyperlink"/>
          <w:noProof/>
        </w:rPr>
        <w:t>CONCLUSION</w:t>
      </w:r>
      <w:r w:rsidR="00647248">
        <w:rPr>
          <w:noProof/>
          <w:webHidden/>
        </w:rPr>
        <w:tab/>
      </w:r>
      <w:r w:rsidR="00647248">
        <w:rPr>
          <w:noProof/>
          <w:webHidden/>
        </w:rPr>
        <w:fldChar w:fldCharType="begin"/>
      </w:r>
      <w:r w:rsidR="00647248">
        <w:rPr>
          <w:noProof/>
          <w:webHidden/>
        </w:rPr>
        <w:instrText xml:space="preserve"> PAGEREF _Toc472081182 \h </w:instrText>
      </w:r>
      <w:r w:rsidR="00647248">
        <w:rPr>
          <w:noProof/>
          <w:webHidden/>
        </w:rPr>
        <w:fldChar w:fldCharType="separate"/>
      </w:r>
      <w:r w:rsidR="00647248">
        <w:rPr>
          <w:noProof/>
          <w:webHidden/>
        </w:rPr>
        <w:t>6</w:t>
      </w:r>
      <w:r w:rsidR="00647248">
        <w:rPr>
          <w:noProof/>
          <w:webHidden/>
        </w:rPr>
        <w:fldChar w:fldCharType="end"/>
      </w:r>
      <w:r>
        <w:fldChar w:fldCharType="end"/>
      </w:r>
    </w:p>
    <w:p w:rsidR="003056EE" w:rsidP="00F23767">
      <w:pPr>
        <w:jc w:val="both"/>
        <w:rPr>
          <w:b/>
          <w:szCs w:val="24"/>
        </w:rPr>
      </w:pPr>
      <w:r>
        <w:rPr>
          <w:b/>
          <w:szCs w:val="24"/>
        </w:rPr>
        <w:fldChar w:fldCharType="end"/>
      </w:r>
    </w:p>
    <w:p w:rsidR="003056EE">
      <w:pPr>
        <w:rPr>
          <w:b/>
          <w:szCs w:val="24"/>
        </w:rPr>
        <w:sectPr w:rsidSect="003056EE">
          <w:footerReference w:type="default" r:id="rId13"/>
          <w:footerReference w:type="first" r:id="rId14"/>
          <w:pgSz w:w="12240" w:h="15840"/>
          <w:pgMar w:top="1440" w:right="1800" w:bottom="1440" w:left="1800" w:header="720" w:footer="720" w:gutter="0"/>
          <w:pgNumType w:fmt="lowerRoman" w:start="1"/>
          <w:cols w:space="720"/>
          <w:titlePg/>
          <w:docGrid w:linePitch="326"/>
        </w:sectPr>
      </w:pPr>
    </w:p>
    <w:p w:rsidR="0025193D" w:rsidP="00F23767">
      <w:pPr>
        <w:ind w:left="4320" w:hanging="4320"/>
        <w:jc w:val="center"/>
        <w:rPr>
          <w:b/>
          <w:szCs w:val="24"/>
        </w:rPr>
      </w:pPr>
      <w:r>
        <w:rPr>
          <w:b/>
          <w:szCs w:val="24"/>
        </w:rPr>
        <w:t>BEFORE</w:t>
      </w:r>
    </w:p>
    <w:p w:rsidR="0025193D" w:rsidP="0025193D">
      <w:pPr>
        <w:jc w:val="center"/>
        <w:rPr>
          <w:b/>
          <w:bCs/>
          <w:szCs w:val="24"/>
        </w:rPr>
      </w:pPr>
      <w:r>
        <w:rPr>
          <w:b/>
          <w:bCs/>
          <w:szCs w:val="24"/>
        </w:rPr>
        <w:t>THE PUBLIC UTILITIES COMMISSION OF OHIO</w:t>
      </w:r>
    </w:p>
    <w:p w:rsidR="0025193D" w:rsidRPr="00CC7702" w:rsidP="0025193D">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28512A">
        <w:tblPrEx>
          <w:tblW w:w="8730" w:type="dxa"/>
          <w:tblInd w:w="18" w:type="dxa"/>
          <w:tblCellMar>
            <w:top w:w="0" w:type="dxa"/>
            <w:left w:w="108" w:type="dxa"/>
            <w:bottom w:w="0" w:type="dxa"/>
            <w:right w:w="108" w:type="dxa"/>
          </w:tblCellMar>
          <w:tblLook w:val="01E0"/>
        </w:tblPrEx>
        <w:tc>
          <w:tcPr>
            <w:tcW w:w="4680" w:type="dxa"/>
          </w:tcPr>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RPr="001A22D5" w:rsidP="0028512A">
            <w:pPr>
              <w:rPr>
                <w:rStyle w:val="DefaultParagraphFont"/>
                <w:sz w:val="24"/>
                <w:szCs w:val="24"/>
                <w:lang w:val="en-US" w:eastAsia="en-US" w:bidi="ar-SA"/>
              </w:rPr>
            </w:pPr>
          </w:p>
        </w:tc>
        <w:tc>
          <w:tcPr>
            <w:tcW w:w="3690" w:type="dxa"/>
          </w:tcPr>
          <w:p w:rsidR="0025193D" w:rsidRPr="001A22D5"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12-426-EL-SSO</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12-427-EL-ATA</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12-428-EL-AAM</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12-429-EL-WVR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Case No. 12-672-EL-RDR</w:t>
            </w:r>
          </w:p>
        </w:tc>
      </w:tr>
    </w:tbl>
    <w:p w:rsidR="0025193D" w:rsidP="0025193D">
      <w:pPr>
        <w:pStyle w:val="HTMLPreformatted"/>
        <w:pBdr>
          <w:bottom w:val="single" w:sz="12" w:space="1" w:color="auto"/>
        </w:pBdr>
        <w:rPr>
          <w:rFonts w:ascii="Times New Roman" w:hAnsi="Times New Roman" w:cs="Times New Roman"/>
          <w:sz w:val="24"/>
          <w:szCs w:val="24"/>
        </w:rPr>
      </w:pPr>
    </w:p>
    <w:p w:rsidR="0025193D" w:rsidP="0025193D">
      <w:pPr>
        <w:jc w:val="center"/>
        <w:rPr>
          <w:b/>
          <w:szCs w:val="24"/>
        </w:rPr>
      </w:pPr>
    </w:p>
    <w:p w:rsidR="0025193D" w:rsidP="0025193D">
      <w:pPr>
        <w:jc w:val="center"/>
        <w:rPr>
          <w:b/>
          <w:szCs w:val="24"/>
        </w:rPr>
      </w:pPr>
      <w:r>
        <w:rPr>
          <w:b/>
          <w:szCs w:val="24"/>
        </w:rPr>
        <w:t>MEMORANDUM IN SUPPORT</w:t>
      </w:r>
    </w:p>
    <w:p w:rsidR="0025193D" w:rsidP="0025193D">
      <w:pPr>
        <w:pBdr>
          <w:bottom w:val="single" w:sz="12" w:space="1" w:color="auto"/>
        </w:pBdr>
        <w:rPr>
          <w:b/>
          <w:szCs w:val="24"/>
        </w:rPr>
      </w:pPr>
    </w:p>
    <w:p w:rsidR="0025193D" w:rsidP="005D1C1E">
      <w:pPr>
        <w:tabs>
          <w:tab w:val="left" w:pos="-720"/>
        </w:tabs>
        <w:suppressAutoHyphens/>
        <w:rPr>
          <w:szCs w:val="24"/>
        </w:rPr>
      </w:pPr>
    </w:p>
    <w:p w:rsidR="007E22D3" w:rsidP="00B663BA">
      <w:pPr>
        <w:pStyle w:val="Heading1"/>
      </w:pPr>
      <w:bookmarkStart w:id="4" w:name="_Toc462673186"/>
      <w:bookmarkStart w:id="5" w:name="_Toc472000458"/>
      <w:bookmarkStart w:id="6" w:name="_Toc472000901"/>
      <w:bookmarkStart w:id="7" w:name="_Toc472000969"/>
      <w:bookmarkStart w:id="8" w:name="_Toc472001715"/>
      <w:bookmarkStart w:id="9" w:name="_Toc472081178"/>
      <w:r>
        <w:t xml:space="preserve">I. </w:t>
      </w:r>
      <w:r>
        <w:tab/>
      </w:r>
      <w:r w:rsidRPr="00F2288D">
        <w:t>INTRODUCTION</w:t>
      </w:r>
      <w:bookmarkEnd w:id="4"/>
      <w:bookmarkEnd w:id="5"/>
      <w:bookmarkEnd w:id="6"/>
      <w:bookmarkEnd w:id="7"/>
      <w:bookmarkEnd w:id="8"/>
      <w:bookmarkEnd w:id="9"/>
    </w:p>
    <w:p w:rsidR="00F7217D" w:rsidP="00B52B49">
      <w:pPr>
        <w:spacing w:line="480" w:lineRule="auto"/>
        <w:ind w:firstLine="720"/>
      </w:pPr>
      <w:r>
        <w:t>From the outset of DP&amp;L’s electric security plan (established under case No. 12-426-EL-SSO) the Utility was charging customers so-called stability charges that the Court found to be an unlawful transition charge.  Unfortunately for consumers paying those transition charges, the charges would not likely be returned (and were not) to consumers under Court precedent.</w:t>
      </w:r>
      <w:r>
        <w:rPr>
          <w:rStyle w:val="FootnoteReference"/>
        </w:rPr>
        <w:footnoteReference w:id="4"/>
      </w:r>
      <w:r>
        <w:t xml:space="preserve">  </w:t>
      </w:r>
    </w:p>
    <w:p w:rsidR="00F7217D" w:rsidP="00B52B49">
      <w:pPr>
        <w:spacing w:line="480" w:lineRule="auto"/>
        <w:ind w:firstLine="720"/>
      </w:pPr>
      <w:r>
        <w:t xml:space="preserve">But the Court, within a week of the oral argument, issued a decision to stop future collections of the stability charge from DP&amp;L’s customers.  That decision was reached on June 20, 2016.  </w:t>
      </w:r>
    </w:p>
    <w:p w:rsidR="008D721E" w:rsidP="00B52B49">
      <w:pPr>
        <w:spacing w:line="480" w:lineRule="auto"/>
        <w:ind w:firstLine="720"/>
      </w:pPr>
      <w:r>
        <w:t>To circumvent the Court’s decision, and to protect its unlawful collection of revenues, DP&amp;L filed to withdraw its electric security plan, and return consumers – in part -- to pricing from its earlier electric security plan.  In DP&amp;L's hybrid approach to implementing earlier rates, it resurrected a stability charge of $6.05 per month.  The PUCO approved DP&amp;L's plan.</w:t>
      </w:r>
    </w:p>
    <w:p w:rsidR="00B52B49" w:rsidP="00B52B49">
      <w:pPr>
        <w:spacing w:line="480" w:lineRule="auto"/>
        <w:ind w:firstLine="720"/>
      </w:pPr>
      <w:r>
        <w:t xml:space="preserve"> Since September 1, 2016, DP&amp;L customers have been forced to pay rates that include a $6.05 stability charge (from DP&amp;L’s prior ESP).  On September 26, 2016, OCC applied for rehearing on the PUCO Order, maintaining that the PUCO violated Ohio law.  The PUCO initially granted rehearing (so that it could further consider the issues raised by the parties' applications for rehearing) by a Sixth Entry on Rehearing.  But on December 14, 2016, the PUCO issued its Seventh Entry on Rehearing denying all applications for rehearing.    </w:t>
      </w:r>
      <w:bookmarkStart w:id="10" w:name="_Toc314232317"/>
      <w:bookmarkStart w:id="11" w:name="_Toc334799827"/>
      <w:bookmarkStart w:id="12" w:name="_Toc334799903"/>
      <w:bookmarkStart w:id="13" w:name="_Toc414891921"/>
      <w:bookmarkStart w:id="14" w:name="_Toc415237292"/>
      <w:bookmarkStart w:id="15" w:name="_Toc462673187"/>
    </w:p>
    <w:p w:rsidR="00152983" w:rsidP="00F23767">
      <w:pPr>
        <w:ind w:firstLine="720"/>
      </w:pPr>
    </w:p>
    <w:p w:rsidR="005D1C1E" w:rsidRPr="005D1C1E" w:rsidP="00152983">
      <w:pPr>
        <w:pStyle w:val="Heading1"/>
      </w:pPr>
      <w:bookmarkStart w:id="16" w:name="_Toc472000459"/>
      <w:bookmarkStart w:id="17" w:name="_Toc472000902"/>
      <w:bookmarkStart w:id="18" w:name="_Toc472000970"/>
      <w:bookmarkStart w:id="19" w:name="_Toc472001716"/>
      <w:bookmarkStart w:id="20" w:name="_Toc472081179"/>
      <w:r>
        <w:t>II.</w:t>
      </w:r>
      <w:r>
        <w:tab/>
      </w:r>
      <w:r w:rsidRPr="00415357">
        <w:t>STANDARD OF REVIEW</w:t>
      </w:r>
      <w:bookmarkEnd w:id="10"/>
      <w:bookmarkEnd w:id="11"/>
      <w:bookmarkEnd w:id="12"/>
      <w:bookmarkEnd w:id="13"/>
      <w:bookmarkEnd w:id="14"/>
      <w:bookmarkEnd w:id="15"/>
      <w:bookmarkEnd w:id="16"/>
      <w:bookmarkEnd w:id="17"/>
      <w:bookmarkEnd w:id="18"/>
      <w:bookmarkEnd w:id="19"/>
      <w:bookmarkEnd w:id="20"/>
    </w:p>
    <w:p w:rsidR="00F0492A" w:rsidP="00F0492A">
      <w:pPr>
        <w:spacing w:line="480" w:lineRule="auto"/>
        <w:ind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April 16, 2012, which was granted.  OCC also filed testimony regarding the application and participated in the evidentiary hearing on the application.  </w:t>
      </w:r>
    </w:p>
    <w:p w:rsidR="00F0492A" w:rsidP="00F0492A">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21" w:name="R35"/>
      <w:r w:rsidRPr="004E3DCB">
        <w:rPr>
          <w:rStyle w:val="Strong"/>
          <w:b w:val="0"/>
        </w:rPr>
        <w:t>4901-1-35</w:t>
      </w:r>
      <w:r w:rsidRPr="004E3DCB">
        <w:t>(A)</w:t>
      </w:r>
      <w:bookmarkEnd w:id="21"/>
      <w:r>
        <w:t xml:space="preserve"> states: “An application for rehearing must be accompanied by a memorandum in support, which shall be filed no later than the application for rehearing.”</w:t>
      </w:r>
    </w:p>
    <w:p w:rsidR="00F0492A" w:rsidP="00F0492A">
      <w:pPr>
        <w:spacing w:line="480" w:lineRule="auto"/>
        <w:ind w:firstLine="720"/>
      </w:pPr>
      <w: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3978B1" w:rsidP="00EB2D16">
      <w:pPr>
        <w:spacing w:line="480" w:lineRule="auto"/>
        <w:ind w:firstLine="720"/>
      </w:pPr>
      <w:r>
        <w:t>The statutory standard for abrogating some portions of the Order and modifying other portions is met here. The PUCO should grant and hold rehearing on the matters specified in this Application for Rehearing, and subsequently abrogate or modify its Seventh Entry on Rehearing of December 14, 2016. The PUCO’s ruling was unreasonable or unlawful in the following respects.</w:t>
      </w:r>
    </w:p>
    <w:p w:rsidR="003978B1">
      <w:r>
        <w:br w:type="page"/>
      </w:r>
    </w:p>
    <w:p w:rsidR="00F0492A" w:rsidRPr="00EB2D16" w:rsidP="00152983">
      <w:pPr>
        <w:pStyle w:val="Heading1"/>
      </w:pPr>
      <w:bookmarkStart w:id="22" w:name="_Toc462673188"/>
      <w:bookmarkStart w:id="23" w:name="_Toc472000460"/>
      <w:bookmarkStart w:id="24" w:name="_Toc472000903"/>
      <w:bookmarkStart w:id="25" w:name="_Toc472000971"/>
      <w:bookmarkStart w:id="26" w:name="_Toc472001717"/>
      <w:bookmarkStart w:id="27" w:name="_Toc472081180"/>
      <w:r w:rsidRPr="000609BB">
        <w:t>I</w:t>
      </w:r>
      <w:r>
        <w:t>I</w:t>
      </w:r>
      <w:r w:rsidRPr="000609BB">
        <w:t xml:space="preserve">I. </w:t>
      </w:r>
      <w:r>
        <w:tab/>
      </w:r>
      <w:r w:rsidRPr="00152983">
        <w:t>ERRORS</w:t>
      </w:r>
      <w:bookmarkEnd w:id="22"/>
      <w:bookmarkEnd w:id="23"/>
      <w:bookmarkEnd w:id="24"/>
      <w:bookmarkEnd w:id="25"/>
      <w:bookmarkEnd w:id="26"/>
      <w:bookmarkEnd w:id="27"/>
    </w:p>
    <w:p w:rsidR="00115756" w:rsidP="0040187A">
      <w:pPr>
        <w:pStyle w:val="Heading2"/>
      </w:pPr>
      <w:bookmarkStart w:id="28" w:name="_Toc462673189"/>
      <w:bookmarkStart w:id="29" w:name="_Toc472000904"/>
      <w:bookmarkStart w:id="30" w:name="_Toc472000972"/>
      <w:bookmarkStart w:id="31" w:name="_Toc472001718"/>
      <w:bookmarkStart w:id="32" w:name="_Toc472081181"/>
      <w:r w:rsidRPr="006B0130">
        <w:t xml:space="preserve">Assignment of Error 1: </w:t>
      </w:r>
      <w:bookmarkEnd w:id="28"/>
      <w:r w:rsidRPr="006B0130">
        <w:t xml:space="preserve">The PUCO erred </w:t>
      </w:r>
      <w:bookmarkStart w:id="33" w:name="_Toc462673193"/>
      <w:r w:rsidRPr="006B0130">
        <w:t xml:space="preserve">when it found the issue of whether a utility has an indefinite right to withdraw </w:t>
      </w:r>
      <w:r>
        <w:t xml:space="preserve">from an electric security plan </w:t>
      </w:r>
      <w:r w:rsidRPr="006B0130">
        <w:t xml:space="preserve">is not present in this case.  This finding is manifestly against the weight of the evidence and </w:t>
      </w:r>
      <w:r>
        <w:t xml:space="preserve">clearly </w:t>
      </w:r>
      <w:r w:rsidRPr="006B0130">
        <w:t xml:space="preserve">unsupported so </w:t>
      </w:r>
      <w:r>
        <w:t>a</w:t>
      </w:r>
      <w:r w:rsidRPr="006B0130">
        <w:t>s to show mistake.</w:t>
      </w:r>
      <w:bookmarkEnd w:id="29"/>
      <w:bookmarkEnd w:id="30"/>
      <w:bookmarkEnd w:id="31"/>
      <w:bookmarkEnd w:id="32"/>
      <w:r w:rsidRPr="006B0130">
        <w:t xml:space="preserve">  </w:t>
      </w:r>
    </w:p>
    <w:p w:rsidR="00E40C59" w:rsidP="00F23767">
      <w:pPr>
        <w:spacing w:line="480" w:lineRule="auto"/>
        <w:ind w:firstLine="720"/>
      </w:pPr>
      <w:r>
        <w:t>The pertinent facts related to this case are not in dispute.  The PUCO "modified and approved" DP&amp;L's second electric security plan ("ESP II") on September 4, 2013.</w:t>
      </w:r>
      <w:r>
        <w:rPr>
          <w:rStyle w:val="FootnoteReference"/>
        </w:rPr>
        <w:footnoteReference w:id="5"/>
      </w:r>
      <w:r>
        <w:t xml:space="preserve"> Included in that electric security plan was a so-called service stability rider.  The term of the electric security plan began January 1, 2014 and was to terminate on May 31, 2017 -- a 41-month electric security plan.</w:t>
      </w:r>
      <w:r>
        <w:rPr>
          <w:rStyle w:val="FootnoteReference"/>
        </w:rPr>
        <w:footnoteReference w:id="6"/>
      </w:r>
      <w:r>
        <w:t xml:space="preserve">  Tariffs implementing DP&amp;L's modified electric security plan were approved and went into effect on January 1, 2014.  Customers of DP&amp;L were billed at the new rates beginning January 1, 2014. During the many months that the rates were in effect, DP&amp;L enjoyed the benefits of its electric security plan, charging Dayton-area consumers more than a quarter-billion dollars just for the stability charge (among other charges).</w:t>
      </w:r>
    </w:p>
    <w:p w:rsidR="0002316D" w:rsidP="00F23767">
      <w:pPr>
        <w:spacing w:line="480" w:lineRule="auto"/>
        <w:ind w:firstLine="720"/>
      </w:pPr>
      <w:r>
        <w:t>Thirty-one months after the PUCO modified its electric security plan, DP&amp;L moved to withdraw it,</w:t>
      </w:r>
      <w:r>
        <w:rPr>
          <w:rStyle w:val="FootnoteReference"/>
        </w:rPr>
        <w:footnoteReference w:id="7"/>
      </w:r>
      <w:r>
        <w:t xml:space="preserve"> citing to the PUCO's September 4, 2013 modifications as justification for its withdrawal. </w:t>
      </w:r>
      <w:r>
        <w:rPr>
          <w:rStyle w:val="FootnoteReference"/>
        </w:rPr>
        <w:footnoteReference w:id="8"/>
      </w:r>
      <w:r>
        <w:t xml:space="preserve">  What prompted DP&amp;L to do so was action by the Court -- a June 20, 2016 decision that reversed the PUCO's decision approving DP&amp;L's stability charge.</w:t>
      </w:r>
      <w:r>
        <w:rPr>
          <w:rStyle w:val="FootnoteReference"/>
        </w:rPr>
        <w:footnoteReference w:id="9"/>
      </w:r>
      <w:r>
        <w:t xml:space="preserve">  Yet despite the fact that (1) DP&amp;L filed to withdraw its application 31-months after the PUCO modified its electric security plan, and (2) the withdrawal was keyed to an Ohio Supreme Court decision, the PUCO granted DP&amp;L's motion.  </w:t>
      </w:r>
    </w:p>
    <w:p w:rsidR="0034416F" w:rsidP="00F23767">
      <w:pPr>
        <w:spacing w:line="480" w:lineRule="auto"/>
        <w:ind w:firstLine="720"/>
      </w:pPr>
      <w:r>
        <w:t>The PUCO maneuvered around the facts and the law to allow DP&amp;L's untimely withdrawal.  The PUCO, found, on August 26, 2016, that the ESP II should be modified (a second time) to remove the stability charge, based on the Ohio Supreme Court's ruling.  The PUCO reasoned that this second modification of DP&amp;L's electric security plan vested DP&amp;L with the right to withdraw its application. It granted DP&amp;L's motion.</w:t>
      </w:r>
      <w:r>
        <w:rPr>
          <w:rStyle w:val="FootnoteReference"/>
        </w:rPr>
        <w:footnoteReference w:id="10"/>
      </w:r>
      <w:r>
        <w:t xml:space="preserve">  </w:t>
      </w:r>
    </w:p>
    <w:p w:rsidR="00525671" w:rsidP="00F23767">
      <w:pPr>
        <w:spacing w:line="480" w:lineRule="auto"/>
        <w:ind w:firstLine="720"/>
      </w:pPr>
      <w:r>
        <w:t>The PUCO declared that it did not need to address the issue OCC and others raised on rehearing</w:t>
      </w:r>
      <w:r>
        <w:rPr>
          <w:rStyle w:val="FootnoteReference"/>
        </w:rPr>
        <w:footnoteReference w:id="11"/>
      </w:r>
      <w:r>
        <w:t xml:space="preserve"> that the General Assembly intended to allow a utility to withdraw an electric security plan only within a relatively short period after the PUCO modified it.  The PUCO's conclusion was based on the notion that the second PUCO modification of DP&amp;L's electric security plan was the trigger for DP&amp;L to withdraw. The PUCO found that, when considering the second modification, DP&amp;L's ESP II was "withdrawn immediately upon the Commission's August 26, 2016 modification of ESP II."  So the PUCO ignored the fact that DP&amp;L's filing was admittedly in response to two events, neither of which related to the PUCO's August 26, 2016 modification. According to DP&amp;L, the events triggering its right to withdraw were the PUCO's ESP II Order (dated Sept. 9, 2013) and the Ohio Supreme Court's reversal.</w:t>
      </w:r>
      <w:r>
        <w:rPr>
          <w:rStyle w:val="FootnoteReference"/>
        </w:rPr>
        <w:footnoteReference w:id="12"/>
      </w:r>
      <w:r>
        <w:t xml:space="preserve">  </w:t>
      </w:r>
    </w:p>
    <w:p w:rsidR="008C5466" w:rsidP="00F23767">
      <w:pPr>
        <w:spacing w:line="480" w:lineRule="auto"/>
        <w:ind w:firstLine="720"/>
      </w:pPr>
      <w:r>
        <w:t xml:space="preserve">And under those facts, DP&amp;L's withdrawal from its ESP plan occurred 31-months after the modifications -- not "immediately" as the PUCO erroneously found.  So DP&amp;L was allowed to withdraw and terminate its ESP application 31-months into a 41-month plan.  This allowed DP&amp;L to reap the benefits of increased revenues under the plan.  And when the Ohio Supreme Court determined customers were being charged unlawful rates, the PUCO allowed DP&amp;L to terminate the rate plan. And DP&amp;L was allowed to reinstate a hybrid version of prior ESP rates, including a $6.05 monthly stability charge, rather than excluding the stability charge from its rates, as ordered by the Ohio Supreme Court. </w:t>
      </w:r>
    </w:p>
    <w:p w:rsidR="00E40C59" w:rsidP="008C5466">
      <w:pPr>
        <w:spacing w:line="480" w:lineRule="auto"/>
        <w:ind w:firstLine="720"/>
      </w:pPr>
      <w:r>
        <w:t xml:space="preserve"> The PUCO's interpretation was wrong. The PUCO's mistaken interpretation of the facts in the record, to support its holdings, was unreasonable and unlawful.  The PUCO's findings that DP&amp;L withdrew immediately after the PUCO modified its plan is in error, and against the manifest weight of the evidence.  It is a mistake.  Under Supreme Court of Ohio precedent, the PUCO's holdings should be overturned.</w:t>
      </w:r>
      <w:r>
        <w:rPr>
          <w:rStyle w:val="FootnoteReference"/>
        </w:rPr>
        <w:footnoteReference w:id="13"/>
      </w:r>
    </w:p>
    <w:p w:rsidR="00F23767" w:rsidP="00F23767"/>
    <w:p w:rsidR="00470B5F" w:rsidRPr="00EB2D16" w:rsidP="00F23767">
      <w:pPr>
        <w:pStyle w:val="Heading1"/>
      </w:pPr>
      <w:bookmarkStart w:id="34" w:name="_Toc472000905"/>
      <w:bookmarkStart w:id="35" w:name="_Toc472000973"/>
      <w:bookmarkStart w:id="36" w:name="_Toc472001719"/>
      <w:bookmarkStart w:id="37" w:name="_Toc472081182"/>
      <w:r w:rsidRPr="00EB2D16">
        <w:t xml:space="preserve">IV. </w:t>
      </w:r>
      <w:r w:rsidRPr="00EB2D16">
        <w:tab/>
        <w:t>CONCLUSION</w:t>
      </w:r>
      <w:bookmarkEnd w:id="33"/>
      <w:bookmarkEnd w:id="34"/>
      <w:bookmarkEnd w:id="35"/>
      <w:bookmarkEnd w:id="36"/>
      <w:bookmarkEnd w:id="37"/>
    </w:p>
    <w:p w:rsidR="009A7E38" w:rsidP="009A7E38">
      <w:pPr>
        <w:spacing w:line="480" w:lineRule="auto"/>
        <w:ind w:firstLine="720"/>
      </w:pPr>
      <w:r>
        <w:t xml:space="preserve">To protect customers, the PUCO should grant rehearing and abrogate or modify its Finding and Order.  This would help protect the interests of the residential customers that OCC represents.  </w:t>
      </w:r>
    </w:p>
    <w:p w:rsidR="00152983" w:rsidP="00E72351">
      <w:pPr>
        <w:spacing w:line="480" w:lineRule="auto"/>
        <w:ind w:firstLine="720"/>
      </w:pPr>
    </w:p>
    <w:p w:rsidR="006C6E16" w:rsidRPr="00EB2D16" w:rsidP="00FC79F7">
      <w:pPr>
        <w:spacing w:line="480" w:lineRule="auto"/>
        <w:ind w:firstLine="720"/>
      </w:pPr>
      <w:r>
        <w:rPr>
          <w:szCs w:val="24"/>
        </w:rPr>
        <w:tab/>
      </w:r>
      <w:r>
        <w:rPr>
          <w:szCs w:val="24"/>
        </w:rPr>
        <w:tab/>
      </w:r>
      <w:r>
        <w:rPr>
          <w:szCs w:val="24"/>
        </w:rPr>
        <w:tab/>
      </w:r>
      <w:r>
        <w:rPr>
          <w:szCs w:val="24"/>
        </w:rPr>
        <w:tab/>
      </w:r>
      <w:r>
        <w:rPr>
          <w:szCs w:val="24"/>
        </w:rPr>
        <w:tab/>
      </w:r>
      <w:r w:rsidRPr="00EB2D16">
        <w:t>Respectfully submitted,</w:t>
      </w:r>
    </w:p>
    <w:p w:rsidR="00120D10" w:rsidRPr="00EB2D16" w:rsidP="00120D10">
      <w:pPr>
        <w:tabs>
          <w:tab w:val="left" w:pos="4320"/>
        </w:tabs>
        <w:ind w:left="4320"/>
        <w:rPr>
          <w:szCs w:val="24"/>
        </w:rPr>
      </w:pPr>
      <w:r w:rsidRPr="00EB2D16">
        <w:rPr>
          <w:szCs w:val="24"/>
        </w:rPr>
        <w:t>BRUCE WESTON (0016973)</w:t>
      </w:r>
    </w:p>
    <w:p w:rsidR="00120D10" w:rsidRPr="00EB2D16" w:rsidP="00120D10">
      <w:pPr>
        <w:tabs>
          <w:tab w:val="left" w:pos="4320"/>
        </w:tabs>
        <w:ind w:left="4320"/>
        <w:rPr>
          <w:szCs w:val="24"/>
        </w:rPr>
      </w:pPr>
      <w:r w:rsidRPr="00EB2D16">
        <w:rPr>
          <w:szCs w:val="24"/>
        </w:rPr>
        <w:t>OHIO CONSUMERS’ COUNSEL</w:t>
      </w:r>
    </w:p>
    <w:p w:rsidR="00120D10" w:rsidRPr="00EB2D16" w:rsidP="00120D10">
      <w:pPr>
        <w:tabs>
          <w:tab w:val="left" w:pos="4320"/>
        </w:tabs>
        <w:ind w:left="4320"/>
        <w:rPr>
          <w:szCs w:val="24"/>
        </w:rPr>
      </w:pPr>
    </w:p>
    <w:p w:rsidR="004606D9" w:rsidRPr="00EB2D16" w:rsidP="00A831BA">
      <w:pPr>
        <w:tabs>
          <w:tab w:val="left" w:pos="4320"/>
        </w:tabs>
        <w:ind w:left="4320" w:right="-180"/>
        <w:rPr>
          <w:i/>
          <w:szCs w:val="24"/>
          <w:u w:val="single"/>
        </w:rPr>
      </w:pPr>
      <w:r w:rsidRPr="00EB2D16">
        <w:rPr>
          <w:i/>
          <w:szCs w:val="24"/>
          <w:u w:val="single"/>
        </w:rPr>
        <w:t>/s/ Maureen Willis</w:t>
      </w:r>
      <w:r w:rsidRPr="00EB2D16">
        <w:rPr>
          <w:i/>
          <w:szCs w:val="24"/>
          <w:u w:val="single"/>
        </w:rPr>
        <w:softHyphen/>
      </w:r>
      <w:r w:rsidRPr="00152983">
        <w:rPr>
          <w:szCs w:val="24"/>
        </w:rPr>
        <w:t xml:space="preserve">___ </w:t>
      </w:r>
    </w:p>
    <w:p w:rsidR="00120D10" w:rsidRPr="00EB2D16" w:rsidP="00A831BA">
      <w:pPr>
        <w:tabs>
          <w:tab w:val="left" w:pos="4320"/>
        </w:tabs>
        <w:ind w:left="4320" w:right="-180"/>
        <w:rPr>
          <w:szCs w:val="24"/>
        </w:rPr>
      </w:pPr>
      <w:r w:rsidRPr="00EB2D16">
        <w:rPr>
          <w:szCs w:val="24"/>
        </w:rPr>
        <w:t>Maureen Willis (0020847), Counsel of Record</w:t>
      </w:r>
    </w:p>
    <w:p w:rsidR="00120D10" w:rsidRPr="00EB2D16" w:rsidP="00120D10">
      <w:pPr>
        <w:tabs>
          <w:tab w:val="left" w:pos="4320"/>
        </w:tabs>
        <w:ind w:left="4320"/>
        <w:rPr>
          <w:szCs w:val="24"/>
        </w:rPr>
      </w:pPr>
      <w:r>
        <w:rPr>
          <w:szCs w:val="24"/>
        </w:rPr>
        <w:t xml:space="preserve">Senior Regulatory Attorney </w:t>
      </w:r>
    </w:p>
    <w:p w:rsidR="00120D10" w:rsidRPr="00EB2D16" w:rsidP="00120D10">
      <w:pPr>
        <w:tabs>
          <w:tab w:val="left" w:pos="4320"/>
          <w:tab w:val="left" w:pos="4755"/>
        </w:tabs>
        <w:ind w:left="4320"/>
        <w:rPr>
          <w:sz w:val="16"/>
          <w:szCs w:val="16"/>
        </w:rPr>
      </w:pPr>
    </w:p>
    <w:p w:rsidR="00120D10" w:rsidRPr="00F23767" w:rsidP="00120D10">
      <w:pPr>
        <w:ind w:left="4320"/>
        <w:rPr>
          <w:b/>
          <w:szCs w:val="24"/>
        </w:rPr>
      </w:pPr>
      <w:r w:rsidRPr="00F23767">
        <w:rPr>
          <w:b/>
          <w:szCs w:val="24"/>
        </w:rPr>
        <w:t>Office of the Ohio Consumers’ Counsel</w:t>
      </w:r>
    </w:p>
    <w:p w:rsidR="00120D10" w:rsidRPr="00EB2D16" w:rsidP="00120D10">
      <w:pPr>
        <w:ind w:left="4320"/>
        <w:rPr>
          <w:szCs w:val="24"/>
        </w:rPr>
      </w:pPr>
      <w:r w:rsidRPr="00EB2D16">
        <w:rPr>
          <w:szCs w:val="24"/>
        </w:rPr>
        <w:t>10 West Broad Street, Suite 1800</w:t>
      </w:r>
    </w:p>
    <w:p w:rsidR="00120D10" w:rsidRPr="002A7C48" w:rsidP="00120D10">
      <w:pPr>
        <w:ind w:left="4320"/>
        <w:rPr>
          <w:szCs w:val="24"/>
        </w:rPr>
      </w:pPr>
      <w:r w:rsidRPr="002A7C48">
        <w:rPr>
          <w:szCs w:val="24"/>
        </w:rPr>
        <w:t>Columbus, Ohio 43215-3485</w:t>
      </w:r>
    </w:p>
    <w:p w:rsidR="00120D10" w:rsidP="00120D10">
      <w:pPr>
        <w:autoSpaceDE w:val="0"/>
        <w:autoSpaceDN w:val="0"/>
        <w:adjustRightInd w:val="0"/>
        <w:ind w:left="4320"/>
        <w:rPr>
          <w:szCs w:val="24"/>
        </w:rPr>
      </w:pPr>
      <w:r>
        <w:rPr>
          <w:szCs w:val="24"/>
        </w:rPr>
        <w:t>Telephone: (614) 466-9567</w:t>
      </w:r>
    </w:p>
    <w:p w:rsidR="006C6E16" w:rsidP="00F36C1F">
      <w:pPr>
        <w:ind w:left="4320"/>
      </w:pPr>
      <w:r>
        <w:fldChar w:fldCharType="begin"/>
      </w:r>
      <w:r>
        <w:instrText xml:space="preserve"> HYPERLINK "mailto:maureen.willis@occ.ohio.gov" </w:instrText>
      </w:r>
      <w:r>
        <w:fldChar w:fldCharType="separate"/>
      </w:r>
      <w:r w:rsidRPr="00D50E4C" w:rsidR="00647248">
        <w:rPr>
          <w:rStyle w:val="Hyperlink"/>
        </w:rPr>
        <w:t>maureen.willis@occ.ohio.gov</w:t>
      </w:r>
      <w:r>
        <w:fldChar w:fldCharType="end"/>
      </w:r>
      <w:r w:rsidR="00647248">
        <w:t xml:space="preserve">  </w:t>
      </w:r>
    </w:p>
    <w:p w:rsidR="008845B8" w:rsidRPr="00DE37C9" w:rsidP="00F36C1F">
      <w:pPr>
        <w:ind w:left="4320"/>
        <w:rPr>
          <w:szCs w:val="24"/>
        </w:rPr>
      </w:pPr>
      <w:r>
        <w:t>(will accept service via email)</w:t>
      </w:r>
    </w:p>
    <w:p w:rsidR="008845B8">
      <w:pPr>
        <w:jc w:val="center"/>
        <w:rPr>
          <w:b/>
          <w:bCs/>
          <w:szCs w:val="24"/>
          <w:u w:val="single"/>
        </w:rPr>
        <w:sectPr w:rsidSect="00931766">
          <w:footerReference w:type="default" r:id="rId15"/>
          <w:footerReference w:type="first" r:id="rId16"/>
          <w:pgSz w:w="12240" w:h="15840"/>
          <w:pgMar w:top="1440" w:right="1800" w:bottom="1440" w:left="1800" w:header="720" w:footer="720" w:gutter="0"/>
          <w:pgNumType w:start="1"/>
          <w:cols w:space="720"/>
          <w:titlePg/>
          <w:docGrid w:linePitch="326"/>
        </w:sectPr>
      </w:pPr>
    </w:p>
    <w:p w:rsidR="001D43FE">
      <w:pPr>
        <w:jc w:val="center"/>
        <w:rPr>
          <w:b/>
          <w:bCs/>
          <w:szCs w:val="24"/>
          <w:u w:val="single"/>
        </w:rPr>
      </w:pPr>
      <w:r>
        <w:rPr>
          <w:b/>
          <w:bCs/>
          <w:szCs w:val="24"/>
          <w:u w:val="single"/>
        </w:rPr>
        <w:t>CERTIFICATE OF SERVICE</w:t>
      </w:r>
    </w:p>
    <w:p w:rsidR="00F23767">
      <w:pPr>
        <w:jc w:val="center"/>
        <w:rPr>
          <w:b/>
          <w:bCs/>
          <w:szCs w:val="24"/>
          <w:u w:val="single"/>
        </w:rPr>
      </w:pPr>
    </w:p>
    <w:p w:rsidR="001D43FE" w:rsidP="00242510">
      <w:pPr>
        <w:spacing w:line="480" w:lineRule="atLeast"/>
        <w:ind w:firstLine="720"/>
        <w:rPr>
          <w:szCs w:val="24"/>
        </w:rPr>
      </w:pPr>
      <w:r>
        <w:rPr>
          <w:szCs w:val="24"/>
        </w:rPr>
        <w:t>I hereby certify that a copy of this Application for Rehearing was electronically served via electric transmission on the persons stated below this 13</w:t>
      </w:r>
      <w:r w:rsidRPr="00F36C1F">
        <w:rPr>
          <w:szCs w:val="24"/>
          <w:vertAlign w:val="superscript"/>
        </w:rPr>
        <w:t>th</w:t>
      </w:r>
      <w:r>
        <w:rPr>
          <w:szCs w:val="24"/>
        </w:rPr>
        <w:t xml:space="preserve"> day of January 2017.</w:t>
      </w:r>
    </w:p>
    <w:p w:rsidR="001D43FE">
      <w:pPr>
        <w:tabs>
          <w:tab w:val="left" w:pos="4320"/>
        </w:tabs>
        <w:rPr>
          <w:szCs w:val="24"/>
        </w:rPr>
      </w:pPr>
    </w:p>
    <w:p w:rsidR="001D43FE">
      <w:pPr>
        <w:tabs>
          <w:tab w:val="left" w:pos="4320"/>
        </w:tabs>
        <w:rPr>
          <w:szCs w:val="24"/>
        </w:rPr>
      </w:pPr>
      <w:r>
        <w:rPr>
          <w:szCs w:val="24"/>
        </w:rPr>
        <w:tab/>
      </w:r>
      <w:r>
        <w:rPr>
          <w:i/>
          <w:szCs w:val="24"/>
          <w:u w:val="single"/>
        </w:rPr>
        <w:t>/s/ Maureen Willis</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Maureen R. Willis</w:t>
      </w:r>
    </w:p>
    <w:p w:rsidR="00A113C4">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Senior Regulatory Attorney</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Counsel of Record</w:t>
      </w:r>
    </w:p>
    <w:p w:rsidR="00242510" w:rsidP="00CC7702">
      <w:pPr>
        <w:pStyle w:val="CommentText"/>
        <w:jc w:val="center"/>
        <w:rPr>
          <w:b/>
          <w:u w:val="single"/>
        </w:rPr>
      </w:pPr>
    </w:p>
    <w:p w:rsidR="00931766" w:rsidP="00CC7702">
      <w:pPr>
        <w:pStyle w:val="CommentText"/>
        <w:jc w:val="center"/>
        <w:rPr>
          <w:b/>
          <w:u w:val="single"/>
        </w:rPr>
      </w:pPr>
    </w:p>
    <w:p w:rsidR="001D43FE">
      <w:pPr>
        <w:pStyle w:val="CommentText"/>
        <w:jc w:val="center"/>
        <w:rPr>
          <w:b/>
          <w:u w:val="single"/>
        </w:rPr>
      </w:pPr>
      <w:r>
        <w:rPr>
          <w:b/>
          <w:u w:val="single"/>
        </w:rPr>
        <w:t>SERVICE LIST</w:t>
      </w:r>
    </w:p>
    <w:p w:rsidR="001D43FE" w:rsidP="00CC7702">
      <w:pPr>
        <w:pStyle w:val="BodyText"/>
        <w:rPr>
          <w:b/>
          <w:bCs/>
          <w:szCs w:val="24"/>
        </w:rPr>
      </w:pPr>
    </w:p>
    <w:tbl>
      <w:tblPr>
        <w:tblW w:w="8876" w:type="dxa"/>
        <w:tblInd w:w="0" w:type="dxa"/>
        <w:tblCellMar>
          <w:top w:w="0" w:type="dxa"/>
          <w:left w:w="108" w:type="dxa"/>
          <w:bottom w:w="0" w:type="dxa"/>
          <w:right w:w="108" w:type="dxa"/>
        </w:tblCellMar>
        <w:tblLook w:val="04A0"/>
      </w:tblPr>
      <w:tblGrid>
        <w:gridCol w:w="4490"/>
        <w:gridCol w:w="4386"/>
      </w:tblGrid>
      <w:tr w:rsidTr="00506883">
        <w:tblPrEx>
          <w:tblW w:w="8876" w:type="dxa"/>
          <w:tblInd w:w="0" w:type="dxa"/>
          <w:tblCellMar>
            <w:top w:w="0" w:type="dxa"/>
            <w:left w:w="108" w:type="dxa"/>
            <w:bottom w:w="0" w:type="dxa"/>
            <w:right w:w="108" w:type="dxa"/>
          </w:tblCellMar>
          <w:tblLook w:val="04A0"/>
        </w:tblPrEx>
        <w:tc>
          <w:tcPr>
            <w:tcW w:w="4449" w:type="dxa"/>
            <w:shd w:val="clear" w:color="auto" w:fill="auto"/>
          </w:tcPr>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FA2A4D" w:rsidR="00647248">
              <w:rPr>
                <w:rStyle w:val="Hyperlink"/>
                <w:color w:val="0000FF"/>
                <w:sz w:val="24"/>
                <w:u w:val="single"/>
                <w:lang w:val="en-US" w:eastAsia="en-US" w:bidi="ar-SA"/>
              </w:rPr>
              <w:t>Thomas.Lindgren@ohioattorneygeneral.gov</w:t>
            </w:r>
            <w:r>
              <w:fldChar w:fldCharType="end"/>
            </w:r>
            <w:r w:rsidR="00647248">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FA2A4D" w:rsidR="00647248">
              <w:rPr>
                <w:rStyle w:val="Hyperlink"/>
                <w:color w:val="0000FF"/>
                <w:sz w:val="24"/>
                <w:u w:val="single"/>
                <w:lang w:val="en-US" w:eastAsia="en-US" w:bidi="ar-SA"/>
              </w:rPr>
              <w:t>thomas.mcnamee@ohioattorneygeneral.gov</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"mailto:cfaruki@ficlaw.com" </w:instrText>
            </w:r>
            <w:r>
              <w:fldChar w:fldCharType="separate"/>
            </w:r>
            <w:r w:rsidR="00647248">
              <w:rPr>
                <w:rStyle w:val="Hyperlink"/>
                <w:color w:val="0000FF"/>
                <w:sz w:val="24"/>
                <w:u w:val="single"/>
                <w:lang w:val="en-US" w:eastAsia="en-US" w:bidi="ar-SA"/>
              </w:rPr>
              <w:t>cfaruki@ficlaw.com</w:t>
            </w:r>
            <w:r>
              <w:fldChar w:fldCharType="end"/>
            </w:r>
          </w:p>
          <w:p w:rsidR="00187C8C" w:rsidP="00187C8C">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"mailto:jsharkey@ficlaw.com" </w:instrText>
            </w:r>
            <w:r>
              <w:fldChar w:fldCharType="separate"/>
            </w:r>
            <w:r w:rsidR="00647248">
              <w:rPr>
                <w:rStyle w:val="Hyperlink"/>
                <w:color w:val="0000FF"/>
                <w:sz w:val="24"/>
                <w:u w:val="single"/>
                <w:lang w:val="en-US" w:eastAsia="en-US" w:bidi="ar-SA"/>
              </w:rPr>
              <w:t>jsharkey@ficlaw.com</w:t>
            </w:r>
            <w:r>
              <w:fldChar w:fldCharType="end"/>
            </w:r>
          </w:p>
          <w:p w:rsidR="00187C8C"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"mailto:joliker@mwncmh.com" </w:instrText>
            </w:r>
            <w:r>
              <w:fldChar w:fldCharType="separate"/>
            </w:r>
            <w:r w:rsidRPr="0039376C" w:rsidR="00647248">
              <w:rPr>
                <w:rStyle w:val="Hyperlink"/>
                <w:color w:val="0000FF"/>
                <w:sz w:val="24"/>
                <w:u w:val="single"/>
                <w:lang w:val="en-US" w:eastAsia="en-US" w:bidi="ar-SA"/>
              </w:rPr>
              <w:t>joliker@mwncmh.com</w:t>
            </w:r>
            <w:r>
              <w:fldChar w:fldCharType="end"/>
            </w:r>
            <w:r w:rsidR="00647248">
              <w:rPr>
                <w:sz w:val="24"/>
                <w:lang w:val="en-US" w:eastAsia="en-US" w:bidi="ar-SA"/>
              </w:rPr>
              <w:t xml:space="preserve"> </w:t>
            </w:r>
          </w:p>
          <w:p w:rsidR="00E45883"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"mailto:sam@mwncmh.com" </w:instrText>
            </w:r>
            <w:r>
              <w:fldChar w:fldCharType="separate"/>
            </w:r>
            <w:r w:rsidR="00647248">
              <w:rPr>
                <w:rStyle w:val="Hyperlink"/>
                <w:color w:val="0000FF"/>
                <w:sz w:val="24"/>
                <w:u w:val="single"/>
                <w:lang w:val="en-US" w:eastAsia="en-US" w:bidi="ar-SA"/>
              </w:rPr>
              <w:t>sam@mwncmh.com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39376C" w:rsidR="00647248">
              <w:rPr>
                <w:rStyle w:val="Hyperlink"/>
                <w:color w:val="0000FF"/>
                <w:sz w:val="24"/>
                <w:u w:val="single"/>
                <w:lang w:val="en-US" w:eastAsia="en-US" w:bidi="ar-SA"/>
              </w:rPr>
              <w:t>cmooney@ohiopartners.org</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"mailto:Ned.Ford@fuse.net" </w:instrText>
            </w:r>
            <w:r>
              <w:fldChar w:fldCharType="separate"/>
            </w:r>
            <w:r w:rsidR="00647248">
              <w:rPr>
                <w:rStyle w:val="Hyperlink"/>
                <w:color w:val="0000FF"/>
                <w:sz w:val="24"/>
                <w:u w:val="single"/>
                <w:lang w:val="en-US" w:eastAsia="en-US" w:bidi="ar-SA"/>
              </w:rPr>
              <w:t>Ned.Ford@fuse.net</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"mailto:ricks@ohanet.org" </w:instrText>
            </w:r>
            <w:r>
              <w:fldChar w:fldCharType="separate"/>
            </w:r>
            <w:r w:rsidR="00647248">
              <w:rPr>
                <w:rStyle w:val="Hyperlink"/>
                <w:color w:val="0000FF"/>
                <w:sz w:val="24"/>
                <w:u w:val="single"/>
                <w:lang w:val="en-US" w:eastAsia="en-US" w:bidi="ar-SA"/>
              </w:rPr>
              <w:t>ricks@ohanet.org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"mailto:wis29@yahoo.com" </w:instrText>
            </w:r>
            <w:r>
              <w:fldChar w:fldCharType="separate"/>
            </w:r>
            <w:r w:rsidR="00647248">
              <w:rPr>
                <w:rStyle w:val="Hyperlink"/>
                <w:color w:val="0000FF"/>
                <w:sz w:val="24"/>
                <w:u w:val="single"/>
                <w:lang w:val="en-US" w:eastAsia="en-US" w:bidi="ar-SA"/>
              </w:rPr>
              <w:t>wis29@yahoo.com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"mailto:smhoward@vssp.com" </w:instrText>
            </w:r>
            <w:r>
              <w:fldChar w:fldCharType="separate"/>
            </w:r>
            <w:r w:rsidR="00647248">
              <w:rPr>
                <w:rStyle w:val="Hyperlink"/>
                <w:color w:val="0000FF"/>
                <w:sz w:val="24"/>
                <w:u w:val="single"/>
                <w:lang w:val="en-US" w:eastAsia="en-US" w:bidi="ar-SA"/>
              </w:rPr>
              <w:t>smhoward@vssp.com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"mailto:mjsettineri@vorys.com" </w:instrText>
            </w:r>
            <w:r>
              <w:fldChar w:fldCharType="separate"/>
            </w:r>
            <w:r w:rsidR="00647248">
              <w:rPr>
                <w:rStyle w:val="Hyperlink"/>
                <w:color w:val="0000FF"/>
                <w:sz w:val="24"/>
                <w:u w:val="single"/>
                <w:lang w:val="en-US" w:eastAsia="en-US" w:bidi="ar-SA"/>
              </w:rPr>
              <w:t>mjsettineri@vorys.com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"mailto:BarthRoyer@aol.com" </w:instrText>
            </w:r>
            <w:r>
              <w:fldChar w:fldCharType="separate"/>
            </w:r>
            <w:r w:rsidR="00647248">
              <w:rPr>
                <w:rStyle w:val="Hyperlink"/>
                <w:color w:val="0000FF"/>
                <w:sz w:val="24"/>
                <w:u w:val="single"/>
                <w:lang w:val="en-US" w:eastAsia="en-US" w:bidi="ar-SA"/>
              </w:rPr>
              <w:t>BarthRoyer@aol.com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"mailto:Gary.A.Jeffries@dom.com" </w:instrText>
            </w:r>
            <w:r>
              <w:fldChar w:fldCharType="separate"/>
            </w:r>
            <w:r w:rsidR="00647248">
              <w:rPr>
                <w:rStyle w:val="Hyperlink"/>
                <w:color w:val="0000FF"/>
                <w:sz w:val="24"/>
                <w:u w:val="single"/>
                <w:lang w:val="en-US" w:eastAsia="en-US" w:bidi="ar-SA"/>
              </w:rPr>
              <w:t>Gary.A.Jeffries@dom.com</w:t>
            </w:r>
            <w:r>
              <w:fldChar w:fldCharType="end"/>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39376C" w:rsidR="00647248">
              <w:rPr>
                <w:rStyle w:val="Hyperlink"/>
                <w:color w:val="0000FF"/>
                <w:sz w:val="24"/>
                <w:u w:val="single"/>
                <w:lang w:val="en-US" w:eastAsia="en-US" w:bidi="ar-SA"/>
              </w:rPr>
              <w:t>Bojko@carpenterlipps.com</w:t>
            </w:r>
            <w:r>
              <w:fldChar w:fldCharType="end"/>
            </w:r>
            <w:r w:rsidR="00647248">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"mailto:sechler@carpenterlipps.com" </w:instrText>
            </w:r>
            <w:r>
              <w:fldChar w:fldCharType="separate"/>
            </w:r>
            <w:r w:rsidRPr="00FA2A4D" w:rsidR="00647248">
              <w:rPr>
                <w:rStyle w:val="Hyperlink"/>
                <w:color w:val="0000FF"/>
                <w:sz w:val="24"/>
                <w:u w:val="single"/>
                <w:lang w:val="en-US" w:eastAsia="en-US" w:bidi="ar-SA"/>
              </w:rPr>
              <w:t>sechler@carpenterlipps.com</w:t>
            </w:r>
            <w:r>
              <w:fldChar w:fldCharType="end"/>
            </w:r>
            <w:r w:rsidR="00647248">
              <w:rPr>
                <w:sz w:val="24"/>
                <w:lang w:val="en-US" w:eastAsia="en-US" w:bidi="ar-SA"/>
              </w:rPr>
              <w:t xml:space="preserve"> </w:t>
            </w:r>
          </w:p>
          <w:p w:rsidR="00314CC2"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"mailto:walter@carpenterlipps.com" </w:instrText>
            </w:r>
            <w:r>
              <w:fldChar w:fldCharType="separate"/>
            </w:r>
            <w:r w:rsidRPr="00BB32B4" w:rsidR="00647248">
              <w:rPr>
                <w:rStyle w:val="Hyperlink"/>
                <w:color w:val="0000FF"/>
                <w:sz w:val="24"/>
                <w:u w:val="single"/>
                <w:lang w:val="en-US" w:eastAsia="en-US" w:bidi="ar-SA"/>
              </w:rPr>
              <w:t>walter@carpenterlipps.com</w:t>
            </w:r>
            <w:r>
              <w:fldChar w:fldCharType="end"/>
            </w:r>
            <w:r w:rsidR="00647248">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"mailto:fdarr@mwncmh.com" </w:instrText>
            </w:r>
            <w:r>
              <w:fldChar w:fldCharType="separate"/>
            </w:r>
            <w:r w:rsidRPr="00FA2A4D" w:rsidR="00647248">
              <w:rPr>
                <w:rStyle w:val="Hyperlink"/>
                <w:color w:val="0000FF"/>
                <w:sz w:val="24"/>
                <w:u w:val="single"/>
                <w:lang w:val="en-US" w:eastAsia="en-US" w:bidi="ar-SA"/>
              </w:rPr>
              <w:t>fdarr@mwncmh.com</w:t>
            </w:r>
            <w:r>
              <w:fldChar w:fldCharType="end"/>
            </w:r>
            <w:r w:rsidR="00647248">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"mailto:jlang@calfee.com" </w:instrText>
            </w:r>
            <w:r>
              <w:fldChar w:fldCharType="separate"/>
            </w:r>
            <w:r w:rsidRPr="0039376C" w:rsidR="00647248">
              <w:rPr>
                <w:rStyle w:val="Hyperlink"/>
                <w:color w:val="0000FF"/>
                <w:sz w:val="24"/>
                <w:u w:val="single"/>
                <w:lang w:val="en-US" w:eastAsia="en-US" w:bidi="ar-SA"/>
              </w:rPr>
              <w:t>jlang@calfee.com</w:t>
            </w:r>
            <w:r>
              <w:fldChar w:fldCharType="end"/>
            </w:r>
            <w:r w:rsidR="00647248">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"mailto:talexander@calfee.com" </w:instrText>
            </w:r>
            <w:r>
              <w:fldChar w:fldCharType="separate"/>
            </w:r>
            <w:r w:rsidRPr="0039376C" w:rsidR="00647248">
              <w:rPr>
                <w:rStyle w:val="Hyperlink"/>
                <w:color w:val="0000FF"/>
                <w:sz w:val="24"/>
                <w:u w:val="single"/>
                <w:lang w:val="en-US" w:eastAsia="en-US" w:bidi="ar-SA"/>
              </w:rPr>
              <w:t>talexander@calfee.com</w:t>
            </w:r>
            <w:r>
              <w:fldChar w:fldCharType="end"/>
            </w:r>
            <w:r w:rsidR="00647248">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"mailto:mswhite@igsenergy.com" </w:instrText>
            </w:r>
            <w:r>
              <w:fldChar w:fldCharType="separate"/>
            </w:r>
            <w:r w:rsidRPr="0039376C" w:rsidR="00647248">
              <w:rPr>
                <w:rStyle w:val="Hyperlink"/>
                <w:color w:val="0000FF"/>
                <w:sz w:val="24"/>
                <w:u w:val="single"/>
                <w:lang w:val="en-US" w:eastAsia="en-US" w:bidi="ar-SA"/>
              </w:rPr>
              <w:t>mswhite@igsenergy.com</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p>
          <w:p w:rsidR="00E45883" w:rsidP="00E407E5">
            <w:pPr>
              <w:autoSpaceDE w:val="0"/>
              <w:autoSpaceDN w:val="0"/>
              <w:adjustRightInd w:val="0"/>
              <w:rPr>
                <w:rStyle w:val="DefaultParagraphFont"/>
                <w:sz w:val="24"/>
                <w:lang w:val="en-US" w:eastAsia="en-US" w:bidi="ar-SA"/>
              </w:rPr>
            </w:pPr>
            <w:r>
              <w:rPr>
                <w:sz w:val="24"/>
                <w:lang w:val="en-US" w:eastAsia="en-US" w:bidi="ar-SA"/>
              </w:rPr>
              <w:t>Attorney Examiner:</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00647248">
              <w:rPr>
                <w:rStyle w:val="Hyperlink"/>
                <w:color w:val="0000FF"/>
                <w:sz w:val="24"/>
                <w:u w:val="single"/>
                <w:lang w:val="en-US" w:eastAsia="en-US" w:bidi="ar-SA"/>
              </w:rPr>
              <w:t>Gregory.Price@puc.state.oh.us</w:t>
            </w:r>
            <w:r>
              <w:fldChar w:fldCharType="end"/>
            </w:r>
          </w:p>
          <w:p w:rsidR="00E45883" w:rsidP="00E407E5">
            <w:pPr>
              <w:autoSpaceDE w:val="0"/>
              <w:autoSpaceDN w:val="0"/>
              <w:adjustRightInd w:val="0"/>
              <w:rPr>
                <w:rStyle w:val="DefaultParagraphFont"/>
                <w:sz w:val="26"/>
                <w:szCs w:val="26"/>
                <w:lang w:val="en-US" w:eastAsia="en-US" w:bidi="ar-SA"/>
              </w:rPr>
            </w:pPr>
          </w:p>
        </w:tc>
        <w:tc>
          <w:tcPr>
            <w:tcW w:w="4427" w:type="dxa"/>
            <w:shd w:val="clear" w:color="auto" w:fill="auto"/>
          </w:tcPr>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"mailto:Amy.spiller@duke-energy.com" </w:instrText>
            </w:r>
            <w:r>
              <w:fldChar w:fldCharType="separate"/>
            </w:r>
            <w:r w:rsidRPr="0039376C" w:rsidR="00647248">
              <w:rPr>
                <w:rStyle w:val="Hyperlink"/>
                <w:color w:val="0000FF"/>
                <w:sz w:val="24"/>
                <w:u w:val="single"/>
                <w:lang w:val="en-US" w:eastAsia="en-US" w:bidi="ar-SA"/>
              </w:rPr>
              <w:t>Amy.spiller@duke-energy.com</w:t>
            </w:r>
            <w:r>
              <w:fldChar w:fldCharType="end"/>
            </w:r>
            <w:r w:rsidR="00647248">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39376C" w:rsidR="00647248">
              <w:rPr>
                <w:rStyle w:val="Hyperlink"/>
                <w:color w:val="0000FF"/>
                <w:sz w:val="24"/>
                <w:u w:val="single"/>
                <w:lang w:val="en-US" w:eastAsia="en-US" w:bidi="ar-SA"/>
              </w:rPr>
              <w:t>Jeanne.kingery@duke-energy.com</w:t>
            </w:r>
            <w:r>
              <w:fldChar w:fldCharType="end"/>
            </w:r>
            <w:r w:rsidR="00647248">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"mailto:Ellizabeth.watts@duke-energy.com" </w:instrText>
            </w:r>
            <w:r>
              <w:fldChar w:fldCharType="separate"/>
            </w:r>
            <w:r w:rsidRPr="0039376C" w:rsidR="00647248">
              <w:rPr>
                <w:rStyle w:val="Hyperlink"/>
                <w:color w:val="0000FF"/>
                <w:sz w:val="24"/>
                <w:u w:val="single"/>
                <w:lang w:val="en-US" w:eastAsia="en-US" w:bidi="ar-SA"/>
              </w:rPr>
              <w:t>Ellizabeth.watts@duke-energy.com</w:t>
            </w:r>
            <w:r>
              <w:fldChar w:fldCharType="end"/>
            </w:r>
            <w:r w:rsidR="00647248">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"mailto:haydenm@firstenergycorp.com" </w:instrText>
            </w:r>
            <w:r>
              <w:fldChar w:fldCharType="separate"/>
            </w:r>
            <w:r w:rsidRPr="0039376C" w:rsidR="00647248">
              <w:rPr>
                <w:rStyle w:val="Hyperlink"/>
                <w:color w:val="0000FF"/>
                <w:sz w:val="24"/>
                <w:u w:val="single"/>
                <w:lang w:val="en-US" w:eastAsia="en-US" w:bidi="ar-SA"/>
              </w:rPr>
              <w:t>haydenm@firstenergycorp.com</w:t>
            </w:r>
            <w:r>
              <w:fldChar w:fldCharType="end"/>
            </w:r>
            <w:r w:rsidR="00647248">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"mailto:mjsatterwhite@aep.com" </w:instrText>
            </w:r>
            <w:r>
              <w:fldChar w:fldCharType="separate"/>
            </w:r>
            <w:r w:rsidRPr="0039376C" w:rsidR="00647248">
              <w:rPr>
                <w:rStyle w:val="Hyperlink"/>
                <w:color w:val="0000FF"/>
                <w:sz w:val="24"/>
                <w:u w:val="single"/>
                <w:lang w:val="en-US" w:eastAsia="en-US" w:bidi="ar-SA"/>
              </w:rPr>
              <w:t>mjsatterwhite@aep.com</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"mailto:stnourse@aep.com" </w:instrText>
            </w:r>
            <w:r>
              <w:fldChar w:fldCharType="separate"/>
            </w:r>
            <w:r w:rsidRPr="0039376C" w:rsidR="00647248">
              <w:rPr>
                <w:rStyle w:val="Hyperlink"/>
                <w:color w:val="0000FF"/>
                <w:sz w:val="24"/>
                <w:u w:val="single"/>
                <w:lang w:val="en-US" w:eastAsia="en-US" w:bidi="ar-SA"/>
              </w:rPr>
              <w:t>stnourse@aep.com</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"mailto:judi.sobecki@dplinc.com" </w:instrText>
            </w:r>
            <w:r>
              <w:fldChar w:fldCharType="separate"/>
            </w:r>
            <w:r w:rsidR="00647248">
              <w:rPr>
                <w:rStyle w:val="Hyperlink"/>
                <w:color w:val="0000FF"/>
                <w:sz w:val="24"/>
                <w:u w:val="single"/>
                <w:lang w:val="en-US" w:eastAsia="en-US" w:bidi="ar-SA"/>
              </w:rPr>
              <w:t>judi.sobecki@dplinc.com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"mailto:jbentine@cwslaw.com" </w:instrText>
            </w:r>
            <w:r>
              <w:fldChar w:fldCharType="separate"/>
            </w:r>
            <w:r w:rsidR="00647248">
              <w:rPr>
                <w:rStyle w:val="Hyperlink"/>
                <w:color w:val="0000FF"/>
                <w:sz w:val="24"/>
                <w:u w:val="single"/>
                <w:lang w:val="en-US" w:eastAsia="en-US" w:bidi="ar-SA"/>
              </w:rPr>
              <w:t>jbentine@cwslaw.com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"mailto:mwhite@cwslaw.com" </w:instrText>
            </w:r>
            <w:r>
              <w:fldChar w:fldCharType="separate"/>
            </w:r>
            <w:r w:rsidR="00647248">
              <w:rPr>
                <w:rStyle w:val="Hyperlink"/>
                <w:color w:val="0000FF"/>
                <w:sz w:val="24"/>
                <w:u w:val="single"/>
                <w:lang w:val="en-US" w:eastAsia="en-US" w:bidi="ar-SA"/>
              </w:rPr>
              <w:t>mwhite@cwslaw.com</w:t>
            </w:r>
            <w:r>
              <w:fldChar w:fldCharType="end"/>
            </w:r>
          </w:p>
          <w:p w:rsidR="00E45883" w:rsidP="00E407E5">
            <w:pPr>
              <w:autoSpaceDE w:val="0"/>
              <w:autoSpaceDN w:val="0"/>
              <w:adjustRightInd w:val="0"/>
              <w:rPr>
                <w:rStyle w:val="DefaultParagraphFont"/>
                <w:sz w:val="24"/>
                <w:lang w:val="de-DE" w:eastAsia="en-US" w:bidi="ar-SA"/>
              </w:rPr>
            </w:pPr>
            <w:r>
              <w:fldChar w:fldCharType="begin"/>
            </w:r>
            <w:r>
              <w:rPr>
                <w:sz w:val="24"/>
                <w:lang w:val="en-US" w:eastAsia="en-US" w:bidi="ar-SA"/>
              </w:rPr>
              <w:instrText xml:space="preserve"> HYPERLINK "mailto:henryeckhart@aol.com" </w:instrText>
            </w:r>
            <w:r>
              <w:fldChar w:fldCharType="separate"/>
            </w:r>
            <w:r w:rsidR="00647248">
              <w:rPr>
                <w:rStyle w:val="Hyperlink"/>
                <w:color w:val="0000FF"/>
                <w:sz w:val="24"/>
                <w:u w:val="single"/>
                <w:lang w:val="de-DE" w:eastAsia="en-US" w:bidi="ar-SA"/>
              </w:rPr>
              <w:t>henryeckhart@aol.com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"mailto:dboehm@bkllawfirm.com" </w:instrText>
            </w:r>
            <w:r>
              <w:fldChar w:fldCharType="separate"/>
            </w:r>
            <w:r w:rsidR="00647248">
              <w:rPr>
                <w:rStyle w:val="Hyperlink"/>
                <w:color w:val="0000FF"/>
                <w:sz w:val="24"/>
                <w:u w:val="single"/>
                <w:lang w:val="en-US" w:eastAsia="en-US" w:bidi="ar-SA"/>
              </w:rPr>
              <w:t>dboehm@bkllawfirm.com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"mailto:mkurtz@bkllawfirm.com" </w:instrText>
            </w:r>
            <w:r>
              <w:fldChar w:fldCharType="separate"/>
            </w:r>
            <w:r w:rsidR="00647248">
              <w:rPr>
                <w:rStyle w:val="Hyperlink"/>
                <w:color w:val="0000FF"/>
                <w:sz w:val="24"/>
                <w:u w:val="single"/>
                <w:lang w:val="en-US" w:eastAsia="en-US" w:bidi="ar-SA"/>
              </w:rPr>
              <w:t>mkurtz@bkllawfirm.com</w:t>
            </w:r>
            <w:r>
              <w:fldChar w:fldCharType="end"/>
            </w:r>
          </w:p>
          <w:p w:rsidR="00B040DD" w:rsidP="00E407E5">
            <w:pPr>
              <w:rPr>
                <w:rStyle w:val="DefaultParagraphFont"/>
                <w:sz w:val="24"/>
                <w:lang w:val="en-US" w:eastAsia="en-US" w:bidi="ar-SA"/>
              </w:rPr>
            </w:pPr>
            <w:r>
              <w:fldChar w:fldCharType="begin"/>
            </w:r>
            <w:r>
              <w:rPr>
                <w:sz w:val="24"/>
                <w:lang w:val="en-US" w:eastAsia="en-US" w:bidi="ar-SA"/>
              </w:rPr>
              <w:instrText xml:space="preserve"> HYPERLINK "mailto:jkyler@bkllawfirm.com" </w:instrText>
            </w:r>
            <w:r>
              <w:fldChar w:fldCharType="separate"/>
            </w:r>
            <w:r w:rsidRPr="0039376C" w:rsidR="00647248">
              <w:rPr>
                <w:rStyle w:val="Hyperlink"/>
                <w:color w:val="0000FF"/>
                <w:sz w:val="24"/>
                <w:u w:val="single"/>
                <w:lang w:val="en-US" w:eastAsia="en-US" w:bidi="ar-SA"/>
              </w:rPr>
              <w:t>jkyler@bkllawfirm.com</w:t>
            </w:r>
            <w:r>
              <w:fldChar w:fldCharType="end"/>
            </w:r>
            <w:r w:rsidR="00647248">
              <w:rPr>
                <w:sz w:val="24"/>
                <w:lang w:val="en-US" w:eastAsia="en-US" w:bidi="ar-SA"/>
              </w:rPr>
              <w:t xml:space="preserve"> </w:t>
            </w:r>
          </w:p>
          <w:p w:rsidR="00E45883" w:rsidP="00E407E5">
            <w:pPr>
              <w:rPr>
                <w:rStyle w:val="DefaultParagraphFont"/>
                <w:rFonts w:ascii="Times-New-Roman" w:hAnsi="Times-New-Roman" w:cs="Times-New-Roman"/>
                <w:sz w:val="24"/>
                <w:lang w:val="en-US" w:eastAsia="en-US" w:bidi="ar-SA"/>
              </w:rPr>
            </w:pPr>
            <w:r>
              <w:fldChar w:fldCharType="begin"/>
            </w:r>
            <w:r>
              <w:rPr>
                <w:sz w:val="24"/>
                <w:lang w:val="en-US" w:eastAsia="en-US" w:bidi="ar-SA"/>
              </w:rPr>
              <w:instrText xml:space="preserve"> HYPERLINK "mailto:Cynthia.A.Fonner@constellation.com" </w:instrText>
            </w:r>
            <w:r>
              <w:fldChar w:fldCharType="separate"/>
            </w:r>
            <w:r w:rsidR="00647248">
              <w:rPr>
                <w:rStyle w:val="Hyperlink"/>
                <w:rFonts w:ascii="Times-New-Roman" w:hAnsi="Times-New-Roman"/>
                <w:color w:val="0000FF"/>
                <w:sz w:val="24"/>
                <w:u w:val="single"/>
                <w:lang w:val="en-US" w:eastAsia="en-US" w:bidi="ar-SA"/>
              </w:rPr>
              <w:t>Cynthia.A.Fonner@constellation.com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"mailto:LGearhardt@ofbf.org" </w:instrText>
            </w:r>
            <w:r>
              <w:fldChar w:fldCharType="separate"/>
            </w:r>
            <w:r w:rsidR="00647248">
              <w:rPr>
                <w:rStyle w:val="Hyperlink"/>
                <w:color w:val="0000FF"/>
                <w:sz w:val="24"/>
                <w:u w:val="single"/>
                <w:lang w:val="en-US" w:eastAsia="en-US" w:bidi="ar-SA"/>
              </w:rPr>
              <w:t>LGearhardt@ofbf.org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"mailto:cmiller@icemiller.com" </w:instrText>
            </w:r>
            <w:r>
              <w:fldChar w:fldCharType="separate"/>
            </w:r>
            <w:r w:rsidRPr="0039376C" w:rsidR="00647248">
              <w:rPr>
                <w:rStyle w:val="Hyperlink"/>
                <w:color w:val="0000FF"/>
                <w:sz w:val="24"/>
                <w:u w:val="single"/>
                <w:lang w:val="en-US" w:eastAsia="en-US" w:bidi="ar-SA"/>
              </w:rPr>
              <w:t>cmiller@icemiller.com</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"mailto:gdunn@icemiller.com" </w:instrText>
            </w:r>
            <w:r>
              <w:fldChar w:fldCharType="separate"/>
            </w:r>
            <w:r w:rsidRPr="0039376C" w:rsidR="00647248">
              <w:rPr>
                <w:rStyle w:val="Hyperlink"/>
                <w:color w:val="0000FF"/>
                <w:sz w:val="24"/>
                <w:u w:val="single"/>
                <w:lang w:val="en-US" w:eastAsia="en-US" w:bidi="ar-SA"/>
              </w:rPr>
              <w:t>gdunn@icemiller.com</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"mailto:trent@theOEC.org" </w:instrText>
            </w:r>
            <w:r>
              <w:fldChar w:fldCharType="separate"/>
            </w:r>
            <w:r w:rsidRPr="00B040DD" w:rsidR="00647248">
              <w:rPr>
                <w:rStyle w:val="Hyperlink"/>
                <w:color w:val="0000FF"/>
                <w:sz w:val="24"/>
                <w:u w:val="single"/>
                <w:lang w:val="en-US" w:eastAsia="en-US" w:bidi="ar-SA"/>
              </w:rPr>
              <w:t>trent@theOEC.org</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"mailto:cathy@theoec.org" </w:instrText>
            </w:r>
            <w:r>
              <w:fldChar w:fldCharType="separate"/>
            </w:r>
            <w:r w:rsidRPr="0039376C" w:rsidR="00647248">
              <w:rPr>
                <w:rStyle w:val="Hyperlink"/>
                <w:color w:val="0000FF"/>
                <w:sz w:val="24"/>
                <w:u w:val="single"/>
                <w:lang w:val="en-US" w:eastAsia="en-US" w:bidi="ar-SA"/>
              </w:rPr>
              <w:t>cathy@theoec.org</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"mailto:Williams.toddm@gmail.com" </w:instrText>
            </w:r>
            <w:r>
              <w:fldChar w:fldCharType="separate"/>
            </w:r>
            <w:r w:rsidR="00647248">
              <w:rPr>
                <w:rStyle w:val="Hyperlink"/>
                <w:color w:val="0000FF"/>
                <w:sz w:val="24"/>
                <w:u w:val="single"/>
                <w:lang w:val="en-US" w:eastAsia="en-US" w:bidi="ar-SA"/>
              </w:rPr>
              <w:t>Williams.toddm@gmail.com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"mailto:ejacobs@ablelaw.org" </w:instrText>
            </w:r>
            <w:r>
              <w:fldChar w:fldCharType="separate"/>
            </w:r>
            <w:r w:rsidR="00647248">
              <w:rPr>
                <w:rStyle w:val="Hyperlink"/>
                <w:color w:val="0000FF"/>
                <w:sz w:val="24"/>
                <w:u w:val="single"/>
                <w:lang w:val="en-US" w:eastAsia="en-US" w:bidi="ar-SA"/>
              </w:rPr>
              <w:t>ejacobs@ablelaw.org</w:t>
            </w:r>
            <w:r>
              <w:fldChar w:fldCharType="end"/>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"mailto:campbell@whitt-sturtevant.com" </w:instrText>
            </w:r>
            <w:r>
              <w:fldChar w:fldCharType="separate"/>
            </w:r>
            <w:r w:rsidRPr="0039376C" w:rsidR="00647248">
              <w:rPr>
                <w:rStyle w:val="Hyperlink"/>
                <w:color w:val="0000FF"/>
                <w:sz w:val="24"/>
                <w:u w:val="single"/>
                <w:lang w:val="en-US" w:eastAsia="en-US" w:bidi="ar-SA"/>
              </w:rPr>
              <w:t>campbell@whitt-sturtevant.com</w:t>
            </w:r>
            <w:r>
              <w:fldChar w:fldCharType="end"/>
            </w:r>
            <w:r w:rsidR="00647248">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39376C" w:rsidR="00647248">
              <w:rPr>
                <w:rStyle w:val="Hyperlink"/>
                <w:color w:val="0000FF"/>
                <w:sz w:val="24"/>
                <w:u w:val="single"/>
                <w:lang w:val="en-US" w:eastAsia="en-US" w:bidi="ar-SA"/>
              </w:rPr>
              <w:t>glover@whitt-sturtevant.com</w:t>
            </w:r>
            <w:r>
              <w:fldChar w:fldCharType="end"/>
            </w:r>
            <w:r w:rsidR="00647248">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39376C" w:rsidR="00647248">
              <w:rPr>
                <w:rStyle w:val="Hyperlink"/>
                <w:color w:val="0000FF"/>
                <w:sz w:val="24"/>
                <w:u w:val="single"/>
                <w:lang w:val="en-US" w:eastAsia="en-US" w:bidi="ar-SA"/>
              </w:rPr>
              <w:t>whitt@whitt-sturtevant.com</w:t>
            </w:r>
            <w:r>
              <w:fldChar w:fldCharType="end"/>
            </w:r>
            <w:r w:rsidR="00647248">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"mailto:myurick@taftlaw.com" </w:instrText>
            </w:r>
            <w:r>
              <w:fldChar w:fldCharType="separate"/>
            </w:r>
            <w:r w:rsidRPr="0039376C" w:rsidR="00647248">
              <w:rPr>
                <w:rStyle w:val="Hyperlink"/>
                <w:color w:val="0000FF"/>
                <w:sz w:val="24"/>
                <w:u w:val="single"/>
                <w:lang w:val="en-US" w:eastAsia="en-US" w:bidi="ar-SA"/>
              </w:rPr>
              <w:t>myurick@taftlaw.com</w:t>
            </w:r>
            <w:r>
              <w:fldChar w:fldCharType="end"/>
            </w:r>
            <w:r w:rsidR="00647248">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"mailto:stephen.chriss@wal-mart.com" </w:instrText>
            </w:r>
            <w:r>
              <w:fldChar w:fldCharType="separate"/>
            </w:r>
            <w:r w:rsidRPr="0039376C" w:rsidR="00647248">
              <w:rPr>
                <w:rStyle w:val="Hyperlink"/>
                <w:color w:val="0000FF"/>
                <w:sz w:val="24"/>
                <w:u w:val="single"/>
                <w:lang w:val="en-US" w:eastAsia="en-US" w:bidi="ar-SA"/>
              </w:rPr>
              <w:t>stephen.chriss@wal-mart.com</w:t>
            </w:r>
            <w:r>
              <w:fldChar w:fldCharType="end"/>
            </w:r>
            <w:r w:rsidR="00647248">
              <w:rPr>
                <w:sz w:val="24"/>
                <w:lang w:val="en-US" w:eastAsia="en-US" w:bidi="ar-SA"/>
              </w:rPr>
              <w:t xml:space="preserve"> </w:t>
            </w:r>
          </w:p>
          <w:p w:rsidR="00E45883" w:rsidP="00E407E5">
            <w:pPr>
              <w:autoSpaceDE w:val="0"/>
              <w:autoSpaceDN w:val="0"/>
              <w:adjustRightInd w:val="0"/>
              <w:rPr>
                <w:rStyle w:val="DefaultParagraphFont"/>
                <w:sz w:val="26"/>
                <w:szCs w:val="26"/>
                <w:lang w:val="en-US" w:eastAsia="en-US" w:bidi="ar-SA"/>
              </w:rPr>
            </w:pPr>
          </w:p>
        </w:tc>
      </w:tr>
    </w:tbl>
    <w:p w:rsidR="001D43FE" w:rsidP="00141105">
      <w:pPr>
        <w:pStyle w:val="CommentText"/>
        <w:ind w:firstLine="720"/>
      </w:pPr>
    </w:p>
    <w:sectPr w:rsidSect="00141105">
      <w:headerReference w:type="even" r:id="rId17"/>
      <w:headerReference w:type="default" r:id="rId18"/>
      <w:headerReference w:type="first" r:id="rId19"/>
      <w:footerReference w:type="first" r:id="rId20"/>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00"/>
    <w:family w:val="roman"/>
    <w:notTrueType/>
    <w:pitch w:val="default"/>
  </w:font>
  <w:font w:name="Times-New-Roman">
    <w:altName w:val="Times New Roman"/>
    <w:charset w:val="00"/>
    <w:family w:val="auto"/>
    <w:pitch w:val="variable"/>
    <w:sig w:usb0="00000000"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C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A66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A66D54">
    <w:pPr>
      <w:pStyle w:val="Footer"/>
      <w:jc w:val="center"/>
      <w:rPr>
        <w:sz w:val="24"/>
      </w:rPr>
    </w:pPr>
    <w:r w:rsidRPr="00A66D54">
      <w:rPr>
        <w:rStyle w:val="PageNumber"/>
        <w:sz w:val="24"/>
      </w:rPr>
      <w:fldChar w:fldCharType="begin"/>
    </w:r>
    <w:r w:rsidRPr="00A66D54">
      <w:rPr>
        <w:rStyle w:val="PageNumber"/>
        <w:sz w:val="24"/>
      </w:rPr>
      <w:instrText xml:space="preserve"> PAGE </w:instrText>
    </w:r>
    <w:r w:rsidRPr="00A66D54">
      <w:rPr>
        <w:rStyle w:val="PageNumber"/>
        <w:sz w:val="24"/>
      </w:rPr>
      <w:fldChar w:fldCharType="separate"/>
    </w:r>
    <w:r w:rsidRPr="00A66D54">
      <w:rPr>
        <w:rStyle w:val="PageNumber"/>
        <w:noProof/>
        <w:sz w:val="24"/>
      </w:rPr>
      <w:t>4</w:t>
    </w:r>
    <w:r w:rsidRPr="00A66D54">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C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459037"/>
      <w:docPartObj>
        <w:docPartGallery w:val="Page Numbers (Bottom of Page)"/>
        <w:docPartUnique/>
      </w:docPartObj>
    </w:sdtPr>
    <w:sdtEndPr>
      <w:rPr>
        <w:noProof/>
        <w:sz w:val="24"/>
      </w:rPr>
    </w:sdtEndPr>
    <w:sdtContent>
      <w:p w:rsidR="00EB2D16" w:rsidRPr="00A66D54">
        <w:pPr>
          <w:pStyle w:val="Footer"/>
          <w:jc w:val="center"/>
          <w:rPr>
            <w:sz w:val="24"/>
          </w:rPr>
        </w:pPr>
        <w:r w:rsidRPr="00A66D54">
          <w:rPr>
            <w:sz w:val="24"/>
          </w:rPr>
          <w:fldChar w:fldCharType="begin"/>
        </w:r>
        <w:r w:rsidRPr="00A66D54">
          <w:rPr>
            <w:sz w:val="24"/>
          </w:rPr>
          <w:instrText xml:space="preserve"> PAGE   \* MERGEFORMAT </w:instrText>
        </w:r>
        <w:r w:rsidRPr="00A66D54">
          <w:rPr>
            <w:sz w:val="24"/>
          </w:rPr>
          <w:fldChar w:fldCharType="separate"/>
        </w:r>
        <w:r w:rsidR="00662AD3">
          <w:rPr>
            <w:noProof/>
            <w:sz w:val="24"/>
          </w:rPr>
          <w:t>3</w:t>
        </w:r>
        <w:r w:rsidRPr="00A66D54">
          <w:rPr>
            <w:noProof/>
            <w:sz w:val="24"/>
          </w:rPr>
          <w:fldChar w:fldCharType="end"/>
        </w:r>
      </w:p>
    </w:sdtContent>
  </w:sdt>
  <w:p w:rsidR="00EB2D16" w:rsidRPr="00A66D54" w:rsidP="004D46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871" w:rsidRPr="00A66D54">
    <w:pPr>
      <w:pStyle w:val="Footer"/>
      <w:jc w:val="center"/>
    </w:pPr>
  </w:p>
  <w:p w:rsidR="00EB2D16" w:rsidRPr="00A66D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065378742"/>
      <w:docPartObj>
        <w:docPartGallery w:val="Page Numbers (Bottom of Page)"/>
        <w:docPartUnique/>
      </w:docPartObj>
    </w:sdtPr>
    <w:sdtEndPr>
      <w:rPr>
        <w:noProof/>
      </w:rPr>
    </w:sdtEndPr>
    <w:sdtContent>
      <w:p w:rsidR="003056EE" w:rsidRPr="00A66D54">
        <w:pPr>
          <w:pStyle w:val="Footer"/>
          <w:jc w:val="center"/>
          <w:rPr>
            <w:sz w:val="24"/>
            <w:szCs w:val="24"/>
          </w:rPr>
        </w:pPr>
        <w:r w:rsidRPr="00A66D54">
          <w:rPr>
            <w:sz w:val="24"/>
            <w:szCs w:val="24"/>
          </w:rPr>
          <w:fldChar w:fldCharType="begin"/>
        </w:r>
        <w:r w:rsidRPr="00A66D54">
          <w:rPr>
            <w:sz w:val="24"/>
            <w:szCs w:val="24"/>
          </w:rPr>
          <w:instrText xml:space="preserve"> PAGE   \* MERGEFORMAT </w:instrText>
        </w:r>
        <w:r w:rsidRPr="00A66D54">
          <w:rPr>
            <w:sz w:val="24"/>
            <w:szCs w:val="24"/>
          </w:rPr>
          <w:fldChar w:fldCharType="separate"/>
        </w:r>
        <w:r>
          <w:rPr>
            <w:noProof/>
            <w:sz w:val="24"/>
            <w:szCs w:val="24"/>
          </w:rPr>
          <w:t>3</w:t>
        </w:r>
        <w:r w:rsidRPr="00A66D54">
          <w:rPr>
            <w:noProof/>
            <w:sz w:val="24"/>
            <w:szCs w:val="24"/>
          </w:rPr>
          <w:fldChar w:fldCharType="end"/>
        </w:r>
      </w:p>
    </w:sdtContent>
  </w:sdt>
  <w:p w:rsidR="003056EE" w:rsidRPr="00A66D54" w:rsidP="004D46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7293269"/>
      <w:docPartObj>
        <w:docPartGallery w:val="Page Numbers (Bottom of Page)"/>
        <w:docPartUnique/>
      </w:docPartObj>
    </w:sdtPr>
    <w:sdtEndPr>
      <w:rPr>
        <w:noProof/>
        <w:sz w:val="24"/>
        <w:szCs w:val="24"/>
      </w:rPr>
    </w:sdtEndPr>
    <w:sdtContent>
      <w:p w:rsidR="003056EE" w:rsidRPr="00A66D54">
        <w:pPr>
          <w:pStyle w:val="Footer"/>
          <w:jc w:val="center"/>
          <w:rPr>
            <w:sz w:val="24"/>
            <w:szCs w:val="24"/>
          </w:rPr>
        </w:pPr>
        <w:r w:rsidRPr="00A66D54">
          <w:rPr>
            <w:sz w:val="24"/>
            <w:szCs w:val="24"/>
          </w:rPr>
          <w:fldChar w:fldCharType="begin"/>
        </w:r>
        <w:r w:rsidRPr="00A66D54">
          <w:rPr>
            <w:sz w:val="24"/>
            <w:szCs w:val="24"/>
          </w:rPr>
          <w:instrText xml:space="preserve"> PAGE   \* MERGEFORMAT </w:instrText>
        </w:r>
        <w:r w:rsidRPr="00A66D54">
          <w:rPr>
            <w:sz w:val="24"/>
            <w:szCs w:val="24"/>
          </w:rPr>
          <w:fldChar w:fldCharType="separate"/>
        </w:r>
        <w:r w:rsidR="00662AD3">
          <w:rPr>
            <w:noProof/>
            <w:sz w:val="24"/>
            <w:szCs w:val="24"/>
          </w:rPr>
          <w:t>i</w:t>
        </w:r>
        <w:r w:rsidRPr="00A66D54">
          <w:rPr>
            <w:noProof/>
            <w:sz w:val="24"/>
            <w:szCs w:val="24"/>
          </w:rPr>
          <w:fldChar w:fldCharType="end"/>
        </w:r>
      </w:p>
    </w:sdtContent>
  </w:sdt>
  <w:p w:rsidR="003056EE" w:rsidRPr="00A66D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2097751009"/>
      <w:docPartObj>
        <w:docPartGallery w:val="Page Numbers (Bottom of Page)"/>
        <w:docPartUnique/>
      </w:docPartObj>
    </w:sdtPr>
    <w:sdtEndPr>
      <w:rPr>
        <w:noProof/>
      </w:rPr>
    </w:sdtEndPr>
    <w:sdtContent>
      <w:p w:rsidR="00931766" w:rsidRPr="00A66D54">
        <w:pPr>
          <w:pStyle w:val="Footer"/>
          <w:jc w:val="center"/>
          <w:rPr>
            <w:sz w:val="24"/>
            <w:szCs w:val="24"/>
          </w:rPr>
        </w:pPr>
        <w:r w:rsidRPr="00A66D54">
          <w:rPr>
            <w:sz w:val="24"/>
            <w:szCs w:val="24"/>
          </w:rPr>
          <w:fldChar w:fldCharType="begin"/>
        </w:r>
        <w:r w:rsidRPr="00A66D54">
          <w:rPr>
            <w:sz w:val="24"/>
            <w:szCs w:val="24"/>
          </w:rPr>
          <w:instrText xml:space="preserve"> PAGE   \* MERGEFORMAT </w:instrText>
        </w:r>
        <w:r w:rsidRPr="00A66D54">
          <w:rPr>
            <w:sz w:val="24"/>
            <w:szCs w:val="24"/>
          </w:rPr>
          <w:fldChar w:fldCharType="separate"/>
        </w:r>
        <w:r>
          <w:rPr>
            <w:noProof/>
            <w:sz w:val="24"/>
            <w:szCs w:val="24"/>
          </w:rPr>
          <w:t>2</w:t>
        </w:r>
        <w:r w:rsidRPr="00A66D54">
          <w:rPr>
            <w:noProof/>
            <w:sz w:val="24"/>
            <w:szCs w:val="24"/>
          </w:rPr>
          <w:fldChar w:fldCharType="end"/>
        </w:r>
      </w:p>
    </w:sdtContent>
  </w:sdt>
  <w:p w:rsidR="00931766" w:rsidRPr="00A66D54" w:rsidP="004D46B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6EE" w:rsidRPr="00A66D54">
    <w:pPr>
      <w:pStyle w:val="Footer"/>
      <w:jc w:val="center"/>
      <w:rPr>
        <w:sz w:val="24"/>
        <w:szCs w:val="24"/>
      </w:rPr>
    </w:pPr>
  </w:p>
  <w:p w:rsidR="003056EE" w:rsidRPr="00A66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2F2B">
      <w:r>
        <w:separator/>
      </w:r>
    </w:p>
  </w:footnote>
  <w:footnote w:type="continuationSeparator" w:id="1">
    <w:p w:rsidR="004A2F2B">
      <w:r>
        <w:continuationSeparator/>
      </w:r>
    </w:p>
  </w:footnote>
  <w:footnote w:id="2">
    <w:p w:rsidR="006F1D62" w:rsidRPr="00152983" w:rsidP="0040187A">
      <w:pPr>
        <w:autoSpaceDE w:val="0"/>
        <w:autoSpaceDN w:val="0"/>
        <w:adjustRightInd w:val="0"/>
        <w:spacing w:after="120"/>
        <w:rPr>
          <w:sz w:val="20"/>
        </w:rPr>
      </w:pPr>
      <w:r w:rsidRPr="00152983">
        <w:rPr>
          <w:rStyle w:val="FootnoteReference"/>
          <w:sz w:val="20"/>
        </w:rPr>
        <w:footnoteRef/>
      </w:r>
      <w:r w:rsidRPr="00152983">
        <w:rPr>
          <w:sz w:val="20"/>
        </w:rPr>
        <w:t xml:space="preserve"> </w:t>
      </w:r>
      <w:r w:rsidRPr="00152983">
        <w:rPr>
          <w:i/>
          <w:sz w:val="20"/>
        </w:rPr>
        <w:t>In the Matter of the Application of the Dayton Power &amp; Light Company for Approval of its Market Rate Offer</w:t>
      </w:r>
      <w:r w:rsidRPr="00152983">
        <w:rPr>
          <w:sz w:val="20"/>
        </w:rPr>
        <w:t xml:space="preserve">, Slip Op. 2016-Ohio-3490.   See also </w:t>
      </w:r>
      <w:r w:rsidRPr="00152983">
        <w:rPr>
          <w:i/>
          <w:sz w:val="20"/>
        </w:rPr>
        <w:t>In re Application of Columbus S. Power Co.</w:t>
      </w:r>
      <w:r w:rsidRPr="00152983">
        <w:rPr>
          <w:sz w:val="20"/>
        </w:rPr>
        <w:t xml:space="preserve">, Slip Opinion No. 2016-Ohio-1608 at ¶ 25, 38.  </w:t>
      </w:r>
    </w:p>
  </w:footnote>
  <w:footnote w:id="3">
    <w:p w:rsidR="0090721F" w:rsidRPr="00152983" w:rsidP="0040187A">
      <w:pPr>
        <w:pStyle w:val="FootnoteText"/>
        <w:spacing w:after="120"/>
      </w:pPr>
      <w:r w:rsidRPr="00152983">
        <w:rPr>
          <w:rStyle w:val="FootnoteReference"/>
        </w:rPr>
        <w:footnoteRef/>
      </w:r>
      <w:r w:rsidRPr="00152983">
        <w:t xml:space="preserve"> </w:t>
      </w:r>
      <w:r w:rsidRPr="00152983">
        <w:rPr>
          <w:i/>
        </w:rPr>
        <w:t>In the Matter of the Application of the Dayton Power &amp; Light Company for Approval of its Market Rate Offer</w:t>
      </w:r>
      <w:r w:rsidRPr="00152983">
        <w:t>, Case No. 12-426-EL</w:t>
      </w:r>
      <w:r>
        <w:t xml:space="preserve">-SSO, Sixth Entry on Rehearing </w:t>
      </w:r>
      <w:r w:rsidRPr="00152983">
        <w:t>(Aug. 26, 2016)</w:t>
      </w:r>
      <w:r>
        <w:t>.</w:t>
      </w:r>
    </w:p>
  </w:footnote>
  <w:footnote w:id="4">
    <w:p w:rsidR="00115756" w:rsidP="0040187A">
      <w:pPr>
        <w:pStyle w:val="FootnoteText"/>
        <w:spacing w:after="120"/>
      </w:pPr>
      <w:r>
        <w:rPr>
          <w:rStyle w:val="FootnoteReference"/>
        </w:rPr>
        <w:footnoteRef/>
      </w:r>
      <w:r w:rsidRPr="00EE6709">
        <w:rPr>
          <w:i/>
        </w:rPr>
        <w:t>Keco Industries, Inc. v. Cincinnati &amp; Suburban Bell Tel. Co</w:t>
      </w:r>
      <w:r>
        <w:t xml:space="preserve">., 166 Ohio St. 254 (1957). </w:t>
      </w:r>
    </w:p>
  </w:footnote>
  <w:footnote w:id="5">
    <w:p w:rsidR="00A3177B" w:rsidP="0040187A">
      <w:pPr>
        <w:pStyle w:val="FootnoteText"/>
        <w:spacing w:after="120"/>
      </w:pPr>
      <w:r>
        <w:rPr>
          <w:rStyle w:val="FootnoteReference"/>
        </w:rPr>
        <w:footnoteRef/>
      </w:r>
      <w:r>
        <w:t xml:space="preserve"> See, e.g., </w:t>
      </w:r>
      <w:r w:rsidRPr="00F7217D">
        <w:rPr>
          <w:i/>
        </w:rPr>
        <w:t>In the Matter of the Application of the Dayton Power and Light Company for Approval of its Electric Security Plan,</w:t>
      </w:r>
      <w:r>
        <w:t xml:space="preserve"> Case No. 12-426-EL-SSO, Seventh Entry on Rehearing at ¶4 (Dec. 14, 2016); Opinion and Order at 53 (Sept. 4, 2013). </w:t>
      </w:r>
    </w:p>
  </w:footnote>
  <w:footnote w:id="6">
    <w:p w:rsidR="001449A1" w:rsidP="0040187A">
      <w:pPr>
        <w:pStyle w:val="FootnoteText"/>
        <w:spacing w:after="120"/>
      </w:pPr>
      <w:r>
        <w:rPr>
          <w:rStyle w:val="FootnoteReference"/>
        </w:rPr>
        <w:footnoteRef/>
      </w:r>
      <w:r>
        <w:t xml:space="preserve"> </w:t>
      </w:r>
      <w:r w:rsidRPr="00F7217D">
        <w:rPr>
          <w:i/>
        </w:rPr>
        <w:t>In the Matter of the Application of the Dayton Power and Light Company for Approval of its Electric Security Plan</w:t>
      </w:r>
      <w:r>
        <w:t xml:space="preserve">, Case No. 12-426-EL-SSO, Opinion and Order at 15 (Sept. 4, 2013); modified by </w:t>
      </w:r>
      <w:r>
        <w:br/>
        <w:t xml:space="preserve">Entry Nunc Pro Tunc (Sept. 6, 2013).    </w:t>
      </w:r>
    </w:p>
  </w:footnote>
  <w:footnote w:id="7">
    <w:p w:rsidR="00080787" w:rsidP="0040187A">
      <w:pPr>
        <w:pStyle w:val="FootnoteText"/>
        <w:spacing w:after="120"/>
      </w:pPr>
      <w:r>
        <w:rPr>
          <w:rStyle w:val="FootnoteReference"/>
        </w:rPr>
        <w:footnoteRef/>
      </w:r>
      <w:r>
        <w:t xml:space="preserve"> </w:t>
      </w:r>
      <w:r w:rsidRPr="00F7217D">
        <w:rPr>
          <w:i/>
        </w:rPr>
        <w:t>In the Matter of the Application of the Dayton Power and Light Company for Approval of its Electric Security Plan</w:t>
      </w:r>
      <w:r>
        <w:t xml:space="preserve">, Case No. 12-426-EL-SSO, Motion of the Dayton Power and Light Company to Withdraw its Applications in this Matter (July 27, 2016). </w:t>
      </w:r>
    </w:p>
  </w:footnote>
  <w:footnote w:id="8">
    <w:p w:rsidR="00A3177B" w:rsidP="0040187A">
      <w:pPr>
        <w:pStyle w:val="FootnoteText"/>
        <w:spacing w:after="120"/>
      </w:pPr>
      <w:r>
        <w:rPr>
          <w:rStyle w:val="FootnoteReference"/>
        </w:rPr>
        <w:footnoteRef/>
      </w:r>
      <w:r>
        <w:t xml:space="preserve"> Id. at 1.</w:t>
      </w:r>
    </w:p>
  </w:footnote>
  <w:footnote w:id="9">
    <w:p w:rsidR="00002444" w:rsidP="0040187A">
      <w:pPr>
        <w:pStyle w:val="FootnoteText"/>
        <w:spacing w:after="120"/>
      </w:pPr>
      <w:r>
        <w:rPr>
          <w:rStyle w:val="FootnoteReference"/>
        </w:rPr>
        <w:footnoteRef/>
      </w:r>
      <w:r>
        <w:t xml:space="preserve"> The Court's reversal was succinct:  "The decision of [Commission] is reversed on the authority of In re Application of Columbus S. Power Co., _ Ohio St.3d _, 2016-Ohio-1608, _N.E.3d_."</w:t>
      </w:r>
    </w:p>
  </w:footnote>
  <w:footnote w:id="10">
    <w:p w:rsidR="00002444" w:rsidP="0040187A">
      <w:pPr>
        <w:pStyle w:val="FootnoteText"/>
        <w:spacing w:after="120"/>
      </w:pPr>
      <w:r>
        <w:rPr>
          <w:rStyle w:val="FootnoteReference"/>
        </w:rPr>
        <w:footnoteRef/>
      </w:r>
      <w:r>
        <w:t xml:space="preserve"> </w:t>
      </w:r>
      <w:r w:rsidRPr="00EE6709">
        <w:rPr>
          <w:i/>
        </w:rPr>
        <w:t>In the Matter of the Application of the Dayton Power and Light Company for Approval of its Electric Security Plan</w:t>
      </w:r>
      <w:r>
        <w:t xml:space="preserve">, Case No. 12-426-EL-SSO, Finding and Order at 5 (Aug. 26, 2016).  </w:t>
      </w:r>
    </w:p>
  </w:footnote>
  <w:footnote w:id="11">
    <w:p w:rsidR="00E60E7E" w:rsidP="0040187A">
      <w:pPr>
        <w:pStyle w:val="FootnoteText"/>
        <w:spacing w:after="120"/>
      </w:pPr>
      <w:r>
        <w:rPr>
          <w:rStyle w:val="FootnoteReference"/>
        </w:rPr>
        <w:footnoteRef/>
      </w:r>
      <w:r>
        <w:t xml:space="preserve"> </w:t>
      </w:r>
      <w:r w:rsidRPr="00EE6709">
        <w:rPr>
          <w:i/>
        </w:rPr>
        <w:t>In the Matter of the Application of the Dayton Power and Light Company for Approval of its Electric Security Plan</w:t>
      </w:r>
      <w:r>
        <w:t xml:space="preserve">, Case No. 12-426-EL-SSO, Seventh Entry on Rehearing at ¶25.  </w:t>
      </w:r>
    </w:p>
  </w:footnote>
  <w:footnote w:id="12">
    <w:p w:rsidR="004813DD" w:rsidP="0040187A">
      <w:pPr>
        <w:pStyle w:val="FootnoteText"/>
        <w:spacing w:after="120"/>
      </w:pPr>
      <w:r>
        <w:rPr>
          <w:rStyle w:val="FootnoteReference"/>
        </w:rPr>
        <w:footnoteRef/>
      </w:r>
      <w:r>
        <w:t xml:space="preserve"> Obviously, at the time DP&amp;L filed its motion, it could not have been relying upon the PUCO's second modification as the trigger because that second modification had not been made yet.  </w:t>
      </w:r>
    </w:p>
  </w:footnote>
  <w:footnote w:id="13">
    <w:p w:rsidR="00525671" w:rsidP="0040187A">
      <w:pPr>
        <w:pStyle w:val="FootnoteText"/>
        <w:spacing w:after="120"/>
      </w:pPr>
      <w:r>
        <w:rPr>
          <w:rStyle w:val="FootnoteReference"/>
        </w:rPr>
        <w:footnoteRef/>
      </w:r>
      <w:r>
        <w:t xml:space="preserve"> See </w:t>
      </w:r>
      <w:r w:rsidRPr="00EE6709">
        <w:rPr>
          <w:i/>
        </w:rPr>
        <w:t>Cleveland Elec. Illuminating Co., v. Pub. Util. Comm</w:t>
      </w:r>
      <w:r>
        <w:t xml:space="preserve">., 42 Ohio St.2d 403; </w:t>
      </w:r>
      <w:r w:rsidRPr="00EE6709">
        <w:rPr>
          <w:i/>
        </w:rPr>
        <w:t xml:space="preserve">General Motors Corporation </w:t>
      </w:r>
      <w:r>
        <w:rPr>
          <w:i/>
        </w:rPr>
        <w:t xml:space="preserve">v. </w:t>
      </w:r>
      <w:r w:rsidRPr="00EE6709">
        <w:rPr>
          <w:i/>
        </w:rPr>
        <w:t>Pub. Util. Comm.,</w:t>
      </w:r>
      <w:r>
        <w:t xml:space="preserve"> 47 Ohio St.2d 58 (1976).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autoRedefine/>
    <w:qFormat/>
    <w:rsid w:val="00B663BA"/>
    <w:pPr>
      <w:keepNext/>
      <w:spacing w:after="240"/>
      <w:ind w:right="720"/>
      <w:outlineLvl w:val="0"/>
    </w:pPr>
    <w:rPr>
      <w:rFonts w:ascii="Times New Roman Bold" w:hAnsi="Times New Roman Bold"/>
      <w:b/>
      <w:caps/>
      <w:szCs w:val="24"/>
    </w:rPr>
  </w:style>
  <w:style w:type="paragraph" w:styleId="Heading2">
    <w:name w:val="heading 2"/>
    <w:basedOn w:val="Normal"/>
    <w:next w:val="Normal"/>
    <w:autoRedefine/>
    <w:qFormat/>
    <w:rsid w:val="00CA39D9"/>
    <w:pPr>
      <w:keepNext/>
      <w:spacing w:after="240"/>
      <w:ind w:left="1440" w:right="720"/>
      <w:outlineLvl w:val="1"/>
    </w:pPr>
    <w:rPr>
      <w:rFonts w:ascii="Times New Roman Bold" w:hAnsi="Times New Roman Bold"/>
      <w:b/>
      <w:szCs w:val="24"/>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szCs w:val="24"/>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szCs w:val="24"/>
    </w:rPr>
  </w:style>
  <w:style w:type="paragraph" w:styleId="Heading5">
    <w:name w:val="heading 5"/>
    <w:basedOn w:val="Normal"/>
    <w:next w:val="Normal"/>
    <w:autoRedefine/>
    <w:qFormat/>
    <w:pPr>
      <w:spacing w:after="240"/>
      <w:ind w:left="3600" w:hanging="720"/>
      <w:outlineLvl w:val="4"/>
    </w:pPr>
    <w:rPr>
      <w:rFonts w:ascii="Times New Roman Bold" w:hAnsi="Times New Roman Bold"/>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
    <w:basedOn w:val="Normal"/>
    <w:link w:val="FootnoteTextChar2"/>
    <w:uiPriority w:val="99"/>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8"/>
    </w:rPr>
  </w:style>
  <w:style w:type="character" w:styleId="Hyperlink">
    <w:name w:val="Hyperlink"/>
    <w:uiPriority w:val="99"/>
    <w:rPr>
      <w:color w:val="0000FF"/>
      <w:u w:val="single"/>
    </w:rPr>
  </w:style>
  <w:style w:type="character" w:customStyle="1" w:styleId="FootnoteTextChar2">
    <w:name w:val="Footnote Text Char2"/>
    <w:aliases w:val="ALTS FOOTNOTE Char,Footnote Text Char Char Char,Footnote Text Char Char Char Char Char,Footnote Text Char Char2,Footnote Text Char1 Char,Footnote Text Char1 Char Char1 Char,Footnote Text Char1 Char Char1 Char Char Char Char,fn Char"/>
    <w:link w:val="FootnoteText"/>
    <w:locked/>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Pr>
      <w:lang w:val="en-US" w:eastAsia="en-US" w:bidi="ar-SA"/>
    </w:rPr>
  </w:style>
  <w:style w:type="character" w:customStyle="1" w:styleId="Heading1Char">
    <w:name w:val="Heading 1 Char"/>
    <w:link w:val="Heading1"/>
    <w:rsid w:val="00B663BA"/>
    <w:rPr>
      <w:rFonts w:ascii="Times New Roman Bold" w:hAnsi="Times New Roman Bold"/>
      <w:b/>
      <w:caps/>
      <w:sz w:val="24"/>
      <w:szCs w:val="24"/>
    </w:rPr>
  </w:style>
  <w:style w:type="paragraph" w:styleId="Header">
    <w:name w:val="header"/>
    <w:basedOn w:val="Normal"/>
    <w:link w:val="HeaderChar"/>
    <w:uiPriority w:val="99"/>
    <w:pPr>
      <w:tabs>
        <w:tab w:val="center" w:pos="4320"/>
        <w:tab w:val="right" w:pos="8640"/>
      </w:tabs>
    </w:pPr>
  </w:style>
  <w:style w:type="paragraph" w:customStyle="1" w:styleId="Testimony">
    <w:name w:val="Testimony"/>
    <w:basedOn w:val="A"/>
    <w:pPr>
      <w:ind w:firstLine="547"/>
    </w:pPr>
  </w:style>
  <w:style w:type="paragraph" w:styleId="TOC1">
    <w:name w:val="toc 1"/>
    <w:basedOn w:val="Normal"/>
    <w:next w:val="Normal"/>
    <w:autoRedefine/>
    <w:uiPriority w:val="39"/>
    <w:qFormat/>
    <w:rsid w:val="00F23767"/>
    <w:pPr>
      <w:tabs>
        <w:tab w:val="decimal" w:leader="dot" w:pos="8640"/>
      </w:tabs>
      <w:spacing w:after="240"/>
      <w:ind w:left="720" w:hanging="720"/>
      <w:outlineLvl w:val="0"/>
    </w:pPr>
    <w:rPr>
      <w:caps/>
      <w:szCs w:val="24"/>
    </w:rPr>
  </w:style>
  <w:style w:type="paragraph" w:styleId="TOC2">
    <w:name w:val="toc 2"/>
    <w:basedOn w:val="Normal"/>
    <w:next w:val="Normal"/>
    <w:autoRedefine/>
    <w:uiPriority w:val="39"/>
    <w:qFormat/>
    <w:rsid w:val="00C27D5A"/>
    <w:pPr>
      <w:tabs>
        <w:tab w:val="decimal" w:leader="dot" w:pos="8640"/>
      </w:tabs>
      <w:spacing w:after="240"/>
      <w:ind w:left="720"/>
      <w:outlineLvl w:val="1"/>
    </w:pPr>
    <w:rPr>
      <w:szCs w:val="24"/>
    </w:rPr>
  </w:style>
  <w:style w:type="paragraph" w:styleId="TOC3">
    <w:name w:val="toc 3"/>
    <w:basedOn w:val="Normal"/>
    <w:next w:val="Normal"/>
    <w:autoRedefine/>
    <w:uiPriority w:val="39"/>
    <w:qFormat/>
    <w:rsid w:val="00F97A77"/>
    <w:pPr>
      <w:tabs>
        <w:tab w:val="decimal" w:leader="dot" w:pos="8640"/>
      </w:tabs>
      <w:spacing w:after="240"/>
    </w:pPr>
    <w:rPr>
      <w:szCs w:val="24"/>
    </w:rPr>
  </w:style>
  <w:style w:type="paragraph" w:customStyle="1" w:styleId="A">
    <w:name w:val="A:"/>
    <w:basedOn w:val="Normal"/>
    <w:next w:val="Testimony"/>
    <w:link w:val="AChar"/>
    <w:pPr>
      <w:spacing w:line="480" w:lineRule="exact"/>
      <w:ind w:left="547" w:hanging="547"/>
      <w:jc w:val="both"/>
    </w:pPr>
    <w:rPr>
      <w:kern w:val="22"/>
      <w:sz w:val="26"/>
    </w:rPr>
  </w:style>
  <w:style w:type="character" w:customStyle="1" w:styleId="AChar">
    <w:name w:val="A: Char"/>
    <w:link w:val="A"/>
    <w:rPr>
      <w:kern w:val="22"/>
      <w:sz w:val="26"/>
      <w:lang w:val="en-US" w:eastAsia="en-US" w:bidi="ar-SA"/>
    </w:rPr>
  </w:style>
  <w:style w:type="paragraph" w:customStyle="1" w:styleId="Q">
    <w:name w:val="Q:"/>
    <w:basedOn w:val="A"/>
    <w:next w:val="A"/>
    <w:pPr>
      <w:spacing w:before="120"/>
    </w:pPr>
    <w:rPr>
      <w:b/>
    </w:r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pPr>
      <w:tabs>
        <w:tab w:val="left" w:pos="720"/>
        <w:tab w:val="left" w:pos="1440"/>
        <w:tab w:val="left" w:pos="2160"/>
        <w:tab w:val="decimal" w:leader="dot" w:pos="8640"/>
      </w:tabs>
      <w:spacing w:after="240"/>
      <w:ind w:left="2880" w:hanging="720"/>
    </w:pPr>
    <w:rPr>
      <w:szCs w:val="24"/>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PlainText">
    <w:name w:val="Plain Text"/>
    <w:basedOn w:val="Normal"/>
    <w:link w:val="PlainTextChar"/>
    <w:unhideWhenUsed/>
    <w:rPr>
      <w:rFonts w:ascii="Consolas" w:eastAsia="Calibri" w:hAnsi="Consolas"/>
      <w:sz w:val="21"/>
      <w:szCs w:val="21"/>
    </w:rPr>
  </w:style>
  <w:style w:type="character" w:customStyle="1" w:styleId="PlainTextChar">
    <w:name w:val="Plain Text Char"/>
    <w:link w:val="PlainText"/>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Pr>
      <w:lang w:val="en-US" w:eastAsia="en-US" w:bidi="ar-SA"/>
    </w:rPr>
  </w:style>
  <w:style w:type="paragraph" w:customStyle="1" w:styleId="Level2">
    <w:name w:val="Level 2"/>
    <w:basedOn w:val="Normal"/>
    <w:rPr>
      <w:rFonts w:eastAsia="SimSun"/>
      <w:szCs w:val="24"/>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pPr>
      <w:tabs>
        <w:tab w:val="left" w:pos="720"/>
        <w:tab w:val="left" w:pos="1440"/>
        <w:tab w:val="left" w:pos="2160"/>
        <w:tab w:val="left" w:pos="2880"/>
        <w:tab w:val="decimal" w:leader="dot" w:pos="8640"/>
      </w:tabs>
      <w:spacing w:after="240"/>
      <w:ind w:left="3600" w:hanging="720"/>
    </w:pPr>
    <w:rPr>
      <w:szCs w:val="24"/>
    </w:r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rPr>
      <w:szCs w:val="24"/>
    </w:rPr>
  </w:style>
  <w:style w:type="paragraph" w:customStyle="1" w:styleId="LightList-Accent31">
    <w:name w:val="Light List - Accent 31"/>
    <w:hidden/>
    <w:uiPriority w:val="99"/>
    <w:semiHidden/>
    <w:rsid w:val="008F3B3C"/>
    <w:rPr>
      <w:sz w:val="24"/>
    </w:rPr>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footer" Target="footer9.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2017-01-13T21:50:00Z</dcterms:created>
  <dcterms:modified xsi:type="dcterms:W3CDTF">2017-01-13T21:50:00Z</dcterms:modified>
</cp:coreProperties>
</file>