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D2B6" w14:textId="77777777" w:rsidR="00545F29" w:rsidRPr="009D71F6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7176D2B7" w14:textId="77777777" w:rsidR="00545F29" w:rsidRPr="009D71F6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55B90" w:rsidRPr="009D71F6" w14:paraId="7176D2C6" w14:textId="77777777">
        <w:trPr>
          <w:trHeight w:val="873"/>
          <w:jc w:val="center"/>
        </w:trPr>
        <w:tc>
          <w:tcPr>
            <w:tcW w:w="4739" w:type="dxa"/>
          </w:tcPr>
          <w:p w14:paraId="7176D2BB" w14:textId="695B08E1" w:rsidR="00545F29" w:rsidRPr="009D71F6" w:rsidRDefault="003D01DA" w:rsidP="00EB67D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1DA">
              <w:rPr>
                <w:rFonts w:ascii="Arial" w:hAnsi="Arial" w:cs="Arial"/>
                <w:sz w:val="24"/>
                <w:szCs w:val="24"/>
              </w:rPr>
              <w:t>In th</w:t>
            </w:r>
            <w:r>
              <w:rPr>
                <w:rFonts w:ascii="Arial" w:hAnsi="Arial" w:cs="Arial"/>
                <w:sz w:val="24"/>
                <w:szCs w:val="24"/>
              </w:rPr>
              <w:t>e Matter of Application</w:t>
            </w:r>
            <w:r w:rsidR="008819F5">
              <w:rPr>
                <w:rFonts w:ascii="Arial" w:hAnsi="Arial" w:cs="Arial"/>
                <w:sz w:val="24"/>
                <w:szCs w:val="24"/>
              </w:rPr>
              <w:t xml:space="preserve"> Not for an Increase in Rates Pursuant to Section 4901.18, Revised Code, of Ohio Power Company to Update Existing Tariff Language</w:t>
            </w:r>
          </w:p>
        </w:tc>
        <w:tc>
          <w:tcPr>
            <w:tcW w:w="630" w:type="dxa"/>
          </w:tcPr>
          <w:p w14:paraId="7176D2BC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D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E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C0" w14:textId="6EEF1058" w:rsidR="00545F29" w:rsidRPr="009D71F6" w:rsidRDefault="0056270F" w:rsidP="00357C8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7176D2C1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2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3" w14:textId="70BA0B18" w:rsidR="00545F29" w:rsidRPr="009D71F6" w:rsidRDefault="003D01D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8819F5">
              <w:rPr>
                <w:rFonts w:ascii="Arial" w:hAnsi="Arial" w:cs="Arial"/>
                <w:sz w:val="24"/>
                <w:szCs w:val="24"/>
              </w:rPr>
              <w:t>14-2124-EL-ATA</w:t>
            </w:r>
          </w:p>
          <w:p w14:paraId="7176D2C5" w14:textId="350A9796" w:rsidR="00613140" w:rsidRPr="009D71F6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6D2C7" w14:textId="77777777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9" w14:textId="3E476F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7176D2CA" w14:textId="559FF34F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 w:rsidR="00AA75B4">
        <w:rPr>
          <w:rFonts w:ascii="Arial" w:hAnsi="Arial" w:cs="Arial"/>
          <w:b/>
          <w:bCs/>
          <w:sz w:val="24"/>
          <w:szCs w:val="24"/>
        </w:rPr>
        <w:t xml:space="preserve"> OF IGS ENERGY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D434B1A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A5282C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02DFE5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CD4E9A4" w14:textId="77777777" w:rsidR="000933A1" w:rsidRDefault="000933A1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F140BE5" w14:textId="77777777" w:rsidR="000933A1" w:rsidRDefault="000933A1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F194FCB" w14:textId="77777777" w:rsidR="000933A1" w:rsidRDefault="000933A1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307477B" w14:textId="7B7509FE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</w:t>
      </w:r>
    </w:p>
    <w:p w14:paraId="47F2F7F1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1E783C5D" w14:textId="3A73F714" w:rsidR="0058767D" w:rsidRDefault="0058767D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8767D">
        <w:rPr>
          <w:rFonts w:ascii="Arial" w:hAnsi="Arial" w:cs="Arial"/>
          <w:sz w:val="24"/>
          <w:szCs w:val="24"/>
        </w:rPr>
        <w:t>joliker@igsenergy.com</w:t>
      </w:r>
    </w:p>
    <w:p w14:paraId="1C54B0A0" w14:textId="1FE88325" w:rsidR="00237730" w:rsidRDefault="00AA75B4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808A77D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F0E5D8B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6527965A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3ABFFA73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F7DC00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C805413" w14:textId="4C5B22C0" w:rsidR="00237730" w:rsidRDefault="00553D21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237730"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4A4F2A5" w14:textId="77777777" w:rsidR="00EB67DF" w:rsidRDefault="00EB67D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6FD7C48" w14:textId="77777777" w:rsidR="00EB67DF" w:rsidRDefault="00EB67D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95B5EA" w14:textId="77777777" w:rsidR="00EB67DF" w:rsidRDefault="00EB67D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70B117" w14:textId="77777777" w:rsidR="00EB67DF" w:rsidRDefault="00EB67D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46AC74" w14:textId="77777777" w:rsidR="00EB67DF" w:rsidRDefault="00EB67DF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447692" w14:textId="6BBD3235" w:rsidR="00357C8B" w:rsidRPr="00EB67DF" w:rsidRDefault="000933A1" w:rsidP="00EB67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5</w:t>
      </w:r>
      <w:r w:rsidR="000A0F85">
        <w:rPr>
          <w:rFonts w:ascii="Arial" w:hAnsi="Arial" w:cs="Arial"/>
          <w:b/>
          <w:sz w:val="24"/>
          <w:szCs w:val="24"/>
        </w:rPr>
        <w:t>, 2015</w:t>
      </w:r>
    </w:p>
    <w:p w14:paraId="568200F0" w14:textId="77777777" w:rsidR="00357C8B" w:rsidRPr="009D71F6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546ADF90" w14:textId="77777777" w:rsidR="00357C8B" w:rsidRPr="009D71F6" w:rsidRDefault="00357C8B" w:rsidP="00357C8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8819F5" w:rsidRPr="009D71F6" w14:paraId="32EE1EE6" w14:textId="77777777" w:rsidTr="00553D21">
        <w:trPr>
          <w:trHeight w:val="378"/>
          <w:jc w:val="center"/>
        </w:trPr>
        <w:tc>
          <w:tcPr>
            <w:tcW w:w="4739" w:type="dxa"/>
          </w:tcPr>
          <w:p w14:paraId="230F7221" w14:textId="134E644F" w:rsidR="008819F5" w:rsidRPr="009D71F6" w:rsidRDefault="008819F5" w:rsidP="002716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1DA">
              <w:rPr>
                <w:rFonts w:ascii="Arial" w:hAnsi="Arial" w:cs="Arial"/>
                <w:sz w:val="24"/>
                <w:szCs w:val="24"/>
              </w:rPr>
              <w:t>In th</w:t>
            </w:r>
            <w:r>
              <w:rPr>
                <w:rFonts w:ascii="Arial" w:hAnsi="Arial" w:cs="Arial"/>
                <w:sz w:val="24"/>
                <w:szCs w:val="24"/>
              </w:rPr>
              <w:t>e Matter of Application Not for an Increase in Rates Pursuant to Section 4901.18, Revised Code, of Ohio Power Company to Update Existing Tariff Language</w:t>
            </w:r>
          </w:p>
        </w:tc>
        <w:tc>
          <w:tcPr>
            <w:tcW w:w="630" w:type="dxa"/>
          </w:tcPr>
          <w:p w14:paraId="3C0833F3" w14:textId="77777777" w:rsidR="008819F5" w:rsidRPr="009D71F6" w:rsidRDefault="008819F5" w:rsidP="00F518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BDD575" w14:textId="77777777" w:rsidR="008819F5" w:rsidRPr="009D71F6" w:rsidRDefault="008819F5" w:rsidP="00F518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AB2BDBA" w14:textId="77777777" w:rsidR="008819F5" w:rsidRPr="009D71F6" w:rsidRDefault="008819F5" w:rsidP="00F5187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D015056" w14:textId="06254258" w:rsidR="008819F5" w:rsidRPr="009D71F6" w:rsidRDefault="008819F5" w:rsidP="002716E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5E6EDF2B" w14:textId="77777777" w:rsidR="008819F5" w:rsidRPr="009D71F6" w:rsidRDefault="008819F5" w:rsidP="00F5187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E744D1C" w14:textId="77777777" w:rsidR="008819F5" w:rsidRPr="009D71F6" w:rsidRDefault="008819F5" w:rsidP="00F5187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BF18DE" w14:textId="77777777" w:rsidR="008819F5" w:rsidRPr="009D71F6" w:rsidRDefault="008819F5" w:rsidP="00F5187A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14-2124-EL-ATA</w:t>
            </w:r>
          </w:p>
          <w:p w14:paraId="4E808153" w14:textId="77777777" w:rsidR="008819F5" w:rsidRPr="009D71F6" w:rsidRDefault="008819F5" w:rsidP="002716E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04716A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35FBE700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748D1C26" w:rsidR="00545F29" w:rsidRDefault="00955F86" w:rsidP="0082224E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R.C. 4903.221 and Rule</w:t>
      </w:r>
      <w:r w:rsidR="0056270F" w:rsidRPr="009D71F6">
        <w:rPr>
          <w:rFonts w:ascii="Arial" w:hAnsi="Arial" w:cs="Arial"/>
          <w:sz w:val="24"/>
          <w:szCs w:val="24"/>
        </w:rPr>
        <w:t xml:space="preserve"> 4901-1-11,</w:t>
      </w:r>
      <w:r>
        <w:rPr>
          <w:rFonts w:ascii="Arial" w:hAnsi="Arial" w:cs="Arial"/>
          <w:sz w:val="24"/>
          <w:szCs w:val="24"/>
        </w:rPr>
        <w:t xml:space="preserve"> Ohio Administrative Code (“OAC”),</w:t>
      </w:r>
      <w:r w:rsidR="0056270F" w:rsidRPr="009D71F6">
        <w:rPr>
          <w:rFonts w:ascii="Arial" w:hAnsi="Arial" w:cs="Arial"/>
          <w:sz w:val="24"/>
          <w:szCs w:val="24"/>
        </w:rPr>
        <w:t xml:space="preserve"> Interstate Gas Supply, Inc. (“IGS”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="0056270F" w:rsidRPr="009D71F6">
        <w:rPr>
          <w:rFonts w:ascii="Arial" w:hAnsi="Arial" w:cs="Arial"/>
          <w:sz w:val="24"/>
          <w:szCs w:val="24"/>
        </w:rPr>
        <w:t xml:space="preserve">) moves to intervene in the above captioned proceeding, in </w:t>
      </w:r>
      <w:r w:rsidR="00FF782E">
        <w:rPr>
          <w:rFonts w:ascii="Arial" w:hAnsi="Arial" w:cs="Arial"/>
          <w:sz w:val="24"/>
          <w:szCs w:val="24"/>
        </w:rPr>
        <w:t xml:space="preserve">which Ohio Power Company (“AEP Ohio”) seeks to “add language to address providing interval customer energy usage data (CEUD) to CRES providers per the order in Case No. 12-3151-EL-COI.”  </w:t>
      </w:r>
      <w:proofErr w:type="gramStart"/>
      <w:r w:rsidR="00FF782E">
        <w:rPr>
          <w:rFonts w:ascii="Arial" w:hAnsi="Arial" w:cs="Arial"/>
          <w:sz w:val="24"/>
          <w:szCs w:val="24"/>
        </w:rPr>
        <w:t>Application at 1.</w:t>
      </w:r>
      <w:proofErr w:type="gramEnd"/>
    </w:p>
    <w:p w14:paraId="7176D2CE" w14:textId="6C5A3CE5" w:rsidR="00545F29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357C8B">
        <w:rPr>
          <w:rFonts w:ascii="Arial" w:hAnsi="Arial" w:cs="Arial"/>
          <w:sz w:val="24"/>
          <w:szCs w:val="24"/>
        </w:rPr>
        <w:t>osition of this</w:t>
      </w:r>
      <w:r>
        <w:rPr>
          <w:rFonts w:ascii="Arial" w:hAnsi="Arial" w:cs="Arial"/>
          <w:sz w:val="24"/>
          <w:szCs w:val="24"/>
        </w:rPr>
        <w:t xml:space="preserve"> proceeding</w:t>
      </w:r>
      <w:r w:rsidR="00AA75B4">
        <w:rPr>
          <w:rFonts w:ascii="Arial" w:hAnsi="Arial" w:cs="Arial"/>
          <w:sz w:val="24"/>
          <w:szCs w:val="24"/>
        </w:rPr>
        <w:t xml:space="preserve"> without IGS’</w:t>
      </w:r>
      <w:r w:rsidR="005B63F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 may, as a practica</w:t>
      </w:r>
      <w:r w:rsidR="00AA75B4">
        <w:rPr>
          <w:rFonts w:ascii="Arial" w:hAnsi="Arial" w:cs="Arial"/>
          <w:sz w:val="24"/>
          <w:szCs w:val="24"/>
        </w:rPr>
        <w:t>l matter, impair or impede IGS’</w:t>
      </w:r>
      <w:r w:rsidR="004742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>
        <w:rPr>
          <w:rFonts w:ascii="Arial" w:hAnsi="Arial" w:cs="Arial"/>
          <w:sz w:val="24"/>
          <w:szCs w:val="24"/>
        </w:rPr>
        <w:t>s</w:t>
      </w:r>
      <w:r w:rsidR="00357C8B">
        <w:rPr>
          <w:rFonts w:ascii="Arial" w:hAnsi="Arial" w:cs="Arial"/>
          <w:sz w:val="24"/>
          <w:szCs w:val="24"/>
        </w:rPr>
        <w:t xml:space="preserve"> that its participation in this</w:t>
      </w:r>
      <w:r>
        <w:rPr>
          <w:rFonts w:ascii="Arial" w:hAnsi="Arial" w:cs="Arial"/>
          <w:sz w:val="24"/>
          <w:szCs w:val="24"/>
        </w:rPr>
        <w:t xml:space="preserve"> proceeding will not cause undue delay, will not unjustly prejudice any existing party, and will contribute to the just and expeditious resolution of the is</w:t>
      </w:r>
      <w:r w:rsidR="00955F86">
        <w:rPr>
          <w:rFonts w:ascii="Arial" w:hAnsi="Arial" w:cs="Arial"/>
          <w:sz w:val="24"/>
          <w:szCs w:val="24"/>
        </w:rPr>
        <w:t>s</w:t>
      </w:r>
      <w:r w:rsidR="00357C8B">
        <w:rPr>
          <w:rFonts w:ascii="Arial" w:hAnsi="Arial" w:cs="Arial"/>
          <w:sz w:val="24"/>
          <w:szCs w:val="24"/>
        </w:rPr>
        <w:t>ues and concerns raised in this</w:t>
      </w:r>
      <w:r>
        <w:rPr>
          <w:rFonts w:ascii="Arial" w:hAnsi="Arial" w:cs="Arial"/>
          <w:sz w:val="24"/>
          <w:szCs w:val="24"/>
        </w:rPr>
        <w:t xml:space="preserve"> proceeding.  </w:t>
      </w:r>
    </w:p>
    <w:p w14:paraId="7176D2CF" w14:textId="7DB42984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B63F0"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interests will not be adequately rep</w:t>
      </w:r>
      <w:r w:rsidR="00357C8B">
        <w:rPr>
          <w:rFonts w:ascii="Arial" w:hAnsi="Arial" w:cs="Arial"/>
          <w:sz w:val="24"/>
          <w:szCs w:val="24"/>
        </w:rPr>
        <w:t>resented by other parties to this</w:t>
      </w:r>
      <w:r w:rsidR="0056270F">
        <w:rPr>
          <w:rFonts w:ascii="Arial" w:hAnsi="Arial" w:cs="Arial"/>
          <w:sz w:val="24"/>
          <w:szCs w:val="24"/>
        </w:rPr>
        <w:t xml:space="preserve"> proceeding and therefore, IGS is entitled t</w:t>
      </w:r>
      <w:r>
        <w:rPr>
          <w:rFonts w:ascii="Arial" w:hAnsi="Arial" w:cs="Arial"/>
          <w:sz w:val="24"/>
          <w:szCs w:val="24"/>
        </w:rPr>
        <w:t>o intervene in</w:t>
      </w:r>
      <w:r w:rsidR="00357C8B">
        <w:rPr>
          <w:rFonts w:ascii="Arial" w:hAnsi="Arial" w:cs="Arial"/>
          <w:sz w:val="24"/>
          <w:szCs w:val="24"/>
        </w:rPr>
        <w:t xml:space="preserve"> this</w:t>
      </w:r>
      <w:r w:rsidR="0056270F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D4" w14:textId="71202B1E" w:rsidR="00F10F9B" w:rsidRPr="00D223D6" w:rsidRDefault="00F5720A">
      <w:pPr>
        <w:spacing w:after="0" w:line="240" w:lineRule="auto"/>
        <w:ind w:left="5040"/>
        <w:rPr>
          <w:rFonts w:ascii="Arial" w:eastAsia="Arial" w:hAnsi="Arial" w:cs="Arial"/>
          <w:b/>
          <w:i/>
          <w:sz w:val="24"/>
          <w:szCs w:val="24"/>
          <w:u w:val="single"/>
        </w:rPr>
      </w:pPr>
      <w:r w:rsidRPr="00D223D6">
        <w:rPr>
          <w:rFonts w:ascii="Arial" w:eastAsia="Arial" w:hAnsi="Arial" w:cs="Arial"/>
          <w:b/>
          <w:i/>
          <w:sz w:val="24"/>
          <w:szCs w:val="24"/>
          <w:u w:val="single"/>
        </w:rPr>
        <w:t>/s/ Joseph Oliker</w:t>
      </w:r>
    </w:p>
    <w:p w14:paraId="0181F1A6" w14:textId="10887A4B" w:rsidR="00F5720A" w:rsidRPr="007B3399" w:rsidRDefault="00F5720A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Joseph Oliker</w:t>
      </w:r>
      <w:r w:rsidR="007B3399">
        <w:rPr>
          <w:rFonts w:ascii="Arial" w:eastAsia="Arial" w:hAnsi="Arial" w:cs="Arial"/>
          <w:sz w:val="24"/>
          <w:szCs w:val="24"/>
        </w:rPr>
        <w:t xml:space="preserve"> </w:t>
      </w:r>
    </w:p>
    <w:p w14:paraId="4878AB42" w14:textId="5D55136F" w:rsidR="00F5720A" w:rsidRDefault="00F5720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Counsel of Record </w:t>
      </w:r>
    </w:p>
    <w:p w14:paraId="7176D2D6" w14:textId="1BBE8363" w:rsidR="00545F29" w:rsidRDefault="00F5720A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joliker</w:t>
      </w:r>
      <w:r w:rsidR="0056270F">
        <w:rPr>
          <w:rFonts w:ascii="Arial" w:hAnsi="Arial" w:cs="Arial"/>
          <w:sz w:val="24"/>
          <w:szCs w:val="24"/>
        </w:rPr>
        <w:t>@igsenergy.com</w:t>
      </w:r>
    </w:p>
    <w:p w14:paraId="7176D2DA" w14:textId="71124126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2DB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2DC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2DD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2DE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2DF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E1" w14:textId="48CD5939" w:rsidR="00545F29" w:rsidRPr="00237730" w:rsidRDefault="00553D21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237730"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14:paraId="5B995E50" w14:textId="6CDDC3AA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F6F148E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03744762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1EE32C22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0C20CA4E" w14:textId="77777777" w:rsid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25BB4FA6" w14:textId="77777777" w:rsidR="003D01DA" w:rsidRPr="003D01DA" w:rsidRDefault="003D01DA">
      <w:pPr>
        <w:rPr>
          <w:rFonts w:ascii="Arial" w:hAnsi="Arial" w:cs="Arial"/>
          <w:b/>
          <w:szCs w:val="24"/>
          <w:u w:val="single"/>
        </w:rPr>
      </w:pPr>
    </w:p>
    <w:p w14:paraId="0D693D7D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19689D0F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5D5E0836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7B6DEF8F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438C2906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3B040562" w14:textId="77777777" w:rsidR="00C73923" w:rsidRDefault="00C73923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0FFDE5B1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1A618288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29D95CF8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12D06D77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610419C3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755D3C22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14D8CC94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57336612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647DE007" w14:textId="77777777" w:rsidR="00FF782E" w:rsidRDefault="00FF782E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69DF9488" w14:textId="77777777" w:rsidR="00553D21" w:rsidRDefault="00553D21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15982E93" w14:textId="77777777" w:rsidR="00357C8B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</w:p>
    <w:p w14:paraId="0E85A5EB" w14:textId="77777777" w:rsidR="00357C8B" w:rsidRPr="009D71F6" w:rsidRDefault="00357C8B" w:rsidP="00357C8B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383AEAE9" w14:textId="77777777" w:rsidR="00357C8B" w:rsidRPr="009D71F6" w:rsidRDefault="00357C8B" w:rsidP="00357C8B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0933A1" w:rsidRPr="009D71F6" w14:paraId="3A9F5413" w14:textId="77777777" w:rsidTr="002716EB">
        <w:trPr>
          <w:trHeight w:val="873"/>
          <w:jc w:val="center"/>
        </w:trPr>
        <w:tc>
          <w:tcPr>
            <w:tcW w:w="4739" w:type="dxa"/>
          </w:tcPr>
          <w:p w14:paraId="4752AB82" w14:textId="4A592FBE" w:rsidR="000933A1" w:rsidRPr="009D71F6" w:rsidRDefault="000933A1" w:rsidP="002716E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1DA">
              <w:rPr>
                <w:rFonts w:ascii="Arial" w:hAnsi="Arial" w:cs="Arial"/>
                <w:sz w:val="24"/>
                <w:szCs w:val="24"/>
              </w:rPr>
              <w:t>In th</w:t>
            </w:r>
            <w:r>
              <w:rPr>
                <w:rFonts w:ascii="Arial" w:hAnsi="Arial" w:cs="Arial"/>
                <w:sz w:val="24"/>
                <w:szCs w:val="24"/>
              </w:rPr>
              <w:t>e Matter of Application Not for an Increase in Rates Pursuant to Section 4901.18, Revised Code, of Ohio Power Company to Update Existing Tariff Language</w:t>
            </w:r>
          </w:p>
        </w:tc>
        <w:tc>
          <w:tcPr>
            <w:tcW w:w="630" w:type="dxa"/>
          </w:tcPr>
          <w:p w14:paraId="6731DD22" w14:textId="77777777" w:rsidR="000933A1" w:rsidRPr="009D71F6" w:rsidRDefault="000933A1" w:rsidP="00446C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FD441B" w14:textId="77777777" w:rsidR="000933A1" w:rsidRPr="009D71F6" w:rsidRDefault="000933A1" w:rsidP="00446C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52AA915" w14:textId="77777777" w:rsidR="000933A1" w:rsidRPr="009D71F6" w:rsidRDefault="000933A1" w:rsidP="00446C5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156119" w14:textId="60A56C69" w:rsidR="000933A1" w:rsidRPr="009D71F6" w:rsidRDefault="000933A1" w:rsidP="002716E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453CD38F" w14:textId="77777777" w:rsidR="000933A1" w:rsidRPr="009D71F6" w:rsidRDefault="000933A1" w:rsidP="00446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8CDF81" w14:textId="77777777" w:rsidR="000933A1" w:rsidRPr="009D71F6" w:rsidRDefault="000933A1" w:rsidP="00446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672770" w14:textId="77777777" w:rsidR="000933A1" w:rsidRPr="009D71F6" w:rsidRDefault="000933A1" w:rsidP="00446C5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14-2124-EL-ATA</w:t>
            </w:r>
          </w:p>
          <w:p w14:paraId="630B1130" w14:textId="77777777" w:rsidR="000933A1" w:rsidRPr="009D71F6" w:rsidRDefault="000933A1" w:rsidP="002716E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16574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6541EE" w14:textId="738552F4" w:rsidR="00955F86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6C5B">
        <w:rPr>
          <w:rFonts w:ascii="Arial" w:hAnsi="Arial" w:cs="Arial"/>
          <w:sz w:val="24"/>
          <w:szCs w:val="24"/>
        </w:rPr>
        <w:t xml:space="preserve">IGS has over 25 years of experience serving customers in Ohio’s </w:t>
      </w:r>
      <w:r w:rsidR="00DE4973" w:rsidRPr="004A6C5B">
        <w:rPr>
          <w:rFonts w:ascii="Arial" w:hAnsi="Arial" w:cs="Arial"/>
          <w:sz w:val="24"/>
          <w:szCs w:val="24"/>
        </w:rPr>
        <w:t>competitive markets. IGS</w:t>
      </w:r>
      <w:r w:rsidRPr="004A6C5B">
        <w:rPr>
          <w:rFonts w:ascii="Arial" w:hAnsi="Arial" w:cs="Arial"/>
          <w:sz w:val="24"/>
          <w:szCs w:val="24"/>
        </w:rPr>
        <w:t xml:space="preserve"> serves over 1 million customers nationwide and sells natural gas and electricity to customers in 11 states and in over 40 utility service territories. In Ohio, IGS currently serves electric customers in the</w:t>
      </w:r>
      <w:r w:rsidR="00474257" w:rsidRPr="004A6C5B">
        <w:rPr>
          <w:rFonts w:ascii="Arial" w:hAnsi="Arial" w:cs="Arial"/>
          <w:sz w:val="24"/>
          <w:szCs w:val="24"/>
        </w:rPr>
        <w:t xml:space="preserve"> Ohio Power Company</w:t>
      </w:r>
      <w:r w:rsidRPr="004A6C5B">
        <w:rPr>
          <w:rFonts w:ascii="Arial" w:hAnsi="Arial" w:cs="Arial"/>
          <w:sz w:val="24"/>
          <w:szCs w:val="24"/>
        </w:rPr>
        <w:t>, Duke Energy Ohio, FirstEnergy and the Dayton Power &amp; Light service territories. The IGS family of companies (which</w:t>
      </w:r>
      <w:r w:rsidR="00474257" w:rsidRPr="004A6C5B">
        <w:rPr>
          <w:rFonts w:ascii="Arial" w:hAnsi="Arial" w:cs="Arial"/>
          <w:sz w:val="24"/>
          <w:szCs w:val="24"/>
        </w:rPr>
        <w:t xml:space="preserve"> also</w:t>
      </w:r>
      <w:r w:rsidRPr="004A6C5B">
        <w:rPr>
          <w:rFonts w:ascii="Arial" w:hAnsi="Arial" w:cs="Arial"/>
          <w:sz w:val="24"/>
          <w:szCs w:val="24"/>
        </w:rPr>
        <w:t xml:space="preserve"> include IGS Generation, IGS Home Services and</w:t>
      </w:r>
      <w:r w:rsidR="006D2239">
        <w:rPr>
          <w:rFonts w:ascii="Arial" w:hAnsi="Arial" w:cs="Arial"/>
          <w:sz w:val="24"/>
          <w:szCs w:val="24"/>
        </w:rPr>
        <w:t xml:space="preserve"> IGS CNG Services) also provide</w:t>
      </w:r>
      <w:r w:rsidRPr="004A6C5B">
        <w:rPr>
          <w:rFonts w:ascii="Arial" w:hAnsi="Arial" w:cs="Arial"/>
          <w:sz w:val="24"/>
          <w:szCs w:val="24"/>
        </w:rPr>
        <w:t xml:space="preserve"> customers focused energy solutions that complement IGS Energy’s core commodity business including distributed</w:t>
      </w:r>
      <w:r w:rsidR="00474257" w:rsidRPr="004A6C5B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Pr="004A6C5B">
        <w:rPr>
          <w:rFonts w:ascii="Arial" w:hAnsi="Arial" w:cs="Arial"/>
          <w:sz w:val="24"/>
          <w:szCs w:val="24"/>
        </w:rPr>
        <w:t xml:space="preserve"> refueling, </w:t>
      </w:r>
      <w:r w:rsidR="004A6C5B">
        <w:rPr>
          <w:rFonts w:ascii="Arial" w:hAnsi="Arial" w:cs="Arial"/>
          <w:sz w:val="24"/>
          <w:szCs w:val="24"/>
        </w:rPr>
        <w:t>energy efficiency</w:t>
      </w:r>
      <w:r w:rsidRPr="004A6C5B">
        <w:rPr>
          <w:rFonts w:ascii="Arial" w:hAnsi="Arial" w:cs="Arial"/>
          <w:sz w:val="24"/>
          <w:szCs w:val="24"/>
        </w:rPr>
        <w:t xml:space="preserve"> and utility line protection.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17183E" w14:textId="114D7163" w:rsidR="00474257" w:rsidRDefault="00054020" w:rsidP="00FF782E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CRES pr</w:t>
      </w:r>
      <w:r w:rsidR="00D35EFF">
        <w:rPr>
          <w:rFonts w:ascii="Arial" w:hAnsi="Arial" w:cs="Arial"/>
          <w:sz w:val="24"/>
          <w:szCs w:val="24"/>
        </w:rPr>
        <w:t>oviders must have access to interval data</w:t>
      </w:r>
      <w:r>
        <w:rPr>
          <w:rFonts w:ascii="Arial" w:hAnsi="Arial" w:cs="Arial"/>
          <w:sz w:val="24"/>
          <w:szCs w:val="24"/>
        </w:rPr>
        <w:t xml:space="preserve"> to offer customers time-of-use products and services.</w:t>
      </w:r>
      <w:r w:rsidR="006D2239">
        <w:rPr>
          <w:rFonts w:ascii="Arial" w:hAnsi="Arial" w:cs="Arial"/>
          <w:sz w:val="24"/>
          <w:szCs w:val="24"/>
        </w:rPr>
        <w:t xml:space="preserve">  This proceeding proposes to establish terms and conditions for transferring interval data</w:t>
      </w:r>
      <w:bookmarkStart w:id="0" w:name="_GoBack"/>
      <w:bookmarkEnd w:id="0"/>
      <w:r w:rsidR="006D22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9B1592">
        <w:rPr>
          <w:rFonts w:ascii="Arial" w:hAnsi="Arial" w:cs="Arial"/>
          <w:sz w:val="24"/>
          <w:szCs w:val="24"/>
        </w:rPr>
        <w:t xml:space="preserve">Thus, </w:t>
      </w:r>
      <w:r w:rsidR="0056270F">
        <w:rPr>
          <w:rFonts w:ascii="Arial" w:hAnsi="Arial" w:cs="Arial"/>
          <w:sz w:val="24"/>
          <w:szCs w:val="24"/>
        </w:rPr>
        <w:t xml:space="preserve">IGS respectfully submits that it </w:t>
      </w:r>
      <w:r w:rsidR="00357C8B">
        <w:rPr>
          <w:rFonts w:ascii="Arial" w:hAnsi="Arial" w:cs="Arial"/>
          <w:sz w:val="24"/>
          <w:szCs w:val="24"/>
        </w:rPr>
        <w:t>is entitled to intervene in this proceeding</w:t>
      </w:r>
      <w:r w:rsidR="0056270F">
        <w:rPr>
          <w:rFonts w:ascii="Arial" w:hAnsi="Arial" w:cs="Arial"/>
          <w:sz w:val="24"/>
          <w:szCs w:val="24"/>
        </w:rPr>
        <w:t xml:space="preserve"> because IGS has a real and subs</w:t>
      </w:r>
      <w:r w:rsidR="00357C8B">
        <w:rPr>
          <w:rFonts w:ascii="Arial" w:hAnsi="Arial" w:cs="Arial"/>
          <w:sz w:val="24"/>
          <w:szCs w:val="24"/>
        </w:rPr>
        <w:t>tantial interest in this proceeding</w:t>
      </w:r>
      <w:r w:rsidR="0056270F">
        <w:rPr>
          <w:rFonts w:ascii="Arial" w:hAnsi="Arial" w:cs="Arial"/>
          <w:sz w:val="24"/>
          <w:szCs w:val="24"/>
        </w:rPr>
        <w:t xml:space="preserve">, the disposition of </w:t>
      </w:r>
      <w:r w:rsidR="003D01DA">
        <w:rPr>
          <w:rFonts w:ascii="Arial" w:hAnsi="Arial" w:cs="Arial"/>
          <w:sz w:val="24"/>
          <w:szCs w:val="24"/>
        </w:rPr>
        <w:t>which may impair or impede its</w:t>
      </w:r>
      <w:r w:rsidR="0056270F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2609BFD1" w:rsidR="00545F29" w:rsidRDefault="0056270F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purposes of considering requests for leave to intervene in a Commission proceeding, the </w:t>
      </w:r>
      <w:r w:rsidR="00955F86">
        <w:rPr>
          <w:rFonts w:ascii="Arial" w:hAnsi="Arial" w:cs="Arial"/>
          <w:sz w:val="24"/>
          <w:szCs w:val="24"/>
        </w:rPr>
        <w:t>Commission’s rules provide</w:t>
      </w:r>
      <w:r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955F86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955F86">
        <w:rPr>
          <w:rFonts w:ascii="Arial" w:hAnsi="Arial" w:cs="Arial"/>
          <w:sz w:val="24"/>
          <w:szCs w:val="24"/>
        </w:rPr>
        <w:t xml:space="preserve">Upon timely motion, any person shall be permitted to intervene in a </w:t>
      </w:r>
      <w:r w:rsidRPr="00955F86">
        <w:rPr>
          <w:rFonts w:ascii="Arial" w:hAnsi="Arial" w:cs="Arial"/>
          <w:sz w:val="24"/>
          <w:szCs w:val="24"/>
        </w:rPr>
        <w:lastRenderedPageBreak/>
        <w:t>proceeding upon a showing that:</w:t>
      </w:r>
      <w:r w:rsidR="00955F86" w:rsidRPr="00955F86">
        <w:rPr>
          <w:rFonts w:ascii="Arial" w:hAnsi="Arial" w:cs="Arial"/>
          <w:sz w:val="24"/>
          <w:szCs w:val="24"/>
        </w:rPr>
        <w:t xml:space="preserve"> (1) </w:t>
      </w:r>
      <w:proofErr w:type="gramStart"/>
      <w:r w:rsidR="00955F86" w:rsidRPr="00955F86">
        <w:rPr>
          <w:rFonts w:ascii="Arial" w:hAnsi="Arial" w:cs="Arial"/>
          <w:sz w:val="24"/>
          <w:szCs w:val="24"/>
        </w:rPr>
        <w:t>A</w:t>
      </w:r>
      <w:proofErr w:type="gramEnd"/>
      <w:r w:rsidR="00955F86" w:rsidRPr="00955F86">
        <w:rPr>
          <w:rFonts w:ascii="Arial" w:hAnsi="Arial" w:cs="Arial"/>
          <w:sz w:val="24"/>
          <w:szCs w:val="24"/>
        </w:rPr>
        <w:t xml:space="preserve"> statute of this state or the United States confers a right to intervene. </w:t>
      </w:r>
      <w:r w:rsidRPr="00955F86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955F86">
        <w:rPr>
          <w:rStyle w:val="FootnoteReference"/>
          <w:rFonts w:ascii="Arial" w:hAnsi="Arial" w:cs="Arial"/>
          <w:sz w:val="24"/>
          <w:szCs w:val="24"/>
        </w:rPr>
        <w:footnoteReference w:id="1"/>
      </w:r>
    </w:p>
    <w:p w14:paraId="7176D2E7" w14:textId="39FA0DED" w:rsidR="00545F29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Rule </w:t>
      </w:r>
      <w:r w:rsidR="0056270F">
        <w:rPr>
          <w:rFonts w:ascii="Arial" w:hAnsi="Arial" w:cs="Arial"/>
          <w:sz w:val="24"/>
          <w:szCs w:val="24"/>
        </w:rPr>
        <w:t>4901-1-11(B)</w:t>
      </w:r>
      <w:r>
        <w:rPr>
          <w:rFonts w:ascii="Arial" w:hAnsi="Arial" w:cs="Arial"/>
          <w:sz w:val="24"/>
          <w:szCs w:val="24"/>
        </w:rPr>
        <w:t>, OAC,</w:t>
      </w:r>
      <w:r w:rsidR="0056270F">
        <w:rPr>
          <w:rFonts w:ascii="Arial" w:hAnsi="Arial" w:cs="Arial"/>
          <w:sz w:val="24"/>
          <w:szCs w:val="24"/>
        </w:rPr>
        <w:t xml:space="preserve"> provide that the Commission, in ruling upon applications to intervene in its proceedings, shall consider the following criteria: </w:t>
      </w:r>
    </w:p>
    <w:p w14:paraId="08626896" w14:textId="23E95F4B" w:rsidR="00474257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The nature and extent of the prospective intervener’s interest; 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development and equitable resolution of the factual issues.</w:t>
      </w:r>
    </w:p>
    <w:p w14:paraId="7176D2EA" w14:textId="3F200C70" w:rsidR="00B92A76" w:rsidRPr="00474257" w:rsidRDefault="0056270F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IGS has a substantial interest in </w:t>
      </w:r>
      <w:r w:rsidR="00357C8B">
        <w:rPr>
          <w:rFonts w:ascii="Arial" w:eastAsia="Calibri" w:hAnsi="Arial" w:cs="Arial"/>
          <w:sz w:val="24"/>
          <w:szCs w:val="24"/>
        </w:rPr>
        <w:t xml:space="preserve">the resolution of this proceeding, which pertains to the </w:t>
      </w:r>
      <w:r w:rsidR="001502B7">
        <w:rPr>
          <w:rFonts w:ascii="Arial" w:eastAsia="Calibri" w:hAnsi="Arial" w:cs="Arial"/>
          <w:sz w:val="24"/>
          <w:szCs w:val="24"/>
        </w:rPr>
        <w:t>expansion of smart meter</w:t>
      </w:r>
      <w:r w:rsidR="00357C8B">
        <w:rPr>
          <w:rFonts w:ascii="Arial" w:eastAsia="Calibri" w:hAnsi="Arial" w:cs="Arial"/>
          <w:sz w:val="24"/>
          <w:szCs w:val="24"/>
        </w:rPr>
        <w:t xml:space="preserve"> technology deployment</w:t>
      </w:r>
      <w:r w:rsidR="00337E86">
        <w:rPr>
          <w:rFonts w:ascii="Arial" w:eastAsia="Calibri" w:hAnsi="Arial" w:cs="Arial"/>
          <w:sz w:val="24"/>
          <w:szCs w:val="24"/>
        </w:rPr>
        <w:t xml:space="preserve"> and access to interval data</w:t>
      </w:r>
      <w:r w:rsidR="000933A1">
        <w:rPr>
          <w:rFonts w:ascii="Arial" w:eastAsia="Calibri" w:hAnsi="Arial" w:cs="Arial"/>
          <w:sz w:val="24"/>
          <w:szCs w:val="24"/>
        </w:rPr>
        <w:t xml:space="preserve"> in Ohio Power</w:t>
      </w:r>
      <w:r w:rsidR="00357C8B">
        <w:rPr>
          <w:rFonts w:ascii="Arial" w:eastAsia="Calibri" w:hAnsi="Arial" w:cs="Arial"/>
          <w:sz w:val="24"/>
          <w:szCs w:val="24"/>
        </w:rPr>
        <w:t>’s service territory</w:t>
      </w:r>
      <w:r w:rsidR="001144C4">
        <w:rPr>
          <w:rFonts w:ascii="Arial" w:eastAsia="Calibri" w:hAnsi="Arial" w:cs="Arial"/>
          <w:sz w:val="24"/>
          <w:szCs w:val="24"/>
        </w:rPr>
        <w:t>.</w:t>
      </w:r>
      <w:r w:rsidR="009D5434">
        <w:rPr>
          <w:rFonts w:ascii="Arial" w:eastAsia="Calibri" w:hAnsi="Arial" w:cs="Arial"/>
          <w:sz w:val="24"/>
          <w:szCs w:val="24"/>
        </w:rPr>
        <w:t xml:space="preserve"> </w:t>
      </w:r>
      <w:r w:rsidR="00357C8B">
        <w:rPr>
          <w:rFonts w:ascii="Arial" w:eastAsia="Calibri" w:hAnsi="Arial" w:cs="Arial"/>
          <w:sz w:val="24"/>
          <w:szCs w:val="24"/>
        </w:rPr>
        <w:t xml:space="preserve"> </w:t>
      </w:r>
      <w:r w:rsidR="00DE4973">
        <w:rPr>
          <w:rFonts w:ascii="Arial" w:hAnsi="Arial" w:cs="Arial"/>
          <w:sz w:val="24"/>
          <w:szCs w:val="24"/>
        </w:rPr>
        <w:t>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intervention will not unduly delay</w:t>
      </w:r>
      <w:r w:rsidR="000258F0">
        <w:rPr>
          <w:rFonts w:ascii="Arial" w:hAnsi="Arial" w:cs="Arial"/>
          <w:sz w:val="24"/>
          <w:szCs w:val="24"/>
        </w:rPr>
        <w:t xml:space="preserve"> this</w:t>
      </w:r>
      <w:r w:rsidR="00DE4973">
        <w:rPr>
          <w:rFonts w:ascii="Arial" w:hAnsi="Arial" w:cs="Arial"/>
          <w:sz w:val="24"/>
          <w:szCs w:val="24"/>
        </w:rPr>
        <w:t xml:space="preserve"> proceed</w:t>
      </w:r>
      <w:r w:rsidR="000258F0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>.  Further, IGS i</w:t>
      </w:r>
      <w:r w:rsidR="001144C4">
        <w:rPr>
          <w:rFonts w:ascii="Arial" w:hAnsi="Arial" w:cs="Arial"/>
          <w:sz w:val="24"/>
          <w:szCs w:val="24"/>
        </w:rPr>
        <w:t>s so situated that without IGS’s</w:t>
      </w:r>
      <w:r>
        <w:rPr>
          <w:rFonts w:ascii="Arial" w:hAnsi="Arial" w:cs="Arial"/>
          <w:sz w:val="24"/>
          <w:szCs w:val="24"/>
        </w:rPr>
        <w:t xml:space="preserve"> ability to fully parti</w:t>
      </w:r>
      <w:r w:rsidR="00357C8B">
        <w:rPr>
          <w:rFonts w:ascii="Arial" w:hAnsi="Arial" w:cs="Arial"/>
          <w:sz w:val="24"/>
          <w:szCs w:val="24"/>
        </w:rPr>
        <w:t>cipate in this proceeding</w:t>
      </w:r>
      <w:r w:rsidR="00DE4973">
        <w:rPr>
          <w:rFonts w:ascii="Arial" w:hAnsi="Arial" w:cs="Arial"/>
          <w:sz w:val="24"/>
          <w:szCs w:val="24"/>
        </w:rPr>
        <w:t>, its</w:t>
      </w:r>
      <w:r>
        <w:rPr>
          <w:rFonts w:ascii="Arial" w:hAnsi="Arial" w:cs="Arial"/>
          <w:sz w:val="24"/>
          <w:szCs w:val="24"/>
        </w:rPr>
        <w:t xml:space="preserve"> substantial interest will be prejudic</w:t>
      </w:r>
      <w:r w:rsidR="00DE4973">
        <w:rPr>
          <w:rFonts w:ascii="Arial" w:hAnsi="Arial" w:cs="Arial"/>
          <w:sz w:val="24"/>
          <w:szCs w:val="24"/>
        </w:rPr>
        <w:t>e</w:t>
      </w:r>
      <w:r w:rsidR="00357C8B">
        <w:rPr>
          <w:rFonts w:ascii="Arial" w:hAnsi="Arial" w:cs="Arial"/>
          <w:sz w:val="24"/>
          <w:szCs w:val="24"/>
        </w:rPr>
        <w:t>d. Others participating in this</w:t>
      </w:r>
      <w:r>
        <w:rPr>
          <w:rFonts w:ascii="Arial" w:hAnsi="Arial" w:cs="Arial"/>
          <w:sz w:val="24"/>
          <w:szCs w:val="24"/>
        </w:rPr>
        <w:t xml:space="preserve"> p</w:t>
      </w:r>
      <w:r w:rsidR="00357C8B">
        <w:rPr>
          <w:rFonts w:ascii="Arial" w:hAnsi="Arial" w:cs="Arial"/>
          <w:sz w:val="24"/>
          <w:szCs w:val="24"/>
        </w:rPr>
        <w:t>roceeding</w:t>
      </w:r>
      <w:r w:rsidR="00DE4973">
        <w:rPr>
          <w:rFonts w:ascii="Arial" w:hAnsi="Arial" w:cs="Arial"/>
          <w:sz w:val="24"/>
          <w:szCs w:val="24"/>
        </w:rPr>
        <w:t xml:space="preserve"> do not represent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interests.  Inasmuch as others partic</w:t>
      </w:r>
      <w:r w:rsidR="00357C8B">
        <w:rPr>
          <w:rFonts w:ascii="Arial" w:hAnsi="Arial" w:cs="Arial"/>
          <w:sz w:val="24"/>
          <w:szCs w:val="24"/>
        </w:rPr>
        <w:t>ipating in this</w:t>
      </w:r>
      <w:r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 xml:space="preserve"> cannot adequately protect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interests, it would be inappropriate to determi</w:t>
      </w:r>
      <w:r w:rsidR="00357C8B">
        <w:rPr>
          <w:rFonts w:ascii="Arial" w:hAnsi="Arial" w:cs="Arial"/>
          <w:sz w:val="24"/>
          <w:szCs w:val="24"/>
        </w:rPr>
        <w:t>ne this proceeding</w:t>
      </w:r>
      <w:r w:rsidR="00DE4973">
        <w:rPr>
          <w:rFonts w:ascii="Arial" w:hAnsi="Arial" w:cs="Arial"/>
          <w:sz w:val="24"/>
          <w:szCs w:val="24"/>
        </w:rPr>
        <w:t xml:space="preserve"> without IGS’</w:t>
      </w:r>
      <w:r w:rsidR="001144C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participation. </w:t>
      </w:r>
    </w:p>
    <w:p w14:paraId="7176D2F4" w14:textId="12151799" w:rsidR="00545F29" w:rsidRPr="00AA75B4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92A76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B92A76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357C8B">
        <w:rPr>
          <w:rFonts w:ascii="Arial" w:hAnsi="Arial" w:cs="Arial"/>
          <w:sz w:val="24"/>
          <w:szCs w:val="24"/>
        </w:rPr>
        <w:t>intervention in this</w:t>
      </w:r>
      <w:r w:rsidR="00A71E20">
        <w:rPr>
          <w:rFonts w:ascii="Arial" w:hAnsi="Arial" w:cs="Arial"/>
          <w:sz w:val="24"/>
          <w:szCs w:val="24"/>
        </w:rPr>
        <w:t xml:space="preserve"> </w:t>
      </w:r>
      <w:r w:rsidR="00A71E20">
        <w:rPr>
          <w:rFonts w:ascii="Arial" w:hAnsi="Arial" w:cs="Arial"/>
          <w:sz w:val="24"/>
          <w:szCs w:val="24"/>
        </w:rPr>
        <w:lastRenderedPageBreak/>
        <w:t>proceeding</w:t>
      </w:r>
      <w:r w:rsidR="00DE4973">
        <w:rPr>
          <w:rFonts w:ascii="Arial" w:hAnsi="Arial" w:cs="Arial"/>
          <w:sz w:val="24"/>
          <w:szCs w:val="24"/>
        </w:rPr>
        <w:t>.</w:t>
      </w:r>
    </w:p>
    <w:p w14:paraId="7176D2F5" w14:textId="77777777" w:rsidR="00545F29" w:rsidRDefault="0056270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6" w14:textId="77777777" w:rsidR="00545F29" w:rsidRDefault="00545F2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FB" w14:textId="35F65A8F" w:rsidR="00F10F9B" w:rsidRPr="00D223D6" w:rsidRDefault="00F10F9B" w:rsidP="00F10F9B">
      <w:pPr>
        <w:spacing w:after="0" w:line="240" w:lineRule="auto"/>
        <w:ind w:left="5040"/>
        <w:rPr>
          <w:rFonts w:ascii="Arial" w:eastAsia="Calibri" w:hAnsi="Arial" w:cs="Arial"/>
          <w:b/>
          <w:sz w:val="24"/>
          <w:szCs w:val="24"/>
          <w:u w:val="single"/>
        </w:rPr>
      </w:pPr>
      <w:r w:rsidRPr="00D223D6">
        <w:rPr>
          <w:rFonts w:ascii="Arial" w:eastAsia="Arial" w:hAnsi="Arial" w:cs="Arial"/>
          <w:b/>
          <w:i/>
          <w:sz w:val="24"/>
          <w:szCs w:val="24"/>
          <w:u w:val="single"/>
        </w:rPr>
        <w:t xml:space="preserve">/s/ </w:t>
      </w:r>
      <w:r w:rsidR="00A71E20" w:rsidRPr="00D223D6">
        <w:rPr>
          <w:rFonts w:ascii="Arial" w:eastAsia="Arial" w:hAnsi="Arial" w:cs="Arial"/>
          <w:b/>
          <w:i/>
          <w:sz w:val="24"/>
          <w:szCs w:val="24"/>
          <w:u w:val="single"/>
        </w:rPr>
        <w:t>Joseph Oliker</w:t>
      </w:r>
      <w:r w:rsidR="00237730" w:rsidRPr="00D223D6">
        <w:rPr>
          <w:rFonts w:ascii="Arial" w:eastAsia="Arial" w:hAnsi="Arial" w:cs="Arial"/>
          <w:b/>
          <w:i/>
          <w:sz w:val="24"/>
          <w:szCs w:val="24"/>
          <w:u w:val="single"/>
        </w:rPr>
        <w:t>_________</w:t>
      </w:r>
    </w:p>
    <w:p w14:paraId="2109B4F2" w14:textId="0C6F60A3" w:rsidR="007B3399" w:rsidRDefault="00A71E20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(0086088)</w:t>
      </w:r>
    </w:p>
    <w:p w14:paraId="012A9F05" w14:textId="27C64B02" w:rsidR="00A71E20" w:rsidRDefault="00A71E2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3099F40D" w14:textId="31E86094" w:rsidR="0058767D" w:rsidRDefault="0058767D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58767D">
        <w:rPr>
          <w:rFonts w:ascii="Arial" w:hAnsi="Arial" w:cs="Arial"/>
          <w:sz w:val="24"/>
          <w:szCs w:val="24"/>
        </w:rPr>
        <w:t>joliker@igsenergy.com</w:t>
      </w:r>
    </w:p>
    <w:p w14:paraId="7176D301" w14:textId="1C20233B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302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303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304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305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306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308" w14:textId="78B26A1B" w:rsidR="00545F29" w:rsidRPr="00237730" w:rsidRDefault="00155B5A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56270F">
        <w:rPr>
          <w:rFonts w:ascii="Arial" w:hAnsi="Arial" w:cs="Arial"/>
          <w:b/>
          <w:i/>
          <w:sz w:val="24"/>
          <w:szCs w:val="24"/>
        </w:rPr>
        <w:t xml:space="preserve"> for </w:t>
      </w:r>
      <w:r w:rsidR="00237730">
        <w:rPr>
          <w:rFonts w:ascii="Arial" w:hAnsi="Arial" w:cs="Arial"/>
          <w:b/>
          <w:i/>
          <w:sz w:val="24"/>
          <w:szCs w:val="24"/>
        </w:rPr>
        <w:t>IGS Energy</w:t>
      </w:r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3AB709A1" w:rsidR="00545F29" w:rsidRPr="009D71F6" w:rsidRDefault="0056270F" w:rsidP="00D223D6">
      <w:pPr>
        <w:spacing w:after="0" w:line="48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Pr="009D71F6">
        <w:rPr>
          <w:rFonts w:ascii="Arial" w:eastAsia="Calibri" w:hAnsi="Arial" w:cs="Arial"/>
          <w:i/>
          <w:sz w:val="24"/>
          <w:szCs w:val="24"/>
        </w:rPr>
        <w:t>Motion to Intervene and Memorandum in Support</w:t>
      </w:r>
      <w:r w:rsidR="00AA75B4">
        <w:rPr>
          <w:rFonts w:ascii="Arial" w:eastAsia="Calibri" w:hAnsi="Arial" w:cs="Arial"/>
          <w:i/>
          <w:sz w:val="24"/>
          <w:szCs w:val="24"/>
        </w:rPr>
        <w:t xml:space="preserve"> of IGS Energy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0933A1">
        <w:rPr>
          <w:rFonts w:ascii="Arial" w:eastAsia="Calibri" w:hAnsi="Arial" w:cs="Arial"/>
          <w:sz w:val="24"/>
          <w:szCs w:val="24"/>
        </w:rPr>
        <w:t>5</w:t>
      </w:r>
      <w:r w:rsidR="00474257">
        <w:rPr>
          <w:rFonts w:ascii="Arial" w:eastAsia="Calibri" w:hAnsi="Arial" w:cs="Arial"/>
          <w:sz w:val="24"/>
          <w:szCs w:val="24"/>
        </w:rPr>
        <w:t>t</w:t>
      </w:r>
      <w:r w:rsidR="00237730">
        <w:rPr>
          <w:rFonts w:ascii="Arial" w:eastAsia="Calibri" w:hAnsi="Arial" w:cs="Arial"/>
          <w:sz w:val="24"/>
          <w:szCs w:val="24"/>
        </w:rPr>
        <w:t>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0933A1">
        <w:rPr>
          <w:rFonts w:ascii="Arial" w:eastAsia="Calibri" w:hAnsi="Arial" w:cs="Arial"/>
          <w:sz w:val="24"/>
          <w:szCs w:val="24"/>
        </w:rPr>
        <w:t>March 2015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176D30D" w14:textId="77777777" w:rsidR="00545F29" w:rsidRPr="009D71F6" w:rsidRDefault="00545F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76D30E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0F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10" w14:textId="46FCE781" w:rsidR="009D71F6" w:rsidRPr="009D71F6" w:rsidRDefault="009D71F6" w:rsidP="00237730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D71F6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237730">
        <w:rPr>
          <w:rFonts w:ascii="Arial" w:eastAsia="Arial" w:hAnsi="Arial" w:cs="Arial"/>
          <w:i/>
          <w:sz w:val="24"/>
          <w:szCs w:val="24"/>
          <w:u w:val="single"/>
        </w:rPr>
        <w:t>Joseph Oliker_______</w:t>
      </w:r>
    </w:p>
    <w:p w14:paraId="7176D311" w14:textId="5306D116" w:rsidR="00FE2DE0" w:rsidRPr="009D71F6" w:rsidRDefault="00237730" w:rsidP="00237730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6FCF01CA" w14:textId="77777777" w:rsidR="00B270B3" w:rsidRPr="00BB03FA" w:rsidRDefault="00B270B3" w:rsidP="00B270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70B3" w:rsidRPr="00BB03FA" w14:paraId="498F860B" w14:textId="77777777" w:rsidTr="00B270B3">
        <w:tc>
          <w:tcPr>
            <w:tcW w:w="4788" w:type="dxa"/>
          </w:tcPr>
          <w:p w14:paraId="29D68643" w14:textId="77777777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Steven T. Nourse</w:t>
            </w:r>
          </w:p>
          <w:p w14:paraId="25E971F6" w14:textId="77777777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American Electric Power Service</w:t>
            </w:r>
          </w:p>
          <w:p w14:paraId="07C5B7FF" w14:textId="77777777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Corporation</w:t>
            </w:r>
          </w:p>
          <w:p w14:paraId="47306C01" w14:textId="77777777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1 Riverside Plaza, 29th Floor</w:t>
            </w:r>
          </w:p>
          <w:p w14:paraId="27AC4F50" w14:textId="77777777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Columbus, Ohio 43215</w:t>
            </w:r>
          </w:p>
          <w:p w14:paraId="0372EC53" w14:textId="41718162" w:rsidR="000933A1" w:rsidRP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stnourse@aep.com</w:t>
            </w:r>
          </w:p>
          <w:p w14:paraId="3A7D658B" w14:textId="77777777" w:rsidR="000933A1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9736B" w14:textId="6AE0E851" w:rsidR="00B270B3" w:rsidRPr="00BB03FA" w:rsidRDefault="000933A1" w:rsidP="000933A1">
            <w:pPr>
              <w:rPr>
                <w:rFonts w:ascii="Arial" w:hAnsi="Arial" w:cs="Arial"/>
                <w:sz w:val="24"/>
                <w:szCs w:val="24"/>
              </w:rPr>
            </w:pPr>
            <w:r w:rsidRPr="000933A1">
              <w:rPr>
                <w:rFonts w:ascii="Arial" w:hAnsi="Arial" w:cs="Arial"/>
                <w:sz w:val="24"/>
                <w:szCs w:val="24"/>
              </w:rPr>
              <w:t>Counsel for Ohio Power Company</w:t>
            </w:r>
          </w:p>
        </w:tc>
        <w:tc>
          <w:tcPr>
            <w:tcW w:w="4788" w:type="dxa"/>
          </w:tcPr>
          <w:p w14:paraId="0AFAB224" w14:textId="4C618CCA" w:rsidR="00474257" w:rsidRDefault="007816CB" w:rsidP="00B270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William Wright</w:t>
            </w:r>
          </w:p>
          <w:p w14:paraId="04EDFAC1" w14:textId="1E637FEC" w:rsidR="007816CB" w:rsidRDefault="007816CB" w:rsidP="00B270B3">
            <w:pPr>
              <w:rPr>
                <w:rFonts w:ascii="Arial" w:hAnsi="Arial" w:cs="Arial"/>
                <w:sz w:val="24"/>
                <w:szCs w:val="24"/>
              </w:rPr>
            </w:pPr>
            <w:r w:rsidRPr="007816CB">
              <w:rPr>
                <w:rFonts w:ascii="Arial" w:hAnsi="Arial" w:cs="Arial"/>
                <w:sz w:val="24"/>
                <w:szCs w:val="24"/>
              </w:rPr>
              <w:t>Chief, Public Utilities Section</w:t>
            </w:r>
          </w:p>
          <w:p w14:paraId="22906E9A" w14:textId="77777777" w:rsidR="007816CB" w:rsidRPr="007816CB" w:rsidRDefault="007816CB" w:rsidP="007816CB">
            <w:pPr>
              <w:rPr>
                <w:rFonts w:ascii="Arial" w:hAnsi="Arial" w:cs="Arial"/>
                <w:sz w:val="24"/>
                <w:szCs w:val="24"/>
              </w:rPr>
            </w:pPr>
            <w:r w:rsidRPr="007816CB">
              <w:rPr>
                <w:rFonts w:ascii="Arial" w:hAnsi="Arial" w:cs="Arial"/>
                <w:sz w:val="24"/>
                <w:szCs w:val="24"/>
              </w:rPr>
              <w:t>Public Utilities Section</w:t>
            </w:r>
          </w:p>
          <w:p w14:paraId="19EFD939" w14:textId="77777777" w:rsidR="007816CB" w:rsidRPr="007816CB" w:rsidRDefault="007816CB" w:rsidP="007816CB">
            <w:pPr>
              <w:rPr>
                <w:rFonts w:ascii="Arial" w:hAnsi="Arial" w:cs="Arial"/>
                <w:sz w:val="24"/>
                <w:szCs w:val="24"/>
              </w:rPr>
            </w:pPr>
            <w:r w:rsidRPr="007816CB">
              <w:rPr>
                <w:rFonts w:ascii="Arial" w:hAnsi="Arial" w:cs="Arial"/>
                <w:sz w:val="24"/>
                <w:szCs w:val="24"/>
              </w:rPr>
              <w:t>180 East Broad Street, 6th Floor</w:t>
            </w:r>
          </w:p>
          <w:p w14:paraId="3ECB8E12" w14:textId="56A9B309" w:rsidR="007816CB" w:rsidRPr="00BB03FA" w:rsidRDefault="00F611C0" w:rsidP="007816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Columbus, Ohio</w:t>
            </w:r>
            <w:r w:rsidR="007816CB" w:rsidRPr="007816CB">
              <w:rPr>
                <w:rFonts w:ascii="Arial" w:hAnsi="Arial" w:cs="Arial"/>
                <w:sz w:val="24"/>
                <w:szCs w:val="24"/>
              </w:rPr>
              <w:t xml:space="preserve"> 43215</w:t>
            </w:r>
          </w:p>
          <w:p w14:paraId="7188781B" w14:textId="77777777" w:rsidR="00B270B3" w:rsidRDefault="007816CB">
            <w:pPr>
              <w:rPr>
                <w:rFonts w:ascii="Arial" w:hAnsi="Arial" w:cs="Arial"/>
                <w:sz w:val="24"/>
                <w:szCs w:val="24"/>
              </w:rPr>
            </w:pPr>
            <w:r w:rsidRPr="007816CB">
              <w:rPr>
                <w:rFonts w:ascii="Arial" w:hAnsi="Arial" w:cs="Arial"/>
                <w:sz w:val="24"/>
                <w:szCs w:val="24"/>
              </w:rPr>
              <w:t>William.wright@puc.state.oh.us</w:t>
            </w:r>
          </w:p>
          <w:p w14:paraId="77AD5045" w14:textId="77777777" w:rsidR="007816CB" w:rsidRDefault="007816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D91CE" w14:textId="4EED71E8" w:rsidR="000933A1" w:rsidRPr="00BB03FA" w:rsidRDefault="000933A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Counsel for Staff of the Public Utilities Commission of Ohio</w:t>
            </w:r>
          </w:p>
        </w:tc>
      </w:tr>
    </w:tbl>
    <w:p w14:paraId="7176D312" w14:textId="38B97BB5" w:rsidR="00545F29" w:rsidRPr="003A51CC" w:rsidRDefault="00545F2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5F29" w:rsidRPr="003A51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E232C" w14:textId="77777777" w:rsidR="00BE69CC" w:rsidRDefault="00BE69CC">
      <w:pPr>
        <w:spacing w:after="0" w:line="240" w:lineRule="auto"/>
      </w:pPr>
      <w:r>
        <w:separator/>
      </w:r>
    </w:p>
  </w:endnote>
  <w:endnote w:type="continuationSeparator" w:id="0">
    <w:p w14:paraId="29E2A335" w14:textId="77777777" w:rsidR="00BE69CC" w:rsidRDefault="00B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8C93F" w14:textId="77777777" w:rsidR="00D223D6" w:rsidRDefault="00D22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090F7" w14:textId="77777777" w:rsidR="00D223D6" w:rsidRDefault="00D22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6E1A" w14:textId="77777777" w:rsidR="00BE69CC" w:rsidRDefault="00BE69CC">
      <w:pPr>
        <w:spacing w:after="0" w:line="240" w:lineRule="auto"/>
      </w:pPr>
      <w:r>
        <w:separator/>
      </w:r>
    </w:p>
  </w:footnote>
  <w:footnote w:type="continuationSeparator" w:id="0">
    <w:p w14:paraId="26341012" w14:textId="77777777" w:rsidR="00BE69CC" w:rsidRDefault="00BE69CC">
      <w:pPr>
        <w:spacing w:after="0" w:line="240" w:lineRule="auto"/>
      </w:pPr>
      <w:r>
        <w:continuationSeparator/>
      </w:r>
    </w:p>
  </w:footnote>
  <w:footnote w:id="1">
    <w:p w14:paraId="7E5C1D35" w14:textId="7DC3A6B0" w:rsidR="00955F86" w:rsidRDefault="00955F86">
      <w:pPr>
        <w:pStyle w:val="FootnoteText"/>
        <w:rPr>
          <w:rFonts w:ascii="Arial" w:hAnsi="Arial" w:cs="Arial"/>
        </w:rPr>
      </w:pPr>
      <w:r w:rsidRPr="00955F86">
        <w:rPr>
          <w:rStyle w:val="FootnoteReference"/>
          <w:rFonts w:ascii="Arial" w:hAnsi="Arial" w:cs="Arial"/>
        </w:rPr>
        <w:footnoteRef/>
      </w:r>
      <w:r w:rsidRPr="00955F86">
        <w:rPr>
          <w:rFonts w:ascii="Arial" w:hAnsi="Arial" w:cs="Arial"/>
        </w:rPr>
        <w:t xml:space="preserve"> Rule 4901-1-11(A), OAC.</w:t>
      </w:r>
    </w:p>
    <w:p w14:paraId="4B89E7D3" w14:textId="77777777" w:rsidR="000933A1" w:rsidRPr="00955F86" w:rsidRDefault="000933A1">
      <w:pPr>
        <w:pStyle w:val="FootnoteText"/>
        <w:rPr>
          <w:rFonts w:ascii="Arial" w:hAnsi="Arial" w:cs="Arial"/>
        </w:rPr>
      </w:pPr>
    </w:p>
  </w:footnote>
  <w:footnote w:id="2">
    <w:p w14:paraId="7176D331" w14:textId="77777777" w:rsidR="0098338B" w:rsidRPr="00DE4973" w:rsidRDefault="0098338B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proofErr w:type="gramStart"/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</w:t>
      </w:r>
      <w:proofErr w:type="gramEnd"/>
      <w:r w:rsidRPr="00DE4973">
        <w:rPr>
          <w:rStyle w:val="apple-style-span"/>
          <w:rFonts w:ascii="Arial" w:hAnsi="Arial" w:cs="Arial"/>
          <w:i/>
          <w:iCs/>
          <w:color w:val="000000"/>
        </w:rPr>
        <w:t xml:space="preserve"> </w:t>
      </w:r>
      <w:proofErr w:type="gramStart"/>
      <w:r w:rsidRPr="00DE4973">
        <w:rPr>
          <w:rStyle w:val="apple-style-span"/>
          <w:rFonts w:ascii="Arial" w:hAnsi="Arial" w:cs="Arial"/>
          <w:i/>
          <w:iCs/>
          <w:color w:val="000000"/>
        </w:rPr>
        <w:t>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DE4973">
        <w:rPr>
          <w:rStyle w:val="apple-converted-space"/>
          <w:rFonts w:ascii="Arial" w:hAnsi="Arial" w:cs="Arial"/>
          <w:color w:val="000000"/>
        </w:rPr>
        <w:t>(</w:t>
      </w:r>
      <w:r w:rsidRPr="00DE4973">
        <w:rPr>
          <w:rStyle w:val="apple-converted-space"/>
          <w:rFonts w:ascii="Arial" w:hAnsi="Arial" w:cs="Arial"/>
        </w:rPr>
        <w:t xml:space="preserve">2006) </w:t>
      </w:r>
      <w:r w:rsidRPr="00DE4973">
        <w:rPr>
          <w:rStyle w:val="apple-style-span"/>
          <w:rFonts w:ascii="Arial" w:hAnsi="Arial" w:cs="Arial"/>
        </w:rPr>
        <w:t>111</w:t>
      </w:r>
      <w:bookmarkEnd w:id="1"/>
      <w:r w:rsidRPr="00DE4973">
        <w:rPr>
          <w:rStyle w:val="apple-converted-space"/>
          <w:rFonts w:ascii="Arial" w:hAnsi="Arial" w:cs="Arial"/>
        </w:rPr>
        <w:t> </w:t>
      </w:r>
      <w:bookmarkStart w:id="2" w:name="hit2"/>
      <w:r w:rsidRPr="00DE4973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DE4973">
        <w:rPr>
          <w:rStyle w:val="apple-style-span"/>
          <w:rFonts w:ascii="Arial" w:hAnsi="Arial" w:cs="Arial"/>
        </w:rPr>
        <w:t>St</w:t>
      </w:r>
      <w:bookmarkEnd w:id="3"/>
      <w:r w:rsidRPr="00DE4973">
        <w:rPr>
          <w:rStyle w:val="apple-style-span"/>
          <w:rFonts w:ascii="Arial" w:hAnsi="Arial" w:cs="Arial"/>
        </w:rPr>
        <w:t>.</w:t>
      </w:r>
      <w:bookmarkStart w:id="4" w:name="hit4"/>
      <w:r w:rsidRPr="00DE4973">
        <w:rPr>
          <w:rStyle w:val="apple-style-span"/>
          <w:rFonts w:ascii="Arial" w:hAnsi="Arial" w:cs="Arial"/>
        </w:rPr>
        <w:t>3d</w:t>
      </w:r>
      <w:bookmarkEnd w:id="4"/>
      <w:r w:rsidRPr="00DE4973">
        <w:rPr>
          <w:rStyle w:val="apple-converted-space"/>
          <w:rFonts w:ascii="Arial" w:hAnsi="Arial" w:cs="Arial"/>
        </w:rPr>
        <w:t> </w:t>
      </w:r>
      <w:bookmarkStart w:id="5" w:name="hit5"/>
      <w:r w:rsidRPr="00DE4973">
        <w:rPr>
          <w:rStyle w:val="apple-style-span"/>
          <w:rFonts w:ascii="Arial" w:hAnsi="Arial" w:cs="Arial"/>
        </w:rPr>
        <w:t>384</w:t>
      </w:r>
      <w:bookmarkEnd w:id="5"/>
      <w:r w:rsidRPr="00DE4973">
        <w:rPr>
          <w:rStyle w:val="apple-style-span"/>
          <w:rFonts w:ascii="Arial" w:hAnsi="Arial" w:cs="Arial"/>
        </w:rPr>
        <w:t>,</w:t>
      </w:r>
      <w:r w:rsidRPr="00DE4973">
        <w:rPr>
          <w:rStyle w:val="apple-converted-space"/>
          <w:rFonts w:ascii="Arial" w:hAnsi="Arial" w:cs="Arial"/>
        </w:rPr>
        <w:t> </w:t>
      </w:r>
      <w:r w:rsidRPr="00DE4973">
        <w:rPr>
          <w:rStyle w:val="apple-style-span"/>
          <w:rFonts w:ascii="Arial" w:hAnsi="Arial" w:cs="Arial"/>
        </w:rPr>
        <w:t>388.</w:t>
      </w:r>
      <w:proofErr w:type="gramEnd"/>
      <w:r w:rsidRPr="00DE497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5455" w14:textId="77777777" w:rsidR="00D223D6" w:rsidRDefault="00D22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C8FFF" w14:textId="77777777" w:rsidR="00D223D6" w:rsidRDefault="00D22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9"/>
    <w:rsid w:val="00004E6B"/>
    <w:rsid w:val="000258F0"/>
    <w:rsid w:val="00054020"/>
    <w:rsid w:val="00072993"/>
    <w:rsid w:val="000933A1"/>
    <w:rsid w:val="000A0F85"/>
    <w:rsid w:val="000B223F"/>
    <w:rsid w:val="000E7DA7"/>
    <w:rsid w:val="001144C4"/>
    <w:rsid w:val="00121836"/>
    <w:rsid w:val="001502B7"/>
    <w:rsid w:val="00155B5A"/>
    <w:rsid w:val="001F3F95"/>
    <w:rsid w:val="00214C99"/>
    <w:rsid w:val="00231B62"/>
    <w:rsid w:val="00237730"/>
    <w:rsid w:val="002547B7"/>
    <w:rsid w:val="0026046D"/>
    <w:rsid w:val="002E7401"/>
    <w:rsid w:val="002F05DC"/>
    <w:rsid w:val="00337E86"/>
    <w:rsid w:val="00355B90"/>
    <w:rsid w:val="00357C8B"/>
    <w:rsid w:val="003A51CC"/>
    <w:rsid w:val="003A75AB"/>
    <w:rsid w:val="003D01DA"/>
    <w:rsid w:val="00413918"/>
    <w:rsid w:val="00457C5D"/>
    <w:rsid w:val="00465A9F"/>
    <w:rsid w:val="00474257"/>
    <w:rsid w:val="00483963"/>
    <w:rsid w:val="00492AD6"/>
    <w:rsid w:val="004A6C5B"/>
    <w:rsid w:val="004D04A6"/>
    <w:rsid w:val="00545F29"/>
    <w:rsid w:val="00553D21"/>
    <w:rsid w:val="0056270F"/>
    <w:rsid w:val="0058767D"/>
    <w:rsid w:val="005B37CC"/>
    <w:rsid w:val="005B63F0"/>
    <w:rsid w:val="00613140"/>
    <w:rsid w:val="006B49E9"/>
    <w:rsid w:val="006D2239"/>
    <w:rsid w:val="006E6F71"/>
    <w:rsid w:val="007816CB"/>
    <w:rsid w:val="007A3068"/>
    <w:rsid w:val="007B3399"/>
    <w:rsid w:val="007D2210"/>
    <w:rsid w:val="00813BFB"/>
    <w:rsid w:val="0082224E"/>
    <w:rsid w:val="0082422E"/>
    <w:rsid w:val="008819F5"/>
    <w:rsid w:val="00894ED9"/>
    <w:rsid w:val="00955F86"/>
    <w:rsid w:val="00972956"/>
    <w:rsid w:val="00976CF5"/>
    <w:rsid w:val="0098338B"/>
    <w:rsid w:val="0098755F"/>
    <w:rsid w:val="009B1592"/>
    <w:rsid w:val="009D5434"/>
    <w:rsid w:val="009D6C8B"/>
    <w:rsid w:val="009D71F6"/>
    <w:rsid w:val="009F4632"/>
    <w:rsid w:val="009F6674"/>
    <w:rsid w:val="00A71E20"/>
    <w:rsid w:val="00A74926"/>
    <w:rsid w:val="00A86A19"/>
    <w:rsid w:val="00A940AD"/>
    <w:rsid w:val="00AA75B4"/>
    <w:rsid w:val="00AD5E1E"/>
    <w:rsid w:val="00B03255"/>
    <w:rsid w:val="00B270B3"/>
    <w:rsid w:val="00B92A76"/>
    <w:rsid w:val="00BB03FA"/>
    <w:rsid w:val="00BE69CC"/>
    <w:rsid w:val="00C20F96"/>
    <w:rsid w:val="00C73923"/>
    <w:rsid w:val="00C84BD1"/>
    <w:rsid w:val="00D13280"/>
    <w:rsid w:val="00D223D6"/>
    <w:rsid w:val="00D35EFF"/>
    <w:rsid w:val="00D45B9F"/>
    <w:rsid w:val="00D57E21"/>
    <w:rsid w:val="00DE4973"/>
    <w:rsid w:val="00DF0186"/>
    <w:rsid w:val="00E45E23"/>
    <w:rsid w:val="00EA0C60"/>
    <w:rsid w:val="00EB67DF"/>
    <w:rsid w:val="00F10F9B"/>
    <w:rsid w:val="00F111C7"/>
    <w:rsid w:val="00F5720A"/>
    <w:rsid w:val="00F611C0"/>
    <w:rsid w:val="00FA4A29"/>
    <w:rsid w:val="00FE07B6"/>
    <w:rsid w:val="00FE2DE0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DE7C-8D63-49F9-B8D6-54760974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931</Words>
  <Characters>5924</Characters>
  <Application>Microsoft Office Word</Application>
  <DocSecurity>0</DocSecurity>
  <Lines>423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2015-02-16T20:19:00Z</dcterms:created>
  <dcterms:modified xsi:type="dcterms:W3CDTF">2015-03-05T21:44:00Z</dcterms:modified>
</cp:coreProperties>
</file>