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5F" w:rsidRDefault="000556C6">
      <w:pPr>
        <w:pStyle w:val="Title"/>
        <w:rPr>
          <w:sz w:val="28"/>
        </w:rPr>
      </w:pPr>
      <w:r>
        <w:rPr>
          <w:sz w:val="28"/>
        </w:rPr>
        <w:t>Before</w:t>
      </w:r>
    </w:p>
    <w:p w:rsidR="0024375F" w:rsidRDefault="000556C6">
      <w:pPr>
        <w:jc w:val="center"/>
        <w:rPr>
          <w:rFonts w:ascii="Arial" w:hAnsi="Arial" w:cs="Arial"/>
          <w:b/>
          <w:smallCaps/>
          <w:sz w:val="28"/>
        </w:rPr>
      </w:pPr>
      <w:r>
        <w:rPr>
          <w:rFonts w:ascii="Arial" w:hAnsi="Arial" w:cs="Arial"/>
          <w:b/>
          <w:smallCaps/>
          <w:sz w:val="28"/>
        </w:rPr>
        <w:t>The Public Utilities Commission of Ohio</w:t>
      </w:r>
    </w:p>
    <w:p w:rsidR="007C418A" w:rsidRPr="009400C8" w:rsidRDefault="007C418A" w:rsidP="007C418A">
      <w:pPr>
        <w:tabs>
          <w:tab w:val="left" w:pos="4680"/>
        </w:tabs>
        <w:spacing w:after="0" w:line="240" w:lineRule="auto"/>
        <w:rPr>
          <w:rFonts w:eastAsia="Times New Roman" w:cs="Times New Roman"/>
          <w:sz w:val="24"/>
          <w:szCs w:val="24"/>
        </w:rPr>
      </w:pPr>
      <w:r w:rsidRPr="009400C8">
        <w:rPr>
          <w:rFonts w:eastAsia="Times New Roman" w:cs="Times New Roman"/>
          <w:sz w:val="24"/>
          <w:szCs w:val="24"/>
        </w:rPr>
        <w:t xml:space="preserve">In the Matter of the Application of </w:t>
      </w:r>
      <w:r w:rsidRPr="009400C8">
        <w:rPr>
          <w:rFonts w:eastAsia="Times New Roman" w:cs="Times New Roman"/>
          <w:sz w:val="24"/>
          <w:szCs w:val="24"/>
        </w:rPr>
        <w:tab/>
        <w:t>)</w:t>
      </w:r>
    </w:p>
    <w:p w:rsidR="007C418A" w:rsidRPr="009400C8" w:rsidRDefault="002B53AA" w:rsidP="007C418A">
      <w:pPr>
        <w:tabs>
          <w:tab w:val="left" w:pos="4680"/>
        </w:tabs>
        <w:spacing w:after="0" w:line="240" w:lineRule="auto"/>
        <w:rPr>
          <w:rFonts w:eastAsia="Times New Roman" w:cs="Times New Roman"/>
          <w:sz w:val="24"/>
          <w:szCs w:val="24"/>
        </w:rPr>
      </w:pPr>
      <w:r>
        <w:rPr>
          <w:rFonts w:eastAsia="Times New Roman" w:cs="Times New Roman"/>
          <w:sz w:val="24"/>
          <w:szCs w:val="24"/>
        </w:rPr>
        <w:t xml:space="preserve">Ohio Power Company to Establish a </w:t>
      </w:r>
      <w:r w:rsidR="00DD2C4B">
        <w:rPr>
          <w:rFonts w:eastAsia="Times New Roman" w:cs="Times New Roman"/>
          <w:sz w:val="24"/>
          <w:szCs w:val="24"/>
        </w:rPr>
        <w:tab/>
        <w:t>)</w:t>
      </w:r>
    </w:p>
    <w:p w:rsidR="007C418A" w:rsidRDefault="002B53AA" w:rsidP="007C418A">
      <w:pPr>
        <w:tabs>
          <w:tab w:val="left" w:pos="4680"/>
          <w:tab w:val="left" w:pos="5400"/>
        </w:tabs>
        <w:spacing w:after="0" w:line="240" w:lineRule="auto"/>
        <w:rPr>
          <w:rFonts w:eastAsia="Times New Roman" w:cs="Times New Roman"/>
          <w:sz w:val="24"/>
          <w:szCs w:val="24"/>
        </w:rPr>
      </w:pPr>
      <w:r>
        <w:rPr>
          <w:rFonts w:eastAsia="Times New Roman" w:cs="Times New Roman"/>
          <w:sz w:val="24"/>
          <w:szCs w:val="24"/>
        </w:rPr>
        <w:t>Competitive Bidding Process for</w:t>
      </w:r>
      <w:r w:rsidR="007C418A" w:rsidRPr="009400C8">
        <w:rPr>
          <w:rFonts w:eastAsia="Times New Roman" w:cs="Times New Roman"/>
          <w:sz w:val="24"/>
          <w:szCs w:val="24"/>
        </w:rPr>
        <w:tab/>
        <w:t>)</w:t>
      </w:r>
      <w:r>
        <w:rPr>
          <w:rFonts w:eastAsia="Times New Roman" w:cs="Times New Roman"/>
          <w:sz w:val="24"/>
          <w:szCs w:val="24"/>
        </w:rPr>
        <w:tab/>
        <w:t>Case No. 12-3254-EL-UNC</w:t>
      </w:r>
    </w:p>
    <w:p w:rsidR="002B53AA" w:rsidRDefault="002B53AA" w:rsidP="007C418A">
      <w:pPr>
        <w:tabs>
          <w:tab w:val="left" w:pos="4680"/>
          <w:tab w:val="left" w:pos="5400"/>
        </w:tabs>
        <w:spacing w:after="0" w:line="240" w:lineRule="auto"/>
        <w:rPr>
          <w:rFonts w:eastAsia="Times New Roman" w:cs="Times New Roman"/>
          <w:sz w:val="24"/>
          <w:szCs w:val="24"/>
        </w:rPr>
      </w:pPr>
      <w:r>
        <w:rPr>
          <w:rFonts w:eastAsia="Times New Roman" w:cs="Times New Roman"/>
          <w:sz w:val="24"/>
          <w:szCs w:val="24"/>
        </w:rPr>
        <w:t>Procurement of Energy to Support Its</w:t>
      </w:r>
      <w:r>
        <w:rPr>
          <w:rFonts w:eastAsia="Times New Roman" w:cs="Times New Roman"/>
          <w:sz w:val="24"/>
          <w:szCs w:val="24"/>
        </w:rPr>
        <w:tab/>
        <w:t>)</w:t>
      </w:r>
    </w:p>
    <w:p w:rsidR="002B53AA" w:rsidRPr="009400C8" w:rsidRDefault="002B53AA" w:rsidP="007C418A">
      <w:pPr>
        <w:tabs>
          <w:tab w:val="left" w:pos="4680"/>
          <w:tab w:val="left" w:pos="5400"/>
        </w:tabs>
        <w:spacing w:after="0" w:line="240" w:lineRule="auto"/>
        <w:rPr>
          <w:rFonts w:eastAsia="Times New Roman" w:cs="Times New Roman"/>
          <w:sz w:val="24"/>
          <w:szCs w:val="24"/>
        </w:rPr>
      </w:pPr>
      <w:r>
        <w:rPr>
          <w:rFonts w:eastAsia="Times New Roman" w:cs="Times New Roman"/>
          <w:sz w:val="24"/>
          <w:szCs w:val="24"/>
        </w:rPr>
        <w:t>Standard Service Offer</w:t>
      </w:r>
      <w:r w:rsidR="00DD2C4B">
        <w:rPr>
          <w:rFonts w:eastAsia="Times New Roman" w:cs="Times New Roman"/>
          <w:sz w:val="24"/>
          <w:szCs w:val="24"/>
        </w:rPr>
        <w:t>.</w:t>
      </w:r>
      <w:r>
        <w:rPr>
          <w:rFonts w:eastAsia="Times New Roman" w:cs="Times New Roman"/>
          <w:sz w:val="24"/>
          <w:szCs w:val="24"/>
        </w:rPr>
        <w:tab/>
        <w:t>)</w:t>
      </w:r>
    </w:p>
    <w:p w:rsidR="007C418A" w:rsidRPr="009400C8" w:rsidRDefault="007C418A" w:rsidP="007C418A">
      <w:pPr>
        <w:tabs>
          <w:tab w:val="left" w:pos="4680"/>
          <w:tab w:val="left" w:pos="5400"/>
        </w:tabs>
        <w:spacing w:after="0" w:line="240" w:lineRule="auto"/>
        <w:rPr>
          <w:rFonts w:eastAsia="Times New Roman" w:cs="Times New Roman"/>
          <w:sz w:val="24"/>
          <w:szCs w:val="24"/>
        </w:rPr>
      </w:pPr>
    </w:p>
    <w:p w:rsidR="0024375F" w:rsidRDefault="0024375F">
      <w:pPr>
        <w:suppressLineNumbers/>
        <w:pBdr>
          <w:top w:val="single" w:sz="18" w:space="1" w:color="auto"/>
        </w:pBdr>
        <w:tabs>
          <w:tab w:val="left" w:pos="-1080"/>
          <w:tab w:val="left" w:pos="-720"/>
          <w:tab w:val="left" w:pos="4680"/>
          <w:tab w:val="left" w:pos="5580"/>
          <w:tab w:val="left" w:pos="5940"/>
        </w:tabs>
        <w:spacing w:after="0" w:line="240" w:lineRule="auto"/>
        <w:jc w:val="center"/>
      </w:pPr>
    </w:p>
    <w:p w:rsidR="0024375F" w:rsidRDefault="000556C6">
      <w:pPr>
        <w:suppressLineNumbers/>
        <w:tabs>
          <w:tab w:val="left" w:pos="-1080"/>
          <w:tab w:val="left" w:pos="-720"/>
          <w:tab w:val="left" w:pos="4680"/>
          <w:tab w:val="left" w:pos="5580"/>
          <w:tab w:val="left" w:pos="5940"/>
        </w:tabs>
        <w:spacing w:after="0" w:line="240" w:lineRule="auto"/>
        <w:jc w:val="center"/>
        <w:rPr>
          <w:rFonts w:ascii="Arial" w:hAnsi="Arial" w:cs="Arial"/>
          <w:b/>
          <w:sz w:val="24"/>
          <w:szCs w:val="24"/>
        </w:rPr>
      </w:pPr>
      <w:r>
        <w:rPr>
          <w:rFonts w:ascii="Arial" w:hAnsi="Arial" w:cs="Arial"/>
          <w:b/>
          <w:sz w:val="24"/>
          <w:szCs w:val="24"/>
        </w:rPr>
        <w:t>DIRECT TESTIMONY OF KEVIN M. MURRAY</w:t>
      </w:r>
    </w:p>
    <w:p w:rsidR="0024375F" w:rsidRDefault="000556C6">
      <w:pPr>
        <w:suppressLineNumbers/>
        <w:spacing w:after="0" w:line="240" w:lineRule="auto"/>
        <w:jc w:val="center"/>
        <w:rPr>
          <w:rFonts w:ascii="Arial" w:hAnsi="Arial" w:cs="Arial"/>
          <w:b/>
          <w:caps/>
          <w:sz w:val="24"/>
          <w:szCs w:val="24"/>
        </w:rPr>
      </w:pPr>
      <w:r>
        <w:rPr>
          <w:rFonts w:ascii="Arial" w:hAnsi="Arial" w:cs="Arial"/>
          <w:b/>
          <w:sz w:val="24"/>
          <w:szCs w:val="24"/>
        </w:rPr>
        <w:t xml:space="preserve">ON BEHALF OF </w:t>
      </w:r>
      <w:r>
        <w:rPr>
          <w:rFonts w:ascii="Arial" w:hAnsi="Arial" w:cs="Arial"/>
          <w:b/>
          <w:caps/>
          <w:sz w:val="24"/>
          <w:szCs w:val="24"/>
        </w:rPr>
        <w:t>INDUSTRIAL ENERGY USERS-OHIO</w:t>
      </w:r>
    </w:p>
    <w:p w:rsidR="0024375F" w:rsidRDefault="0024375F">
      <w:pPr>
        <w:suppressLineNumbers/>
        <w:pBdr>
          <w:bottom w:val="single" w:sz="18" w:space="1" w:color="auto"/>
        </w:pBdr>
        <w:jc w:val="center"/>
        <w:rPr>
          <w:b/>
        </w:rPr>
      </w:pPr>
    </w:p>
    <w:p w:rsidR="0024375F" w:rsidRDefault="0024375F">
      <w:pPr>
        <w:suppressLineNumbers/>
        <w:tabs>
          <w:tab w:val="left" w:pos="-1080"/>
          <w:tab w:val="left" w:pos="-720"/>
          <w:tab w:val="left" w:pos="4680"/>
          <w:tab w:val="left" w:pos="5580"/>
          <w:tab w:val="left" w:pos="5940"/>
        </w:tabs>
        <w:spacing w:after="0" w:line="240" w:lineRule="auto"/>
        <w:jc w:val="both"/>
        <w:rPr>
          <w:b/>
          <w:bCs/>
        </w:rPr>
      </w:pPr>
    </w:p>
    <w:p w:rsidR="0024375F" w:rsidRDefault="0024375F">
      <w:pPr>
        <w:suppressLineNumbers/>
        <w:spacing w:after="0" w:line="240" w:lineRule="auto"/>
        <w:jc w:val="both"/>
      </w:pPr>
    </w:p>
    <w:p w:rsidR="009400C8" w:rsidRDefault="009400C8">
      <w:pPr>
        <w:suppressLineNumbers/>
        <w:spacing w:after="0" w:line="240" w:lineRule="auto"/>
        <w:jc w:val="both"/>
      </w:pPr>
    </w:p>
    <w:p w:rsidR="0024375F" w:rsidRDefault="0024375F">
      <w:pPr>
        <w:suppressLineNumbers/>
        <w:spacing w:after="0" w:line="240" w:lineRule="auto"/>
        <w:jc w:val="both"/>
      </w:pPr>
    </w:p>
    <w:p w:rsidR="009400C8" w:rsidRDefault="009400C8">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DD2C4B" w:rsidRDefault="00DD2C4B">
      <w:pPr>
        <w:suppressLineNumbers/>
        <w:spacing w:after="0" w:line="240" w:lineRule="auto"/>
        <w:jc w:val="both"/>
      </w:pPr>
    </w:p>
    <w:p w:rsidR="0024375F" w:rsidRPr="009400C8" w:rsidRDefault="000556C6">
      <w:pPr>
        <w:tabs>
          <w:tab w:val="left" w:pos="4320"/>
          <w:tab w:val="right" w:pos="8640"/>
        </w:tabs>
        <w:spacing w:after="0" w:line="240" w:lineRule="auto"/>
        <w:ind w:left="4320"/>
        <w:jc w:val="both"/>
        <w:rPr>
          <w:rFonts w:ascii="Arial" w:hAnsi="Arial" w:cs="Arial"/>
          <w:sz w:val="24"/>
          <w:szCs w:val="24"/>
        </w:rPr>
      </w:pPr>
      <w:r w:rsidRPr="009400C8">
        <w:rPr>
          <w:rFonts w:ascii="Arial" w:hAnsi="Arial" w:cs="Arial"/>
          <w:sz w:val="24"/>
          <w:szCs w:val="24"/>
        </w:rPr>
        <w:t>Samuel C. Randazzo (Counsel of Record)</w:t>
      </w:r>
    </w:p>
    <w:p w:rsidR="0024375F" w:rsidRPr="009400C8" w:rsidRDefault="000556C6">
      <w:pPr>
        <w:pStyle w:val="BodyText3"/>
        <w:widowControl w:val="0"/>
        <w:tabs>
          <w:tab w:val="left" w:pos="4320"/>
        </w:tabs>
        <w:spacing w:after="0"/>
        <w:ind w:left="4320"/>
        <w:jc w:val="both"/>
        <w:rPr>
          <w:rFonts w:cs="Arial"/>
          <w:b/>
          <w:bCs/>
          <w:sz w:val="24"/>
          <w:szCs w:val="24"/>
          <w:lang w:val="de-DE"/>
        </w:rPr>
      </w:pPr>
      <w:r w:rsidRPr="009400C8">
        <w:rPr>
          <w:rFonts w:cs="Arial"/>
          <w:bCs/>
          <w:sz w:val="24"/>
          <w:szCs w:val="24"/>
          <w:lang w:val="de-DE"/>
        </w:rPr>
        <w:t>Frank P. Darr</w:t>
      </w:r>
    </w:p>
    <w:p w:rsidR="0024375F" w:rsidRPr="009400C8" w:rsidRDefault="000556C6">
      <w:pPr>
        <w:pStyle w:val="BodyText3"/>
        <w:widowControl w:val="0"/>
        <w:tabs>
          <w:tab w:val="left" w:pos="4320"/>
        </w:tabs>
        <w:spacing w:after="0"/>
        <w:ind w:left="4320"/>
        <w:jc w:val="both"/>
        <w:rPr>
          <w:rFonts w:cs="Arial"/>
          <w:b/>
          <w:bCs/>
          <w:sz w:val="24"/>
          <w:szCs w:val="24"/>
          <w:lang w:val="de-DE"/>
        </w:rPr>
      </w:pPr>
      <w:r w:rsidRPr="009400C8">
        <w:rPr>
          <w:rFonts w:cs="Arial"/>
          <w:bCs/>
          <w:sz w:val="24"/>
          <w:szCs w:val="24"/>
          <w:lang w:val="de-DE"/>
        </w:rPr>
        <w:t>Joseph E. Oliker</w:t>
      </w:r>
    </w:p>
    <w:p w:rsidR="0024375F" w:rsidRPr="009400C8" w:rsidRDefault="000556C6">
      <w:pPr>
        <w:tabs>
          <w:tab w:val="left" w:pos="-1440"/>
          <w:tab w:val="left" w:pos="-720"/>
          <w:tab w:val="left" w:pos="4680"/>
          <w:tab w:val="left" w:pos="5040"/>
        </w:tabs>
        <w:spacing w:after="0" w:line="240" w:lineRule="auto"/>
        <w:ind w:firstLine="4320"/>
        <w:jc w:val="both"/>
        <w:rPr>
          <w:rFonts w:ascii="Arial" w:hAnsi="Arial" w:cs="Arial"/>
          <w:sz w:val="24"/>
          <w:szCs w:val="24"/>
        </w:rPr>
      </w:pPr>
      <w:r w:rsidRPr="009400C8">
        <w:rPr>
          <w:rFonts w:ascii="Arial" w:hAnsi="Arial" w:cs="Arial"/>
          <w:smallCaps/>
          <w:sz w:val="24"/>
          <w:szCs w:val="24"/>
        </w:rPr>
        <w:t>McNees Wallace &amp; Nurick LLC</w:t>
      </w:r>
    </w:p>
    <w:p w:rsidR="0024375F" w:rsidRPr="009400C8" w:rsidRDefault="000556C6">
      <w:pPr>
        <w:tabs>
          <w:tab w:val="left" w:pos="-1440"/>
          <w:tab w:val="left" w:pos="-720"/>
          <w:tab w:val="left" w:pos="4680"/>
          <w:tab w:val="left" w:pos="5040"/>
        </w:tabs>
        <w:spacing w:after="0" w:line="240" w:lineRule="auto"/>
        <w:ind w:firstLine="4320"/>
        <w:jc w:val="both"/>
        <w:rPr>
          <w:rFonts w:ascii="Arial" w:hAnsi="Arial" w:cs="Arial"/>
          <w:sz w:val="24"/>
          <w:szCs w:val="24"/>
        </w:rPr>
      </w:pPr>
      <w:r w:rsidRPr="009400C8">
        <w:rPr>
          <w:rFonts w:ascii="Arial" w:hAnsi="Arial" w:cs="Arial"/>
          <w:sz w:val="24"/>
          <w:szCs w:val="24"/>
        </w:rPr>
        <w:t>21 East State Street, 17</w:t>
      </w:r>
      <w:r w:rsidRPr="009400C8">
        <w:rPr>
          <w:rFonts w:ascii="Arial" w:hAnsi="Arial" w:cs="Arial"/>
          <w:sz w:val="24"/>
          <w:szCs w:val="24"/>
          <w:vertAlign w:val="superscript"/>
        </w:rPr>
        <w:t>th</w:t>
      </w:r>
      <w:r w:rsidRPr="009400C8">
        <w:rPr>
          <w:rFonts w:ascii="Arial" w:hAnsi="Arial" w:cs="Arial"/>
          <w:sz w:val="24"/>
          <w:szCs w:val="24"/>
        </w:rPr>
        <w:t xml:space="preserve"> Floor</w:t>
      </w:r>
    </w:p>
    <w:p w:rsidR="0024375F" w:rsidRPr="009400C8" w:rsidRDefault="000556C6">
      <w:pPr>
        <w:tabs>
          <w:tab w:val="left" w:pos="-1440"/>
          <w:tab w:val="left" w:pos="-720"/>
          <w:tab w:val="left" w:pos="4680"/>
          <w:tab w:val="left" w:pos="5040"/>
        </w:tabs>
        <w:spacing w:after="0" w:line="240" w:lineRule="auto"/>
        <w:ind w:firstLine="4320"/>
        <w:jc w:val="both"/>
        <w:rPr>
          <w:rFonts w:ascii="Arial" w:hAnsi="Arial" w:cs="Arial"/>
          <w:sz w:val="24"/>
          <w:szCs w:val="24"/>
        </w:rPr>
      </w:pPr>
      <w:r w:rsidRPr="009400C8">
        <w:rPr>
          <w:rFonts w:ascii="Arial" w:hAnsi="Arial" w:cs="Arial"/>
          <w:sz w:val="24"/>
          <w:szCs w:val="24"/>
        </w:rPr>
        <w:t>Columbus, OH  43215-4228</w:t>
      </w:r>
    </w:p>
    <w:p w:rsidR="0024375F" w:rsidRPr="009400C8" w:rsidRDefault="000556C6">
      <w:pPr>
        <w:tabs>
          <w:tab w:val="left" w:pos="-1440"/>
          <w:tab w:val="left" w:pos="-720"/>
          <w:tab w:val="left" w:pos="4680"/>
          <w:tab w:val="left" w:pos="5040"/>
        </w:tabs>
        <w:spacing w:after="0" w:line="240" w:lineRule="auto"/>
        <w:ind w:firstLine="4320"/>
        <w:jc w:val="both"/>
        <w:rPr>
          <w:rFonts w:ascii="Arial" w:hAnsi="Arial" w:cs="Arial"/>
          <w:sz w:val="24"/>
          <w:szCs w:val="24"/>
        </w:rPr>
      </w:pPr>
      <w:r w:rsidRPr="009400C8">
        <w:rPr>
          <w:rFonts w:ascii="Arial" w:hAnsi="Arial" w:cs="Arial"/>
          <w:sz w:val="24"/>
          <w:szCs w:val="24"/>
        </w:rPr>
        <w:t>Telephone:  (614) 469-8000</w:t>
      </w:r>
    </w:p>
    <w:p w:rsidR="0024375F" w:rsidRPr="009400C8" w:rsidRDefault="000556C6">
      <w:pPr>
        <w:tabs>
          <w:tab w:val="left" w:pos="-1440"/>
          <w:tab w:val="left" w:pos="-720"/>
          <w:tab w:val="left" w:pos="4680"/>
          <w:tab w:val="left" w:pos="5040"/>
        </w:tabs>
        <w:spacing w:after="0" w:line="240" w:lineRule="auto"/>
        <w:ind w:firstLine="4320"/>
        <w:jc w:val="both"/>
        <w:rPr>
          <w:rFonts w:ascii="Arial" w:hAnsi="Arial" w:cs="Arial"/>
          <w:sz w:val="24"/>
          <w:szCs w:val="24"/>
        </w:rPr>
      </w:pPr>
      <w:r w:rsidRPr="009400C8">
        <w:rPr>
          <w:rFonts w:ascii="Arial" w:hAnsi="Arial" w:cs="Arial"/>
          <w:sz w:val="24"/>
          <w:szCs w:val="24"/>
        </w:rPr>
        <w:t>Telecopier:  (614) 469-4653</w:t>
      </w:r>
    </w:p>
    <w:p w:rsidR="0024375F" w:rsidRPr="009400C8" w:rsidRDefault="000556C6">
      <w:pPr>
        <w:pStyle w:val="BodyText"/>
        <w:ind w:left="4320"/>
      </w:pPr>
      <w:r w:rsidRPr="009400C8">
        <w:t>sam@mwncmh.com</w:t>
      </w:r>
    </w:p>
    <w:p w:rsidR="0024375F" w:rsidRPr="009400C8" w:rsidRDefault="000556C6">
      <w:pPr>
        <w:pStyle w:val="BodyText"/>
        <w:ind w:left="4320"/>
      </w:pPr>
      <w:r w:rsidRPr="009400C8">
        <w:t>fdarr@mwncmh.com</w:t>
      </w:r>
    </w:p>
    <w:p w:rsidR="0024375F" w:rsidRPr="009400C8" w:rsidRDefault="000556C6">
      <w:pPr>
        <w:pStyle w:val="BodyText"/>
        <w:ind w:left="4320"/>
      </w:pPr>
      <w:r w:rsidRPr="009400C8">
        <w:t>joliker@mwncmh.com</w:t>
      </w:r>
    </w:p>
    <w:p w:rsidR="0024375F" w:rsidRDefault="0024375F">
      <w:pPr>
        <w:tabs>
          <w:tab w:val="left" w:pos="-1440"/>
          <w:tab w:val="left" w:pos="-720"/>
          <w:tab w:val="left" w:pos="4320"/>
        </w:tabs>
        <w:spacing w:after="0" w:line="240" w:lineRule="auto"/>
        <w:ind w:left="4320" w:hanging="4320"/>
        <w:jc w:val="both"/>
        <w:rPr>
          <w:rFonts w:ascii="Arial" w:hAnsi="Arial" w:cs="Arial"/>
          <w:b/>
        </w:rPr>
      </w:pPr>
    </w:p>
    <w:p w:rsidR="00DD2C4B" w:rsidRDefault="002B53AA" w:rsidP="002B53AA">
      <w:pPr>
        <w:tabs>
          <w:tab w:val="left" w:pos="-1440"/>
          <w:tab w:val="left" w:pos="-720"/>
          <w:tab w:val="left" w:pos="4320"/>
        </w:tabs>
        <w:spacing w:after="0" w:line="240" w:lineRule="auto"/>
        <w:jc w:val="both"/>
        <w:rPr>
          <w:rFonts w:ascii="Arial" w:hAnsi="Arial" w:cs="Arial"/>
          <w:b/>
        </w:rPr>
      </w:pPr>
      <w:r>
        <w:rPr>
          <w:rFonts w:ascii="Arial" w:hAnsi="Arial" w:cs="Arial"/>
          <w:b/>
        </w:rPr>
        <w:t>June</w:t>
      </w:r>
      <w:r w:rsidR="00FF0B4C">
        <w:rPr>
          <w:rFonts w:ascii="Arial" w:hAnsi="Arial" w:cs="Arial"/>
          <w:b/>
        </w:rPr>
        <w:t xml:space="preserve"> 1</w:t>
      </w:r>
      <w:r>
        <w:rPr>
          <w:rFonts w:ascii="Arial" w:hAnsi="Arial" w:cs="Arial"/>
          <w:b/>
        </w:rPr>
        <w:t>4</w:t>
      </w:r>
      <w:r w:rsidR="007C418A">
        <w:rPr>
          <w:rFonts w:ascii="Arial" w:hAnsi="Arial" w:cs="Arial"/>
          <w:b/>
        </w:rPr>
        <w:t>, 2013</w:t>
      </w:r>
      <w:r w:rsidR="000556C6">
        <w:rPr>
          <w:rFonts w:ascii="Arial" w:hAnsi="Arial" w:cs="Arial"/>
        </w:rPr>
        <w:tab/>
      </w:r>
      <w:r w:rsidR="000556C6">
        <w:rPr>
          <w:rFonts w:ascii="Arial" w:hAnsi="Arial" w:cs="Arial"/>
          <w:b/>
        </w:rPr>
        <w:t>Attorneys for Industrial Energy Users-Ohio</w:t>
      </w:r>
    </w:p>
    <w:p w:rsidR="00DD2C4B" w:rsidRDefault="00DD2C4B" w:rsidP="002B53AA">
      <w:pPr>
        <w:tabs>
          <w:tab w:val="left" w:pos="-1440"/>
          <w:tab w:val="left" w:pos="-720"/>
          <w:tab w:val="left" w:pos="4320"/>
        </w:tabs>
        <w:spacing w:after="0" w:line="240" w:lineRule="auto"/>
        <w:jc w:val="both"/>
        <w:rPr>
          <w:rFonts w:ascii="Arial" w:hAnsi="Arial" w:cs="Arial"/>
          <w:b/>
        </w:rPr>
        <w:sectPr w:rsidR="00DD2C4B" w:rsidSect="00F7560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fmt="lowerRoman" w:start="1"/>
          <w:cols w:space="720"/>
          <w:titlePg/>
          <w:docGrid w:linePitch="360"/>
        </w:sectPr>
      </w:pPr>
    </w:p>
    <w:p w:rsidR="0024375F" w:rsidRDefault="000556C6">
      <w:pPr>
        <w:tabs>
          <w:tab w:val="left" w:pos="-1440"/>
          <w:tab w:val="left" w:pos="-720"/>
          <w:tab w:val="left" w:pos="4320"/>
        </w:tabs>
        <w:spacing w:after="0" w:line="240" w:lineRule="auto"/>
        <w:ind w:left="4320" w:hanging="4320"/>
        <w:jc w:val="center"/>
        <w:rPr>
          <w:rFonts w:ascii="Arial" w:hAnsi="Arial" w:cs="Arial"/>
          <w:b/>
        </w:rPr>
      </w:pPr>
      <w:r>
        <w:rPr>
          <w:rFonts w:ascii="Arial" w:hAnsi="Arial" w:cs="Arial"/>
          <w:b/>
          <w:smallCaps/>
          <w:sz w:val="28"/>
          <w:szCs w:val="28"/>
        </w:rPr>
        <w:lastRenderedPageBreak/>
        <w:t>Before</w:t>
      </w:r>
    </w:p>
    <w:p w:rsidR="0024375F" w:rsidRDefault="000556C6">
      <w:pPr>
        <w:pStyle w:val="Subtitle"/>
        <w:suppressLineNumbers/>
        <w:spacing w:line="240" w:lineRule="auto"/>
        <w:rPr>
          <w:smallCaps/>
          <w:sz w:val="28"/>
          <w:szCs w:val="28"/>
        </w:rPr>
      </w:pPr>
      <w:r>
        <w:rPr>
          <w:smallCaps/>
          <w:sz w:val="28"/>
          <w:szCs w:val="28"/>
        </w:rPr>
        <w:t>The Public Utilities Commission Of Ohio</w:t>
      </w:r>
    </w:p>
    <w:p w:rsidR="00F65E0F" w:rsidRDefault="00F65E0F" w:rsidP="00F65E0F">
      <w:pPr>
        <w:tabs>
          <w:tab w:val="left" w:pos="4680"/>
        </w:tabs>
        <w:spacing w:after="0" w:line="240" w:lineRule="auto"/>
        <w:rPr>
          <w:rFonts w:eastAsia="Times New Roman" w:cs="Times New Roman"/>
          <w:sz w:val="24"/>
          <w:szCs w:val="24"/>
        </w:rPr>
      </w:pPr>
    </w:p>
    <w:p w:rsidR="00F65E0F" w:rsidRPr="009400C8" w:rsidRDefault="00F65E0F" w:rsidP="00F65E0F">
      <w:pPr>
        <w:tabs>
          <w:tab w:val="left" w:pos="4680"/>
        </w:tabs>
        <w:spacing w:after="0" w:line="240" w:lineRule="auto"/>
        <w:rPr>
          <w:rFonts w:eastAsia="Times New Roman" w:cs="Times New Roman"/>
          <w:sz w:val="24"/>
          <w:szCs w:val="24"/>
        </w:rPr>
      </w:pPr>
      <w:r w:rsidRPr="009400C8">
        <w:rPr>
          <w:rFonts w:eastAsia="Times New Roman" w:cs="Times New Roman"/>
          <w:sz w:val="24"/>
          <w:szCs w:val="24"/>
        </w:rPr>
        <w:t xml:space="preserve">In the Matter of the Application of </w:t>
      </w:r>
      <w:r w:rsidRPr="009400C8">
        <w:rPr>
          <w:rFonts w:eastAsia="Times New Roman" w:cs="Times New Roman"/>
          <w:sz w:val="24"/>
          <w:szCs w:val="24"/>
        </w:rPr>
        <w:tab/>
        <w:t>)</w:t>
      </w:r>
    </w:p>
    <w:p w:rsidR="00F65E0F" w:rsidRPr="009400C8" w:rsidRDefault="00F65E0F" w:rsidP="00F65E0F">
      <w:pPr>
        <w:tabs>
          <w:tab w:val="left" w:pos="4680"/>
        </w:tabs>
        <w:spacing w:after="0" w:line="240" w:lineRule="auto"/>
        <w:rPr>
          <w:rFonts w:eastAsia="Times New Roman" w:cs="Times New Roman"/>
          <w:sz w:val="24"/>
          <w:szCs w:val="24"/>
        </w:rPr>
      </w:pPr>
      <w:r>
        <w:rPr>
          <w:rFonts w:eastAsia="Times New Roman" w:cs="Times New Roman"/>
          <w:sz w:val="24"/>
          <w:szCs w:val="24"/>
        </w:rPr>
        <w:t xml:space="preserve">Ohio Power Company to Establish a </w:t>
      </w:r>
      <w:r w:rsidR="00DD2C4B">
        <w:rPr>
          <w:rFonts w:eastAsia="Times New Roman" w:cs="Times New Roman"/>
          <w:sz w:val="24"/>
          <w:szCs w:val="24"/>
        </w:rPr>
        <w:tab/>
        <w:t>)</w:t>
      </w:r>
    </w:p>
    <w:p w:rsidR="00F65E0F" w:rsidRDefault="00F65E0F" w:rsidP="00F65E0F">
      <w:pPr>
        <w:tabs>
          <w:tab w:val="left" w:pos="4680"/>
          <w:tab w:val="left" w:pos="5400"/>
        </w:tabs>
        <w:spacing w:after="0" w:line="240" w:lineRule="auto"/>
        <w:rPr>
          <w:rFonts w:eastAsia="Times New Roman" w:cs="Times New Roman"/>
          <w:sz w:val="24"/>
          <w:szCs w:val="24"/>
        </w:rPr>
      </w:pPr>
      <w:r>
        <w:rPr>
          <w:rFonts w:eastAsia="Times New Roman" w:cs="Times New Roman"/>
          <w:sz w:val="24"/>
          <w:szCs w:val="24"/>
        </w:rPr>
        <w:t>Competitive Bidding Process for</w:t>
      </w:r>
      <w:r w:rsidRPr="009400C8">
        <w:rPr>
          <w:rFonts w:eastAsia="Times New Roman" w:cs="Times New Roman"/>
          <w:sz w:val="24"/>
          <w:szCs w:val="24"/>
        </w:rPr>
        <w:tab/>
        <w:t>)</w:t>
      </w:r>
      <w:r>
        <w:rPr>
          <w:rFonts w:eastAsia="Times New Roman" w:cs="Times New Roman"/>
          <w:sz w:val="24"/>
          <w:szCs w:val="24"/>
        </w:rPr>
        <w:tab/>
        <w:t>Case No. 12-3254-EL-UNC</w:t>
      </w:r>
    </w:p>
    <w:p w:rsidR="00F65E0F" w:rsidRDefault="00F65E0F" w:rsidP="00F65E0F">
      <w:pPr>
        <w:tabs>
          <w:tab w:val="left" w:pos="4680"/>
          <w:tab w:val="left" w:pos="5400"/>
        </w:tabs>
        <w:spacing w:after="0" w:line="240" w:lineRule="auto"/>
        <w:rPr>
          <w:rFonts w:eastAsia="Times New Roman" w:cs="Times New Roman"/>
          <w:sz w:val="24"/>
          <w:szCs w:val="24"/>
        </w:rPr>
      </w:pPr>
      <w:r>
        <w:rPr>
          <w:rFonts w:eastAsia="Times New Roman" w:cs="Times New Roman"/>
          <w:sz w:val="24"/>
          <w:szCs w:val="24"/>
        </w:rPr>
        <w:t>Procurement of Energy to Support Its</w:t>
      </w:r>
      <w:r>
        <w:rPr>
          <w:rFonts w:eastAsia="Times New Roman" w:cs="Times New Roman"/>
          <w:sz w:val="24"/>
          <w:szCs w:val="24"/>
        </w:rPr>
        <w:tab/>
        <w:t>)</w:t>
      </w:r>
    </w:p>
    <w:p w:rsidR="00F65E0F" w:rsidRPr="009400C8" w:rsidRDefault="00F65E0F" w:rsidP="00F65E0F">
      <w:pPr>
        <w:tabs>
          <w:tab w:val="left" w:pos="4680"/>
          <w:tab w:val="left" w:pos="5400"/>
        </w:tabs>
        <w:spacing w:after="0" w:line="240" w:lineRule="auto"/>
        <w:rPr>
          <w:rFonts w:eastAsia="Times New Roman" w:cs="Times New Roman"/>
          <w:sz w:val="24"/>
          <w:szCs w:val="24"/>
        </w:rPr>
      </w:pPr>
      <w:r>
        <w:rPr>
          <w:rFonts w:eastAsia="Times New Roman" w:cs="Times New Roman"/>
          <w:sz w:val="24"/>
          <w:szCs w:val="24"/>
        </w:rPr>
        <w:t>Standard Service Offer</w:t>
      </w:r>
      <w:r w:rsidR="00DD2C4B">
        <w:rPr>
          <w:rFonts w:eastAsia="Times New Roman" w:cs="Times New Roman"/>
          <w:sz w:val="24"/>
          <w:szCs w:val="24"/>
        </w:rPr>
        <w:t>.</w:t>
      </w:r>
      <w:r>
        <w:rPr>
          <w:rFonts w:eastAsia="Times New Roman" w:cs="Times New Roman"/>
          <w:sz w:val="24"/>
          <w:szCs w:val="24"/>
        </w:rPr>
        <w:tab/>
        <w:t>)</w:t>
      </w:r>
    </w:p>
    <w:p w:rsidR="0024375F" w:rsidRPr="009400C8" w:rsidRDefault="0024375F" w:rsidP="009400C8">
      <w:pPr>
        <w:suppressLineNumbers/>
        <w:tabs>
          <w:tab w:val="left" w:pos="-1080"/>
          <w:tab w:val="left" w:pos="-720"/>
          <w:tab w:val="left" w:pos="4680"/>
          <w:tab w:val="left" w:pos="5580"/>
          <w:tab w:val="left" w:pos="5940"/>
        </w:tabs>
        <w:spacing w:after="0"/>
        <w:jc w:val="both"/>
        <w:rPr>
          <w:sz w:val="24"/>
          <w:szCs w:val="24"/>
        </w:rPr>
      </w:pPr>
    </w:p>
    <w:p w:rsidR="0024375F" w:rsidRDefault="0024375F">
      <w:pPr>
        <w:suppressLineNumbers/>
        <w:pBdr>
          <w:top w:val="single" w:sz="18" w:space="1" w:color="auto"/>
        </w:pBdr>
        <w:tabs>
          <w:tab w:val="left" w:pos="-1080"/>
          <w:tab w:val="left" w:pos="-720"/>
          <w:tab w:val="left" w:pos="4680"/>
          <w:tab w:val="left" w:pos="5580"/>
          <w:tab w:val="left" w:pos="5940"/>
        </w:tabs>
        <w:spacing w:after="0" w:line="240" w:lineRule="auto"/>
        <w:jc w:val="center"/>
      </w:pPr>
    </w:p>
    <w:p w:rsidR="0024375F" w:rsidRDefault="000556C6">
      <w:pPr>
        <w:suppressLineNumbers/>
        <w:tabs>
          <w:tab w:val="left" w:pos="-1080"/>
          <w:tab w:val="left" w:pos="-720"/>
          <w:tab w:val="left" w:pos="4680"/>
          <w:tab w:val="left" w:pos="5580"/>
          <w:tab w:val="left" w:pos="5940"/>
        </w:tabs>
        <w:spacing w:after="0" w:line="240" w:lineRule="auto"/>
        <w:jc w:val="center"/>
        <w:rPr>
          <w:rFonts w:ascii="Arial" w:hAnsi="Arial" w:cs="Arial"/>
          <w:b/>
          <w:sz w:val="24"/>
          <w:szCs w:val="24"/>
        </w:rPr>
      </w:pPr>
      <w:r>
        <w:rPr>
          <w:rFonts w:ascii="Arial" w:hAnsi="Arial" w:cs="Arial"/>
          <w:b/>
          <w:sz w:val="24"/>
          <w:szCs w:val="24"/>
        </w:rPr>
        <w:t>DIRECT TESTIMONY OF KEVIN M. MURRAY</w:t>
      </w:r>
    </w:p>
    <w:p w:rsidR="0024375F" w:rsidRDefault="000556C6">
      <w:pPr>
        <w:suppressLineNumbers/>
        <w:spacing w:after="0" w:line="240" w:lineRule="auto"/>
        <w:jc w:val="center"/>
        <w:rPr>
          <w:rFonts w:ascii="Arial" w:hAnsi="Arial" w:cs="Arial"/>
          <w:b/>
          <w:caps/>
          <w:sz w:val="24"/>
          <w:szCs w:val="24"/>
        </w:rPr>
      </w:pPr>
      <w:r>
        <w:rPr>
          <w:rFonts w:ascii="Arial" w:hAnsi="Arial" w:cs="Arial"/>
          <w:b/>
          <w:sz w:val="24"/>
          <w:szCs w:val="24"/>
        </w:rPr>
        <w:t xml:space="preserve">ON BEHALF OF </w:t>
      </w:r>
      <w:r>
        <w:rPr>
          <w:rFonts w:ascii="Arial" w:hAnsi="Arial" w:cs="Arial"/>
          <w:b/>
          <w:caps/>
          <w:sz w:val="24"/>
          <w:szCs w:val="24"/>
        </w:rPr>
        <w:t>INDUSTRIAL ENERGY USERS-OHIO</w:t>
      </w:r>
    </w:p>
    <w:p w:rsidR="0024375F" w:rsidRDefault="0024375F" w:rsidP="00354A99">
      <w:pPr>
        <w:suppressLineNumbers/>
        <w:pBdr>
          <w:bottom w:val="single" w:sz="18" w:space="1" w:color="auto"/>
        </w:pBdr>
        <w:spacing w:after="0"/>
        <w:jc w:val="center"/>
        <w:rPr>
          <w:b/>
        </w:rPr>
      </w:pPr>
    </w:p>
    <w:p w:rsidR="0024375F" w:rsidRDefault="0024375F" w:rsidP="00354A99">
      <w:pPr>
        <w:suppressLineNumbers/>
        <w:tabs>
          <w:tab w:val="left" w:pos="-1080"/>
          <w:tab w:val="left" w:pos="-720"/>
          <w:tab w:val="left" w:pos="4680"/>
          <w:tab w:val="left" w:pos="5580"/>
          <w:tab w:val="left" w:pos="5940"/>
        </w:tabs>
        <w:spacing w:after="0" w:line="240" w:lineRule="auto"/>
        <w:jc w:val="both"/>
        <w:rPr>
          <w:b/>
          <w:bCs/>
        </w:rPr>
      </w:pPr>
    </w:p>
    <w:p w:rsidR="0024375F" w:rsidRDefault="000556C6">
      <w:pPr>
        <w:pStyle w:val="Title"/>
        <w:suppressLineNumbers/>
        <w:rPr>
          <w:smallCaps w:val="0"/>
          <w:sz w:val="24"/>
        </w:rPr>
      </w:pPr>
      <w:r>
        <w:rPr>
          <w:smallCaps w:val="0"/>
          <w:sz w:val="24"/>
        </w:rPr>
        <w:t>INDEX</w:t>
      </w:r>
    </w:p>
    <w:p w:rsidR="0024375F" w:rsidRDefault="000556C6">
      <w:pPr>
        <w:pStyle w:val="Title"/>
        <w:suppressLineNumbers/>
        <w:jc w:val="right"/>
        <w:rPr>
          <w:sz w:val="24"/>
          <w:u w:val="single"/>
        </w:rPr>
      </w:pPr>
      <w:r>
        <w:rPr>
          <w:sz w:val="24"/>
          <w:u w:val="single"/>
        </w:rPr>
        <w:t>Page No.</w:t>
      </w:r>
    </w:p>
    <w:p w:rsidR="0024375F" w:rsidRDefault="0024375F">
      <w:pPr>
        <w:pStyle w:val="Title"/>
        <w:suppressLineNumbers/>
        <w:jc w:val="both"/>
        <w:rPr>
          <w:sz w:val="24"/>
          <w:u w:val="single"/>
        </w:rPr>
      </w:pPr>
    </w:p>
    <w:p w:rsidR="00D2437C" w:rsidRDefault="000556C6" w:rsidP="004B12A6">
      <w:pPr>
        <w:pStyle w:val="Title"/>
        <w:suppressLineNumbers/>
        <w:tabs>
          <w:tab w:val="left" w:pos="540"/>
          <w:tab w:val="right" w:leader="dot" w:pos="9180"/>
        </w:tabs>
        <w:ind w:left="720" w:hanging="720"/>
        <w:jc w:val="both"/>
        <w:rPr>
          <w:b w:val="0"/>
          <w:sz w:val="24"/>
        </w:rPr>
      </w:pPr>
      <w:r>
        <w:rPr>
          <w:b w:val="0"/>
          <w:sz w:val="24"/>
        </w:rPr>
        <w:t>I.</w:t>
      </w:r>
      <w:r>
        <w:rPr>
          <w:b w:val="0"/>
          <w:sz w:val="24"/>
        </w:rPr>
        <w:tab/>
      </w:r>
      <w:r w:rsidR="00413CE8">
        <w:rPr>
          <w:b w:val="0"/>
          <w:sz w:val="24"/>
        </w:rPr>
        <w:t>INTRODUCTION</w:t>
      </w:r>
      <w:r w:rsidR="00245710">
        <w:rPr>
          <w:b w:val="0"/>
          <w:sz w:val="24"/>
        </w:rPr>
        <w:tab/>
        <w:t>1</w:t>
      </w:r>
    </w:p>
    <w:p w:rsidR="00413CE8" w:rsidRDefault="00413CE8" w:rsidP="004B12A6">
      <w:pPr>
        <w:pStyle w:val="Title"/>
        <w:suppressLineNumbers/>
        <w:tabs>
          <w:tab w:val="left" w:pos="540"/>
          <w:tab w:val="right" w:leader="dot" w:pos="9180"/>
        </w:tabs>
        <w:ind w:left="720" w:hanging="720"/>
        <w:jc w:val="both"/>
        <w:rPr>
          <w:b w:val="0"/>
          <w:sz w:val="24"/>
        </w:rPr>
      </w:pPr>
    </w:p>
    <w:p w:rsidR="00413CE8" w:rsidRDefault="00413CE8" w:rsidP="004B12A6">
      <w:pPr>
        <w:pStyle w:val="Title"/>
        <w:suppressLineNumbers/>
        <w:tabs>
          <w:tab w:val="left" w:pos="540"/>
          <w:tab w:val="right" w:leader="dot" w:pos="9180"/>
        </w:tabs>
        <w:ind w:left="720" w:hanging="720"/>
        <w:jc w:val="both"/>
        <w:rPr>
          <w:b w:val="0"/>
          <w:caps/>
          <w:smallCaps w:val="0"/>
          <w:sz w:val="24"/>
        </w:rPr>
      </w:pPr>
      <w:r>
        <w:rPr>
          <w:b w:val="0"/>
          <w:sz w:val="24"/>
        </w:rPr>
        <w:t>II.</w:t>
      </w:r>
      <w:r>
        <w:rPr>
          <w:b w:val="0"/>
          <w:sz w:val="24"/>
        </w:rPr>
        <w:tab/>
      </w:r>
      <w:r w:rsidRPr="00413CE8">
        <w:rPr>
          <w:b w:val="0"/>
          <w:caps/>
          <w:smallCaps w:val="0"/>
          <w:sz w:val="24"/>
        </w:rPr>
        <w:t>history of this proceeding</w:t>
      </w:r>
      <w:r w:rsidR="00245710">
        <w:rPr>
          <w:b w:val="0"/>
          <w:caps/>
          <w:smallCaps w:val="0"/>
          <w:sz w:val="24"/>
        </w:rPr>
        <w:tab/>
        <w:t>3</w:t>
      </w:r>
    </w:p>
    <w:p w:rsidR="00413CE8" w:rsidRDefault="00413CE8" w:rsidP="004B12A6">
      <w:pPr>
        <w:pStyle w:val="Title"/>
        <w:suppressLineNumbers/>
        <w:tabs>
          <w:tab w:val="left" w:pos="540"/>
          <w:tab w:val="right" w:leader="dot" w:pos="9180"/>
        </w:tabs>
        <w:ind w:left="720" w:hanging="720"/>
        <w:jc w:val="both"/>
        <w:rPr>
          <w:b w:val="0"/>
          <w:caps/>
          <w:smallCaps w:val="0"/>
          <w:sz w:val="24"/>
        </w:rPr>
      </w:pPr>
    </w:p>
    <w:p w:rsidR="00413CE8" w:rsidRPr="00413CE8" w:rsidRDefault="00413CE8" w:rsidP="004B12A6">
      <w:pPr>
        <w:pStyle w:val="Title"/>
        <w:suppressLineNumbers/>
        <w:tabs>
          <w:tab w:val="left" w:pos="540"/>
          <w:tab w:val="right" w:leader="dot" w:pos="9180"/>
        </w:tabs>
        <w:ind w:left="720" w:hanging="720"/>
        <w:jc w:val="both"/>
        <w:rPr>
          <w:b w:val="0"/>
          <w:caps/>
          <w:smallCaps w:val="0"/>
          <w:sz w:val="24"/>
        </w:rPr>
      </w:pPr>
      <w:r>
        <w:rPr>
          <w:b w:val="0"/>
          <w:caps/>
          <w:smallCaps w:val="0"/>
          <w:sz w:val="24"/>
        </w:rPr>
        <w:t>III.</w:t>
      </w:r>
      <w:r>
        <w:rPr>
          <w:b w:val="0"/>
          <w:caps/>
          <w:smallCaps w:val="0"/>
          <w:sz w:val="24"/>
        </w:rPr>
        <w:tab/>
        <w:t>CBP RECOMMENDATIONS</w:t>
      </w:r>
      <w:r w:rsidR="00245710">
        <w:rPr>
          <w:b w:val="0"/>
          <w:caps/>
          <w:smallCaps w:val="0"/>
          <w:sz w:val="24"/>
        </w:rPr>
        <w:tab/>
        <w:t>7</w:t>
      </w:r>
    </w:p>
    <w:p w:rsidR="00D2437C" w:rsidRPr="00413CE8" w:rsidRDefault="00D2437C">
      <w:pPr>
        <w:pStyle w:val="Title"/>
        <w:suppressLineNumbers/>
        <w:tabs>
          <w:tab w:val="left" w:pos="540"/>
          <w:tab w:val="right" w:leader="dot" w:pos="9180"/>
        </w:tabs>
        <w:jc w:val="both"/>
        <w:rPr>
          <w:b w:val="0"/>
          <w:caps/>
          <w:smallCaps w:val="0"/>
          <w:sz w:val="24"/>
        </w:rPr>
      </w:pPr>
    </w:p>
    <w:p w:rsidR="009A6B3F" w:rsidRDefault="009A6B3F">
      <w:pPr>
        <w:pStyle w:val="Title"/>
        <w:suppressLineNumbers/>
        <w:tabs>
          <w:tab w:val="left" w:pos="540"/>
          <w:tab w:val="right" w:leader="dot" w:pos="9180"/>
        </w:tabs>
        <w:jc w:val="both"/>
        <w:rPr>
          <w:b w:val="0"/>
          <w:sz w:val="24"/>
        </w:rPr>
      </w:pPr>
      <w:r>
        <w:rPr>
          <w:b w:val="0"/>
          <w:sz w:val="24"/>
        </w:rPr>
        <w:t>IV.</w:t>
      </w:r>
      <w:r>
        <w:rPr>
          <w:b w:val="0"/>
          <w:sz w:val="24"/>
        </w:rPr>
        <w:tab/>
        <w:t>CONCLUSION</w:t>
      </w:r>
      <w:r w:rsidR="00245710">
        <w:rPr>
          <w:b w:val="0"/>
          <w:sz w:val="24"/>
        </w:rPr>
        <w:tab/>
        <w:t>11</w:t>
      </w:r>
    </w:p>
    <w:p w:rsidR="009A6B3F" w:rsidRDefault="009A6B3F">
      <w:pPr>
        <w:pStyle w:val="Title"/>
        <w:suppressLineNumbers/>
        <w:tabs>
          <w:tab w:val="left" w:pos="540"/>
          <w:tab w:val="right" w:leader="dot" w:pos="9180"/>
        </w:tabs>
        <w:jc w:val="both"/>
        <w:rPr>
          <w:b w:val="0"/>
          <w:sz w:val="24"/>
        </w:rPr>
      </w:pPr>
    </w:p>
    <w:p w:rsidR="0024375F" w:rsidRDefault="000556C6">
      <w:pPr>
        <w:pStyle w:val="Title"/>
        <w:suppressLineNumbers/>
        <w:tabs>
          <w:tab w:val="left" w:pos="540"/>
          <w:tab w:val="right" w:leader="dot" w:pos="9180"/>
        </w:tabs>
        <w:jc w:val="both"/>
        <w:rPr>
          <w:b w:val="0"/>
          <w:sz w:val="24"/>
        </w:rPr>
      </w:pPr>
      <w:r>
        <w:rPr>
          <w:b w:val="0"/>
          <w:sz w:val="24"/>
        </w:rPr>
        <w:t>CERTIFICATE OF SERVICE</w:t>
      </w:r>
    </w:p>
    <w:p w:rsidR="00B62605" w:rsidRDefault="00B62605">
      <w:pPr>
        <w:pStyle w:val="Title"/>
        <w:suppressLineNumbers/>
        <w:tabs>
          <w:tab w:val="left" w:pos="540"/>
          <w:tab w:val="right" w:leader="dot" w:pos="9180"/>
        </w:tabs>
        <w:jc w:val="both"/>
        <w:rPr>
          <w:b w:val="0"/>
          <w:sz w:val="24"/>
        </w:rPr>
      </w:pPr>
    </w:p>
    <w:p w:rsidR="00413CE8" w:rsidRDefault="009A6B3F">
      <w:pPr>
        <w:pStyle w:val="Title"/>
        <w:suppressLineNumbers/>
        <w:tabs>
          <w:tab w:val="left" w:pos="540"/>
          <w:tab w:val="right" w:leader="dot" w:pos="9180"/>
        </w:tabs>
        <w:jc w:val="both"/>
        <w:rPr>
          <w:b w:val="0"/>
          <w:sz w:val="24"/>
        </w:rPr>
      </w:pPr>
      <w:r>
        <w:rPr>
          <w:b w:val="0"/>
          <w:sz w:val="24"/>
        </w:rPr>
        <w:t>EXHIBIT KMM-1</w:t>
      </w:r>
    </w:p>
    <w:p w:rsidR="004B7F33" w:rsidRDefault="004B7F33">
      <w:pPr>
        <w:pStyle w:val="Title"/>
        <w:suppressLineNumbers/>
        <w:tabs>
          <w:tab w:val="left" w:pos="540"/>
          <w:tab w:val="right" w:leader="dot" w:pos="9180"/>
        </w:tabs>
        <w:jc w:val="both"/>
        <w:rPr>
          <w:b w:val="0"/>
          <w:sz w:val="24"/>
        </w:rPr>
      </w:pPr>
    </w:p>
    <w:p w:rsidR="004B7F33" w:rsidRDefault="004B7F33">
      <w:pPr>
        <w:pStyle w:val="Title"/>
        <w:suppressLineNumbers/>
        <w:tabs>
          <w:tab w:val="left" w:pos="540"/>
          <w:tab w:val="right" w:leader="dot" w:pos="9180"/>
        </w:tabs>
        <w:jc w:val="both"/>
        <w:rPr>
          <w:b w:val="0"/>
          <w:sz w:val="24"/>
        </w:rPr>
      </w:pPr>
      <w:r>
        <w:rPr>
          <w:b w:val="0"/>
          <w:sz w:val="24"/>
        </w:rPr>
        <w:t>EXHIBIT KMM-2</w:t>
      </w:r>
    </w:p>
    <w:p w:rsidR="004B7F33" w:rsidRDefault="004B7F33">
      <w:pPr>
        <w:pStyle w:val="Title"/>
        <w:suppressLineNumbers/>
        <w:tabs>
          <w:tab w:val="left" w:pos="540"/>
          <w:tab w:val="right" w:leader="dot" w:pos="9180"/>
        </w:tabs>
        <w:jc w:val="both"/>
        <w:rPr>
          <w:b w:val="0"/>
          <w:sz w:val="24"/>
        </w:rPr>
      </w:pPr>
    </w:p>
    <w:p w:rsidR="009A6B3F" w:rsidRDefault="009A6B3F">
      <w:pPr>
        <w:pStyle w:val="Title"/>
        <w:suppressLineNumbers/>
        <w:tabs>
          <w:tab w:val="left" w:pos="540"/>
          <w:tab w:val="right" w:leader="dot" w:pos="9180"/>
        </w:tabs>
        <w:jc w:val="both"/>
        <w:rPr>
          <w:b w:val="0"/>
          <w:sz w:val="24"/>
        </w:rPr>
      </w:pPr>
    </w:p>
    <w:p w:rsidR="00413CE8" w:rsidRDefault="00413CE8">
      <w:pPr>
        <w:pStyle w:val="Title"/>
        <w:suppressLineNumbers/>
        <w:tabs>
          <w:tab w:val="left" w:pos="540"/>
          <w:tab w:val="right" w:leader="dot" w:pos="9180"/>
        </w:tabs>
        <w:jc w:val="both"/>
        <w:rPr>
          <w:b w:val="0"/>
          <w:sz w:val="24"/>
        </w:rPr>
        <w:sectPr w:rsidR="00413CE8" w:rsidSect="00DD2C4B">
          <w:pgSz w:w="12240" w:h="15840"/>
          <w:pgMar w:top="1440" w:right="1440" w:bottom="1440" w:left="1440" w:header="720" w:footer="720" w:gutter="0"/>
          <w:pgNumType w:fmt="lowerRoman" w:start="1"/>
          <w:cols w:space="720"/>
          <w:titlePg/>
          <w:docGrid w:linePitch="360"/>
        </w:sectPr>
      </w:pPr>
    </w:p>
    <w:p w:rsidR="0024375F" w:rsidRDefault="000556C6">
      <w:pPr>
        <w:tabs>
          <w:tab w:val="left" w:pos="-1440"/>
          <w:tab w:val="left" w:pos="-720"/>
          <w:tab w:val="left" w:pos="4320"/>
        </w:tabs>
        <w:spacing w:after="0" w:line="240" w:lineRule="auto"/>
        <w:ind w:left="4320" w:hanging="4320"/>
        <w:jc w:val="center"/>
        <w:rPr>
          <w:rFonts w:ascii="Arial" w:hAnsi="Arial" w:cs="Arial"/>
          <w:b/>
        </w:rPr>
      </w:pPr>
      <w:r>
        <w:rPr>
          <w:rFonts w:ascii="Arial" w:hAnsi="Arial" w:cs="Arial"/>
          <w:b/>
          <w:smallCaps/>
          <w:sz w:val="28"/>
          <w:szCs w:val="28"/>
        </w:rPr>
        <w:lastRenderedPageBreak/>
        <w:t>Before</w:t>
      </w:r>
    </w:p>
    <w:p w:rsidR="0024375F" w:rsidRDefault="000556C6">
      <w:pPr>
        <w:pStyle w:val="Subtitle"/>
        <w:suppressLineNumbers/>
        <w:spacing w:line="240" w:lineRule="auto"/>
        <w:rPr>
          <w:smallCaps/>
          <w:sz w:val="28"/>
          <w:szCs w:val="28"/>
        </w:rPr>
      </w:pPr>
      <w:r>
        <w:rPr>
          <w:smallCaps/>
          <w:sz w:val="28"/>
          <w:szCs w:val="28"/>
        </w:rPr>
        <w:t>The Public Utilities Commission Of Ohio</w:t>
      </w:r>
    </w:p>
    <w:p w:rsidR="00F65E0F" w:rsidRDefault="00F65E0F" w:rsidP="00F65E0F">
      <w:pPr>
        <w:tabs>
          <w:tab w:val="left" w:pos="4680"/>
        </w:tabs>
        <w:spacing w:after="0" w:line="240" w:lineRule="auto"/>
        <w:rPr>
          <w:rFonts w:eastAsia="Times New Roman" w:cs="Times New Roman"/>
          <w:sz w:val="24"/>
          <w:szCs w:val="24"/>
        </w:rPr>
      </w:pPr>
    </w:p>
    <w:p w:rsidR="00F65E0F" w:rsidRPr="009400C8" w:rsidRDefault="00F65E0F" w:rsidP="00F65E0F">
      <w:pPr>
        <w:tabs>
          <w:tab w:val="left" w:pos="4680"/>
        </w:tabs>
        <w:spacing w:after="0" w:line="240" w:lineRule="auto"/>
        <w:rPr>
          <w:rFonts w:eastAsia="Times New Roman" w:cs="Times New Roman"/>
          <w:sz w:val="24"/>
          <w:szCs w:val="24"/>
        </w:rPr>
      </w:pPr>
      <w:r w:rsidRPr="009400C8">
        <w:rPr>
          <w:rFonts w:eastAsia="Times New Roman" w:cs="Times New Roman"/>
          <w:sz w:val="24"/>
          <w:szCs w:val="24"/>
        </w:rPr>
        <w:t xml:space="preserve">In the Matter of the Application of </w:t>
      </w:r>
      <w:r w:rsidRPr="009400C8">
        <w:rPr>
          <w:rFonts w:eastAsia="Times New Roman" w:cs="Times New Roman"/>
          <w:sz w:val="24"/>
          <w:szCs w:val="24"/>
        </w:rPr>
        <w:tab/>
        <w:t>)</w:t>
      </w:r>
    </w:p>
    <w:p w:rsidR="00F65E0F" w:rsidRPr="009400C8" w:rsidRDefault="00F65E0F" w:rsidP="00F65E0F">
      <w:pPr>
        <w:tabs>
          <w:tab w:val="left" w:pos="4680"/>
        </w:tabs>
        <w:spacing w:after="0" w:line="240" w:lineRule="auto"/>
        <w:rPr>
          <w:rFonts w:eastAsia="Times New Roman" w:cs="Times New Roman"/>
          <w:sz w:val="24"/>
          <w:szCs w:val="24"/>
        </w:rPr>
      </w:pPr>
      <w:r>
        <w:rPr>
          <w:rFonts w:eastAsia="Times New Roman" w:cs="Times New Roman"/>
          <w:sz w:val="24"/>
          <w:szCs w:val="24"/>
        </w:rPr>
        <w:t xml:space="preserve">Ohio Power Company to Establish a </w:t>
      </w:r>
      <w:r w:rsidR="00DD2C4B">
        <w:rPr>
          <w:rFonts w:eastAsia="Times New Roman" w:cs="Times New Roman"/>
          <w:sz w:val="24"/>
          <w:szCs w:val="24"/>
        </w:rPr>
        <w:tab/>
        <w:t>)</w:t>
      </w:r>
    </w:p>
    <w:p w:rsidR="00F65E0F" w:rsidRDefault="00F65E0F" w:rsidP="00F65E0F">
      <w:pPr>
        <w:tabs>
          <w:tab w:val="left" w:pos="4680"/>
          <w:tab w:val="left" w:pos="5400"/>
        </w:tabs>
        <w:spacing w:after="0" w:line="240" w:lineRule="auto"/>
        <w:rPr>
          <w:rFonts w:eastAsia="Times New Roman" w:cs="Times New Roman"/>
          <w:sz w:val="24"/>
          <w:szCs w:val="24"/>
        </w:rPr>
      </w:pPr>
      <w:r>
        <w:rPr>
          <w:rFonts w:eastAsia="Times New Roman" w:cs="Times New Roman"/>
          <w:sz w:val="24"/>
          <w:szCs w:val="24"/>
        </w:rPr>
        <w:t>Competitive Bidding Process for</w:t>
      </w:r>
      <w:r w:rsidRPr="009400C8">
        <w:rPr>
          <w:rFonts w:eastAsia="Times New Roman" w:cs="Times New Roman"/>
          <w:sz w:val="24"/>
          <w:szCs w:val="24"/>
        </w:rPr>
        <w:tab/>
        <w:t>)</w:t>
      </w:r>
      <w:r>
        <w:rPr>
          <w:rFonts w:eastAsia="Times New Roman" w:cs="Times New Roman"/>
          <w:sz w:val="24"/>
          <w:szCs w:val="24"/>
        </w:rPr>
        <w:tab/>
        <w:t>Case No. 12-3254-EL-UNC</w:t>
      </w:r>
    </w:p>
    <w:p w:rsidR="00F65E0F" w:rsidRDefault="00F65E0F" w:rsidP="00F65E0F">
      <w:pPr>
        <w:tabs>
          <w:tab w:val="left" w:pos="4680"/>
          <w:tab w:val="left" w:pos="5400"/>
        </w:tabs>
        <w:spacing w:after="0" w:line="240" w:lineRule="auto"/>
        <w:rPr>
          <w:rFonts w:eastAsia="Times New Roman" w:cs="Times New Roman"/>
          <w:sz w:val="24"/>
          <w:szCs w:val="24"/>
        </w:rPr>
      </w:pPr>
      <w:r>
        <w:rPr>
          <w:rFonts w:eastAsia="Times New Roman" w:cs="Times New Roman"/>
          <w:sz w:val="24"/>
          <w:szCs w:val="24"/>
        </w:rPr>
        <w:t>Procurement of Energy to Support Its</w:t>
      </w:r>
      <w:r>
        <w:rPr>
          <w:rFonts w:eastAsia="Times New Roman" w:cs="Times New Roman"/>
          <w:sz w:val="24"/>
          <w:szCs w:val="24"/>
        </w:rPr>
        <w:tab/>
        <w:t>)</w:t>
      </w:r>
    </w:p>
    <w:p w:rsidR="00F65E0F" w:rsidRPr="009400C8" w:rsidRDefault="00F65E0F" w:rsidP="00F65E0F">
      <w:pPr>
        <w:tabs>
          <w:tab w:val="left" w:pos="4680"/>
          <w:tab w:val="left" w:pos="5400"/>
        </w:tabs>
        <w:spacing w:after="0" w:line="240" w:lineRule="auto"/>
        <w:rPr>
          <w:rFonts w:eastAsia="Times New Roman" w:cs="Times New Roman"/>
          <w:sz w:val="24"/>
          <w:szCs w:val="24"/>
        </w:rPr>
      </w:pPr>
      <w:r>
        <w:rPr>
          <w:rFonts w:eastAsia="Times New Roman" w:cs="Times New Roman"/>
          <w:sz w:val="24"/>
          <w:szCs w:val="24"/>
        </w:rPr>
        <w:t>Standard Service Offer</w:t>
      </w:r>
      <w:r w:rsidR="00DD2C4B">
        <w:rPr>
          <w:rFonts w:eastAsia="Times New Roman" w:cs="Times New Roman"/>
          <w:sz w:val="24"/>
          <w:szCs w:val="24"/>
        </w:rPr>
        <w:t>.</w:t>
      </w:r>
      <w:r>
        <w:rPr>
          <w:rFonts w:eastAsia="Times New Roman" w:cs="Times New Roman"/>
          <w:sz w:val="24"/>
          <w:szCs w:val="24"/>
        </w:rPr>
        <w:tab/>
        <w:t>)</w:t>
      </w:r>
    </w:p>
    <w:p w:rsidR="007C418A" w:rsidRPr="00354A99" w:rsidRDefault="007C418A">
      <w:pPr>
        <w:pStyle w:val="Subtitle"/>
        <w:suppressLineNumbers/>
        <w:spacing w:line="240" w:lineRule="auto"/>
        <w:rPr>
          <w:smallCaps/>
          <w:sz w:val="24"/>
          <w:szCs w:val="24"/>
        </w:rPr>
      </w:pPr>
    </w:p>
    <w:p w:rsidR="0024375F" w:rsidRDefault="0024375F">
      <w:pPr>
        <w:suppressLineNumbers/>
        <w:pBdr>
          <w:bottom w:val="single" w:sz="12" w:space="1" w:color="auto"/>
        </w:pBdr>
        <w:tabs>
          <w:tab w:val="left" w:pos="-1080"/>
          <w:tab w:val="left" w:pos="-720"/>
          <w:tab w:val="left" w:pos="4680"/>
          <w:tab w:val="left" w:pos="5580"/>
          <w:tab w:val="left" w:pos="5940"/>
        </w:tabs>
        <w:jc w:val="both"/>
      </w:pPr>
    </w:p>
    <w:p w:rsidR="0024375F" w:rsidRDefault="0024375F">
      <w:pPr>
        <w:suppressLineNumbers/>
        <w:tabs>
          <w:tab w:val="left" w:pos="-1080"/>
          <w:tab w:val="left" w:pos="-720"/>
          <w:tab w:val="left" w:pos="4680"/>
          <w:tab w:val="left" w:pos="5580"/>
          <w:tab w:val="left" w:pos="5940"/>
        </w:tabs>
        <w:spacing w:after="0" w:line="240" w:lineRule="auto"/>
        <w:jc w:val="center"/>
      </w:pPr>
    </w:p>
    <w:p w:rsidR="0024375F" w:rsidRDefault="000556C6">
      <w:pPr>
        <w:suppressLineNumbers/>
        <w:tabs>
          <w:tab w:val="left" w:pos="-1080"/>
          <w:tab w:val="left" w:pos="-720"/>
          <w:tab w:val="left" w:pos="4680"/>
          <w:tab w:val="left" w:pos="5580"/>
          <w:tab w:val="left" w:pos="5940"/>
        </w:tabs>
        <w:spacing w:after="0" w:line="240" w:lineRule="auto"/>
        <w:jc w:val="center"/>
        <w:rPr>
          <w:rFonts w:ascii="Arial" w:hAnsi="Arial" w:cs="Arial"/>
          <w:b/>
          <w:sz w:val="24"/>
          <w:szCs w:val="24"/>
        </w:rPr>
      </w:pPr>
      <w:r>
        <w:rPr>
          <w:rFonts w:ascii="Arial" w:hAnsi="Arial" w:cs="Arial"/>
          <w:b/>
          <w:sz w:val="24"/>
          <w:szCs w:val="24"/>
        </w:rPr>
        <w:t>DIRECT TESTIMONY OF KEVIN M. MURRAY</w:t>
      </w:r>
    </w:p>
    <w:p w:rsidR="0024375F" w:rsidRDefault="000556C6">
      <w:pPr>
        <w:suppressLineNumbers/>
        <w:spacing w:after="0" w:line="240" w:lineRule="auto"/>
        <w:jc w:val="center"/>
        <w:rPr>
          <w:rFonts w:ascii="Arial" w:hAnsi="Arial" w:cs="Arial"/>
          <w:b/>
          <w:caps/>
          <w:sz w:val="24"/>
          <w:szCs w:val="24"/>
        </w:rPr>
      </w:pPr>
      <w:r>
        <w:rPr>
          <w:rFonts w:ascii="Arial" w:hAnsi="Arial" w:cs="Arial"/>
          <w:b/>
          <w:sz w:val="24"/>
          <w:szCs w:val="24"/>
        </w:rPr>
        <w:t xml:space="preserve">ON BEHALF OF </w:t>
      </w:r>
      <w:r>
        <w:rPr>
          <w:rFonts w:ascii="Arial" w:hAnsi="Arial" w:cs="Arial"/>
          <w:b/>
          <w:caps/>
          <w:sz w:val="24"/>
          <w:szCs w:val="24"/>
        </w:rPr>
        <w:t>INDUSTRIAL ENERGY USERS-OHIO</w:t>
      </w:r>
    </w:p>
    <w:p w:rsidR="0024375F" w:rsidRDefault="0024375F">
      <w:pPr>
        <w:suppressLineNumbers/>
        <w:pBdr>
          <w:bottom w:val="single" w:sz="12" w:space="1" w:color="auto"/>
        </w:pBdr>
        <w:jc w:val="both"/>
        <w:rPr>
          <w:b/>
        </w:rPr>
      </w:pPr>
    </w:p>
    <w:p w:rsidR="0024375F" w:rsidRDefault="0024375F">
      <w:pPr>
        <w:spacing w:before="480" w:line="480" w:lineRule="auto"/>
        <w:jc w:val="both"/>
        <w:rPr>
          <w:rFonts w:ascii="Arial" w:hAnsi="Arial" w:cs="Arial"/>
          <w:b/>
          <w:sz w:val="24"/>
          <w:szCs w:val="24"/>
        </w:rPr>
        <w:sectPr w:rsidR="0024375F" w:rsidSect="00D2437C">
          <w:pgSz w:w="12240" w:h="15840"/>
          <w:pgMar w:top="1440" w:right="1440" w:bottom="1440" w:left="1440" w:header="720" w:footer="720" w:gutter="0"/>
          <w:pgNumType w:start="1"/>
          <w:cols w:space="720"/>
          <w:docGrid w:linePitch="360"/>
        </w:sectPr>
      </w:pPr>
    </w:p>
    <w:p w:rsidR="0024375F" w:rsidRDefault="000556C6" w:rsidP="00354A99">
      <w:pPr>
        <w:spacing w:before="480" w:after="0" w:line="480" w:lineRule="auto"/>
        <w:jc w:val="both"/>
        <w:rPr>
          <w:rFonts w:ascii="Arial" w:hAnsi="Arial" w:cs="Arial"/>
          <w:b/>
          <w:sz w:val="24"/>
          <w:szCs w:val="24"/>
        </w:rPr>
      </w:pPr>
      <w:r>
        <w:rPr>
          <w:rFonts w:ascii="Arial" w:hAnsi="Arial" w:cs="Arial"/>
          <w:b/>
          <w:sz w:val="24"/>
          <w:szCs w:val="24"/>
        </w:rPr>
        <w:lastRenderedPageBreak/>
        <w:t>I.</w:t>
      </w:r>
      <w:r>
        <w:rPr>
          <w:rFonts w:ascii="Arial" w:hAnsi="Arial" w:cs="Arial"/>
          <w:b/>
          <w:sz w:val="24"/>
          <w:szCs w:val="24"/>
        </w:rPr>
        <w:tab/>
        <w:t>INTRODUCTION</w:t>
      </w:r>
    </w:p>
    <w:p w:rsidR="0024375F" w:rsidRDefault="000556C6">
      <w:pPr>
        <w:spacing w:before="240" w:after="0" w:line="480" w:lineRule="auto"/>
        <w:jc w:val="both"/>
        <w:rPr>
          <w:rFonts w:ascii="Arial" w:hAnsi="Arial" w:cs="Arial"/>
          <w:b/>
          <w:sz w:val="24"/>
          <w:szCs w:val="24"/>
        </w:rPr>
      </w:pPr>
      <w:r>
        <w:rPr>
          <w:rFonts w:ascii="Arial" w:hAnsi="Arial" w:cs="Arial"/>
          <w:b/>
          <w:sz w:val="24"/>
          <w:szCs w:val="24"/>
        </w:rPr>
        <w:t>Q1.</w:t>
      </w:r>
      <w:r>
        <w:rPr>
          <w:rFonts w:ascii="Arial" w:hAnsi="Arial" w:cs="Arial"/>
          <w:b/>
          <w:sz w:val="24"/>
          <w:szCs w:val="24"/>
        </w:rPr>
        <w:tab/>
        <w:t>Please state your name and business address.</w:t>
      </w:r>
    </w:p>
    <w:p w:rsidR="0024375F" w:rsidRDefault="000556C6">
      <w:pPr>
        <w:spacing w:before="240" w:after="120" w:line="480" w:lineRule="auto"/>
        <w:ind w:left="720" w:hanging="720"/>
        <w:jc w:val="both"/>
        <w:rPr>
          <w:rFonts w:ascii="Arial" w:hAnsi="Arial" w:cs="Arial"/>
          <w:sz w:val="24"/>
          <w:szCs w:val="24"/>
        </w:rPr>
      </w:pPr>
      <w:r>
        <w:rPr>
          <w:rFonts w:ascii="Arial" w:hAnsi="Arial" w:cs="Arial"/>
          <w:sz w:val="24"/>
          <w:szCs w:val="24"/>
        </w:rPr>
        <w:t>A1.</w:t>
      </w:r>
      <w:r>
        <w:rPr>
          <w:rFonts w:ascii="Arial" w:hAnsi="Arial" w:cs="Arial"/>
          <w:sz w:val="24"/>
          <w:szCs w:val="24"/>
        </w:rPr>
        <w:tab/>
        <w:t>My name is Kevin M. Murray.  My business address is 21 East State Street, 17</w:t>
      </w:r>
      <w:r>
        <w:rPr>
          <w:rFonts w:ascii="Arial" w:hAnsi="Arial" w:cs="Arial"/>
          <w:sz w:val="24"/>
          <w:szCs w:val="24"/>
          <w:vertAlign w:val="superscript"/>
        </w:rPr>
        <w:t>th</w:t>
      </w:r>
      <w:r>
        <w:rPr>
          <w:rFonts w:ascii="Arial" w:hAnsi="Arial" w:cs="Arial"/>
          <w:sz w:val="24"/>
          <w:szCs w:val="24"/>
        </w:rPr>
        <w:t xml:space="preserve"> Floor, Columbus, Ohio 43215-4228.</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Q2.</w:t>
      </w:r>
      <w:r>
        <w:rPr>
          <w:rFonts w:ascii="Arial" w:hAnsi="Arial" w:cs="Arial"/>
          <w:b/>
          <w:sz w:val="24"/>
          <w:szCs w:val="24"/>
        </w:rPr>
        <w:tab/>
      </w:r>
      <w:r>
        <w:rPr>
          <w:rStyle w:val="LineNumber"/>
          <w:rFonts w:ascii="Arial" w:hAnsi="Arial" w:cs="Arial"/>
          <w:b/>
          <w:sz w:val="24"/>
          <w:szCs w:val="24"/>
        </w:rPr>
        <w:t>By whom are you employed and in what position?</w:t>
      </w:r>
    </w:p>
    <w:p w:rsidR="0024375F" w:rsidRDefault="000556C6">
      <w:pPr>
        <w:spacing w:before="240" w:after="0" w:line="480" w:lineRule="auto"/>
        <w:ind w:left="720" w:hanging="720"/>
        <w:jc w:val="both"/>
        <w:rPr>
          <w:rStyle w:val="LineNumber"/>
          <w:rFonts w:ascii="Arial" w:hAnsi="Arial" w:cs="Arial"/>
          <w:sz w:val="24"/>
          <w:szCs w:val="24"/>
        </w:rPr>
      </w:pPr>
      <w:r>
        <w:rPr>
          <w:rFonts w:ascii="Arial" w:hAnsi="Arial" w:cs="Arial"/>
          <w:sz w:val="24"/>
          <w:szCs w:val="24"/>
        </w:rPr>
        <w:t>A2.</w:t>
      </w:r>
      <w:r>
        <w:rPr>
          <w:rFonts w:ascii="Arial" w:hAnsi="Arial" w:cs="Arial"/>
          <w:sz w:val="24"/>
          <w:szCs w:val="24"/>
        </w:rPr>
        <w:tab/>
      </w:r>
      <w:r>
        <w:rPr>
          <w:rStyle w:val="LineNumber"/>
          <w:rFonts w:ascii="Arial" w:hAnsi="Arial" w:cs="Arial"/>
          <w:sz w:val="24"/>
          <w:szCs w:val="24"/>
        </w:rPr>
        <w:t xml:space="preserve">I am </w:t>
      </w:r>
      <w:r w:rsidR="00FB719A">
        <w:rPr>
          <w:rStyle w:val="LineNumber"/>
          <w:rFonts w:ascii="Arial" w:hAnsi="Arial" w:cs="Arial"/>
          <w:sz w:val="24"/>
          <w:szCs w:val="24"/>
        </w:rPr>
        <w:t xml:space="preserve">employed as a Technical Specialist by </w:t>
      </w:r>
      <w:r>
        <w:rPr>
          <w:rStyle w:val="LineNumber"/>
          <w:rFonts w:ascii="Arial" w:hAnsi="Arial" w:cs="Arial"/>
          <w:sz w:val="24"/>
          <w:szCs w:val="24"/>
        </w:rPr>
        <w:t xml:space="preserve">McNees Wallace &amp; Nurick LLC (“McNees”) and </w:t>
      </w:r>
      <w:r w:rsidR="00FB719A">
        <w:rPr>
          <w:rStyle w:val="LineNumber"/>
          <w:rFonts w:ascii="Arial" w:hAnsi="Arial" w:cs="Arial"/>
          <w:sz w:val="24"/>
          <w:szCs w:val="24"/>
        </w:rPr>
        <w:t xml:space="preserve">serve as </w:t>
      </w:r>
      <w:r>
        <w:rPr>
          <w:rStyle w:val="LineNumber"/>
          <w:rFonts w:ascii="Arial" w:hAnsi="Arial" w:cs="Arial"/>
          <w:sz w:val="24"/>
          <w:szCs w:val="24"/>
        </w:rPr>
        <w:t>the Executive Director of the Industrial Energy Users-Ohio (“IEU-Ohio”).  I am providing testimony on behalf of IEU-Ohio.</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Q3.</w:t>
      </w:r>
      <w:r>
        <w:rPr>
          <w:rFonts w:ascii="Arial" w:hAnsi="Arial" w:cs="Arial"/>
          <w:b/>
          <w:sz w:val="24"/>
          <w:szCs w:val="24"/>
        </w:rPr>
        <w:tab/>
        <w:t>Please describe your educational background.</w:t>
      </w:r>
    </w:p>
    <w:p w:rsidR="0024375F" w:rsidRDefault="000556C6">
      <w:pPr>
        <w:spacing w:before="240" w:after="0" w:line="480" w:lineRule="auto"/>
        <w:ind w:left="720" w:hanging="720"/>
        <w:jc w:val="both"/>
        <w:rPr>
          <w:rFonts w:ascii="Arial" w:hAnsi="Arial" w:cs="Arial"/>
          <w:sz w:val="24"/>
          <w:szCs w:val="24"/>
        </w:rPr>
      </w:pPr>
      <w:r>
        <w:rPr>
          <w:rFonts w:ascii="Arial" w:hAnsi="Arial" w:cs="Arial"/>
          <w:sz w:val="24"/>
          <w:szCs w:val="24"/>
        </w:rPr>
        <w:t>A3.</w:t>
      </w:r>
      <w:r>
        <w:rPr>
          <w:rFonts w:ascii="Arial" w:hAnsi="Arial" w:cs="Arial"/>
          <w:sz w:val="24"/>
          <w:szCs w:val="24"/>
        </w:rPr>
        <w:tab/>
        <w:t>I graduated from the University of Cincinnati in 1982 with a Bachelor of Science degree in Metallurgical Engineering.</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Q4.</w:t>
      </w:r>
      <w:r>
        <w:rPr>
          <w:rFonts w:ascii="Arial" w:hAnsi="Arial" w:cs="Arial"/>
          <w:b/>
          <w:sz w:val="24"/>
          <w:szCs w:val="24"/>
        </w:rPr>
        <w:tab/>
        <w:t>Please describe your professional experience.</w:t>
      </w:r>
    </w:p>
    <w:p w:rsidR="0024375F" w:rsidRDefault="000556C6">
      <w:pPr>
        <w:spacing w:before="240" w:after="0" w:line="480" w:lineRule="auto"/>
        <w:ind w:left="720" w:hanging="720"/>
        <w:jc w:val="both"/>
        <w:rPr>
          <w:rFonts w:ascii="Arial" w:hAnsi="Arial" w:cs="Arial"/>
          <w:b/>
          <w:sz w:val="24"/>
          <w:szCs w:val="24"/>
        </w:rPr>
      </w:pPr>
      <w:r>
        <w:rPr>
          <w:rFonts w:ascii="Arial" w:hAnsi="Arial" w:cs="Arial"/>
          <w:sz w:val="24"/>
          <w:szCs w:val="24"/>
        </w:rPr>
        <w:lastRenderedPageBreak/>
        <w:t>A4.</w:t>
      </w:r>
      <w:r>
        <w:rPr>
          <w:rFonts w:ascii="Arial" w:hAnsi="Arial" w:cs="Arial"/>
          <w:sz w:val="24"/>
          <w:szCs w:val="24"/>
        </w:rPr>
        <w:tab/>
        <w:t>I hav</w:t>
      </w:r>
      <w:r w:rsidR="002B53AA">
        <w:rPr>
          <w:rFonts w:ascii="Arial" w:hAnsi="Arial" w:cs="Arial"/>
          <w:sz w:val="24"/>
          <w:szCs w:val="24"/>
        </w:rPr>
        <w:t>e been employed by McNees for 16</w:t>
      </w:r>
      <w:r>
        <w:rPr>
          <w:rFonts w:ascii="Arial" w:hAnsi="Arial" w:cs="Arial"/>
          <w:sz w:val="24"/>
          <w:szCs w:val="24"/>
        </w:rPr>
        <w:t xml:space="preserve"> years </w:t>
      </w:r>
      <w:r>
        <w:rPr>
          <w:rStyle w:val="LineNumber"/>
          <w:rFonts w:ascii="Arial" w:hAnsi="Arial" w:cs="Arial"/>
          <w:sz w:val="24"/>
          <w:szCs w:val="24"/>
        </w:rPr>
        <w:t xml:space="preserve">where I focus </w:t>
      </w:r>
      <w:r>
        <w:rPr>
          <w:rFonts w:ascii="Arial" w:hAnsi="Arial" w:cs="Arial"/>
          <w:sz w:val="24"/>
          <w:szCs w:val="24"/>
        </w:rPr>
        <w:t xml:space="preserve">on helping </w:t>
      </w:r>
      <w:r>
        <w:rPr>
          <w:rFonts w:ascii="Arial" w:hAnsi="Arial" w:cs="Arial"/>
          <w:sz w:val="24"/>
          <w:szCs w:val="24"/>
        </w:rPr>
        <w:br/>
        <w:t>IEU-Ohio members address issues that affect the price and availability of utility services</w:t>
      </w:r>
      <w:r>
        <w:rPr>
          <w:rStyle w:val="LineNumber"/>
          <w:rFonts w:ascii="Arial" w:hAnsi="Arial" w:cs="Arial"/>
          <w:sz w:val="24"/>
          <w:szCs w:val="24"/>
        </w:rPr>
        <w:t xml:space="preserve">.  </w:t>
      </w:r>
      <w:r>
        <w:rPr>
          <w:rFonts w:ascii="Arial" w:hAnsi="Arial" w:cs="Arial"/>
          <w:sz w:val="24"/>
          <w:szCs w:val="24"/>
        </w:rPr>
        <w:t>I have also been actively involved, on behalf of commercial and industrial customers, in the formation of regional transmission operators (“RTOs”) and the organization of regional electricity markets from both the supply-side and demand-side perspective.  I serve as an end-use customer sect</w:t>
      </w:r>
      <w:r w:rsidR="00DD2C4B">
        <w:rPr>
          <w:rFonts w:ascii="Arial" w:hAnsi="Arial" w:cs="Arial"/>
          <w:sz w:val="24"/>
          <w:szCs w:val="24"/>
        </w:rPr>
        <w:t>or representative on the Midcontinent</w:t>
      </w:r>
      <w:r>
        <w:rPr>
          <w:rFonts w:ascii="Arial" w:hAnsi="Arial" w:cs="Arial"/>
          <w:sz w:val="24"/>
          <w:szCs w:val="24"/>
        </w:rPr>
        <w:t xml:space="preserve"> Independent System Operator, Inc.</w:t>
      </w:r>
      <w:r w:rsidR="008E710B">
        <w:rPr>
          <w:rStyle w:val="FootnoteReference"/>
          <w:rFonts w:ascii="Arial" w:hAnsi="Arial" w:cs="Arial"/>
          <w:sz w:val="24"/>
          <w:szCs w:val="24"/>
        </w:rPr>
        <w:footnoteReference w:id="1"/>
      </w:r>
      <w:r>
        <w:rPr>
          <w:rFonts w:ascii="Arial" w:hAnsi="Arial" w:cs="Arial"/>
          <w:sz w:val="24"/>
          <w:szCs w:val="24"/>
        </w:rPr>
        <w:t xml:space="preserve"> (“MISO”) Advisory Committee and I have been actively involved in MISO working groups that focus on various issues since 1999.  Prior to joining McNees, I was employed by the law firm of Kegler, Brown, Hill &amp; Ritter (“KBH&amp;R”) in a similar capacity.  Prior to joining KBH&amp;R, I spent 12 years with The Timken Company, a specialty steel and roller bearing manufacturer.  While at The Timken Company, I worked within a group that focused on meeting the electricity and natural gas requirements for facilities in the United States.  I also spent several years in supervisory positions within The Timken Company’s steelmaking operations.</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Q5.</w:t>
      </w:r>
      <w:r>
        <w:rPr>
          <w:rFonts w:ascii="Arial" w:hAnsi="Arial" w:cs="Arial"/>
          <w:b/>
          <w:sz w:val="24"/>
          <w:szCs w:val="24"/>
        </w:rPr>
        <w:tab/>
        <w:t>Have you previously testified before the Public Utilities Commission of Ohio (“Commission”)?</w:t>
      </w:r>
    </w:p>
    <w:p w:rsidR="0024375F" w:rsidRDefault="000556C6">
      <w:pPr>
        <w:spacing w:before="240" w:after="0" w:line="480" w:lineRule="auto"/>
        <w:ind w:left="720" w:hanging="720"/>
        <w:jc w:val="both"/>
        <w:rPr>
          <w:rFonts w:ascii="Arial" w:hAnsi="Arial" w:cs="Arial"/>
          <w:sz w:val="24"/>
          <w:szCs w:val="24"/>
        </w:rPr>
      </w:pPr>
      <w:r>
        <w:rPr>
          <w:rFonts w:ascii="Arial" w:hAnsi="Arial" w:cs="Arial"/>
          <w:sz w:val="24"/>
          <w:szCs w:val="24"/>
        </w:rPr>
        <w:t>A5.</w:t>
      </w:r>
      <w:r>
        <w:rPr>
          <w:rFonts w:ascii="Arial" w:hAnsi="Arial" w:cs="Arial"/>
          <w:sz w:val="24"/>
          <w:szCs w:val="24"/>
        </w:rPr>
        <w:tab/>
        <w:t>Yes.  The proceedings before the Commission in which I have submitted expert testimony are identified in Exhibit KMM-1.</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Q6.</w:t>
      </w:r>
      <w:r>
        <w:rPr>
          <w:rFonts w:ascii="Arial" w:hAnsi="Arial" w:cs="Arial"/>
          <w:b/>
          <w:sz w:val="24"/>
          <w:szCs w:val="24"/>
        </w:rPr>
        <w:tab/>
        <w:t>What is the purpose of your testimony?</w:t>
      </w:r>
    </w:p>
    <w:p w:rsidR="00EE1CBB" w:rsidRDefault="000556C6" w:rsidP="00EE1CBB">
      <w:pPr>
        <w:spacing w:before="240" w:after="0" w:line="480" w:lineRule="auto"/>
        <w:ind w:left="720" w:hanging="720"/>
        <w:jc w:val="both"/>
        <w:rPr>
          <w:b/>
          <w:sz w:val="24"/>
          <w:szCs w:val="24"/>
        </w:rPr>
      </w:pPr>
      <w:r>
        <w:rPr>
          <w:sz w:val="24"/>
          <w:szCs w:val="24"/>
        </w:rPr>
        <w:lastRenderedPageBreak/>
        <w:t>A6.</w:t>
      </w:r>
      <w:r>
        <w:rPr>
          <w:sz w:val="24"/>
          <w:szCs w:val="24"/>
        </w:rPr>
        <w:tab/>
        <w:t xml:space="preserve">The purpose of my testimony is to recommend that the Commission </w:t>
      </w:r>
      <w:r w:rsidR="00EA5796">
        <w:rPr>
          <w:sz w:val="24"/>
          <w:szCs w:val="24"/>
        </w:rPr>
        <w:t>establish a maximum</w:t>
      </w:r>
      <w:r w:rsidR="004D7E76">
        <w:rPr>
          <w:sz w:val="24"/>
          <w:szCs w:val="24"/>
        </w:rPr>
        <w:t xml:space="preserve"> starting price or </w:t>
      </w:r>
      <w:r w:rsidR="0083518C">
        <w:rPr>
          <w:sz w:val="24"/>
          <w:szCs w:val="24"/>
        </w:rPr>
        <w:t xml:space="preserve">reserve price </w:t>
      </w:r>
      <w:r w:rsidR="00EE1CBB">
        <w:rPr>
          <w:sz w:val="24"/>
          <w:szCs w:val="24"/>
        </w:rPr>
        <w:t xml:space="preserve">for the competitive bidding process (“CBP”) proposed by Ohio Power Company </w:t>
      </w:r>
      <w:r w:rsidR="00405763">
        <w:rPr>
          <w:sz w:val="24"/>
          <w:szCs w:val="24"/>
        </w:rPr>
        <w:t>(</w:t>
      </w:r>
      <w:r w:rsidR="007B6F4E">
        <w:rPr>
          <w:sz w:val="24"/>
          <w:szCs w:val="24"/>
        </w:rPr>
        <w:t>AEP-Ohio</w:t>
      </w:r>
      <w:r w:rsidR="00405763">
        <w:rPr>
          <w:sz w:val="24"/>
          <w:szCs w:val="24"/>
        </w:rPr>
        <w:t>)</w:t>
      </w:r>
      <w:r w:rsidR="00405763">
        <w:rPr>
          <w:rStyle w:val="FootnoteReference"/>
          <w:sz w:val="24"/>
          <w:szCs w:val="24"/>
        </w:rPr>
        <w:footnoteReference w:id="2"/>
      </w:r>
      <w:r w:rsidR="00405763">
        <w:rPr>
          <w:sz w:val="24"/>
          <w:szCs w:val="24"/>
        </w:rPr>
        <w:t xml:space="preserve"> </w:t>
      </w:r>
      <w:r w:rsidR="00EE1CBB">
        <w:rPr>
          <w:sz w:val="24"/>
          <w:szCs w:val="24"/>
        </w:rPr>
        <w:t>equal to the forecast fuel adjustment clause (“FAC”) rate</w:t>
      </w:r>
      <w:r w:rsidR="0073027B">
        <w:rPr>
          <w:sz w:val="24"/>
          <w:szCs w:val="24"/>
        </w:rPr>
        <w:t>s</w:t>
      </w:r>
      <w:r w:rsidR="00EE1CBB">
        <w:rPr>
          <w:sz w:val="24"/>
          <w:szCs w:val="24"/>
        </w:rPr>
        <w:t xml:space="preserve"> expected to be in effect during the delivery period for the energy secured through the CBP.  </w:t>
      </w:r>
      <w:r w:rsidR="0083518C">
        <w:rPr>
          <w:sz w:val="24"/>
          <w:szCs w:val="24"/>
        </w:rPr>
        <w:t xml:space="preserve">There should be a different reserve price for both the Ohio Power Company and Columbus Southern Power </w:t>
      </w:r>
      <w:r w:rsidR="008E710B">
        <w:rPr>
          <w:sz w:val="24"/>
          <w:szCs w:val="24"/>
        </w:rPr>
        <w:t>Company r</w:t>
      </w:r>
      <w:r w:rsidR="0083518C">
        <w:rPr>
          <w:sz w:val="24"/>
          <w:szCs w:val="24"/>
        </w:rPr>
        <w:t xml:space="preserve">ate zones to reflect the fact that each company presently has unique FAC rates. </w:t>
      </w:r>
    </w:p>
    <w:p w:rsidR="0024375F" w:rsidRPr="003F21AF" w:rsidRDefault="003F21AF" w:rsidP="003F21AF">
      <w:pPr>
        <w:spacing w:before="240" w:after="0" w:line="480" w:lineRule="auto"/>
        <w:ind w:left="720" w:hanging="720"/>
        <w:jc w:val="both"/>
        <w:rPr>
          <w:rFonts w:ascii="Arial" w:eastAsiaTheme="minorHAnsi" w:hAnsi="Arial" w:cs="Arial"/>
          <w:b/>
          <w:sz w:val="24"/>
          <w:szCs w:val="24"/>
        </w:rPr>
      </w:pPr>
      <w:r w:rsidRPr="003F21AF">
        <w:rPr>
          <w:b/>
          <w:sz w:val="24"/>
          <w:szCs w:val="24"/>
        </w:rPr>
        <w:t>II.</w:t>
      </w:r>
      <w:r w:rsidRPr="003F21AF">
        <w:rPr>
          <w:b/>
          <w:sz w:val="24"/>
          <w:szCs w:val="24"/>
        </w:rPr>
        <w:tab/>
        <w:t>HISTORY OF THIS PROCEEDING</w:t>
      </w:r>
      <w:r w:rsidRPr="003F21AF">
        <w:rPr>
          <w:rFonts w:ascii="Arial" w:eastAsiaTheme="minorHAnsi" w:hAnsi="Arial" w:cs="Arial"/>
          <w:b/>
          <w:sz w:val="24"/>
          <w:szCs w:val="24"/>
        </w:rPr>
        <w:t xml:space="preserve"> </w:t>
      </w:r>
    </w:p>
    <w:p w:rsidR="003F21AF" w:rsidRDefault="000556C6">
      <w:pPr>
        <w:autoSpaceDE w:val="0"/>
        <w:autoSpaceDN w:val="0"/>
        <w:adjustRightInd w:val="0"/>
        <w:spacing w:before="240" w:after="0" w:line="480" w:lineRule="auto"/>
        <w:jc w:val="both"/>
        <w:rPr>
          <w:rFonts w:ascii="Arial" w:eastAsiaTheme="minorHAnsi" w:hAnsi="Arial" w:cs="Arial"/>
          <w:b/>
          <w:sz w:val="24"/>
          <w:szCs w:val="24"/>
        </w:rPr>
      </w:pPr>
      <w:r>
        <w:rPr>
          <w:rFonts w:ascii="Arial" w:eastAsiaTheme="minorHAnsi" w:hAnsi="Arial" w:cs="Arial"/>
          <w:b/>
          <w:sz w:val="24"/>
          <w:szCs w:val="24"/>
        </w:rPr>
        <w:t>Q</w:t>
      </w:r>
      <w:r w:rsidR="003F21AF">
        <w:rPr>
          <w:rFonts w:ascii="Arial" w:eastAsiaTheme="minorHAnsi" w:hAnsi="Arial" w:cs="Arial"/>
          <w:b/>
          <w:sz w:val="24"/>
          <w:szCs w:val="24"/>
        </w:rPr>
        <w:t>7</w:t>
      </w:r>
      <w:r>
        <w:rPr>
          <w:rFonts w:ascii="Arial" w:eastAsiaTheme="minorHAnsi" w:hAnsi="Arial" w:cs="Arial"/>
          <w:b/>
          <w:sz w:val="24"/>
          <w:szCs w:val="24"/>
        </w:rPr>
        <w:t>.</w:t>
      </w:r>
      <w:r>
        <w:rPr>
          <w:rFonts w:ascii="Arial" w:eastAsiaTheme="minorHAnsi" w:hAnsi="Arial" w:cs="Arial"/>
          <w:b/>
          <w:sz w:val="24"/>
          <w:szCs w:val="24"/>
        </w:rPr>
        <w:tab/>
      </w:r>
      <w:r w:rsidR="003F21AF">
        <w:rPr>
          <w:rFonts w:ascii="Arial" w:eastAsiaTheme="minorHAnsi" w:hAnsi="Arial" w:cs="Arial"/>
          <w:b/>
          <w:sz w:val="24"/>
          <w:szCs w:val="24"/>
        </w:rPr>
        <w:t>Are you familiar with the history of this proceeding?</w:t>
      </w:r>
    </w:p>
    <w:p w:rsidR="00BB3C33" w:rsidRDefault="00A73B72" w:rsidP="00EE1CBB">
      <w:pPr>
        <w:autoSpaceDE w:val="0"/>
        <w:autoSpaceDN w:val="0"/>
        <w:adjustRightInd w:val="0"/>
        <w:spacing w:before="240" w:after="0" w:line="480" w:lineRule="auto"/>
        <w:ind w:left="720" w:hanging="720"/>
        <w:jc w:val="both"/>
        <w:rPr>
          <w:rFonts w:ascii="Arial" w:eastAsiaTheme="minorHAnsi" w:hAnsi="Arial" w:cs="Arial"/>
          <w:sz w:val="24"/>
          <w:szCs w:val="24"/>
        </w:rPr>
      </w:pPr>
      <w:r>
        <w:rPr>
          <w:rFonts w:ascii="Arial" w:eastAsiaTheme="minorHAnsi" w:hAnsi="Arial" w:cs="Arial"/>
          <w:sz w:val="24"/>
          <w:szCs w:val="24"/>
        </w:rPr>
        <w:t>A7</w:t>
      </w:r>
      <w:r w:rsidR="008E710B">
        <w:rPr>
          <w:rFonts w:ascii="Arial" w:eastAsiaTheme="minorHAnsi" w:hAnsi="Arial" w:cs="Arial"/>
          <w:sz w:val="24"/>
          <w:szCs w:val="24"/>
        </w:rPr>
        <w:t>.</w:t>
      </w:r>
      <w:r w:rsidR="000556C6">
        <w:rPr>
          <w:rFonts w:ascii="Arial" w:eastAsiaTheme="minorHAnsi" w:hAnsi="Arial" w:cs="Arial"/>
          <w:sz w:val="24"/>
          <w:szCs w:val="24"/>
        </w:rPr>
        <w:tab/>
      </w:r>
      <w:r w:rsidR="008E1BD2">
        <w:rPr>
          <w:rFonts w:ascii="Arial" w:eastAsiaTheme="minorHAnsi" w:hAnsi="Arial" w:cs="Arial"/>
          <w:sz w:val="24"/>
          <w:szCs w:val="24"/>
        </w:rPr>
        <w:t xml:space="preserve">Yes. </w:t>
      </w:r>
      <w:r w:rsidR="004A36B7">
        <w:rPr>
          <w:rFonts w:ascii="Arial" w:eastAsiaTheme="minorHAnsi" w:hAnsi="Arial" w:cs="Arial"/>
          <w:sz w:val="24"/>
          <w:szCs w:val="24"/>
        </w:rPr>
        <w:t xml:space="preserve"> </w:t>
      </w:r>
      <w:r w:rsidR="008E1BD2">
        <w:rPr>
          <w:rFonts w:ascii="Arial" w:eastAsiaTheme="minorHAnsi" w:hAnsi="Arial" w:cs="Arial"/>
          <w:sz w:val="24"/>
          <w:szCs w:val="24"/>
        </w:rPr>
        <w:t xml:space="preserve">This proceeding is an outgrowth of the Commission’s approval of </w:t>
      </w:r>
      <w:r w:rsidR="007B6F4E">
        <w:rPr>
          <w:rFonts w:ascii="Arial" w:eastAsiaTheme="minorHAnsi" w:hAnsi="Arial" w:cs="Arial"/>
          <w:sz w:val="24"/>
          <w:szCs w:val="24"/>
        </w:rPr>
        <w:t>AEP-Ohio</w:t>
      </w:r>
      <w:r w:rsidR="008E1BD2">
        <w:rPr>
          <w:rFonts w:ascii="Arial" w:eastAsiaTheme="minorHAnsi" w:hAnsi="Arial" w:cs="Arial"/>
          <w:sz w:val="24"/>
          <w:szCs w:val="24"/>
        </w:rPr>
        <w:t xml:space="preserve">’s most recent electric security plan </w:t>
      </w:r>
      <w:r w:rsidR="008E710B">
        <w:rPr>
          <w:rFonts w:ascii="Arial" w:eastAsiaTheme="minorHAnsi" w:hAnsi="Arial" w:cs="Arial"/>
          <w:sz w:val="24"/>
          <w:szCs w:val="24"/>
        </w:rPr>
        <w:t xml:space="preserve">(“ESP”) </w:t>
      </w:r>
      <w:r w:rsidR="008E1BD2">
        <w:rPr>
          <w:rFonts w:ascii="Arial" w:eastAsiaTheme="minorHAnsi" w:hAnsi="Arial" w:cs="Arial"/>
          <w:sz w:val="24"/>
          <w:szCs w:val="24"/>
        </w:rPr>
        <w:t>proceeding in Case No</w:t>
      </w:r>
      <w:r w:rsidR="008E710B">
        <w:rPr>
          <w:rFonts w:ascii="Arial" w:eastAsiaTheme="minorHAnsi" w:hAnsi="Arial" w:cs="Arial"/>
          <w:sz w:val="24"/>
          <w:szCs w:val="24"/>
        </w:rPr>
        <w:t>s</w:t>
      </w:r>
      <w:r w:rsidR="008E1BD2">
        <w:rPr>
          <w:rFonts w:ascii="Arial" w:eastAsiaTheme="minorHAnsi" w:hAnsi="Arial" w:cs="Arial"/>
          <w:sz w:val="24"/>
          <w:szCs w:val="24"/>
        </w:rPr>
        <w:t xml:space="preserve">. 11-346-EL-SSO, </w:t>
      </w:r>
      <w:r w:rsidR="008E1BD2" w:rsidRPr="008E1BD2">
        <w:rPr>
          <w:rFonts w:ascii="Arial" w:eastAsiaTheme="minorHAnsi" w:hAnsi="Arial" w:cs="Arial"/>
          <w:i/>
          <w:sz w:val="24"/>
          <w:szCs w:val="24"/>
        </w:rPr>
        <w:t>et al</w:t>
      </w:r>
      <w:r w:rsidR="008E710B">
        <w:rPr>
          <w:rFonts w:ascii="Arial" w:eastAsiaTheme="minorHAnsi" w:hAnsi="Arial" w:cs="Arial"/>
          <w:i/>
          <w:sz w:val="24"/>
          <w:szCs w:val="24"/>
        </w:rPr>
        <w:t>.</w:t>
      </w:r>
      <w:r w:rsidR="004D7E76">
        <w:rPr>
          <w:rStyle w:val="FootnoteReference"/>
          <w:rFonts w:ascii="Arial" w:eastAsiaTheme="minorHAnsi" w:hAnsi="Arial" w:cs="Arial"/>
          <w:i/>
          <w:sz w:val="24"/>
          <w:szCs w:val="24"/>
        </w:rPr>
        <w:footnoteReference w:id="3"/>
      </w:r>
      <w:r w:rsidR="008E1BD2">
        <w:rPr>
          <w:rFonts w:ascii="Arial" w:eastAsiaTheme="minorHAnsi" w:hAnsi="Arial" w:cs="Arial"/>
          <w:i/>
          <w:sz w:val="24"/>
          <w:szCs w:val="24"/>
        </w:rPr>
        <w:t xml:space="preserve"> </w:t>
      </w:r>
      <w:r w:rsidR="008E1BD2">
        <w:rPr>
          <w:rFonts w:ascii="Arial" w:eastAsiaTheme="minorHAnsi" w:hAnsi="Arial" w:cs="Arial"/>
          <w:sz w:val="24"/>
          <w:szCs w:val="24"/>
        </w:rPr>
        <w:t xml:space="preserve"> </w:t>
      </w:r>
      <w:r w:rsidR="007B6F4E">
        <w:rPr>
          <w:rFonts w:ascii="Arial" w:eastAsiaTheme="minorHAnsi" w:hAnsi="Arial" w:cs="Arial"/>
          <w:sz w:val="24"/>
          <w:szCs w:val="24"/>
        </w:rPr>
        <w:t xml:space="preserve"> </w:t>
      </w:r>
      <w:r w:rsidR="008E1BD2">
        <w:rPr>
          <w:rFonts w:ascii="Arial" w:eastAsiaTheme="minorHAnsi" w:hAnsi="Arial" w:cs="Arial"/>
          <w:sz w:val="24"/>
          <w:szCs w:val="24"/>
        </w:rPr>
        <w:t xml:space="preserve">In its application proposing its </w:t>
      </w:r>
      <w:r w:rsidR="008E710B">
        <w:rPr>
          <w:rFonts w:ascii="Arial" w:eastAsiaTheme="minorHAnsi" w:hAnsi="Arial" w:cs="Arial"/>
          <w:sz w:val="24"/>
          <w:szCs w:val="24"/>
        </w:rPr>
        <w:t>ESP,</w:t>
      </w:r>
      <w:r w:rsidR="008E1BD2">
        <w:rPr>
          <w:rFonts w:ascii="Arial" w:eastAsiaTheme="minorHAnsi" w:hAnsi="Arial" w:cs="Arial"/>
          <w:sz w:val="24"/>
          <w:szCs w:val="24"/>
        </w:rPr>
        <w:t xml:space="preserve"> </w:t>
      </w:r>
      <w:r w:rsidR="007B6F4E">
        <w:rPr>
          <w:rFonts w:ascii="Arial" w:eastAsiaTheme="minorHAnsi" w:hAnsi="Arial" w:cs="Arial"/>
          <w:sz w:val="24"/>
          <w:szCs w:val="24"/>
        </w:rPr>
        <w:t>AEP-Ohio</w:t>
      </w:r>
      <w:r w:rsidR="008E1BD2">
        <w:rPr>
          <w:rFonts w:ascii="Arial" w:eastAsiaTheme="minorHAnsi" w:hAnsi="Arial" w:cs="Arial"/>
          <w:sz w:val="24"/>
          <w:szCs w:val="24"/>
        </w:rPr>
        <w:t xml:space="preserve"> proposed to conduct a CBP </w:t>
      </w:r>
      <w:r w:rsidR="00857DBD">
        <w:rPr>
          <w:rFonts w:ascii="Arial" w:eastAsiaTheme="minorHAnsi" w:hAnsi="Arial" w:cs="Arial"/>
          <w:sz w:val="24"/>
          <w:szCs w:val="24"/>
        </w:rPr>
        <w:t xml:space="preserve">through an energy-only slice of the system auction. </w:t>
      </w:r>
      <w:r w:rsidR="007B6F4E">
        <w:rPr>
          <w:rFonts w:ascii="Arial" w:eastAsiaTheme="minorHAnsi" w:hAnsi="Arial" w:cs="Arial"/>
          <w:sz w:val="24"/>
          <w:szCs w:val="24"/>
        </w:rPr>
        <w:t xml:space="preserve"> AEP-Ohio</w:t>
      </w:r>
      <w:r w:rsidR="00405763">
        <w:rPr>
          <w:rFonts w:ascii="Arial" w:eastAsiaTheme="minorHAnsi" w:hAnsi="Arial" w:cs="Arial"/>
          <w:sz w:val="24"/>
          <w:szCs w:val="24"/>
        </w:rPr>
        <w:t xml:space="preserve"> </w:t>
      </w:r>
      <w:r w:rsidR="00857DBD">
        <w:rPr>
          <w:rFonts w:ascii="Arial" w:eastAsiaTheme="minorHAnsi" w:hAnsi="Arial" w:cs="Arial"/>
          <w:sz w:val="24"/>
          <w:szCs w:val="24"/>
        </w:rPr>
        <w:t xml:space="preserve">proposed to conduct an </w:t>
      </w:r>
      <w:r w:rsidR="00F53DCC">
        <w:rPr>
          <w:rFonts w:ascii="Arial" w:eastAsiaTheme="minorHAnsi" w:hAnsi="Arial" w:cs="Arial"/>
          <w:sz w:val="24"/>
          <w:szCs w:val="24"/>
        </w:rPr>
        <w:t xml:space="preserve">energy-only slice of the system </w:t>
      </w:r>
      <w:r w:rsidR="00857DBD">
        <w:rPr>
          <w:rFonts w:ascii="Arial" w:eastAsiaTheme="minorHAnsi" w:hAnsi="Arial" w:cs="Arial"/>
          <w:sz w:val="24"/>
          <w:szCs w:val="24"/>
        </w:rPr>
        <w:t xml:space="preserve">auction for five percent of its standard </w:t>
      </w:r>
      <w:r w:rsidR="007B6F4E">
        <w:rPr>
          <w:rFonts w:ascii="Arial" w:eastAsiaTheme="minorHAnsi" w:hAnsi="Arial" w:cs="Arial"/>
          <w:sz w:val="24"/>
          <w:szCs w:val="24"/>
        </w:rPr>
        <w:t xml:space="preserve">service </w:t>
      </w:r>
      <w:r w:rsidR="00857DBD">
        <w:rPr>
          <w:rFonts w:ascii="Arial" w:eastAsiaTheme="minorHAnsi" w:hAnsi="Arial" w:cs="Arial"/>
          <w:sz w:val="24"/>
          <w:szCs w:val="24"/>
        </w:rPr>
        <w:t xml:space="preserve">offer </w:t>
      </w:r>
      <w:r w:rsidR="008E710B">
        <w:rPr>
          <w:rFonts w:ascii="Arial" w:eastAsiaTheme="minorHAnsi" w:hAnsi="Arial" w:cs="Arial"/>
          <w:sz w:val="24"/>
          <w:szCs w:val="24"/>
        </w:rPr>
        <w:t xml:space="preserve">(“SSO”) </w:t>
      </w:r>
      <w:r w:rsidR="00857DBD">
        <w:rPr>
          <w:rFonts w:ascii="Arial" w:eastAsiaTheme="minorHAnsi" w:hAnsi="Arial" w:cs="Arial"/>
          <w:sz w:val="24"/>
          <w:szCs w:val="24"/>
        </w:rPr>
        <w:t xml:space="preserve">load within six months of a final Commission order in </w:t>
      </w:r>
      <w:r w:rsidR="00CE4D12">
        <w:rPr>
          <w:rFonts w:ascii="Arial" w:eastAsiaTheme="minorHAnsi" w:hAnsi="Arial" w:cs="Arial"/>
          <w:sz w:val="24"/>
          <w:szCs w:val="24"/>
        </w:rPr>
        <w:t>Case No. 12-11</w:t>
      </w:r>
      <w:r w:rsidR="00F53DCC">
        <w:rPr>
          <w:rFonts w:ascii="Arial" w:eastAsiaTheme="minorHAnsi" w:hAnsi="Arial" w:cs="Arial"/>
          <w:sz w:val="24"/>
          <w:szCs w:val="24"/>
        </w:rPr>
        <w:t>26-EL-UNC</w:t>
      </w:r>
      <w:r w:rsidR="00857DBD">
        <w:rPr>
          <w:rFonts w:ascii="Arial" w:eastAsiaTheme="minorHAnsi" w:hAnsi="Arial" w:cs="Arial"/>
          <w:sz w:val="24"/>
          <w:szCs w:val="24"/>
        </w:rPr>
        <w:t xml:space="preserve">, followed by an </w:t>
      </w:r>
      <w:r w:rsidR="004A36B7">
        <w:rPr>
          <w:rFonts w:ascii="Arial" w:eastAsiaTheme="minorHAnsi" w:hAnsi="Arial" w:cs="Arial"/>
          <w:sz w:val="24"/>
          <w:szCs w:val="24"/>
        </w:rPr>
        <w:t>energy-</w:t>
      </w:r>
      <w:r w:rsidR="008E710B">
        <w:rPr>
          <w:rFonts w:ascii="Arial" w:eastAsiaTheme="minorHAnsi" w:hAnsi="Arial" w:cs="Arial"/>
          <w:sz w:val="24"/>
          <w:szCs w:val="24"/>
        </w:rPr>
        <w:t>only</w:t>
      </w:r>
      <w:r w:rsidR="00857DBD">
        <w:rPr>
          <w:rFonts w:ascii="Arial" w:eastAsiaTheme="minorHAnsi" w:hAnsi="Arial" w:cs="Arial"/>
          <w:sz w:val="24"/>
          <w:szCs w:val="24"/>
        </w:rPr>
        <w:t xml:space="preserve"> auction for </w:t>
      </w:r>
      <w:r w:rsidR="004A36B7">
        <w:rPr>
          <w:rFonts w:ascii="Arial" w:eastAsiaTheme="minorHAnsi" w:hAnsi="Arial" w:cs="Arial"/>
          <w:sz w:val="24"/>
          <w:szCs w:val="24"/>
        </w:rPr>
        <w:lastRenderedPageBreak/>
        <w:t>100%</w:t>
      </w:r>
      <w:r w:rsidR="00857DBD">
        <w:rPr>
          <w:rFonts w:ascii="Arial" w:eastAsiaTheme="minorHAnsi" w:hAnsi="Arial" w:cs="Arial"/>
          <w:sz w:val="24"/>
          <w:szCs w:val="24"/>
        </w:rPr>
        <w:t xml:space="preserve"> </w:t>
      </w:r>
      <w:r w:rsidR="008E1BD2">
        <w:rPr>
          <w:rFonts w:ascii="Arial" w:eastAsiaTheme="minorHAnsi" w:hAnsi="Arial" w:cs="Arial"/>
          <w:sz w:val="24"/>
          <w:szCs w:val="24"/>
        </w:rPr>
        <w:t>for</w:t>
      </w:r>
      <w:r w:rsidR="00857DBD">
        <w:rPr>
          <w:rFonts w:ascii="Arial" w:eastAsiaTheme="minorHAnsi" w:hAnsi="Arial" w:cs="Arial"/>
          <w:sz w:val="24"/>
          <w:szCs w:val="24"/>
        </w:rPr>
        <w:t xml:space="preserve"> delivery beginning January 1, 2015.</w:t>
      </w:r>
      <w:r w:rsidR="00181BAA">
        <w:rPr>
          <w:rStyle w:val="FootnoteReference"/>
          <w:rFonts w:ascii="Arial" w:eastAsiaTheme="minorHAnsi" w:hAnsi="Arial" w:cs="Arial"/>
          <w:sz w:val="24"/>
          <w:szCs w:val="24"/>
        </w:rPr>
        <w:footnoteReference w:id="4"/>
      </w:r>
      <w:r w:rsidR="007B6F4E">
        <w:rPr>
          <w:rFonts w:ascii="Arial" w:eastAsiaTheme="minorHAnsi" w:hAnsi="Arial" w:cs="Arial"/>
          <w:sz w:val="24"/>
          <w:szCs w:val="24"/>
        </w:rPr>
        <w:t xml:space="preserve"> </w:t>
      </w:r>
      <w:r w:rsidR="00857DBD">
        <w:rPr>
          <w:rFonts w:ascii="Arial" w:eastAsiaTheme="minorHAnsi" w:hAnsi="Arial" w:cs="Arial"/>
          <w:sz w:val="24"/>
          <w:szCs w:val="24"/>
        </w:rPr>
        <w:t xml:space="preserve"> </w:t>
      </w:r>
      <w:r w:rsidR="007B6F4E">
        <w:rPr>
          <w:rFonts w:ascii="Arial" w:eastAsiaTheme="minorHAnsi" w:hAnsi="Arial" w:cs="Arial"/>
          <w:sz w:val="24"/>
          <w:szCs w:val="24"/>
        </w:rPr>
        <w:t>AEP-Ohio</w:t>
      </w:r>
      <w:r w:rsidR="00405763">
        <w:rPr>
          <w:rFonts w:ascii="Arial" w:eastAsiaTheme="minorHAnsi" w:hAnsi="Arial" w:cs="Arial"/>
          <w:sz w:val="24"/>
          <w:szCs w:val="24"/>
        </w:rPr>
        <w:t xml:space="preserve">’s </w:t>
      </w:r>
      <w:r w:rsidR="008E710B">
        <w:rPr>
          <w:rFonts w:ascii="Arial" w:eastAsiaTheme="minorHAnsi" w:hAnsi="Arial" w:cs="Arial"/>
          <w:sz w:val="24"/>
          <w:szCs w:val="24"/>
        </w:rPr>
        <w:t>ESP</w:t>
      </w:r>
      <w:r w:rsidR="00857DBD">
        <w:rPr>
          <w:rFonts w:ascii="Arial" w:eastAsiaTheme="minorHAnsi" w:hAnsi="Arial" w:cs="Arial"/>
          <w:sz w:val="24"/>
          <w:szCs w:val="24"/>
        </w:rPr>
        <w:t xml:space="preserve"> application did not provide any substantive details regarding how the CBP would be conducted or how the results of the CBP process would be translated into retail rates paid by </w:t>
      </w:r>
      <w:r w:rsidR="008E710B">
        <w:rPr>
          <w:rFonts w:ascii="Arial" w:eastAsiaTheme="minorHAnsi" w:hAnsi="Arial" w:cs="Arial"/>
          <w:sz w:val="24"/>
          <w:szCs w:val="24"/>
        </w:rPr>
        <w:t>SSO</w:t>
      </w:r>
      <w:r w:rsidR="00857DBD">
        <w:rPr>
          <w:rFonts w:ascii="Arial" w:eastAsiaTheme="minorHAnsi" w:hAnsi="Arial" w:cs="Arial"/>
          <w:sz w:val="24"/>
          <w:szCs w:val="24"/>
        </w:rPr>
        <w:t xml:space="preserve"> customers.</w:t>
      </w:r>
      <w:r w:rsidR="00181BAA">
        <w:rPr>
          <w:rStyle w:val="FootnoteReference"/>
          <w:rFonts w:ascii="Arial" w:eastAsiaTheme="minorHAnsi" w:hAnsi="Arial" w:cs="Arial"/>
          <w:sz w:val="24"/>
          <w:szCs w:val="24"/>
        </w:rPr>
        <w:footnoteReference w:id="5"/>
      </w:r>
    </w:p>
    <w:p w:rsidR="00857DBD" w:rsidRDefault="008E710B" w:rsidP="00857DBD">
      <w:pPr>
        <w:autoSpaceDE w:val="0"/>
        <w:autoSpaceDN w:val="0"/>
        <w:adjustRightInd w:val="0"/>
        <w:spacing w:before="240" w:after="0" w:line="480" w:lineRule="auto"/>
        <w:ind w:left="720"/>
        <w:jc w:val="both"/>
        <w:rPr>
          <w:rFonts w:ascii="Arial" w:eastAsiaTheme="minorHAnsi" w:hAnsi="Arial" w:cs="Arial"/>
          <w:sz w:val="24"/>
          <w:szCs w:val="24"/>
        </w:rPr>
      </w:pPr>
      <w:r>
        <w:rPr>
          <w:rFonts w:ascii="Arial" w:eastAsiaTheme="minorHAnsi" w:hAnsi="Arial" w:cs="Arial"/>
          <w:sz w:val="24"/>
          <w:szCs w:val="24"/>
        </w:rPr>
        <w:t xml:space="preserve">In its </w:t>
      </w:r>
      <w:r w:rsidR="004D7E76" w:rsidRPr="00CE1CCD">
        <w:rPr>
          <w:rFonts w:ascii="Arial" w:eastAsiaTheme="minorHAnsi" w:hAnsi="Arial" w:cs="Arial"/>
          <w:i/>
          <w:sz w:val="24"/>
          <w:szCs w:val="24"/>
        </w:rPr>
        <w:t>ESP II O</w:t>
      </w:r>
      <w:r w:rsidR="00857DBD" w:rsidRPr="00CE1CCD">
        <w:rPr>
          <w:rFonts w:ascii="Arial" w:eastAsiaTheme="minorHAnsi" w:hAnsi="Arial" w:cs="Arial"/>
          <w:i/>
          <w:sz w:val="24"/>
          <w:szCs w:val="24"/>
        </w:rPr>
        <w:t>rder</w:t>
      </w:r>
      <w:r w:rsidR="00857DBD">
        <w:rPr>
          <w:rFonts w:ascii="Arial" w:eastAsiaTheme="minorHAnsi" w:hAnsi="Arial" w:cs="Arial"/>
          <w:sz w:val="24"/>
          <w:szCs w:val="24"/>
        </w:rPr>
        <w:t xml:space="preserve">, the Commission modified </w:t>
      </w:r>
      <w:r w:rsidR="007B6F4E">
        <w:rPr>
          <w:rFonts w:ascii="Arial" w:eastAsiaTheme="minorHAnsi" w:hAnsi="Arial" w:cs="Arial"/>
          <w:sz w:val="24"/>
          <w:szCs w:val="24"/>
        </w:rPr>
        <w:t>AEP-Ohio</w:t>
      </w:r>
      <w:r w:rsidR="00405763">
        <w:rPr>
          <w:rFonts w:ascii="Arial" w:eastAsiaTheme="minorHAnsi" w:hAnsi="Arial" w:cs="Arial"/>
          <w:sz w:val="24"/>
          <w:szCs w:val="24"/>
        </w:rPr>
        <w:t>’s</w:t>
      </w:r>
      <w:r w:rsidR="00857DBD">
        <w:rPr>
          <w:rFonts w:ascii="Arial" w:eastAsiaTheme="minorHAnsi" w:hAnsi="Arial" w:cs="Arial"/>
          <w:sz w:val="24"/>
          <w:szCs w:val="24"/>
        </w:rPr>
        <w:t xml:space="preserve"> CBP proposal to require the initial energy-only slice of the system auction to obtain generation supply for </w:t>
      </w:r>
      <w:r>
        <w:rPr>
          <w:rFonts w:ascii="Arial" w:eastAsiaTheme="minorHAnsi" w:hAnsi="Arial" w:cs="Arial"/>
          <w:sz w:val="24"/>
          <w:szCs w:val="24"/>
        </w:rPr>
        <w:t>10%</w:t>
      </w:r>
      <w:r w:rsidR="00857DBD">
        <w:rPr>
          <w:rFonts w:ascii="Arial" w:eastAsiaTheme="minorHAnsi" w:hAnsi="Arial" w:cs="Arial"/>
          <w:sz w:val="24"/>
          <w:szCs w:val="24"/>
        </w:rPr>
        <w:t xml:space="preserve"> of the </w:t>
      </w:r>
      <w:r>
        <w:rPr>
          <w:rFonts w:ascii="Arial" w:eastAsiaTheme="minorHAnsi" w:hAnsi="Arial" w:cs="Arial"/>
          <w:sz w:val="24"/>
          <w:szCs w:val="24"/>
        </w:rPr>
        <w:t>SSO</w:t>
      </w:r>
      <w:r w:rsidR="00857DBD">
        <w:rPr>
          <w:rFonts w:ascii="Arial" w:eastAsiaTheme="minorHAnsi" w:hAnsi="Arial" w:cs="Arial"/>
          <w:sz w:val="24"/>
          <w:szCs w:val="24"/>
        </w:rPr>
        <w:t xml:space="preserve"> load. </w:t>
      </w:r>
      <w:r w:rsidR="00181BAA">
        <w:rPr>
          <w:rFonts w:ascii="Arial" w:eastAsiaTheme="minorHAnsi" w:hAnsi="Arial" w:cs="Arial"/>
          <w:sz w:val="24"/>
          <w:szCs w:val="24"/>
        </w:rPr>
        <w:t xml:space="preserve"> Further, it ordere</w:t>
      </w:r>
      <w:r w:rsidR="004A36B7">
        <w:rPr>
          <w:rFonts w:ascii="Arial" w:eastAsiaTheme="minorHAnsi" w:hAnsi="Arial" w:cs="Arial"/>
          <w:sz w:val="24"/>
          <w:szCs w:val="24"/>
        </w:rPr>
        <w:t>d AEP-Ohio to conduct an energy-</w:t>
      </w:r>
      <w:r>
        <w:rPr>
          <w:rFonts w:ascii="Arial" w:eastAsiaTheme="minorHAnsi" w:hAnsi="Arial" w:cs="Arial"/>
          <w:sz w:val="24"/>
          <w:szCs w:val="24"/>
        </w:rPr>
        <w:t xml:space="preserve">only </w:t>
      </w:r>
      <w:r w:rsidR="00181BAA">
        <w:rPr>
          <w:rFonts w:ascii="Arial" w:eastAsiaTheme="minorHAnsi" w:hAnsi="Arial" w:cs="Arial"/>
          <w:sz w:val="24"/>
          <w:szCs w:val="24"/>
        </w:rPr>
        <w:t>auction for delivery commencing on June 1, 2014, for 60% of its load</w:t>
      </w:r>
      <w:r>
        <w:rPr>
          <w:rFonts w:ascii="Arial" w:eastAsiaTheme="minorHAnsi" w:hAnsi="Arial" w:cs="Arial"/>
          <w:sz w:val="24"/>
          <w:szCs w:val="24"/>
        </w:rPr>
        <w:t>,</w:t>
      </w:r>
      <w:r w:rsidR="00181BAA">
        <w:rPr>
          <w:rFonts w:ascii="Arial" w:eastAsiaTheme="minorHAnsi" w:hAnsi="Arial" w:cs="Arial"/>
          <w:sz w:val="24"/>
          <w:szCs w:val="24"/>
        </w:rPr>
        <w:t xml:space="preserve"> and delivery </w:t>
      </w:r>
      <w:r>
        <w:rPr>
          <w:rFonts w:ascii="Arial" w:eastAsiaTheme="minorHAnsi" w:hAnsi="Arial" w:cs="Arial"/>
          <w:sz w:val="24"/>
          <w:szCs w:val="24"/>
        </w:rPr>
        <w:t>commencing on January 1, 2015 for</w:t>
      </w:r>
      <w:r w:rsidR="00181BAA">
        <w:rPr>
          <w:rFonts w:ascii="Arial" w:eastAsiaTheme="minorHAnsi" w:hAnsi="Arial" w:cs="Arial"/>
          <w:sz w:val="24"/>
          <w:szCs w:val="24"/>
        </w:rPr>
        <w:t xml:space="preserve"> the remainder of AEP-Ohio’s energy load.  Over the objection of some parties, the Commission stated that nothing precluded AEP-Ohio or its affiliates from bidding in the energy-only auctions.  </w:t>
      </w:r>
      <w:r w:rsidR="00857DBD">
        <w:rPr>
          <w:rFonts w:ascii="Arial" w:eastAsiaTheme="minorHAnsi" w:hAnsi="Arial" w:cs="Arial"/>
          <w:sz w:val="24"/>
          <w:szCs w:val="24"/>
        </w:rPr>
        <w:t xml:space="preserve">The Commission also directed </w:t>
      </w:r>
      <w:r w:rsidR="007B6F4E">
        <w:rPr>
          <w:rFonts w:ascii="Arial" w:eastAsiaTheme="minorHAnsi" w:hAnsi="Arial" w:cs="Arial"/>
          <w:sz w:val="24"/>
          <w:szCs w:val="24"/>
        </w:rPr>
        <w:t>AEP-Ohio</w:t>
      </w:r>
      <w:r w:rsidR="00405763">
        <w:rPr>
          <w:rFonts w:ascii="Arial" w:eastAsiaTheme="minorHAnsi" w:hAnsi="Arial" w:cs="Arial"/>
          <w:sz w:val="24"/>
          <w:szCs w:val="24"/>
        </w:rPr>
        <w:t xml:space="preserve"> </w:t>
      </w:r>
      <w:r w:rsidR="00857DBD">
        <w:rPr>
          <w:rFonts w:ascii="Arial" w:eastAsiaTheme="minorHAnsi" w:hAnsi="Arial" w:cs="Arial"/>
          <w:sz w:val="24"/>
          <w:szCs w:val="24"/>
        </w:rPr>
        <w:t>to develop its CBP in consultation with interested parties and submit an application to establish its CBP.</w:t>
      </w:r>
    </w:p>
    <w:p w:rsidR="00857DBD" w:rsidRDefault="00405763" w:rsidP="00857DBD">
      <w:pPr>
        <w:autoSpaceDE w:val="0"/>
        <w:autoSpaceDN w:val="0"/>
        <w:adjustRightInd w:val="0"/>
        <w:spacing w:before="240" w:after="0" w:line="480" w:lineRule="auto"/>
        <w:ind w:left="720"/>
        <w:jc w:val="both"/>
        <w:rPr>
          <w:rFonts w:ascii="Arial" w:eastAsiaTheme="minorHAnsi" w:hAnsi="Arial" w:cs="Arial"/>
          <w:sz w:val="24"/>
          <w:szCs w:val="24"/>
        </w:rPr>
      </w:pPr>
      <w:r>
        <w:rPr>
          <w:rFonts w:ascii="Arial" w:eastAsiaTheme="minorHAnsi" w:hAnsi="Arial" w:cs="Arial"/>
          <w:sz w:val="24"/>
          <w:szCs w:val="24"/>
        </w:rPr>
        <w:t>On December 21, 2012</w:t>
      </w:r>
      <w:r w:rsidR="008E710B">
        <w:rPr>
          <w:rFonts w:ascii="Arial" w:eastAsiaTheme="minorHAnsi" w:hAnsi="Arial" w:cs="Arial"/>
          <w:sz w:val="24"/>
          <w:szCs w:val="24"/>
        </w:rPr>
        <w:t>,</w:t>
      </w:r>
      <w:r w:rsidR="00857DBD">
        <w:rPr>
          <w:rFonts w:ascii="Arial" w:eastAsiaTheme="minorHAnsi" w:hAnsi="Arial" w:cs="Arial"/>
          <w:sz w:val="24"/>
          <w:szCs w:val="24"/>
        </w:rPr>
        <w:t xml:space="preserve"> </w:t>
      </w:r>
      <w:r w:rsidR="007B6F4E">
        <w:rPr>
          <w:rFonts w:ascii="Arial" w:eastAsiaTheme="minorHAnsi" w:hAnsi="Arial" w:cs="Arial"/>
          <w:sz w:val="24"/>
          <w:szCs w:val="24"/>
        </w:rPr>
        <w:t>AEP-Ohio</w:t>
      </w:r>
      <w:r>
        <w:rPr>
          <w:rFonts w:ascii="Arial" w:eastAsiaTheme="minorHAnsi" w:hAnsi="Arial" w:cs="Arial"/>
          <w:sz w:val="24"/>
          <w:szCs w:val="24"/>
        </w:rPr>
        <w:t xml:space="preserve"> filed </w:t>
      </w:r>
      <w:r w:rsidR="00181BAA">
        <w:rPr>
          <w:rFonts w:ascii="Arial" w:eastAsiaTheme="minorHAnsi" w:hAnsi="Arial" w:cs="Arial"/>
          <w:sz w:val="24"/>
          <w:szCs w:val="24"/>
        </w:rPr>
        <w:t xml:space="preserve">its </w:t>
      </w:r>
      <w:r>
        <w:rPr>
          <w:rFonts w:ascii="Arial" w:eastAsiaTheme="minorHAnsi" w:hAnsi="Arial" w:cs="Arial"/>
          <w:sz w:val="24"/>
          <w:szCs w:val="24"/>
        </w:rPr>
        <w:t>application in this proceeding to establish a CBP.</w:t>
      </w:r>
    </w:p>
    <w:p w:rsidR="00405763" w:rsidRDefault="00405763" w:rsidP="00857DBD">
      <w:pPr>
        <w:autoSpaceDE w:val="0"/>
        <w:autoSpaceDN w:val="0"/>
        <w:adjustRightInd w:val="0"/>
        <w:spacing w:before="240" w:after="0" w:line="480" w:lineRule="auto"/>
        <w:ind w:left="720"/>
        <w:jc w:val="both"/>
        <w:rPr>
          <w:rFonts w:ascii="Arial" w:eastAsiaTheme="minorHAnsi" w:hAnsi="Arial" w:cs="Arial"/>
          <w:sz w:val="24"/>
          <w:szCs w:val="24"/>
        </w:rPr>
      </w:pPr>
      <w:r>
        <w:rPr>
          <w:rFonts w:ascii="Arial" w:eastAsiaTheme="minorHAnsi" w:hAnsi="Arial" w:cs="Arial"/>
          <w:sz w:val="24"/>
          <w:szCs w:val="24"/>
        </w:rPr>
        <w:t xml:space="preserve">The Commission subsequently provided an opportunity for interested parties to submit comments on </w:t>
      </w:r>
      <w:r w:rsidR="007B6F4E">
        <w:rPr>
          <w:rFonts w:ascii="Arial" w:eastAsiaTheme="minorHAnsi" w:hAnsi="Arial" w:cs="Arial"/>
          <w:sz w:val="24"/>
          <w:szCs w:val="24"/>
        </w:rPr>
        <w:t>AEP-Ohio</w:t>
      </w:r>
      <w:r>
        <w:rPr>
          <w:rFonts w:ascii="Arial" w:eastAsiaTheme="minorHAnsi" w:hAnsi="Arial" w:cs="Arial"/>
          <w:sz w:val="24"/>
          <w:szCs w:val="24"/>
        </w:rPr>
        <w:t xml:space="preserve">’s proposed CBP. </w:t>
      </w:r>
      <w:r w:rsidR="00181BAA">
        <w:rPr>
          <w:rFonts w:ascii="Arial" w:eastAsiaTheme="minorHAnsi" w:hAnsi="Arial" w:cs="Arial"/>
          <w:sz w:val="24"/>
          <w:szCs w:val="24"/>
        </w:rPr>
        <w:t xml:space="preserve"> Several parties</w:t>
      </w:r>
      <w:r w:rsidR="008E710B">
        <w:rPr>
          <w:rFonts w:ascii="Arial" w:eastAsiaTheme="minorHAnsi" w:hAnsi="Arial" w:cs="Arial"/>
          <w:sz w:val="24"/>
          <w:szCs w:val="24"/>
        </w:rPr>
        <w:t>, including</w:t>
      </w:r>
      <w:r w:rsidR="00181BAA">
        <w:rPr>
          <w:rFonts w:ascii="Arial" w:eastAsiaTheme="minorHAnsi" w:hAnsi="Arial" w:cs="Arial"/>
          <w:sz w:val="24"/>
          <w:szCs w:val="24"/>
        </w:rPr>
        <w:t xml:space="preserve"> IEU-Ohio</w:t>
      </w:r>
      <w:r w:rsidR="008E710B">
        <w:rPr>
          <w:rFonts w:ascii="Arial" w:eastAsiaTheme="minorHAnsi" w:hAnsi="Arial" w:cs="Arial"/>
          <w:sz w:val="24"/>
          <w:szCs w:val="24"/>
        </w:rPr>
        <w:t>,</w:t>
      </w:r>
      <w:r>
        <w:rPr>
          <w:rFonts w:ascii="Arial" w:eastAsiaTheme="minorHAnsi" w:hAnsi="Arial" w:cs="Arial"/>
          <w:sz w:val="24"/>
          <w:szCs w:val="24"/>
        </w:rPr>
        <w:t xml:space="preserve"> submitted comments objecting to various aspects of </w:t>
      </w:r>
      <w:r w:rsidR="007B6F4E">
        <w:rPr>
          <w:rFonts w:ascii="Arial" w:eastAsiaTheme="minorHAnsi" w:hAnsi="Arial" w:cs="Arial"/>
          <w:sz w:val="24"/>
          <w:szCs w:val="24"/>
        </w:rPr>
        <w:t>AEP-Ohio</w:t>
      </w:r>
      <w:r>
        <w:rPr>
          <w:rFonts w:ascii="Arial" w:eastAsiaTheme="minorHAnsi" w:hAnsi="Arial" w:cs="Arial"/>
          <w:sz w:val="24"/>
          <w:szCs w:val="24"/>
        </w:rPr>
        <w:t>’s proposed CBP.</w:t>
      </w:r>
    </w:p>
    <w:p w:rsidR="00E6663B" w:rsidRPr="00E6663B" w:rsidRDefault="00E6663B" w:rsidP="00E6663B">
      <w:pPr>
        <w:autoSpaceDE w:val="0"/>
        <w:autoSpaceDN w:val="0"/>
        <w:adjustRightInd w:val="0"/>
        <w:spacing w:before="240" w:after="0" w:line="480" w:lineRule="auto"/>
        <w:ind w:left="720"/>
        <w:jc w:val="both"/>
        <w:rPr>
          <w:rFonts w:ascii="Arial" w:eastAsiaTheme="minorHAnsi" w:hAnsi="Arial" w:cs="Arial"/>
          <w:sz w:val="24"/>
          <w:szCs w:val="24"/>
        </w:rPr>
      </w:pPr>
      <w:r w:rsidRPr="00E6663B">
        <w:rPr>
          <w:rFonts w:ascii="Arial" w:eastAsiaTheme="minorHAnsi" w:hAnsi="Arial" w:cs="Arial"/>
          <w:sz w:val="24"/>
          <w:szCs w:val="24"/>
        </w:rPr>
        <w:lastRenderedPageBreak/>
        <w:t>On May 23, 2013</w:t>
      </w:r>
      <w:r w:rsidR="008E710B">
        <w:rPr>
          <w:rFonts w:ascii="Arial" w:eastAsiaTheme="minorHAnsi" w:hAnsi="Arial" w:cs="Arial"/>
          <w:sz w:val="24"/>
          <w:szCs w:val="24"/>
        </w:rPr>
        <w:t>, the Attorney E</w:t>
      </w:r>
      <w:r w:rsidRPr="00E6663B">
        <w:rPr>
          <w:rFonts w:ascii="Arial" w:eastAsiaTheme="minorHAnsi" w:hAnsi="Arial" w:cs="Arial"/>
          <w:sz w:val="24"/>
          <w:szCs w:val="24"/>
        </w:rPr>
        <w:t xml:space="preserve">xaminer </w:t>
      </w:r>
      <w:r w:rsidR="004D7E76">
        <w:rPr>
          <w:rFonts w:ascii="Arial" w:eastAsiaTheme="minorHAnsi" w:hAnsi="Arial" w:cs="Arial"/>
          <w:sz w:val="24"/>
          <w:szCs w:val="24"/>
        </w:rPr>
        <w:t xml:space="preserve">in this proceeding </w:t>
      </w:r>
      <w:r w:rsidRPr="00E6663B">
        <w:rPr>
          <w:rFonts w:ascii="Arial" w:eastAsiaTheme="minorHAnsi" w:hAnsi="Arial" w:cs="Arial"/>
          <w:sz w:val="24"/>
          <w:szCs w:val="24"/>
        </w:rPr>
        <w:t xml:space="preserve">issued an entry finding that in light of disputes raised in the comments on AEP-Ohio’s proposed CBP regarding auction pricing, </w:t>
      </w:r>
      <w:r w:rsidR="008E710B">
        <w:rPr>
          <w:rFonts w:ascii="Arial" w:eastAsiaTheme="minorHAnsi" w:hAnsi="Arial" w:cs="Arial"/>
          <w:sz w:val="24"/>
          <w:szCs w:val="24"/>
        </w:rPr>
        <w:t>SSO</w:t>
      </w:r>
      <w:r w:rsidRPr="00E6663B">
        <w:rPr>
          <w:rFonts w:ascii="Arial" w:eastAsiaTheme="minorHAnsi" w:hAnsi="Arial" w:cs="Arial"/>
          <w:sz w:val="24"/>
          <w:szCs w:val="24"/>
        </w:rPr>
        <w:t xml:space="preserve"> customer retail rates</w:t>
      </w:r>
      <w:r w:rsidR="008E710B">
        <w:rPr>
          <w:rFonts w:ascii="Arial" w:eastAsiaTheme="minorHAnsi" w:hAnsi="Arial" w:cs="Arial"/>
          <w:sz w:val="24"/>
          <w:szCs w:val="24"/>
        </w:rPr>
        <w:t>,</w:t>
      </w:r>
      <w:r w:rsidRPr="00E6663B">
        <w:rPr>
          <w:rFonts w:ascii="Arial" w:eastAsiaTheme="minorHAnsi" w:hAnsi="Arial" w:cs="Arial"/>
          <w:sz w:val="24"/>
          <w:szCs w:val="24"/>
        </w:rPr>
        <w:t xml:space="preserve"> and the auction schedule</w:t>
      </w:r>
      <w:r w:rsidR="008E710B">
        <w:rPr>
          <w:rFonts w:ascii="Arial" w:eastAsiaTheme="minorHAnsi" w:hAnsi="Arial" w:cs="Arial"/>
          <w:sz w:val="24"/>
          <w:szCs w:val="24"/>
        </w:rPr>
        <w:t>,</w:t>
      </w:r>
      <w:r w:rsidRPr="00E6663B">
        <w:rPr>
          <w:rFonts w:ascii="Arial" w:eastAsiaTheme="minorHAnsi" w:hAnsi="Arial" w:cs="Arial"/>
          <w:sz w:val="24"/>
          <w:szCs w:val="24"/>
        </w:rPr>
        <w:t xml:space="preserve"> an evidentiary hearing should be conducted to consider AEP-Ohio’s proposed CBP. </w:t>
      </w:r>
    </w:p>
    <w:p w:rsidR="00181BAA" w:rsidRPr="008E710B" w:rsidRDefault="008E710B" w:rsidP="004B12A6">
      <w:pPr>
        <w:autoSpaceDE w:val="0"/>
        <w:autoSpaceDN w:val="0"/>
        <w:adjustRightInd w:val="0"/>
        <w:spacing w:before="240" w:after="0" w:line="480" w:lineRule="auto"/>
        <w:ind w:left="720" w:hanging="720"/>
        <w:jc w:val="both"/>
        <w:rPr>
          <w:rFonts w:ascii="Arial" w:eastAsiaTheme="minorHAnsi" w:hAnsi="Arial" w:cs="Arial"/>
          <w:b/>
          <w:sz w:val="24"/>
          <w:szCs w:val="24"/>
        </w:rPr>
      </w:pPr>
      <w:r w:rsidRPr="008E710B">
        <w:rPr>
          <w:rFonts w:ascii="Arial" w:eastAsiaTheme="minorHAnsi" w:hAnsi="Arial" w:cs="Arial"/>
          <w:b/>
          <w:sz w:val="24"/>
          <w:szCs w:val="24"/>
        </w:rPr>
        <w:t>Q8.</w:t>
      </w:r>
      <w:r w:rsidR="00181BAA" w:rsidRPr="008E710B">
        <w:rPr>
          <w:rFonts w:ascii="Arial" w:eastAsiaTheme="minorHAnsi" w:hAnsi="Arial" w:cs="Arial"/>
          <w:b/>
          <w:sz w:val="24"/>
          <w:szCs w:val="24"/>
        </w:rPr>
        <w:tab/>
        <w:t>What concern</w:t>
      </w:r>
      <w:r w:rsidR="001F7DAF" w:rsidRPr="008E710B">
        <w:rPr>
          <w:rFonts w:ascii="Arial" w:eastAsiaTheme="minorHAnsi" w:hAnsi="Arial" w:cs="Arial"/>
          <w:b/>
          <w:sz w:val="24"/>
          <w:szCs w:val="24"/>
        </w:rPr>
        <w:t>s</w:t>
      </w:r>
      <w:r w:rsidR="00181BAA" w:rsidRPr="008E710B">
        <w:rPr>
          <w:rFonts w:ascii="Arial" w:eastAsiaTheme="minorHAnsi" w:hAnsi="Arial" w:cs="Arial"/>
          <w:b/>
          <w:sz w:val="24"/>
          <w:szCs w:val="24"/>
        </w:rPr>
        <w:t xml:space="preserve"> did IEU-Ohio raise concerning the application filed in this proceeding?</w:t>
      </w:r>
    </w:p>
    <w:p w:rsidR="00E6663B" w:rsidRDefault="00181BAA" w:rsidP="004B12A6">
      <w:pPr>
        <w:autoSpaceDE w:val="0"/>
        <w:autoSpaceDN w:val="0"/>
        <w:adjustRightInd w:val="0"/>
        <w:spacing w:before="240" w:after="0" w:line="480" w:lineRule="auto"/>
        <w:ind w:left="720" w:hanging="720"/>
        <w:jc w:val="both"/>
        <w:rPr>
          <w:rFonts w:ascii="Arial" w:eastAsiaTheme="minorHAnsi" w:hAnsi="Arial" w:cs="Arial"/>
          <w:sz w:val="24"/>
          <w:szCs w:val="24"/>
        </w:rPr>
      </w:pPr>
      <w:r>
        <w:rPr>
          <w:rFonts w:ascii="Arial" w:eastAsiaTheme="minorHAnsi" w:hAnsi="Arial" w:cs="Arial"/>
          <w:sz w:val="24"/>
          <w:szCs w:val="24"/>
        </w:rPr>
        <w:t>A</w:t>
      </w:r>
      <w:r w:rsidR="008E710B">
        <w:rPr>
          <w:rFonts w:ascii="Arial" w:eastAsiaTheme="minorHAnsi" w:hAnsi="Arial" w:cs="Arial"/>
          <w:sz w:val="24"/>
          <w:szCs w:val="24"/>
        </w:rPr>
        <w:t>8</w:t>
      </w:r>
      <w:r>
        <w:rPr>
          <w:rFonts w:ascii="Arial" w:eastAsiaTheme="minorHAnsi" w:hAnsi="Arial" w:cs="Arial"/>
          <w:sz w:val="24"/>
          <w:szCs w:val="24"/>
        </w:rPr>
        <w:t>.</w:t>
      </w:r>
      <w:r>
        <w:rPr>
          <w:rFonts w:ascii="Arial" w:eastAsiaTheme="minorHAnsi" w:hAnsi="Arial" w:cs="Arial"/>
          <w:sz w:val="24"/>
          <w:szCs w:val="24"/>
        </w:rPr>
        <w:tab/>
      </w:r>
      <w:r w:rsidR="001F7DAF">
        <w:rPr>
          <w:rFonts w:ascii="Arial" w:eastAsiaTheme="minorHAnsi" w:hAnsi="Arial" w:cs="Arial"/>
          <w:sz w:val="24"/>
          <w:szCs w:val="24"/>
        </w:rPr>
        <w:t xml:space="preserve">IEU-Ohio raised two concerns.  The first </w:t>
      </w:r>
      <w:r w:rsidR="004D7E76">
        <w:rPr>
          <w:rFonts w:ascii="Arial" w:eastAsiaTheme="minorHAnsi" w:hAnsi="Arial" w:cs="Arial"/>
          <w:sz w:val="24"/>
          <w:szCs w:val="24"/>
        </w:rPr>
        <w:t xml:space="preserve">concern </w:t>
      </w:r>
      <w:r w:rsidR="001F7DAF">
        <w:rPr>
          <w:rFonts w:ascii="Arial" w:eastAsiaTheme="minorHAnsi" w:hAnsi="Arial" w:cs="Arial"/>
          <w:sz w:val="24"/>
          <w:szCs w:val="24"/>
        </w:rPr>
        <w:t>addressed the need for a reserve price.</w:t>
      </w:r>
      <w:r w:rsidR="00E6663B">
        <w:rPr>
          <w:rFonts w:ascii="Arial" w:eastAsiaTheme="minorHAnsi" w:hAnsi="Arial" w:cs="Arial"/>
          <w:sz w:val="24"/>
          <w:szCs w:val="24"/>
        </w:rPr>
        <w:t xml:space="preserve">  The second </w:t>
      </w:r>
      <w:r w:rsidR="004D7E76">
        <w:rPr>
          <w:rFonts w:ascii="Arial" w:eastAsiaTheme="minorHAnsi" w:hAnsi="Arial" w:cs="Arial"/>
          <w:sz w:val="24"/>
          <w:szCs w:val="24"/>
        </w:rPr>
        <w:t xml:space="preserve">concern </w:t>
      </w:r>
      <w:r w:rsidR="00E6663B">
        <w:rPr>
          <w:rFonts w:ascii="Arial" w:eastAsiaTheme="minorHAnsi" w:hAnsi="Arial" w:cs="Arial"/>
          <w:sz w:val="24"/>
          <w:szCs w:val="24"/>
        </w:rPr>
        <w:t xml:space="preserve">addressed AEP-Ohio’s proposal to unbundle its FAC into </w:t>
      </w:r>
      <w:r w:rsidR="004D7E76">
        <w:rPr>
          <w:rFonts w:ascii="Arial" w:eastAsiaTheme="minorHAnsi" w:hAnsi="Arial" w:cs="Arial"/>
          <w:sz w:val="24"/>
          <w:szCs w:val="24"/>
        </w:rPr>
        <w:t xml:space="preserve">what AEP-Ohio characterized as </w:t>
      </w:r>
      <w:r w:rsidR="00E6663B">
        <w:rPr>
          <w:rFonts w:ascii="Arial" w:eastAsiaTheme="minorHAnsi" w:hAnsi="Arial" w:cs="Arial"/>
          <w:sz w:val="24"/>
          <w:szCs w:val="24"/>
        </w:rPr>
        <w:t xml:space="preserve">variable and fixed </w:t>
      </w:r>
      <w:r w:rsidR="004D7E76">
        <w:rPr>
          <w:rFonts w:ascii="Arial" w:eastAsiaTheme="minorHAnsi" w:hAnsi="Arial" w:cs="Arial"/>
          <w:sz w:val="24"/>
          <w:szCs w:val="24"/>
        </w:rPr>
        <w:t xml:space="preserve">cost components </w:t>
      </w:r>
      <w:r w:rsidR="00E6663B">
        <w:rPr>
          <w:rFonts w:ascii="Arial" w:eastAsiaTheme="minorHAnsi" w:hAnsi="Arial" w:cs="Arial"/>
          <w:sz w:val="24"/>
          <w:szCs w:val="24"/>
        </w:rPr>
        <w:t xml:space="preserve">and </w:t>
      </w:r>
      <w:r w:rsidR="004D7E76">
        <w:rPr>
          <w:rFonts w:ascii="Arial" w:eastAsiaTheme="minorHAnsi" w:hAnsi="Arial" w:cs="Arial"/>
          <w:sz w:val="24"/>
          <w:szCs w:val="24"/>
        </w:rPr>
        <w:t xml:space="preserve">to </w:t>
      </w:r>
      <w:r w:rsidR="00E6663B">
        <w:rPr>
          <w:rFonts w:ascii="Arial" w:eastAsiaTheme="minorHAnsi" w:hAnsi="Arial" w:cs="Arial"/>
          <w:sz w:val="24"/>
          <w:szCs w:val="24"/>
        </w:rPr>
        <w:t>blend the results of the CBP with only the variable portion</w:t>
      </w:r>
      <w:r w:rsidR="004D7E76">
        <w:rPr>
          <w:rFonts w:ascii="Arial" w:eastAsiaTheme="minorHAnsi" w:hAnsi="Arial" w:cs="Arial"/>
          <w:sz w:val="24"/>
          <w:szCs w:val="24"/>
        </w:rPr>
        <w:t xml:space="preserve"> of the FAC rate to establish the </w:t>
      </w:r>
      <w:r w:rsidR="004B7F33">
        <w:rPr>
          <w:rFonts w:ascii="Arial" w:eastAsiaTheme="minorHAnsi" w:hAnsi="Arial" w:cs="Arial"/>
          <w:sz w:val="24"/>
          <w:szCs w:val="24"/>
        </w:rPr>
        <w:t>SSO</w:t>
      </w:r>
      <w:r w:rsidR="004D7E76">
        <w:rPr>
          <w:rFonts w:ascii="Arial" w:eastAsiaTheme="minorHAnsi" w:hAnsi="Arial" w:cs="Arial"/>
          <w:sz w:val="24"/>
          <w:szCs w:val="24"/>
        </w:rPr>
        <w:t xml:space="preserve"> price that would be charged to customers</w:t>
      </w:r>
      <w:r w:rsidR="00E6663B">
        <w:rPr>
          <w:rFonts w:ascii="Arial" w:eastAsiaTheme="minorHAnsi" w:hAnsi="Arial" w:cs="Arial"/>
          <w:sz w:val="24"/>
          <w:szCs w:val="24"/>
        </w:rPr>
        <w:t>.</w:t>
      </w:r>
      <w:r w:rsidR="001F7DAF">
        <w:rPr>
          <w:rFonts w:ascii="Arial" w:eastAsiaTheme="minorHAnsi" w:hAnsi="Arial" w:cs="Arial"/>
          <w:sz w:val="24"/>
          <w:szCs w:val="24"/>
        </w:rPr>
        <w:t xml:space="preserve">  </w:t>
      </w:r>
      <w:r w:rsidR="001F7DAF" w:rsidRPr="001F7DAF">
        <w:rPr>
          <w:rFonts w:ascii="Arial" w:eastAsiaTheme="minorHAnsi" w:hAnsi="Arial" w:cs="Arial"/>
          <w:sz w:val="24"/>
          <w:szCs w:val="24"/>
        </w:rPr>
        <w:t xml:space="preserve">As </w:t>
      </w:r>
      <w:r w:rsidR="001F7DAF">
        <w:rPr>
          <w:rFonts w:ascii="Arial" w:eastAsiaTheme="minorHAnsi" w:hAnsi="Arial" w:cs="Arial"/>
          <w:sz w:val="24"/>
          <w:szCs w:val="24"/>
        </w:rPr>
        <w:t>indicated</w:t>
      </w:r>
      <w:r w:rsidR="001F7DAF" w:rsidRPr="001F7DAF">
        <w:rPr>
          <w:rFonts w:ascii="Arial" w:eastAsiaTheme="minorHAnsi" w:hAnsi="Arial" w:cs="Arial"/>
          <w:sz w:val="24"/>
          <w:szCs w:val="24"/>
        </w:rPr>
        <w:t xml:space="preserve"> </w:t>
      </w:r>
      <w:r w:rsidR="001F7DAF">
        <w:rPr>
          <w:rFonts w:ascii="Arial" w:eastAsiaTheme="minorHAnsi" w:hAnsi="Arial" w:cs="Arial"/>
          <w:sz w:val="24"/>
          <w:szCs w:val="24"/>
        </w:rPr>
        <w:t>by</w:t>
      </w:r>
      <w:r w:rsidR="001F7DAF" w:rsidRPr="001F7DAF">
        <w:rPr>
          <w:rFonts w:ascii="Arial" w:eastAsiaTheme="minorHAnsi" w:hAnsi="Arial" w:cs="Arial"/>
          <w:sz w:val="24"/>
          <w:szCs w:val="24"/>
        </w:rPr>
        <w:t xml:space="preserve"> the </w:t>
      </w:r>
      <w:r w:rsidR="00CE1CCD">
        <w:rPr>
          <w:rFonts w:ascii="Arial" w:eastAsiaTheme="minorHAnsi" w:hAnsi="Arial" w:cs="Arial"/>
          <w:sz w:val="24"/>
          <w:szCs w:val="24"/>
        </w:rPr>
        <w:t>February 11, 2013 supplement to its application in this proceeding</w:t>
      </w:r>
      <w:r w:rsidR="001F7DAF" w:rsidRPr="001F7DAF">
        <w:rPr>
          <w:rFonts w:ascii="Arial" w:eastAsiaTheme="minorHAnsi" w:hAnsi="Arial" w:cs="Arial"/>
          <w:sz w:val="24"/>
          <w:szCs w:val="24"/>
        </w:rPr>
        <w:t>, AEP-Ohio plans to flow the costs of the energy-only bid through the FAC and make no other changes to base SSO rates for distribution, transmission</w:t>
      </w:r>
      <w:r w:rsidR="001F7DAF">
        <w:rPr>
          <w:rFonts w:ascii="Arial" w:eastAsiaTheme="minorHAnsi" w:hAnsi="Arial" w:cs="Arial"/>
          <w:sz w:val="24"/>
          <w:szCs w:val="24"/>
        </w:rPr>
        <w:t>,</w:t>
      </w:r>
      <w:r w:rsidR="001F7DAF" w:rsidRPr="001F7DAF">
        <w:rPr>
          <w:rFonts w:ascii="Arial" w:eastAsiaTheme="minorHAnsi" w:hAnsi="Arial" w:cs="Arial"/>
          <w:sz w:val="24"/>
          <w:szCs w:val="24"/>
        </w:rPr>
        <w:t xml:space="preserve"> and generation.  </w:t>
      </w:r>
      <w:r w:rsidR="00CE1CCD">
        <w:rPr>
          <w:rFonts w:ascii="Arial" w:eastAsiaTheme="minorHAnsi" w:hAnsi="Arial" w:cs="Arial"/>
          <w:sz w:val="24"/>
          <w:szCs w:val="24"/>
        </w:rPr>
        <w:t>In its February 11, 2013 supplement to its application</w:t>
      </w:r>
      <w:r w:rsidR="004B7F33">
        <w:rPr>
          <w:rFonts w:ascii="Arial" w:eastAsiaTheme="minorHAnsi" w:hAnsi="Arial" w:cs="Arial"/>
          <w:sz w:val="24"/>
          <w:szCs w:val="24"/>
        </w:rPr>
        <w:t>,</w:t>
      </w:r>
      <w:r w:rsidR="00CE1CCD">
        <w:rPr>
          <w:rFonts w:ascii="Arial" w:eastAsiaTheme="minorHAnsi" w:hAnsi="Arial" w:cs="Arial"/>
          <w:sz w:val="24"/>
          <w:szCs w:val="24"/>
        </w:rPr>
        <w:t xml:space="preserve"> </w:t>
      </w:r>
      <w:r w:rsidR="00F65FF4">
        <w:rPr>
          <w:rFonts w:ascii="Arial" w:eastAsiaTheme="minorHAnsi" w:hAnsi="Arial" w:cs="Arial"/>
          <w:sz w:val="24"/>
          <w:szCs w:val="24"/>
        </w:rPr>
        <w:t xml:space="preserve">AEP-Ohio </w:t>
      </w:r>
      <w:r w:rsidR="00CE1CCD">
        <w:rPr>
          <w:rFonts w:ascii="Arial" w:eastAsiaTheme="minorHAnsi" w:hAnsi="Arial" w:cs="Arial"/>
          <w:sz w:val="24"/>
          <w:szCs w:val="24"/>
        </w:rPr>
        <w:t xml:space="preserve">also </w:t>
      </w:r>
      <w:r w:rsidR="001F7DAF" w:rsidRPr="001F7DAF">
        <w:rPr>
          <w:rFonts w:ascii="Arial" w:eastAsiaTheme="minorHAnsi" w:hAnsi="Arial" w:cs="Arial"/>
          <w:sz w:val="24"/>
          <w:szCs w:val="24"/>
        </w:rPr>
        <w:t xml:space="preserve">proposed to unbundle the FAC into </w:t>
      </w:r>
      <w:r w:rsidR="00CE1CCD">
        <w:rPr>
          <w:rFonts w:ascii="Arial" w:eastAsiaTheme="minorHAnsi" w:hAnsi="Arial" w:cs="Arial"/>
          <w:sz w:val="24"/>
          <w:szCs w:val="24"/>
        </w:rPr>
        <w:t xml:space="preserve">what AEP-Ohio characterized as </w:t>
      </w:r>
      <w:r w:rsidR="001F7DAF" w:rsidRPr="001F7DAF">
        <w:rPr>
          <w:rFonts w:ascii="Arial" w:eastAsiaTheme="minorHAnsi" w:hAnsi="Arial" w:cs="Arial"/>
          <w:sz w:val="24"/>
          <w:szCs w:val="24"/>
        </w:rPr>
        <w:t>fixed/non-energy and variable/energy rate components.</w:t>
      </w:r>
      <w:r w:rsidR="001F7DAF" w:rsidRPr="001F7DAF">
        <w:rPr>
          <w:rFonts w:ascii="Arial" w:eastAsiaTheme="minorHAnsi" w:hAnsi="Arial" w:cs="Arial"/>
          <w:sz w:val="24"/>
          <w:szCs w:val="24"/>
          <w:vertAlign w:val="superscript"/>
        </w:rPr>
        <w:footnoteReference w:id="6"/>
      </w:r>
      <w:r w:rsidR="001F7DAF" w:rsidRPr="001F7DAF">
        <w:rPr>
          <w:rFonts w:ascii="Arial" w:eastAsiaTheme="minorHAnsi" w:hAnsi="Arial" w:cs="Arial"/>
          <w:sz w:val="24"/>
          <w:szCs w:val="24"/>
        </w:rPr>
        <w:t xml:space="preserve">  </w:t>
      </w:r>
    </w:p>
    <w:p w:rsidR="00E6663B" w:rsidRPr="006B5734" w:rsidRDefault="00E6663B" w:rsidP="001F7DAF">
      <w:pPr>
        <w:autoSpaceDE w:val="0"/>
        <w:autoSpaceDN w:val="0"/>
        <w:adjustRightInd w:val="0"/>
        <w:spacing w:before="240" w:after="0" w:line="480" w:lineRule="auto"/>
        <w:jc w:val="both"/>
        <w:rPr>
          <w:rFonts w:ascii="Arial" w:eastAsiaTheme="minorHAnsi" w:hAnsi="Arial" w:cs="Arial"/>
          <w:b/>
          <w:sz w:val="24"/>
          <w:szCs w:val="24"/>
        </w:rPr>
      </w:pPr>
      <w:r w:rsidRPr="006B5734">
        <w:rPr>
          <w:rFonts w:ascii="Arial" w:eastAsiaTheme="minorHAnsi" w:hAnsi="Arial" w:cs="Arial"/>
          <w:b/>
          <w:sz w:val="24"/>
          <w:szCs w:val="24"/>
        </w:rPr>
        <w:t>Q</w:t>
      </w:r>
      <w:r w:rsidR="006B5734" w:rsidRPr="006B5734">
        <w:rPr>
          <w:rFonts w:ascii="Arial" w:eastAsiaTheme="minorHAnsi" w:hAnsi="Arial" w:cs="Arial"/>
          <w:b/>
          <w:sz w:val="24"/>
          <w:szCs w:val="24"/>
        </w:rPr>
        <w:t>9</w:t>
      </w:r>
      <w:r w:rsidRPr="006B5734">
        <w:rPr>
          <w:rFonts w:ascii="Arial" w:eastAsiaTheme="minorHAnsi" w:hAnsi="Arial" w:cs="Arial"/>
          <w:b/>
          <w:sz w:val="24"/>
          <w:szCs w:val="24"/>
        </w:rPr>
        <w:t>.</w:t>
      </w:r>
      <w:r w:rsidRPr="006B5734">
        <w:rPr>
          <w:rFonts w:ascii="Arial" w:eastAsiaTheme="minorHAnsi" w:hAnsi="Arial" w:cs="Arial"/>
          <w:b/>
          <w:sz w:val="24"/>
          <w:szCs w:val="24"/>
        </w:rPr>
        <w:tab/>
        <w:t xml:space="preserve">What concern </w:t>
      </w:r>
      <w:r w:rsidR="00CE48DC">
        <w:rPr>
          <w:rFonts w:ascii="Arial" w:eastAsiaTheme="minorHAnsi" w:hAnsi="Arial" w:cs="Arial"/>
          <w:b/>
          <w:sz w:val="24"/>
          <w:szCs w:val="24"/>
        </w:rPr>
        <w:t xml:space="preserve">did IEU-Ohio </w:t>
      </w:r>
      <w:r w:rsidRPr="006B5734">
        <w:rPr>
          <w:rFonts w:ascii="Arial" w:eastAsiaTheme="minorHAnsi" w:hAnsi="Arial" w:cs="Arial"/>
          <w:b/>
          <w:sz w:val="24"/>
          <w:szCs w:val="24"/>
        </w:rPr>
        <w:t xml:space="preserve">raise </w:t>
      </w:r>
      <w:r w:rsidR="00CE48DC">
        <w:rPr>
          <w:rFonts w:ascii="Arial" w:eastAsiaTheme="minorHAnsi" w:hAnsi="Arial" w:cs="Arial"/>
          <w:b/>
          <w:sz w:val="24"/>
          <w:szCs w:val="24"/>
        </w:rPr>
        <w:t xml:space="preserve">concerning </w:t>
      </w:r>
      <w:r w:rsidRPr="006B5734">
        <w:rPr>
          <w:rFonts w:ascii="Arial" w:eastAsiaTheme="minorHAnsi" w:hAnsi="Arial" w:cs="Arial"/>
          <w:b/>
          <w:sz w:val="24"/>
          <w:szCs w:val="24"/>
        </w:rPr>
        <w:t>the lack of a reserve price?</w:t>
      </w:r>
    </w:p>
    <w:p w:rsidR="001F7DAF" w:rsidRDefault="00E6663B" w:rsidP="004B12A6">
      <w:pPr>
        <w:autoSpaceDE w:val="0"/>
        <w:autoSpaceDN w:val="0"/>
        <w:adjustRightInd w:val="0"/>
        <w:spacing w:before="240" w:after="0" w:line="480" w:lineRule="auto"/>
        <w:ind w:left="720" w:hanging="720"/>
        <w:jc w:val="both"/>
        <w:rPr>
          <w:rFonts w:ascii="Arial" w:eastAsiaTheme="minorHAnsi" w:hAnsi="Arial" w:cs="Arial"/>
          <w:sz w:val="24"/>
          <w:szCs w:val="24"/>
        </w:rPr>
      </w:pPr>
      <w:r>
        <w:rPr>
          <w:rFonts w:ascii="Arial" w:eastAsiaTheme="minorHAnsi" w:hAnsi="Arial" w:cs="Arial"/>
          <w:sz w:val="24"/>
          <w:szCs w:val="24"/>
        </w:rPr>
        <w:lastRenderedPageBreak/>
        <w:t>A</w:t>
      </w:r>
      <w:r w:rsidR="006B5734">
        <w:rPr>
          <w:rFonts w:ascii="Arial" w:eastAsiaTheme="minorHAnsi" w:hAnsi="Arial" w:cs="Arial"/>
          <w:sz w:val="24"/>
          <w:szCs w:val="24"/>
        </w:rPr>
        <w:t>9</w:t>
      </w:r>
      <w:r>
        <w:rPr>
          <w:rFonts w:ascii="Arial" w:eastAsiaTheme="minorHAnsi" w:hAnsi="Arial" w:cs="Arial"/>
          <w:sz w:val="24"/>
          <w:szCs w:val="24"/>
        </w:rPr>
        <w:t>.</w:t>
      </w:r>
      <w:r>
        <w:rPr>
          <w:rFonts w:ascii="Arial" w:eastAsiaTheme="minorHAnsi" w:hAnsi="Arial" w:cs="Arial"/>
          <w:sz w:val="24"/>
          <w:szCs w:val="24"/>
        </w:rPr>
        <w:tab/>
        <w:t xml:space="preserve">In </w:t>
      </w:r>
      <w:r w:rsidR="00F65FF4">
        <w:rPr>
          <w:rFonts w:ascii="Arial" w:eastAsiaTheme="minorHAnsi" w:hAnsi="Arial" w:cs="Arial"/>
          <w:sz w:val="24"/>
          <w:szCs w:val="24"/>
        </w:rPr>
        <w:t xml:space="preserve">its </w:t>
      </w:r>
      <w:r w:rsidR="006B5734">
        <w:rPr>
          <w:rFonts w:ascii="Arial" w:eastAsiaTheme="minorHAnsi" w:hAnsi="Arial" w:cs="Arial"/>
          <w:sz w:val="24"/>
          <w:szCs w:val="24"/>
        </w:rPr>
        <w:t>c</w:t>
      </w:r>
      <w:r>
        <w:rPr>
          <w:rFonts w:ascii="Arial" w:eastAsiaTheme="minorHAnsi" w:hAnsi="Arial" w:cs="Arial"/>
          <w:sz w:val="24"/>
          <w:szCs w:val="24"/>
        </w:rPr>
        <w:t xml:space="preserve">omments filed on March 4, 2013, IEU-Ohio identified a design flaw in the auction </w:t>
      </w:r>
      <w:r w:rsidR="00CE48DC">
        <w:rPr>
          <w:rFonts w:ascii="Arial" w:eastAsiaTheme="minorHAnsi" w:hAnsi="Arial" w:cs="Arial"/>
          <w:sz w:val="24"/>
          <w:szCs w:val="24"/>
        </w:rPr>
        <w:t xml:space="preserve">process </w:t>
      </w:r>
      <w:r>
        <w:rPr>
          <w:rFonts w:ascii="Arial" w:eastAsiaTheme="minorHAnsi" w:hAnsi="Arial" w:cs="Arial"/>
          <w:sz w:val="24"/>
          <w:szCs w:val="24"/>
        </w:rPr>
        <w:t xml:space="preserve">that will likely result in a price increase to SSO customers.  </w:t>
      </w:r>
      <w:r w:rsidR="00F65FF4">
        <w:rPr>
          <w:rFonts w:ascii="Arial" w:eastAsiaTheme="minorHAnsi" w:hAnsi="Arial" w:cs="Arial"/>
          <w:sz w:val="24"/>
          <w:szCs w:val="24"/>
        </w:rPr>
        <w:t xml:space="preserve">The </w:t>
      </w:r>
      <w:r w:rsidR="004A36B7">
        <w:rPr>
          <w:rFonts w:ascii="Arial" w:eastAsiaTheme="minorHAnsi" w:hAnsi="Arial" w:cs="Arial"/>
          <w:sz w:val="24"/>
          <w:szCs w:val="24"/>
        </w:rPr>
        <w:t>limited energy-</w:t>
      </w:r>
      <w:r w:rsidR="006B5734">
        <w:rPr>
          <w:rFonts w:ascii="Arial" w:eastAsiaTheme="minorHAnsi" w:hAnsi="Arial" w:cs="Arial"/>
          <w:sz w:val="24"/>
          <w:szCs w:val="24"/>
        </w:rPr>
        <w:t>only SSO bid will</w:t>
      </w:r>
      <w:r w:rsidR="001F7DAF" w:rsidRPr="001F7DAF">
        <w:rPr>
          <w:rFonts w:ascii="Arial" w:eastAsiaTheme="minorHAnsi" w:hAnsi="Arial" w:cs="Arial"/>
          <w:sz w:val="24"/>
          <w:szCs w:val="24"/>
        </w:rPr>
        <w:t xml:space="preserve"> re</w:t>
      </w:r>
      <w:r w:rsidR="00F65FF4">
        <w:rPr>
          <w:rFonts w:ascii="Arial" w:eastAsiaTheme="minorHAnsi" w:hAnsi="Arial" w:cs="Arial"/>
          <w:sz w:val="24"/>
          <w:szCs w:val="24"/>
        </w:rPr>
        <w:t xml:space="preserve">sult in a generation </w:t>
      </w:r>
      <w:r w:rsidR="00413CE8">
        <w:rPr>
          <w:rFonts w:ascii="Arial" w:eastAsiaTheme="minorHAnsi" w:hAnsi="Arial" w:cs="Arial"/>
          <w:sz w:val="24"/>
          <w:szCs w:val="24"/>
        </w:rPr>
        <w:t xml:space="preserve">rate </w:t>
      </w:r>
      <w:r w:rsidR="00413CE8" w:rsidRPr="001F7DAF">
        <w:rPr>
          <w:rFonts w:ascii="Arial" w:eastAsiaTheme="minorHAnsi" w:hAnsi="Arial" w:cs="Arial"/>
          <w:sz w:val="24"/>
          <w:szCs w:val="24"/>
        </w:rPr>
        <w:t>increase</w:t>
      </w:r>
      <w:r w:rsidR="001F7DAF" w:rsidRPr="001F7DAF">
        <w:rPr>
          <w:rFonts w:ascii="Arial" w:eastAsiaTheme="minorHAnsi" w:hAnsi="Arial" w:cs="Arial"/>
          <w:sz w:val="24"/>
          <w:szCs w:val="24"/>
        </w:rPr>
        <w:t xml:space="preserve"> to SSO customers </w:t>
      </w:r>
      <w:r w:rsidR="006B5734">
        <w:rPr>
          <w:rFonts w:ascii="Arial" w:eastAsiaTheme="minorHAnsi" w:hAnsi="Arial" w:cs="Arial"/>
          <w:sz w:val="24"/>
          <w:szCs w:val="24"/>
        </w:rPr>
        <w:t>unless</w:t>
      </w:r>
      <w:r w:rsidR="001F7DAF" w:rsidRPr="001F7DAF">
        <w:rPr>
          <w:rFonts w:ascii="Arial" w:eastAsiaTheme="minorHAnsi" w:hAnsi="Arial" w:cs="Arial"/>
          <w:sz w:val="24"/>
          <w:szCs w:val="24"/>
        </w:rPr>
        <w:t xml:space="preserve"> the cleared bid price is lower than AEP-Ohio’s expected FAC rate.  </w:t>
      </w:r>
      <w:r w:rsidR="00394B0D">
        <w:rPr>
          <w:rFonts w:ascii="Arial" w:eastAsiaTheme="minorHAnsi" w:hAnsi="Arial" w:cs="Arial"/>
          <w:sz w:val="24"/>
          <w:szCs w:val="24"/>
        </w:rPr>
        <w:t>Therefore</w:t>
      </w:r>
      <w:r w:rsidR="006B5734">
        <w:rPr>
          <w:rFonts w:ascii="Arial" w:eastAsiaTheme="minorHAnsi" w:hAnsi="Arial" w:cs="Arial"/>
          <w:sz w:val="24"/>
          <w:szCs w:val="24"/>
        </w:rPr>
        <w:t>,</w:t>
      </w:r>
      <w:r w:rsidR="00394B0D">
        <w:rPr>
          <w:rFonts w:ascii="Arial" w:eastAsiaTheme="minorHAnsi" w:hAnsi="Arial" w:cs="Arial"/>
          <w:sz w:val="24"/>
          <w:szCs w:val="24"/>
        </w:rPr>
        <w:t xml:space="preserve"> a </w:t>
      </w:r>
      <w:r w:rsidR="00CE1CCD">
        <w:rPr>
          <w:rFonts w:ascii="Arial" w:eastAsiaTheme="minorHAnsi" w:hAnsi="Arial" w:cs="Arial"/>
          <w:sz w:val="24"/>
          <w:szCs w:val="24"/>
        </w:rPr>
        <w:t xml:space="preserve">reserve price </w:t>
      </w:r>
      <w:r w:rsidR="001F7DAF" w:rsidRPr="001F7DAF">
        <w:rPr>
          <w:rFonts w:ascii="Arial" w:eastAsiaTheme="minorHAnsi" w:hAnsi="Arial" w:cs="Arial"/>
          <w:sz w:val="24"/>
          <w:szCs w:val="24"/>
        </w:rPr>
        <w:t xml:space="preserve">set at the </w:t>
      </w:r>
      <w:r w:rsidR="00394B0D">
        <w:rPr>
          <w:rFonts w:ascii="Arial" w:eastAsiaTheme="minorHAnsi" w:hAnsi="Arial" w:cs="Arial"/>
          <w:sz w:val="24"/>
          <w:szCs w:val="24"/>
        </w:rPr>
        <w:t xml:space="preserve">forecast </w:t>
      </w:r>
      <w:r w:rsidR="001F7DAF" w:rsidRPr="001F7DAF">
        <w:rPr>
          <w:rFonts w:ascii="Arial" w:eastAsiaTheme="minorHAnsi" w:hAnsi="Arial" w:cs="Arial"/>
          <w:sz w:val="24"/>
          <w:szCs w:val="24"/>
        </w:rPr>
        <w:t>projected FAC rates</w:t>
      </w:r>
      <w:r w:rsidR="00394B0D">
        <w:rPr>
          <w:rFonts w:ascii="Arial" w:eastAsiaTheme="minorHAnsi" w:hAnsi="Arial" w:cs="Arial"/>
          <w:sz w:val="24"/>
          <w:szCs w:val="24"/>
        </w:rPr>
        <w:t xml:space="preserve"> </w:t>
      </w:r>
      <w:r w:rsidR="006B5734">
        <w:rPr>
          <w:rFonts w:ascii="Arial" w:eastAsiaTheme="minorHAnsi" w:hAnsi="Arial" w:cs="Arial"/>
          <w:sz w:val="24"/>
          <w:szCs w:val="24"/>
        </w:rPr>
        <w:t xml:space="preserve">is </w:t>
      </w:r>
      <w:r w:rsidR="00394B0D">
        <w:rPr>
          <w:rFonts w:ascii="Arial" w:eastAsiaTheme="minorHAnsi" w:hAnsi="Arial" w:cs="Arial"/>
          <w:sz w:val="24"/>
          <w:szCs w:val="24"/>
        </w:rPr>
        <w:t xml:space="preserve">necessary to ensure </w:t>
      </w:r>
      <w:r w:rsidR="001F7DAF" w:rsidRPr="001F7DAF">
        <w:rPr>
          <w:rFonts w:ascii="Arial" w:eastAsiaTheme="minorHAnsi" w:hAnsi="Arial" w:cs="Arial"/>
          <w:sz w:val="24"/>
          <w:szCs w:val="24"/>
        </w:rPr>
        <w:t xml:space="preserve">the auction </w:t>
      </w:r>
      <w:r w:rsidR="001F7DAF">
        <w:rPr>
          <w:rFonts w:ascii="Arial" w:eastAsiaTheme="minorHAnsi" w:hAnsi="Arial" w:cs="Arial"/>
          <w:sz w:val="24"/>
          <w:szCs w:val="24"/>
        </w:rPr>
        <w:t>will</w:t>
      </w:r>
      <w:r w:rsidR="001F7DAF" w:rsidRPr="001F7DAF">
        <w:rPr>
          <w:rFonts w:ascii="Arial" w:eastAsiaTheme="minorHAnsi" w:hAnsi="Arial" w:cs="Arial"/>
          <w:sz w:val="24"/>
          <w:szCs w:val="24"/>
        </w:rPr>
        <w:t xml:space="preserve"> produce results </w:t>
      </w:r>
      <w:r w:rsidR="00394B0D">
        <w:rPr>
          <w:rFonts w:ascii="Arial" w:eastAsiaTheme="minorHAnsi" w:hAnsi="Arial" w:cs="Arial"/>
          <w:sz w:val="24"/>
          <w:szCs w:val="24"/>
        </w:rPr>
        <w:t xml:space="preserve">consistent with the Commission’s expectations </w:t>
      </w:r>
      <w:r w:rsidR="001F7DAF" w:rsidRPr="001F7DAF">
        <w:rPr>
          <w:rFonts w:ascii="Arial" w:eastAsiaTheme="minorHAnsi" w:hAnsi="Arial" w:cs="Arial"/>
          <w:sz w:val="24"/>
          <w:szCs w:val="24"/>
        </w:rPr>
        <w:t xml:space="preserve">in the </w:t>
      </w:r>
      <w:r w:rsidR="001F7DAF" w:rsidRPr="001F7DAF">
        <w:rPr>
          <w:rFonts w:ascii="Arial" w:eastAsiaTheme="minorHAnsi" w:hAnsi="Arial" w:cs="Arial"/>
          <w:i/>
          <w:sz w:val="24"/>
          <w:szCs w:val="24"/>
        </w:rPr>
        <w:t>ESP II Order</w:t>
      </w:r>
      <w:r w:rsidR="001F7DAF" w:rsidRPr="001F7DAF">
        <w:rPr>
          <w:rFonts w:ascii="Arial" w:eastAsiaTheme="minorHAnsi" w:hAnsi="Arial" w:cs="Arial"/>
          <w:sz w:val="24"/>
          <w:szCs w:val="24"/>
        </w:rPr>
        <w:t xml:space="preserve">. </w:t>
      </w:r>
    </w:p>
    <w:p w:rsidR="001F7DAF" w:rsidRPr="006B5734" w:rsidRDefault="001F7DAF" w:rsidP="004B12A6">
      <w:pPr>
        <w:autoSpaceDE w:val="0"/>
        <w:autoSpaceDN w:val="0"/>
        <w:adjustRightInd w:val="0"/>
        <w:spacing w:before="240" w:after="0" w:line="480" w:lineRule="auto"/>
        <w:ind w:left="720" w:hanging="720"/>
        <w:jc w:val="both"/>
        <w:rPr>
          <w:rFonts w:ascii="Arial" w:eastAsiaTheme="minorHAnsi" w:hAnsi="Arial" w:cs="Arial"/>
          <w:b/>
          <w:sz w:val="24"/>
          <w:szCs w:val="24"/>
        </w:rPr>
      </w:pPr>
      <w:r w:rsidRPr="006B5734">
        <w:rPr>
          <w:rFonts w:ascii="Arial" w:eastAsiaTheme="minorHAnsi" w:hAnsi="Arial" w:cs="Arial"/>
          <w:b/>
          <w:sz w:val="24"/>
          <w:szCs w:val="24"/>
        </w:rPr>
        <w:t>Q</w:t>
      </w:r>
      <w:r w:rsidR="006B5734" w:rsidRPr="006B5734">
        <w:rPr>
          <w:rFonts w:ascii="Arial" w:eastAsiaTheme="minorHAnsi" w:hAnsi="Arial" w:cs="Arial"/>
          <w:b/>
          <w:sz w:val="24"/>
          <w:szCs w:val="24"/>
        </w:rPr>
        <w:t>10</w:t>
      </w:r>
      <w:r w:rsidRPr="006B5734">
        <w:rPr>
          <w:rFonts w:ascii="Arial" w:eastAsiaTheme="minorHAnsi" w:hAnsi="Arial" w:cs="Arial"/>
          <w:b/>
          <w:sz w:val="24"/>
          <w:szCs w:val="24"/>
        </w:rPr>
        <w:t>.</w:t>
      </w:r>
      <w:r w:rsidRPr="006B5734">
        <w:rPr>
          <w:rFonts w:ascii="Arial" w:eastAsiaTheme="minorHAnsi" w:hAnsi="Arial" w:cs="Arial"/>
          <w:b/>
          <w:sz w:val="24"/>
          <w:szCs w:val="24"/>
        </w:rPr>
        <w:tab/>
      </w:r>
      <w:r w:rsidR="00E6663B" w:rsidRPr="006B5734">
        <w:rPr>
          <w:rFonts w:ascii="Arial" w:eastAsiaTheme="minorHAnsi" w:hAnsi="Arial" w:cs="Arial"/>
          <w:b/>
          <w:sz w:val="24"/>
          <w:szCs w:val="24"/>
        </w:rPr>
        <w:t>What concern did IEU-Ohio raise concerning AEP-Ohio’s proposal to unbundle its FAC rate into variable and fixed portions</w:t>
      </w:r>
      <w:r w:rsidRPr="006B5734">
        <w:rPr>
          <w:rFonts w:ascii="Arial" w:eastAsiaTheme="minorHAnsi" w:hAnsi="Arial" w:cs="Arial"/>
          <w:b/>
          <w:sz w:val="24"/>
          <w:szCs w:val="24"/>
        </w:rPr>
        <w:t>?</w:t>
      </w:r>
    </w:p>
    <w:p w:rsidR="001F7DAF" w:rsidRPr="001F7DAF" w:rsidRDefault="001F7DAF" w:rsidP="004B12A6">
      <w:pPr>
        <w:autoSpaceDE w:val="0"/>
        <w:autoSpaceDN w:val="0"/>
        <w:adjustRightInd w:val="0"/>
        <w:spacing w:before="240" w:after="0" w:line="480" w:lineRule="auto"/>
        <w:ind w:left="720" w:hanging="720"/>
        <w:jc w:val="both"/>
        <w:rPr>
          <w:rFonts w:ascii="Arial" w:eastAsiaTheme="minorHAnsi" w:hAnsi="Arial" w:cs="Arial"/>
          <w:sz w:val="24"/>
          <w:szCs w:val="24"/>
        </w:rPr>
      </w:pPr>
      <w:r>
        <w:rPr>
          <w:rFonts w:ascii="Arial" w:eastAsiaTheme="minorHAnsi" w:hAnsi="Arial" w:cs="Arial"/>
          <w:sz w:val="24"/>
          <w:szCs w:val="24"/>
        </w:rPr>
        <w:t>A</w:t>
      </w:r>
      <w:r w:rsidR="006B5734">
        <w:rPr>
          <w:rFonts w:ascii="Arial" w:eastAsiaTheme="minorHAnsi" w:hAnsi="Arial" w:cs="Arial"/>
          <w:sz w:val="24"/>
          <w:szCs w:val="24"/>
        </w:rPr>
        <w:t>10</w:t>
      </w:r>
      <w:r>
        <w:rPr>
          <w:rFonts w:ascii="Arial" w:eastAsiaTheme="minorHAnsi" w:hAnsi="Arial" w:cs="Arial"/>
          <w:sz w:val="24"/>
          <w:szCs w:val="24"/>
        </w:rPr>
        <w:t>.</w:t>
      </w:r>
      <w:r>
        <w:rPr>
          <w:rFonts w:ascii="Arial" w:eastAsiaTheme="minorHAnsi" w:hAnsi="Arial" w:cs="Arial"/>
          <w:sz w:val="24"/>
          <w:szCs w:val="24"/>
        </w:rPr>
        <w:tab/>
      </w:r>
      <w:r w:rsidRPr="001F7DAF">
        <w:rPr>
          <w:rFonts w:ascii="Arial" w:eastAsiaTheme="minorHAnsi" w:hAnsi="Arial" w:cs="Arial"/>
          <w:sz w:val="24"/>
          <w:szCs w:val="24"/>
        </w:rPr>
        <w:t xml:space="preserve">AEP-Ohio’s proposal to unbundle the FAC does not appear to have any customer benefits.  AEP-Ohio does not provide any rationale to support its unbundling proposal other than to </w:t>
      </w:r>
      <w:r w:rsidR="00394B0D">
        <w:rPr>
          <w:rFonts w:ascii="Arial" w:eastAsiaTheme="minorHAnsi" w:hAnsi="Arial" w:cs="Arial"/>
          <w:sz w:val="24"/>
          <w:szCs w:val="24"/>
        </w:rPr>
        <w:t xml:space="preserve">claim </w:t>
      </w:r>
      <w:r w:rsidRPr="001F7DAF">
        <w:rPr>
          <w:rFonts w:ascii="Arial" w:eastAsiaTheme="minorHAnsi" w:hAnsi="Arial" w:cs="Arial"/>
          <w:sz w:val="24"/>
          <w:szCs w:val="24"/>
        </w:rPr>
        <w:t>that the current FAC contains both energy and non-energy costs.  Directionally, AEP-Ohio’s re</w:t>
      </w:r>
      <w:r w:rsidR="006B5734">
        <w:rPr>
          <w:rFonts w:ascii="Arial" w:eastAsiaTheme="minorHAnsi" w:hAnsi="Arial" w:cs="Arial"/>
          <w:sz w:val="24"/>
          <w:szCs w:val="24"/>
        </w:rPr>
        <w:t>quest to unbundle the FAC rate</w:t>
      </w:r>
      <w:r w:rsidRPr="001F7DAF">
        <w:rPr>
          <w:rFonts w:ascii="Arial" w:eastAsiaTheme="minorHAnsi" w:hAnsi="Arial" w:cs="Arial"/>
          <w:sz w:val="24"/>
          <w:szCs w:val="24"/>
        </w:rPr>
        <w:t xml:space="preserve"> will increase the likelihood that the </w:t>
      </w:r>
      <w:r w:rsidR="00F65FF4">
        <w:rPr>
          <w:rFonts w:ascii="Arial" w:eastAsiaTheme="minorHAnsi" w:hAnsi="Arial" w:cs="Arial"/>
          <w:sz w:val="24"/>
          <w:szCs w:val="24"/>
        </w:rPr>
        <w:t xml:space="preserve">proposed CBP </w:t>
      </w:r>
      <w:r w:rsidR="00413CE8">
        <w:rPr>
          <w:rFonts w:ascii="Arial" w:eastAsiaTheme="minorHAnsi" w:hAnsi="Arial" w:cs="Arial"/>
          <w:sz w:val="24"/>
          <w:szCs w:val="24"/>
        </w:rPr>
        <w:t xml:space="preserve">will </w:t>
      </w:r>
      <w:r w:rsidR="00413CE8" w:rsidRPr="001F7DAF">
        <w:rPr>
          <w:rFonts w:ascii="Arial" w:eastAsiaTheme="minorHAnsi" w:hAnsi="Arial" w:cs="Arial"/>
          <w:sz w:val="24"/>
          <w:szCs w:val="24"/>
        </w:rPr>
        <w:t>increase</w:t>
      </w:r>
      <w:r w:rsidR="00F65FF4">
        <w:rPr>
          <w:rFonts w:ascii="Arial" w:eastAsiaTheme="minorHAnsi" w:hAnsi="Arial" w:cs="Arial"/>
          <w:sz w:val="24"/>
          <w:szCs w:val="24"/>
        </w:rPr>
        <w:t xml:space="preserve"> </w:t>
      </w:r>
      <w:r w:rsidRPr="001F7DAF">
        <w:rPr>
          <w:rFonts w:ascii="Arial" w:eastAsiaTheme="minorHAnsi" w:hAnsi="Arial" w:cs="Arial"/>
          <w:sz w:val="24"/>
          <w:szCs w:val="24"/>
        </w:rPr>
        <w:t xml:space="preserve">SSO rates.  </w:t>
      </w:r>
    </w:p>
    <w:p w:rsidR="00857DBD" w:rsidRDefault="006B5734" w:rsidP="00EE1CBB">
      <w:pPr>
        <w:autoSpaceDE w:val="0"/>
        <w:autoSpaceDN w:val="0"/>
        <w:adjustRightInd w:val="0"/>
        <w:spacing w:before="240" w:after="0" w:line="480" w:lineRule="auto"/>
        <w:ind w:left="720" w:hanging="720"/>
        <w:jc w:val="both"/>
        <w:rPr>
          <w:rFonts w:ascii="Arial" w:hAnsi="Arial" w:cs="Arial"/>
          <w:b/>
          <w:sz w:val="24"/>
          <w:szCs w:val="24"/>
        </w:rPr>
      </w:pPr>
      <w:r>
        <w:rPr>
          <w:rFonts w:ascii="Arial" w:hAnsi="Arial" w:cs="Arial"/>
          <w:b/>
          <w:sz w:val="24"/>
          <w:szCs w:val="24"/>
        </w:rPr>
        <w:t>Q11</w:t>
      </w:r>
      <w:r w:rsidR="00E20FFE" w:rsidRPr="00E20FFE">
        <w:rPr>
          <w:rFonts w:ascii="Arial" w:hAnsi="Arial" w:cs="Arial"/>
          <w:b/>
          <w:sz w:val="24"/>
          <w:szCs w:val="24"/>
        </w:rPr>
        <w:t>.</w:t>
      </w:r>
      <w:r w:rsidR="00E20FFE" w:rsidRPr="00E20FFE">
        <w:rPr>
          <w:rFonts w:ascii="Arial" w:hAnsi="Arial" w:cs="Arial"/>
          <w:b/>
          <w:sz w:val="24"/>
          <w:szCs w:val="24"/>
        </w:rPr>
        <w:tab/>
        <w:t>Has the Commission expressed its expectations on the results of a CBP?</w:t>
      </w:r>
    </w:p>
    <w:p w:rsidR="0083518C" w:rsidRDefault="006B5734" w:rsidP="00CE48DC">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A11</w:t>
      </w:r>
      <w:r w:rsidR="00E20FFE">
        <w:rPr>
          <w:rFonts w:ascii="Arial" w:hAnsi="Arial" w:cs="Arial"/>
          <w:sz w:val="24"/>
          <w:szCs w:val="24"/>
        </w:rPr>
        <w:t>.</w:t>
      </w:r>
      <w:r w:rsidR="00E20FFE">
        <w:rPr>
          <w:rFonts w:ascii="Arial" w:hAnsi="Arial" w:cs="Arial"/>
          <w:sz w:val="24"/>
          <w:szCs w:val="24"/>
        </w:rPr>
        <w:tab/>
        <w:t xml:space="preserve">Yes. </w:t>
      </w:r>
      <w:r>
        <w:rPr>
          <w:rFonts w:ascii="Arial" w:hAnsi="Arial" w:cs="Arial"/>
          <w:sz w:val="24"/>
          <w:szCs w:val="24"/>
        </w:rPr>
        <w:t xml:space="preserve"> </w:t>
      </w:r>
      <w:r w:rsidR="00E20FFE">
        <w:rPr>
          <w:rFonts w:ascii="Arial" w:hAnsi="Arial" w:cs="Arial"/>
          <w:sz w:val="24"/>
          <w:szCs w:val="24"/>
        </w:rPr>
        <w:t xml:space="preserve">In reviewing </w:t>
      </w:r>
      <w:r w:rsidR="007B6F4E">
        <w:rPr>
          <w:rFonts w:ascii="Arial" w:hAnsi="Arial" w:cs="Arial"/>
          <w:sz w:val="24"/>
          <w:szCs w:val="24"/>
        </w:rPr>
        <w:t>AEP-Ohio</w:t>
      </w:r>
      <w:r w:rsidR="00E20FFE">
        <w:rPr>
          <w:rFonts w:ascii="Arial" w:hAnsi="Arial" w:cs="Arial"/>
          <w:sz w:val="24"/>
          <w:szCs w:val="24"/>
        </w:rPr>
        <w:t>’s proposed ESP, the Commission found that the quantifiable benefits of a market rate offer (“MRO”) were more favorable than the ESP by approximately $386 million</w:t>
      </w:r>
      <w:r w:rsidR="00E6663B">
        <w:rPr>
          <w:rFonts w:ascii="Arial" w:hAnsi="Arial" w:cs="Arial"/>
          <w:sz w:val="24"/>
          <w:szCs w:val="24"/>
        </w:rPr>
        <w:t xml:space="preserve">.  </w:t>
      </w:r>
      <w:r w:rsidR="00E20FFE">
        <w:rPr>
          <w:rFonts w:ascii="Arial" w:hAnsi="Arial" w:cs="Arial"/>
          <w:sz w:val="24"/>
          <w:szCs w:val="24"/>
        </w:rPr>
        <w:t>However, the Commission determined that there were other not readily quantifiable benefits that outweighed the high costs of the ESP.</w:t>
      </w:r>
      <w:r>
        <w:rPr>
          <w:rFonts w:ascii="Arial" w:hAnsi="Arial" w:cs="Arial"/>
          <w:sz w:val="24"/>
          <w:szCs w:val="24"/>
        </w:rPr>
        <w:t xml:space="preserve"> </w:t>
      </w:r>
      <w:r w:rsidR="00E20FFE">
        <w:rPr>
          <w:rFonts w:ascii="Arial" w:hAnsi="Arial" w:cs="Arial"/>
          <w:sz w:val="24"/>
          <w:szCs w:val="24"/>
        </w:rPr>
        <w:t xml:space="preserve"> These non-quantifiable benefits included an expectation that </w:t>
      </w:r>
      <w:r w:rsidR="0083518C">
        <w:rPr>
          <w:rFonts w:ascii="Arial" w:hAnsi="Arial" w:cs="Arial"/>
          <w:sz w:val="24"/>
          <w:szCs w:val="24"/>
        </w:rPr>
        <w:t xml:space="preserve">the </w:t>
      </w:r>
      <w:r w:rsidR="00E20FFE">
        <w:rPr>
          <w:rFonts w:ascii="Arial" w:hAnsi="Arial" w:cs="Arial"/>
          <w:sz w:val="24"/>
          <w:szCs w:val="24"/>
        </w:rPr>
        <w:t xml:space="preserve">results of the CBP would offset some of the directly quantifiable costs of the </w:t>
      </w:r>
      <w:r w:rsidR="00E20FFE">
        <w:rPr>
          <w:rFonts w:ascii="Arial" w:hAnsi="Arial" w:cs="Arial"/>
          <w:sz w:val="24"/>
          <w:szCs w:val="24"/>
        </w:rPr>
        <w:lastRenderedPageBreak/>
        <w:t>ESP.</w:t>
      </w:r>
      <w:r w:rsidR="004E0549">
        <w:rPr>
          <w:rStyle w:val="FootnoteReference"/>
          <w:rFonts w:ascii="Arial" w:hAnsi="Arial" w:cs="Arial"/>
          <w:sz w:val="24"/>
          <w:szCs w:val="24"/>
        </w:rPr>
        <w:footnoteReference w:id="7"/>
      </w:r>
      <w:r w:rsidR="00E20FFE">
        <w:rPr>
          <w:rFonts w:ascii="Arial" w:hAnsi="Arial" w:cs="Arial"/>
          <w:sz w:val="24"/>
          <w:szCs w:val="24"/>
        </w:rPr>
        <w:t xml:space="preserve"> </w:t>
      </w:r>
      <w:r>
        <w:rPr>
          <w:rFonts w:ascii="Arial" w:hAnsi="Arial" w:cs="Arial"/>
          <w:sz w:val="24"/>
          <w:szCs w:val="24"/>
        </w:rPr>
        <w:t xml:space="preserve"> </w:t>
      </w:r>
      <w:r w:rsidR="00E20FFE">
        <w:rPr>
          <w:rFonts w:ascii="Arial" w:hAnsi="Arial" w:cs="Arial"/>
          <w:sz w:val="24"/>
          <w:szCs w:val="24"/>
        </w:rPr>
        <w:t xml:space="preserve">In other words, the Commission expected the CBP process to produce lower </w:t>
      </w:r>
      <w:r>
        <w:rPr>
          <w:rFonts w:ascii="Arial" w:hAnsi="Arial" w:cs="Arial"/>
          <w:sz w:val="24"/>
          <w:szCs w:val="24"/>
        </w:rPr>
        <w:t>SSO</w:t>
      </w:r>
      <w:r w:rsidR="00E20FFE">
        <w:rPr>
          <w:rFonts w:ascii="Arial" w:hAnsi="Arial" w:cs="Arial"/>
          <w:sz w:val="24"/>
          <w:szCs w:val="24"/>
        </w:rPr>
        <w:t xml:space="preserve"> prices for non-shopping customers.  </w:t>
      </w:r>
    </w:p>
    <w:p w:rsidR="00E20FFE" w:rsidRDefault="006B5734" w:rsidP="004B7F33">
      <w:pPr>
        <w:spacing w:before="240" w:after="0" w:line="240" w:lineRule="auto"/>
        <w:rPr>
          <w:rFonts w:ascii="Arial" w:hAnsi="Arial" w:cs="Arial"/>
          <w:b/>
          <w:sz w:val="24"/>
          <w:szCs w:val="24"/>
        </w:rPr>
      </w:pPr>
      <w:r>
        <w:rPr>
          <w:rFonts w:ascii="Arial" w:hAnsi="Arial" w:cs="Arial"/>
          <w:b/>
          <w:sz w:val="24"/>
          <w:szCs w:val="24"/>
        </w:rPr>
        <w:t>III.</w:t>
      </w:r>
      <w:r w:rsidR="0083518C" w:rsidRPr="0083518C">
        <w:rPr>
          <w:rFonts w:ascii="Arial" w:hAnsi="Arial" w:cs="Arial"/>
          <w:b/>
          <w:sz w:val="24"/>
          <w:szCs w:val="24"/>
        </w:rPr>
        <w:tab/>
      </w:r>
      <w:r w:rsidR="0083518C">
        <w:rPr>
          <w:rFonts w:ascii="Arial" w:hAnsi="Arial" w:cs="Arial"/>
          <w:b/>
          <w:sz w:val="24"/>
          <w:szCs w:val="24"/>
        </w:rPr>
        <w:t xml:space="preserve">CBP </w:t>
      </w:r>
      <w:r w:rsidR="0083518C" w:rsidRPr="0083518C">
        <w:rPr>
          <w:rFonts w:ascii="Arial" w:hAnsi="Arial" w:cs="Arial"/>
          <w:b/>
          <w:sz w:val="24"/>
          <w:szCs w:val="24"/>
        </w:rPr>
        <w:t>RECOMMENDATIONS</w:t>
      </w:r>
      <w:r w:rsidR="00E20FFE" w:rsidRPr="0083518C">
        <w:rPr>
          <w:rFonts w:ascii="Arial" w:hAnsi="Arial" w:cs="Arial"/>
          <w:b/>
          <w:sz w:val="24"/>
          <w:szCs w:val="24"/>
        </w:rPr>
        <w:t xml:space="preserve"> </w:t>
      </w:r>
    </w:p>
    <w:p w:rsidR="0083518C" w:rsidRDefault="006B5734" w:rsidP="004B7F33">
      <w:pPr>
        <w:autoSpaceDE w:val="0"/>
        <w:autoSpaceDN w:val="0"/>
        <w:adjustRightInd w:val="0"/>
        <w:spacing w:before="480" w:after="0" w:line="480" w:lineRule="auto"/>
        <w:ind w:left="720" w:hanging="720"/>
        <w:jc w:val="both"/>
        <w:rPr>
          <w:rFonts w:ascii="Arial" w:hAnsi="Arial" w:cs="Arial"/>
          <w:b/>
          <w:sz w:val="24"/>
          <w:szCs w:val="24"/>
        </w:rPr>
      </w:pPr>
      <w:r>
        <w:rPr>
          <w:rFonts w:ascii="Arial" w:hAnsi="Arial" w:cs="Arial"/>
          <w:b/>
          <w:sz w:val="24"/>
          <w:szCs w:val="24"/>
        </w:rPr>
        <w:t>Q12</w:t>
      </w:r>
      <w:r w:rsidR="0083518C">
        <w:rPr>
          <w:rFonts w:ascii="Arial" w:hAnsi="Arial" w:cs="Arial"/>
          <w:b/>
          <w:sz w:val="24"/>
          <w:szCs w:val="24"/>
        </w:rPr>
        <w:t>.</w:t>
      </w:r>
      <w:r w:rsidR="0083518C">
        <w:rPr>
          <w:rFonts w:ascii="Arial" w:hAnsi="Arial" w:cs="Arial"/>
          <w:b/>
          <w:sz w:val="24"/>
          <w:szCs w:val="24"/>
        </w:rPr>
        <w:tab/>
        <w:t>Can you describe the proposed CBP?</w:t>
      </w:r>
    </w:p>
    <w:p w:rsidR="0083518C" w:rsidRPr="0083518C" w:rsidRDefault="006B5734" w:rsidP="00EE1CBB">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A12</w:t>
      </w:r>
      <w:r w:rsidR="0083518C">
        <w:rPr>
          <w:rFonts w:ascii="Arial" w:hAnsi="Arial" w:cs="Arial"/>
          <w:sz w:val="24"/>
          <w:szCs w:val="24"/>
        </w:rPr>
        <w:t>.</w:t>
      </w:r>
      <w:r w:rsidR="0083518C">
        <w:rPr>
          <w:rFonts w:ascii="Arial" w:hAnsi="Arial" w:cs="Arial"/>
          <w:sz w:val="24"/>
          <w:szCs w:val="24"/>
        </w:rPr>
        <w:tab/>
        <w:t>Yes.</w:t>
      </w:r>
      <w:r>
        <w:rPr>
          <w:rFonts w:ascii="Arial" w:hAnsi="Arial" w:cs="Arial"/>
          <w:sz w:val="24"/>
          <w:szCs w:val="24"/>
        </w:rPr>
        <w:t xml:space="preserve"> </w:t>
      </w:r>
      <w:r w:rsidR="0083518C">
        <w:rPr>
          <w:rFonts w:ascii="Arial" w:hAnsi="Arial" w:cs="Arial"/>
          <w:sz w:val="24"/>
          <w:szCs w:val="24"/>
        </w:rPr>
        <w:t xml:space="preserve"> AEP</w:t>
      </w:r>
      <w:r>
        <w:rPr>
          <w:rFonts w:ascii="Arial" w:hAnsi="Arial" w:cs="Arial"/>
          <w:sz w:val="24"/>
          <w:szCs w:val="24"/>
        </w:rPr>
        <w:t>-Ohio</w:t>
      </w:r>
      <w:r w:rsidR="0083518C">
        <w:rPr>
          <w:rFonts w:ascii="Arial" w:hAnsi="Arial" w:cs="Arial"/>
          <w:sz w:val="24"/>
          <w:szCs w:val="24"/>
        </w:rPr>
        <w:t xml:space="preserve"> has proposed a descending clock auction </w:t>
      </w:r>
      <w:r w:rsidR="00060391">
        <w:rPr>
          <w:rFonts w:ascii="Arial" w:hAnsi="Arial" w:cs="Arial"/>
          <w:sz w:val="24"/>
          <w:szCs w:val="24"/>
        </w:rPr>
        <w:t>as the CBP.</w:t>
      </w:r>
      <w:r>
        <w:rPr>
          <w:rFonts w:ascii="Arial" w:hAnsi="Arial" w:cs="Arial"/>
          <w:sz w:val="24"/>
          <w:szCs w:val="24"/>
        </w:rPr>
        <w:t xml:space="preserve"> </w:t>
      </w:r>
      <w:r w:rsidR="00060391">
        <w:rPr>
          <w:rFonts w:ascii="Arial" w:hAnsi="Arial" w:cs="Arial"/>
          <w:sz w:val="24"/>
          <w:szCs w:val="24"/>
        </w:rPr>
        <w:t xml:space="preserve"> In the proposed auction</w:t>
      </w:r>
      <w:r>
        <w:rPr>
          <w:rFonts w:ascii="Arial" w:hAnsi="Arial" w:cs="Arial"/>
          <w:sz w:val="24"/>
          <w:szCs w:val="24"/>
        </w:rPr>
        <w:t>,</w:t>
      </w:r>
      <w:r w:rsidR="00060391">
        <w:rPr>
          <w:rFonts w:ascii="Arial" w:hAnsi="Arial" w:cs="Arial"/>
          <w:sz w:val="24"/>
          <w:szCs w:val="24"/>
        </w:rPr>
        <w:t xml:space="preserve"> </w:t>
      </w:r>
      <w:r w:rsidR="00407239">
        <w:rPr>
          <w:rFonts w:ascii="Arial" w:hAnsi="Arial" w:cs="Arial"/>
          <w:sz w:val="24"/>
          <w:szCs w:val="24"/>
        </w:rPr>
        <w:t xml:space="preserve">the auction manager </w:t>
      </w:r>
      <w:r w:rsidR="00CE1CCD">
        <w:rPr>
          <w:rFonts w:ascii="Arial" w:hAnsi="Arial" w:cs="Arial"/>
          <w:sz w:val="24"/>
          <w:szCs w:val="24"/>
        </w:rPr>
        <w:t xml:space="preserve">establishes </w:t>
      </w:r>
      <w:r w:rsidR="00060391">
        <w:rPr>
          <w:rFonts w:ascii="Arial" w:hAnsi="Arial" w:cs="Arial"/>
          <w:sz w:val="24"/>
          <w:szCs w:val="24"/>
        </w:rPr>
        <w:t xml:space="preserve">a starting price and bidders submit sealed bids indicating the number of tranches they would be willing to supply at the </w:t>
      </w:r>
      <w:r w:rsidR="00CE1CCD">
        <w:rPr>
          <w:rFonts w:ascii="Arial" w:hAnsi="Arial" w:cs="Arial"/>
          <w:sz w:val="24"/>
          <w:szCs w:val="24"/>
        </w:rPr>
        <w:t>starting price</w:t>
      </w:r>
      <w:r w:rsidR="00060391">
        <w:rPr>
          <w:rFonts w:ascii="Arial" w:hAnsi="Arial" w:cs="Arial"/>
          <w:sz w:val="24"/>
          <w:szCs w:val="24"/>
        </w:rPr>
        <w:t xml:space="preserve">.  As long as the initial </w:t>
      </w:r>
      <w:r w:rsidR="00CE1CCD">
        <w:rPr>
          <w:rFonts w:ascii="Arial" w:hAnsi="Arial" w:cs="Arial"/>
          <w:sz w:val="24"/>
          <w:szCs w:val="24"/>
        </w:rPr>
        <w:t xml:space="preserve">round of </w:t>
      </w:r>
      <w:r w:rsidR="00060391">
        <w:rPr>
          <w:rFonts w:ascii="Arial" w:hAnsi="Arial" w:cs="Arial"/>
          <w:sz w:val="24"/>
          <w:szCs w:val="24"/>
        </w:rPr>
        <w:t>bid</w:t>
      </w:r>
      <w:r w:rsidR="00CE1CCD">
        <w:rPr>
          <w:rFonts w:ascii="Arial" w:hAnsi="Arial" w:cs="Arial"/>
          <w:sz w:val="24"/>
          <w:szCs w:val="24"/>
        </w:rPr>
        <w:t xml:space="preserve">ding </w:t>
      </w:r>
      <w:r w:rsidR="00060391">
        <w:rPr>
          <w:rFonts w:ascii="Arial" w:hAnsi="Arial" w:cs="Arial"/>
          <w:sz w:val="24"/>
          <w:szCs w:val="24"/>
        </w:rPr>
        <w:t>is oversupplied</w:t>
      </w:r>
      <w:r w:rsidR="004A5DC2">
        <w:rPr>
          <w:rFonts w:ascii="Arial" w:hAnsi="Arial" w:cs="Arial"/>
          <w:sz w:val="24"/>
          <w:szCs w:val="24"/>
        </w:rPr>
        <w:t>,</w:t>
      </w:r>
      <w:r w:rsidR="00060391">
        <w:rPr>
          <w:rFonts w:ascii="Arial" w:hAnsi="Arial" w:cs="Arial"/>
          <w:sz w:val="24"/>
          <w:szCs w:val="24"/>
        </w:rPr>
        <w:t xml:space="preserve"> the auction proceeds and the auction price is lowered</w:t>
      </w:r>
      <w:r w:rsidR="00394B0D">
        <w:rPr>
          <w:rFonts w:ascii="Arial" w:hAnsi="Arial" w:cs="Arial"/>
          <w:sz w:val="24"/>
          <w:szCs w:val="24"/>
        </w:rPr>
        <w:t xml:space="preserve"> each round</w:t>
      </w:r>
      <w:r w:rsidR="00060391">
        <w:rPr>
          <w:rFonts w:ascii="Arial" w:hAnsi="Arial" w:cs="Arial"/>
          <w:sz w:val="24"/>
          <w:szCs w:val="24"/>
        </w:rPr>
        <w:t>.</w:t>
      </w:r>
      <w:r>
        <w:rPr>
          <w:rFonts w:ascii="Arial" w:hAnsi="Arial" w:cs="Arial"/>
          <w:sz w:val="24"/>
          <w:szCs w:val="24"/>
        </w:rPr>
        <w:t xml:space="preserve"> </w:t>
      </w:r>
      <w:r w:rsidR="00060391">
        <w:rPr>
          <w:rFonts w:ascii="Arial" w:hAnsi="Arial" w:cs="Arial"/>
          <w:sz w:val="24"/>
          <w:szCs w:val="24"/>
        </w:rPr>
        <w:t xml:space="preserve"> Bidders submit sealed bids </w:t>
      </w:r>
      <w:r w:rsidR="00CE48DC">
        <w:rPr>
          <w:rFonts w:ascii="Arial" w:hAnsi="Arial" w:cs="Arial"/>
          <w:sz w:val="24"/>
          <w:szCs w:val="24"/>
        </w:rPr>
        <w:t xml:space="preserve">each round </w:t>
      </w:r>
      <w:r w:rsidR="00B5246D">
        <w:rPr>
          <w:rFonts w:ascii="Arial" w:hAnsi="Arial" w:cs="Arial"/>
          <w:sz w:val="24"/>
          <w:szCs w:val="24"/>
        </w:rPr>
        <w:t>indicating the number of</w:t>
      </w:r>
      <w:r w:rsidR="00060391">
        <w:rPr>
          <w:rFonts w:ascii="Arial" w:hAnsi="Arial" w:cs="Arial"/>
          <w:sz w:val="24"/>
          <w:szCs w:val="24"/>
        </w:rPr>
        <w:t xml:space="preserve"> tranches they would be willing to supply at </w:t>
      </w:r>
      <w:r>
        <w:rPr>
          <w:rFonts w:ascii="Arial" w:hAnsi="Arial" w:cs="Arial"/>
          <w:sz w:val="24"/>
          <w:szCs w:val="24"/>
        </w:rPr>
        <w:t xml:space="preserve">a </w:t>
      </w:r>
      <w:r w:rsidR="00060391">
        <w:rPr>
          <w:rFonts w:ascii="Arial" w:hAnsi="Arial" w:cs="Arial"/>
          <w:sz w:val="24"/>
          <w:szCs w:val="24"/>
        </w:rPr>
        <w:t>lower auction price.  Successive round</w:t>
      </w:r>
      <w:r>
        <w:rPr>
          <w:rFonts w:ascii="Arial" w:hAnsi="Arial" w:cs="Arial"/>
          <w:sz w:val="24"/>
          <w:szCs w:val="24"/>
        </w:rPr>
        <w:t>s</w:t>
      </w:r>
      <w:r w:rsidR="00060391">
        <w:rPr>
          <w:rFonts w:ascii="Arial" w:hAnsi="Arial" w:cs="Arial"/>
          <w:sz w:val="24"/>
          <w:szCs w:val="24"/>
        </w:rPr>
        <w:t xml:space="preserve"> of bids continue so long as the auction is oversupplied. </w:t>
      </w:r>
      <w:r>
        <w:rPr>
          <w:rFonts w:ascii="Arial" w:hAnsi="Arial" w:cs="Arial"/>
          <w:sz w:val="24"/>
          <w:szCs w:val="24"/>
        </w:rPr>
        <w:t xml:space="preserve"> </w:t>
      </w:r>
      <w:r w:rsidR="00060391">
        <w:rPr>
          <w:rFonts w:ascii="Arial" w:hAnsi="Arial" w:cs="Arial"/>
          <w:sz w:val="24"/>
          <w:szCs w:val="24"/>
        </w:rPr>
        <w:t xml:space="preserve">The last round of the auction ends when the number of tranches bid equals or falls short of the number of tranches available. </w:t>
      </w:r>
      <w:r>
        <w:rPr>
          <w:rFonts w:ascii="Arial" w:hAnsi="Arial" w:cs="Arial"/>
          <w:sz w:val="24"/>
          <w:szCs w:val="24"/>
        </w:rPr>
        <w:t xml:space="preserve"> </w:t>
      </w:r>
      <w:r w:rsidR="00060391">
        <w:rPr>
          <w:rFonts w:ascii="Arial" w:hAnsi="Arial" w:cs="Arial"/>
          <w:sz w:val="24"/>
          <w:szCs w:val="24"/>
        </w:rPr>
        <w:t xml:space="preserve">If the </w:t>
      </w:r>
      <w:r w:rsidR="003606B8">
        <w:rPr>
          <w:rFonts w:ascii="Arial" w:hAnsi="Arial" w:cs="Arial"/>
          <w:sz w:val="24"/>
          <w:szCs w:val="24"/>
        </w:rPr>
        <w:t xml:space="preserve">number of </w:t>
      </w:r>
      <w:r w:rsidR="00060391">
        <w:rPr>
          <w:rFonts w:ascii="Arial" w:hAnsi="Arial" w:cs="Arial"/>
          <w:sz w:val="24"/>
          <w:szCs w:val="24"/>
        </w:rPr>
        <w:t>tranches bid equal</w:t>
      </w:r>
      <w:r w:rsidR="004B7F33">
        <w:rPr>
          <w:rFonts w:ascii="Arial" w:hAnsi="Arial" w:cs="Arial"/>
          <w:sz w:val="24"/>
          <w:szCs w:val="24"/>
        </w:rPr>
        <w:t>s</w:t>
      </w:r>
      <w:r w:rsidR="00060391">
        <w:rPr>
          <w:rFonts w:ascii="Arial" w:hAnsi="Arial" w:cs="Arial"/>
          <w:sz w:val="24"/>
          <w:szCs w:val="24"/>
        </w:rPr>
        <w:t xml:space="preserve"> the </w:t>
      </w:r>
      <w:r w:rsidR="003606B8">
        <w:rPr>
          <w:rFonts w:ascii="Arial" w:hAnsi="Arial" w:cs="Arial"/>
          <w:sz w:val="24"/>
          <w:szCs w:val="24"/>
        </w:rPr>
        <w:t xml:space="preserve">number of </w:t>
      </w:r>
      <w:r w:rsidR="00060391">
        <w:rPr>
          <w:rFonts w:ascii="Arial" w:hAnsi="Arial" w:cs="Arial"/>
          <w:sz w:val="24"/>
          <w:szCs w:val="24"/>
        </w:rPr>
        <w:t>tranches available</w:t>
      </w:r>
      <w:r w:rsidR="00407239">
        <w:rPr>
          <w:rFonts w:ascii="Arial" w:hAnsi="Arial" w:cs="Arial"/>
          <w:sz w:val="24"/>
          <w:szCs w:val="24"/>
        </w:rPr>
        <w:t>,</w:t>
      </w:r>
      <w:r w:rsidR="00060391">
        <w:rPr>
          <w:rFonts w:ascii="Arial" w:hAnsi="Arial" w:cs="Arial"/>
          <w:sz w:val="24"/>
          <w:szCs w:val="24"/>
        </w:rPr>
        <w:t xml:space="preserve"> the auction clearing price is the bid price from the last round of bidding. </w:t>
      </w:r>
      <w:r>
        <w:rPr>
          <w:rFonts w:ascii="Arial" w:hAnsi="Arial" w:cs="Arial"/>
          <w:sz w:val="24"/>
          <w:szCs w:val="24"/>
        </w:rPr>
        <w:t xml:space="preserve"> </w:t>
      </w:r>
      <w:r w:rsidR="00060391">
        <w:rPr>
          <w:rFonts w:ascii="Arial" w:hAnsi="Arial" w:cs="Arial"/>
          <w:sz w:val="24"/>
          <w:szCs w:val="24"/>
        </w:rPr>
        <w:t>If the number of tranches bid falls short of the tranches available</w:t>
      </w:r>
      <w:r w:rsidR="004E0549">
        <w:rPr>
          <w:rFonts w:ascii="Arial" w:hAnsi="Arial" w:cs="Arial"/>
          <w:sz w:val="24"/>
          <w:szCs w:val="24"/>
        </w:rPr>
        <w:t>,</w:t>
      </w:r>
      <w:r w:rsidR="00060391">
        <w:rPr>
          <w:rFonts w:ascii="Arial" w:hAnsi="Arial" w:cs="Arial"/>
          <w:sz w:val="24"/>
          <w:szCs w:val="24"/>
        </w:rPr>
        <w:t xml:space="preserve"> </w:t>
      </w:r>
      <w:r w:rsidR="004952D1">
        <w:rPr>
          <w:rFonts w:ascii="Arial" w:hAnsi="Arial" w:cs="Arial"/>
          <w:sz w:val="24"/>
          <w:szCs w:val="24"/>
        </w:rPr>
        <w:t>the auction manager accepts all bids offere</w:t>
      </w:r>
      <w:r w:rsidR="00EA5796">
        <w:rPr>
          <w:rFonts w:ascii="Arial" w:hAnsi="Arial" w:cs="Arial"/>
          <w:sz w:val="24"/>
          <w:szCs w:val="24"/>
        </w:rPr>
        <w:t>d in the last round and then ran</w:t>
      </w:r>
      <w:r w:rsidR="004952D1">
        <w:rPr>
          <w:rFonts w:ascii="Arial" w:hAnsi="Arial" w:cs="Arial"/>
          <w:sz w:val="24"/>
          <w:szCs w:val="24"/>
        </w:rPr>
        <w:t xml:space="preserve">ks bids withdrawn based upon the lowest exit (last offered) price. </w:t>
      </w:r>
      <w:r>
        <w:rPr>
          <w:rFonts w:ascii="Arial" w:hAnsi="Arial" w:cs="Arial"/>
          <w:sz w:val="24"/>
          <w:szCs w:val="24"/>
        </w:rPr>
        <w:t xml:space="preserve"> </w:t>
      </w:r>
      <w:r w:rsidR="004952D1">
        <w:rPr>
          <w:rFonts w:ascii="Arial" w:hAnsi="Arial" w:cs="Arial"/>
          <w:sz w:val="24"/>
          <w:szCs w:val="24"/>
        </w:rPr>
        <w:t>Bids withdrawn are selected based upon the lowest price until the number of tranches selected match</w:t>
      </w:r>
      <w:r w:rsidR="00EA5796">
        <w:rPr>
          <w:rFonts w:ascii="Arial" w:hAnsi="Arial" w:cs="Arial"/>
          <w:sz w:val="24"/>
          <w:szCs w:val="24"/>
        </w:rPr>
        <w:t>es</w:t>
      </w:r>
      <w:r w:rsidR="004952D1">
        <w:rPr>
          <w:rFonts w:ascii="Arial" w:hAnsi="Arial" w:cs="Arial"/>
          <w:sz w:val="24"/>
          <w:szCs w:val="24"/>
        </w:rPr>
        <w:t xml:space="preserve"> the tranches offered. </w:t>
      </w:r>
      <w:r>
        <w:rPr>
          <w:rFonts w:ascii="Arial" w:hAnsi="Arial" w:cs="Arial"/>
          <w:sz w:val="24"/>
          <w:szCs w:val="24"/>
        </w:rPr>
        <w:t xml:space="preserve"> </w:t>
      </w:r>
      <w:r w:rsidR="004952D1">
        <w:rPr>
          <w:rFonts w:ascii="Arial" w:hAnsi="Arial" w:cs="Arial"/>
          <w:sz w:val="24"/>
          <w:szCs w:val="24"/>
        </w:rPr>
        <w:t xml:space="preserve">The auction clearing price becomes the price from the last </w:t>
      </w:r>
      <w:r w:rsidR="00EA5796">
        <w:rPr>
          <w:rFonts w:ascii="Arial" w:hAnsi="Arial" w:cs="Arial"/>
          <w:sz w:val="24"/>
          <w:szCs w:val="24"/>
        </w:rPr>
        <w:t>bid</w:t>
      </w:r>
      <w:r w:rsidR="004952D1">
        <w:rPr>
          <w:rFonts w:ascii="Arial" w:hAnsi="Arial" w:cs="Arial"/>
          <w:sz w:val="24"/>
          <w:szCs w:val="24"/>
        </w:rPr>
        <w:t xml:space="preserve"> (highest price) selected.</w:t>
      </w:r>
    </w:p>
    <w:p w:rsidR="004952D1" w:rsidRDefault="006B5734" w:rsidP="00EE1CBB">
      <w:pPr>
        <w:autoSpaceDE w:val="0"/>
        <w:autoSpaceDN w:val="0"/>
        <w:adjustRightInd w:val="0"/>
        <w:spacing w:before="240" w:after="0" w:line="480" w:lineRule="auto"/>
        <w:ind w:left="720" w:hanging="720"/>
        <w:jc w:val="both"/>
        <w:rPr>
          <w:rFonts w:ascii="Arial" w:hAnsi="Arial" w:cs="Arial"/>
          <w:b/>
          <w:sz w:val="24"/>
          <w:szCs w:val="24"/>
        </w:rPr>
      </w:pPr>
      <w:r>
        <w:rPr>
          <w:rFonts w:ascii="Arial" w:hAnsi="Arial" w:cs="Arial"/>
          <w:b/>
          <w:sz w:val="24"/>
          <w:szCs w:val="24"/>
        </w:rPr>
        <w:lastRenderedPageBreak/>
        <w:t>Q13</w:t>
      </w:r>
      <w:r w:rsidR="004952D1">
        <w:rPr>
          <w:rFonts w:ascii="Arial" w:hAnsi="Arial" w:cs="Arial"/>
          <w:b/>
          <w:sz w:val="24"/>
          <w:szCs w:val="24"/>
        </w:rPr>
        <w:t>.</w:t>
      </w:r>
      <w:r w:rsidR="004952D1">
        <w:rPr>
          <w:rFonts w:ascii="Arial" w:hAnsi="Arial" w:cs="Arial"/>
          <w:b/>
          <w:sz w:val="24"/>
          <w:szCs w:val="24"/>
        </w:rPr>
        <w:tab/>
        <w:t xml:space="preserve">Has </w:t>
      </w:r>
      <w:r w:rsidR="007B6F4E">
        <w:rPr>
          <w:rFonts w:ascii="Arial" w:hAnsi="Arial" w:cs="Arial"/>
          <w:b/>
          <w:sz w:val="24"/>
          <w:szCs w:val="24"/>
        </w:rPr>
        <w:t>AEP-Ohio</w:t>
      </w:r>
      <w:r w:rsidR="004952D1">
        <w:rPr>
          <w:rFonts w:ascii="Arial" w:hAnsi="Arial" w:cs="Arial"/>
          <w:b/>
          <w:sz w:val="24"/>
          <w:szCs w:val="24"/>
        </w:rPr>
        <w:t xml:space="preserve"> p</w:t>
      </w:r>
      <w:r w:rsidR="00EA5796">
        <w:rPr>
          <w:rFonts w:ascii="Arial" w:hAnsi="Arial" w:cs="Arial"/>
          <w:b/>
          <w:sz w:val="24"/>
          <w:szCs w:val="24"/>
        </w:rPr>
        <w:t xml:space="preserve">roposed a </w:t>
      </w:r>
      <w:r w:rsidR="004952D1">
        <w:rPr>
          <w:rFonts w:ascii="Arial" w:hAnsi="Arial" w:cs="Arial"/>
          <w:b/>
          <w:sz w:val="24"/>
          <w:szCs w:val="24"/>
        </w:rPr>
        <w:t>reserve price as part of the CBP?</w:t>
      </w:r>
    </w:p>
    <w:p w:rsidR="004952D1" w:rsidRPr="004952D1" w:rsidRDefault="006B5734" w:rsidP="00EE1CBB">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A13</w:t>
      </w:r>
      <w:r w:rsidR="004952D1">
        <w:rPr>
          <w:rFonts w:ascii="Arial" w:hAnsi="Arial" w:cs="Arial"/>
          <w:sz w:val="24"/>
          <w:szCs w:val="24"/>
        </w:rPr>
        <w:t>.</w:t>
      </w:r>
      <w:r w:rsidR="004952D1">
        <w:rPr>
          <w:rFonts w:ascii="Arial" w:hAnsi="Arial" w:cs="Arial"/>
          <w:sz w:val="24"/>
          <w:szCs w:val="24"/>
        </w:rPr>
        <w:tab/>
        <w:t>No.</w:t>
      </w:r>
      <w:r w:rsidR="00B5246D">
        <w:rPr>
          <w:rFonts w:ascii="Arial" w:hAnsi="Arial" w:cs="Arial"/>
          <w:sz w:val="24"/>
          <w:szCs w:val="24"/>
        </w:rPr>
        <w:t xml:space="preserve"> </w:t>
      </w:r>
      <w:r w:rsidR="004952D1">
        <w:rPr>
          <w:rFonts w:ascii="Arial" w:hAnsi="Arial" w:cs="Arial"/>
          <w:sz w:val="24"/>
          <w:szCs w:val="24"/>
        </w:rPr>
        <w:t xml:space="preserve"> AEP</w:t>
      </w:r>
      <w:r>
        <w:rPr>
          <w:rFonts w:ascii="Arial" w:hAnsi="Arial" w:cs="Arial"/>
          <w:sz w:val="24"/>
          <w:szCs w:val="24"/>
        </w:rPr>
        <w:t>-Ohio</w:t>
      </w:r>
      <w:r w:rsidR="004952D1">
        <w:rPr>
          <w:rFonts w:ascii="Arial" w:hAnsi="Arial" w:cs="Arial"/>
          <w:sz w:val="24"/>
          <w:szCs w:val="24"/>
        </w:rPr>
        <w:t xml:space="preserve"> has proposed to let the auction manager have discretion to set the </w:t>
      </w:r>
      <w:r w:rsidR="00CE48DC">
        <w:rPr>
          <w:rFonts w:ascii="Arial" w:hAnsi="Arial" w:cs="Arial"/>
          <w:sz w:val="24"/>
          <w:szCs w:val="24"/>
        </w:rPr>
        <w:t xml:space="preserve">starting </w:t>
      </w:r>
      <w:r w:rsidR="004952D1">
        <w:rPr>
          <w:rFonts w:ascii="Arial" w:hAnsi="Arial" w:cs="Arial"/>
          <w:sz w:val="24"/>
          <w:szCs w:val="24"/>
        </w:rPr>
        <w:t>price for the auction</w:t>
      </w:r>
      <w:r w:rsidR="00CE48DC">
        <w:rPr>
          <w:rFonts w:ascii="Arial" w:hAnsi="Arial" w:cs="Arial"/>
          <w:sz w:val="24"/>
          <w:szCs w:val="24"/>
        </w:rPr>
        <w:t xml:space="preserve"> and there is no specified reserve price</w:t>
      </w:r>
      <w:r w:rsidR="004952D1">
        <w:rPr>
          <w:rFonts w:ascii="Arial" w:hAnsi="Arial" w:cs="Arial"/>
          <w:sz w:val="24"/>
          <w:szCs w:val="24"/>
        </w:rPr>
        <w:t>.</w:t>
      </w:r>
      <w:r>
        <w:rPr>
          <w:rFonts w:ascii="Arial" w:hAnsi="Arial" w:cs="Arial"/>
          <w:sz w:val="24"/>
          <w:szCs w:val="24"/>
        </w:rPr>
        <w:t xml:space="preserve"> </w:t>
      </w:r>
      <w:r w:rsidR="004952D1">
        <w:rPr>
          <w:rFonts w:ascii="Arial" w:hAnsi="Arial" w:cs="Arial"/>
          <w:sz w:val="24"/>
          <w:szCs w:val="24"/>
        </w:rPr>
        <w:t xml:space="preserve"> </w:t>
      </w:r>
      <w:r w:rsidR="007B6F4E">
        <w:rPr>
          <w:rFonts w:ascii="Arial" w:hAnsi="Arial" w:cs="Arial"/>
          <w:sz w:val="24"/>
          <w:szCs w:val="24"/>
        </w:rPr>
        <w:t>AEP-Ohio</w:t>
      </w:r>
      <w:r w:rsidR="004952D1">
        <w:rPr>
          <w:rFonts w:ascii="Arial" w:hAnsi="Arial" w:cs="Arial"/>
          <w:sz w:val="24"/>
          <w:szCs w:val="24"/>
        </w:rPr>
        <w:t xml:space="preserve"> has selected NERA Economic Consulting to serve as the auction manager</w:t>
      </w:r>
      <w:r w:rsidR="00CE48DC">
        <w:rPr>
          <w:rFonts w:ascii="Arial" w:hAnsi="Arial" w:cs="Arial"/>
          <w:sz w:val="24"/>
          <w:szCs w:val="24"/>
        </w:rPr>
        <w:t xml:space="preserve"> and NERA</w:t>
      </w:r>
      <w:r w:rsidR="00CE1CCD">
        <w:rPr>
          <w:rFonts w:ascii="Arial" w:hAnsi="Arial" w:cs="Arial"/>
          <w:sz w:val="24"/>
          <w:szCs w:val="24"/>
        </w:rPr>
        <w:t xml:space="preserve"> Economic Consulting </w:t>
      </w:r>
      <w:r w:rsidR="00CE48DC">
        <w:rPr>
          <w:rFonts w:ascii="Arial" w:hAnsi="Arial" w:cs="Arial"/>
          <w:sz w:val="24"/>
          <w:szCs w:val="24"/>
        </w:rPr>
        <w:t>has been delegated the authority to establish the starting price in the auction</w:t>
      </w:r>
      <w:r w:rsidR="00C12455">
        <w:rPr>
          <w:rFonts w:ascii="Arial" w:hAnsi="Arial" w:cs="Arial"/>
          <w:sz w:val="24"/>
          <w:szCs w:val="24"/>
        </w:rPr>
        <w:t xml:space="preserve"> with no required reserve price</w:t>
      </w:r>
      <w:r w:rsidR="00CE48DC">
        <w:rPr>
          <w:rFonts w:ascii="Arial" w:hAnsi="Arial" w:cs="Arial"/>
          <w:sz w:val="24"/>
          <w:szCs w:val="24"/>
        </w:rPr>
        <w:t>.</w:t>
      </w:r>
      <w:r w:rsidR="00C12455">
        <w:rPr>
          <w:rStyle w:val="FootnoteReference"/>
          <w:rFonts w:ascii="Arial" w:hAnsi="Arial" w:cs="Arial"/>
          <w:sz w:val="24"/>
          <w:szCs w:val="24"/>
        </w:rPr>
        <w:footnoteReference w:id="8"/>
      </w:r>
      <w:r w:rsidR="00CE48DC">
        <w:rPr>
          <w:rFonts w:ascii="Arial" w:hAnsi="Arial" w:cs="Arial"/>
          <w:sz w:val="24"/>
          <w:szCs w:val="24"/>
        </w:rPr>
        <w:t xml:space="preserve"> </w:t>
      </w:r>
      <w:r w:rsidR="004952D1">
        <w:rPr>
          <w:rFonts w:ascii="Arial" w:hAnsi="Arial" w:cs="Arial"/>
          <w:sz w:val="24"/>
          <w:szCs w:val="24"/>
        </w:rPr>
        <w:t xml:space="preserve">  </w:t>
      </w:r>
    </w:p>
    <w:p w:rsidR="004952D1" w:rsidRDefault="006B5734" w:rsidP="004952D1">
      <w:pPr>
        <w:autoSpaceDE w:val="0"/>
        <w:autoSpaceDN w:val="0"/>
        <w:adjustRightInd w:val="0"/>
        <w:spacing w:before="240" w:after="0" w:line="480" w:lineRule="auto"/>
        <w:ind w:left="720" w:hanging="720"/>
        <w:jc w:val="both"/>
        <w:rPr>
          <w:rFonts w:ascii="Arial" w:hAnsi="Arial" w:cs="Arial"/>
          <w:b/>
          <w:sz w:val="24"/>
          <w:szCs w:val="24"/>
        </w:rPr>
      </w:pPr>
      <w:r>
        <w:rPr>
          <w:rFonts w:ascii="Arial" w:hAnsi="Arial" w:cs="Arial"/>
          <w:b/>
          <w:sz w:val="24"/>
          <w:szCs w:val="24"/>
        </w:rPr>
        <w:t>Q14</w:t>
      </w:r>
      <w:r w:rsidR="004952D1">
        <w:rPr>
          <w:rFonts w:ascii="Arial" w:hAnsi="Arial" w:cs="Arial"/>
          <w:b/>
          <w:sz w:val="24"/>
          <w:szCs w:val="24"/>
        </w:rPr>
        <w:t>.</w:t>
      </w:r>
      <w:r w:rsidR="004952D1">
        <w:rPr>
          <w:rFonts w:ascii="Arial" w:hAnsi="Arial" w:cs="Arial"/>
          <w:b/>
          <w:sz w:val="24"/>
          <w:szCs w:val="24"/>
        </w:rPr>
        <w:tab/>
      </w:r>
      <w:r w:rsidR="0083518C">
        <w:rPr>
          <w:rFonts w:ascii="Arial" w:hAnsi="Arial" w:cs="Arial"/>
          <w:b/>
          <w:sz w:val="24"/>
          <w:szCs w:val="24"/>
        </w:rPr>
        <w:t xml:space="preserve">Do you </w:t>
      </w:r>
      <w:r w:rsidR="004952D1">
        <w:rPr>
          <w:rFonts w:ascii="Arial" w:hAnsi="Arial" w:cs="Arial"/>
          <w:b/>
          <w:sz w:val="24"/>
          <w:szCs w:val="24"/>
        </w:rPr>
        <w:t>have any recommendations on modi</w:t>
      </w:r>
      <w:r w:rsidR="0083518C">
        <w:rPr>
          <w:rFonts w:ascii="Arial" w:hAnsi="Arial" w:cs="Arial"/>
          <w:b/>
          <w:sz w:val="24"/>
          <w:szCs w:val="24"/>
        </w:rPr>
        <w:t>ficat</w:t>
      </w:r>
      <w:r w:rsidR="004952D1">
        <w:rPr>
          <w:rFonts w:ascii="Arial" w:hAnsi="Arial" w:cs="Arial"/>
          <w:b/>
          <w:sz w:val="24"/>
          <w:szCs w:val="24"/>
        </w:rPr>
        <w:t>ions to the CBP?</w:t>
      </w:r>
    </w:p>
    <w:p w:rsidR="004952D1" w:rsidRDefault="006B5734" w:rsidP="004952D1">
      <w:pPr>
        <w:spacing w:before="240" w:after="0" w:line="480" w:lineRule="auto"/>
        <w:ind w:left="720" w:hanging="720"/>
        <w:jc w:val="both"/>
        <w:rPr>
          <w:sz w:val="24"/>
          <w:szCs w:val="24"/>
        </w:rPr>
      </w:pPr>
      <w:r>
        <w:rPr>
          <w:rFonts w:ascii="Arial" w:hAnsi="Arial" w:cs="Arial"/>
          <w:sz w:val="24"/>
          <w:szCs w:val="24"/>
        </w:rPr>
        <w:t>A14</w:t>
      </w:r>
      <w:r w:rsidR="004952D1">
        <w:rPr>
          <w:rFonts w:ascii="Arial" w:hAnsi="Arial" w:cs="Arial"/>
          <w:sz w:val="24"/>
          <w:szCs w:val="24"/>
        </w:rPr>
        <w:t>.</w:t>
      </w:r>
      <w:r w:rsidR="004952D1">
        <w:rPr>
          <w:rFonts w:ascii="Arial" w:hAnsi="Arial" w:cs="Arial"/>
          <w:sz w:val="24"/>
          <w:szCs w:val="24"/>
        </w:rPr>
        <w:tab/>
        <w:t>Yes.</w:t>
      </w:r>
      <w:r>
        <w:rPr>
          <w:rFonts w:ascii="Arial" w:hAnsi="Arial" w:cs="Arial"/>
          <w:sz w:val="24"/>
          <w:szCs w:val="24"/>
        </w:rPr>
        <w:t xml:space="preserve"> </w:t>
      </w:r>
      <w:r w:rsidR="004952D1">
        <w:rPr>
          <w:rFonts w:ascii="Arial" w:hAnsi="Arial" w:cs="Arial"/>
          <w:sz w:val="24"/>
          <w:szCs w:val="24"/>
        </w:rPr>
        <w:t xml:space="preserve"> I recommend that the Commission require </w:t>
      </w:r>
      <w:r w:rsidR="007B6F4E">
        <w:rPr>
          <w:rFonts w:ascii="Arial" w:hAnsi="Arial" w:cs="Arial"/>
          <w:sz w:val="24"/>
          <w:szCs w:val="24"/>
        </w:rPr>
        <w:t>AEP-Ohio</w:t>
      </w:r>
      <w:r w:rsidR="004952D1">
        <w:rPr>
          <w:rFonts w:ascii="Arial" w:hAnsi="Arial" w:cs="Arial"/>
          <w:sz w:val="24"/>
          <w:szCs w:val="24"/>
        </w:rPr>
        <w:t xml:space="preserve"> to set a reserve price equal to the </w:t>
      </w:r>
      <w:r w:rsidR="004952D1">
        <w:rPr>
          <w:sz w:val="24"/>
          <w:szCs w:val="24"/>
        </w:rPr>
        <w:t xml:space="preserve">forecast FAC rate expected to be in effect during the delivery period for the energy secured through the CBP.  </w:t>
      </w:r>
      <w:r w:rsidR="004E0549">
        <w:rPr>
          <w:sz w:val="24"/>
          <w:szCs w:val="24"/>
        </w:rPr>
        <w:t>T</w:t>
      </w:r>
      <w:r w:rsidR="004952D1">
        <w:rPr>
          <w:sz w:val="24"/>
          <w:szCs w:val="24"/>
        </w:rPr>
        <w:t xml:space="preserve">here </w:t>
      </w:r>
      <w:r w:rsidR="004E0549">
        <w:rPr>
          <w:sz w:val="24"/>
          <w:szCs w:val="24"/>
        </w:rPr>
        <w:t xml:space="preserve">also </w:t>
      </w:r>
      <w:r w:rsidR="004952D1">
        <w:rPr>
          <w:sz w:val="24"/>
          <w:szCs w:val="24"/>
        </w:rPr>
        <w:t xml:space="preserve">should be a different reserve price for both the Ohio Power Company and Columbus Southern Power </w:t>
      </w:r>
      <w:r>
        <w:rPr>
          <w:sz w:val="24"/>
          <w:szCs w:val="24"/>
        </w:rPr>
        <w:t>Company r</w:t>
      </w:r>
      <w:r w:rsidR="004952D1">
        <w:rPr>
          <w:sz w:val="24"/>
          <w:szCs w:val="24"/>
        </w:rPr>
        <w:t xml:space="preserve">ate zones to reflect the fact that each company presently has </w:t>
      </w:r>
      <w:r w:rsidR="00CE1CCD">
        <w:rPr>
          <w:sz w:val="24"/>
          <w:szCs w:val="24"/>
        </w:rPr>
        <w:t xml:space="preserve">separate </w:t>
      </w:r>
      <w:r w:rsidR="004952D1">
        <w:rPr>
          <w:sz w:val="24"/>
          <w:szCs w:val="24"/>
        </w:rPr>
        <w:t>FAC rate</w:t>
      </w:r>
      <w:r w:rsidR="00CE1CCD">
        <w:rPr>
          <w:sz w:val="24"/>
          <w:szCs w:val="24"/>
        </w:rPr>
        <w:t>s</w:t>
      </w:r>
      <w:r w:rsidR="004952D1">
        <w:rPr>
          <w:sz w:val="24"/>
          <w:szCs w:val="24"/>
        </w:rPr>
        <w:t xml:space="preserve">. </w:t>
      </w:r>
    </w:p>
    <w:p w:rsidR="004E0549" w:rsidRDefault="004E0549" w:rsidP="004B12A6">
      <w:pPr>
        <w:spacing w:before="240" w:after="0" w:line="480" w:lineRule="auto"/>
        <w:ind w:left="720"/>
        <w:jc w:val="both"/>
        <w:rPr>
          <w:b/>
          <w:sz w:val="24"/>
          <w:szCs w:val="24"/>
        </w:rPr>
      </w:pPr>
      <w:r>
        <w:rPr>
          <w:rFonts w:ascii="Arial" w:hAnsi="Arial" w:cs="Arial"/>
          <w:sz w:val="24"/>
          <w:szCs w:val="24"/>
        </w:rPr>
        <w:t>Additionally, the Commission should reject AEP-Ohio’s recommendation to unbundle the FAC into fixed and variable portions for the reasons addressed in IEU-Ohio</w:t>
      </w:r>
      <w:r w:rsidR="00394B0D">
        <w:rPr>
          <w:rFonts w:ascii="Arial" w:hAnsi="Arial" w:cs="Arial"/>
          <w:sz w:val="24"/>
          <w:szCs w:val="24"/>
        </w:rPr>
        <w:t>’s</w:t>
      </w:r>
      <w:r w:rsidR="006B5734">
        <w:rPr>
          <w:rFonts w:ascii="Arial" w:hAnsi="Arial" w:cs="Arial"/>
          <w:sz w:val="24"/>
          <w:szCs w:val="24"/>
        </w:rPr>
        <w:t xml:space="preserve"> March 4, 2013 </w:t>
      </w:r>
      <w:r w:rsidR="00CE1CCD">
        <w:rPr>
          <w:rFonts w:ascii="Arial" w:hAnsi="Arial" w:cs="Arial"/>
          <w:sz w:val="24"/>
          <w:szCs w:val="24"/>
        </w:rPr>
        <w:t xml:space="preserve">initial </w:t>
      </w:r>
      <w:r w:rsidR="006B5734">
        <w:rPr>
          <w:rFonts w:ascii="Arial" w:hAnsi="Arial" w:cs="Arial"/>
          <w:sz w:val="24"/>
          <w:szCs w:val="24"/>
        </w:rPr>
        <w:t>c</w:t>
      </w:r>
      <w:r>
        <w:rPr>
          <w:rFonts w:ascii="Arial" w:hAnsi="Arial" w:cs="Arial"/>
          <w:sz w:val="24"/>
          <w:szCs w:val="24"/>
        </w:rPr>
        <w:t>omments</w:t>
      </w:r>
      <w:r w:rsidR="00CE1CCD">
        <w:rPr>
          <w:rFonts w:ascii="Arial" w:hAnsi="Arial" w:cs="Arial"/>
          <w:sz w:val="24"/>
          <w:szCs w:val="24"/>
        </w:rPr>
        <w:t xml:space="preserve"> in this proceeding</w:t>
      </w:r>
      <w:r>
        <w:rPr>
          <w:rFonts w:ascii="Arial" w:hAnsi="Arial" w:cs="Arial"/>
          <w:sz w:val="24"/>
          <w:szCs w:val="24"/>
        </w:rPr>
        <w:t>.</w:t>
      </w:r>
    </w:p>
    <w:p w:rsidR="004952D1" w:rsidRDefault="006B5734" w:rsidP="004952D1">
      <w:pPr>
        <w:autoSpaceDE w:val="0"/>
        <w:autoSpaceDN w:val="0"/>
        <w:adjustRightInd w:val="0"/>
        <w:spacing w:before="240" w:after="0" w:line="480" w:lineRule="auto"/>
        <w:ind w:left="720" w:hanging="720"/>
        <w:jc w:val="both"/>
        <w:rPr>
          <w:rFonts w:ascii="Arial" w:hAnsi="Arial" w:cs="Arial"/>
          <w:b/>
          <w:sz w:val="24"/>
          <w:szCs w:val="24"/>
        </w:rPr>
      </w:pPr>
      <w:r>
        <w:rPr>
          <w:rFonts w:ascii="Arial" w:hAnsi="Arial" w:cs="Arial"/>
          <w:b/>
          <w:sz w:val="24"/>
          <w:szCs w:val="24"/>
        </w:rPr>
        <w:t>Q15</w:t>
      </w:r>
      <w:r w:rsidR="00EA5796">
        <w:rPr>
          <w:rFonts w:ascii="Arial" w:hAnsi="Arial" w:cs="Arial"/>
          <w:b/>
          <w:sz w:val="24"/>
          <w:szCs w:val="24"/>
        </w:rPr>
        <w:t>.</w:t>
      </w:r>
      <w:r w:rsidR="00EA5796">
        <w:rPr>
          <w:rFonts w:ascii="Arial" w:hAnsi="Arial" w:cs="Arial"/>
          <w:b/>
          <w:sz w:val="24"/>
          <w:szCs w:val="24"/>
        </w:rPr>
        <w:tab/>
        <w:t xml:space="preserve">Why is a reserve price </w:t>
      </w:r>
      <w:r w:rsidR="007F05E1">
        <w:rPr>
          <w:rFonts w:ascii="Arial" w:hAnsi="Arial" w:cs="Arial"/>
          <w:b/>
          <w:sz w:val="24"/>
          <w:szCs w:val="24"/>
        </w:rPr>
        <w:t>needed if the Commission expects to advance the goals it stated when it authorized the modified CBP</w:t>
      </w:r>
      <w:r w:rsidR="00EA5796">
        <w:rPr>
          <w:rFonts w:ascii="Arial" w:hAnsi="Arial" w:cs="Arial"/>
          <w:b/>
          <w:sz w:val="24"/>
          <w:szCs w:val="24"/>
        </w:rPr>
        <w:t>?</w:t>
      </w:r>
    </w:p>
    <w:p w:rsidR="007F05E1" w:rsidRDefault="006B5734" w:rsidP="007F05E1">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lastRenderedPageBreak/>
        <w:t>A15</w:t>
      </w:r>
      <w:r w:rsidR="00EA5796">
        <w:rPr>
          <w:rFonts w:ascii="Arial" w:hAnsi="Arial" w:cs="Arial"/>
          <w:sz w:val="24"/>
          <w:szCs w:val="24"/>
        </w:rPr>
        <w:t>.</w:t>
      </w:r>
      <w:r w:rsidR="00EA5796">
        <w:rPr>
          <w:rFonts w:ascii="Arial" w:hAnsi="Arial" w:cs="Arial"/>
          <w:sz w:val="24"/>
          <w:szCs w:val="24"/>
        </w:rPr>
        <w:tab/>
      </w:r>
      <w:r w:rsidR="00261B43">
        <w:rPr>
          <w:rFonts w:ascii="Arial" w:hAnsi="Arial" w:cs="Arial"/>
          <w:sz w:val="24"/>
          <w:szCs w:val="24"/>
        </w:rPr>
        <w:t>AEP-Ohio has proposed that the generation secured through the CBP will be treated as a purchased p</w:t>
      </w:r>
      <w:r>
        <w:rPr>
          <w:rFonts w:ascii="Arial" w:hAnsi="Arial" w:cs="Arial"/>
          <w:sz w:val="24"/>
          <w:szCs w:val="24"/>
        </w:rPr>
        <w:t xml:space="preserve">ower cost and blended with the </w:t>
      </w:r>
      <w:r w:rsidR="00261B43">
        <w:rPr>
          <w:rFonts w:ascii="Arial" w:hAnsi="Arial" w:cs="Arial"/>
          <w:sz w:val="24"/>
          <w:szCs w:val="24"/>
        </w:rPr>
        <w:t>FAC rate</w:t>
      </w:r>
      <w:r w:rsidR="004B7F33">
        <w:rPr>
          <w:rFonts w:ascii="Arial" w:hAnsi="Arial" w:cs="Arial"/>
          <w:sz w:val="24"/>
          <w:szCs w:val="24"/>
        </w:rPr>
        <w:t>s</w:t>
      </w:r>
      <w:r w:rsidR="00261B43">
        <w:rPr>
          <w:rFonts w:ascii="Arial" w:hAnsi="Arial" w:cs="Arial"/>
          <w:sz w:val="24"/>
          <w:szCs w:val="24"/>
        </w:rPr>
        <w:t xml:space="preserve"> to </w:t>
      </w:r>
      <w:r>
        <w:rPr>
          <w:rFonts w:ascii="Arial" w:hAnsi="Arial" w:cs="Arial"/>
          <w:sz w:val="24"/>
          <w:szCs w:val="24"/>
        </w:rPr>
        <w:t>produce the actual FAC rate</w:t>
      </w:r>
      <w:r w:rsidR="004B7F33">
        <w:rPr>
          <w:rFonts w:ascii="Arial" w:hAnsi="Arial" w:cs="Arial"/>
          <w:sz w:val="24"/>
          <w:szCs w:val="24"/>
        </w:rPr>
        <w:t>s</w:t>
      </w:r>
      <w:r>
        <w:rPr>
          <w:rFonts w:ascii="Arial" w:hAnsi="Arial" w:cs="Arial"/>
          <w:sz w:val="24"/>
          <w:szCs w:val="24"/>
        </w:rPr>
        <w:t xml:space="preserve"> char</w:t>
      </w:r>
      <w:r w:rsidR="00261B43">
        <w:rPr>
          <w:rFonts w:ascii="Arial" w:hAnsi="Arial" w:cs="Arial"/>
          <w:sz w:val="24"/>
          <w:szCs w:val="24"/>
        </w:rPr>
        <w:t xml:space="preserve">ged to </w:t>
      </w:r>
      <w:r>
        <w:rPr>
          <w:rFonts w:ascii="Arial" w:hAnsi="Arial" w:cs="Arial"/>
          <w:sz w:val="24"/>
          <w:szCs w:val="24"/>
        </w:rPr>
        <w:t>SSO</w:t>
      </w:r>
      <w:r w:rsidR="00261B43">
        <w:rPr>
          <w:rFonts w:ascii="Arial" w:hAnsi="Arial" w:cs="Arial"/>
          <w:sz w:val="24"/>
          <w:szCs w:val="24"/>
        </w:rPr>
        <w:t xml:space="preserve"> customer</w:t>
      </w:r>
      <w:r>
        <w:rPr>
          <w:rFonts w:ascii="Arial" w:hAnsi="Arial" w:cs="Arial"/>
          <w:sz w:val="24"/>
          <w:szCs w:val="24"/>
        </w:rPr>
        <w:t>s</w:t>
      </w:r>
      <w:r w:rsidR="00261B43">
        <w:rPr>
          <w:rFonts w:ascii="Arial" w:hAnsi="Arial" w:cs="Arial"/>
          <w:sz w:val="24"/>
          <w:szCs w:val="24"/>
        </w:rPr>
        <w:t xml:space="preserve">.  Based upon this methodology, unless the CBP is conducted with a reserve price equal to the </w:t>
      </w:r>
      <w:r w:rsidR="00261B43">
        <w:rPr>
          <w:sz w:val="24"/>
          <w:szCs w:val="24"/>
        </w:rPr>
        <w:t>forecast FAC rate</w:t>
      </w:r>
      <w:r w:rsidR="004B7F33">
        <w:rPr>
          <w:sz w:val="24"/>
          <w:szCs w:val="24"/>
        </w:rPr>
        <w:t>s</w:t>
      </w:r>
      <w:r w:rsidR="00261B43">
        <w:rPr>
          <w:sz w:val="24"/>
          <w:szCs w:val="24"/>
        </w:rPr>
        <w:t xml:space="preserve"> expected to be in effect during the delivery period for the energy secured through the CBP</w:t>
      </w:r>
      <w:r>
        <w:rPr>
          <w:sz w:val="24"/>
          <w:szCs w:val="24"/>
        </w:rPr>
        <w:t>,</w:t>
      </w:r>
      <w:r w:rsidR="00261B43">
        <w:rPr>
          <w:sz w:val="24"/>
          <w:szCs w:val="24"/>
        </w:rPr>
        <w:t xml:space="preserve"> it is possible (and indeed likely) for the CBP auction to clear at a price that is higher than the forecast variable FAC rate</w:t>
      </w:r>
      <w:r w:rsidR="004B7F33">
        <w:rPr>
          <w:sz w:val="24"/>
          <w:szCs w:val="24"/>
        </w:rPr>
        <w:t>s</w:t>
      </w:r>
      <w:r w:rsidR="00261B43">
        <w:rPr>
          <w:sz w:val="24"/>
          <w:szCs w:val="24"/>
        </w:rPr>
        <w:t>.</w:t>
      </w:r>
      <w:r>
        <w:rPr>
          <w:rFonts w:ascii="Arial" w:hAnsi="Arial" w:cs="Arial"/>
          <w:sz w:val="24"/>
          <w:szCs w:val="24"/>
        </w:rPr>
        <w:t xml:space="preserve">  </w:t>
      </w:r>
      <w:r w:rsidR="00CE1CCD">
        <w:rPr>
          <w:rFonts w:ascii="Arial" w:hAnsi="Arial" w:cs="Arial"/>
          <w:sz w:val="24"/>
          <w:szCs w:val="24"/>
        </w:rPr>
        <w:t>Mathematically, t</w:t>
      </w:r>
      <w:r w:rsidR="004E0549" w:rsidRPr="004E0549">
        <w:rPr>
          <w:rFonts w:ascii="Arial" w:hAnsi="Arial" w:cs="Arial"/>
          <w:sz w:val="24"/>
          <w:szCs w:val="24"/>
        </w:rPr>
        <w:t xml:space="preserve">he only way that the limited energy-only SSO bid will not require an overall </w:t>
      </w:r>
      <w:r w:rsidR="00413CE8">
        <w:rPr>
          <w:rFonts w:ascii="Arial" w:hAnsi="Arial" w:cs="Arial"/>
          <w:sz w:val="24"/>
          <w:szCs w:val="24"/>
        </w:rPr>
        <w:t xml:space="preserve">rate </w:t>
      </w:r>
      <w:r w:rsidR="00413CE8" w:rsidRPr="004E0549">
        <w:rPr>
          <w:rFonts w:ascii="Arial" w:hAnsi="Arial" w:cs="Arial"/>
          <w:sz w:val="24"/>
          <w:szCs w:val="24"/>
        </w:rPr>
        <w:t>increase</w:t>
      </w:r>
      <w:r w:rsidR="004E0549" w:rsidRPr="004E0549">
        <w:rPr>
          <w:rFonts w:ascii="Arial" w:hAnsi="Arial" w:cs="Arial"/>
          <w:sz w:val="24"/>
          <w:szCs w:val="24"/>
        </w:rPr>
        <w:t xml:space="preserve"> to SSO customers is if the cleared bid price is lower than AEP-Ohio’s </w:t>
      </w:r>
      <w:r w:rsidR="00413CE8">
        <w:rPr>
          <w:rFonts w:ascii="Arial" w:hAnsi="Arial" w:cs="Arial"/>
          <w:sz w:val="24"/>
          <w:szCs w:val="24"/>
        </w:rPr>
        <w:t>forecast FAC</w:t>
      </w:r>
      <w:r>
        <w:rPr>
          <w:rFonts w:ascii="Arial" w:hAnsi="Arial" w:cs="Arial"/>
          <w:sz w:val="24"/>
          <w:szCs w:val="24"/>
        </w:rPr>
        <w:t xml:space="preserve"> rate</w:t>
      </w:r>
      <w:r w:rsidR="004B7F33">
        <w:rPr>
          <w:rFonts w:ascii="Arial" w:hAnsi="Arial" w:cs="Arial"/>
          <w:sz w:val="24"/>
          <w:szCs w:val="24"/>
        </w:rPr>
        <w:t>s</w:t>
      </w:r>
      <w:r>
        <w:rPr>
          <w:rFonts w:ascii="Arial" w:hAnsi="Arial" w:cs="Arial"/>
          <w:sz w:val="24"/>
          <w:szCs w:val="24"/>
        </w:rPr>
        <w:t>.</w:t>
      </w:r>
    </w:p>
    <w:p w:rsidR="007F05E1" w:rsidRDefault="004E0549" w:rsidP="004B12A6">
      <w:pPr>
        <w:autoSpaceDE w:val="0"/>
        <w:autoSpaceDN w:val="0"/>
        <w:adjustRightInd w:val="0"/>
        <w:spacing w:before="240" w:after="0" w:line="480" w:lineRule="auto"/>
        <w:ind w:left="720"/>
        <w:jc w:val="both"/>
        <w:rPr>
          <w:rFonts w:ascii="Arial" w:hAnsi="Arial" w:cs="Arial"/>
          <w:sz w:val="24"/>
          <w:szCs w:val="24"/>
        </w:rPr>
      </w:pPr>
      <w:r>
        <w:rPr>
          <w:rFonts w:ascii="Arial" w:hAnsi="Arial" w:cs="Arial"/>
          <w:sz w:val="24"/>
          <w:szCs w:val="24"/>
        </w:rPr>
        <w:t xml:space="preserve">The likelihood of a higher SSO price </w:t>
      </w:r>
      <w:r w:rsidR="00CE1CCD">
        <w:rPr>
          <w:rFonts w:ascii="Arial" w:hAnsi="Arial" w:cs="Arial"/>
          <w:sz w:val="24"/>
          <w:szCs w:val="24"/>
        </w:rPr>
        <w:t xml:space="preserve">resulting from the CBP </w:t>
      </w:r>
      <w:r>
        <w:rPr>
          <w:rFonts w:ascii="Arial" w:hAnsi="Arial" w:cs="Arial"/>
          <w:sz w:val="24"/>
          <w:szCs w:val="24"/>
        </w:rPr>
        <w:t>increases if the Commission approves AEP-Ohio’</w:t>
      </w:r>
      <w:r w:rsidR="007F05E1">
        <w:rPr>
          <w:rFonts w:ascii="Arial" w:hAnsi="Arial" w:cs="Arial"/>
          <w:sz w:val="24"/>
          <w:szCs w:val="24"/>
        </w:rPr>
        <w:t xml:space="preserve">s </w:t>
      </w:r>
      <w:r w:rsidR="00261B43">
        <w:rPr>
          <w:rFonts w:ascii="Arial" w:hAnsi="Arial" w:cs="Arial"/>
          <w:sz w:val="24"/>
          <w:szCs w:val="24"/>
        </w:rPr>
        <w:t xml:space="preserve">FAC </w:t>
      </w:r>
      <w:r w:rsidR="007F05E1">
        <w:rPr>
          <w:rFonts w:ascii="Arial" w:hAnsi="Arial" w:cs="Arial"/>
          <w:sz w:val="24"/>
          <w:szCs w:val="24"/>
        </w:rPr>
        <w:t xml:space="preserve">unbundling request because the removal </w:t>
      </w:r>
      <w:r w:rsidR="00261B43">
        <w:rPr>
          <w:rFonts w:ascii="Arial" w:hAnsi="Arial" w:cs="Arial"/>
          <w:sz w:val="24"/>
          <w:szCs w:val="24"/>
        </w:rPr>
        <w:t xml:space="preserve">of some </w:t>
      </w:r>
      <w:r w:rsidR="007F05E1">
        <w:rPr>
          <w:rFonts w:ascii="Arial" w:hAnsi="Arial" w:cs="Arial"/>
          <w:sz w:val="24"/>
          <w:szCs w:val="24"/>
        </w:rPr>
        <w:t>costs</w:t>
      </w:r>
      <w:r w:rsidR="006B5734">
        <w:rPr>
          <w:rFonts w:ascii="Arial" w:hAnsi="Arial" w:cs="Arial"/>
          <w:sz w:val="24"/>
          <w:szCs w:val="24"/>
        </w:rPr>
        <w:t xml:space="preserve"> currently recovered through</w:t>
      </w:r>
      <w:r w:rsidR="007F05E1">
        <w:rPr>
          <w:rFonts w:ascii="Arial" w:hAnsi="Arial" w:cs="Arial"/>
          <w:sz w:val="24"/>
          <w:szCs w:val="24"/>
        </w:rPr>
        <w:t xml:space="preserve"> </w:t>
      </w:r>
      <w:r w:rsidR="00261B43">
        <w:rPr>
          <w:rFonts w:ascii="Arial" w:hAnsi="Arial" w:cs="Arial"/>
          <w:sz w:val="24"/>
          <w:szCs w:val="24"/>
        </w:rPr>
        <w:t xml:space="preserve">the </w:t>
      </w:r>
      <w:r w:rsidR="007F05E1">
        <w:rPr>
          <w:rFonts w:ascii="Arial" w:hAnsi="Arial" w:cs="Arial"/>
          <w:sz w:val="24"/>
          <w:szCs w:val="24"/>
        </w:rPr>
        <w:t>FAC</w:t>
      </w:r>
      <w:r w:rsidR="00261B43">
        <w:rPr>
          <w:rFonts w:ascii="Arial" w:hAnsi="Arial" w:cs="Arial"/>
          <w:sz w:val="24"/>
          <w:szCs w:val="24"/>
        </w:rPr>
        <w:t xml:space="preserve"> will reduce the FAC rate that </w:t>
      </w:r>
      <w:r w:rsidR="007F05E1">
        <w:rPr>
          <w:rFonts w:ascii="Arial" w:hAnsi="Arial" w:cs="Arial"/>
          <w:sz w:val="24"/>
          <w:szCs w:val="24"/>
        </w:rPr>
        <w:t>is blended with the</w:t>
      </w:r>
      <w:r w:rsidR="006B5734">
        <w:rPr>
          <w:rFonts w:ascii="Arial" w:hAnsi="Arial" w:cs="Arial"/>
          <w:sz w:val="24"/>
          <w:szCs w:val="24"/>
        </w:rPr>
        <w:t xml:space="preserve"> generation price produced by</w:t>
      </w:r>
      <w:r w:rsidR="007F05E1">
        <w:rPr>
          <w:rFonts w:ascii="Arial" w:hAnsi="Arial" w:cs="Arial"/>
          <w:sz w:val="24"/>
          <w:szCs w:val="24"/>
        </w:rPr>
        <w:t xml:space="preserve"> the auction.  </w:t>
      </w:r>
    </w:p>
    <w:p w:rsidR="00422367" w:rsidRDefault="00422367" w:rsidP="004B12A6">
      <w:pPr>
        <w:autoSpaceDE w:val="0"/>
        <w:autoSpaceDN w:val="0"/>
        <w:adjustRightInd w:val="0"/>
        <w:spacing w:before="240" w:after="0" w:line="480" w:lineRule="auto"/>
        <w:ind w:left="720"/>
        <w:jc w:val="both"/>
        <w:rPr>
          <w:rFonts w:ascii="Arial" w:hAnsi="Arial" w:cs="Arial"/>
          <w:sz w:val="24"/>
          <w:szCs w:val="24"/>
        </w:rPr>
      </w:pPr>
      <w:r>
        <w:rPr>
          <w:sz w:val="24"/>
          <w:szCs w:val="24"/>
        </w:rPr>
        <w:t xml:space="preserve">If the </w:t>
      </w:r>
      <w:r w:rsidR="006B5734">
        <w:rPr>
          <w:sz w:val="24"/>
          <w:szCs w:val="24"/>
        </w:rPr>
        <w:t>SSO</w:t>
      </w:r>
      <w:r>
        <w:rPr>
          <w:sz w:val="24"/>
          <w:szCs w:val="24"/>
        </w:rPr>
        <w:t xml:space="preserve"> price increases as a result of AEP-Ohio’s proposed CBP</w:t>
      </w:r>
      <w:r w:rsidR="006B5734">
        <w:rPr>
          <w:sz w:val="24"/>
          <w:szCs w:val="24"/>
        </w:rPr>
        <w:t>,</w:t>
      </w:r>
      <w:r>
        <w:rPr>
          <w:sz w:val="24"/>
          <w:szCs w:val="24"/>
        </w:rPr>
        <w:t xml:space="preserve"> </w:t>
      </w:r>
      <w:r>
        <w:rPr>
          <w:rFonts w:ascii="Arial" w:hAnsi="Arial" w:cs="Arial"/>
          <w:sz w:val="24"/>
          <w:szCs w:val="24"/>
        </w:rPr>
        <w:t>the Commission’s goal of offsetting the known costs of the ESP and the non</w:t>
      </w:r>
      <w:r w:rsidR="006B5734">
        <w:rPr>
          <w:rFonts w:ascii="Arial" w:hAnsi="Arial" w:cs="Arial"/>
          <w:sz w:val="24"/>
          <w:szCs w:val="24"/>
        </w:rPr>
        <w:t>-</w:t>
      </w:r>
      <w:r>
        <w:rPr>
          <w:rFonts w:ascii="Arial" w:hAnsi="Arial" w:cs="Arial"/>
          <w:sz w:val="24"/>
          <w:szCs w:val="24"/>
        </w:rPr>
        <w:t>quantifiable benefits of moving to an auction-based CBP identified by the Commission will not be realized.</w:t>
      </w:r>
    </w:p>
    <w:p w:rsidR="00BC6B6D" w:rsidRDefault="006B5734" w:rsidP="004952D1">
      <w:pPr>
        <w:autoSpaceDE w:val="0"/>
        <w:autoSpaceDN w:val="0"/>
        <w:adjustRightInd w:val="0"/>
        <w:spacing w:before="240" w:after="0" w:line="480" w:lineRule="auto"/>
        <w:ind w:left="720" w:hanging="720"/>
        <w:jc w:val="both"/>
        <w:rPr>
          <w:rFonts w:ascii="Arial" w:hAnsi="Arial" w:cs="Arial"/>
          <w:b/>
          <w:sz w:val="24"/>
          <w:szCs w:val="24"/>
        </w:rPr>
      </w:pPr>
      <w:r>
        <w:rPr>
          <w:b/>
          <w:sz w:val="24"/>
          <w:szCs w:val="24"/>
        </w:rPr>
        <w:t>Q16</w:t>
      </w:r>
      <w:r w:rsidR="00364D70" w:rsidRPr="00364D70">
        <w:rPr>
          <w:b/>
          <w:sz w:val="24"/>
          <w:szCs w:val="24"/>
        </w:rPr>
        <w:t>.</w:t>
      </w:r>
      <w:r w:rsidR="00364D70">
        <w:rPr>
          <w:rFonts w:ascii="Arial" w:hAnsi="Arial" w:cs="Arial"/>
          <w:b/>
          <w:sz w:val="24"/>
          <w:szCs w:val="24"/>
        </w:rPr>
        <w:tab/>
      </w:r>
      <w:r w:rsidR="00BC6B6D">
        <w:rPr>
          <w:rFonts w:ascii="Arial" w:hAnsi="Arial" w:cs="Arial"/>
          <w:b/>
          <w:sz w:val="24"/>
          <w:szCs w:val="24"/>
        </w:rPr>
        <w:t xml:space="preserve">Have you performed any analysis of AEP-Ohio’s FAC rates versus </w:t>
      </w:r>
      <w:r w:rsidR="004A5DC2">
        <w:rPr>
          <w:rFonts w:ascii="Arial" w:hAnsi="Arial" w:cs="Arial"/>
          <w:b/>
          <w:sz w:val="24"/>
          <w:szCs w:val="24"/>
        </w:rPr>
        <w:t>the likely results of an energy-</w:t>
      </w:r>
      <w:r w:rsidR="00BC6B6D">
        <w:rPr>
          <w:rFonts w:ascii="Arial" w:hAnsi="Arial" w:cs="Arial"/>
          <w:b/>
          <w:sz w:val="24"/>
          <w:szCs w:val="24"/>
        </w:rPr>
        <w:t>only auction?</w:t>
      </w:r>
    </w:p>
    <w:p w:rsidR="00BC6B6D" w:rsidRDefault="00FB1F7D" w:rsidP="004952D1">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A16.</w:t>
      </w:r>
      <w:r>
        <w:rPr>
          <w:rFonts w:ascii="Arial" w:hAnsi="Arial" w:cs="Arial"/>
          <w:sz w:val="24"/>
          <w:szCs w:val="24"/>
        </w:rPr>
        <w:tab/>
        <w:t>Yes.</w:t>
      </w:r>
      <w:r w:rsidR="004A5DC2">
        <w:rPr>
          <w:rFonts w:ascii="Arial" w:hAnsi="Arial" w:cs="Arial"/>
          <w:sz w:val="24"/>
          <w:szCs w:val="24"/>
        </w:rPr>
        <w:t xml:space="preserve"> </w:t>
      </w:r>
      <w:r>
        <w:rPr>
          <w:rFonts w:ascii="Arial" w:hAnsi="Arial" w:cs="Arial"/>
          <w:sz w:val="24"/>
          <w:szCs w:val="24"/>
        </w:rPr>
        <w:t xml:space="preserve"> On May 30, 2013</w:t>
      </w:r>
      <w:r w:rsidR="004A5DC2">
        <w:rPr>
          <w:rFonts w:ascii="Arial" w:hAnsi="Arial" w:cs="Arial"/>
          <w:sz w:val="24"/>
          <w:szCs w:val="24"/>
        </w:rPr>
        <w:t>,</w:t>
      </w:r>
      <w:r>
        <w:rPr>
          <w:rFonts w:ascii="Arial" w:hAnsi="Arial" w:cs="Arial"/>
          <w:sz w:val="24"/>
          <w:szCs w:val="24"/>
        </w:rPr>
        <w:t xml:space="preserve"> AEP-Ohio submitted an application at the Commission to update its FAC rates proposed to be effective with the first billing cycle in July </w:t>
      </w:r>
      <w:r>
        <w:rPr>
          <w:rFonts w:ascii="Arial" w:hAnsi="Arial" w:cs="Arial"/>
          <w:sz w:val="24"/>
          <w:szCs w:val="24"/>
        </w:rPr>
        <w:lastRenderedPageBreak/>
        <w:t xml:space="preserve">2013. </w:t>
      </w:r>
      <w:r w:rsidR="004A5DC2">
        <w:rPr>
          <w:rFonts w:ascii="Arial" w:hAnsi="Arial" w:cs="Arial"/>
          <w:sz w:val="24"/>
          <w:szCs w:val="24"/>
        </w:rPr>
        <w:t xml:space="preserve"> </w:t>
      </w:r>
      <w:r>
        <w:rPr>
          <w:rFonts w:ascii="Arial" w:hAnsi="Arial" w:cs="Arial"/>
          <w:sz w:val="24"/>
          <w:szCs w:val="24"/>
        </w:rPr>
        <w:t>Schedule 2 to the application identified the underlying fuel cost at the generation level for each rate zone</w:t>
      </w:r>
      <w:r w:rsidR="00B31722">
        <w:rPr>
          <w:rFonts w:ascii="Arial" w:hAnsi="Arial" w:cs="Arial"/>
          <w:sz w:val="24"/>
          <w:szCs w:val="24"/>
        </w:rPr>
        <w:t xml:space="preserve"> for July through September 2013</w:t>
      </w:r>
      <w:r>
        <w:rPr>
          <w:rFonts w:ascii="Arial" w:hAnsi="Arial" w:cs="Arial"/>
          <w:sz w:val="24"/>
          <w:szCs w:val="24"/>
        </w:rPr>
        <w:t xml:space="preserve">. </w:t>
      </w:r>
      <w:r w:rsidR="004A5DC2">
        <w:rPr>
          <w:rFonts w:ascii="Arial" w:hAnsi="Arial" w:cs="Arial"/>
          <w:sz w:val="24"/>
          <w:szCs w:val="24"/>
        </w:rPr>
        <w:t xml:space="preserve"> </w:t>
      </w:r>
      <w:r>
        <w:rPr>
          <w:rFonts w:ascii="Arial" w:hAnsi="Arial" w:cs="Arial"/>
          <w:sz w:val="24"/>
          <w:szCs w:val="24"/>
        </w:rPr>
        <w:t xml:space="preserve">For the Columbus Southern Power </w:t>
      </w:r>
      <w:r w:rsidR="004A5DC2">
        <w:rPr>
          <w:rFonts w:ascii="Arial" w:hAnsi="Arial" w:cs="Arial"/>
          <w:sz w:val="24"/>
          <w:szCs w:val="24"/>
        </w:rPr>
        <w:t xml:space="preserve">Company </w:t>
      </w:r>
      <w:r>
        <w:rPr>
          <w:rFonts w:ascii="Arial" w:hAnsi="Arial" w:cs="Arial"/>
          <w:sz w:val="24"/>
          <w:szCs w:val="24"/>
        </w:rPr>
        <w:t>rate zone</w:t>
      </w:r>
      <w:r w:rsidR="004A5DC2">
        <w:rPr>
          <w:rFonts w:ascii="Arial" w:hAnsi="Arial" w:cs="Arial"/>
          <w:sz w:val="24"/>
          <w:szCs w:val="24"/>
        </w:rPr>
        <w:t>,</w:t>
      </w:r>
      <w:r>
        <w:rPr>
          <w:rFonts w:ascii="Arial" w:hAnsi="Arial" w:cs="Arial"/>
          <w:sz w:val="24"/>
          <w:szCs w:val="24"/>
        </w:rPr>
        <w:t xml:space="preserve"> the underlying fuel cost </w:t>
      </w:r>
      <w:r w:rsidR="00B31722">
        <w:rPr>
          <w:rFonts w:ascii="Arial" w:hAnsi="Arial" w:cs="Arial"/>
          <w:sz w:val="24"/>
          <w:szCs w:val="24"/>
        </w:rPr>
        <w:t xml:space="preserve">at the generation level </w:t>
      </w:r>
      <w:r>
        <w:rPr>
          <w:rFonts w:ascii="Arial" w:hAnsi="Arial" w:cs="Arial"/>
          <w:sz w:val="24"/>
          <w:szCs w:val="24"/>
        </w:rPr>
        <w:t xml:space="preserve">is projected to be </w:t>
      </w:r>
      <w:r w:rsidR="00B31722">
        <w:rPr>
          <w:rFonts w:ascii="Arial" w:hAnsi="Arial" w:cs="Arial"/>
          <w:sz w:val="24"/>
          <w:szCs w:val="24"/>
        </w:rPr>
        <w:t>$</w:t>
      </w:r>
      <w:r>
        <w:rPr>
          <w:rFonts w:ascii="Arial" w:hAnsi="Arial" w:cs="Arial"/>
          <w:sz w:val="24"/>
          <w:szCs w:val="24"/>
        </w:rPr>
        <w:t>39.941 per megawatt hour.</w:t>
      </w:r>
      <w:r w:rsidR="00B5246D">
        <w:rPr>
          <w:rFonts w:ascii="Arial" w:hAnsi="Arial" w:cs="Arial"/>
          <w:sz w:val="24"/>
          <w:szCs w:val="24"/>
        </w:rPr>
        <w:t xml:space="preserve"> </w:t>
      </w:r>
      <w:r>
        <w:rPr>
          <w:rFonts w:ascii="Arial" w:hAnsi="Arial" w:cs="Arial"/>
          <w:sz w:val="24"/>
          <w:szCs w:val="24"/>
        </w:rPr>
        <w:t xml:space="preserve"> For the Ohio Power </w:t>
      </w:r>
      <w:r w:rsidR="004A5DC2">
        <w:rPr>
          <w:rFonts w:ascii="Arial" w:hAnsi="Arial" w:cs="Arial"/>
          <w:sz w:val="24"/>
          <w:szCs w:val="24"/>
        </w:rPr>
        <w:t xml:space="preserve">Company </w:t>
      </w:r>
      <w:r>
        <w:rPr>
          <w:rFonts w:ascii="Arial" w:hAnsi="Arial" w:cs="Arial"/>
          <w:sz w:val="24"/>
          <w:szCs w:val="24"/>
        </w:rPr>
        <w:t>rate</w:t>
      </w:r>
      <w:r w:rsidR="004A5DC2">
        <w:rPr>
          <w:rFonts w:ascii="Arial" w:hAnsi="Arial" w:cs="Arial"/>
          <w:sz w:val="24"/>
          <w:szCs w:val="24"/>
        </w:rPr>
        <w:t xml:space="preserve"> zone</w:t>
      </w:r>
      <w:r w:rsidR="00B5246D">
        <w:rPr>
          <w:rFonts w:ascii="Arial" w:hAnsi="Arial" w:cs="Arial"/>
          <w:sz w:val="24"/>
          <w:szCs w:val="24"/>
        </w:rPr>
        <w:t>,</w:t>
      </w:r>
      <w:r>
        <w:rPr>
          <w:rFonts w:ascii="Arial" w:hAnsi="Arial" w:cs="Arial"/>
          <w:sz w:val="24"/>
          <w:szCs w:val="24"/>
        </w:rPr>
        <w:t xml:space="preserve"> the underlying fuel cost </w:t>
      </w:r>
      <w:r w:rsidR="00B31722">
        <w:rPr>
          <w:rFonts w:ascii="Arial" w:hAnsi="Arial" w:cs="Arial"/>
          <w:sz w:val="24"/>
          <w:szCs w:val="24"/>
        </w:rPr>
        <w:t xml:space="preserve">at the generation level </w:t>
      </w:r>
      <w:r>
        <w:rPr>
          <w:rFonts w:ascii="Arial" w:hAnsi="Arial" w:cs="Arial"/>
          <w:sz w:val="24"/>
          <w:szCs w:val="24"/>
        </w:rPr>
        <w:t xml:space="preserve">is projected to be </w:t>
      </w:r>
      <w:r w:rsidR="00B31722">
        <w:rPr>
          <w:rFonts w:ascii="Arial" w:hAnsi="Arial" w:cs="Arial"/>
          <w:sz w:val="24"/>
          <w:szCs w:val="24"/>
        </w:rPr>
        <w:t>$33.8444 per megawatt hour.</w:t>
      </w:r>
    </w:p>
    <w:p w:rsidR="00B31722" w:rsidRPr="00FB1F7D" w:rsidRDefault="00B31722" w:rsidP="004952D1">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b/>
        <w:t>By comparison, as shown on Exhibit KMM-</w:t>
      </w:r>
      <w:r w:rsidR="003F2F60">
        <w:rPr>
          <w:rFonts w:ascii="Arial" w:hAnsi="Arial" w:cs="Arial"/>
          <w:sz w:val="24"/>
          <w:szCs w:val="24"/>
        </w:rPr>
        <w:t>2</w:t>
      </w:r>
      <w:r>
        <w:rPr>
          <w:rFonts w:ascii="Arial" w:hAnsi="Arial" w:cs="Arial"/>
          <w:sz w:val="24"/>
          <w:szCs w:val="24"/>
        </w:rPr>
        <w:t>, as of June 10, 2013, trading data on the Intercontinental Exchange for the AEP Dayton Hub reflected a weighted average market price of $38.64 per megawatt hour for the months of July 2013 through September 2013.</w:t>
      </w:r>
      <w:r w:rsidR="009962F7">
        <w:rPr>
          <w:rFonts w:ascii="Arial" w:hAnsi="Arial" w:cs="Arial"/>
          <w:sz w:val="24"/>
          <w:szCs w:val="24"/>
        </w:rPr>
        <w:t xml:space="preserve"> </w:t>
      </w:r>
      <w:r w:rsidR="00B5246D">
        <w:rPr>
          <w:rFonts w:ascii="Arial" w:hAnsi="Arial" w:cs="Arial"/>
          <w:sz w:val="24"/>
          <w:szCs w:val="24"/>
        </w:rPr>
        <w:t xml:space="preserve"> </w:t>
      </w:r>
      <w:r w:rsidR="009962F7">
        <w:rPr>
          <w:rFonts w:ascii="Arial" w:hAnsi="Arial" w:cs="Arial"/>
          <w:sz w:val="24"/>
          <w:szCs w:val="24"/>
        </w:rPr>
        <w:t>When an</w:t>
      </w:r>
      <w:r>
        <w:rPr>
          <w:rFonts w:ascii="Arial" w:hAnsi="Arial" w:cs="Arial"/>
          <w:sz w:val="24"/>
          <w:szCs w:val="24"/>
        </w:rPr>
        <w:t xml:space="preserve"> estimated markup of 20% to 25% is added to the market price to reflect basis, load shaping, risk premiums</w:t>
      </w:r>
      <w:r w:rsidR="009962F7">
        <w:rPr>
          <w:rFonts w:ascii="Arial" w:hAnsi="Arial" w:cs="Arial"/>
          <w:sz w:val="24"/>
          <w:szCs w:val="24"/>
        </w:rPr>
        <w:t>, ancillary services, PJM administrative costs</w:t>
      </w:r>
      <w:r>
        <w:rPr>
          <w:rFonts w:ascii="Arial" w:hAnsi="Arial" w:cs="Arial"/>
          <w:sz w:val="24"/>
          <w:szCs w:val="24"/>
        </w:rPr>
        <w:t xml:space="preserve"> and margin</w:t>
      </w:r>
      <w:r w:rsidR="00C12455">
        <w:rPr>
          <w:rFonts w:ascii="Arial" w:hAnsi="Arial" w:cs="Arial"/>
          <w:sz w:val="24"/>
          <w:szCs w:val="24"/>
        </w:rPr>
        <w:t>s</w:t>
      </w:r>
      <w:r w:rsidR="009962F7">
        <w:rPr>
          <w:rFonts w:ascii="Arial" w:hAnsi="Arial" w:cs="Arial"/>
          <w:sz w:val="24"/>
          <w:szCs w:val="24"/>
        </w:rPr>
        <w:t>,</w:t>
      </w:r>
      <w:r>
        <w:rPr>
          <w:rFonts w:ascii="Arial" w:hAnsi="Arial" w:cs="Arial"/>
          <w:sz w:val="24"/>
          <w:szCs w:val="24"/>
        </w:rPr>
        <w:t xml:space="preserve"> which can be expected to be </w:t>
      </w:r>
      <w:r w:rsidR="004A5DC2">
        <w:rPr>
          <w:rFonts w:ascii="Arial" w:hAnsi="Arial" w:cs="Arial"/>
          <w:sz w:val="24"/>
          <w:szCs w:val="24"/>
        </w:rPr>
        <w:t>reflected in bids for an energy-</w:t>
      </w:r>
      <w:r>
        <w:rPr>
          <w:rFonts w:ascii="Arial" w:hAnsi="Arial" w:cs="Arial"/>
          <w:sz w:val="24"/>
          <w:szCs w:val="24"/>
        </w:rPr>
        <w:t>only auction</w:t>
      </w:r>
      <w:r w:rsidR="00C12455">
        <w:rPr>
          <w:rFonts w:ascii="Arial" w:hAnsi="Arial" w:cs="Arial"/>
          <w:sz w:val="24"/>
          <w:szCs w:val="24"/>
        </w:rPr>
        <w:t>,</w:t>
      </w:r>
      <w:r w:rsidR="003F2F60">
        <w:rPr>
          <w:rStyle w:val="FootnoteReference"/>
          <w:rFonts w:ascii="Arial" w:hAnsi="Arial" w:cs="Arial"/>
          <w:sz w:val="24"/>
          <w:szCs w:val="24"/>
        </w:rPr>
        <w:footnoteReference w:id="9"/>
      </w:r>
      <w:r w:rsidR="00C12455">
        <w:rPr>
          <w:rFonts w:ascii="Arial" w:hAnsi="Arial" w:cs="Arial"/>
          <w:sz w:val="24"/>
          <w:szCs w:val="24"/>
        </w:rPr>
        <w:t xml:space="preserve"> the resulting range </w:t>
      </w:r>
      <w:r>
        <w:rPr>
          <w:rFonts w:ascii="Arial" w:hAnsi="Arial" w:cs="Arial"/>
          <w:sz w:val="24"/>
          <w:szCs w:val="24"/>
        </w:rPr>
        <w:t xml:space="preserve">of expected bids </w:t>
      </w:r>
      <w:r w:rsidR="00C12455">
        <w:rPr>
          <w:rFonts w:ascii="Arial" w:hAnsi="Arial" w:cs="Arial"/>
          <w:sz w:val="24"/>
          <w:szCs w:val="24"/>
        </w:rPr>
        <w:t xml:space="preserve">is </w:t>
      </w:r>
      <w:r>
        <w:rPr>
          <w:rFonts w:ascii="Arial" w:hAnsi="Arial" w:cs="Arial"/>
          <w:sz w:val="24"/>
          <w:szCs w:val="24"/>
        </w:rPr>
        <w:t>between $46.37 and $48.30 per megawatt hour.</w:t>
      </w:r>
    </w:p>
    <w:p w:rsidR="00EA5796" w:rsidRDefault="009962F7" w:rsidP="004952D1">
      <w:pPr>
        <w:autoSpaceDE w:val="0"/>
        <w:autoSpaceDN w:val="0"/>
        <w:adjustRightInd w:val="0"/>
        <w:spacing w:before="240" w:after="0" w:line="480" w:lineRule="auto"/>
        <w:ind w:left="720" w:hanging="720"/>
        <w:jc w:val="both"/>
        <w:rPr>
          <w:rFonts w:ascii="Arial" w:hAnsi="Arial" w:cs="Arial"/>
          <w:b/>
          <w:sz w:val="24"/>
          <w:szCs w:val="24"/>
        </w:rPr>
      </w:pPr>
      <w:r>
        <w:rPr>
          <w:rFonts w:ascii="Arial" w:hAnsi="Arial" w:cs="Arial"/>
          <w:b/>
          <w:sz w:val="24"/>
          <w:szCs w:val="24"/>
        </w:rPr>
        <w:t>Q17.</w:t>
      </w:r>
      <w:r>
        <w:rPr>
          <w:rFonts w:ascii="Arial" w:hAnsi="Arial" w:cs="Arial"/>
          <w:b/>
          <w:sz w:val="24"/>
          <w:szCs w:val="24"/>
        </w:rPr>
        <w:tab/>
      </w:r>
      <w:r w:rsidR="00364D70">
        <w:rPr>
          <w:rFonts w:ascii="Arial" w:hAnsi="Arial" w:cs="Arial"/>
          <w:b/>
          <w:sz w:val="24"/>
          <w:szCs w:val="24"/>
        </w:rPr>
        <w:t>Are the</w:t>
      </w:r>
      <w:r w:rsidR="006B5734">
        <w:rPr>
          <w:rFonts w:ascii="Arial" w:hAnsi="Arial" w:cs="Arial"/>
          <w:b/>
          <w:sz w:val="24"/>
          <w:szCs w:val="24"/>
        </w:rPr>
        <w:t>re any other factors that mitigate</w:t>
      </w:r>
      <w:r w:rsidR="00364D70">
        <w:rPr>
          <w:rFonts w:ascii="Arial" w:hAnsi="Arial" w:cs="Arial"/>
          <w:b/>
          <w:sz w:val="24"/>
          <w:szCs w:val="24"/>
        </w:rPr>
        <w:t xml:space="preserve"> in favor of a reserve price for the CBP?</w:t>
      </w:r>
    </w:p>
    <w:p w:rsidR="00BE4566" w:rsidRDefault="009962F7" w:rsidP="004952D1">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A17</w:t>
      </w:r>
      <w:r w:rsidR="00364D70">
        <w:rPr>
          <w:rFonts w:ascii="Arial" w:hAnsi="Arial" w:cs="Arial"/>
          <w:sz w:val="24"/>
          <w:szCs w:val="24"/>
        </w:rPr>
        <w:t>.</w:t>
      </w:r>
      <w:r w:rsidR="00364D70">
        <w:rPr>
          <w:rFonts w:ascii="Arial" w:hAnsi="Arial" w:cs="Arial"/>
          <w:sz w:val="24"/>
          <w:szCs w:val="24"/>
        </w:rPr>
        <w:tab/>
        <w:t xml:space="preserve">Yes. </w:t>
      </w:r>
      <w:r w:rsidR="00501B8C">
        <w:rPr>
          <w:rFonts w:ascii="Arial" w:hAnsi="Arial" w:cs="Arial"/>
          <w:sz w:val="24"/>
          <w:szCs w:val="24"/>
        </w:rPr>
        <w:t xml:space="preserve"> </w:t>
      </w:r>
      <w:r w:rsidR="00364D70">
        <w:rPr>
          <w:rFonts w:ascii="Arial" w:hAnsi="Arial" w:cs="Arial"/>
          <w:sz w:val="24"/>
          <w:szCs w:val="24"/>
        </w:rPr>
        <w:t xml:space="preserve">In its </w:t>
      </w:r>
      <w:r w:rsidR="009049B6" w:rsidRPr="009049B6">
        <w:rPr>
          <w:rFonts w:ascii="Arial" w:hAnsi="Arial" w:cs="Arial"/>
          <w:i/>
          <w:sz w:val="24"/>
          <w:szCs w:val="24"/>
        </w:rPr>
        <w:t>ESP II O</w:t>
      </w:r>
      <w:r w:rsidR="00364D70" w:rsidRPr="009049B6">
        <w:rPr>
          <w:rFonts w:ascii="Arial" w:hAnsi="Arial" w:cs="Arial"/>
          <w:i/>
          <w:sz w:val="24"/>
          <w:szCs w:val="24"/>
        </w:rPr>
        <w:t>rder</w:t>
      </w:r>
      <w:r w:rsidR="00364D70">
        <w:rPr>
          <w:rFonts w:ascii="Arial" w:hAnsi="Arial" w:cs="Arial"/>
          <w:sz w:val="24"/>
          <w:szCs w:val="24"/>
        </w:rPr>
        <w:t xml:space="preserve">, the Commission </w:t>
      </w:r>
      <w:r w:rsidR="00F94BF2">
        <w:rPr>
          <w:rFonts w:ascii="Arial" w:hAnsi="Arial" w:cs="Arial"/>
          <w:sz w:val="24"/>
          <w:szCs w:val="24"/>
        </w:rPr>
        <w:t xml:space="preserve">stated that nothing in the order precluded </w:t>
      </w:r>
      <w:r w:rsidR="007B6F4E">
        <w:rPr>
          <w:rFonts w:ascii="Arial" w:hAnsi="Arial" w:cs="Arial"/>
          <w:sz w:val="24"/>
          <w:szCs w:val="24"/>
        </w:rPr>
        <w:t>AEP-Ohio</w:t>
      </w:r>
      <w:r w:rsidR="00F94BF2">
        <w:rPr>
          <w:rFonts w:ascii="Arial" w:hAnsi="Arial" w:cs="Arial"/>
          <w:sz w:val="24"/>
          <w:szCs w:val="24"/>
        </w:rPr>
        <w:t xml:space="preserve"> or any of its affiliates from bidding into any of the auctions. </w:t>
      </w:r>
      <w:r w:rsidR="00501B8C">
        <w:rPr>
          <w:rFonts w:ascii="Arial" w:hAnsi="Arial" w:cs="Arial"/>
          <w:sz w:val="24"/>
          <w:szCs w:val="24"/>
        </w:rPr>
        <w:t xml:space="preserve"> </w:t>
      </w:r>
      <w:r w:rsidR="00F94BF2">
        <w:rPr>
          <w:rFonts w:ascii="Arial" w:hAnsi="Arial" w:cs="Arial"/>
          <w:sz w:val="24"/>
          <w:szCs w:val="24"/>
        </w:rPr>
        <w:t xml:space="preserve">Therefore, unless a reserve price </w:t>
      </w:r>
      <w:r w:rsidR="00233F90">
        <w:rPr>
          <w:rFonts w:ascii="Arial" w:hAnsi="Arial" w:cs="Arial"/>
          <w:sz w:val="24"/>
          <w:szCs w:val="24"/>
        </w:rPr>
        <w:t xml:space="preserve">is set </w:t>
      </w:r>
      <w:r w:rsidR="00F94BF2">
        <w:rPr>
          <w:rFonts w:ascii="Arial" w:hAnsi="Arial" w:cs="Arial"/>
          <w:sz w:val="24"/>
          <w:szCs w:val="24"/>
        </w:rPr>
        <w:t xml:space="preserve">equal to the forecast </w:t>
      </w:r>
      <w:r w:rsidR="00501B8C">
        <w:rPr>
          <w:rFonts w:ascii="Arial" w:hAnsi="Arial" w:cs="Arial"/>
          <w:sz w:val="24"/>
          <w:szCs w:val="24"/>
        </w:rPr>
        <w:t>F</w:t>
      </w:r>
      <w:r w:rsidR="00F94BF2">
        <w:rPr>
          <w:sz w:val="24"/>
          <w:szCs w:val="24"/>
        </w:rPr>
        <w:t>AC rate</w:t>
      </w:r>
      <w:r w:rsidR="0073027B">
        <w:rPr>
          <w:sz w:val="24"/>
          <w:szCs w:val="24"/>
        </w:rPr>
        <w:t>s</w:t>
      </w:r>
      <w:r w:rsidR="00F94BF2">
        <w:rPr>
          <w:sz w:val="24"/>
          <w:szCs w:val="24"/>
        </w:rPr>
        <w:t xml:space="preserve"> expected to be in effect during the </w:t>
      </w:r>
      <w:r w:rsidR="00BE4566">
        <w:rPr>
          <w:sz w:val="24"/>
          <w:szCs w:val="24"/>
        </w:rPr>
        <w:t>delivery</w:t>
      </w:r>
      <w:r w:rsidR="00F94BF2">
        <w:rPr>
          <w:sz w:val="24"/>
          <w:szCs w:val="24"/>
        </w:rPr>
        <w:t xml:space="preserve"> period for the energy secured through the CBP, </w:t>
      </w:r>
      <w:r w:rsidR="00F94BF2">
        <w:rPr>
          <w:sz w:val="24"/>
          <w:szCs w:val="24"/>
        </w:rPr>
        <w:lastRenderedPageBreak/>
        <w:t xml:space="preserve">it is possible for </w:t>
      </w:r>
      <w:r w:rsidR="007B6F4E">
        <w:rPr>
          <w:sz w:val="24"/>
          <w:szCs w:val="24"/>
        </w:rPr>
        <w:t>AEP-Ohio</w:t>
      </w:r>
      <w:r w:rsidR="00F94BF2">
        <w:rPr>
          <w:sz w:val="24"/>
          <w:szCs w:val="24"/>
        </w:rPr>
        <w:t xml:space="preserve"> or an affiliate to use the CBP to increase the energy prices</w:t>
      </w:r>
      <w:r w:rsidR="00233F90">
        <w:rPr>
          <w:sz w:val="24"/>
          <w:szCs w:val="24"/>
        </w:rPr>
        <w:t xml:space="preserve"> </w:t>
      </w:r>
      <w:r w:rsidR="007B6F4E">
        <w:rPr>
          <w:sz w:val="24"/>
          <w:szCs w:val="24"/>
        </w:rPr>
        <w:t>AEP-Ohio</w:t>
      </w:r>
      <w:r w:rsidR="00233F90">
        <w:rPr>
          <w:sz w:val="24"/>
          <w:szCs w:val="24"/>
        </w:rPr>
        <w:t xml:space="preserve"> collects from </w:t>
      </w:r>
      <w:r w:rsidR="00501B8C">
        <w:rPr>
          <w:sz w:val="24"/>
          <w:szCs w:val="24"/>
        </w:rPr>
        <w:t>SSO</w:t>
      </w:r>
      <w:r w:rsidR="00233F90">
        <w:rPr>
          <w:sz w:val="24"/>
          <w:szCs w:val="24"/>
        </w:rPr>
        <w:t xml:space="preserve"> customers. </w:t>
      </w:r>
      <w:r w:rsidR="00501B8C">
        <w:rPr>
          <w:sz w:val="24"/>
          <w:szCs w:val="24"/>
        </w:rPr>
        <w:t xml:space="preserve"> </w:t>
      </w:r>
      <w:r w:rsidR="00233F90">
        <w:rPr>
          <w:sz w:val="24"/>
          <w:szCs w:val="24"/>
        </w:rPr>
        <w:t xml:space="preserve">If the CBP auction price clears at a level higher than </w:t>
      </w:r>
      <w:r w:rsidR="00501B8C">
        <w:rPr>
          <w:sz w:val="24"/>
          <w:szCs w:val="24"/>
        </w:rPr>
        <w:t xml:space="preserve">the </w:t>
      </w:r>
      <w:r w:rsidR="00501B8C">
        <w:rPr>
          <w:rFonts w:ascii="Arial" w:hAnsi="Arial" w:cs="Arial"/>
          <w:sz w:val="24"/>
          <w:szCs w:val="24"/>
        </w:rPr>
        <w:t>forecast</w:t>
      </w:r>
      <w:r w:rsidR="00233F90">
        <w:rPr>
          <w:sz w:val="24"/>
          <w:szCs w:val="24"/>
        </w:rPr>
        <w:t xml:space="preserve"> FAC rate</w:t>
      </w:r>
      <w:r w:rsidR="0073027B">
        <w:rPr>
          <w:sz w:val="24"/>
          <w:szCs w:val="24"/>
        </w:rPr>
        <w:t>s</w:t>
      </w:r>
      <w:r w:rsidR="00233F90">
        <w:rPr>
          <w:sz w:val="24"/>
          <w:szCs w:val="24"/>
        </w:rPr>
        <w:t xml:space="preserve"> expected to be in effect during the energy delivery period and </w:t>
      </w:r>
      <w:r w:rsidR="007B6F4E">
        <w:rPr>
          <w:sz w:val="24"/>
          <w:szCs w:val="24"/>
        </w:rPr>
        <w:t>AEP-Ohio</w:t>
      </w:r>
      <w:r w:rsidR="00233F90">
        <w:rPr>
          <w:sz w:val="24"/>
          <w:szCs w:val="24"/>
        </w:rPr>
        <w:t xml:space="preserve"> or its affiliate is a winning bidder, the tranches supplied by AEP-Ohio or its affiliates will simply </w:t>
      </w:r>
      <w:r w:rsidR="00B866EB">
        <w:rPr>
          <w:sz w:val="24"/>
          <w:szCs w:val="24"/>
        </w:rPr>
        <w:t>re-price</w:t>
      </w:r>
      <w:r w:rsidR="00233F90">
        <w:rPr>
          <w:sz w:val="24"/>
          <w:szCs w:val="24"/>
        </w:rPr>
        <w:t xml:space="preserve"> energy </w:t>
      </w:r>
      <w:r w:rsidR="00B866EB">
        <w:rPr>
          <w:sz w:val="24"/>
          <w:szCs w:val="24"/>
        </w:rPr>
        <w:t xml:space="preserve">supplied by </w:t>
      </w:r>
      <w:r w:rsidR="007B6F4E">
        <w:rPr>
          <w:sz w:val="24"/>
          <w:szCs w:val="24"/>
        </w:rPr>
        <w:t>AEP-Ohio</w:t>
      </w:r>
      <w:r w:rsidR="00B866EB">
        <w:rPr>
          <w:sz w:val="24"/>
          <w:szCs w:val="24"/>
        </w:rPr>
        <w:t xml:space="preserve"> </w:t>
      </w:r>
      <w:r w:rsidR="009049B6">
        <w:rPr>
          <w:sz w:val="24"/>
          <w:szCs w:val="24"/>
        </w:rPr>
        <w:t xml:space="preserve">under </w:t>
      </w:r>
      <w:r w:rsidR="00B866EB">
        <w:rPr>
          <w:sz w:val="24"/>
          <w:szCs w:val="24"/>
        </w:rPr>
        <w:t xml:space="preserve">cost-based </w:t>
      </w:r>
      <w:r w:rsidR="009049B6">
        <w:rPr>
          <w:sz w:val="24"/>
          <w:szCs w:val="24"/>
        </w:rPr>
        <w:t xml:space="preserve">FAC </w:t>
      </w:r>
      <w:r w:rsidR="00B866EB">
        <w:rPr>
          <w:sz w:val="24"/>
          <w:szCs w:val="24"/>
        </w:rPr>
        <w:t>rate</w:t>
      </w:r>
      <w:r w:rsidR="0073027B">
        <w:rPr>
          <w:sz w:val="24"/>
          <w:szCs w:val="24"/>
        </w:rPr>
        <w:t>s</w:t>
      </w:r>
      <w:r w:rsidR="00B866EB">
        <w:rPr>
          <w:sz w:val="24"/>
          <w:szCs w:val="24"/>
        </w:rPr>
        <w:t xml:space="preserve"> to a higher market-based rate.</w:t>
      </w:r>
      <w:r w:rsidR="00B866EB" w:rsidRPr="00B866EB">
        <w:rPr>
          <w:rFonts w:ascii="Arial" w:hAnsi="Arial" w:cs="Arial"/>
          <w:sz w:val="24"/>
          <w:szCs w:val="24"/>
        </w:rPr>
        <w:t xml:space="preserve"> </w:t>
      </w:r>
      <w:r w:rsidR="00BE4566">
        <w:rPr>
          <w:rFonts w:ascii="Arial" w:hAnsi="Arial" w:cs="Arial"/>
          <w:sz w:val="24"/>
          <w:szCs w:val="24"/>
        </w:rPr>
        <w:t xml:space="preserve"> </w:t>
      </w:r>
    </w:p>
    <w:p w:rsidR="0024375F" w:rsidRDefault="00413CE8" w:rsidP="004952D1">
      <w:pPr>
        <w:autoSpaceDE w:val="0"/>
        <w:autoSpaceDN w:val="0"/>
        <w:adjustRightInd w:val="0"/>
        <w:spacing w:before="240" w:after="0" w:line="480" w:lineRule="auto"/>
        <w:ind w:left="720" w:hanging="720"/>
        <w:jc w:val="both"/>
        <w:rPr>
          <w:rFonts w:ascii="Arial" w:hAnsi="Arial" w:cs="Arial"/>
          <w:b/>
          <w:sz w:val="24"/>
          <w:szCs w:val="24"/>
        </w:rPr>
      </w:pPr>
      <w:r>
        <w:rPr>
          <w:rFonts w:ascii="Arial" w:hAnsi="Arial" w:cs="Arial"/>
          <w:b/>
          <w:sz w:val="24"/>
          <w:szCs w:val="24"/>
        </w:rPr>
        <w:t>IV</w:t>
      </w:r>
      <w:r w:rsidR="000556C6">
        <w:rPr>
          <w:rFonts w:ascii="Arial" w:hAnsi="Arial" w:cs="Arial"/>
          <w:b/>
          <w:sz w:val="24"/>
          <w:szCs w:val="24"/>
        </w:rPr>
        <w:t>.</w:t>
      </w:r>
      <w:r w:rsidR="000556C6">
        <w:rPr>
          <w:rFonts w:ascii="Arial" w:hAnsi="Arial" w:cs="Arial"/>
          <w:b/>
          <w:sz w:val="24"/>
          <w:szCs w:val="24"/>
        </w:rPr>
        <w:tab/>
        <w:t>CONCLUSION</w:t>
      </w:r>
    </w:p>
    <w:p w:rsidR="0024375F" w:rsidRDefault="009962F7" w:rsidP="00107D85">
      <w:pPr>
        <w:spacing w:before="240" w:after="0" w:line="240" w:lineRule="auto"/>
        <w:rPr>
          <w:sz w:val="24"/>
          <w:szCs w:val="24"/>
        </w:rPr>
      </w:pPr>
      <w:r>
        <w:rPr>
          <w:b/>
          <w:sz w:val="24"/>
          <w:szCs w:val="24"/>
        </w:rPr>
        <w:t>Q18</w:t>
      </w:r>
      <w:r w:rsidR="000556C6">
        <w:rPr>
          <w:sz w:val="24"/>
          <w:szCs w:val="24"/>
        </w:rPr>
        <w:t>.</w:t>
      </w:r>
      <w:r w:rsidR="000556C6">
        <w:rPr>
          <w:sz w:val="24"/>
          <w:szCs w:val="24"/>
        </w:rPr>
        <w:tab/>
      </w:r>
      <w:r w:rsidR="000556C6">
        <w:rPr>
          <w:b/>
          <w:sz w:val="24"/>
          <w:szCs w:val="24"/>
        </w:rPr>
        <w:t>Does this conclude your testimony?</w:t>
      </w:r>
    </w:p>
    <w:p w:rsidR="0024375F" w:rsidRDefault="009962F7">
      <w:pPr>
        <w:spacing w:before="480" w:after="0" w:line="480" w:lineRule="auto"/>
        <w:ind w:left="720" w:hanging="720"/>
        <w:jc w:val="both"/>
        <w:rPr>
          <w:sz w:val="24"/>
          <w:szCs w:val="24"/>
        </w:rPr>
        <w:sectPr w:rsidR="0024375F" w:rsidSect="00D2437C">
          <w:type w:val="continuous"/>
          <w:pgSz w:w="12240" w:h="15840"/>
          <w:pgMar w:top="1440" w:right="1440" w:bottom="1440" w:left="1440" w:header="720" w:footer="720" w:gutter="0"/>
          <w:lnNumType w:countBy="1"/>
          <w:cols w:space="720"/>
          <w:docGrid w:linePitch="360"/>
        </w:sectPr>
      </w:pPr>
      <w:r>
        <w:rPr>
          <w:sz w:val="24"/>
          <w:szCs w:val="24"/>
        </w:rPr>
        <w:t>A18</w:t>
      </w:r>
      <w:r w:rsidR="000556C6">
        <w:rPr>
          <w:sz w:val="24"/>
          <w:szCs w:val="24"/>
        </w:rPr>
        <w:t>.</w:t>
      </w:r>
      <w:r w:rsidR="000556C6">
        <w:rPr>
          <w:sz w:val="24"/>
          <w:szCs w:val="24"/>
        </w:rPr>
        <w:tab/>
        <w:t>Yes.</w:t>
      </w:r>
    </w:p>
    <w:p w:rsidR="00662D34" w:rsidRDefault="00662D34" w:rsidP="00413CE8">
      <w:pPr>
        <w:tabs>
          <w:tab w:val="left" w:pos="-1440"/>
          <w:tab w:val="left" w:pos="-720"/>
          <w:tab w:val="left" w:pos="4320"/>
          <w:tab w:val="left" w:pos="5040"/>
        </w:tabs>
        <w:spacing w:after="0" w:line="240" w:lineRule="auto"/>
        <w:jc w:val="center"/>
        <w:rPr>
          <w:rFonts w:ascii="Arial Bold" w:hAnsi="Arial Bold" w:cs="Arial" w:hint="eastAsia"/>
          <w:b/>
          <w:smallCaps/>
          <w:sz w:val="28"/>
          <w:szCs w:val="28"/>
          <w:u w:val="single"/>
        </w:rPr>
      </w:pPr>
      <w:bookmarkStart w:id="0" w:name="_Toc318455737"/>
      <w:r>
        <w:rPr>
          <w:rFonts w:ascii="Arial Bold" w:hAnsi="Arial Bold" w:cs="Arial"/>
          <w:b/>
          <w:smallCaps/>
          <w:sz w:val="28"/>
          <w:szCs w:val="28"/>
          <w:u w:val="single"/>
        </w:rPr>
        <w:lastRenderedPageBreak/>
        <w:t>Certificate of Service</w:t>
      </w:r>
    </w:p>
    <w:p w:rsidR="0073027B" w:rsidRDefault="0073027B" w:rsidP="00501B8C">
      <w:pPr>
        <w:pStyle w:val="BodyText"/>
        <w:spacing w:line="480" w:lineRule="auto"/>
        <w:ind w:firstLine="720"/>
      </w:pPr>
    </w:p>
    <w:p w:rsidR="00662D34" w:rsidRDefault="00662D34" w:rsidP="00501B8C">
      <w:pPr>
        <w:pStyle w:val="BodyText"/>
        <w:spacing w:line="480" w:lineRule="auto"/>
        <w:ind w:firstLine="720"/>
      </w:pPr>
      <w:r>
        <w:t>I hereby certify that a copy of the foregoing</w:t>
      </w:r>
      <w:r>
        <w:rPr>
          <w:smallCaps/>
        </w:rPr>
        <w:t xml:space="preserve"> </w:t>
      </w:r>
      <w:r w:rsidR="00AB7CEB" w:rsidRPr="00AB7CEB">
        <w:rPr>
          <w:i/>
          <w:smallCaps/>
        </w:rPr>
        <w:t>D</w:t>
      </w:r>
      <w:r w:rsidR="00AB7CEB" w:rsidRPr="00AB7CEB">
        <w:rPr>
          <w:i/>
        </w:rPr>
        <w:t>irect Testimony of Kevin M. Murray on Behalf of Industrial Energy Users-Ohio</w:t>
      </w:r>
      <w:r w:rsidR="00AB7CEB">
        <w:rPr>
          <w:i/>
        </w:rPr>
        <w:t xml:space="preserve"> </w:t>
      </w:r>
      <w:r>
        <w:t xml:space="preserve">was served upon the </w:t>
      </w:r>
      <w:r w:rsidR="00B866EB">
        <w:t xml:space="preserve">Ohio Power </w:t>
      </w:r>
      <w:r w:rsidR="00443FD8">
        <w:t>Company</w:t>
      </w:r>
      <w:r w:rsidR="00501B8C">
        <w:t xml:space="preserve"> this 14th</w:t>
      </w:r>
      <w:r w:rsidR="00B866EB">
        <w:t xml:space="preserve"> day of June</w:t>
      </w:r>
      <w:r>
        <w:t xml:space="preserve"> 2013, </w:t>
      </w:r>
      <w:r>
        <w:rPr>
          <w:i/>
        </w:rPr>
        <w:t>via</w:t>
      </w:r>
      <w:r>
        <w:t xml:space="preserve"> electronic transmission.</w:t>
      </w:r>
    </w:p>
    <w:p w:rsidR="00662D34" w:rsidRDefault="0073027B" w:rsidP="00662D34">
      <w:pPr>
        <w:pStyle w:val="Title"/>
        <w:tabs>
          <w:tab w:val="left" w:pos="5040"/>
          <w:tab w:val="decimal" w:pos="6840"/>
          <w:tab w:val="right" w:pos="9360"/>
        </w:tabs>
        <w:ind w:left="5040"/>
        <w:jc w:val="left"/>
        <w:rPr>
          <w:b w:val="0"/>
          <w:smallCaps w:val="0"/>
          <w:sz w:val="24"/>
          <w:u w:val="single"/>
        </w:rPr>
      </w:pPr>
      <w:r>
        <w:rPr>
          <w:b w:val="0"/>
          <w:smallCaps w:val="0"/>
          <w:sz w:val="24"/>
          <w:u w:val="single"/>
        </w:rPr>
        <w:t>/s/ Frank P. Darr</w:t>
      </w:r>
      <w:r>
        <w:rPr>
          <w:b w:val="0"/>
          <w:smallCaps w:val="0"/>
          <w:sz w:val="24"/>
          <w:u w:val="single"/>
        </w:rPr>
        <w:tab/>
      </w:r>
      <w:r>
        <w:rPr>
          <w:b w:val="0"/>
          <w:smallCaps w:val="0"/>
          <w:sz w:val="24"/>
          <w:u w:val="single"/>
        </w:rPr>
        <w:tab/>
      </w:r>
    </w:p>
    <w:p w:rsidR="00662D34" w:rsidRDefault="00AB7CEB" w:rsidP="00662D34">
      <w:pPr>
        <w:pStyle w:val="Title"/>
        <w:tabs>
          <w:tab w:val="left" w:pos="5040"/>
          <w:tab w:val="decimal" w:pos="6840"/>
          <w:tab w:val="right" w:pos="9360"/>
        </w:tabs>
        <w:ind w:left="5040"/>
        <w:jc w:val="left"/>
        <w:rPr>
          <w:b w:val="0"/>
          <w:sz w:val="24"/>
        </w:rPr>
      </w:pPr>
      <w:r>
        <w:rPr>
          <w:b w:val="0"/>
          <w:sz w:val="24"/>
        </w:rPr>
        <w:t>Frank P. Darr</w:t>
      </w:r>
    </w:p>
    <w:p w:rsidR="00AB7CEB" w:rsidRDefault="00AB7CEB" w:rsidP="00662D34">
      <w:pPr>
        <w:pStyle w:val="Title"/>
        <w:tabs>
          <w:tab w:val="left" w:pos="5040"/>
          <w:tab w:val="decimal" w:pos="6840"/>
          <w:tab w:val="right" w:pos="9360"/>
        </w:tabs>
        <w:ind w:left="5040"/>
        <w:jc w:val="left"/>
        <w:rPr>
          <w:b w:val="0"/>
          <w:sz w:val="24"/>
        </w:rPr>
      </w:pPr>
    </w:p>
    <w:p w:rsidR="00AB7CEB" w:rsidRDefault="00AB7CEB" w:rsidP="00662D34">
      <w:pPr>
        <w:pStyle w:val="Title"/>
        <w:tabs>
          <w:tab w:val="left" w:pos="5040"/>
          <w:tab w:val="decimal" w:pos="6840"/>
          <w:tab w:val="right" w:pos="9360"/>
        </w:tabs>
        <w:ind w:left="5040"/>
        <w:jc w:val="left"/>
        <w:rPr>
          <w:b w:val="0"/>
          <w:sz w:val="24"/>
        </w:rPr>
      </w:pPr>
    </w:p>
    <w:p w:rsidR="00074BC8" w:rsidRDefault="00074BC8" w:rsidP="00074BC8">
      <w:pPr>
        <w:widowControl w:val="0"/>
        <w:spacing w:after="0" w:line="240" w:lineRule="auto"/>
        <w:rPr>
          <w:rFonts w:ascii="Arial" w:hAnsi="Arial" w:cs="Arial"/>
          <w:sz w:val="24"/>
          <w:szCs w:val="24"/>
        </w:rPr>
      </w:pPr>
      <w:r w:rsidRPr="00D17E8B">
        <w:rPr>
          <w:rFonts w:ascii="Arial" w:hAnsi="Arial" w:cs="Arial"/>
          <w:sz w:val="24"/>
          <w:szCs w:val="24"/>
        </w:rPr>
        <w:t>stnourse@aep.com</w:t>
      </w:r>
    </w:p>
    <w:p w:rsidR="00074BC8" w:rsidRPr="00074BC8" w:rsidRDefault="00074BC8" w:rsidP="00074BC8">
      <w:pPr>
        <w:widowControl w:val="0"/>
        <w:spacing w:after="0" w:line="240" w:lineRule="auto"/>
        <w:rPr>
          <w:rFonts w:ascii="Arial" w:hAnsi="Arial" w:cs="Arial"/>
          <w:sz w:val="24"/>
          <w:szCs w:val="24"/>
        </w:rPr>
      </w:pPr>
      <w:r w:rsidRPr="00074BC8">
        <w:rPr>
          <w:rFonts w:ascii="Arial" w:hAnsi="Arial" w:cs="Arial"/>
          <w:sz w:val="24"/>
          <w:szCs w:val="24"/>
        </w:rPr>
        <w:t>dboehm@bkllawfirm.com</w:t>
      </w:r>
    </w:p>
    <w:p w:rsidR="00074BC8" w:rsidRPr="00074BC8" w:rsidRDefault="00074BC8" w:rsidP="00074BC8">
      <w:pPr>
        <w:widowControl w:val="0"/>
        <w:spacing w:after="0" w:line="240" w:lineRule="auto"/>
        <w:rPr>
          <w:rFonts w:ascii="Arial" w:hAnsi="Arial" w:cs="Arial"/>
          <w:sz w:val="24"/>
          <w:szCs w:val="24"/>
          <w:lang w:val="nl-NL"/>
        </w:rPr>
      </w:pPr>
      <w:r w:rsidRPr="00074BC8">
        <w:rPr>
          <w:rFonts w:ascii="Arial" w:hAnsi="Arial" w:cs="Arial"/>
          <w:sz w:val="24"/>
          <w:szCs w:val="24"/>
          <w:lang w:val="nl-NL"/>
        </w:rPr>
        <w:t>mkurtz@bkllawfirm.com</w:t>
      </w:r>
    </w:p>
    <w:p w:rsidR="00074BC8" w:rsidRPr="00074BC8" w:rsidRDefault="00074BC8" w:rsidP="00074BC8">
      <w:pPr>
        <w:widowControl w:val="0"/>
        <w:spacing w:after="0" w:line="240" w:lineRule="auto"/>
        <w:rPr>
          <w:rFonts w:ascii="Arial" w:hAnsi="Arial" w:cs="Arial"/>
          <w:sz w:val="24"/>
          <w:szCs w:val="24"/>
          <w:lang w:val="nl-NL"/>
        </w:rPr>
      </w:pPr>
      <w:r w:rsidRPr="00074BC8">
        <w:rPr>
          <w:rFonts w:ascii="Arial" w:hAnsi="Arial" w:cs="Arial"/>
          <w:sz w:val="24"/>
          <w:szCs w:val="24"/>
          <w:lang w:val="nl-NL"/>
        </w:rPr>
        <w:t>jkyler@bkllawfirm.com</w:t>
      </w:r>
    </w:p>
    <w:p w:rsidR="00074BC8" w:rsidRPr="00074BC8" w:rsidRDefault="00074BC8" w:rsidP="00074BC8">
      <w:pPr>
        <w:widowControl w:val="0"/>
        <w:spacing w:after="0" w:line="240" w:lineRule="auto"/>
        <w:rPr>
          <w:rFonts w:ascii="Arial" w:hAnsi="Arial" w:cs="Arial"/>
          <w:sz w:val="24"/>
          <w:szCs w:val="24"/>
        </w:rPr>
      </w:pPr>
      <w:r w:rsidRPr="00074BC8">
        <w:rPr>
          <w:rFonts w:ascii="Arial" w:hAnsi="Arial" w:cs="Arial"/>
          <w:sz w:val="24"/>
          <w:szCs w:val="24"/>
        </w:rPr>
        <w:t>David.fein@Constellation.com</w:t>
      </w:r>
    </w:p>
    <w:p w:rsidR="00074BC8" w:rsidRPr="00074BC8" w:rsidRDefault="00074BC8" w:rsidP="00074BC8">
      <w:pPr>
        <w:widowControl w:val="0"/>
        <w:spacing w:after="0" w:line="240" w:lineRule="auto"/>
        <w:rPr>
          <w:rFonts w:ascii="Arial" w:hAnsi="Arial" w:cs="Arial"/>
          <w:sz w:val="24"/>
          <w:szCs w:val="24"/>
        </w:rPr>
      </w:pPr>
      <w:r w:rsidRPr="00D17E8B">
        <w:rPr>
          <w:rFonts w:ascii="Arial" w:hAnsi="Arial" w:cs="Arial"/>
          <w:sz w:val="24"/>
          <w:szCs w:val="24"/>
        </w:rPr>
        <w:t>Cynthia.Brady@Constellation.com</w:t>
      </w:r>
    </w:p>
    <w:p w:rsidR="00074BC8" w:rsidRPr="00074BC8" w:rsidRDefault="00074BC8" w:rsidP="00074BC8">
      <w:pPr>
        <w:widowControl w:val="0"/>
        <w:spacing w:after="0" w:line="240" w:lineRule="auto"/>
        <w:rPr>
          <w:rFonts w:ascii="Arial" w:hAnsi="Arial" w:cs="Arial"/>
          <w:sz w:val="24"/>
          <w:szCs w:val="24"/>
        </w:rPr>
      </w:pPr>
      <w:r w:rsidRPr="00074BC8">
        <w:rPr>
          <w:rFonts w:ascii="Arial" w:hAnsi="Arial" w:cs="Arial"/>
          <w:sz w:val="24"/>
          <w:szCs w:val="24"/>
        </w:rPr>
        <w:t>grady@occ.state.oh.us</w:t>
      </w:r>
    </w:p>
    <w:p w:rsidR="00074BC8" w:rsidRPr="00074BC8" w:rsidRDefault="00074BC8" w:rsidP="00074BC8">
      <w:pPr>
        <w:widowControl w:val="0"/>
        <w:spacing w:after="0" w:line="240" w:lineRule="auto"/>
        <w:rPr>
          <w:rFonts w:ascii="Arial" w:hAnsi="Arial" w:cs="Arial"/>
          <w:sz w:val="24"/>
          <w:szCs w:val="24"/>
        </w:rPr>
      </w:pPr>
      <w:r w:rsidRPr="00074BC8">
        <w:rPr>
          <w:rFonts w:ascii="Arial" w:hAnsi="Arial" w:cs="Arial"/>
          <w:sz w:val="24"/>
          <w:szCs w:val="24"/>
        </w:rPr>
        <w:t xml:space="preserve">mhpetricoff@vorys.com </w:t>
      </w:r>
    </w:p>
    <w:p w:rsidR="00074BC8" w:rsidRPr="00074BC8" w:rsidRDefault="00074BC8" w:rsidP="00074BC8">
      <w:pPr>
        <w:widowControl w:val="0"/>
        <w:spacing w:after="0" w:line="240" w:lineRule="auto"/>
        <w:rPr>
          <w:rFonts w:ascii="Arial" w:hAnsi="Arial" w:cs="Arial"/>
          <w:sz w:val="24"/>
          <w:szCs w:val="24"/>
        </w:rPr>
      </w:pPr>
      <w:r w:rsidRPr="00074BC8">
        <w:rPr>
          <w:rFonts w:ascii="Arial" w:hAnsi="Arial" w:cs="Arial"/>
          <w:sz w:val="24"/>
          <w:szCs w:val="24"/>
        </w:rPr>
        <w:t xml:space="preserve">smhoward@vorys.com </w:t>
      </w:r>
    </w:p>
    <w:p w:rsidR="00074BC8" w:rsidRPr="00074BC8" w:rsidRDefault="00074BC8" w:rsidP="00074BC8">
      <w:pPr>
        <w:spacing w:after="0" w:line="240" w:lineRule="auto"/>
        <w:rPr>
          <w:rFonts w:ascii="Arial" w:hAnsi="Arial" w:cs="Arial"/>
          <w:sz w:val="24"/>
          <w:szCs w:val="24"/>
          <w:lang w:val="de-DE"/>
        </w:rPr>
      </w:pPr>
      <w:r w:rsidRPr="00074BC8">
        <w:rPr>
          <w:rFonts w:ascii="Arial" w:hAnsi="Arial" w:cs="Arial"/>
          <w:sz w:val="24"/>
          <w:szCs w:val="24"/>
          <w:lang w:val="de-DE"/>
        </w:rPr>
        <w:t xml:space="preserve">haydenm@firstenergycorp.com </w:t>
      </w:r>
    </w:p>
    <w:p w:rsidR="00074BC8" w:rsidRPr="00074BC8" w:rsidRDefault="00074BC8" w:rsidP="00074BC8">
      <w:pPr>
        <w:spacing w:after="0" w:line="240" w:lineRule="auto"/>
        <w:rPr>
          <w:rFonts w:ascii="Arial" w:hAnsi="Arial" w:cs="Arial"/>
          <w:sz w:val="24"/>
          <w:szCs w:val="24"/>
        </w:rPr>
      </w:pPr>
      <w:r w:rsidRPr="00074BC8">
        <w:rPr>
          <w:rFonts w:ascii="Arial" w:hAnsi="Arial" w:cs="Arial"/>
          <w:sz w:val="24"/>
          <w:szCs w:val="24"/>
        </w:rPr>
        <w:t xml:space="preserve">jlang@calfee.com </w:t>
      </w:r>
    </w:p>
    <w:p w:rsidR="00074BC8" w:rsidRPr="00074BC8" w:rsidRDefault="00074BC8" w:rsidP="00074BC8">
      <w:pPr>
        <w:spacing w:after="0" w:line="240" w:lineRule="auto"/>
        <w:rPr>
          <w:rFonts w:ascii="Arial" w:hAnsi="Arial" w:cs="Arial"/>
          <w:sz w:val="24"/>
          <w:szCs w:val="24"/>
        </w:rPr>
      </w:pPr>
      <w:r w:rsidRPr="00074BC8">
        <w:rPr>
          <w:rFonts w:ascii="Arial" w:hAnsi="Arial" w:cs="Arial"/>
          <w:sz w:val="24"/>
          <w:szCs w:val="24"/>
        </w:rPr>
        <w:t xml:space="preserve">talexander@calfee.com </w:t>
      </w:r>
    </w:p>
    <w:p w:rsidR="00074BC8" w:rsidRDefault="00413CE8" w:rsidP="00074BC8">
      <w:pPr>
        <w:widowControl w:val="0"/>
        <w:spacing w:after="0" w:line="240" w:lineRule="auto"/>
        <w:rPr>
          <w:rFonts w:ascii="Arial" w:hAnsi="Arial" w:cs="Arial"/>
          <w:sz w:val="24"/>
          <w:szCs w:val="24"/>
        </w:rPr>
      </w:pPr>
      <w:r w:rsidRPr="00D17E8B">
        <w:rPr>
          <w:rFonts w:ascii="Arial" w:hAnsi="Arial" w:cs="Arial"/>
          <w:sz w:val="24"/>
          <w:szCs w:val="24"/>
        </w:rPr>
        <w:t>stephen.reilly@puc.state.oh.us</w:t>
      </w:r>
    </w:p>
    <w:p w:rsidR="00413CE8" w:rsidRDefault="007D5790" w:rsidP="00074BC8">
      <w:pPr>
        <w:widowControl w:val="0"/>
        <w:spacing w:after="0" w:line="240" w:lineRule="auto"/>
        <w:rPr>
          <w:rFonts w:ascii="Arial" w:hAnsi="Arial" w:cs="Arial"/>
          <w:sz w:val="24"/>
          <w:szCs w:val="24"/>
        </w:rPr>
      </w:pPr>
      <w:r w:rsidRPr="00D96359">
        <w:rPr>
          <w:rFonts w:ascii="Arial" w:hAnsi="Arial" w:cs="Arial"/>
          <w:sz w:val="24"/>
          <w:szCs w:val="24"/>
        </w:rPr>
        <w:t>dconway@porterwright.com</w:t>
      </w:r>
    </w:p>
    <w:p w:rsidR="007D5790" w:rsidRDefault="007D5790" w:rsidP="00074BC8">
      <w:pPr>
        <w:widowControl w:val="0"/>
        <w:spacing w:after="0" w:line="240" w:lineRule="auto"/>
        <w:rPr>
          <w:rFonts w:ascii="Arial" w:hAnsi="Arial" w:cs="Arial"/>
          <w:sz w:val="24"/>
          <w:szCs w:val="24"/>
        </w:rPr>
      </w:pPr>
      <w:r w:rsidRPr="00D96359">
        <w:rPr>
          <w:rFonts w:ascii="Arial" w:hAnsi="Arial" w:cs="Arial"/>
          <w:sz w:val="24"/>
          <w:szCs w:val="24"/>
        </w:rPr>
        <w:t>lmcbride@calfee.com</w:t>
      </w:r>
    </w:p>
    <w:p w:rsidR="007D5790" w:rsidRPr="00074BC8" w:rsidRDefault="007D5790" w:rsidP="00074BC8">
      <w:pPr>
        <w:widowControl w:val="0"/>
        <w:spacing w:after="0" w:line="240" w:lineRule="auto"/>
        <w:rPr>
          <w:rFonts w:ascii="Arial" w:hAnsi="Arial" w:cs="Arial"/>
          <w:sz w:val="24"/>
          <w:szCs w:val="24"/>
        </w:rPr>
      </w:pPr>
      <w:bookmarkStart w:id="1" w:name="_GoBack"/>
      <w:bookmarkEnd w:id="1"/>
    </w:p>
    <w:p w:rsidR="00662D34" w:rsidRDefault="00662D34" w:rsidP="00662D34">
      <w:pPr>
        <w:pStyle w:val="Title"/>
        <w:tabs>
          <w:tab w:val="left" w:pos="5040"/>
          <w:tab w:val="decimal" w:pos="6840"/>
          <w:tab w:val="right" w:pos="9360"/>
        </w:tabs>
        <w:ind w:left="5040"/>
        <w:jc w:val="left"/>
        <w:rPr>
          <w:b w:val="0"/>
          <w:sz w:val="24"/>
        </w:rPr>
      </w:pPr>
    </w:p>
    <w:p w:rsidR="00B5246D" w:rsidRDefault="00B5246D" w:rsidP="00074BC8">
      <w:pPr>
        <w:pStyle w:val="Title"/>
        <w:tabs>
          <w:tab w:val="left" w:pos="5040"/>
          <w:tab w:val="decimal" w:pos="6840"/>
          <w:tab w:val="right" w:pos="9360"/>
        </w:tabs>
        <w:jc w:val="left"/>
        <w:rPr>
          <w:b w:val="0"/>
          <w:sz w:val="24"/>
        </w:rPr>
        <w:sectPr w:rsidR="00B5246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rsidR="00B5246D" w:rsidRDefault="00B5246D" w:rsidP="00074BC8">
      <w:pPr>
        <w:pStyle w:val="Title"/>
        <w:tabs>
          <w:tab w:val="left" w:pos="5040"/>
          <w:tab w:val="decimal" w:pos="6840"/>
          <w:tab w:val="right" w:pos="9360"/>
        </w:tabs>
        <w:jc w:val="left"/>
        <w:rPr>
          <w:b w:val="0"/>
          <w:sz w:val="24"/>
        </w:rPr>
        <w:sectPr w:rsidR="00B5246D" w:rsidSect="00AB7CEB">
          <w:type w:val="continuous"/>
          <w:pgSz w:w="12240" w:h="15840"/>
          <w:pgMar w:top="1440" w:right="1440" w:bottom="1138" w:left="1440" w:header="720" w:footer="720" w:gutter="0"/>
          <w:cols w:num="2" w:space="720"/>
        </w:sectPr>
      </w:pPr>
    </w:p>
    <w:bookmarkEnd w:id="0"/>
    <w:p w:rsidR="00297D50" w:rsidRPr="00D17E8B" w:rsidRDefault="00297D50" w:rsidP="00297D50">
      <w:pPr>
        <w:jc w:val="center"/>
        <w:rPr>
          <w:rFonts w:eastAsia="Times New Roman" w:cs="Arial"/>
          <w:b/>
          <w:sz w:val="24"/>
          <w:szCs w:val="24"/>
        </w:rPr>
      </w:pPr>
      <w:r w:rsidRPr="00D17E8B">
        <w:rPr>
          <w:rFonts w:eastAsia="Times New Roman" w:cs="Arial"/>
          <w:b/>
          <w:sz w:val="24"/>
          <w:szCs w:val="24"/>
        </w:rPr>
        <w:lastRenderedPageBreak/>
        <w:t>EXHIBIT KMM-1</w:t>
      </w:r>
    </w:p>
    <w:p w:rsidR="00297D50" w:rsidRPr="00297D50" w:rsidRDefault="00297D50" w:rsidP="00297D50">
      <w:pPr>
        <w:tabs>
          <w:tab w:val="left" w:pos="4680"/>
        </w:tabs>
        <w:spacing w:after="0" w:line="240" w:lineRule="auto"/>
        <w:jc w:val="both"/>
        <w:rPr>
          <w:rFonts w:eastAsia="Times New Roman" w:cs="Arial"/>
          <w:sz w:val="24"/>
          <w:szCs w:val="24"/>
        </w:rPr>
      </w:pPr>
      <w:r w:rsidRPr="00297D50">
        <w:rPr>
          <w:rFonts w:eastAsia="Times New Roman" w:cs="Arial"/>
          <w:i/>
          <w:sz w:val="24"/>
          <w:szCs w:val="24"/>
        </w:rPr>
        <w:t>In the Matter of the Application of The Dayton Power and Light Company for Approval of Its Market Rate Offer</w:t>
      </w:r>
      <w:r w:rsidRPr="00297D50">
        <w:rPr>
          <w:rFonts w:eastAsia="Times New Roman" w:cs="Arial"/>
          <w:sz w:val="24"/>
          <w:szCs w:val="24"/>
        </w:rPr>
        <w:t xml:space="preserve">, PUCO Case Nos. 12-426-EL-SSO, </w:t>
      </w:r>
      <w:r w:rsidRPr="00297D50">
        <w:rPr>
          <w:rFonts w:eastAsia="Times New Roman" w:cs="Arial"/>
          <w:i/>
          <w:sz w:val="24"/>
          <w:szCs w:val="24"/>
        </w:rPr>
        <w:t>et al.</w:t>
      </w:r>
    </w:p>
    <w:p w:rsidR="00297D50" w:rsidRPr="00297D50" w:rsidRDefault="00297D50" w:rsidP="00297D50">
      <w:pPr>
        <w:spacing w:after="0" w:line="240" w:lineRule="auto"/>
        <w:jc w:val="both"/>
        <w:rPr>
          <w:rFonts w:eastAsia="Times New Roman" w:cs="Arial"/>
          <w:i/>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t>In the Matter of the Commission Review of the Capacity Charges of Ohio Power Company and Columbus Southern Power Company,</w:t>
      </w:r>
      <w:r w:rsidRPr="00297D50">
        <w:rPr>
          <w:rFonts w:eastAsia="Times New Roman" w:cs="Arial"/>
          <w:sz w:val="24"/>
          <w:szCs w:val="24"/>
        </w:rPr>
        <w:t xml:space="preserve"> PUCO Case No. 10-2929-EL-UNC.</w:t>
      </w:r>
    </w:p>
    <w:p w:rsidR="00297D50" w:rsidRPr="00297D50" w:rsidRDefault="00297D50" w:rsidP="00297D50">
      <w:pPr>
        <w:spacing w:after="0" w:line="240" w:lineRule="auto"/>
        <w:jc w:val="both"/>
        <w:rPr>
          <w:rFonts w:eastAsia="Times New Roman" w:cs="Arial"/>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t xml:space="preserve">In the Matter of the Application of Columbus Southern Power Company and Ohio Power Company for Authority to Establish a Standard Service Offer </w:t>
      </w:r>
      <w:r>
        <w:rPr>
          <w:rFonts w:eastAsia="Times New Roman" w:cs="Arial"/>
          <w:i/>
          <w:sz w:val="24"/>
          <w:szCs w:val="24"/>
        </w:rPr>
        <w:t>Pursuant to §4928.143, Rev. C</w:t>
      </w:r>
      <w:r w:rsidRPr="00297D50">
        <w:rPr>
          <w:rFonts w:eastAsia="Times New Roman" w:cs="Arial"/>
          <w:i/>
          <w:sz w:val="24"/>
          <w:szCs w:val="24"/>
        </w:rPr>
        <w:t>ode, in the Form of an Electric Security Plan,</w:t>
      </w:r>
      <w:r>
        <w:rPr>
          <w:rFonts w:eastAsia="Times New Roman" w:cs="Arial"/>
          <w:sz w:val="24"/>
          <w:szCs w:val="24"/>
        </w:rPr>
        <w:t xml:space="preserve"> PUCO Case Nos. 11-346-EL-</w:t>
      </w:r>
      <w:r w:rsidRPr="00297D50">
        <w:rPr>
          <w:rFonts w:eastAsia="Times New Roman" w:cs="Arial"/>
          <w:sz w:val="24"/>
          <w:szCs w:val="24"/>
        </w:rPr>
        <w:t xml:space="preserve">SSO and 11-348-EL-SSO, </w:t>
      </w:r>
      <w:r w:rsidRPr="00297D50">
        <w:rPr>
          <w:rFonts w:eastAsia="Times New Roman" w:cs="Arial"/>
          <w:i/>
          <w:sz w:val="24"/>
          <w:szCs w:val="24"/>
        </w:rPr>
        <w:t>et al.</w:t>
      </w:r>
    </w:p>
    <w:p w:rsidR="00297D50" w:rsidRPr="00297D50" w:rsidRDefault="00297D50" w:rsidP="00297D50">
      <w:pPr>
        <w:spacing w:after="0" w:line="240" w:lineRule="auto"/>
        <w:jc w:val="both"/>
        <w:rPr>
          <w:rFonts w:eastAsia="Times New Roman" w:cs="Arial"/>
          <w:i/>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t>In the Matter of the Application of Columbus Southern Power for Approval of its Program Portfolio Plan and Request for Expedited Consideration,</w:t>
      </w:r>
      <w:r w:rsidRPr="00297D50">
        <w:rPr>
          <w:rFonts w:eastAsia="Times New Roman" w:cs="Arial"/>
          <w:sz w:val="24"/>
          <w:szCs w:val="24"/>
        </w:rPr>
        <w:t xml:space="preserve"> PUCO Case No. 09-1089-EL-POR.</w:t>
      </w:r>
    </w:p>
    <w:p w:rsidR="00297D50" w:rsidRPr="00297D50" w:rsidRDefault="00297D50" w:rsidP="00297D50">
      <w:pPr>
        <w:spacing w:after="0" w:line="240" w:lineRule="auto"/>
        <w:jc w:val="both"/>
        <w:rPr>
          <w:rFonts w:eastAsia="Times New Roman" w:cs="Arial"/>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t>In the Matter of the Application of Ohio Power Company for Approval of its Program Portfolio Plan and Request for Expedited Consideration,</w:t>
      </w:r>
      <w:r w:rsidRPr="00297D50">
        <w:rPr>
          <w:rFonts w:eastAsia="Times New Roman" w:cs="Arial"/>
          <w:sz w:val="24"/>
          <w:szCs w:val="24"/>
        </w:rPr>
        <w:t xml:space="preserve"> PUCO Case No. 09-1090-EL-POR.</w:t>
      </w:r>
    </w:p>
    <w:p w:rsidR="00297D50" w:rsidRPr="00297D50" w:rsidRDefault="00297D50" w:rsidP="00297D50">
      <w:pPr>
        <w:spacing w:after="0" w:line="240" w:lineRule="auto"/>
        <w:jc w:val="both"/>
        <w:rPr>
          <w:rFonts w:eastAsia="Times New Roman" w:cs="Arial"/>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t>In the Matter of the Application of Ohio Edison Company, The Cleveland Electric Illuminating Company and The Toledo Edison Company for Approval of a Market Rate Offer to Conduct a Competitive Bidding Process for Standard Service Offer Electric Generation Supply, Accounting Modifications Associated with Reconciliation Mechanism, and Tariffs for Generation Service,</w:t>
      </w:r>
      <w:r w:rsidRPr="00297D50">
        <w:rPr>
          <w:rFonts w:eastAsia="Times New Roman" w:cs="Arial"/>
          <w:sz w:val="24"/>
          <w:szCs w:val="24"/>
        </w:rPr>
        <w:t xml:space="preserve"> PUCO Case No. 09-906-EL-SSO.</w:t>
      </w:r>
    </w:p>
    <w:p w:rsidR="00297D50" w:rsidRPr="00297D50" w:rsidRDefault="00297D50" w:rsidP="00297D50">
      <w:pPr>
        <w:spacing w:after="0" w:line="240" w:lineRule="auto"/>
        <w:jc w:val="both"/>
        <w:rPr>
          <w:rFonts w:eastAsia="Times New Roman" w:cs="Arial"/>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t>In the Matter of the Application of Ohio Edison Company, The Cleveland Electric Illuminating Company and The Toledo Edison Company for Authority to Establish a Standard Service Offer Pursuant to R.C. 4928.143 in the Form of an Electric Security Plan,</w:t>
      </w:r>
      <w:r w:rsidRPr="00297D50">
        <w:rPr>
          <w:rFonts w:eastAsia="Times New Roman" w:cs="Arial"/>
          <w:sz w:val="24"/>
          <w:szCs w:val="24"/>
        </w:rPr>
        <w:t xml:space="preserve"> PUCO Case No. 08-935-EL-SSO.</w:t>
      </w:r>
    </w:p>
    <w:p w:rsidR="00297D50" w:rsidRPr="00297D50" w:rsidRDefault="00297D50" w:rsidP="00297D50">
      <w:pPr>
        <w:spacing w:after="0" w:line="240" w:lineRule="auto"/>
        <w:jc w:val="both"/>
        <w:rPr>
          <w:rFonts w:eastAsia="Times New Roman" w:cs="Arial"/>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t>In the Matter of the Application of Ohio Edison Company, The Cleveland Electric Illuminating Company and The Toledo Edison Company for Approval of a Market Rate Offer to Conduct a Competitive Bidding Process for Standard Service Offer Electric Generation Supply, Accounting Modifications Associated with Reconciliation Mechanism, and Tariffs for Generation Service,</w:t>
      </w:r>
      <w:r w:rsidRPr="00297D50">
        <w:rPr>
          <w:rFonts w:eastAsia="Times New Roman" w:cs="Arial"/>
          <w:sz w:val="24"/>
          <w:szCs w:val="24"/>
        </w:rPr>
        <w:t xml:space="preserve"> PUCO Case No. 08-936-EL-SSO.</w:t>
      </w:r>
    </w:p>
    <w:p w:rsidR="00297D50" w:rsidRPr="00297D50" w:rsidRDefault="00297D50" w:rsidP="00297D50">
      <w:pPr>
        <w:spacing w:after="0" w:line="240" w:lineRule="auto"/>
        <w:jc w:val="both"/>
        <w:rPr>
          <w:rFonts w:eastAsia="Times New Roman" w:cs="Arial"/>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t>In the Matter of the Application of Colum</w:t>
      </w:r>
      <w:r>
        <w:rPr>
          <w:rFonts w:eastAsia="Times New Roman" w:cs="Arial"/>
          <w:i/>
          <w:sz w:val="24"/>
          <w:szCs w:val="24"/>
        </w:rPr>
        <w:t>bus Southern Power Company for A</w:t>
      </w:r>
      <w:r w:rsidRPr="00297D50">
        <w:rPr>
          <w:rFonts w:eastAsia="Times New Roman" w:cs="Arial"/>
          <w:i/>
          <w:sz w:val="24"/>
          <w:szCs w:val="24"/>
        </w:rPr>
        <w:t>pproval of its Electric Security Plan; an Amendment to its Corporate Separation Plan; and the Sale or Transfer of Certain Generating Assets</w:t>
      </w:r>
      <w:r>
        <w:rPr>
          <w:rFonts w:eastAsia="Times New Roman" w:cs="Arial"/>
          <w:sz w:val="24"/>
          <w:szCs w:val="24"/>
        </w:rPr>
        <w:t>, PUCO Case No</w:t>
      </w:r>
      <w:r w:rsidRPr="00297D50">
        <w:rPr>
          <w:rFonts w:eastAsia="Times New Roman" w:cs="Arial"/>
          <w:sz w:val="24"/>
          <w:szCs w:val="24"/>
        </w:rPr>
        <w:t>. 08-917-EL-SSO.</w:t>
      </w:r>
    </w:p>
    <w:p w:rsidR="00297D50" w:rsidRPr="00297D50" w:rsidRDefault="00297D50" w:rsidP="00297D50">
      <w:pPr>
        <w:spacing w:after="0" w:line="240" w:lineRule="auto"/>
        <w:jc w:val="both"/>
        <w:rPr>
          <w:rFonts w:eastAsia="Times New Roman" w:cs="Arial"/>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t>In the Matter of the Application of Ohio Power Company for Approval of its Electric Security Plan; and an Amendment to its Corporate Separation Plan,</w:t>
      </w:r>
      <w:r w:rsidRPr="00297D50">
        <w:rPr>
          <w:rFonts w:eastAsia="Times New Roman" w:cs="Arial"/>
          <w:sz w:val="24"/>
          <w:szCs w:val="24"/>
        </w:rPr>
        <w:t xml:space="preserve"> PUCO Case No. 08-918-EL-SSO.</w:t>
      </w:r>
    </w:p>
    <w:p w:rsidR="00297D50" w:rsidRPr="00297D50" w:rsidRDefault="00297D50" w:rsidP="00297D50">
      <w:pPr>
        <w:spacing w:after="0" w:line="240" w:lineRule="auto"/>
        <w:jc w:val="both"/>
        <w:rPr>
          <w:rFonts w:eastAsia="Times New Roman" w:cs="Arial"/>
          <w:sz w:val="24"/>
          <w:szCs w:val="24"/>
        </w:rPr>
      </w:pPr>
    </w:p>
    <w:p w:rsidR="00297D50" w:rsidRPr="00297D50" w:rsidRDefault="00297D50" w:rsidP="00297D50">
      <w:pPr>
        <w:spacing w:after="0" w:line="240" w:lineRule="auto"/>
        <w:jc w:val="both"/>
        <w:rPr>
          <w:rFonts w:eastAsia="Times New Roman" w:cs="Arial"/>
          <w:sz w:val="24"/>
          <w:szCs w:val="24"/>
        </w:rPr>
      </w:pPr>
      <w:r w:rsidRPr="00297D50">
        <w:rPr>
          <w:rFonts w:eastAsia="Times New Roman" w:cs="Arial"/>
          <w:i/>
          <w:sz w:val="24"/>
          <w:szCs w:val="24"/>
        </w:rPr>
        <w:lastRenderedPageBreak/>
        <w:t>In the Matter of the Application of Duke Energy Ohio for Approval of an Electric Security Plan,</w:t>
      </w:r>
      <w:r w:rsidRPr="00297D50">
        <w:rPr>
          <w:rFonts w:eastAsia="Times New Roman" w:cs="Arial"/>
          <w:sz w:val="24"/>
          <w:szCs w:val="24"/>
        </w:rPr>
        <w:t xml:space="preserve"> PUCO Case No. 08-920-EL-SSO.</w:t>
      </w:r>
    </w:p>
    <w:p w:rsidR="00297D50" w:rsidRPr="00297D50" w:rsidRDefault="00297D50" w:rsidP="00297D50">
      <w:pPr>
        <w:spacing w:after="0" w:line="240" w:lineRule="auto"/>
        <w:jc w:val="both"/>
        <w:rPr>
          <w:rFonts w:eastAsia="Times New Roman" w:cs="Arial"/>
          <w:sz w:val="24"/>
          <w:szCs w:val="24"/>
        </w:rPr>
      </w:pPr>
    </w:p>
    <w:p w:rsidR="00297D50" w:rsidRPr="00297D50" w:rsidRDefault="00297D50" w:rsidP="00297D50">
      <w:pPr>
        <w:autoSpaceDE w:val="0"/>
        <w:autoSpaceDN w:val="0"/>
        <w:adjustRightInd w:val="0"/>
        <w:spacing w:after="0" w:line="240" w:lineRule="auto"/>
        <w:jc w:val="both"/>
        <w:rPr>
          <w:rFonts w:eastAsia="Times New Roman" w:cs="Arial"/>
          <w:sz w:val="24"/>
          <w:szCs w:val="24"/>
        </w:rPr>
      </w:pPr>
      <w:r w:rsidRPr="00297D50">
        <w:rPr>
          <w:rFonts w:eastAsia="Times New Roman" w:cs="Arial"/>
          <w:i/>
          <w:sz w:val="24"/>
          <w:szCs w:val="24"/>
        </w:rPr>
        <w:t>In the Matter of the Application of The Dayton Power and Light Company for Approval of Its Electric Security Plan,</w:t>
      </w:r>
      <w:r w:rsidRPr="00297D50">
        <w:rPr>
          <w:rFonts w:eastAsia="Times New Roman" w:cs="Arial"/>
          <w:sz w:val="24"/>
          <w:szCs w:val="24"/>
        </w:rPr>
        <w:t xml:space="preserve"> PUCO Case No. 08-1094-EL-SSO.</w:t>
      </w:r>
    </w:p>
    <w:p w:rsidR="0073027B" w:rsidRDefault="0073027B" w:rsidP="00297D50">
      <w:pPr>
        <w:pStyle w:val="Title"/>
        <w:tabs>
          <w:tab w:val="left" w:pos="5040"/>
          <w:tab w:val="decimal" w:pos="6840"/>
          <w:tab w:val="right" w:pos="9360"/>
        </w:tabs>
        <w:jc w:val="both"/>
        <w:rPr>
          <w:b w:val="0"/>
          <w:sz w:val="24"/>
        </w:rPr>
        <w:sectPr w:rsidR="0073027B" w:rsidSect="00297D50">
          <w:pgSz w:w="12240" w:h="15840"/>
          <w:pgMar w:top="1440" w:right="1440" w:bottom="1138" w:left="1440" w:header="720" w:footer="720" w:gutter="0"/>
          <w:cols w:space="720"/>
        </w:sectPr>
      </w:pPr>
    </w:p>
    <w:tbl>
      <w:tblPr>
        <w:tblW w:w="9645" w:type="dxa"/>
        <w:tblInd w:w="93" w:type="dxa"/>
        <w:tblLook w:val="04A0" w:firstRow="1" w:lastRow="0" w:firstColumn="1" w:lastColumn="0" w:noHBand="0" w:noVBand="1"/>
      </w:tblPr>
      <w:tblGrid>
        <w:gridCol w:w="1095"/>
        <w:gridCol w:w="1170"/>
        <w:gridCol w:w="270"/>
        <w:gridCol w:w="236"/>
        <w:gridCol w:w="34"/>
        <w:gridCol w:w="236"/>
        <w:gridCol w:w="394"/>
        <w:gridCol w:w="2160"/>
        <w:gridCol w:w="2160"/>
        <w:gridCol w:w="1890"/>
      </w:tblGrid>
      <w:tr w:rsidR="0073027B" w:rsidRPr="0073027B" w:rsidTr="00D17E8B">
        <w:trPr>
          <w:trHeight w:val="372"/>
        </w:trPr>
        <w:tc>
          <w:tcPr>
            <w:tcW w:w="2535" w:type="dxa"/>
            <w:gridSpan w:val="3"/>
            <w:tcBorders>
              <w:top w:val="nil"/>
              <w:left w:val="nil"/>
              <w:bottom w:val="nil"/>
              <w:right w:val="nil"/>
            </w:tcBorders>
            <w:shd w:val="clear" w:color="auto" w:fill="auto"/>
            <w:noWrap/>
            <w:vAlign w:val="bottom"/>
            <w:hideMark/>
          </w:tcPr>
          <w:p w:rsidR="0073027B" w:rsidRPr="0073027B" w:rsidRDefault="00D17E8B" w:rsidP="0073027B">
            <w:pPr>
              <w:spacing w:after="0" w:line="240" w:lineRule="auto"/>
              <w:rPr>
                <w:rFonts w:ascii="Arial" w:eastAsia="Times New Roman" w:hAnsi="Arial" w:cs="Arial"/>
                <w:b/>
                <w:color w:val="000000"/>
                <w:sz w:val="24"/>
                <w:szCs w:val="24"/>
              </w:rPr>
            </w:pPr>
            <w:r w:rsidRPr="00D17E8B">
              <w:rPr>
                <w:rFonts w:ascii="Arial" w:eastAsia="Times New Roman" w:hAnsi="Arial" w:cs="Arial"/>
                <w:b/>
                <w:color w:val="000000"/>
                <w:sz w:val="24"/>
                <w:szCs w:val="24"/>
              </w:rPr>
              <w:lastRenderedPageBreak/>
              <w:t>EXHIBIT KMM-2</w:t>
            </w:r>
          </w:p>
        </w:tc>
        <w:tc>
          <w:tcPr>
            <w:tcW w:w="270" w:type="dxa"/>
            <w:gridSpan w:val="2"/>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790" w:type="dxa"/>
            <w:gridSpan w:val="3"/>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eastAsia="Times New Roman" w:cstheme="minorHAnsi"/>
                <w:b/>
                <w:color w:val="000000"/>
                <w:sz w:val="24"/>
                <w:szCs w:val="24"/>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r>
      <w:tr w:rsidR="0073027B" w:rsidRPr="0073027B" w:rsidTr="00D17E8B">
        <w:trPr>
          <w:trHeight w:val="300"/>
        </w:trPr>
        <w:tc>
          <w:tcPr>
            <w:tcW w:w="2535" w:type="dxa"/>
            <w:gridSpan w:val="3"/>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70" w:type="dxa"/>
            <w:gridSpan w:val="2"/>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554" w:type="dxa"/>
            <w:gridSpan w:val="2"/>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r>
      <w:tr w:rsidR="0073027B" w:rsidRPr="0073027B" w:rsidTr="00D17E8B">
        <w:trPr>
          <w:trHeight w:val="289"/>
        </w:trPr>
        <w:tc>
          <w:tcPr>
            <w:tcW w:w="5595" w:type="dxa"/>
            <w:gridSpan w:val="8"/>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Intercontinental Exchange Trade Data</w:t>
            </w: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r>
      <w:tr w:rsidR="0073027B" w:rsidRPr="0073027B" w:rsidTr="00D17E8B">
        <w:trPr>
          <w:trHeight w:val="289"/>
        </w:trPr>
        <w:tc>
          <w:tcPr>
            <w:tcW w:w="3435" w:type="dxa"/>
            <w:gridSpan w:val="7"/>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Trade Date June 10, 2013</w:t>
            </w: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r>
      <w:tr w:rsidR="0073027B" w:rsidRPr="0073027B" w:rsidTr="00D17E8B">
        <w:trPr>
          <w:trHeight w:val="300"/>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r>
      <w:tr w:rsidR="0073027B" w:rsidRPr="0073027B" w:rsidTr="00D17E8B">
        <w:trPr>
          <w:trHeight w:val="1740"/>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Month</w:t>
            </w:r>
          </w:p>
        </w:tc>
        <w:tc>
          <w:tcPr>
            <w:tcW w:w="1170" w:type="dxa"/>
            <w:tcBorders>
              <w:top w:val="nil"/>
              <w:left w:val="nil"/>
              <w:bottom w:val="nil"/>
              <w:right w:val="nil"/>
            </w:tcBorders>
            <w:shd w:val="clear" w:color="auto" w:fill="auto"/>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On Peak Hours</w:t>
            </w:r>
          </w:p>
        </w:tc>
        <w:tc>
          <w:tcPr>
            <w:tcW w:w="1170" w:type="dxa"/>
            <w:gridSpan w:val="5"/>
            <w:tcBorders>
              <w:top w:val="nil"/>
              <w:left w:val="nil"/>
              <w:bottom w:val="nil"/>
              <w:right w:val="nil"/>
            </w:tcBorders>
            <w:shd w:val="clear" w:color="auto" w:fill="auto"/>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Off Peak Hours</w:t>
            </w:r>
          </w:p>
        </w:tc>
        <w:tc>
          <w:tcPr>
            <w:tcW w:w="2160" w:type="dxa"/>
            <w:tcBorders>
              <w:top w:val="nil"/>
              <w:left w:val="nil"/>
              <w:bottom w:val="nil"/>
              <w:right w:val="nil"/>
            </w:tcBorders>
            <w:shd w:val="clear" w:color="auto" w:fill="auto"/>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AE</w:t>
            </w:r>
            <w:r w:rsidR="009B68E4">
              <w:rPr>
                <w:rFonts w:ascii="Calibri" w:eastAsia="Times New Roman" w:hAnsi="Calibri" w:cs="Times New Roman"/>
                <w:color w:val="000000"/>
              </w:rPr>
              <w:t>P-Dayton Hub On Peak Price per M</w:t>
            </w:r>
            <w:r w:rsidRPr="0073027B">
              <w:rPr>
                <w:rFonts w:ascii="Calibri" w:eastAsia="Times New Roman" w:hAnsi="Calibri" w:cs="Times New Roman"/>
                <w:color w:val="000000"/>
              </w:rPr>
              <w:t>WH</w:t>
            </w:r>
          </w:p>
        </w:tc>
        <w:tc>
          <w:tcPr>
            <w:tcW w:w="2160" w:type="dxa"/>
            <w:tcBorders>
              <w:top w:val="nil"/>
              <w:left w:val="nil"/>
              <w:bottom w:val="nil"/>
              <w:right w:val="nil"/>
            </w:tcBorders>
            <w:shd w:val="clear" w:color="auto" w:fill="auto"/>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AEP-Dayton Hub Off Peak Price per MWH</w:t>
            </w:r>
          </w:p>
        </w:tc>
        <w:tc>
          <w:tcPr>
            <w:tcW w:w="1890" w:type="dxa"/>
            <w:tcBorders>
              <w:top w:val="nil"/>
              <w:left w:val="nil"/>
              <w:bottom w:val="nil"/>
              <w:right w:val="nil"/>
            </w:tcBorders>
            <w:shd w:val="clear" w:color="auto" w:fill="auto"/>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Weighted Average Price per MWH</w:t>
            </w:r>
          </w:p>
        </w:tc>
      </w:tr>
      <w:tr w:rsidR="0073027B" w:rsidRPr="0073027B" w:rsidTr="00D17E8B">
        <w:trPr>
          <w:trHeight w:val="289"/>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Jul-13</w:t>
            </w: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352</w:t>
            </w: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392</w:t>
            </w: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$54.05</w:t>
            </w: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$31.85</w:t>
            </w: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$42.35</w:t>
            </w:r>
          </w:p>
        </w:tc>
      </w:tr>
      <w:tr w:rsidR="0073027B" w:rsidRPr="0073027B" w:rsidTr="00D17E8B">
        <w:trPr>
          <w:trHeight w:val="289"/>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Aug-13</w:t>
            </w: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352</w:t>
            </w: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392</w:t>
            </w: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$50.15</w:t>
            </w: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$29.95</w:t>
            </w: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$39.51</w:t>
            </w:r>
          </w:p>
        </w:tc>
      </w:tr>
      <w:tr w:rsidR="0073027B" w:rsidRPr="0073027B" w:rsidTr="00D17E8B">
        <w:trPr>
          <w:trHeight w:val="289"/>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Sep-13</w:t>
            </w: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320</w:t>
            </w: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400</w:t>
            </w: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$40.60</w:t>
            </w: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$28.55</w:t>
            </w: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$33.91</w:t>
            </w:r>
          </w:p>
        </w:tc>
      </w:tr>
      <w:tr w:rsidR="0073027B" w:rsidRPr="0073027B" w:rsidTr="00D17E8B">
        <w:trPr>
          <w:trHeight w:val="300"/>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r>
      <w:tr w:rsidR="0073027B" w:rsidRPr="0073027B" w:rsidTr="00D17E8B">
        <w:trPr>
          <w:trHeight w:val="289"/>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6660" w:type="dxa"/>
            <w:gridSpan w:val="8"/>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Weighted Average for July to Sept. 2013</w:t>
            </w: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$38.64</w:t>
            </w:r>
          </w:p>
        </w:tc>
      </w:tr>
      <w:tr w:rsidR="0073027B" w:rsidRPr="0073027B" w:rsidTr="00D17E8B">
        <w:trPr>
          <w:trHeight w:val="300"/>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r>
      <w:tr w:rsidR="0073027B" w:rsidRPr="0073027B" w:rsidTr="00D17E8B">
        <w:trPr>
          <w:trHeight w:val="289"/>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0A5DB6" w:rsidP="0073027B">
            <w:pPr>
              <w:spacing w:after="0" w:line="240" w:lineRule="auto"/>
              <w:rPr>
                <w:rFonts w:ascii="Calibri" w:eastAsia="Times New Roman" w:hAnsi="Calibri" w:cs="Times New Roman"/>
                <w:color w:val="000000"/>
              </w:rPr>
            </w:pPr>
            <w:r>
              <w:rPr>
                <w:rFonts w:ascii="Calibri" w:eastAsia="Times New Roman" w:hAnsi="Calibri" w:cs="Times New Roman"/>
                <w:color w:val="000000"/>
              </w:rPr>
              <w:t>Projected  M</w:t>
            </w:r>
            <w:r w:rsidR="0073027B" w:rsidRPr="0073027B">
              <w:rPr>
                <w:rFonts w:ascii="Calibri" w:eastAsia="Times New Roman" w:hAnsi="Calibri" w:cs="Times New Roman"/>
                <w:color w:val="000000"/>
              </w:rPr>
              <w:t>arkup</w:t>
            </w: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20% to 25%</w:t>
            </w:r>
          </w:p>
        </w:tc>
      </w:tr>
      <w:tr w:rsidR="0073027B" w:rsidRPr="0073027B" w:rsidTr="00D17E8B">
        <w:trPr>
          <w:trHeight w:val="300"/>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r>
      <w:tr w:rsidR="0073027B" w:rsidRPr="0073027B" w:rsidTr="00D17E8B">
        <w:trPr>
          <w:trHeight w:val="289"/>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4320" w:type="dxa"/>
            <w:gridSpan w:val="2"/>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r w:rsidRPr="0073027B">
              <w:rPr>
                <w:rFonts w:ascii="Calibri" w:eastAsia="Times New Roman" w:hAnsi="Calibri" w:cs="Times New Roman"/>
                <w:color w:val="000000"/>
              </w:rPr>
              <w:t>Forecast Bid Range</w:t>
            </w:r>
          </w:p>
        </w:tc>
        <w:tc>
          <w:tcPr>
            <w:tcW w:w="1890" w:type="dxa"/>
            <w:tcBorders>
              <w:top w:val="nil"/>
              <w:left w:val="nil"/>
              <w:bottom w:val="nil"/>
              <w:right w:val="nil"/>
            </w:tcBorders>
            <w:shd w:val="clear" w:color="auto" w:fill="auto"/>
            <w:noWrap/>
            <w:vAlign w:val="bottom"/>
            <w:hideMark/>
          </w:tcPr>
          <w:p w:rsidR="0073027B" w:rsidRPr="0073027B" w:rsidRDefault="0073027B" w:rsidP="000A5DB6">
            <w:pPr>
              <w:spacing w:after="0" w:line="240" w:lineRule="auto"/>
              <w:jc w:val="right"/>
              <w:rPr>
                <w:rFonts w:ascii="Calibri" w:eastAsia="Times New Roman" w:hAnsi="Calibri" w:cs="Times New Roman"/>
                <w:color w:val="000000"/>
              </w:rPr>
            </w:pPr>
            <w:r w:rsidRPr="0073027B">
              <w:rPr>
                <w:rFonts w:ascii="Calibri" w:eastAsia="Times New Roman" w:hAnsi="Calibri" w:cs="Times New Roman"/>
                <w:color w:val="000000"/>
              </w:rPr>
              <w:t>$46.37 - $48.30</w:t>
            </w:r>
          </w:p>
        </w:tc>
      </w:tr>
      <w:tr w:rsidR="0073027B" w:rsidRPr="0073027B" w:rsidTr="00D17E8B">
        <w:trPr>
          <w:trHeight w:val="300"/>
        </w:trPr>
        <w:tc>
          <w:tcPr>
            <w:tcW w:w="1095"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170" w:type="dxa"/>
            <w:gridSpan w:val="5"/>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73027B" w:rsidRPr="0073027B" w:rsidRDefault="0073027B" w:rsidP="0073027B">
            <w:pPr>
              <w:spacing w:after="0" w:line="240" w:lineRule="auto"/>
              <w:rPr>
                <w:rFonts w:ascii="Calibri" w:eastAsia="Times New Roman" w:hAnsi="Calibri" w:cs="Times New Roman"/>
                <w:color w:val="000000"/>
              </w:rPr>
            </w:pPr>
          </w:p>
        </w:tc>
      </w:tr>
    </w:tbl>
    <w:p w:rsidR="00662D34" w:rsidRPr="00297D50" w:rsidRDefault="00662D34" w:rsidP="00297D50">
      <w:pPr>
        <w:pStyle w:val="Title"/>
        <w:tabs>
          <w:tab w:val="left" w:pos="5040"/>
          <w:tab w:val="decimal" w:pos="6840"/>
          <w:tab w:val="right" w:pos="9360"/>
        </w:tabs>
        <w:jc w:val="both"/>
        <w:rPr>
          <w:b w:val="0"/>
          <w:sz w:val="24"/>
        </w:rPr>
      </w:pPr>
    </w:p>
    <w:sectPr w:rsidR="00662D34" w:rsidRPr="00297D50" w:rsidSect="00297D50">
      <w:pgSz w:w="12240" w:h="15840"/>
      <w:pgMar w:top="1440" w:right="1440" w:bottom="113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E2" w:rsidRDefault="003959E2">
      <w:pPr>
        <w:spacing w:after="0" w:line="240" w:lineRule="auto"/>
      </w:pPr>
      <w:r>
        <w:separator/>
      </w:r>
    </w:p>
  </w:endnote>
  <w:endnote w:type="continuationSeparator" w:id="0">
    <w:p w:rsidR="003959E2" w:rsidRDefault="0039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59" w:rsidRDefault="00D96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B9" w:rsidRDefault="00D96359" w:rsidP="008A5EB9">
    <w:pPr>
      <w:pStyle w:val="Footer"/>
      <w:rPr>
        <w:noProof/>
        <w:sz w:val="16"/>
      </w:rPr>
    </w:pPr>
    <w:r w:rsidRPr="00D96359">
      <w:rPr>
        <w:noProof/>
        <w:sz w:val="16"/>
      </w:rPr>
      <w:t>{C40852:2 }</w:t>
    </w:r>
  </w:p>
  <w:p w:rsidR="00413CE8" w:rsidRPr="00D17E8B" w:rsidRDefault="00D96359">
    <w:pPr>
      <w:pStyle w:val="Footer"/>
      <w:jc w:val="center"/>
    </w:pPr>
    <w:sdt>
      <w:sdtPr>
        <w:id w:val="-368070357"/>
        <w:docPartObj>
          <w:docPartGallery w:val="Page Numbers (Bottom of Page)"/>
          <w:docPartUnique/>
        </w:docPartObj>
      </w:sdtPr>
      <w:sdtEndPr>
        <w:rPr>
          <w:noProof/>
        </w:rPr>
      </w:sdtEndPr>
      <w:sdtContent>
        <w:r w:rsidR="00413CE8" w:rsidRPr="00D17E8B">
          <w:fldChar w:fldCharType="begin"/>
        </w:r>
        <w:r w:rsidR="00413CE8" w:rsidRPr="00D17E8B">
          <w:instrText xml:space="preserve"> PAGE   \* MERGEFORMAT </w:instrText>
        </w:r>
        <w:r w:rsidR="00413CE8" w:rsidRPr="00D17E8B">
          <w:fldChar w:fldCharType="separate"/>
        </w:r>
        <w:r>
          <w:rPr>
            <w:noProof/>
          </w:rPr>
          <w:t>11</w:t>
        </w:r>
        <w:r w:rsidR="00413CE8" w:rsidRPr="00D17E8B">
          <w:rPr>
            <w:noProof/>
          </w:rPr>
          <w:fldChar w:fldCharType="end"/>
        </w:r>
      </w:sdtContent>
    </w:sdt>
  </w:p>
  <w:p w:rsidR="00413CE8" w:rsidRPr="00D17E8B" w:rsidRDefault="00413C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8B" w:rsidRPr="00D17E8B" w:rsidRDefault="00D96359">
    <w:pPr>
      <w:pStyle w:val="Footer"/>
    </w:pPr>
    <w:r w:rsidRPr="00D96359">
      <w:rPr>
        <w:noProof/>
        <w:sz w:val="16"/>
      </w:rPr>
      <w:t>{C40852:2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96" w:rsidRDefault="00EA57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96" w:rsidRPr="00D17E8B" w:rsidRDefault="00D96359">
    <w:pPr>
      <w:pStyle w:val="Footer"/>
    </w:pPr>
    <w:r w:rsidRPr="00D96359">
      <w:rPr>
        <w:noProof/>
        <w:sz w:val="16"/>
      </w:rPr>
      <w:t>{C40852:2 }</w:t>
    </w:r>
    <w:r w:rsidR="00EA5796" w:rsidRPr="00D17E8B">
      <w:rPr>
        <w:noProof/>
        <w:sz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96" w:rsidRPr="0080115E" w:rsidRDefault="00EA5796">
    <w:pPr>
      <w:pStyle w:val="Footer"/>
    </w:pPr>
    <w:r w:rsidRPr="007340CF">
      <w:rPr>
        <w:noProof/>
        <w:sz w:val="16"/>
      </w:rPr>
      <w:t>{C38644:4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E2" w:rsidRDefault="003959E2">
      <w:pPr>
        <w:spacing w:after="0" w:line="240" w:lineRule="auto"/>
        <w:rPr>
          <w:noProof/>
        </w:rPr>
      </w:pPr>
      <w:r>
        <w:rPr>
          <w:noProof/>
        </w:rPr>
        <w:separator/>
      </w:r>
    </w:p>
  </w:footnote>
  <w:footnote w:type="continuationSeparator" w:id="0">
    <w:p w:rsidR="003959E2" w:rsidRDefault="003959E2">
      <w:pPr>
        <w:spacing w:after="0" w:line="240" w:lineRule="auto"/>
      </w:pPr>
      <w:r>
        <w:continuationSeparator/>
      </w:r>
    </w:p>
  </w:footnote>
  <w:footnote w:id="1">
    <w:p w:rsidR="008E710B" w:rsidRDefault="008E710B" w:rsidP="00732BEB">
      <w:pPr>
        <w:pStyle w:val="FootnoteText"/>
        <w:jc w:val="both"/>
      </w:pPr>
      <w:r>
        <w:rPr>
          <w:rStyle w:val="FootnoteReference"/>
        </w:rPr>
        <w:footnoteRef/>
      </w:r>
      <w:r>
        <w:t xml:space="preserve"> Formerly known as the Midwest Independent Transmission System Operator, Inc. or Midwest ISO.</w:t>
      </w:r>
    </w:p>
    <w:p w:rsidR="008E710B" w:rsidRDefault="008E710B" w:rsidP="00732BEB">
      <w:pPr>
        <w:pStyle w:val="FootnoteText"/>
        <w:jc w:val="both"/>
      </w:pPr>
    </w:p>
  </w:footnote>
  <w:footnote w:id="2">
    <w:p w:rsidR="00EA5796" w:rsidRDefault="00EA5796" w:rsidP="00732BEB">
      <w:pPr>
        <w:pStyle w:val="FootnoteText"/>
        <w:jc w:val="both"/>
      </w:pPr>
      <w:r>
        <w:rPr>
          <w:rStyle w:val="FootnoteReference"/>
        </w:rPr>
        <w:footnoteRef/>
      </w:r>
      <w:r>
        <w:t xml:space="preserve"> By entry issued March 7, 2012</w:t>
      </w:r>
      <w:r w:rsidR="008E710B">
        <w:t>,</w:t>
      </w:r>
      <w:r>
        <w:t xml:space="preserve"> the Commission approved the merger of Columbus Southern Power Company into Ohio Power Company.  </w:t>
      </w:r>
      <w:r w:rsidRPr="00405763">
        <w:rPr>
          <w:i/>
        </w:rPr>
        <w:t xml:space="preserve">In the Matter of the Application of Ohio Power Company and Columbus Southern Power Company for Authority to Merge and Related Approvals, </w:t>
      </w:r>
      <w:r w:rsidR="00B5246D">
        <w:t>Case No. 10-2376-EL</w:t>
      </w:r>
      <w:r w:rsidR="008E710B">
        <w:t>-UNC.</w:t>
      </w:r>
    </w:p>
    <w:p w:rsidR="008E710B" w:rsidRDefault="008E710B" w:rsidP="00732BEB">
      <w:pPr>
        <w:pStyle w:val="FootnoteText"/>
        <w:jc w:val="both"/>
      </w:pPr>
    </w:p>
  </w:footnote>
  <w:footnote w:id="3">
    <w:p w:rsidR="004D7E76" w:rsidRDefault="004D7E76" w:rsidP="004D7E76">
      <w:pPr>
        <w:pStyle w:val="FootnoteText"/>
        <w:jc w:val="both"/>
      </w:pPr>
      <w:r>
        <w:rPr>
          <w:rStyle w:val="FootnoteReference"/>
        </w:rPr>
        <w:footnoteRef/>
      </w:r>
      <w:r>
        <w:t xml:space="preserve"> </w:t>
      </w:r>
      <w:r w:rsidRPr="00C16266">
        <w:rPr>
          <w:i/>
        </w:rPr>
        <w:t>In the Matter of the Application of Columbus Southern Power Company and Ohio Power Company for Authority to Establish a Standard Service Offer Pursuant to §4928.143, Ohio Rev. Code, in the Form of an Electric Security Plan</w:t>
      </w:r>
      <w:r>
        <w:t xml:space="preserve">, Case Nos. 11-346-EL-SSO, </w:t>
      </w:r>
      <w:r w:rsidRPr="00C16266">
        <w:rPr>
          <w:i/>
        </w:rPr>
        <w:t>et al</w:t>
      </w:r>
      <w:r>
        <w:t xml:space="preserve">., </w:t>
      </w:r>
      <w:r w:rsidR="004B7F33">
        <w:t>(“</w:t>
      </w:r>
      <w:r w:rsidR="004B7F33" w:rsidRPr="004B7F33">
        <w:rPr>
          <w:i/>
        </w:rPr>
        <w:t>ESP II</w:t>
      </w:r>
      <w:r w:rsidR="004B7F33">
        <w:t xml:space="preserve">”), </w:t>
      </w:r>
      <w:r>
        <w:t>Opinion and Order (Aug. 8, 2012) (</w:t>
      </w:r>
      <w:r w:rsidRPr="00C16266">
        <w:rPr>
          <w:i/>
        </w:rPr>
        <w:t xml:space="preserve">“ESP </w:t>
      </w:r>
      <w:r>
        <w:rPr>
          <w:i/>
        </w:rPr>
        <w:t>II Or</w:t>
      </w:r>
      <w:r w:rsidRPr="00C16266">
        <w:rPr>
          <w:i/>
        </w:rPr>
        <w:t>der”</w:t>
      </w:r>
      <w:r>
        <w:t>).</w:t>
      </w:r>
    </w:p>
    <w:p w:rsidR="004D7E76" w:rsidRDefault="004D7E76">
      <w:pPr>
        <w:pStyle w:val="FootnoteText"/>
      </w:pPr>
    </w:p>
  </w:footnote>
  <w:footnote w:id="4">
    <w:p w:rsidR="00181BAA" w:rsidRDefault="00181BAA" w:rsidP="00732BEB">
      <w:pPr>
        <w:pStyle w:val="FootnoteText"/>
        <w:jc w:val="both"/>
      </w:pPr>
      <w:r w:rsidRPr="007A4686">
        <w:rPr>
          <w:rStyle w:val="FootnoteReference"/>
        </w:rPr>
        <w:footnoteRef/>
      </w:r>
      <w:r w:rsidRPr="007A4686">
        <w:t xml:space="preserve"> </w:t>
      </w:r>
      <w:r w:rsidR="004B7F33" w:rsidRPr="004B7F33">
        <w:rPr>
          <w:i/>
        </w:rPr>
        <w:t>ESP II</w:t>
      </w:r>
      <w:r w:rsidR="004B7F33">
        <w:t xml:space="preserve">, </w:t>
      </w:r>
      <w:r w:rsidRPr="007A4686">
        <w:t xml:space="preserve">AEP-Ohio Ex. </w:t>
      </w:r>
      <w:r w:rsidR="007A4686" w:rsidRPr="007A4686">
        <w:t>101</w:t>
      </w:r>
      <w:r w:rsidRPr="007A4686">
        <w:t xml:space="preserve"> at 20-21 (Powers Testimony).</w:t>
      </w:r>
    </w:p>
    <w:p w:rsidR="008E710B" w:rsidRDefault="008E710B" w:rsidP="00732BEB">
      <w:pPr>
        <w:pStyle w:val="FootnoteText"/>
        <w:jc w:val="both"/>
      </w:pPr>
    </w:p>
  </w:footnote>
  <w:footnote w:id="5">
    <w:p w:rsidR="00181BAA" w:rsidRDefault="00181BAA" w:rsidP="00732BEB">
      <w:pPr>
        <w:pStyle w:val="FootnoteText"/>
        <w:jc w:val="both"/>
      </w:pPr>
      <w:r>
        <w:rPr>
          <w:rStyle w:val="FootnoteReference"/>
        </w:rPr>
        <w:footnoteRef/>
      </w:r>
      <w:r>
        <w:t xml:space="preserve"> </w:t>
      </w:r>
      <w:r w:rsidRPr="008E710B">
        <w:rPr>
          <w:i/>
        </w:rPr>
        <w:t>Id.</w:t>
      </w:r>
      <w:r>
        <w:t xml:space="preserve"> at 21.</w:t>
      </w:r>
    </w:p>
    <w:p w:rsidR="008E710B" w:rsidRDefault="008E710B" w:rsidP="00732BEB">
      <w:pPr>
        <w:pStyle w:val="FootnoteText"/>
        <w:jc w:val="both"/>
      </w:pPr>
    </w:p>
  </w:footnote>
  <w:footnote w:id="6">
    <w:p w:rsidR="001F7DAF" w:rsidRDefault="001F7DAF" w:rsidP="004A36B7">
      <w:pPr>
        <w:pStyle w:val="FootnoteText"/>
        <w:jc w:val="both"/>
      </w:pPr>
      <w:r>
        <w:rPr>
          <w:rStyle w:val="FootnoteReference"/>
        </w:rPr>
        <w:footnoteRef/>
      </w:r>
      <w:r>
        <w:t xml:space="preserve"> Supplement to Application at 3 (Feb. 11, 2013).</w:t>
      </w:r>
    </w:p>
    <w:p w:rsidR="004A36B7" w:rsidRDefault="004A36B7" w:rsidP="004A36B7">
      <w:pPr>
        <w:pStyle w:val="FootnoteText"/>
        <w:jc w:val="both"/>
      </w:pPr>
    </w:p>
  </w:footnote>
  <w:footnote w:id="7">
    <w:p w:rsidR="004E0549" w:rsidRDefault="004E0549" w:rsidP="00732BEB">
      <w:pPr>
        <w:pStyle w:val="FootnoteText"/>
        <w:jc w:val="both"/>
      </w:pPr>
      <w:r>
        <w:rPr>
          <w:rStyle w:val="FootnoteReference"/>
        </w:rPr>
        <w:footnoteRef/>
      </w:r>
      <w:r>
        <w:t xml:space="preserve"> </w:t>
      </w:r>
      <w:r w:rsidR="003606B8">
        <w:rPr>
          <w:i/>
        </w:rPr>
        <w:t>ESP II Order</w:t>
      </w:r>
      <w:r>
        <w:t xml:space="preserve"> at 76.</w:t>
      </w:r>
    </w:p>
    <w:p w:rsidR="006B5734" w:rsidRDefault="006B5734" w:rsidP="00732BEB">
      <w:pPr>
        <w:pStyle w:val="FootnoteText"/>
        <w:jc w:val="both"/>
      </w:pPr>
    </w:p>
  </w:footnote>
  <w:footnote w:id="8">
    <w:p w:rsidR="00C12455" w:rsidRDefault="00C12455" w:rsidP="00732BEB">
      <w:pPr>
        <w:pStyle w:val="FootnoteText"/>
        <w:jc w:val="both"/>
      </w:pPr>
      <w:r>
        <w:rPr>
          <w:rStyle w:val="FootnoteReference"/>
        </w:rPr>
        <w:footnoteRef/>
      </w:r>
      <w:r>
        <w:t xml:space="preserve"> Prior to the start of the auction</w:t>
      </w:r>
      <w:r w:rsidR="004A5DC2">
        <w:t>,</w:t>
      </w:r>
      <w:r>
        <w:t xml:space="preserve"> qualified bidders submit indicative offers identifying the number of tranches they would be willing to supply at a minimum and maximum offer price. </w:t>
      </w:r>
      <w:r w:rsidR="004A5DC2">
        <w:t xml:space="preserve"> </w:t>
      </w:r>
      <w:r>
        <w:t>The auction manager uses information provided by the indicative offers to guide the selection of the a</w:t>
      </w:r>
      <w:r w:rsidR="00B5246D">
        <w:t>uction starting price.</w:t>
      </w:r>
    </w:p>
    <w:p w:rsidR="00B5246D" w:rsidRDefault="00B5246D" w:rsidP="00732BEB">
      <w:pPr>
        <w:pStyle w:val="FootnoteText"/>
        <w:jc w:val="both"/>
      </w:pPr>
    </w:p>
  </w:footnote>
  <w:footnote w:id="9">
    <w:p w:rsidR="003F2F60" w:rsidRDefault="003F2F60" w:rsidP="00732BEB">
      <w:pPr>
        <w:pStyle w:val="FootnoteText"/>
        <w:jc w:val="both"/>
        <w:rPr>
          <w:rFonts w:eastAsia="Times New Roman"/>
          <w:szCs w:val="24"/>
        </w:rPr>
      </w:pPr>
      <w:r>
        <w:rPr>
          <w:rStyle w:val="FootnoteReference"/>
        </w:rPr>
        <w:footnoteRef/>
      </w:r>
      <w:r>
        <w:t xml:space="preserve"> See, for example, </w:t>
      </w:r>
      <w:r w:rsidRPr="00BD3060">
        <w:rPr>
          <w:rFonts w:eastAsia="Times New Roman"/>
          <w:i/>
          <w:szCs w:val="24"/>
        </w:rPr>
        <w:t>In the Matter of the Application of The Dayton Power and Light Company</w:t>
      </w:r>
      <w:r>
        <w:rPr>
          <w:rFonts w:eastAsia="Times New Roman"/>
          <w:i/>
          <w:szCs w:val="24"/>
        </w:rPr>
        <w:t xml:space="preserve"> </w:t>
      </w:r>
      <w:r w:rsidRPr="00BD3060">
        <w:rPr>
          <w:rFonts w:eastAsia="Times New Roman"/>
          <w:i/>
          <w:szCs w:val="24"/>
        </w:rPr>
        <w:t>for Approval of Its Market Rate Offer</w:t>
      </w:r>
      <w:r>
        <w:rPr>
          <w:rFonts w:eastAsia="Times New Roman"/>
          <w:szCs w:val="24"/>
        </w:rPr>
        <w:t>, PUCO Case No</w:t>
      </w:r>
      <w:r w:rsidR="00B5246D">
        <w:rPr>
          <w:rFonts w:eastAsia="Times New Roman"/>
          <w:szCs w:val="24"/>
        </w:rPr>
        <w:t>s</w:t>
      </w:r>
      <w:r>
        <w:rPr>
          <w:rFonts w:eastAsia="Times New Roman"/>
          <w:szCs w:val="24"/>
        </w:rPr>
        <w:t xml:space="preserve">. 12-426-EL-SSO, </w:t>
      </w:r>
      <w:r w:rsidRPr="00B5246D">
        <w:rPr>
          <w:rFonts w:eastAsia="Times New Roman"/>
          <w:i/>
          <w:szCs w:val="24"/>
        </w:rPr>
        <w:t>et al.</w:t>
      </w:r>
      <w:r>
        <w:rPr>
          <w:rFonts w:eastAsia="Times New Roman"/>
          <w:szCs w:val="24"/>
        </w:rPr>
        <w:t xml:space="preserve">, DP&amp;L Ex. 3 at 8. </w:t>
      </w:r>
      <w:r w:rsidR="00B5246D">
        <w:rPr>
          <w:rFonts w:eastAsia="Times New Roman"/>
          <w:szCs w:val="24"/>
        </w:rPr>
        <w:t xml:space="preserve"> </w:t>
      </w:r>
      <w:r w:rsidR="00732BEB">
        <w:rPr>
          <w:rFonts w:eastAsia="Times New Roman"/>
          <w:szCs w:val="24"/>
        </w:rPr>
        <w:t>Mr. Hoekstra performed a study of recent SSO auction results and derived a scaling factor of 1.24 as the average markup of energy bids in SSO auctions above the price of a flat block of energy.</w:t>
      </w:r>
    </w:p>
    <w:p w:rsidR="00B5246D" w:rsidRDefault="00B5246D" w:rsidP="00732BEB">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59" w:rsidRDefault="00D96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59" w:rsidRDefault="00D96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359" w:rsidRDefault="00D963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96" w:rsidRDefault="00EA57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96" w:rsidRDefault="00EA57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96" w:rsidRDefault="00EA5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8B2"/>
    <w:multiLevelType w:val="hybridMultilevel"/>
    <w:tmpl w:val="C3E23DB0"/>
    <w:lvl w:ilvl="0" w:tplc="4D008F44">
      <w:numFmt w:val="bullet"/>
      <w:lvlText w:val=""/>
      <w:lvlJc w:val="left"/>
      <w:pPr>
        <w:ind w:left="720" w:hanging="360"/>
      </w:pPr>
      <w:rPr>
        <w:rFonts w:ascii="Arial" w:eastAsiaTheme="minorHAnsi"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F5911"/>
    <w:multiLevelType w:val="hybridMultilevel"/>
    <w:tmpl w:val="622C917C"/>
    <w:lvl w:ilvl="0" w:tplc="04090001">
      <w:start w:val="1"/>
      <w:numFmt w:val="bullet"/>
      <w:lvlText w:val=""/>
      <w:lvlJc w:val="left"/>
      <w:pPr>
        <w:ind w:left="1510" w:hanging="360"/>
      </w:pPr>
      <w:rPr>
        <w:rFonts w:ascii="Symbol" w:hAnsi="Symbol" w:hint="default"/>
      </w:rPr>
    </w:lvl>
    <w:lvl w:ilvl="1" w:tplc="04090003">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
    <w:nsid w:val="28BC6133"/>
    <w:multiLevelType w:val="hybridMultilevel"/>
    <w:tmpl w:val="4DD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E4790C"/>
    <w:multiLevelType w:val="hybridMultilevel"/>
    <w:tmpl w:val="9F6ED8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5F"/>
    <w:rsid w:val="000062EE"/>
    <w:rsid w:val="000116F0"/>
    <w:rsid w:val="00017301"/>
    <w:rsid w:val="00043105"/>
    <w:rsid w:val="00051C5C"/>
    <w:rsid w:val="00052AD4"/>
    <w:rsid w:val="000556C6"/>
    <w:rsid w:val="00060391"/>
    <w:rsid w:val="00074BC8"/>
    <w:rsid w:val="00075B0A"/>
    <w:rsid w:val="00086ECA"/>
    <w:rsid w:val="000A01EA"/>
    <w:rsid w:val="000A5DB6"/>
    <w:rsid w:val="000B05FB"/>
    <w:rsid w:val="000B542E"/>
    <w:rsid w:val="000B6103"/>
    <w:rsid w:val="000B621D"/>
    <w:rsid w:val="000C2DCC"/>
    <w:rsid w:val="000E5242"/>
    <w:rsid w:val="0010713D"/>
    <w:rsid w:val="00107D85"/>
    <w:rsid w:val="00110D91"/>
    <w:rsid w:val="00115D24"/>
    <w:rsid w:val="0015706B"/>
    <w:rsid w:val="00163B5A"/>
    <w:rsid w:val="00167FC6"/>
    <w:rsid w:val="00174D40"/>
    <w:rsid w:val="00176651"/>
    <w:rsid w:val="00181BAA"/>
    <w:rsid w:val="0018492E"/>
    <w:rsid w:val="001B3711"/>
    <w:rsid w:val="001B7DD4"/>
    <w:rsid w:val="001B7F4C"/>
    <w:rsid w:val="001E552A"/>
    <w:rsid w:val="001F32BB"/>
    <w:rsid w:val="001F35E3"/>
    <w:rsid w:val="001F52A9"/>
    <w:rsid w:val="001F7DAF"/>
    <w:rsid w:val="002162DF"/>
    <w:rsid w:val="002203E6"/>
    <w:rsid w:val="00223B8D"/>
    <w:rsid w:val="00233F90"/>
    <w:rsid w:val="00234C7E"/>
    <w:rsid w:val="00236048"/>
    <w:rsid w:val="00241049"/>
    <w:rsid w:val="0024375F"/>
    <w:rsid w:val="00245710"/>
    <w:rsid w:val="00261B43"/>
    <w:rsid w:val="0026273A"/>
    <w:rsid w:val="0027542C"/>
    <w:rsid w:val="00283970"/>
    <w:rsid w:val="00285E66"/>
    <w:rsid w:val="00297D50"/>
    <w:rsid w:val="002A214F"/>
    <w:rsid w:val="002A6AE1"/>
    <w:rsid w:val="002B1223"/>
    <w:rsid w:val="002B53AA"/>
    <w:rsid w:val="003161D2"/>
    <w:rsid w:val="00354A99"/>
    <w:rsid w:val="00355EA7"/>
    <w:rsid w:val="00356C38"/>
    <w:rsid w:val="003606B8"/>
    <w:rsid w:val="00364D70"/>
    <w:rsid w:val="00384811"/>
    <w:rsid w:val="003915CE"/>
    <w:rsid w:val="00394B0D"/>
    <w:rsid w:val="003959E2"/>
    <w:rsid w:val="00396FCE"/>
    <w:rsid w:val="00397BB9"/>
    <w:rsid w:val="003E431C"/>
    <w:rsid w:val="003F21AF"/>
    <w:rsid w:val="003F27B9"/>
    <w:rsid w:val="003F2F60"/>
    <w:rsid w:val="00401524"/>
    <w:rsid w:val="00405763"/>
    <w:rsid w:val="00407239"/>
    <w:rsid w:val="00413CE8"/>
    <w:rsid w:val="00422367"/>
    <w:rsid w:val="00430FB9"/>
    <w:rsid w:val="00434FC4"/>
    <w:rsid w:val="00443BE9"/>
    <w:rsid w:val="00443FD8"/>
    <w:rsid w:val="00463104"/>
    <w:rsid w:val="00466A1F"/>
    <w:rsid w:val="00484A02"/>
    <w:rsid w:val="00486F71"/>
    <w:rsid w:val="004924BE"/>
    <w:rsid w:val="004952D1"/>
    <w:rsid w:val="004A36B7"/>
    <w:rsid w:val="004A5DC2"/>
    <w:rsid w:val="004A6CFE"/>
    <w:rsid w:val="004B12A6"/>
    <w:rsid w:val="004B7F33"/>
    <w:rsid w:val="004C3FCF"/>
    <w:rsid w:val="004D2C58"/>
    <w:rsid w:val="004D77CB"/>
    <w:rsid w:val="004D7E76"/>
    <w:rsid w:val="004E0549"/>
    <w:rsid w:val="004E0E7B"/>
    <w:rsid w:val="004E0E84"/>
    <w:rsid w:val="004F3340"/>
    <w:rsid w:val="004F4640"/>
    <w:rsid w:val="00501B8C"/>
    <w:rsid w:val="00507059"/>
    <w:rsid w:val="005324DF"/>
    <w:rsid w:val="005551BF"/>
    <w:rsid w:val="00562023"/>
    <w:rsid w:val="00596CAE"/>
    <w:rsid w:val="005B317E"/>
    <w:rsid w:val="005D6D22"/>
    <w:rsid w:val="005E17A2"/>
    <w:rsid w:val="005F4EFF"/>
    <w:rsid w:val="00610457"/>
    <w:rsid w:val="00613F59"/>
    <w:rsid w:val="00615C71"/>
    <w:rsid w:val="00615E57"/>
    <w:rsid w:val="00623118"/>
    <w:rsid w:val="00652DDA"/>
    <w:rsid w:val="00662D34"/>
    <w:rsid w:val="0066713D"/>
    <w:rsid w:val="006A6D47"/>
    <w:rsid w:val="006B05AF"/>
    <w:rsid w:val="006B5734"/>
    <w:rsid w:val="006D644A"/>
    <w:rsid w:val="00707777"/>
    <w:rsid w:val="00710B77"/>
    <w:rsid w:val="00717B07"/>
    <w:rsid w:val="0072349F"/>
    <w:rsid w:val="00725118"/>
    <w:rsid w:val="0073027B"/>
    <w:rsid w:val="0073047E"/>
    <w:rsid w:val="007315B2"/>
    <w:rsid w:val="00732BEB"/>
    <w:rsid w:val="00740533"/>
    <w:rsid w:val="00761908"/>
    <w:rsid w:val="00766CE6"/>
    <w:rsid w:val="007A1385"/>
    <w:rsid w:val="007A4686"/>
    <w:rsid w:val="007A4FCC"/>
    <w:rsid w:val="007A5AB6"/>
    <w:rsid w:val="007B1635"/>
    <w:rsid w:val="007B310A"/>
    <w:rsid w:val="007B6F4E"/>
    <w:rsid w:val="007C418A"/>
    <w:rsid w:val="007D161F"/>
    <w:rsid w:val="007D5790"/>
    <w:rsid w:val="007E4635"/>
    <w:rsid w:val="007F05E1"/>
    <w:rsid w:val="0083410E"/>
    <w:rsid w:val="0083518C"/>
    <w:rsid w:val="0084442B"/>
    <w:rsid w:val="0085176A"/>
    <w:rsid w:val="00857DBD"/>
    <w:rsid w:val="008601BB"/>
    <w:rsid w:val="00867691"/>
    <w:rsid w:val="00872C64"/>
    <w:rsid w:val="0087483B"/>
    <w:rsid w:val="00883C7F"/>
    <w:rsid w:val="008854CE"/>
    <w:rsid w:val="00886101"/>
    <w:rsid w:val="008A5EB9"/>
    <w:rsid w:val="008B2EE5"/>
    <w:rsid w:val="008E0F77"/>
    <w:rsid w:val="008E1BD2"/>
    <w:rsid w:val="008E4AC4"/>
    <w:rsid w:val="008E710B"/>
    <w:rsid w:val="009049B6"/>
    <w:rsid w:val="0091679C"/>
    <w:rsid w:val="009400C8"/>
    <w:rsid w:val="00983412"/>
    <w:rsid w:val="009962F7"/>
    <w:rsid w:val="009A4350"/>
    <w:rsid w:val="009A6B3F"/>
    <w:rsid w:val="009A6E9A"/>
    <w:rsid w:val="009B52D5"/>
    <w:rsid w:val="009B68E4"/>
    <w:rsid w:val="009C62CA"/>
    <w:rsid w:val="009D3823"/>
    <w:rsid w:val="009F3426"/>
    <w:rsid w:val="009F7DB3"/>
    <w:rsid w:val="00A102F7"/>
    <w:rsid w:val="00A2298C"/>
    <w:rsid w:val="00A316FC"/>
    <w:rsid w:val="00A3273B"/>
    <w:rsid w:val="00A40C69"/>
    <w:rsid w:val="00A7091A"/>
    <w:rsid w:val="00A73B72"/>
    <w:rsid w:val="00A91CD6"/>
    <w:rsid w:val="00A9765A"/>
    <w:rsid w:val="00AA6560"/>
    <w:rsid w:val="00AB6058"/>
    <w:rsid w:val="00AB7CEB"/>
    <w:rsid w:val="00AD5F4A"/>
    <w:rsid w:val="00AE6591"/>
    <w:rsid w:val="00AF205C"/>
    <w:rsid w:val="00AF3580"/>
    <w:rsid w:val="00B31722"/>
    <w:rsid w:val="00B32C16"/>
    <w:rsid w:val="00B5246D"/>
    <w:rsid w:val="00B53F0A"/>
    <w:rsid w:val="00B62605"/>
    <w:rsid w:val="00B768AB"/>
    <w:rsid w:val="00B81608"/>
    <w:rsid w:val="00B866EB"/>
    <w:rsid w:val="00B91D94"/>
    <w:rsid w:val="00B9683D"/>
    <w:rsid w:val="00BA02C5"/>
    <w:rsid w:val="00BA32A1"/>
    <w:rsid w:val="00BA48A6"/>
    <w:rsid w:val="00BB3C33"/>
    <w:rsid w:val="00BC6B6D"/>
    <w:rsid w:val="00BE4566"/>
    <w:rsid w:val="00BF6EA7"/>
    <w:rsid w:val="00C11B53"/>
    <w:rsid w:val="00C12455"/>
    <w:rsid w:val="00C14FDB"/>
    <w:rsid w:val="00C46BB5"/>
    <w:rsid w:val="00C64DA7"/>
    <w:rsid w:val="00C85D8C"/>
    <w:rsid w:val="00C8776B"/>
    <w:rsid w:val="00C94896"/>
    <w:rsid w:val="00C96B7C"/>
    <w:rsid w:val="00CA07F3"/>
    <w:rsid w:val="00CA720F"/>
    <w:rsid w:val="00CD3A8A"/>
    <w:rsid w:val="00CE1CCD"/>
    <w:rsid w:val="00CE48DC"/>
    <w:rsid w:val="00CE4D12"/>
    <w:rsid w:val="00CE57A6"/>
    <w:rsid w:val="00CF2B54"/>
    <w:rsid w:val="00CF5DE9"/>
    <w:rsid w:val="00D10A80"/>
    <w:rsid w:val="00D17DB3"/>
    <w:rsid w:val="00D17E8B"/>
    <w:rsid w:val="00D20543"/>
    <w:rsid w:val="00D2437C"/>
    <w:rsid w:val="00D26DA2"/>
    <w:rsid w:val="00D54AC7"/>
    <w:rsid w:val="00D648AE"/>
    <w:rsid w:val="00D81319"/>
    <w:rsid w:val="00D82FBD"/>
    <w:rsid w:val="00D87F90"/>
    <w:rsid w:val="00D92A66"/>
    <w:rsid w:val="00D96359"/>
    <w:rsid w:val="00DB0B12"/>
    <w:rsid w:val="00DB31DD"/>
    <w:rsid w:val="00DC5C23"/>
    <w:rsid w:val="00DD2C4B"/>
    <w:rsid w:val="00E01E52"/>
    <w:rsid w:val="00E1297A"/>
    <w:rsid w:val="00E20FFE"/>
    <w:rsid w:val="00E26096"/>
    <w:rsid w:val="00E31D46"/>
    <w:rsid w:val="00E54ADB"/>
    <w:rsid w:val="00E61560"/>
    <w:rsid w:val="00E6663B"/>
    <w:rsid w:val="00E7014A"/>
    <w:rsid w:val="00E7215B"/>
    <w:rsid w:val="00EA5796"/>
    <w:rsid w:val="00EA775F"/>
    <w:rsid w:val="00EB0B3D"/>
    <w:rsid w:val="00EB5161"/>
    <w:rsid w:val="00ED0D9A"/>
    <w:rsid w:val="00EE08B7"/>
    <w:rsid w:val="00EE1CBB"/>
    <w:rsid w:val="00EF63E0"/>
    <w:rsid w:val="00F036F0"/>
    <w:rsid w:val="00F04137"/>
    <w:rsid w:val="00F1304F"/>
    <w:rsid w:val="00F26963"/>
    <w:rsid w:val="00F53DCC"/>
    <w:rsid w:val="00F64F8A"/>
    <w:rsid w:val="00F65E0F"/>
    <w:rsid w:val="00F65FF4"/>
    <w:rsid w:val="00F732F7"/>
    <w:rsid w:val="00F7560E"/>
    <w:rsid w:val="00F838E9"/>
    <w:rsid w:val="00F84D64"/>
    <w:rsid w:val="00F8771F"/>
    <w:rsid w:val="00F907E3"/>
    <w:rsid w:val="00F933E9"/>
    <w:rsid w:val="00F94BF2"/>
    <w:rsid w:val="00FB1F7D"/>
    <w:rsid w:val="00FB3998"/>
    <w:rsid w:val="00FB719A"/>
    <w:rsid w:val="00FD76F4"/>
    <w:rsid w:val="00FD7BBB"/>
    <w:rsid w:val="00FE32AE"/>
    <w:rsid w:val="00FE361A"/>
    <w:rsid w:val="00FF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A1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Pr>
      <w:rFonts w:eastAsia="Times New Roman"/>
    </w:rPr>
  </w:style>
  <w:style w:type="paragraph" w:styleId="Title">
    <w:name w:val="Title"/>
    <w:basedOn w:val="Normal"/>
    <w:link w:val="TitleChar"/>
    <w:qFormat/>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Pr>
      <w:rFonts w:eastAsia="Times New Roman"/>
      <w:b/>
      <w:smallCaps/>
      <w:sz w:val="32"/>
    </w:rPr>
  </w:style>
  <w:style w:type="paragraph" w:styleId="BodyTextIndent2">
    <w:name w:val="Body Text Indent 2"/>
    <w:basedOn w:val="Normal"/>
    <w:link w:val="BodyTextIndent2Char"/>
    <w:pPr>
      <w:spacing w:after="0" w:line="240" w:lineRule="auto"/>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Pr>
      <w:rFonts w:eastAsia="Times New Roman"/>
      <w:sz w:val="21"/>
    </w:rPr>
  </w:style>
  <w:style w:type="table" w:styleId="TableGrid">
    <w:name w:val="Table Grid"/>
    <w:basedOn w:val="TableNormal"/>
    <w:uiPriority w:val="59"/>
    <w:pPr>
      <w:spacing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Pr>
      <w:rFonts w:eastAsia="Times New Roman"/>
    </w:rPr>
  </w:style>
  <w:style w:type="paragraph" w:styleId="Footer">
    <w:name w:val="footer"/>
    <w:basedOn w:val="Normal"/>
    <w:link w:val="FooterChar"/>
    <w:uiPriority w:val="99"/>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Pr>
      <w:rFonts w:eastAsia="Times New Roman" w:cs="Times New Roman"/>
    </w:rPr>
  </w:style>
  <w:style w:type="paragraph" w:styleId="Subtitle">
    <w:name w:val="Subtitle"/>
    <w:basedOn w:val="Normal"/>
    <w:link w:val="SubtitleChar"/>
    <w:qFormat/>
    <w:pPr>
      <w:spacing w:after="0" w:line="360" w:lineRule="auto"/>
      <w:ind w:left="720" w:hanging="720"/>
      <w:jc w:val="center"/>
    </w:pPr>
    <w:rPr>
      <w:rFonts w:ascii="Arial" w:eastAsia="Times New Roman" w:hAnsi="Arial" w:cs="Arial"/>
      <w:b/>
      <w:szCs w:val="20"/>
    </w:rPr>
  </w:style>
  <w:style w:type="character" w:customStyle="1" w:styleId="SubtitleChar">
    <w:name w:val="Subtitle Char"/>
    <w:basedOn w:val="DefaultParagraphFont"/>
    <w:link w:val="Subtitle"/>
    <w:rPr>
      <w:rFonts w:eastAsia="Times New Roman"/>
      <w:b/>
      <w:sz w:val="22"/>
      <w:szCs w:val="20"/>
    </w:rPr>
  </w:style>
  <w:style w:type="paragraph" w:styleId="BodyText3">
    <w:name w:val="Body Text 3"/>
    <w:basedOn w:val="Normal"/>
    <w:link w:val="BodyText3Char"/>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character" w:styleId="LineNumber">
    <w:name w:val="line number"/>
    <w:basedOn w:val="DefaultParagraphFont"/>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after="0" w:line="240" w:lineRule="auto"/>
    </w:pPr>
    <w:rPr>
      <w:rFonts w:ascii="Arial" w:eastAsiaTheme="minorHAnsi" w:hAnsi="Arial"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A15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158E"/>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0"/>
      <w:szCs w:val="20"/>
    </w:rPr>
  </w:style>
  <w:style w:type="paragraph" w:styleId="Revision">
    <w:name w:val="Revision"/>
    <w:hidden/>
    <w:uiPriority w:val="99"/>
    <w:semiHidden/>
    <w:rsid w:val="001E5CCF"/>
    <w:pPr>
      <w:spacing w:after="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E5CCF"/>
    <w:rPr>
      <w:color w:val="800080" w:themeColor="followedHyperlink"/>
      <w:u w:val="single"/>
    </w:rPr>
  </w:style>
  <w:style w:type="paragraph" w:customStyle="1" w:styleId="Default">
    <w:name w:val="Default"/>
    <w:pPr>
      <w:autoSpaceDE w:val="0"/>
      <w:autoSpaceDN w:val="0"/>
      <w:adjustRightInd w:val="0"/>
      <w:spacing w:after="0"/>
    </w:pPr>
    <w:rPr>
      <w:color w:val="000000"/>
    </w:rPr>
  </w:style>
  <w:style w:type="paragraph" w:styleId="EndnoteText">
    <w:name w:val="endnote text"/>
    <w:basedOn w:val="Normal"/>
    <w:link w:val="EndnoteTextChar"/>
    <w:uiPriority w:val="99"/>
    <w:semiHidden/>
    <w:unhideWhenUsed/>
    <w:rsid w:val="007137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373D"/>
    <w:rPr>
      <w:rFonts w:asciiTheme="minorHAnsi" w:eastAsiaTheme="minorEastAsia" w:hAnsiTheme="minorHAnsi" w:cstheme="minorBidi"/>
      <w:sz w:val="20"/>
      <w:szCs w:val="20"/>
    </w:rPr>
  </w:style>
  <w:style w:type="character" w:styleId="EndnoteReference">
    <w:name w:val="endnote reference"/>
    <w:basedOn w:val="DefaultParagraphFont"/>
    <w:uiPriority w:val="99"/>
    <w:semiHidden/>
    <w:unhideWhenUsed/>
    <w:rsid w:val="0071373D"/>
    <w:rPr>
      <w:vertAlign w:val="superscript"/>
    </w:rPr>
  </w:style>
  <w:style w:type="paragraph" w:styleId="ListParagraph">
    <w:name w:val="List Paragraph"/>
    <w:basedOn w:val="Normal"/>
    <w:uiPriority w:val="34"/>
    <w:qFormat/>
    <w:rsid w:val="001E552A"/>
    <w:pPr>
      <w:ind w:left="720"/>
      <w:contextualSpacing/>
    </w:pPr>
  </w:style>
  <w:style w:type="paragraph" w:styleId="BodyTextIndent">
    <w:name w:val="Body Text Indent"/>
    <w:basedOn w:val="Normal"/>
    <w:link w:val="BodyTextIndentChar"/>
    <w:uiPriority w:val="99"/>
    <w:semiHidden/>
    <w:unhideWhenUsed/>
    <w:rsid w:val="00662D34"/>
    <w:pPr>
      <w:spacing w:after="120"/>
      <w:ind w:left="360"/>
    </w:pPr>
  </w:style>
  <w:style w:type="character" w:customStyle="1" w:styleId="BodyTextIndentChar">
    <w:name w:val="Body Text Indent Char"/>
    <w:basedOn w:val="DefaultParagraphFont"/>
    <w:link w:val="BodyTextIndent"/>
    <w:uiPriority w:val="99"/>
    <w:semiHidden/>
    <w:rsid w:val="00662D3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A1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Pr>
      <w:rFonts w:eastAsia="Times New Roman"/>
    </w:rPr>
  </w:style>
  <w:style w:type="paragraph" w:styleId="Title">
    <w:name w:val="Title"/>
    <w:basedOn w:val="Normal"/>
    <w:link w:val="TitleChar"/>
    <w:qFormat/>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Pr>
      <w:rFonts w:eastAsia="Times New Roman"/>
      <w:b/>
      <w:smallCaps/>
      <w:sz w:val="32"/>
    </w:rPr>
  </w:style>
  <w:style w:type="paragraph" w:styleId="BodyTextIndent2">
    <w:name w:val="Body Text Indent 2"/>
    <w:basedOn w:val="Normal"/>
    <w:link w:val="BodyTextIndent2Char"/>
    <w:pPr>
      <w:spacing w:after="0" w:line="240" w:lineRule="auto"/>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Pr>
      <w:rFonts w:eastAsia="Times New Roman"/>
      <w:sz w:val="21"/>
    </w:rPr>
  </w:style>
  <w:style w:type="table" w:styleId="TableGrid">
    <w:name w:val="Table Grid"/>
    <w:basedOn w:val="TableNormal"/>
    <w:uiPriority w:val="59"/>
    <w:pPr>
      <w:spacing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Pr>
      <w:rFonts w:eastAsia="Times New Roman"/>
    </w:rPr>
  </w:style>
  <w:style w:type="paragraph" w:styleId="Footer">
    <w:name w:val="footer"/>
    <w:basedOn w:val="Normal"/>
    <w:link w:val="FooterChar"/>
    <w:uiPriority w:val="99"/>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Pr>
      <w:rFonts w:eastAsia="Times New Roman" w:cs="Times New Roman"/>
    </w:rPr>
  </w:style>
  <w:style w:type="paragraph" w:styleId="Subtitle">
    <w:name w:val="Subtitle"/>
    <w:basedOn w:val="Normal"/>
    <w:link w:val="SubtitleChar"/>
    <w:qFormat/>
    <w:pPr>
      <w:spacing w:after="0" w:line="360" w:lineRule="auto"/>
      <w:ind w:left="720" w:hanging="720"/>
      <w:jc w:val="center"/>
    </w:pPr>
    <w:rPr>
      <w:rFonts w:ascii="Arial" w:eastAsia="Times New Roman" w:hAnsi="Arial" w:cs="Arial"/>
      <w:b/>
      <w:szCs w:val="20"/>
    </w:rPr>
  </w:style>
  <w:style w:type="character" w:customStyle="1" w:styleId="SubtitleChar">
    <w:name w:val="Subtitle Char"/>
    <w:basedOn w:val="DefaultParagraphFont"/>
    <w:link w:val="Subtitle"/>
    <w:rPr>
      <w:rFonts w:eastAsia="Times New Roman"/>
      <w:b/>
      <w:sz w:val="22"/>
      <w:szCs w:val="20"/>
    </w:rPr>
  </w:style>
  <w:style w:type="paragraph" w:styleId="BodyText3">
    <w:name w:val="Body Text 3"/>
    <w:basedOn w:val="Normal"/>
    <w:link w:val="BodyText3Char"/>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character" w:styleId="LineNumber">
    <w:name w:val="line number"/>
    <w:basedOn w:val="DefaultParagraphFont"/>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after="0" w:line="240" w:lineRule="auto"/>
    </w:pPr>
    <w:rPr>
      <w:rFonts w:ascii="Arial" w:eastAsiaTheme="minorHAnsi" w:hAnsi="Arial"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A15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158E"/>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0"/>
      <w:szCs w:val="20"/>
    </w:rPr>
  </w:style>
  <w:style w:type="paragraph" w:styleId="Revision">
    <w:name w:val="Revision"/>
    <w:hidden/>
    <w:uiPriority w:val="99"/>
    <w:semiHidden/>
    <w:rsid w:val="001E5CCF"/>
    <w:pPr>
      <w:spacing w:after="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E5CCF"/>
    <w:rPr>
      <w:color w:val="800080" w:themeColor="followedHyperlink"/>
      <w:u w:val="single"/>
    </w:rPr>
  </w:style>
  <w:style w:type="paragraph" w:customStyle="1" w:styleId="Default">
    <w:name w:val="Default"/>
    <w:pPr>
      <w:autoSpaceDE w:val="0"/>
      <w:autoSpaceDN w:val="0"/>
      <w:adjustRightInd w:val="0"/>
      <w:spacing w:after="0"/>
    </w:pPr>
    <w:rPr>
      <w:color w:val="000000"/>
    </w:rPr>
  </w:style>
  <w:style w:type="paragraph" w:styleId="EndnoteText">
    <w:name w:val="endnote text"/>
    <w:basedOn w:val="Normal"/>
    <w:link w:val="EndnoteTextChar"/>
    <w:uiPriority w:val="99"/>
    <w:semiHidden/>
    <w:unhideWhenUsed/>
    <w:rsid w:val="007137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373D"/>
    <w:rPr>
      <w:rFonts w:asciiTheme="minorHAnsi" w:eastAsiaTheme="minorEastAsia" w:hAnsiTheme="minorHAnsi" w:cstheme="minorBidi"/>
      <w:sz w:val="20"/>
      <w:szCs w:val="20"/>
    </w:rPr>
  </w:style>
  <w:style w:type="character" w:styleId="EndnoteReference">
    <w:name w:val="endnote reference"/>
    <w:basedOn w:val="DefaultParagraphFont"/>
    <w:uiPriority w:val="99"/>
    <w:semiHidden/>
    <w:unhideWhenUsed/>
    <w:rsid w:val="0071373D"/>
    <w:rPr>
      <w:vertAlign w:val="superscript"/>
    </w:rPr>
  </w:style>
  <w:style w:type="paragraph" w:styleId="ListParagraph">
    <w:name w:val="List Paragraph"/>
    <w:basedOn w:val="Normal"/>
    <w:uiPriority w:val="34"/>
    <w:qFormat/>
    <w:rsid w:val="001E552A"/>
    <w:pPr>
      <w:ind w:left="720"/>
      <w:contextualSpacing/>
    </w:pPr>
  </w:style>
  <w:style w:type="paragraph" w:styleId="BodyTextIndent">
    <w:name w:val="Body Text Indent"/>
    <w:basedOn w:val="Normal"/>
    <w:link w:val="BodyTextIndentChar"/>
    <w:uiPriority w:val="99"/>
    <w:semiHidden/>
    <w:unhideWhenUsed/>
    <w:rsid w:val="00662D34"/>
    <w:pPr>
      <w:spacing w:after="120"/>
      <w:ind w:left="360"/>
    </w:pPr>
  </w:style>
  <w:style w:type="character" w:customStyle="1" w:styleId="BodyTextIndentChar">
    <w:name w:val="Body Text Indent Char"/>
    <w:basedOn w:val="DefaultParagraphFont"/>
    <w:link w:val="BodyTextIndent"/>
    <w:uiPriority w:val="99"/>
    <w:semiHidden/>
    <w:rsid w:val="00662D3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65721">
      <w:bodyDiv w:val="1"/>
      <w:marLeft w:val="0"/>
      <w:marRight w:val="0"/>
      <w:marTop w:val="0"/>
      <w:marBottom w:val="0"/>
      <w:divBdr>
        <w:top w:val="none" w:sz="0" w:space="0" w:color="auto"/>
        <w:left w:val="none" w:sz="0" w:space="0" w:color="auto"/>
        <w:bottom w:val="none" w:sz="0" w:space="0" w:color="auto"/>
        <w:right w:val="none" w:sz="0" w:space="0" w:color="auto"/>
      </w:divBdr>
    </w:div>
    <w:div w:id="767196708">
      <w:bodyDiv w:val="1"/>
      <w:marLeft w:val="0"/>
      <w:marRight w:val="0"/>
      <w:marTop w:val="0"/>
      <w:marBottom w:val="0"/>
      <w:divBdr>
        <w:top w:val="none" w:sz="0" w:space="0" w:color="auto"/>
        <w:left w:val="none" w:sz="0" w:space="0" w:color="auto"/>
        <w:bottom w:val="none" w:sz="0" w:space="0" w:color="auto"/>
        <w:right w:val="none" w:sz="0" w:space="0" w:color="auto"/>
      </w:divBdr>
    </w:div>
    <w:div w:id="1016154639">
      <w:bodyDiv w:val="1"/>
      <w:marLeft w:val="0"/>
      <w:marRight w:val="0"/>
      <w:marTop w:val="0"/>
      <w:marBottom w:val="0"/>
      <w:divBdr>
        <w:top w:val="none" w:sz="0" w:space="0" w:color="auto"/>
        <w:left w:val="none" w:sz="0" w:space="0" w:color="auto"/>
        <w:bottom w:val="none" w:sz="0" w:space="0" w:color="auto"/>
        <w:right w:val="none" w:sz="0" w:space="0" w:color="auto"/>
      </w:divBdr>
    </w:div>
    <w:div w:id="1725518519">
      <w:bodyDiv w:val="1"/>
      <w:marLeft w:val="0"/>
      <w:marRight w:val="0"/>
      <w:marTop w:val="0"/>
      <w:marBottom w:val="0"/>
      <w:divBdr>
        <w:top w:val="none" w:sz="0" w:space="0" w:color="auto"/>
        <w:left w:val="none" w:sz="0" w:space="0" w:color="auto"/>
        <w:bottom w:val="none" w:sz="0" w:space="0" w:color="auto"/>
        <w:right w:val="none" w:sz="0" w:space="0" w:color="auto"/>
      </w:divBdr>
      <w:divsChild>
        <w:div w:id="1135025260">
          <w:marLeft w:val="0"/>
          <w:marRight w:val="-5040"/>
          <w:marTop w:val="0"/>
          <w:marBottom w:val="0"/>
          <w:divBdr>
            <w:top w:val="none" w:sz="0" w:space="0" w:color="auto"/>
            <w:left w:val="none" w:sz="0" w:space="0" w:color="auto"/>
            <w:bottom w:val="none" w:sz="0" w:space="0" w:color="auto"/>
            <w:right w:val="none" w:sz="0" w:space="0" w:color="auto"/>
          </w:divBdr>
          <w:divsChild>
            <w:div w:id="823815501">
              <w:marLeft w:val="0"/>
              <w:marRight w:val="5040"/>
              <w:marTop w:val="0"/>
              <w:marBottom w:val="0"/>
              <w:divBdr>
                <w:top w:val="none" w:sz="0" w:space="0" w:color="auto"/>
                <w:left w:val="none" w:sz="0" w:space="0" w:color="auto"/>
                <w:bottom w:val="none" w:sz="0" w:space="0" w:color="auto"/>
                <w:right w:val="none" w:sz="0" w:space="0" w:color="auto"/>
              </w:divBdr>
              <w:divsChild>
                <w:div w:id="21044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0299">
      <w:bodyDiv w:val="1"/>
      <w:marLeft w:val="0"/>
      <w:marRight w:val="0"/>
      <w:marTop w:val="0"/>
      <w:marBottom w:val="0"/>
      <w:divBdr>
        <w:top w:val="none" w:sz="0" w:space="0" w:color="auto"/>
        <w:left w:val="none" w:sz="0" w:space="0" w:color="auto"/>
        <w:bottom w:val="none" w:sz="0" w:space="0" w:color="auto"/>
        <w:right w:val="none" w:sz="0" w:space="0" w:color="auto"/>
      </w:divBdr>
    </w:div>
    <w:div w:id="1908107950">
      <w:bodyDiv w:val="1"/>
      <w:marLeft w:val="0"/>
      <w:marRight w:val="0"/>
      <w:marTop w:val="0"/>
      <w:marBottom w:val="0"/>
      <w:divBdr>
        <w:top w:val="none" w:sz="0" w:space="0" w:color="auto"/>
        <w:left w:val="none" w:sz="0" w:space="0" w:color="auto"/>
        <w:bottom w:val="none" w:sz="0" w:space="0" w:color="auto"/>
        <w:right w:val="none" w:sz="0" w:space="0" w:color="auto"/>
      </w:divBdr>
    </w:div>
    <w:div w:id="1931309990">
      <w:bodyDiv w:val="1"/>
      <w:marLeft w:val="0"/>
      <w:marRight w:val="0"/>
      <w:marTop w:val="0"/>
      <w:marBottom w:val="0"/>
      <w:divBdr>
        <w:top w:val="none" w:sz="0" w:space="0" w:color="auto"/>
        <w:left w:val="none" w:sz="0" w:space="0" w:color="auto"/>
        <w:bottom w:val="none" w:sz="0" w:space="0" w:color="auto"/>
        <w:right w:val="none" w:sz="0" w:space="0" w:color="auto"/>
      </w:divBdr>
    </w:div>
    <w:div w:id="20811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1EE9A-A740-454A-8C92-4E8863D0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2989</Words>
  <Characters>15882</Characters>
  <Application>Microsoft Office Word</Application>
  <DocSecurity>0</DocSecurity>
  <PresentationFormat/>
  <Lines>468</Lines>
  <Paragraphs>161</Paragraphs>
  <ScaleCrop>false</ScaleCrop>
  <HeadingPairs>
    <vt:vector size="2" baseType="variant">
      <vt:variant>
        <vt:lpstr>Title</vt:lpstr>
      </vt:variant>
      <vt:variant>
        <vt:i4>1</vt:i4>
      </vt:variant>
    </vt:vector>
  </HeadingPairs>
  <TitlesOfParts>
    <vt:vector size="1" baseType="lpstr">
      <vt:lpstr>Kevin Murray testimony on proposed CBP (C40852-2).DOCX</vt:lpstr>
    </vt:vector>
  </TitlesOfParts>
  <Manager/>
  <Company/>
  <LinksUpToDate>false</LinksUpToDate>
  <CharactersWithSpaces>18796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Kevin Murray testimony on proposed CBP (C40852-2).DOCX</dc:title>
  <dc:subject>C40852:2 /font=8</dc:subject>
  <dc:creator/>
  <cp:keywords> </cp:keywords>
  <dc:description> </dc:description>
  <cp:lastModifiedBy/>
  <cp:revision>1</cp:revision>
  <dcterms:created xsi:type="dcterms:W3CDTF">2013-06-10T12:06:00Z</dcterms:created>
  <dcterms:modified xsi:type="dcterms:W3CDTF">2013-06-14T18:48:00Z</dcterms:modified>
  <cp:category> </cp:category>
  <cp:contentStatus> </cp:contentStatus>
</cp:coreProperties>
</file>