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B54C67" w:rsidRPr="00A65CA7" w:rsidP="00B54C67" w14:paraId="6AC584E7" w14:textId="77777777">
      <w:pPr>
        <w:pStyle w:val="HTMLPreformatted"/>
        <w:jc w:val="center"/>
        <w:rPr>
          <w:rFonts w:ascii="Times New Roman" w:hAnsi="Times New Roman" w:cs="Times New Roman"/>
          <w:b/>
          <w:bCs/>
          <w:sz w:val="24"/>
          <w:szCs w:val="24"/>
        </w:rPr>
      </w:pPr>
      <w:r w:rsidRPr="00A65CA7">
        <w:rPr>
          <w:rFonts w:ascii="Times New Roman" w:hAnsi="Times New Roman" w:cs="Times New Roman"/>
          <w:b/>
          <w:bCs/>
          <w:sz w:val="24"/>
          <w:szCs w:val="24"/>
        </w:rPr>
        <w:t>BEFORE</w:t>
      </w:r>
    </w:p>
    <w:p w:rsidR="00B54C67" w:rsidRPr="00A65CA7" w:rsidP="00B54C67" w14:paraId="368892CC" w14:textId="77777777">
      <w:pPr>
        <w:pStyle w:val="HTMLPreformatted"/>
        <w:jc w:val="center"/>
        <w:rPr>
          <w:rFonts w:ascii="Times New Roman" w:hAnsi="Times New Roman" w:cs="Times New Roman"/>
          <w:sz w:val="24"/>
          <w:szCs w:val="24"/>
        </w:rPr>
      </w:pPr>
      <w:r w:rsidRPr="00A65CA7">
        <w:rPr>
          <w:rFonts w:ascii="Times New Roman" w:hAnsi="Times New Roman" w:cs="Times New Roman"/>
          <w:b/>
          <w:bCs/>
          <w:sz w:val="24"/>
          <w:szCs w:val="24"/>
        </w:rPr>
        <w:t>THE PUBLIC UTILITIES COMMISSION OF OHIO</w:t>
      </w:r>
    </w:p>
    <w:p w:rsidR="00B54C67" w:rsidRPr="00A65CA7" w:rsidP="00B54C67" w14:paraId="30745FC5" w14:textId="77777777">
      <w:pPr>
        <w:pStyle w:val="HTMLPreformatted"/>
        <w:rPr>
          <w:rFonts w:ascii="Times New Roman" w:hAnsi="Times New Roman" w:cs="Times New Roman"/>
          <w:sz w:val="24"/>
          <w:szCs w:val="24"/>
        </w:rPr>
      </w:pPr>
    </w:p>
    <w:tbl>
      <w:tblPr>
        <w:tblW w:w="8838" w:type="dxa"/>
        <w:tblLook w:val="01E0"/>
      </w:tblPr>
      <w:tblGrid>
        <w:gridCol w:w="4332"/>
        <w:gridCol w:w="546"/>
        <w:gridCol w:w="3960"/>
      </w:tblGrid>
      <w:tr w14:paraId="7D56179B" w14:textId="77777777" w:rsidTr="00B24B5D">
        <w:tblPrEx>
          <w:tblW w:w="8838" w:type="dxa"/>
          <w:tblLook w:val="01E0"/>
        </w:tblPrEx>
        <w:trPr>
          <w:trHeight w:val="807"/>
        </w:trPr>
        <w:tc>
          <w:tcPr>
            <w:tcW w:w="4332" w:type="dxa"/>
            <w:shd w:val="clear" w:color="auto" w:fill="auto"/>
          </w:tcPr>
          <w:p w:rsidR="00B54C67" w:rsidRPr="00A65CA7" w:rsidP="00E2251E" w14:paraId="7B8AE33A" w14:textId="77777777">
            <w:pPr>
              <w:pStyle w:val="HTMLPreformatted"/>
              <w:rPr>
                <w:rFonts w:ascii="Times New Roman" w:hAnsi="Times New Roman" w:cs="Times New Roman"/>
                <w:sz w:val="24"/>
                <w:szCs w:val="24"/>
              </w:rPr>
            </w:pPr>
            <w:r w:rsidRPr="00A65CA7">
              <w:rPr>
                <w:rFonts w:ascii="Times New Roman" w:hAnsi="Times New Roman" w:cs="Times New Roman"/>
                <w:sz w:val="24"/>
                <w:szCs w:val="24"/>
              </w:rPr>
              <w:t>In the Matter of the Application of Campbell Soup Supply Company L.L.C. for the Approval of a Reasonable Arrangement for its Napoleon, Ohio Plant.</w:t>
            </w:r>
          </w:p>
        </w:tc>
        <w:tc>
          <w:tcPr>
            <w:tcW w:w="546" w:type="dxa"/>
            <w:shd w:val="clear" w:color="auto" w:fill="auto"/>
          </w:tcPr>
          <w:p w:rsidR="00B54C67" w:rsidRPr="00A65CA7" w:rsidP="00E2251E" w14:paraId="1A3C2008" w14:textId="77777777">
            <w:pPr>
              <w:pStyle w:val="HTMLPreformatted"/>
              <w:rPr>
                <w:rFonts w:ascii="Times New Roman" w:hAnsi="Times New Roman" w:cs="Times New Roman"/>
                <w:sz w:val="24"/>
                <w:szCs w:val="24"/>
              </w:rPr>
            </w:pPr>
            <w:r w:rsidRPr="00A65CA7">
              <w:rPr>
                <w:rFonts w:ascii="Times New Roman" w:hAnsi="Times New Roman" w:cs="Times New Roman"/>
                <w:sz w:val="24"/>
                <w:szCs w:val="24"/>
              </w:rPr>
              <w:t>)</w:t>
            </w:r>
          </w:p>
          <w:p w:rsidR="00B54C67" w:rsidRPr="00A65CA7" w:rsidP="00E2251E" w14:paraId="0FA5A568" w14:textId="77777777">
            <w:pPr>
              <w:pStyle w:val="HTMLPreformatted"/>
              <w:rPr>
                <w:rFonts w:ascii="Times New Roman" w:hAnsi="Times New Roman" w:cs="Times New Roman"/>
                <w:sz w:val="24"/>
                <w:szCs w:val="24"/>
              </w:rPr>
            </w:pPr>
            <w:r w:rsidRPr="00A65CA7">
              <w:rPr>
                <w:rFonts w:ascii="Times New Roman" w:hAnsi="Times New Roman" w:cs="Times New Roman"/>
                <w:sz w:val="24"/>
                <w:szCs w:val="24"/>
              </w:rPr>
              <w:t>)</w:t>
            </w:r>
          </w:p>
          <w:p w:rsidR="00B54C67" w:rsidRPr="00A65CA7" w:rsidP="00E2251E" w14:paraId="60C739BB" w14:textId="77777777">
            <w:pPr>
              <w:pStyle w:val="HTMLPreformatted"/>
              <w:rPr>
                <w:rFonts w:ascii="Times New Roman" w:hAnsi="Times New Roman" w:cs="Times New Roman"/>
                <w:sz w:val="24"/>
                <w:szCs w:val="24"/>
              </w:rPr>
            </w:pPr>
            <w:r w:rsidRPr="00A65CA7">
              <w:rPr>
                <w:rFonts w:ascii="Times New Roman" w:hAnsi="Times New Roman" w:cs="Times New Roman"/>
                <w:sz w:val="24"/>
                <w:szCs w:val="24"/>
              </w:rPr>
              <w:t>)</w:t>
            </w:r>
          </w:p>
          <w:p w:rsidR="00B54C67" w:rsidRPr="00A65CA7" w:rsidP="00E2251E" w14:paraId="55FEA88D" w14:textId="77777777">
            <w:pPr>
              <w:pStyle w:val="HTMLPreformatted"/>
              <w:rPr>
                <w:rFonts w:ascii="Times New Roman" w:hAnsi="Times New Roman" w:cs="Times New Roman"/>
                <w:sz w:val="24"/>
                <w:szCs w:val="24"/>
              </w:rPr>
            </w:pPr>
            <w:r w:rsidRPr="00A65CA7">
              <w:rPr>
                <w:rFonts w:ascii="Times New Roman" w:hAnsi="Times New Roman" w:cs="Times New Roman"/>
                <w:sz w:val="24"/>
                <w:szCs w:val="24"/>
              </w:rPr>
              <w:t>)</w:t>
            </w:r>
          </w:p>
        </w:tc>
        <w:tc>
          <w:tcPr>
            <w:tcW w:w="3960" w:type="dxa"/>
            <w:shd w:val="clear" w:color="auto" w:fill="auto"/>
          </w:tcPr>
          <w:p w:rsidR="00B54C67" w:rsidRPr="00A65CA7" w:rsidP="00E2251E" w14:paraId="25951F76" w14:textId="77777777">
            <w:pPr>
              <w:pStyle w:val="HTMLPreformatted"/>
              <w:rPr>
                <w:rFonts w:ascii="Times New Roman" w:hAnsi="Times New Roman" w:cs="Times New Roman"/>
                <w:sz w:val="24"/>
                <w:szCs w:val="24"/>
              </w:rPr>
            </w:pPr>
          </w:p>
          <w:p w:rsidR="00B54C67" w:rsidRPr="00A65CA7" w:rsidP="00E2251E" w14:paraId="64E4BD78" w14:textId="77777777">
            <w:pPr>
              <w:pStyle w:val="HTMLPreformatted"/>
              <w:rPr>
                <w:rFonts w:ascii="Times New Roman" w:hAnsi="Times New Roman" w:cs="Times New Roman"/>
                <w:sz w:val="24"/>
                <w:szCs w:val="24"/>
              </w:rPr>
            </w:pPr>
            <w:r w:rsidRPr="00A65CA7">
              <w:rPr>
                <w:rFonts w:ascii="Times New Roman" w:hAnsi="Times New Roman" w:cs="Times New Roman"/>
                <w:sz w:val="24"/>
                <w:szCs w:val="24"/>
              </w:rPr>
              <w:t>Case No. 21-1047-EL-AEC</w:t>
            </w:r>
          </w:p>
          <w:p w:rsidR="00B54C67" w:rsidRPr="00A65CA7" w:rsidP="00E2251E" w14:paraId="36458900" w14:textId="77777777">
            <w:pPr>
              <w:pStyle w:val="HTMLPreformatted"/>
              <w:rPr>
                <w:rFonts w:ascii="Times New Roman" w:hAnsi="Times New Roman" w:cs="Times New Roman"/>
                <w:sz w:val="24"/>
                <w:szCs w:val="24"/>
              </w:rPr>
            </w:pPr>
          </w:p>
          <w:p w:rsidR="00B54C67" w:rsidRPr="00A65CA7" w:rsidP="00E2251E" w14:paraId="24A587C3" w14:textId="77777777">
            <w:pPr>
              <w:pStyle w:val="HTMLPreformatted"/>
              <w:rPr>
                <w:rFonts w:ascii="Times New Roman" w:hAnsi="Times New Roman" w:cs="Times New Roman"/>
                <w:sz w:val="24"/>
                <w:szCs w:val="24"/>
              </w:rPr>
            </w:pPr>
          </w:p>
        </w:tc>
      </w:tr>
    </w:tbl>
    <w:p w:rsidR="00B54C67" w:rsidRPr="00A65CA7" w:rsidP="00B54C67" w14:paraId="6AD4985B" w14:textId="77777777">
      <w:pPr>
        <w:pStyle w:val="HTMLPreformatted"/>
        <w:rPr>
          <w:rFonts w:ascii="Times New Roman" w:hAnsi="Times New Roman" w:cs="Times New Roman"/>
          <w:sz w:val="24"/>
          <w:szCs w:val="24"/>
        </w:rPr>
      </w:pPr>
    </w:p>
    <w:p w:rsidR="00B54C67" w:rsidRPr="00A65CA7" w:rsidP="00B54C67" w14:paraId="78E5CF6B" w14:textId="77777777">
      <w:pPr>
        <w:pStyle w:val="HTMLPreformatted"/>
        <w:pBdr>
          <w:top w:val="single" w:sz="12" w:space="1" w:color="auto"/>
        </w:pBdr>
        <w:rPr>
          <w:rFonts w:ascii="Times New Roman" w:hAnsi="Times New Roman" w:cs="Times New Roman"/>
          <w:sz w:val="24"/>
          <w:szCs w:val="24"/>
        </w:rPr>
      </w:pPr>
    </w:p>
    <w:p w:rsidR="00B54C67" w:rsidRPr="00A65CA7" w:rsidP="00B54C67" w14:paraId="23533F86" w14:textId="77777777">
      <w:pPr>
        <w:jc w:val="center"/>
        <w:rPr>
          <w:b/>
          <w:bCs/>
          <w:szCs w:val="24"/>
        </w:rPr>
      </w:pPr>
      <w:r w:rsidRPr="00A65CA7">
        <w:rPr>
          <w:b/>
          <w:bCs/>
          <w:szCs w:val="24"/>
        </w:rPr>
        <w:t>POST</w:t>
      </w:r>
      <w:r w:rsidRPr="00A65CA7" w:rsidR="00D63492">
        <w:rPr>
          <w:b/>
          <w:bCs/>
          <w:szCs w:val="24"/>
        </w:rPr>
        <w:t>-</w:t>
      </w:r>
      <w:r w:rsidRPr="00A65CA7">
        <w:rPr>
          <w:b/>
          <w:bCs/>
          <w:szCs w:val="24"/>
        </w:rPr>
        <w:t xml:space="preserve">HEARING BRIEF </w:t>
      </w:r>
    </w:p>
    <w:p w:rsidR="00B54C67" w:rsidRPr="00A65CA7" w:rsidP="00B54C67" w14:paraId="4BB8B0B3" w14:textId="77777777">
      <w:pPr>
        <w:jc w:val="center"/>
        <w:rPr>
          <w:b/>
          <w:bCs/>
          <w:szCs w:val="24"/>
        </w:rPr>
      </w:pPr>
      <w:r w:rsidRPr="00A65CA7">
        <w:rPr>
          <w:b/>
          <w:bCs/>
          <w:szCs w:val="24"/>
        </w:rPr>
        <w:t>BY</w:t>
      </w:r>
    </w:p>
    <w:p w:rsidR="00B54C67" w:rsidRPr="00A65CA7" w:rsidP="00B54C67" w14:paraId="075FA5A3" w14:textId="77777777">
      <w:pPr>
        <w:jc w:val="center"/>
        <w:rPr>
          <w:b/>
          <w:bCs/>
          <w:szCs w:val="24"/>
        </w:rPr>
      </w:pPr>
      <w:r w:rsidRPr="00A65CA7">
        <w:rPr>
          <w:b/>
          <w:bCs/>
          <w:szCs w:val="24"/>
        </w:rPr>
        <w:t>OFFICE OF THE OHIO CONSUMERS’ COUNSEL</w:t>
      </w:r>
    </w:p>
    <w:p w:rsidR="00B54C67" w:rsidRPr="00A65CA7" w:rsidP="00B54C67" w14:paraId="7B621330" w14:textId="77777777">
      <w:pPr>
        <w:pBdr>
          <w:bottom w:val="single" w:sz="12" w:space="1" w:color="auto"/>
        </w:pBdr>
        <w:tabs>
          <w:tab w:val="left" w:pos="4320"/>
        </w:tabs>
        <w:rPr>
          <w:szCs w:val="24"/>
        </w:rPr>
      </w:pPr>
    </w:p>
    <w:p w:rsidR="00B54C67" w:rsidRPr="00A65CA7" w:rsidP="00B24B5D" w14:paraId="7C870262" w14:textId="77777777">
      <w:pPr>
        <w:pStyle w:val="HTMLPreformatted"/>
        <w:rPr>
          <w:rFonts w:ascii="Times New Roman" w:hAnsi="Times New Roman" w:cs="Times New Roman"/>
          <w:b/>
          <w:bCs/>
          <w:sz w:val="24"/>
          <w:szCs w:val="24"/>
        </w:rPr>
      </w:pPr>
    </w:p>
    <w:p w:rsidR="00B54C67" w:rsidRPr="00A65CA7" w:rsidP="00503E6E" w14:paraId="627363CF" w14:textId="3E9B3F09">
      <w:pPr>
        <w:pStyle w:val="Footer"/>
        <w:tabs>
          <w:tab w:val="clear" w:pos="4320"/>
          <w:tab w:val="left" w:pos="7328"/>
          <w:tab w:val="clear" w:pos="8640"/>
        </w:tabs>
        <w:spacing w:before="240"/>
        <w:ind w:firstLine="3600"/>
        <w:rPr>
          <w:sz w:val="24"/>
          <w:szCs w:val="24"/>
        </w:rPr>
      </w:pPr>
      <w:r w:rsidRPr="00A65CA7">
        <w:rPr>
          <w:sz w:val="24"/>
          <w:szCs w:val="24"/>
        </w:rPr>
        <w:t>Bruce Weston (0016973)</w:t>
      </w:r>
      <w:r w:rsidRPr="00A65CA7" w:rsidR="00503E6E">
        <w:rPr>
          <w:sz w:val="24"/>
          <w:szCs w:val="24"/>
        </w:rPr>
        <w:tab/>
      </w:r>
    </w:p>
    <w:p w:rsidR="00B54C67" w:rsidRPr="00A65CA7" w:rsidP="00B54C67" w14:paraId="7FC8DFED" w14:textId="77777777">
      <w:pPr>
        <w:tabs>
          <w:tab w:val="left" w:pos="4320"/>
        </w:tabs>
        <w:ind w:firstLine="3600"/>
        <w:rPr>
          <w:szCs w:val="24"/>
        </w:rPr>
      </w:pPr>
      <w:r w:rsidRPr="00A65CA7">
        <w:rPr>
          <w:szCs w:val="24"/>
        </w:rPr>
        <w:t>Ohio Consumers’ Counsel</w:t>
      </w:r>
    </w:p>
    <w:p w:rsidR="00B54C67" w:rsidRPr="00A65CA7" w:rsidP="00B54C67" w14:paraId="58437E3C" w14:textId="77777777">
      <w:pPr>
        <w:tabs>
          <w:tab w:val="left" w:pos="4320"/>
        </w:tabs>
        <w:ind w:firstLine="3600"/>
        <w:rPr>
          <w:szCs w:val="24"/>
        </w:rPr>
      </w:pPr>
    </w:p>
    <w:p w:rsidR="00B54C67" w:rsidRPr="00A65CA7" w:rsidP="00B54C67" w14:paraId="304E9672" w14:textId="77777777">
      <w:pPr>
        <w:tabs>
          <w:tab w:val="left" w:pos="4320"/>
        </w:tabs>
        <w:ind w:firstLine="3600"/>
        <w:rPr>
          <w:szCs w:val="24"/>
        </w:rPr>
      </w:pPr>
      <w:r w:rsidRPr="00A65CA7">
        <w:rPr>
          <w:szCs w:val="24"/>
        </w:rPr>
        <w:t>Maureen R. Willis (0020847)</w:t>
      </w:r>
    </w:p>
    <w:p w:rsidR="00B54C67" w:rsidRPr="00A65CA7" w:rsidP="00B54C67" w14:paraId="51EE544D" w14:textId="77777777">
      <w:pPr>
        <w:tabs>
          <w:tab w:val="left" w:pos="4320"/>
        </w:tabs>
        <w:ind w:firstLine="3600"/>
        <w:rPr>
          <w:szCs w:val="24"/>
        </w:rPr>
      </w:pPr>
      <w:r w:rsidRPr="00A65CA7">
        <w:rPr>
          <w:szCs w:val="24"/>
        </w:rPr>
        <w:t>Counsel of Record</w:t>
      </w:r>
    </w:p>
    <w:p w:rsidR="00B54C67" w:rsidRPr="00A65CA7" w:rsidP="00B54C67" w14:paraId="3F24F35A" w14:textId="77777777">
      <w:pPr>
        <w:tabs>
          <w:tab w:val="left" w:pos="4320"/>
        </w:tabs>
        <w:ind w:firstLine="3600"/>
        <w:rPr>
          <w:szCs w:val="24"/>
        </w:rPr>
      </w:pPr>
      <w:r w:rsidRPr="00A65CA7">
        <w:rPr>
          <w:szCs w:val="24"/>
        </w:rPr>
        <w:t>Amy Botschner O’Brien (0074423)</w:t>
      </w:r>
    </w:p>
    <w:p w:rsidR="00B54C67" w:rsidRPr="00A65CA7" w:rsidP="00B54C67" w14:paraId="07989452" w14:textId="77777777">
      <w:pPr>
        <w:tabs>
          <w:tab w:val="left" w:pos="4320"/>
        </w:tabs>
        <w:ind w:firstLine="3600"/>
        <w:rPr>
          <w:szCs w:val="24"/>
        </w:rPr>
      </w:pPr>
      <w:r w:rsidRPr="00A65CA7">
        <w:rPr>
          <w:szCs w:val="24"/>
        </w:rPr>
        <w:t>Assistant Consumers’ Counsel</w:t>
      </w:r>
    </w:p>
    <w:p w:rsidR="00171004" w:rsidRPr="00A65CA7" w:rsidP="00760E5D" w14:paraId="037ED25A" w14:textId="77777777">
      <w:pPr>
        <w:ind w:left="3600"/>
        <w:rPr>
          <w:szCs w:val="24"/>
        </w:rPr>
      </w:pPr>
    </w:p>
    <w:p w:rsidR="00B54C67" w:rsidRPr="00A65CA7" w:rsidP="00760E5D" w14:paraId="335881E4" w14:textId="77777777">
      <w:pPr>
        <w:ind w:left="3600"/>
        <w:rPr>
          <w:b/>
          <w:bCs/>
          <w:szCs w:val="24"/>
        </w:rPr>
      </w:pPr>
      <w:r w:rsidRPr="00A65CA7">
        <w:rPr>
          <w:b/>
          <w:bCs/>
          <w:szCs w:val="24"/>
        </w:rPr>
        <w:t>Office of the Ohio Consumers’ Counsel</w:t>
      </w:r>
    </w:p>
    <w:p w:rsidR="00B54C67" w:rsidRPr="00A65CA7" w:rsidP="00760E5D" w14:paraId="657BCE55" w14:textId="77777777">
      <w:pPr>
        <w:ind w:left="3600"/>
        <w:rPr>
          <w:bCs/>
          <w:szCs w:val="24"/>
        </w:rPr>
      </w:pPr>
      <w:r w:rsidRPr="00A65CA7">
        <w:rPr>
          <w:bCs/>
          <w:szCs w:val="24"/>
        </w:rPr>
        <w:t>65 East State Street, Suite 700</w:t>
      </w:r>
    </w:p>
    <w:p w:rsidR="00B54C67" w:rsidRPr="00A65CA7" w:rsidP="00760E5D" w14:paraId="59A79028" w14:textId="77777777">
      <w:pPr>
        <w:ind w:left="2880" w:firstLine="720"/>
        <w:rPr>
          <w:bCs/>
          <w:szCs w:val="24"/>
        </w:rPr>
      </w:pPr>
      <w:r w:rsidRPr="00A65CA7">
        <w:rPr>
          <w:bCs/>
          <w:szCs w:val="24"/>
        </w:rPr>
        <w:t>Columbus, Ohio 43215</w:t>
      </w:r>
    </w:p>
    <w:p w:rsidR="00B54C67" w:rsidRPr="00A65CA7" w:rsidP="00B54C67" w14:paraId="0C524359" w14:textId="77777777">
      <w:pPr>
        <w:autoSpaceDE w:val="0"/>
        <w:autoSpaceDN w:val="0"/>
        <w:adjustRightInd w:val="0"/>
        <w:ind w:left="3600"/>
        <w:rPr>
          <w:szCs w:val="24"/>
        </w:rPr>
      </w:pPr>
      <w:r w:rsidRPr="00A65CA7">
        <w:rPr>
          <w:szCs w:val="24"/>
        </w:rPr>
        <w:t>Telephone [Willis]: (614) 466-9567</w:t>
      </w:r>
    </w:p>
    <w:p w:rsidR="00B54C67" w:rsidRPr="00A65CA7" w:rsidP="00B54C67" w14:paraId="4AEE67A0" w14:textId="77777777">
      <w:pPr>
        <w:autoSpaceDE w:val="0"/>
        <w:autoSpaceDN w:val="0"/>
        <w:adjustRightInd w:val="0"/>
        <w:ind w:left="3600"/>
        <w:rPr>
          <w:szCs w:val="24"/>
        </w:rPr>
      </w:pPr>
      <w:r w:rsidRPr="00A65CA7">
        <w:rPr>
          <w:szCs w:val="24"/>
        </w:rPr>
        <w:t>Telephone [Botschner O’Brien]: (614) 466-9575</w:t>
      </w:r>
    </w:p>
    <w:p w:rsidR="00B54C67" w:rsidRPr="00A65CA7" w:rsidP="00B54C67" w14:paraId="370A4B1A" w14:textId="5E104F22">
      <w:pPr>
        <w:ind w:firstLine="3600"/>
        <w:rPr>
          <w:szCs w:val="24"/>
        </w:rPr>
      </w:pPr>
      <w:hyperlink r:id="rId6" w:history="1">
        <w:r w:rsidRPr="00A65CA7" w:rsidR="004A6993">
          <w:rPr>
            <w:rStyle w:val="Hyperlink"/>
            <w:szCs w:val="24"/>
          </w:rPr>
          <w:t>maureen.willis@occ.ohio.gov</w:t>
        </w:r>
      </w:hyperlink>
    </w:p>
    <w:p w:rsidR="00B54C67" w:rsidRPr="00A65CA7" w:rsidP="00B54C67" w14:paraId="20F00674" w14:textId="1434C50B">
      <w:pPr>
        <w:ind w:firstLine="3600"/>
        <w:rPr>
          <w:szCs w:val="24"/>
        </w:rPr>
      </w:pPr>
      <w:hyperlink r:id="rId7" w:history="1">
        <w:r w:rsidRPr="00A65CA7" w:rsidR="004A6993">
          <w:rPr>
            <w:rStyle w:val="Hyperlink"/>
            <w:szCs w:val="24"/>
          </w:rPr>
          <w:t>amy.botschner.obrien@occ.ohio.gov</w:t>
        </w:r>
      </w:hyperlink>
      <w:r w:rsidRPr="00A65CA7" w:rsidR="004A6993">
        <w:rPr>
          <w:szCs w:val="24"/>
        </w:rPr>
        <w:t xml:space="preserve"> </w:t>
      </w:r>
    </w:p>
    <w:p w:rsidR="00B54C67" w:rsidRPr="00A65CA7" w:rsidP="00B54C67" w14:paraId="33345A19" w14:textId="77777777">
      <w:pPr>
        <w:rPr>
          <w:szCs w:val="24"/>
        </w:rPr>
      </w:pPr>
      <w:r w:rsidRPr="00A65CA7">
        <w:rPr>
          <w:szCs w:val="24"/>
        </w:rPr>
        <w:t>February 10, 2022</w:t>
      </w:r>
      <w:r w:rsidRPr="00A65CA7">
        <w:rPr>
          <w:szCs w:val="24"/>
        </w:rPr>
        <w:tab/>
      </w:r>
      <w:r w:rsidRPr="00A65CA7">
        <w:rPr>
          <w:szCs w:val="24"/>
        </w:rPr>
        <w:tab/>
      </w:r>
      <w:r w:rsidRPr="00A65CA7">
        <w:rPr>
          <w:szCs w:val="24"/>
        </w:rPr>
        <w:tab/>
        <w:t>(willing to accept service by email)</w:t>
      </w:r>
    </w:p>
    <w:p w:rsidR="00B54C67" w:rsidRPr="00A65CA7" w14:paraId="7A712F45" w14:textId="77777777">
      <w:pPr>
        <w:pStyle w:val="HTMLPreformatted"/>
        <w:jc w:val="center"/>
        <w:rPr>
          <w:rFonts w:ascii="Times New Roman" w:hAnsi="Times New Roman" w:cs="Times New Roman"/>
          <w:b/>
          <w:bCs/>
          <w:sz w:val="24"/>
          <w:szCs w:val="24"/>
        </w:rPr>
      </w:pPr>
    </w:p>
    <w:p w:rsidR="00B54C67" w:rsidRPr="00A65CA7" w14:paraId="632F6120" w14:textId="77777777">
      <w:pPr>
        <w:pStyle w:val="HTMLPreformatted"/>
        <w:jc w:val="center"/>
        <w:rPr>
          <w:rFonts w:ascii="Times New Roman" w:hAnsi="Times New Roman" w:cs="Times New Roman"/>
          <w:b/>
          <w:bCs/>
          <w:sz w:val="24"/>
          <w:szCs w:val="24"/>
        </w:rPr>
      </w:pPr>
    </w:p>
    <w:p w:rsidR="00B54C67" w:rsidRPr="00A65CA7" w14:paraId="2BADFA98" w14:textId="77777777">
      <w:pPr>
        <w:pStyle w:val="HTMLPreformatted"/>
        <w:jc w:val="center"/>
        <w:rPr>
          <w:rFonts w:ascii="Times New Roman" w:hAnsi="Times New Roman" w:cs="Times New Roman"/>
          <w:b/>
          <w:bCs/>
          <w:sz w:val="24"/>
          <w:szCs w:val="24"/>
        </w:rPr>
        <w:sectPr w:rsidSect="00B32048">
          <w:footerReference w:type="default" r:id="rId8"/>
          <w:pgSz w:w="12240" w:h="15840"/>
          <w:pgMar w:top="1440" w:right="1800" w:bottom="1440" w:left="1800" w:header="720" w:footer="720" w:gutter="0"/>
          <w:pgNumType w:start="1"/>
          <w:cols w:space="720"/>
          <w:titlePg/>
          <w:docGrid w:linePitch="326"/>
        </w:sectPr>
      </w:pPr>
    </w:p>
    <w:p w:rsidR="00B54C67" w:rsidRPr="00A65CA7" w14:paraId="4C735742" w14:textId="77777777">
      <w:pPr>
        <w:pStyle w:val="HTMLPreformatted"/>
        <w:jc w:val="center"/>
        <w:rPr>
          <w:rFonts w:ascii="Times New Roman" w:hAnsi="Times New Roman" w:cs="Times New Roman"/>
          <w:b/>
          <w:bCs/>
          <w:sz w:val="24"/>
          <w:szCs w:val="24"/>
          <w:u w:val="single"/>
        </w:rPr>
      </w:pPr>
      <w:r w:rsidRPr="00A65CA7">
        <w:rPr>
          <w:rFonts w:ascii="Times New Roman" w:hAnsi="Times New Roman" w:cs="Times New Roman"/>
          <w:b/>
          <w:bCs/>
          <w:sz w:val="24"/>
          <w:szCs w:val="24"/>
          <w:u w:val="single"/>
        </w:rPr>
        <w:t>TABLE OF CONTENTS</w:t>
      </w:r>
    </w:p>
    <w:p w:rsidR="00B54C67" w:rsidRPr="00A65CA7" w14:paraId="7FE76819" w14:textId="77777777">
      <w:pPr>
        <w:pStyle w:val="HTMLPreformatted"/>
        <w:jc w:val="center"/>
        <w:rPr>
          <w:rFonts w:ascii="Times New Roman" w:hAnsi="Times New Roman" w:cs="Times New Roman"/>
          <w:b/>
          <w:bCs/>
          <w:sz w:val="24"/>
          <w:szCs w:val="24"/>
        </w:rPr>
      </w:pPr>
    </w:p>
    <w:p w:rsidR="00B54C67" w:rsidRPr="00A65CA7" w:rsidP="00B54C67" w14:paraId="6B918136" w14:textId="77777777">
      <w:pPr>
        <w:pStyle w:val="HTMLPreformatted"/>
        <w:jc w:val="right"/>
        <w:rPr>
          <w:rFonts w:ascii="Times New Roman" w:hAnsi="Times New Roman" w:cs="Times New Roman"/>
          <w:b/>
          <w:bCs/>
          <w:sz w:val="24"/>
          <w:szCs w:val="24"/>
        </w:rPr>
      </w:pPr>
      <w:r w:rsidRPr="00A65CA7">
        <w:rPr>
          <w:rFonts w:ascii="Times New Roman" w:hAnsi="Times New Roman" w:cs="Times New Roman"/>
          <w:b/>
          <w:bCs/>
          <w:sz w:val="24"/>
          <w:szCs w:val="24"/>
        </w:rPr>
        <w:t>PAGE</w:t>
      </w:r>
    </w:p>
    <w:p w:rsidR="000D43C6" w14:paraId="7B13CF54" w14:textId="31A25CA3">
      <w:pPr>
        <w:pStyle w:val="TOC1"/>
        <w:rPr>
          <w:rFonts w:asciiTheme="minorHAnsi" w:eastAsiaTheme="minorEastAsia" w:hAnsiTheme="minorHAnsi" w:cstheme="minorBidi"/>
          <w:noProof/>
          <w:sz w:val="22"/>
          <w:szCs w:val="22"/>
        </w:rPr>
      </w:pPr>
      <w:r w:rsidRPr="00A65CA7">
        <w:rPr>
          <w:b/>
          <w:bCs/>
          <w:szCs w:val="24"/>
        </w:rPr>
        <w:fldChar w:fldCharType="begin"/>
      </w:r>
      <w:r w:rsidRPr="00A65CA7">
        <w:rPr>
          <w:b/>
          <w:bCs/>
          <w:szCs w:val="24"/>
        </w:rPr>
        <w:instrText xml:space="preserve"> TOC \o "1-3" \h \z \u </w:instrText>
      </w:r>
      <w:r w:rsidRPr="00A65CA7">
        <w:rPr>
          <w:b/>
          <w:bCs/>
          <w:szCs w:val="24"/>
        </w:rPr>
        <w:fldChar w:fldCharType="separate"/>
      </w:r>
      <w:hyperlink w:anchor="_Toc95404100" w:history="1">
        <w:r w:rsidRPr="000E3C63">
          <w:rPr>
            <w:rStyle w:val="Hyperlink"/>
            <w:noProof/>
          </w:rPr>
          <w:t>I.</w:t>
        </w:r>
        <w:r>
          <w:rPr>
            <w:rFonts w:asciiTheme="minorHAnsi" w:eastAsiaTheme="minorEastAsia" w:hAnsiTheme="minorHAnsi" w:cstheme="minorBidi"/>
            <w:noProof/>
            <w:sz w:val="22"/>
            <w:szCs w:val="22"/>
          </w:rPr>
          <w:tab/>
        </w:r>
        <w:r w:rsidRPr="000E3C63">
          <w:rPr>
            <w:rStyle w:val="Hyperlink"/>
            <w:noProof/>
          </w:rPr>
          <w:t>INTRODUCTION</w:t>
        </w:r>
        <w:r>
          <w:rPr>
            <w:noProof/>
            <w:webHidden/>
          </w:rPr>
          <w:tab/>
        </w:r>
        <w:r>
          <w:rPr>
            <w:noProof/>
            <w:webHidden/>
          </w:rPr>
          <w:fldChar w:fldCharType="begin"/>
        </w:r>
        <w:r>
          <w:rPr>
            <w:noProof/>
            <w:webHidden/>
          </w:rPr>
          <w:instrText xml:space="preserve"> PAGEREF _Toc95404100 \h </w:instrText>
        </w:r>
        <w:r>
          <w:rPr>
            <w:noProof/>
            <w:webHidden/>
          </w:rPr>
          <w:fldChar w:fldCharType="separate"/>
        </w:r>
        <w:r>
          <w:rPr>
            <w:noProof/>
            <w:webHidden/>
          </w:rPr>
          <w:t>1</w:t>
        </w:r>
        <w:r>
          <w:rPr>
            <w:noProof/>
            <w:webHidden/>
          </w:rPr>
          <w:fldChar w:fldCharType="end"/>
        </w:r>
      </w:hyperlink>
    </w:p>
    <w:p w:rsidR="000D43C6" w14:paraId="4205C6F2" w14:textId="1B776ADF">
      <w:pPr>
        <w:pStyle w:val="TOC1"/>
        <w:rPr>
          <w:rFonts w:asciiTheme="minorHAnsi" w:eastAsiaTheme="minorEastAsia" w:hAnsiTheme="minorHAnsi" w:cstheme="minorBidi"/>
          <w:noProof/>
          <w:sz w:val="22"/>
          <w:szCs w:val="22"/>
        </w:rPr>
      </w:pPr>
      <w:hyperlink w:anchor="_Toc95404101" w:history="1">
        <w:r w:rsidRPr="000E3C63" w:rsidR="00F95828">
          <w:rPr>
            <w:rStyle w:val="Hyperlink"/>
            <w:noProof/>
          </w:rPr>
          <w:t>II.</w:t>
        </w:r>
        <w:r w:rsidR="00F95828">
          <w:rPr>
            <w:rFonts w:asciiTheme="minorHAnsi" w:eastAsiaTheme="minorEastAsia" w:hAnsiTheme="minorHAnsi" w:cstheme="minorBidi"/>
            <w:noProof/>
            <w:sz w:val="22"/>
            <w:szCs w:val="22"/>
          </w:rPr>
          <w:tab/>
        </w:r>
        <w:r w:rsidRPr="000E3C63" w:rsidR="00F95828">
          <w:rPr>
            <w:rStyle w:val="Hyperlink"/>
            <w:noProof/>
          </w:rPr>
          <w:t xml:space="preserve">THE PROPOSED SETTLEMENT SHOULD BE REJECTED BY THE </w:t>
        </w:r>
        <w:r w:rsidR="00F95828">
          <w:rPr>
            <w:rStyle w:val="Hyperlink"/>
            <w:noProof/>
          </w:rPr>
          <w:br/>
        </w:r>
        <w:r w:rsidRPr="000E3C63" w:rsidR="00F95828">
          <w:rPr>
            <w:rStyle w:val="Hyperlink"/>
            <w:noProof/>
          </w:rPr>
          <w:t>PUCO BECAUSE IT DOES NOT MEET THE THREE-PRONG TEST</w:t>
        </w:r>
        <w:r w:rsidR="00F95828">
          <w:rPr>
            <w:noProof/>
            <w:webHidden/>
          </w:rPr>
          <w:tab/>
        </w:r>
        <w:r w:rsidR="00F95828">
          <w:rPr>
            <w:noProof/>
            <w:webHidden/>
          </w:rPr>
          <w:fldChar w:fldCharType="begin"/>
        </w:r>
        <w:r w:rsidR="00F95828">
          <w:rPr>
            <w:noProof/>
            <w:webHidden/>
          </w:rPr>
          <w:instrText xml:space="preserve"> PAGEREF _Toc95404101 \h </w:instrText>
        </w:r>
        <w:r w:rsidR="00F95828">
          <w:rPr>
            <w:noProof/>
            <w:webHidden/>
          </w:rPr>
          <w:fldChar w:fldCharType="separate"/>
        </w:r>
        <w:r w:rsidR="00F95828">
          <w:rPr>
            <w:noProof/>
            <w:webHidden/>
          </w:rPr>
          <w:t>4</w:t>
        </w:r>
        <w:r w:rsidR="00F95828">
          <w:rPr>
            <w:noProof/>
            <w:webHidden/>
          </w:rPr>
          <w:fldChar w:fldCharType="end"/>
        </w:r>
      </w:hyperlink>
    </w:p>
    <w:p w:rsidR="000D43C6" w14:paraId="72AE0E73" w14:textId="4F4BAE80">
      <w:pPr>
        <w:pStyle w:val="TOC2"/>
        <w:tabs>
          <w:tab w:val="left" w:pos="1440"/>
        </w:tabs>
        <w:rPr>
          <w:rFonts w:asciiTheme="minorHAnsi" w:eastAsiaTheme="minorEastAsia" w:hAnsiTheme="minorHAnsi" w:cstheme="minorBidi"/>
          <w:noProof/>
          <w:sz w:val="22"/>
          <w:szCs w:val="22"/>
        </w:rPr>
      </w:pPr>
      <w:hyperlink w:anchor="_Toc95404102" w:history="1">
        <w:r w:rsidRPr="000E3C63" w:rsidR="00F95828">
          <w:rPr>
            <w:rStyle w:val="Hyperlink"/>
            <w:noProof/>
          </w:rPr>
          <w:t>A.</w:t>
        </w:r>
        <w:r w:rsidR="00F95828">
          <w:rPr>
            <w:rFonts w:asciiTheme="minorHAnsi" w:eastAsiaTheme="minorEastAsia" w:hAnsiTheme="minorHAnsi" w:cstheme="minorBidi"/>
            <w:noProof/>
            <w:sz w:val="22"/>
            <w:szCs w:val="22"/>
          </w:rPr>
          <w:tab/>
        </w:r>
        <w:r w:rsidRPr="000E3C63" w:rsidR="00F95828">
          <w:rPr>
            <w:rStyle w:val="Hyperlink"/>
            <w:noProof/>
          </w:rPr>
          <w:t xml:space="preserve">The PUCO should reject the Settlement because it lacks both </w:t>
        </w:r>
        <w:r w:rsidR="00F95828">
          <w:rPr>
            <w:rStyle w:val="Hyperlink"/>
            <w:noProof/>
          </w:rPr>
          <w:br/>
        </w:r>
        <w:r w:rsidRPr="000E3C63" w:rsidR="00F95828">
          <w:rPr>
            <w:rStyle w:val="Hyperlink"/>
            <w:noProof/>
          </w:rPr>
          <w:t>diversity of those who signed it and serious bargaining among parties.</w:t>
        </w:r>
        <w:r w:rsidR="00F95828">
          <w:rPr>
            <w:noProof/>
            <w:webHidden/>
          </w:rPr>
          <w:tab/>
        </w:r>
        <w:r w:rsidR="00F95828">
          <w:rPr>
            <w:noProof/>
            <w:webHidden/>
          </w:rPr>
          <w:fldChar w:fldCharType="begin"/>
        </w:r>
        <w:r w:rsidR="00F95828">
          <w:rPr>
            <w:noProof/>
            <w:webHidden/>
          </w:rPr>
          <w:instrText xml:space="preserve"> PAGEREF _Toc95404102 \h </w:instrText>
        </w:r>
        <w:r w:rsidR="00F95828">
          <w:rPr>
            <w:noProof/>
            <w:webHidden/>
          </w:rPr>
          <w:fldChar w:fldCharType="separate"/>
        </w:r>
        <w:r w:rsidR="00F95828">
          <w:rPr>
            <w:noProof/>
            <w:webHidden/>
          </w:rPr>
          <w:t>4</w:t>
        </w:r>
        <w:r w:rsidR="00F95828">
          <w:rPr>
            <w:noProof/>
            <w:webHidden/>
          </w:rPr>
          <w:fldChar w:fldCharType="end"/>
        </w:r>
      </w:hyperlink>
    </w:p>
    <w:p w:rsidR="000D43C6" w14:paraId="1A6D3822" w14:textId="257234E6">
      <w:pPr>
        <w:pStyle w:val="TOC2"/>
        <w:tabs>
          <w:tab w:val="left" w:pos="1440"/>
        </w:tabs>
        <w:rPr>
          <w:rFonts w:asciiTheme="minorHAnsi" w:eastAsiaTheme="minorEastAsia" w:hAnsiTheme="minorHAnsi" w:cstheme="minorBidi"/>
          <w:noProof/>
          <w:sz w:val="22"/>
          <w:szCs w:val="22"/>
        </w:rPr>
      </w:pPr>
      <w:hyperlink w:anchor="_Toc95404103" w:history="1">
        <w:r w:rsidRPr="000E3C63" w:rsidR="00F95828">
          <w:rPr>
            <w:rStyle w:val="Hyperlink"/>
            <w:noProof/>
          </w:rPr>
          <w:t xml:space="preserve">B. </w:t>
        </w:r>
        <w:r w:rsidR="00F95828">
          <w:rPr>
            <w:rFonts w:asciiTheme="minorHAnsi" w:eastAsiaTheme="minorEastAsia" w:hAnsiTheme="minorHAnsi" w:cstheme="minorBidi"/>
            <w:noProof/>
            <w:sz w:val="22"/>
            <w:szCs w:val="22"/>
          </w:rPr>
          <w:tab/>
        </w:r>
        <w:r w:rsidRPr="000E3C63" w:rsidR="00F95828">
          <w:rPr>
            <w:rStyle w:val="Hyperlink"/>
            <w:noProof/>
          </w:rPr>
          <w:t xml:space="preserve">The PUCO should reject the Applicant/PUCO Staff Settlement </w:t>
        </w:r>
        <w:r w:rsidR="00F95828">
          <w:rPr>
            <w:rStyle w:val="Hyperlink"/>
            <w:noProof/>
          </w:rPr>
          <w:br/>
        </w:r>
        <w:r w:rsidRPr="000E3C63" w:rsidR="00F95828">
          <w:rPr>
            <w:rStyle w:val="Hyperlink"/>
            <w:noProof/>
          </w:rPr>
          <w:t>because it does not benefit consumers or the public interest.</w:t>
        </w:r>
        <w:r w:rsidR="00F95828">
          <w:rPr>
            <w:noProof/>
            <w:webHidden/>
          </w:rPr>
          <w:tab/>
        </w:r>
        <w:r w:rsidR="00F95828">
          <w:rPr>
            <w:noProof/>
            <w:webHidden/>
          </w:rPr>
          <w:fldChar w:fldCharType="begin"/>
        </w:r>
        <w:r w:rsidR="00F95828">
          <w:rPr>
            <w:noProof/>
            <w:webHidden/>
          </w:rPr>
          <w:instrText xml:space="preserve"> PAGEREF _Toc95404103 \h </w:instrText>
        </w:r>
        <w:r w:rsidR="00F95828">
          <w:rPr>
            <w:noProof/>
            <w:webHidden/>
          </w:rPr>
          <w:fldChar w:fldCharType="separate"/>
        </w:r>
        <w:r w:rsidR="00F95828">
          <w:rPr>
            <w:noProof/>
            <w:webHidden/>
          </w:rPr>
          <w:t>6</w:t>
        </w:r>
        <w:r w:rsidR="00F95828">
          <w:rPr>
            <w:noProof/>
            <w:webHidden/>
          </w:rPr>
          <w:fldChar w:fldCharType="end"/>
        </w:r>
      </w:hyperlink>
    </w:p>
    <w:p w:rsidR="000D43C6" w14:paraId="6B0F289F" w14:textId="29643193">
      <w:pPr>
        <w:pStyle w:val="TOC2"/>
        <w:tabs>
          <w:tab w:val="left" w:pos="1440"/>
        </w:tabs>
        <w:rPr>
          <w:rFonts w:asciiTheme="minorHAnsi" w:eastAsiaTheme="minorEastAsia" w:hAnsiTheme="minorHAnsi" w:cstheme="minorBidi"/>
          <w:noProof/>
          <w:sz w:val="22"/>
          <w:szCs w:val="22"/>
        </w:rPr>
      </w:pPr>
      <w:hyperlink w:anchor="_Toc95404104" w:history="1">
        <w:r w:rsidRPr="000E3C63" w:rsidR="00F95828">
          <w:rPr>
            <w:rStyle w:val="Hyperlink"/>
            <w:noProof/>
          </w:rPr>
          <w:t xml:space="preserve">C. </w:t>
        </w:r>
        <w:r w:rsidR="00F95828">
          <w:rPr>
            <w:rFonts w:asciiTheme="minorHAnsi" w:eastAsiaTheme="minorEastAsia" w:hAnsiTheme="minorHAnsi" w:cstheme="minorBidi"/>
            <w:noProof/>
            <w:sz w:val="22"/>
            <w:szCs w:val="22"/>
          </w:rPr>
          <w:tab/>
        </w:r>
        <w:r w:rsidRPr="000E3C63" w:rsidR="00F95828">
          <w:rPr>
            <w:rStyle w:val="Hyperlink"/>
            <w:noProof/>
          </w:rPr>
          <w:t xml:space="preserve">The PUCO should reject the Settlement because it violates </w:t>
        </w:r>
        <w:r w:rsidR="00F95828">
          <w:rPr>
            <w:rStyle w:val="Hyperlink"/>
            <w:noProof/>
          </w:rPr>
          <w:br/>
        </w:r>
        <w:r w:rsidRPr="000E3C63" w:rsidR="00F95828">
          <w:rPr>
            <w:rStyle w:val="Hyperlink"/>
            <w:noProof/>
          </w:rPr>
          <w:t>regulatory principles and practices.</w:t>
        </w:r>
        <w:r w:rsidR="00F95828">
          <w:rPr>
            <w:noProof/>
            <w:webHidden/>
          </w:rPr>
          <w:tab/>
        </w:r>
        <w:r w:rsidR="00F95828">
          <w:rPr>
            <w:noProof/>
            <w:webHidden/>
          </w:rPr>
          <w:fldChar w:fldCharType="begin"/>
        </w:r>
        <w:r w:rsidR="00F95828">
          <w:rPr>
            <w:noProof/>
            <w:webHidden/>
          </w:rPr>
          <w:instrText xml:space="preserve"> PAGEREF _Toc95404104 \h </w:instrText>
        </w:r>
        <w:r w:rsidR="00F95828">
          <w:rPr>
            <w:noProof/>
            <w:webHidden/>
          </w:rPr>
          <w:fldChar w:fldCharType="separate"/>
        </w:r>
        <w:r w:rsidR="00F95828">
          <w:rPr>
            <w:noProof/>
            <w:webHidden/>
          </w:rPr>
          <w:t>10</w:t>
        </w:r>
        <w:r w:rsidR="00F95828">
          <w:rPr>
            <w:noProof/>
            <w:webHidden/>
          </w:rPr>
          <w:fldChar w:fldCharType="end"/>
        </w:r>
      </w:hyperlink>
    </w:p>
    <w:p w:rsidR="000D43C6" w14:paraId="3F964569" w14:textId="03CE9BF6">
      <w:pPr>
        <w:pStyle w:val="TOC2"/>
        <w:tabs>
          <w:tab w:val="left" w:pos="1440"/>
        </w:tabs>
        <w:rPr>
          <w:rFonts w:asciiTheme="minorHAnsi" w:eastAsiaTheme="minorEastAsia" w:hAnsiTheme="minorHAnsi" w:cstheme="minorBidi"/>
          <w:noProof/>
          <w:sz w:val="22"/>
          <w:szCs w:val="22"/>
        </w:rPr>
      </w:pPr>
      <w:hyperlink w:anchor="_Toc95404105" w:history="1">
        <w:r w:rsidRPr="000E3C63" w:rsidR="00F95828">
          <w:rPr>
            <w:rStyle w:val="Hyperlink"/>
            <w:noProof/>
          </w:rPr>
          <w:t>D.</w:t>
        </w:r>
        <w:r w:rsidR="00F95828">
          <w:rPr>
            <w:rFonts w:asciiTheme="minorHAnsi" w:eastAsiaTheme="minorEastAsia" w:hAnsiTheme="minorHAnsi" w:cstheme="minorBidi"/>
            <w:noProof/>
            <w:sz w:val="22"/>
            <w:szCs w:val="22"/>
          </w:rPr>
          <w:tab/>
        </w:r>
        <w:r w:rsidRPr="000E3C63" w:rsidR="00F95828">
          <w:rPr>
            <w:rStyle w:val="Hyperlink"/>
            <w:noProof/>
          </w:rPr>
          <w:t xml:space="preserve">If the PUCO approves the Settlement, which it should not, the </w:t>
        </w:r>
        <w:r w:rsidR="00F95828">
          <w:rPr>
            <w:rStyle w:val="Hyperlink"/>
            <w:noProof/>
          </w:rPr>
          <w:br/>
        </w:r>
        <w:r w:rsidRPr="000E3C63" w:rsidR="00F95828">
          <w:rPr>
            <w:rStyle w:val="Hyperlink"/>
            <w:noProof/>
          </w:rPr>
          <w:t>PUCO should modify it as recommended by OCC Witness Haugh.</w:t>
        </w:r>
        <w:r w:rsidR="00F95828">
          <w:rPr>
            <w:noProof/>
            <w:webHidden/>
          </w:rPr>
          <w:tab/>
        </w:r>
        <w:r w:rsidR="00F95828">
          <w:rPr>
            <w:noProof/>
            <w:webHidden/>
          </w:rPr>
          <w:fldChar w:fldCharType="begin"/>
        </w:r>
        <w:r w:rsidR="00F95828">
          <w:rPr>
            <w:noProof/>
            <w:webHidden/>
          </w:rPr>
          <w:instrText xml:space="preserve"> PAGEREF _Toc95404105 \h </w:instrText>
        </w:r>
        <w:r w:rsidR="00F95828">
          <w:rPr>
            <w:noProof/>
            <w:webHidden/>
          </w:rPr>
          <w:fldChar w:fldCharType="separate"/>
        </w:r>
        <w:r w:rsidR="00F95828">
          <w:rPr>
            <w:noProof/>
            <w:webHidden/>
          </w:rPr>
          <w:t>14</w:t>
        </w:r>
        <w:r w:rsidR="00F95828">
          <w:rPr>
            <w:noProof/>
            <w:webHidden/>
          </w:rPr>
          <w:fldChar w:fldCharType="end"/>
        </w:r>
      </w:hyperlink>
    </w:p>
    <w:p w:rsidR="000D43C6" w14:paraId="02F1AB7C" w14:textId="49D56B05">
      <w:pPr>
        <w:pStyle w:val="TOC1"/>
        <w:rPr>
          <w:rFonts w:asciiTheme="minorHAnsi" w:eastAsiaTheme="minorEastAsia" w:hAnsiTheme="minorHAnsi" w:cstheme="minorBidi"/>
          <w:noProof/>
          <w:sz w:val="22"/>
          <w:szCs w:val="22"/>
        </w:rPr>
      </w:pPr>
      <w:hyperlink w:anchor="_Toc95404106" w:history="1">
        <w:r w:rsidRPr="000E3C63" w:rsidR="00F95828">
          <w:rPr>
            <w:rStyle w:val="Hyperlink"/>
            <w:noProof/>
          </w:rPr>
          <w:t>III.</w:t>
        </w:r>
        <w:r w:rsidR="00F95828">
          <w:rPr>
            <w:rFonts w:asciiTheme="minorHAnsi" w:eastAsiaTheme="minorEastAsia" w:hAnsiTheme="minorHAnsi" w:cstheme="minorBidi"/>
            <w:noProof/>
            <w:sz w:val="22"/>
            <w:szCs w:val="22"/>
          </w:rPr>
          <w:tab/>
        </w:r>
        <w:r w:rsidRPr="000E3C63" w:rsidR="00F95828">
          <w:rPr>
            <w:rStyle w:val="Hyperlink"/>
            <w:noProof/>
          </w:rPr>
          <w:t>CONCLUSION</w:t>
        </w:r>
        <w:r w:rsidR="00F95828">
          <w:rPr>
            <w:noProof/>
            <w:webHidden/>
          </w:rPr>
          <w:tab/>
        </w:r>
        <w:r w:rsidR="00F95828">
          <w:rPr>
            <w:noProof/>
            <w:webHidden/>
          </w:rPr>
          <w:fldChar w:fldCharType="begin"/>
        </w:r>
        <w:r w:rsidR="00F95828">
          <w:rPr>
            <w:noProof/>
            <w:webHidden/>
          </w:rPr>
          <w:instrText xml:space="preserve"> PAGEREF _Toc95404106 \h </w:instrText>
        </w:r>
        <w:r w:rsidR="00F95828">
          <w:rPr>
            <w:noProof/>
            <w:webHidden/>
          </w:rPr>
          <w:fldChar w:fldCharType="separate"/>
        </w:r>
        <w:r w:rsidR="00F95828">
          <w:rPr>
            <w:noProof/>
            <w:webHidden/>
          </w:rPr>
          <w:t>15</w:t>
        </w:r>
        <w:r w:rsidR="00F95828">
          <w:rPr>
            <w:noProof/>
            <w:webHidden/>
          </w:rPr>
          <w:fldChar w:fldCharType="end"/>
        </w:r>
      </w:hyperlink>
    </w:p>
    <w:p w:rsidR="00B54C67" w:rsidRPr="00A65CA7" w:rsidP="00B54C67" w14:paraId="19E9B596" w14:textId="0C4C5B76">
      <w:pPr>
        <w:pStyle w:val="HTMLPreformatted"/>
        <w:jc w:val="right"/>
        <w:rPr>
          <w:rFonts w:ascii="Times New Roman" w:hAnsi="Times New Roman" w:cs="Times New Roman"/>
          <w:b/>
          <w:bCs/>
          <w:sz w:val="24"/>
          <w:szCs w:val="24"/>
        </w:rPr>
      </w:pPr>
      <w:r w:rsidRPr="00A65CA7">
        <w:rPr>
          <w:rFonts w:ascii="Times New Roman" w:hAnsi="Times New Roman" w:cs="Times New Roman"/>
          <w:b/>
          <w:bCs/>
          <w:sz w:val="24"/>
          <w:szCs w:val="24"/>
        </w:rPr>
        <w:fldChar w:fldCharType="end"/>
      </w:r>
    </w:p>
    <w:p w:rsidR="00B54C67" w:rsidRPr="00A65CA7" w:rsidP="00B54C67" w14:paraId="0F119A92" w14:textId="77777777">
      <w:pPr>
        <w:pStyle w:val="HTMLPreformatted"/>
        <w:jc w:val="right"/>
        <w:rPr>
          <w:rFonts w:ascii="Times New Roman" w:hAnsi="Times New Roman" w:cs="Times New Roman"/>
          <w:b/>
          <w:bCs/>
          <w:sz w:val="24"/>
          <w:szCs w:val="24"/>
        </w:rPr>
      </w:pPr>
    </w:p>
    <w:p w:rsidR="00BB1615" w:rsidRPr="00A65CA7" w:rsidP="00BB1615" w14:paraId="54E3E854" w14:textId="77777777">
      <w:pPr>
        <w:rPr>
          <w:szCs w:val="24"/>
        </w:rPr>
      </w:pPr>
    </w:p>
    <w:p w:rsidR="00BB1615" w:rsidRPr="00A65CA7" w:rsidP="00BB1615" w14:paraId="3B25CD40" w14:textId="77777777">
      <w:pPr>
        <w:rPr>
          <w:szCs w:val="24"/>
        </w:rPr>
      </w:pPr>
    </w:p>
    <w:p w:rsidR="00BB1615" w:rsidRPr="00A65CA7" w:rsidP="00BB1615" w14:paraId="0FABAC92" w14:textId="77777777">
      <w:pPr>
        <w:rPr>
          <w:szCs w:val="24"/>
        </w:rPr>
      </w:pPr>
    </w:p>
    <w:p w:rsidR="00BB1615" w:rsidRPr="00A65CA7" w:rsidP="00BB1615" w14:paraId="786E699F" w14:textId="77777777">
      <w:pPr>
        <w:rPr>
          <w:szCs w:val="24"/>
        </w:rPr>
      </w:pPr>
    </w:p>
    <w:p w:rsidR="00BB1615" w:rsidRPr="00A65CA7" w:rsidP="00BB1615" w14:paraId="5808AE41" w14:textId="77777777">
      <w:pPr>
        <w:rPr>
          <w:szCs w:val="24"/>
        </w:rPr>
      </w:pPr>
    </w:p>
    <w:p w:rsidR="00BB1615" w:rsidRPr="00A65CA7" w:rsidP="00BB1615" w14:paraId="24F2991A" w14:textId="77777777">
      <w:pPr>
        <w:rPr>
          <w:szCs w:val="24"/>
        </w:rPr>
      </w:pPr>
    </w:p>
    <w:p w:rsidR="00BB1615" w:rsidRPr="00A65CA7" w:rsidP="00BB1615" w14:paraId="2C531B9B" w14:textId="77777777">
      <w:pPr>
        <w:rPr>
          <w:szCs w:val="24"/>
        </w:rPr>
      </w:pPr>
    </w:p>
    <w:p w:rsidR="00BB1615" w:rsidRPr="00A65CA7" w:rsidP="00BB1615" w14:paraId="1B9D8549" w14:textId="2CFBA83A">
      <w:pPr>
        <w:tabs>
          <w:tab w:val="left" w:pos="6616"/>
        </w:tabs>
        <w:rPr>
          <w:rFonts w:eastAsia="Courier New"/>
          <w:b/>
          <w:bCs/>
          <w:szCs w:val="24"/>
        </w:rPr>
      </w:pPr>
      <w:r w:rsidRPr="00A65CA7">
        <w:rPr>
          <w:rFonts w:eastAsia="Courier New"/>
          <w:b/>
          <w:bCs/>
          <w:szCs w:val="24"/>
        </w:rPr>
        <w:tab/>
      </w:r>
    </w:p>
    <w:p w:rsidR="00BB1615" w:rsidRPr="00A65CA7" w:rsidP="00BB1615" w14:paraId="35E7EB39" w14:textId="050F09E7">
      <w:pPr>
        <w:tabs>
          <w:tab w:val="left" w:pos="6616"/>
        </w:tabs>
        <w:rPr>
          <w:szCs w:val="24"/>
        </w:rPr>
        <w:sectPr w:rsidSect="00B54C67">
          <w:footerReference w:type="first" r:id="rId9"/>
          <w:pgSz w:w="12240" w:h="15840"/>
          <w:pgMar w:top="1440" w:right="1800" w:bottom="1440" w:left="1800" w:header="720" w:footer="720" w:gutter="0"/>
          <w:pgNumType w:fmt="lowerRoman" w:start="1"/>
          <w:cols w:space="720"/>
          <w:titlePg/>
          <w:docGrid w:linePitch="326"/>
        </w:sectPr>
      </w:pPr>
      <w:r w:rsidRPr="00A65CA7">
        <w:rPr>
          <w:szCs w:val="24"/>
        </w:rPr>
        <w:tab/>
      </w:r>
    </w:p>
    <w:p w:rsidR="00A044B5" w:rsidRPr="00A65CA7" w14:paraId="1D37B83C" w14:textId="77777777">
      <w:pPr>
        <w:pStyle w:val="HTMLPreformatted"/>
        <w:jc w:val="center"/>
        <w:rPr>
          <w:rFonts w:ascii="Times New Roman" w:hAnsi="Times New Roman" w:cs="Times New Roman"/>
          <w:b/>
          <w:bCs/>
          <w:sz w:val="24"/>
          <w:szCs w:val="24"/>
        </w:rPr>
      </w:pPr>
      <w:r w:rsidRPr="00A65CA7">
        <w:rPr>
          <w:rFonts w:ascii="Times New Roman" w:hAnsi="Times New Roman" w:cs="Times New Roman"/>
          <w:b/>
          <w:bCs/>
          <w:sz w:val="24"/>
          <w:szCs w:val="24"/>
        </w:rPr>
        <w:t>BEFORE</w:t>
      </w:r>
    </w:p>
    <w:p w:rsidR="00A044B5" w:rsidRPr="00A65CA7" w14:paraId="7DA3970E" w14:textId="77777777">
      <w:pPr>
        <w:pStyle w:val="HTMLPreformatted"/>
        <w:jc w:val="center"/>
        <w:rPr>
          <w:rFonts w:ascii="Times New Roman" w:hAnsi="Times New Roman" w:cs="Times New Roman"/>
          <w:sz w:val="24"/>
          <w:szCs w:val="24"/>
        </w:rPr>
      </w:pPr>
      <w:r w:rsidRPr="00A65CA7">
        <w:rPr>
          <w:rFonts w:ascii="Times New Roman" w:hAnsi="Times New Roman" w:cs="Times New Roman"/>
          <w:b/>
          <w:bCs/>
          <w:sz w:val="24"/>
          <w:szCs w:val="24"/>
        </w:rPr>
        <w:t>THE PUBLIC UTILITIES COMMISSION OF OHIO</w:t>
      </w:r>
    </w:p>
    <w:p w:rsidR="00A044B5" w:rsidRPr="00A65CA7" w14:paraId="07E6FC4F" w14:textId="77777777">
      <w:pPr>
        <w:pStyle w:val="HTMLPreformatted"/>
        <w:rPr>
          <w:rFonts w:ascii="Times New Roman" w:hAnsi="Times New Roman" w:cs="Times New Roman"/>
          <w:sz w:val="24"/>
          <w:szCs w:val="24"/>
        </w:rPr>
      </w:pPr>
    </w:p>
    <w:tbl>
      <w:tblPr>
        <w:tblW w:w="8838" w:type="dxa"/>
        <w:tblLook w:val="01E0"/>
      </w:tblPr>
      <w:tblGrid>
        <w:gridCol w:w="4332"/>
        <w:gridCol w:w="636"/>
        <w:gridCol w:w="3870"/>
      </w:tblGrid>
      <w:tr w14:paraId="653C923D" w14:textId="77777777" w:rsidTr="00171004">
        <w:tblPrEx>
          <w:tblW w:w="8838" w:type="dxa"/>
          <w:tblLook w:val="01E0"/>
        </w:tblPrEx>
        <w:trPr>
          <w:trHeight w:val="807"/>
        </w:trPr>
        <w:tc>
          <w:tcPr>
            <w:tcW w:w="4332" w:type="dxa"/>
            <w:shd w:val="clear" w:color="auto" w:fill="auto"/>
          </w:tcPr>
          <w:p w:rsidR="00A044B5" w:rsidRPr="00A65CA7" w:rsidP="006A2F84" w14:paraId="436A1EDE" w14:textId="77777777">
            <w:pPr>
              <w:pStyle w:val="HTMLPreformatted"/>
              <w:rPr>
                <w:rFonts w:ascii="Times New Roman" w:hAnsi="Times New Roman" w:cs="Times New Roman"/>
                <w:sz w:val="24"/>
                <w:szCs w:val="24"/>
              </w:rPr>
            </w:pPr>
            <w:r w:rsidRPr="00A65CA7">
              <w:rPr>
                <w:rFonts w:ascii="Times New Roman" w:hAnsi="Times New Roman" w:cs="Times New Roman"/>
                <w:sz w:val="24"/>
                <w:szCs w:val="24"/>
              </w:rPr>
              <w:t>In the Matter of</w:t>
            </w:r>
            <w:r w:rsidRPr="00A65CA7" w:rsidR="006A2F84">
              <w:rPr>
                <w:rFonts w:ascii="Times New Roman" w:hAnsi="Times New Roman" w:cs="Times New Roman"/>
                <w:sz w:val="24"/>
                <w:szCs w:val="24"/>
              </w:rPr>
              <w:t xml:space="preserve"> the Application of Campbell Soup Supply Company L.L.C. for the Approval of a Reasonable Arrangement for its Napoleon, Ohio Plant</w:t>
            </w:r>
            <w:r w:rsidRPr="00A65CA7" w:rsidR="00317043">
              <w:rPr>
                <w:rFonts w:ascii="Times New Roman" w:hAnsi="Times New Roman" w:cs="Times New Roman"/>
                <w:sz w:val="24"/>
                <w:szCs w:val="24"/>
              </w:rPr>
              <w:t>.</w:t>
            </w:r>
          </w:p>
        </w:tc>
        <w:tc>
          <w:tcPr>
            <w:tcW w:w="636" w:type="dxa"/>
            <w:shd w:val="clear" w:color="auto" w:fill="auto"/>
          </w:tcPr>
          <w:p w:rsidR="00A044B5" w:rsidRPr="00A65CA7" w14:paraId="592EFF04" w14:textId="77777777">
            <w:pPr>
              <w:pStyle w:val="HTMLPreformatted"/>
              <w:rPr>
                <w:rFonts w:ascii="Times New Roman" w:hAnsi="Times New Roman" w:cs="Times New Roman"/>
                <w:sz w:val="24"/>
                <w:szCs w:val="24"/>
              </w:rPr>
            </w:pPr>
            <w:r w:rsidRPr="00A65CA7">
              <w:rPr>
                <w:rFonts w:ascii="Times New Roman" w:hAnsi="Times New Roman" w:cs="Times New Roman"/>
                <w:sz w:val="24"/>
                <w:szCs w:val="24"/>
              </w:rPr>
              <w:t>)</w:t>
            </w:r>
          </w:p>
          <w:p w:rsidR="00A044B5" w:rsidRPr="00A65CA7" w14:paraId="7AFA2A85" w14:textId="77777777">
            <w:pPr>
              <w:pStyle w:val="HTMLPreformatted"/>
              <w:rPr>
                <w:rFonts w:ascii="Times New Roman" w:hAnsi="Times New Roman" w:cs="Times New Roman"/>
                <w:sz w:val="24"/>
                <w:szCs w:val="24"/>
              </w:rPr>
            </w:pPr>
            <w:r w:rsidRPr="00A65CA7">
              <w:rPr>
                <w:rFonts w:ascii="Times New Roman" w:hAnsi="Times New Roman" w:cs="Times New Roman"/>
                <w:sz w:val="24"/>
                <w:szCs w:val="24"/>
              </w:rPr>
              <w:t>)</w:t>
            </w:r>
          </w:p>
          <w:p w:rsidR="00A044B5" w:rsidRPr="00A65CA7" w14:paraId="6A3E29FF" w14:textId="77777777">
            <w:pPr>
              <w:pStyle w:val="HTMLPreformatted"/>
              <w:rPr>
                <w:rFonts w:ascii="Times New Roman" w:hAnsi="Times New Roman" w:cs="Times New Roman"/>
                <w:sz w:val="24"/>
                <w:szCs w:val="24"/>
              </w:rPr>
            </w:pPr>
            <w:r w:rsidRPr="00A65CA7">
              <w:rPr>
                <w:rFonts w:ascii="Times New Roman" w:hAnsi="Times New Roman" w:cs="Times New Roman"/>
                <w:sz w:val="24"/>
                <w:szCs w:val="24"/>
              </w:rPr>
              <w:t>)</w:t>
            </w:r>
          </w:p>
          <w:p w:rsidR="00A044B5" w:rsidRPr="00A65CA7" w14:paraId="6DDE1B3D" w14:textId="77777777">
            <w:pPr>
              <w:pStyle w:val="HTMLPreformatted"/>
              <w:rPr>
                <w:rFonts w:ascii="Times New Roman" w:hAnsi="Times New Roman" w:cs="Times New Roman"/>
                <w:sz w:val="24"/>
                <w:szCs w:val="24"/>
              </w:rPr>
            </w:pPr>
            <w:r w:rsidRPr="00A65CA7">
              <w:rPr>
                <w:rFonts w:ascii="Times New Roman" w:hAnsi="Times New Roman" w:cs="Times New Roman"/>
                <w:sz w:val="24"/>
                <w:szCs w:val="24"/>
              </w:rPr>
              <w:t>)</w:t>
            </w:r>
          </w:p>
        </w:tc>
        <w:tc>
          <w:tcPr>
            <w:tcW w:w="3870" w:type="dxa"/>
            <w:shd w:val="clear" w:color="auto" w:fill="auto"/>
          </w:tcPr>
          <w:p w:rsidR="00A044B5" w:rsidRPr="00A65CA7" w14:paraId="7CC7D9CF" w14:textId="77777777">
            <w:pPr>
              <w:pStyle w:val="HTMLPreformatted"/>
              <w:rPr>
                <w:rFonts w:ascii="Times New Roman" w:hAnsi="Times New Roman" w:cs="Times New Roman"/>
                <w:sz w:val="24"/>
                <w:szCs w:val="24"/>
              </w:rPr>
            </w:pPr>
          </w:p>
          <w:p w:rsidR="00A044B5" w:rsidRPr="00A65CA7" w14:paraId="19FBD4B6" w14:textId="77777777">
            <w:pPr>
              <w:pStyle w:val="HTMLPreformatted"/>
              <w:rPr>
                <w:rFonts w:ascii="Times New Roman" w:hAnsi="Times New Roman" w:cs="Times New Roman"/>
                <w:sz w:val="24"/>
                <w:szCs w:val="24"/>
              </w:rPr>
            </w:pPr>
            <w:r w:rsidRPr="00A65CA7">
              <w:rPr>
                <w:rFonts w:ascii="Times New Roman" w:hAnsi="Times New Roman" w:cs="Times New Roman"/>
                <w:sz w:val="24"/>
                <w:szCs w:val="24"/>
              </w:rPr>
              <w:t xml:space="preserve">Case No. </w:t>
            </w:r>
            <w:r w:rsidRPr="00A65CA7" w:rsidR="006A2F84">
              <w:rPr>
                <w:rFonts w:ascii="Times New Roman" w:hAnsi="Times New Roman" w:cs="Times New Roman"/>
                <w:sz w:val="24"/>
                <w:szCs w:val="24"/>
              </w:rPr>
              <w:t>21-1047-EL-AEC</w:t>
            </w:r>
          </w:p>
          <w:p w:rsidR="00A044B5" w:rsidRPr="00A65CA7" w14:paraId="6D1BFCFE" w14:textId="77777777">
            <w:pPr>
              <w:pStyle w:val="HTMLPreformatted"/>
              <w:rPr>
                <w:rFonts w:ascii="Times New Roman" w:hAnsi="Times New Roman" w:cs="Times New Roman"/>
                <w:sz w:val="24"/>
                <w:szCs w:val="24"/>
              </w:rPr>
            </w:pPr>
          </w:p>
          <w:p w:rsidR="00A044B5" w:rsidRPr="00A65CA7" w14:paraId="65C582EC" w14:textId="77777777">
            <w:pPr>
              <w:pStyle w:val="HTMLPreformatted"/>
              <w:rPr>
                <w:rFonts w:ascii="Times New Roman" w:hAnsi="Times New Roman" w:cs="Times New Roman"/>
                <w:sz w:val="24"/>
                <w:szCs w:val="24"/>
              </w:rPr>
            </w:pPr>
          </w:p>
        </w:tc>
      </w:tr>
    </w:tbl>
    <w:p w:rsidR="00A044B5" w:rsidRPr="00A65CA7" w14:paraId="5FC32DB0" w14:textId="77777777">
      <w:pPr>
        <w:pStyle w:val="HTMLPreformatted"/>
        <w:rPr>
          <w:rFonts w:ascii="Times New Roman" w:hAnsi="Times New Roman" w:cs="Times New Roman"/>
          <w:sz w:val="24"/>
          <w:szCs w:val="24"/>
        </w:rPr>
      </w:pPr>
    </w:p>
    <w:p w:rsidR="00A044B5" w:rsidRPr="00A65CA7" w14:paraId="5DBC989F" w14:textId="77777777">
      <w:pPr>
        <w:pStyle w:val="HTMLPreformatted"/>
        <w:pBdr>
          <w:top w:val="single" w:sz="12" w:space="1" w:color="auto"/>
        </w:pBdr>
        <w:rPr>
          <w:rFonts w:ascii="Times New Roman" w:hAnsi="Times New Roman" w:cs="Times New Roman"/>
          <w:sz w:val="24"/>
          <w:szCs w:val="24"/>
        </w:rPr>
      </w:pPr>
    </w:p>
    <w:p w:rsidR="003D6EAB" w:rsidRPr="00A65CA7" w14:paraId="2737E3E1" w14:textId="77777777">
      <w:pPr>
        <w:jc w:val="center"/>
        <w:rPr>
          <w:b/>
          <w:bCs/>
          <w:szCs w:val="24"/>
        </w:rPr>
      </w:pPr>
      <w:r w:rsidRPr="00A65CA7">
        <w:rPr>
          <w:b/>
          <w:bCs/>
          <w:szCs w:val="24"/>
        </w:rPr>
        <w:t>POST</w:t>
      </w:r>
      <w:r w:rsidRPr="00A65CA7" w:rsidR="00201D11">
        <w:rPr>
          <w:b/>
          <w:bCs/>
          <w:szCs w:val="24"/>
        </w:rPr>
        <w:t>-</w:t>
      </w:r>
      <w:r w:rsidRPr="00A65CA7">
        <w:rPr>
          <w:b/>
          <w:bCs/>
          <w:szCs w:val="24"/>
        </w:rPr>
        <w:t>HEARING</w:t>
      </w:r>
      <w:r w:rsidRPr="00A65CA7" w:rsidR="00BC106E">
        <w:rPr>
          <w:b/>
          <w:bCs/>
          <w:szCs w:val="24"/>
        </w:rPr>
        <w:t xml:space="preserve"> BRIEF </w:t>
      </w:r>
    </w:p>
    <w:p w:rsidR="00A044B5" w:rsidRPr="00A65CA7" w14:paraId="262DF998" w14:textId="77777777">
      <w:pPr>
        <w:jc w:val="center"/>
        <w:rPr>
          <w:b/>
          <w:bCs/>
          <w:szCs w:val="24"/>
        </w:rPr>
      </w:pPr>
      <w:r w:rsidRPr="00A65CA7">
        <w:rPr>
          <w:b/>
          <w:bCs/>
          <w:szCs w:val="24"/>
        </w:rPr>
        <w:t>BY</w:t>
      </w:r>
    </w:p>
    <w:p w:rsidR="00A044B5" w:rsidRPr="00A65CA7" w14:paraId="4CCD014D" w14:textId="77777777">
      <w:pPr>
        <w:jc w:val="center"/>
        <w:rPr>
          <w:b/>
          <w:bCs/>
          <w:szCs w:val="24"/>
        </w:rPr>
      </w:pPr>
      <w:r w:rsidRPr="00A65CA7">
        <w:rPr>
          <w:b/>
          <w:bCs/>
          <w:szCs w:val="24"/>
        </w:rPr>
        <w:t>OFFICE OF THE OHIO CONSUMERS’ COUNSEL</w:t>
      </w:r>
    </w:p>
    <w:p w:rsidR="00A044B5" w:rsidRPr="00A65CA7" w14:paraId="6FB7D2F1" w14:textId="77777777">
      <w:pPr>
        <w:pBdr>
          <w:bottom w:val="single" w:sz="12" w:space="1" w:color="auto"/>
        </w:pBdr>
        <w:tabs>
          <w:tab w:val="left" w:pos="4320"/>
        </w:tabs>
        <w:rPr>
          <w:szCs w:val="24"/>
        </w:rPr>
      </w:pPr>
    </w:p>
    <w:p w:rsidR="00A044B5" w:rsidRPr="00A65CA7" w14:paraId="7A245DEF" w14:textId="77777777">
      <w:pPr>
        <w:tabs>
          <w:tab w:val="left" w:pos="4320"/>
        </w:tabs>
        <w:rPr>
          <w:szCs w:val="24"/>
        </w:rPr>
      </w:pPr>
    </w:p>
    <w:p w:rsidR="00723316" w:rsidRPr="00A65CA7" w:rsidP="00B54C67" w14:paraId="603499BA" w14:textId="77777777">
      <w:pPr>
        <w:pStyle w:val="Heading1"/>
        <w:rPr>
          <w:rFonts w:ascii="Times New Roman" w:hAnsi="Times New Roman"/>
        </w:rPr>
      </w:pPr>
      <w:bookmarkStart w:id="0" w:name="_Toc94891995"/>
      <w:bookmarkStart w:id="1" w:name="_Toc94892037"/>
      <w:bookmarkStart w:id="2" w:name="_Toc95404100"/>
      <w:r w:rsidRPr="00A65CA7">
        <w:rPr>
          <w:rFonts w:ascii="Times New Roman" w:hAnsi="Times New Roman"/>
        </w:rPr>
        <w:t>I.</w:t>
      </w:r>
      <w:r w:rsidRPr="00A65CA7">
        <w:rPr>
          <w:rFonts w:ascii="Times New Roman" w:hAnsi="Times New Roman"/>
        </w:rPr>
        <w:tab/>
        <w:t>INT</w:t>
      </w:r>
      <w:r w:rsidRPr="00A65CA7" w:rsidR="007D0A11">
        <w:rPr>
          <w:rFonts w:ascii="Times New Roman" w:hAnsi="Times New Roman"/>
        </w:rPr>
        <w:t>RODUCTION</w:t>
      </w:r>
      <w:bookmarkEnd w:id="0"/>
      <w:bookmarkEnd w:id="1"/>
      <w:bookmarkEnd w:id="2"/>
    </w:p>
    <w:p w:rsidR="00CB2D5C" w:rsidRPr="00A65CA7" w:rsidP="00CB2D5C" w14:paraId="5CFA50CE" w14:textId="2369D49F">
      <w:pPr>
        <w:pStyle w:val="BodyTextIndent3"/>
        <w:widowControl w:val="0"/>
        <w:spacing w:line="480" w:lineRule="auto"/>
        <w:rPr>
          <w:szCs w:val="24"/>
        </w:rPr>
      </w:pPr>
      <w:r w:rsidRPr="00A65CA7">
        <w:rPr>
          <w:szCs w:val="24"/>
        </w:rPr>
        <w:t xml:space="preserve">Campbell Supply </w:t>
      </w:r>
      <w:r w:rsidRPr="00A65CA7" w:rsidR="00853EB2">
        <w:rPr>
          <w:szCs w:val="24"/>
        </w:rPr>
        <w:t xml:space="preserve">(“Applicant”) </w:t>
      </w:r>
      <w:r w:rsidRPr="00A65CA7">
        <w:rPr>
          <w:szCs w:val="24"/>
        </w:rPr>
        <w:t>and the Staff of the Public Utilities Commission of Ohio (“PUCO”) have proposed a</w:t>
      </w:r>
      <w:r w:rsidRPr="00A65CA7" w:rsidR="007D0A11">
        <w:rPr>
          <w:szCs w:val="24"/>
        </w:rPr>
        <w:t xml:space="preserve"> </w:t>
      </w:r>
      <w:r w:rsidRPr="00A65CA7" w:rsidR="00B82695">
        <w:rPr>
          <w:szCs w:val="24"/>
        </w:rPr>
        <w:t>“</w:t>
      </w:r>
      <w:r w:rsidRPr="00A65CA7" w:rsidR="007D0A11">
        <w:rPr>
          <w:szCs w:val="24"/>
        </w:rPr>
        <w:t>Settlement</w:t>
      </w:r>
      <w:r w:rsidRPr="00A65CA7">
        <w:rPr>
          <w:szCs w:val="24"/>
        </w:rPr>
        <w:t>”</w:t>
      </w:r>
      <w:r>
        <w:rPr>
          <w:rStyle w:val="FootnoteReference"/>
          <w:szCs w:val="24"/>
        </w:rPr>
        <w:footnoteReference w:id="2"/>
      </w:r>
      <w:r w:rsidRPr="00A65CA7" w:rsidR="007D0A11">
        <w:rPr>
          <w:szCs w:val="24"/>
        </w:rPr>
        <w:t xml:space="preserve"> </w:t>
      </w:r>
      <w:r w:rsidRPr="00A65CA7">
        <w:rPr>
          <w:szCs w:val="24"/>
        </w:rPr>
        <w:t>for the PUCO</w:t>
      </w:r>
      <w:r w:rsidRPr="00A65CA7" w:rsidR="00640135">
        <w:rPr>
          <w:szCs w:val="24"/>
        </w:rPr>
        <w:t>’s approval</w:t>
      </w:r>
      <w:r w:rsidRPr="00A65CA7">
        <w:rPr>
          <w:szCs w:val="24"/>
        </w:rPr>
        <w:t>.</w:t>
      </w:r>
      <w:r w:rsidRPr="00A65CA7" w:rsidR="00002FE7">
        <w:rPr>
          <w:szCs w:val="24"/>
        </w:rPr>
        <w:t xml:space="preserve"> </w:t>
      </w:r>
      <w:r w:rsidRPr="00A65CA7">
        <w:rPr>
          <w:szCs w:val="24"/>
        </w:rPr>
        <w:t xml:space="preserve">Their Settlement simply adopts the Applicant’s </w:t>
      </w:r>
      <w:r w:rsidRPr="00A65CA7" w:rsidR="00EE1AD8">
        <w:rPr>
          <w:szCs w:val="24"/>
        </w:rPr>
        <w:t>prop</w:t>
      </w:r>
      <w:r w:rsidRPr="00A65CA7">
        <w:rPr>
          <w:szCs w:val="24"/>
        </w:rPr>
        <w:t>o</w:t>
      </w:r>
      <w:r w:rsidRPr="00A65CA7" w:rsidR="00EE1AD8">
        <w:rPr>
          <w:szCs w:val="24"/>
        </w:rPr>
        <w:t xml:space="preserve">sed </w:t>
      </w:r>
      <w:r w:rsidRPr="00A65CA7" w:rsidR="003B4B30">
        <w:rPr>
          <w:szCs w:val="24"/>
        </w:rPr>
        <w:t>a</w:t>
      </w:r>
      <w:r w:rsidRPr="00A65CA7">
        <w:rPr>
          <w:szCs w:val="24"/>
        </w:rPr>
        <w:t>pplication, exactly as filed.</w:t>
      </w:r>
      <w:r>
        <w:rPr>
          <w:rStyle w:val="FootnoteReference"/>
          <w:szCs w:val="24"/>
        </w:rPr>
        <w:footnoteReference w:id="3"/>
      </w:r>
      <w:r w:rsidRPr="00A65CA7">
        <w:rPr>
          <w:szCs w:val="24"/>
        </w:rPr>
        <w:t xml:space="preserve"> </w:t>
      </w:r>
      <w:r w:rsidRPr="00A65CA7" w:rsidR="003513E0">
        <w:rPr>
          <w:szCs w:val="24"/>
        </w:rPr>
        <w:t xml:space="preserve">In essence, the signatories are misusing the PUCO’s settlement standards to obtain the litigation advantage </w:t>
      </w:r>
      <w:r w:rsidRPr="00A65CA7" w:rsidR="008F6DE7">
        <w:rPr>
          <w:szCs w:val="24"/>
        </w:rPr>
        <w:t>afforded</w:t>
      </w:r>
      <w:r w:rsidRPr="00A65CA7" w:rsidR="003513E0">
        <w:rPr>
          <w:szCs w:val="24"/>
        </w:rPr>
        <w:t xml:space="preserve"> by those standards, without any real compromise. </w:t>
      </w:r>
    </w:p>
    <w:p w:rsidR="004F519A" w:rsidRPr="00A65CA7" w:rsidP="00CB2D5C" w14:paraId="09FADFAE" w14:textId="77777777">
      <w:pPr>
        <w:pStyle w:val="BodyTextIndent3"/>
        <w:widowControl w:val="0"/>
        <w:spacing w:line="480" w:lineRule="auto"/>
        <w:rPr>
          <w:szCs w:val="24"/>
        </w:rPr>
      </w:pPr>
      <w:r w:rsidRPr="00A65CA7">
        <w:rPr>
          <w:szCs w:val="24"/>
        </w:rPr>
        <w:t>T</w:t>
      </w:r>
      <w:r w:rsidRPr="00A65CA7" w:rsidR="008F6DE7">
        <w:rPr>
          <w:szCs w:val="24"/>
        </w:rPr>
        <w:t xml:space="preserve">heir </w:t>
      </w:r>
      <w:r w:rsidRPr="00A65CA7" w:rsidR="000F397F">
        <w:rPr>
          <w:szCs w:val="24"/>
        </w:rPr>
        <w:t xml:space="preserve">proposed </w:t>
      </w:r>
      <w:r w:rsidRPr="00A65CA7">
        <w:rPr>
          <w:szCs w:val="24"/>
        </w:rPr>
        <w:t xml:space="preserve">Settlement </w:t>
      </w:r>
      <w:r w:rsidRPr="00A65CA7" w:rsidR="000F397F">
        <w:rPr>
          <w:szCs w:val="24"/>
        </w:rPr>
        <w:t xml:space="preserve">would </w:t>
      </w:r>
      <w:r w:rsidRPr="00A65CA7" w:rsidR="00B82695">
        <w:rPr>
          <w:szCs w:val="24"/>
        </w:rPr>
        <w:t>exempt the</w:t>
      </w:r>
      <w:r w:rsidRPr="00A65CA7" w:rsidR="00853EB2">
        <w:rPr>
          <w:szCs w:val="24"/>
        </w:rPr>
        <w:t xml:space="preserve"> Applicant </w:t>
      </w:r>
      <w:r w:rsidRPr="00A65CA7" w:rsidR="00B82695">
        <w:rPr>
          <w:szCs w:val="24"/>
        </w:rPr>
        <w:t>from paying</w:t>
      </w:r>
      <w:r w:rsidRPr="00A65CA7" w:rsidR="00853EB2">
        <w:rPr>
          <w:szCs w:val="24"/>
        </w:rPr>
        <w:t xml:space="preserve"> transmission charges to </w:t>
      </w:r>
      <w:r w:rsidRPr="00A65CA7" w:rsidR="00480607">
        <w:rPr>
          <w:szCs w:val="24"/>
        </w:rPr>
        <w:t>Toledo Edison</w:t>
      </w:r>
      <w:r w:rsidRPr="00A65CA7" w:rsidR="008F6DE7">
        <w:rPr>
          <w:szCs w:val="24"/>
        </w:rPr>
        <w:t xml:space="preserve"> </w:t>
      </w:r>
      <w:r w:rsidRPr="00A65CA7" w:rsidR="00522B91">
        <w:rPr>
          <w:szCs w:val="24"/>
        </w:rPr>
        <w:t>(“FirstEnergy”)</w:t>
      </w:r>
      <w:r w:rsidRPr="00A65CA7" w:rsidR="008F6DE7">
        <w:rPr>
          <w:szCs w:val="24"/>
        </w:rPr>
        <w:t>. The exemption would occur through</w:t>
      </w:r>
      <w:r w:rsidRPr="00A65CA7" w:rsidR="00480607">
        <w:rPr>
          <w:szCs w:val="24"/>
        </w:rPr>
        <w:t xml:space="preserve"> </w:t>
      </w:r>
      <w:r w:rsidRPr="00A65CA7" w:rsidR="008F6DE7">
        <w:rPr>
          <w:szCs w:val="24"/>
        </w:rPr>
        <w:t xml:space="preserve">a pilot program designed to waive large-business payment of </w:t>
      </w:r>
      <w:r w:rsidRPr="00A65CA7" w:rsidR="000F397F">
        <w:rPr>
          <w:szCs w:val="24"/>
        </w:rPr>
        <w:t xml:space="preserve">the </w:t>
      </w:r>
      <w:r w:rsidRPr="00A65CA7" w:rsidR="008F6DE7">
        <w:rPr>
          <w:szCs w:val="24"/>
        </w:rPr>
        <w:t>so-called</w:t>
      </w:r>
      <w:r w:rsidRPr="00A65CA7" w:rsidR="0074794B">
        <w:rPr>
          <w:szCs w:val="24"/>
        </w:rPr>
        <w:t xml:space="preserve"> </w:t>
      </w:r>
      <w:r w:rsidRPr="00A65CA7" w:rsidR="00480607">
        <w:rPr>
          <w:szCs w:val="24"/>
        </w:rPr>
        <w:t xml:space="preserve">Non-Market-Based </w:t>
      </w:r>
      <w:r w:rsidRPr="00A65CA7" w:rsidR="00EC664D">
        <w:rPr>
          <w:szCs w:val="24"/>
        </w:rPr>
        <w:t xml:space="preserve">(NMB) </w:t>
      </w:r>
      <w:r w:rsidRPr="00A65CA7" w:rsidR="00480607">
        <w:rPr>
          <w:szCs w:val="24"/>
        </w:rPr>
        <w:t>Services</w:t>
      </w:r>
      <w:r w:rsidRPr="00A65CA7" w:rsidR="00723316">
        <w:rPr>
          <w:szCs w:val="24"/>
        </w:rPr>
        <w:t xml:space="preserve"> Rider</w:t>
      </w:r>
      <w:r w:rsidRPr="00A65CA7" w:rsidR="008F6DE7">
        <w:rPr>
          <w:szCs w:val="24"/>
        </w:rPr>
        <w:t>.</w:t>
      </w:r>
      <w:r w:rsidRPr="00A65CA7" w:rsidR="000F397F">
        <w:rPr>
          <w:szCs w:val="24"/>
        </w:rPr>
        <w:t xml:space="preserve"> </w:t>
      </w:r>
      <w:r w:rsidRPr="00A65CA7" w:rsidR="008F6DE7">
        <w:rPr>
          <w:szCs w:val="24"/>
        </w:rPr>
        <w:t xml:space="preserve">Under the pilot program the Applicant </w:t>
      </w:r>
      <w:r w:rsidRPr="00A65CA7" w:rsidR="00FB27B8">
        <w:rPr>
          <w:szCs w:val="24"/>
        </w:rPr>
        <w:t xml:space="preserve">will </w:t>
      </w:r>
      <w:r w:rsidRPr="00A65CA7" w:rsidR="008F6DE7">
        <w:rPr>
          <w:szCs w:val="24"/>
        </w:rPr>
        <w:t xml:space="preserve">obtain </w:t>
      </w:r>
      <w:r w:rsidRPr="00A65CA7" w:rsidR="000F397F">
        <w:rPr>
          <w:szCs w:val="24"/>
        </w:rPr>
        <w:t xml:space="preserve">transmission </w:t>
      </w:r>
      <w:r w:rsidRPr="00A65CA7" w:rsidR="00853EB2">
        <w:rPr>
          <w:szCs w:val="24"/>
        </w:rPr>
        <w:t>service from</w:t>
      </w:r>
      <w:r w:rsidRPr="00A65CA7" w:rsidR="008F6DE7">
        <w:rPr>
          <w:szCs w:val="24"/>
        </w:rPr>
        <w:t xml:space="preserve"> Energy Harbor,</w:t>
      </w:r>
      <w:r w:rsidRPr="00A65CA7" w:rsidR="00853EB2">
        <w:rPr>
          <w:szCs w:val="24"/>
        </w:rPr>
        <w:t xml:space="preserve"> the Applicant’s </w:t>
      </w:r>
      <w:r w:rsidRPr="00A65CA7" w:rsidR="000F397F">
        <w:rPr>
          <w:szCs w:val="24"/>
        </w:rPr>
        <w:t xml:space="preserve">generation </w:t>
      </w:r>
      <w:r w:rsidRPr="00A65CA7" w:rsidR="00853EB2">
        <w:rPr>
          <w:szCs w:val="24"/>
        </w:rPr>
        <w:t>supplier</w:t>
      </w:r>
      <w:r w:rsidRPr="00A65CA7" w:rsidR="008F6DE7">
        <w:rPr>
          <w:szCs w:val="24"/>
        </w:rPr>
        <w:t xml:space="preserve"> </w:t>
      </w:r>
      <w:r w:rsidRPr="00A65CA7" w:rsidR="00B73AC8">
        <w:rPr>
          <w:szCs w:val="24"/>
        </w:rPr>
        <w:t>(</w:t>
      </w:r>
      <w:r w:rsidRPr="00A65CA7" w:rsidR="008F6DE7">
        <w:rPr>
          <w:szCs w:val="24"/>
        </w:rPr>
        <w:t>and a former FirstEnergy affiliate</w:t>
      </w:r>
      <w:r w:rsidRPr="00A65CA7" w:rsidR="00B73AC8">
        <w:rPr>
          <w:szCs w:val="24"/>
        </w:rPr>
        <w:t>)</w:t>
      </w:r>
      <w:r w:rsidRPr="00A65CA7" w:rsidR="008F6DE7">
        <w:rPr>
          <w:szCs w:val="24"/>
        </w:rPr>
        <w:t>.</w:t>
      </w:r>
      <w:r w:rsidRPr="00A65CA7" w:rsidR="00853EB2">
        <w:rPr>
          <w:szCs w:val="24"/>
        </w:rPr>
        <w:t xml:space="preserve"> </w:t>
      </w:r>
    </w:p>
    <w:p w:rsidR="002E5717" w:rsidRPr="00A65CA7" w:rsidP="005700E3" w14:paraId="7863DED0" w14:textId="77777777">
      <w:pPr>
        <w:pStyle w:val="BodyTextIndent3"/>
        <w:widowControl w:val="0"/>
        <w:spacing w:line="480" w:lineRule="auto"/>
        <w:ind w:right="-24"/>
        <w:rPr>
          <w:szCs w:val="24"/>
        </w:rPr>
      </w:pPr>
      <w:r w:rsidRPr="00A65CA7">
        <w:rPr>
          <w:szCs w:val="24"/>
        </w:rPr>
        <w:t xml:space="preserve">A primary reason the above arrangements are of interest to the Applicant is to pay less for electric transmission. A primary reason the Ohio Consumers’ Counsel is </w:t>
      </w:r>
      <w:r w:rsidRPr="00A65CA7" w:rsidR="004D6BBA">
        <w:rPr>
          <w:szCs w:val="24"/>
        </w:rPr>
        <w:t xml:space="preserve">interested in </w:t>
      </w:r>
      <w:r w:rsidRPr="00A65CA7">
        <w:rPr>
          <w:szCs w:val="24"/>
        </w:rPr>
        <w:t xml:space="preserve">the arrangements is that FirstEnergy will expect someone to make it whole for the loss of revenues from the Applicant. Indeed, FirstEnergy will expect </w:t>
      </w:r>
      <w:r w:rsidRPr="00A65CA7" w:rsidR="00F93097">
        <w:rPr>
          <w:szCs w:val="24"/>
        </w:rPr>
        <w:t xml:space="preserve">residential </w:t>
      </w:r>
      <w:r w:rsidRPr="00A65CA7">
        <w:rPr>
          <w:szCs w:val="24"/>
        </w:rPr>
        <w:t>consumers to make it whole by paying more for electricity.</w:t>
      </w:r>
      <w:r w:rsidRPr="00A65CA7" w:rsidR="00002FE7">
        <w:rPr>
          <w:szCs w:val="24"/>
        </w:rPr>
        <w:t xml:space="preserve"> </w:t>
      </w:r>
    </w:p>
    <w:p w:rsidR="005700E3" w:rsidRPr="00A65CA7" w:rsidP="00764553" w14:paraId="2A67D224" w14:textId="7E5429BE">
      <w:pPr>
        <w:pStyle w:val="BodyTextIndent3"/>
        <w:widowControl w:val="0"/>
        <w:spacing w:line="480" w:lineRule="auto"/>
        <w:ind w:right="-24"/>
        <w:rPr>
          <w:szCs w:val="24"/>
        </w:rPr>
      </w:pPr>
      <w:r w:rsidRPr="00A65CA7">
        <w:rPr>
          <w:szCs w:val="24"/>
        </w:rPr>
        <w:t>The Applicant</w:t>
      </w:r>
      <w:r w:rsidRPr="00A65CA7" w:rsidR="000C203C">
        <w:rPr>
          <w:szCs w:val="24"/>
        </w:rPr>
        <w:t xml:space="preserve"> miscalculated the economics of a solar power purchase agreement and now wants to use the unique arrangement to make up for it.</w:t>
      </w:r>
      <w:r>
        <w:rPr>
          <w:rStyle w:val="FootnoteReference"/>
          <w:szCs w:val="24"/>
        </w:rPr>
        <w:footnoteReference w:id="4"/>
      </w:r>
      <w:r w:rsidRPr="00A65CA7" w:rsidR="001E6F31">
        <w:rPr>
          <w:szCs w:val="24"/>
        </w:rPr>
        <w:t xml:space="preserve"> </w:t>
      </w:r>
      <w:r w:rsidRPr="00A65CA7" w:rsidR="00CD13F9">
        <w:rPr>
          <w:szCs w:val="24"/>
        </w:rPr>
        <w:t>B</w:t>
      </w:r>
      <w:r w:rsidRPr="00A65CA7" w:rsidR="00853EB2">
        <w:rPr>
          <w:szCs w:val="24"/>
        </w:rPr>
        <w:t xml:space="preserve">y </w:t>
      </w:r>
      <w:r w:rsidRPr="00A65CA7" w:rsidR="00706233">
        <w:rPr>
          <w:szCs w:val="24"/>
        </w:rPr>
        <w:t xml:space="preserve">allowing the Applicant to participate in the pilot program, costs </w:t>
      </w:r>
      <w:r w:rsidRPr="00A65CA7" w:rsidR="005071DC">
        <w:rPr>
          <w:szCs w:val="24"/>
        </w:rPr>
        <w:t xml:space="preserve">the Applicant will be avoiding </w:t>
      </w:r>
      <w:r w:rsidRPr="00A65CA7" w:rsidR="00E111A4">
        <w:rPr>
          <w:szCs w:val="24"/>
        </w:rPr>
        <w:t>are</w:t>
      </w:r>
      <w:r w:rsidRPr="00A65CA7" w:rsidR="00706233">
        <w:rPr>
          <w:szCs w:val="24"/>
        </w:rPr>
        <w:t xml:space="preserve"> shifted to </w:t>
      </w:r>
      <w:r w:rsidRPr="00A65CA7" w:rsidR="00E111A4">
        <w:rPr>
          <w:szCs w:val="24"/>
        </w:rPr>
        <w:t>o</w:t>
      </w:r>
      <w:r w:rsidRPr="00A65CA7" w:rsidR="00706233">
        <w:rPr>
          <w:szCs w:val="24"/>
        </w:rPr>
        <w:t>the</w:t>
      </w:r>
      <w:r w:rsidRPr="00A65CA7" w:rsidR="00E111A4">
        <w:rPr>
          <w:szCs w:val="24"/>
        </w:rPr>
        <w:t>r non-participating</w:t>
      </w:r>
      <w:r w:rsidRPr="00A65CA7" w:rsidR="00706233">
        <w:rPr>
          <w:szCs w:val="24"/>
        </w:rPr>
        <w:t xml:space="preserve"> customers</w:t>
      </w:r>
      <w:r w:rsidRPr="00A65CA7" w:rsidR="00E111A4">
        <w:rPr>
          <w:szCs w:val="24"/>
        </w:rPr>
        <w:t xml:space="preserve"> (including residential consumers)</w:t>
      </w:r>
      <w:r w:rsidRPr="00A65CA7" w:rsidR="00706233">
        <w:rPr>
          <w:szCs w:val="24"/>
        </w:rPr>
        <w:t xml:space="preserve"> who pay the Non-Mar</w:t>
      </w:r>
      <w:r w:rsidRPr="00A65CA7">
        <w:rPr>
          <w:szCs w:val="24"/>
        </w:rPr>
        <w:t>k</w:t>
      </w:r>
      <w:r w:rsidRPr="00A65CA7" w:rsidR="00706233">
        <w:rPr>
          <w:szCs w:val="24"/>
        </w:rPr>
        <w:t>et Based Rider charge.</w:t>
      </w:r>
      <w:r>
        <w:rPr>
          <w:rStyle w:val="FootnoteReference"/>
          <w:szCs w:val="24"/>
        </w:rPr>
        <w:footnoteReference w:id="5"/>
      </w:r>
      <w:r w:rsidRPr="00A65CA7" w:rsidR="00771F92">
        <w:rPr>
          <w:szCs w:val="24"/>
        </w:rPr>
        <w:t xml:space="preserve"> </w:t>
      </w:r>
      <w:r w:rsidRPr="00A65CA7" w:rsidR="005071DC">
        <w:rPr>
          <w:szCs w:val="24"/>
        </w:rPr>
        <w:t>Additionally, there</w:t>
      </w:r>
      <w:r w:rsidRPr="00A65CA7" w:rsidR="00E6328A">
        <w:rPr>
          <w:szCs w:val="24"/>
        </w:rPr>
        <w:t xml:space="preserve"> is no evidence that the Applicant’s participation in the pilot program </w:t>
      </w:r>
      <w:r w:rsidRPr="00A65CA7" w:rsidR="00C729D9">
        <w:rPr>
          <w:szCs w:val="24"/>
        </w:rPr>
        <w:t>will</w:t>
      </w:r>
      <w:r w:rsidRPr="00A65CA7" w:rsidR="00E6328A">
        <w:rPr>
          <w:szCs w:val="24"/>
        </w:rPr>
        <w:t xml:space="preserve"> promote economic development or increase employment</w:t>
      </w:r>
      <w:r>
        <w:rPr>
          <w:szCs w:val="24"/>
        </w:rPr>
        <w:t>.</w:t>
      </w:r>
      <w:r>
        <w:rPr>
          <w:rStyle w:val="FootnoteReference"/>
          <w:szCs w:val="24"/>
        </w:rPr>
        <w:footnoteReference w:id="6"/>
      </w:r>
      <w:r w:rsidRPr="00A65CA7" w:rsidR="00E6328A">
        <w:rPr>
          <w:szCs w:val="24"/>
        </w:rPr>
        <w:t xml:space="preserve"> </w:t>
      </w:r>
    </w:p>
    <w:p w:rsidR="006223AC" w:rsidRPr="00A65CA7" w:rsidP="001E6F31" w14:paraId="6BF57D3A" w14:textId="77777777">
      <w:pPr>
        <w:spacing w:line="480" w:lineRule="auto"/>
        <w:ind w:firstLine="720"/>
        <w:rPr>
          <w:szCs w:val="24"/>
        </w:rPr>
      </w:pPr>
      <w:r w:rsidRPr="00A65CA7">
        <w:rPr>
          <w:szCs w:val="24"/>
        </w:rPr>
        <w:t xml:space="preserve">The </w:t>
      </w:r>
      <w:r w:rsidRPr="00A65CA7" w:rsidR="005700E3">
        <w:rPr>
          <w:szCs w:val="24"/>
        </w:rPr>
        <w:t>Settlement proposed by Staff and the Applicant should not be approved.</w:t>
      </w:r>
      <w:r w:rsidRPr="00A65CA7" w:rsidR="00B32048">
        <w:rPr>
          <w:szCs w:val="24"/>
        </w:rPr>
        <w:t xml:space="preserve"> </w:t>
      </w:r>
      <w:r w:rsidRPr="00A65CA7" w:rsidR="005700E3">
        <w:rPr>
          <w:szCs w:val="24"/>
        </w:rPr>
        <w:t xml:space="preserve">It fails the </w:t>
      </w:r>
      <w:r w:rsidRPr="00A65CA7">
        <w:rPr>
          <w:szCs w:val="24"/>
        </w:rPr>
        <w:t xml:space="preserve">PUCO’s </w:t>
      </w:r>
      <w:r w:rsidRPr="00A65CA7" w:rsidR="001E6F31">
        <w:rPr>
          <w:szCs w:val="24"/>
        </w:rPr>
        <w:t>three-part test for settlements.</w:t>
      </w:r>
      <w:r w:rsidRPr="00A65CA7" w:rsidR="005700E3">
        <w:rPr>
          <w:szCs w:val="24"/>
        </w:rPr>
        <w:t xml:space="preserve"> </w:t>
      </w:r>
    </w:p>
    <w:p w:rsidR="001E6F31" w:rsidRPr="00A65CA7" w:rsidP="001E6F31" w14:paraId="43D20538" w14:textId="77777777">
      <w:pPr>
        <w:spacing w:line="480" w:lineRule="auto"/>
        <w:ind w:firstLine="720"/>
        <w:rPr>
          <w:szCs w:val="24"/>
        </w:rPr>
      </w:pPr>
      <w:r w:rsidRPr="00A65CA7">
        <w:rPr>
          <w:szCs w:val="24"/>
        </w:rPr>
        <w:t>First, the Settlement lacks diversity of interests as no consumer advocate signed it. The PUCO should consider the Settlement’s lack of diversity of interests here, which is a standard the PUCO sometimes uses. In addition, the Settlement lacks serious bargaining as it adopts the Application exactly as it was filed.</w:t>
      </w:r>
      <w:r w:rsidRPr="00A65CA7" w:rsidR="00F93097">
        <w:rPr>
          <w:szCs w:val="24"/>
        </w:rPr>
        <w:t xml:space="preserve"> Essentially, the settlement standards are being misused to give the stipulators a litigation advantage, not to assist the PUCO with a compromise.</w:t>
      </w:r>
    </w:p>
    <w:p w:rsidR="006223AC" w:rsidRPr="00A65CA7" w:rsidP="005742C9" w14:paraId="6B1F0597" w14:textId="77777777">
      <w:pPr>
        <w:spacing w:line="480" w:lineRule="auto"/>
        <w:ind w:firstLine="720"/>
        <w:rPr>
          <w:szCs w:val="24"/>
        </w:rPr>
      </w:pPr>
      <w:r w:rsidRPr="00A65CA7">
        <w:rPr>
          <w:szCs w:val="24"/>
        </w:rPr>
        <w:t xml:space="preserve">Second, the Settlement does not benefit customers or the public interest. </w:t>
      </w:r>
      <w:r w:rsidRPr="00A65CA7" w:rsidR="007017BE">
        <w:rPr>
          <w:szCs w:val="24"/>
        </w:rPr>
        <w:t>The Settlement offers very little benefit to consumers</w:t>
      </w:r>
      <w:r w:rsidRPr="00A65CA7" w:rsidR="00F93097">
        <w:rPr>
          <w:szCs w:val="24"/>
        </w:rPr>
        <w:t>.</w:t>
      </w:r>
      <w:r w:rsidRPr="00A65CA7" w:rsidR="007017BE">
        <w:rPr>
          <w:szCs w:val="24"/>
        </w:rPr>
        <w:t xml:space="preserve"> </w:t>
      </w:r>
      <w:r w:rsidRPr="00A65CA7" w:rsidR="00F93097">
        <w:rPr>
          <w:szCs w:val="24"/>
        </w:rPr>
        <w:t>I</w:t>
      </w:r>
      <w:r w:rsidRPr="00A65CA7" w:rsidR="007017BE">
        <w:rPr>
          <w:szCs w:val="24"/>
        </w:rPr>
        <w:t>nstead</w:t>
      </w:r>
      <w:r w:rsidRPr="00A65CA7" w:rsidR="00764553">
        <w:rPr>
          <w:szCs w:val="24"/>
        </w:rPr>
        <w:t>,</w:t>
      </w:r>
      <w:r w:rsidRPr="00A65CA7" w:rsidR="007017BE">
        <w:rPr>
          <w:szCs w:val="24"/>
        </w:rPr>
        <w:t xml:space="preserve"> consumers are being asked to </w:t>
      </w:r>
      <w:r w:rsidRPr="00A65CA7" w:rsidR="00FB27B8">
        <w:rPr>
          <w:szCs w:val="24"/>
        </w:rPr>
        <w:t xml:space="preserve">make up for </w:t>
      </w:r>
      <w:r w:rsidRPr="00A65CA7" w:rsidR="00764553">
        <w:rPr>
          <w:szCs w:val="24"/>
        </w:rPr>
        <w:t xml:space="preserve">transmission savings that the Applicant wrongly assumed it would receive under a power purchase </w:t>
      </w:r>
      <w:r w:rsidRPr="00A65CA7" w:rsidR="005071DC">
        <w:rPr>
          <w:szCs w:val="24"/>
        </w:rPr>
        <w:t>agreement but</w:t>
      </w:r>
      <w:r w:rsidRPr="00A65CA7" w:rsidR="00764553">
        <w:rPr>
          <w:szCs w:val="24"/>
        </w:rPr>
        <w:t xml:space="preserve"> didn’t.</w:t>
      </w:r>
      <w:r>
        <w:rPr>
          <w:rStyle w:val="FootnoteReference"/>
          <w:szCs w:val="24"/>
        </w:rPr>
        <w:footnoteReference w:id="7"/>
      </w:r>
      <w:r w:rsidRPr="00A65CA7" w:rsidR="00764553">
        <w:rPr>
          <w:szCs w:val="24"/>
        </w:rPr>
        <w:t xml:space="preserve"> </w:t>
      </w:r>
      <w:r w:rsidRPr="00A65CA7" w:rsidR="007017BE">
        <w:rPr>
          <w:szCs w:val="24"/>
        </w:rPr>
        <w:t>Also</w:t>
      </w:r>
      <w:r w:rsidRPr="00A65CA7" w:rsidR="005071DC">
        <w:rPr>
          <w:szCs w:val="24"/>
        </w:rPr>
        <w:t xml:space="preserve"> </w:t>
      </w:r>
      <w:r w:rsidRPr="00A65CA7" w:rsidR="00E351C0">
        <w:rPr>
          <w:szCs w:val="24"/>
        </w:rPr>
        <w:t xml:space="preserve">the settlement shifts payment responsibility from </w:t>
      </w:r>
      <w:r w:rsidRPr="00A65CA7" w:rsidR="00764553">
        <w:rPr>
          <w:szCs w:val="24"/>
        </w:rPr>
        <w:t xml:space="preserve">the </w:t>
      </w:r>
      <w:r w:rsidRPr="00A65CA7" w:rsidR="00E351C0">
        <w:rPr>
          <w:szCs w:val="24"/>
        </w:rPr>
        <w:t xml:space="preserve">Applicant to </w:t>
      </w:r>
      <w:r w:rsidRPr="00A65CA7" w:rsidR="00C729D9">
        <w:rPr>
          <w:szCs w:val="24"/>
        </w:rPr>
        <w:t>non-particip</w:t>
      </w:r>
      <w:r w:rsidRPr="00A65CA7" w:rsidR="00E351C0">
        <w:rPr>
          <w:szCs w:val="24"/>
        </w:rPr>
        <w:t>a</w:t>
      </w:r>
      <w:r w:rsidRPr="00A65CA7" w:rsidR="00C729D9">
        <w:rPr>
          <w:szCs w:val="24"/>
        </w:rPr>
        <w:t>nts</w:t>
      </w:r>
      <w:r w:rsidRPr="00A65CA7" w:rsidR="00E351C0">
        <w:rPr>
          <w:szCs w:val="24"/>
        </w:rPr>
        <w:t xml:space="preserve"> in the settlement</w:t>
      </w:r>
      <w:r w:rsidRPr="00A65CA7" w:rsidR="00C729D9">
        <w:rPr>
          <w:szCs w:val="24"/>
        </w:rPr>
        <w:t xml:space="preserve">, </w:t>
      </w:r>
      <w:r w:rsidRPr="00A65CA7" w:rsidR="00E351C0">
        <w:rPr>
          <w:szCs w:val="24"/>
        </w:rPr>
        <w:t>i</w:t>
      </w:r>
      <w:r w:rsidRPr="00A65CA7" w:rsidR="00C729D9">
        <w:rPr>
          <w:szCs w:val="24"/>
        </w:rPr>
        <w:t>ncluding residential consumers</w:t>
      </w:r>
      <w:r w:rsidRPr="00A65CA7" w:rsidR="007017BE">
        <w:rPr>
          <w:szCs w:val="24"/>
        </w:rPr>
        <w:t xml:space="preserve">. </w:t>
      </w:r>
      <w:r w:rsidRPr="00A65CA7" w:rsidR="005071DC">
        <w:rPr>
          <w:szCs w:val="24"/>
        </w:rPr>
        <w:t>By</w:t>
      </w:r>
      <w:r w:rsidRPr="00A65CA7">
        <w:rPr>
          <w:szCs w:val="24"/>
        </w:rPr>
        <w:t xml:space="preserve"> joining the Rider NMB opt-out pilot program</w:t>
      </w:r>
      <w:r w:rsidRPr="00A65CA7" w:rsidR="00E6328A">
        <w:rPr>
          <w:szCs w:val="24"/>
        </w:rPr>
        <w:t xml:space="preserve">, </w:t>
      </w:r>
      <w:r w:rsidRPr="00A65CA7">
        <w:rPr>
          <w:szCs w:val="24"/>
        </w:rPr>
        <w:t xml:space="preserve">the Applicant’s </w:t>
      </w:r>
      <w:r w:rsidRPr="00A65CA7" w:rsidR="00E6328A">
        <w:rPr>
          <w:szCs w:val="24"/>
        </w:rPr>
        <w:t xml:space="preserve">own </w:t>
      </w:r>
      <w:r w:rsidRPr="00A65CA7">
        <w:rPr>
          <w:szCs w:val="24"/>
        </w:rPr>
        <w:t xml:space="preserve">transmission </w:t>
      </w:r>
      <w:r w:rsidRPr="00A65CA7" w:rsidR="00E351C0">
        <w:rPr>
          <w:szCs w:val="24"/>
        </w:rPr>
        <w:t>payments</w:t>
      </w:r>
      <w:r w:rsidRPr="00A65CA7">
        <w:rPr>
          <w:szCs w:val="24"/>
        </w:rPr>
        <w:t xml:space="preserve"> will be reduced</w:t>
      </w:r>
      <w:r w:rsidRPr="00A65CA7" w:rsidR="00E6328A">
        <w:rPr>
          <w:szCs w:val="24"/>
        </w:rPr>
        <w:t>.</w:t>
      </w:r>
      <w:r>
        <w:rPr>
          <w:rStyle w:val="FootnoteReference"/>
          <w:szCs w:val="24"/>
        </w:rPr>
        <w:footnoteReference w:id="8"/>
      </w:r>
      <w:r w:rsidRPr="00A65CA7" w:rsidR="00002FE7">
        <w:rPr>
          <w:szCs w:val="24"/>
        </w:rPr>
        <w:t xml:space="preserve"> </w:t>
      </w:r>
      <w:r w:rsidRPr="00A65CA7" w:rsidR="00E6328A">
        <w:rPr>
          <w:szCs w:val="24"/>
        </w:rPr>
        <w:t>B</w:t>
      </w:r>
      <w:r w:rsidRPr="00A65CA7">
        <w:rPr>
          <w:szCs w:val="24"/>
        </w:rPr>
        <w:t xml:space="preserve">ut </w:t>
      </w:r>
      <w:r w:rsidRPr="00A65CA7" w:rsidR="00E351C0">
        <w:rPr>
          <w:szCs w:val="24"/>
        </w:rPr>
        <w:t>FirstEnergy</w:t>
      </w:r>
      <w:r w:rsidRPr="00A65CA7" w:rsidR="005071DC">
        <w:rPr>
          <w:szCs w:val="24"/>
        </w:rPr>
        <w:t>’s</w:t>
      </w:r>
      <w:r w:rsidRPr="00A65CA7" w:rsidR="00E351C0">
        <w:rPr>
          <w:szCs w:val="24"/>
        </w:rPr>
        <w:t xml:space="preserve"> </w:t>
      </w:r>
      <w:r w:rsidRPr="00A65CA7" w:rsidR="00E6328A">
        <w:rPr>
          <w:szCs w:val="24"/>
        </w:rPr>
        <w:t xml:space="preserve">non-market based </w:t>
      </w:r>
      <w:r w:rsidRPr="00A65CA7">
        <w:rPr>
          <w:szCs w:val="24"/>
        </w:rPr>
        <w:t xml:space="preserve">transmission costs </w:t>
      </w:r>
      <w:r w:rsidRPr="00A65CA7" w:rsidR="00E351C0">
        <w:rPr>
          <w:szCs w:val="24"/>
        </w:rPr>
        <w:t xml:space="preserve">will persist and other customers </w:t>
      </w:r>
      <w:r w:rsidRPr="00A65CA7" w:rsidR="00AB728A">
        <w:rPr>
          <w:szCs w:val="24"/>
        </w:rPr>
        <w:t>will pay</w:t>
      </w:r>
      <w:r w:rsidRPr="00A65CA7" w:rsidR="00E351C0">
        <w:rPr>
          <w:szCs w:val="24"/>
        </w:rPr>
        <w:t xml:space="preserve"> to make FirstEnergy whole</w:t>
      </w:r>
      <w:r w:rsidRPr="00A65CA7">
        <w:rPr>
          <w:szCs w:val="24"/>
        </w:rPr>
        <w:t>.</w:t>
      </w:r>
      <w:r>
        <w:rPr>
          <w:rStyle w:val="FootnoteReference"/>
          <w:szCs w:val="24"/>
        </w:rPr>
        <w:footnoteReference w:id="9"/>
      </w:r>
      <w:r w:rsidRPr="00A65CA7">
        <w:rPr>
          <w:szCs w:val="24"/>
        </w:rPr>
        <w:t xml:space="preserve"> </w:t>
      </w:r>
    </w:p>
    <w:p w:rsidR="009063CE" w:rsidRPr="00A65CA7" w:rsidP="00C64623" w14:paraId="2026604D" w14:textId="77777777">
      <w:pPr>
        <w:spacing w:line="480" w:lineRule="auto"/>
        <w:ind w:firstLine="720"/>
        <w:rPr>
          <w:szCs w:val="24"/>
        </w:rPr>
      </w:pPr>
      <w:r w:rsidRPr="00A65CA7">
        <w:rPr>
          <w:szCs w:val="24"/>
        </w:rPr>
        <w:t xml:space="preserve">Third, the Settlement violates </w:t>
      </w:r>
      <w:r w:rsidRPr="00A65CA7" w:rsidR="00E6328A">
        <w:rPr>
          <w:szCs w:val="24"/>
        </w:rPr>
        <w:t xml:space="preserve">important and well-established </w:t>
      </w:r>
      <w:r w:rsidRPr="00A65CA7">
        <w:rPr>
          <w:szCs w:val="24"/>
        </w:rPr>
        <w:t xml:space="preserve">regulatory principles. </w:t>
      </w:r>
      <w:r w:rsidRPr="00A65CA7" w:rsidR="007017BE">
        <w:rPr>
          <w:szCs w:val="24"/>
        </w:rPr>
        <w:t xml:space="preserve">The PUCO’s Orders in FirstEnergy’s ESP IV case </w:t>
      </w:r>
      <w:r w:rsidRPr="00A65CA7" w:rsidR="006223AC">
        <w:rPr>
          <w:szCs w:val="24"/>
        </w:rPr>
        <w:t xml:space="preserve">(where </w:t>
      </w:r>
      <w:r w:rsidRPr="00A65CA7" w:rsidR="00AB728A">
        <w:rPr>
          <w:szCs w:val="24"/>
        </w:rPr>
        <w:t xml:space="preserve">the PUCO initially </w:t>
      </w:r>
      <w:r w:rsidRPr="00A65CA7" w:rsidR="007017BE">
        <w:rPr>
          <w:szCs w:val="24"/>
        </w:rPr>
        <w:t>approv</w:t>
      </w:r>
      <w:r w:rsidRPr="00A65CA7" w:rsidR="00AB728A">
        <w:rPr>
          <w:szCs w:val="24"/>
        </w:rPr>
        <w:t xml:space="preserve">ed </w:t>
      </w:r>
      <w:r>
        <w:rPr>
          <w:rStyle w:val="FootnoteReference"/>
          <w:szCs w:val="24"/>
        </w:rPr>
        <w:footnoteReference w:id="10"/>
      </w:r>
      <w:r w:rsidRPr="00A65CA7" w:rsidR="007017BE">
        <w:rPr>
          <w:szCs w:val="24"/>
        </w:rPr>
        <w:t xml:space="preserve"> </w:t>
      </w:r>
      <w:r w:rsidRPr="00A65CA7" w:rsidR="00AB728A">
        <w:rPr>
          <w:szCs w:val="24"/>
        </w:rPr>
        <w:t>the</w:t>
      </w:r>
      <w:r w:rsidRPr="00A65CA7" w:rsidR="007017BE">
        <w:rPr>
          <w:szCs w:val="24"/>
        </w:rPr>
        <w:t xml:space="preserve"> Rider NMB opt-out program for large industrial customers</w:t>
      </w:r>
      <w:r w:rsidRPr="00A65CA7" w:rsidR="006223AC">
        <w:rPr>
          <w:szCs w:val="24"/>
        </w:rPr>
        <w:t>)</w:t>
      </w:r>
      <w:r w:rsidRPr="00A65CA7" w:rsidR="007017BE">
        <w:rPr>
          <w:szCs w:val="24"/>
        </w:rPr>
        <w:t xml:space="preserve"> came with </w:t>
      </w:r>
      <w:r w:rsidRPr="00A65CA7" w:rsidR="00E6328A">
        <w:rPr>
          <w:szCs w:val="24"/>
        </w:rPr>
        <w:t xml:space="preserve">specific </w:t>
      </w:r>
      <w:r w:rsidRPr="00A65CA7" w:rsidR="007017BE">
        <w:rPr>
          <w:szCs w:val="24"/>
        </w:rPr>
        <w:t xml:space="preserve">conditions. </w:t>
      </w:r>
      <w:r w:rsidRPr="00A65CA7">
        <w:rPr>
          <w:szCs w:val="24"/>
        </w:rPr>
        <w:t>The PUCO directed FirstEnergy and the PUCO Staff “to continuously review the actual results of the Rider NMB pilot program and periodically report their findings to the Commission.”</w:t>
      </w:r>
      <w:r>
        <w:rPr>
          <w:rStyle w:val="FootnoteReference"/>
          <w:szCs w:val="24"/>
        </w:rPr>
        <w:footnoteReference w:id="11"/>
      </w:r>
      <w:r w:rsidRPr="00A65CA7" w:rsidR="00B32048">
        <w:rPr>
          <w:szCs w:val="24"/>
        </w:rPr>
        <w:t xml:space="preserve"> </w:t>
      </w:r>
      <w:r w:rsidRPr="00A65CA7" w:rsidR="007017BE">
        <w:rPr>
          <w:szCs w:val="24"/>
        </w:rPr>
        <w:t xml:space="preserve">That has not been done. </w:t>
      </w:r>
    </w:p>
    <w:p w:rsidR="00C64623" w:rsidRPr="00A65CA7" w:rsidP="00C64623" w14:paraId="7B4939EB" w14:textId="38EF5612">
      <w:pPr>
        <w:spacing w:line="480" w:lineRule="auto"/>
        <w:ind w:firstLine="720"/>
        <w:rPr>
          <w:szCs w:val="24"/>
        </w:rPr>
      </w:pPr>
      <w:r w:rsidRPr="00A65CA7">
        <w:rPr>
          <w:szCs w:val="24"/>
        </w:rPr>
        <w:t>G</w:t>
      </w:r>
      <w:r w:rsidRPr="00A65CA7" w:rsidR="001E6F31">
        <w:rPr>
          <w:szCs w:val="24"/>
        </w:rPr>
        <w:t>iven that we are in year five of the program, the PUCO should have review</w:t>
      </w:r>
      <w:r w:rsidRPr="00A65CA7" w:rsidR="00C729D9">
        <w:rPr>
          <w:szCs w:val="24"/>
        </w:rPr>
        <w:t>ed this pilot program</w:t>
      </w:r>
      <w:r w:rsidRPr="00A65CA7" w:rsidR="001E6F31">
        <w:rPr>
          <w:szCs w:val="24"/>
        </w:rPr>
        <w:t xml:space="preserve"> and made </w:t>
      </w:r>
      <w:r w:rsidRPr="00A65CA7" w:rsidR="00623DD9">
        <w:rPr>
          <w:szCs w:val="24"/>
        </w:rPr>
        <w:t>the</w:t>
      </w:r>
      <w:r w:rsidRPr="00A65CA7" w:rsidR="00C729D9">
        <w:rPr>
          <w:szCs w:val="24"/>
        </w:rPr>
        <w:t xml:space="preserve"> results of its review</w:t>
      </w:r>
      <w:r w:rsidRPr="00A65CA7" w:rsidR="00623DD9">
        <w:rPr>
          <w:szCs w:val="24"/>
        </w:rPr>
        <w:t xml:space="preserve"> </w:t>
      </w:r>
      <w:r w:rsidRPr="00A65CA7" w:rsidR="001E6F31">
        <w:rPr>
          <w:szCs w:val="24"/>
        </w:rPr>
        <w:t>public.</w:t>
      </w:r>
      <w:r>
        <w:rPr>
          <w:rStyle w:val="FootnoteReference"/>
          <w:szCs w:val="24"/>
        </w:rPr>
        <w:footnoteReference w:id="12"/>
      </w:r>
      <w:r w:rsidRPr="00A65CA7" w:rsidR="00002FE7">
        <w:rPr>
          <w:szCs w:val="24"/>
        </w:rPr>
        <w:t xml:space="preserve"> </w:t>
      </w:r>
      <w:r w:rsidRPr="00A65CA7" w:rsidR="00AF049F">
        <w:rPr>
          <w:szCs w:val="24"/>
        </w:rPr>
        <w:t xml:space="preserve">The expected reviews of the pilot program should be completed, made public and opened for public comment before more applications are considered. </w:t>
      </w:r>
      <w:r w:rsidRPr="00A65CA7" w:rsidR="00EE1AD8">
        <w:rPr>
          <w:szCs w:val="24"/>
        </w:rPr>
        <w:t>Moreover, it is bad public policy for the PUCO to use a reasonable arrangement subsidized by other consumers to financially insulate the Applicant from the consequences of its entering into a long-term purchase power agreement.</w:t>
      </w:r>
    </w:p>
    <w:p w:rsidR="00B54C67" w:rsidRPr="00A65CA7" w:rsidP="00CD119B" w14:paraId="054CC1C6" w14:textId="3C165A1A">
      <w:pPr>
        <w:pStyle w:val="BodyTextIndent3"/>
        <w:widowControl w:val="0"/>
        <w:spacing w:line="480" w:lineRule="auto"/>
        <w:ind w:right="-24"/>
        <w:rPr>
          <w:szCs w:val="24"/>
        </w:rPr>
      </w:pPr>
      <w:r w:rsidRPr="00A65CA7">
        <w:rPr>
          <w:szCs w:val="24"/>
        </w:rPr>
        <w:t>None of the three prongs are met</w:t>
      </w:r>
      <w:r w:rsidRPr="00A65CA7" w:rsidR="005742C9">
        <w:rPr>
          <w:szCs w:val="24"/>
        </w:rPr>
        <w:t>.</w:t>
      </w:r>
      <w:r w:rsidRPr="00A65CA7" w:rsidR="00002FE7">
        <w:rPr>
          <w:szCs w:val="24"/>
        </w:rPr>
        <w:t xml:space="preserve"> </w:t>
      </w:r>
      <w:r w:rsidRPr="00A65CA7" w:rsidR="005742C9">
        <w:rPr>
          <w:szCs w:val="24"/>
        </w:rPr>
        <w:t>T</w:t>
      </w:r>
      <w:r w:rsidRPr="00A65CA7" w:rsidR="004F519A">
        <w:rPr>
          <w:szCs w:val="24"/>
        </w:rPr>
        <w:t>he PUCO should reject the Settlement</w:t>
      </w:r>
      <w:r w:rsidRPr="00A65CA7">
        <w:rPr>
          <w:szCs w:val="24"/>
        </w:rPr>
        <w:t>.</w:t>
      </w:r>
      <w:r w:rsidRPr="00A65CA7" w:rsidR="00B32048">
        <w:rPr>
          <w:szCs w:val="24"/>
        </w:rPr>
        <w:t xml:space="preserve"> </w:t>
      </w:r>
    </w:p>
    <w:p w:rsidR="00CD119B" w:rsidRPr="00A65CA7" w:rsidP="00CD119B" w14:paraId="408B5C4E" w14:textId="77777777">
      <w:pPr>
        <w:pStyle w:val="BodyTextIndent3"/>
        <w:widowControl w:val="0"/>
        <w:spacing w:line="240" w:lineRule="auto"/>
        <w:ind w:right="-24"/>
        <w:rPr>
          <w:szCs w:val="24"/>
        </w:rPr>
      </w:pPr>
    </w:p>
    <w:p w:rsidR="00723316" w:rsidRPr="00A65CA7" w:rsidP="00B54C67" w14:paraId="6CB273A3" w14:textId="77777777">
      <w:pPr>
        <w:pStyle w:val="Heading1"/>
        <w:rPr>
          <w:rFonts w:ascii="Times New Roman" w:hAnsi="Times New Roman"/>
        </w:rPr>
      </w:pPr>
      <w:bookmarkStart w:id="3" w:name="_Toc94891996"/>
      <w:bookmarkStart w:id="4" w:name="_Toc94892038"/>
      <w:bookmarkStart w:id="5" w:name="_Toc95404101"/>
      <w:r w:rsidRPr="00A65CA7">
        <w:rPr>
          <w:rFonts w:ascii="Times New Roman" w:hAnsi="Times New Roman"/>
        </w:rPr>
        <w:t>II.</w:t>
      </w:r>
      <w:r w:rsidRPr="00A65CA7">
        <w:rPr>
          <w:rFonts w:ascii="Times New Roman" w:hAnsi="Times New Roman"/>
        </w:rPr>
        <w:tab/>
      </w:r>
      <w:bookmarkEnd w:id="3"/>
      <w:bookmarkEnd w:id="4"/>
      <w:r w:rsidRPr="00A65CA7" w:rsidR="00623DD9">
        <w:rPr>
          <w:rFonts w:ascii="Times New Roman" w:hAnsi="Times New Roman"/>
        </w:rPr>
        <w:t xml:space="preserve">THE PROPOSED SETTLEMENT </w:t>
      </w:r>
      <w:r w:rsidRPr="00A65CA7" w:rsidR="00E111A4">
        <w:rPr>
          <w:rFonts w:ascii="Times New Roman" w:hAnsi="Times New Roman"/>
        </w:rPr>
        <w:t xml:space="preserve">SHOULD BE REJECTED BY THE PUCO BECAUSE IT </w:t>
      </w:r>
      <w:r w:rsidRPr="00A65CA7" w:rsidR="00623DD9">
        <w:rPr>
          <w:rFonts w:ascii="Times New Roman" w:hAnsi="Times New Roman"/>
        </w:rPr>
        <w:t>DOES NOT MEET THE THREE-PRONG TEST</w:t>
      </w:r>
      <w:bookmarkEnd w:id="5"/>
    </w:p>
    <w:p w:rsidR="006932DF" w:rsidRPr="00A65CA7" w:rsidP="00B54C67" w14:paraId="150B2296" w14:textId="77777777">
      <w:pPr>
        <w:pStyle w:val="Heading2"/>
        <w:tabs>
          <w:tab w:val="clear" w:pos="4320"/>
        </w:tabs>
        <w:rPr>
          <w:rFonts w:ascii="Times New Roman" w:hAnsi="Times New Roman"/>
          <w:szCs w:val="24"/>
        </w:rPr>
      </w:pPr>
      <w:bookmarkStart w:id="6" w:name="_Toc94891997"/>
      <w:bookmarkStart w:id="7" w:name="_Toc94892039"/>
      <w:bookmarkStart w:id="8" w:name="_Toc95404102"/>
      <w:r w:rsidRPr="00A65CA7">
        <w:rPr>
          <w:rFonts w:ascii="Times New Roman" w:hAnsi="Times New Roman"/>
          <w:szCs w:val="24"/>
        </w:rPr>
        <w:t>A.</w:t>
      </w:r>
      <w:r w:rsidRPr="00A65CA7">
        <w:rPr>
          <w:rFonts w:ascii="Times New Roman" w:hAnsi="Times New Roman"/>
          <w:szCs w:val="24"/>
        </w:rPr>
        <w:tab/>
      </w:r>
      <w:r w:rsidRPr="00A65CA7" w:rsidR="00A540F9">
        <w:rPr>
          <w:rFonts w:ascii="Times New Roman" w:hAnsi="Times New Roman"/>
          <w:szCs w:val="24"/>
        </w:rPr>
        <w:t xml:space="preserve">The PUCO should reject the Settlement </w:t>
      </w:r>
      <w:r w:rsidRPr="00A65CA7" w:rsidR="00623DD9">
        <w:rPr>
          <w:rFonts w:ascii="Times New Roman" w:hAnsi="Times New Roman"/>
          <w:szCs w:val="24"/>
        </w:rPr>
        <w:t xml:space="preserve">because it </w:t>
      </w:r>
      <w:r w:rsidRPr="00A65CA7" w:rsidR="00A540F9">
        <w:rPr>
          <w:rFonts w:ascii="Times New Roman" w:hAnsi="Times New Roman"/>
          <w:szCs w:val="24"/>
        </w:rPr>
        <w:t>lack</w:t>
      </w:r>
      <w:r w:rsidRPr="00A65CA7" w:rsidR="00623DD9">
        <w:rPr>
          <w:rFonts w:ascii="Times New Roman" w:hAnsi="Times New Roman"/>
          <w:szCs w:val="24"/>
        </w:rPr>
        <w:t xml:space="preserve">s </w:t>
      </w:r>
      <w:r w:rsidRPr="00A65CA7" w:rsidR="00AF452D">
        <w:rPr>
          <w:rFonts w:ascii="Times New Roman" w:hAnsi="Times New Roman"/>
          <w:szCs w:val="24"/>
        </w:rPr>
        <w:t>both</w:t>
      </w:r>
      <w:r w:rsidRPr="00A65CA7" w:rsidR="00A540F9">
        <w:rPr>
          <w:rFonts w:ascii="Times New Roman" w:hAnsi="Times New Roman"/>
          <w:szCs w:val="24"/>
        </w:rPr>
        <w:t xml:space="preserve"> diversity of those who signed it and </w:t>
      </w:r>
      <w:r w:rsidRPr="00A65CA7" w:rsidR="00E1757A">
        <w:rPr>
          <w:rFonts w:ascii="Times New Roman" w:hAnsi="Times New Roman"/>
          <w:szCs w:val="24"/>
        </w:rPr>
        <w:t>serious bargaining</w:t>
      </w:r>
      <w:r w:rsidRPr="00A65CA7" w:rsidR="00623DD9">
        <w:rPr>
          <w:rFonts w:ascii="Times New Roman" w:hAnsi="Times New Roman"/>
          <w:szCs w:val="24"/>
        </w:rPr>
        <w:t xml:space="preserve"> among parties</w:t>
      </w:r>
      <w:r w:rsidRPr="00A65CA7" w:rsidR="00E1757A">
        <w:rPr>
          <w:rFonts w:ascii="Times New Roman" w:hAnsi="Times New Roman"/>
          <w:szCs w:val="24"/>
        </w:rPr>
        <w:t>.</w:t>
      </w:r>
      <w:bookmarkEnd w:id="6"/>
      <w:bookmarkEnd w:id="7"/>
      <w:bookmarkEnd w:id="8"/>
    </w:p>
    <w:p w:rsidR="009063CE" w:rsidRPr="00A65CA7" w:rsidP="00126533" w14:paraId="673A9D65" w14:textId="77777777">
      <w:pPr>
        <w:spacing w:line="480" w:lineRule="auto"/>
        <w:ind w:firstLine="720"/>
        <w:rPr>
          <w:szCs w:val="24"/>
        </w:rPr>
      </w:pPr>
      <w:r w:rsidRPr="00A65CA7">
        <w:rPr>
          <w:szCs w:val="24"/>
        </w:rPr>
        <w:t>The Settlement was signed by the Applicant and the PUCO Staff only. The Applicant</w:t>
      </w:r>
      <w:r w:rsidRPr="00A65CA7" w:rsidR="00AB7C8C">
        <w:rPr>
          <w:szCs w:val="24"/>
        </w:rPr>
        <w:t xml:space="preserve">, a large industrial user, </w:t>
      </w:r>
      <w:r w:rsidRPr="00A65CA7">
        <w:rPr>
          <w:szCs w:val="24"/>
        </w:rPr>
        <w:t xml:space="preserve">represents its own financial interests. And the </w:t>
      </w:r>
      <w:r w:rsidRPr="00A65CA7" w:rsidR="00623DD9">
        <w:rPr>
          <w:szCs w:val="24"/>
        </w:rPr>
        <w:t xml:space="preserve">PUCO </w:t>
      </w:r>
      <w:r w:rsidRPr="00A65CA7">
        <w:rPr>
          <w:szCs w:val="24"/>
        </w:rPr>
        <w:t xml:space="preserve">Staff </w:t>
      </w:r>
      <w:r w:rsidRPr="00A65CA7" w:rsidR="00623DD9">
        <w:rPr>
          <w:szCs w:val="24"/>
        </w:rPr>
        <w:t xml:space="preserve">should </w:t>
      </w:r>
      <w:r w:rsidRPr="00A65CA7">
        <w:rPr>
          <w:szCs w:val="24"/>
        </w:rPr>
        <w:t>balance the interests of all parties but does not represent any particular interest, other than its own interest as part of the PUCO.</w:t>
      </w:r>
      <w:r>
        <w:rPr>
          <w:rStyle w:val="FootnoteReference"/>
          <w:szCs w:val="24"/>
        </w:rPr>
        <w:footnoteReference w:id="13"/>
      </w:r>
      <w:r w:rsidRPr="00A65CA7">
        <w:rPr>
          <w:szCs w:val="24"/>
        </w:rPr>
        <w:t xml:space="preserve"> </w:t>
      </w:r>
      <w:r w:rsidRPr="00A65CA7" w:rsidR="00E1757A">
        <w:rPr>
          <w:szCs w:val="24"/>
        </w:rPr>
        <w:t>The only other party to this case is OCC.</w:t>
      </w:r>
      <w:r w:rsidRPr="00A65CA7" w:rsidR="00002FE7">
        <w:rPr>
          <w:szCs w:val="24"/>
        </w:rPr>
        <w:t xml:space="preserve"> </w:t>
      </w:r>
      <w:r w:rsidRPr="00A65CA7" w:rsidR="00E1757A">
        <w:rPr>
          <w:szCs w:val="24"/>
        </w:rPr>
        <w:t xml:space="preserve">OCC represents the interests of residential consumers who </w:t>
      </w:r>
      <w:r w:rsidRPr="00A65CA7" w:rsidR="00623DD9">
        <w:rPr>
          <w:szCs w:val="24"/>
        </w:rPr>
        <w:t xml:space="preserve">have a real and substantial interest in this proceeding and </w:t>
      </w:r>
      <w:r w:rsidRPr="00A65CA7" w:rsidR="005700E3">
        <w:rPr>
          <w:szCs w:val="24"/>
        </w:rPr>
        <w:t xml:space="preserve">will likely pay more </w:t>
      </w:r>
      <w:r w:rsidRPr="00A65CA7" w:rsidR="00BE6E38">
        <w:rPr>
          <w:szCs w:val="24"/>
        </w:rPr>
        <w:t>if</w:t>
      </w:r>
      <w:r w:rsidRPr="00A65CA7" w:rsidR="00E1757A">
        <w:rPr>
          <w:szCs w:val="24"/>
        </w:rPr>
        <w:t xml:space="preserve"> the Applicant </w:t>
      </w:r>
      <w:r w:rsidRPr="00A65CA7" w:rsidR="00290E02">
        <w:rPr>
          <w:szCs w:val="24"/>
        </w:rPr>
        <w:t>is allowed to join the Rider NMB pilot program</w:t>
      </w:r>
      <w:r w:rsidRPr="00A65CA7" w:rsidR="00DF630A">
        <w:rPr>
          <w:szCs w:val="24"/>
        </w:rPr>
        <w:t>.</w:t>
      </w:r>
      <w:r w:rsidRPr="00A65CA7" w:rsidR="00290E02">
        <w:rPr>
          <w:szCs w:val="24"/>
        </w:rPr>
        <w:t xml:space="preserve"> </w:t>
      </w:r>
    </w:p>
    <w:p w:rsidR="005A08C8" w:rsidRPr="00A65CA7" w:rsidP="00126533" w14:paraId="4EB521C7" w14:textId="77777777">
      <w:pPr>
        <w:spacing w:line="480" w:lineRule="auto"/>
        <w:ind w:firstLine="720"/>
        <w:rPr>
          <w:szCs w:val="24"/>
        </w:rPr>
      </w:pPr>
      <w:r w:rsidRPr="00A65CA7">
        <w:rPr>
          <w:szCs w:val="24"/>
        </w:rPr>
        <w:t xml:space="preserve">The Settlement does not benefit consumers and is not in the public interest because it’s a misuse of the PUCO’s settlement standards. Essentially, the Settlement was adopted not to compromise but to gain a litigation advantage from the Settlement standards that favor stipulators. </w:t>
      </w:r>
    </w:p>
    <w:p w:rsidR="009F3765" w:rsidRPr="00A65CA7" w:rsidP="00126533" w14:paraId="15DDB353" w14:textId="77777777">
      <w:pPr>
        <w:spacing w:line="480" w:lineRule="auto"/>
        <w:ind w:firstLine="720"/>
        <w:rPr>
          <w:szCs w:val="24"/>
        </w:rPr>
      </w:pPr>
      <w:r w:rsidRPr="00A65CA7">
        <w:rPr>
          <w:szCs w:val="24"/>
        </w:rPr>
        <w:t>In considering the first prong of the PUCO’s three-part test for settlements, the PUCO has at times considered the diversity of the signatory parties. Diversity is not required</w:t>
      </w:r>
      <w:r w:rsidRPr="00A65CA7" w:rsidR="006223AC">
        <w:rPr>
          <w:szCs w:val="24"/>
        </w:rPr>
        <w:t>.</w:t>
      </w:r>
      <w:r w:rsidRPr="00A65CA7">
        <w:rPr>
          <w:szCs w:val="24"/>
        </w:rPr>
        <w:t xml:space="preserve"> </w:t>
      </w:r>
      <w:r w:rsidRPr="00A65CA7" w:rsidR="006223AC">
        <w:rPr>
          <w:szCs w:val="24"/>
        </w:rPr>
        <w:t>A</w:t>
      </w:r>
      <w:r w:rsidRPr="00A65CA7">
        <w:rPr>
          <w:szCs w:val="24"/>
        </w:rPr>
        <w:t>nd no single party can veto a settlement</w:t>
      </w:r>
      <w:r w:rsidRPr="00A65CA7" w:rsidR="006223AC">
        <w:rPr>
          <w:szCs w:val="24"/>
        </w:rPr>
        <w:t>.</w:t>
      </w:r>
      <w:r w:rsidRPr="00A65CA7">
        <w:rPr>
          <w:szCs w:val="24"/>
        </w:rPr>
        <w:t xml:space="preserve"> </w:t>
      </w:r>
      <w:r w:rsidRPr="00A65CA7" w:rsidR="006223AC">
        <w:rPr>
          <w:szCs w:val="24"/>
        </w:rPr>
        <w:t>B</w:t>
      </w:r>
      <w:r w:rsidRPr="00A65CA7">
        <w:rPr>
          <w:szCs w:val="24"/>
        </w:rPr>
        <w:t>ut “the diversity of the signatory parties may be a consideration in determining whether a settlement is a product of serious bargaining among capable, knowledgeable parties under the first prong of the Commission’s test.”</w:t>
      </w:r>
      <w:r>
        <w:rPr>
          <w:rStyle w:val="FootnoteReference"/>
          <w:szCs w:val="24"/>
        </w:rPr>
        <w:footnoteReference w:id="14"/>
      </w:r>
    </w:p>
    <w:p w:rsidR="006223AC" w:rsidRPr="00A65CA7" w:rsidP="00126533" w14:paraId="75353D6F" w14:textId="77777777">
      <w:pPr>
        <w:spacing w:line="480" w:lineRule="auto"/>
        <w:ind w:firstLine="720"/>
        <w:rPr>
          <w:szCs w:val="24"/>
        </w:rPr>
      </w:pPr>
      <w:r w:rsidRPr="00A65CA7">
        <w:rPr>
          <w:szCs w:val="24"/>
        </w:rPr>
        <w:t>Unfortunately, the PUCO’s past application of the diversity principle has been one-sided. In cases where many parties sign a settlement, the PUCO has touted the diversity of the signatory parties as supporting approval of the settlement. For example, in Dayton Power and Light’s recent electric security plan case, the PUCO approved a settlement. The PUCO noted that “it is helpful if the signatory parties do represent a variety of interests” and cited the interests of various parties that signed the settlement as supporting approval of the settlement.</w:t>
      </w:r>
      <w:r>
        <w:rPr>
          <w:rStyle w:val="FootnoteReference"/>
          <w:szCs w:val="24"/>
        </w:rPr>
        <w:footnoteReference w:id="15"/>
      </w:r>
      <w:r w:rsidRPr="00A65CA7">
        <w:rPr>
          <w:szCs w:val="24"/>
        </w:rPr>
        <w:t xml:space="preserve"> </w:t>
      </w:r>
    </w:p>
    <w:p w:rsidR="009F3765" w:rsidRPr="00A65CA7" w:rsidP="00126533" w14:paraId="1682B3B4" w14:textId="77777777">
      <w:pPr>
        <w:spacing w:line="480" w:lineRule="auto"/>
        <w:ind w:firstLine="720"/>
        <w:rPr>
          <w:szCs w:val="24"/>
        </w:rPr>
      </w:pPr>
      <w:r w:rsidRPr="00A65CA7">
        <w:rPr>
          <w:szCs w:val="24"/>
        </w:rPr>
        <w:t>In another recent case involving AEP, the PUCO again noted that diversity is not required but it then highlighted the diversity of parties as favoring approval of the settlement.</w:t>
      </w:r>
      <w:r>
        <w:rPr>
          <w:rStyle w:val="FootnoteReference"/>
          <w:szCs w:val="24"/>
        </w:rPr>
        <w:footnoteReference w:id="16"/>
      </w:r>
      <w:r w:rsidRPr="00A65CA7">
        <w:rPr>
          <w:szCs w:val="24"/>
        </w:rPr>
        <w:t xml:space="preserve"> But when very few parties sign a settlement (sometimes, as in this case, as few as two), the PUCO has shrugged off the lack of diversity as irrelevant.</w:t>
      </w:r>
      <w:r>
        <w:rPr>
          <w:rStyle w:val="FootnoteReference"/>
          <w:szCs w:val="24"/>
        </w:rPr>
        <w:footnoteReference w:id="17"/>
      </w:r>
      <w:r w:rsidRPr="00A65CA7">
        <w:rPr>
          <w:szCs w:val="24"/>
        </w:rPr>
        <w:t xml:space="preserve"> If diversity matters—and the PUCO has said that it does—then it must be applied both ways and consistently. </w:t>
      </w:r>
    </w:p>
    <w:p w:rsidR="009F3765" w:rsidRPr="00A65CA7" w:rsidP="00126533" w14:paraId="2F34B4EB" w14:textId="77777777">
      <w:pPr>
        <w:spacing w:line="480" w:lineRule="auto"/>
        <w:ind w:firstLine="720"/>
        <w:rPr>
          <w:szCs w:val="24"/>
        </w:rPr>
      </w:pPr>
      <w:r w:rsidRPr="00A65CA7">
        <w:rPr>
          <w:szCs w:val="24"/>
        </w:rPr>
        <w:t xml:space="preserve">OCC is not suggesting that any party should have the sole authority to veto a settlement. The point is that when a settlement lacks diversity, the PUCO should take a close look at </w:t>
      </w:r>
      <w:r w:rsidRPr="00A65CA7" w:rsidR="002E4999">
        <w:rPr>
          <w:szCs w:val="24"/>
        </w:rPr>
        <w:t xml:space="preserve">potential prejudice to the </w:t>
      </w:r>
      <w:r w:rsidRPr="00A65CA7">
        <w:rPr>
          <w:szCs w:val="24"/>
        </w:rPr>
        <w:t xml:space="preserve">interests of the parties </w:t>
      </w:r>
      <w:r w:rsidRPr="00A65CA7" w:rsidR="002C080C">
        <w:rPr>
          <w:szCs w:val="24"/>
        </w:rPr>
        <w:t>oppos</w:t>
      </w:r>
      <w:r w:rsidRPr="00A65CA7" w:rsidR="006223AC">
        <w:rPr>
          <w:szCs w:val="24"/>
        </w:rPr>
        <w:t>ing</w:t>
      </w:r>
      <w:r w:rsidRPr="00A65CA7" w:rsidR="002C080C">
        <w:rPr>
          <w:szCs w:val="24"/>
        </w:rPr>
        <w:t xml:space="preserve"> the </w:t>
      </w:r>
      <w:r w:rsidRPr="00A65CA7">
        <w:rPr>
          <w:szCs w:val="24"/>
        </w:rPr>
        <w:t>settlement.</w:t>
      </w:r>
    </w:p>
    <w:p w:rsidR="00002312" w:rsidRPr="00A65CA7" w:rsidP="00126533" w14:paraId="140D5B83" w14:textId="77777777">
      <w:pPr>
        <w:spacing w:line="480" w:lineRule="auto"/>
        <w:ind w:firstLine="720"/>
        <w:rPr>
          <w:szCs w:val="24"/>
        </w:rPr>
      </w:pPr>
      <w:r w:rsidRPr="00A65CA7">
        <w:rPr>
          <w:szCs w:val="24"/>
        </w:rPr>
        <w:t>Under the first prong of the PUCO’s settlement standard the settling parties must show that “serious bargaining” occurred.</w:t>
      </w:r>
      <w:r w:rsidRPr="00A65CA7" w:rsidR="00B32048">
        <w:rPr>
          <w:szCs w:val="24"/>
        </w:rPr>
        <w:t xml:space="preserve"> </w:t>
      </w:r>
      <w:r w:rsidRPr="00A65CA7" w:rsidR="00BE6E38">
        <w:rPr>
          <w:szCs w:val="24"/>
        </w:rPr>
        <w:t xml:space="preserve">Serious bargaining did not occur, as the application was accepted </w:t>
      </w:r>
      <w:r w:rsidRPr="00A65CA7" w:rsidR="00713665">
        <w:rPr>
          <w:szCs w:val="24"/>
        </w:rPr>
        <w:t>in its entirety</w:t>
      </w:r>
      <w:r w:rsidRPr="00A65CA7" w:rsidR="00E0401F">
        <w:rPr>
          <w:szCs w:val="24"/>
        </w:rPr>
        <w:t>.</w:t>
      </w:r>
      <w:r>
        <w:rPr>
          <w:rStyle w:val="FootnoteReference"/>
          <w:szCs w:val="24"/>
        </w:rPr>
        <w:footnoteReference w:id="18"/>
      </w:r>
      <w:r w:rsidRPr="00A65CA7" w:rsidR="00BE6E38">
        <w:rPr>
          <w:szCs w:val="24"/>
        </w:rPr>
        <w:t xml:space="preserve"> </w:t>
      </w:r>
    </w:p>
    <w:p w:rsidR="00C805B4" w:rsidRPr="00A65CA7" w:rsidP="00126533" w14:paraId="5F7C76A5" w14:textId="77777777">
      <w:pPr>
        <w:spacing w:line="480" w:lineRule="auto"/>
        <w:ind w:firstLine="720"/>
        <w:rPr>
          <w:szCs w:val="24"/>
        </w:rPr>
      </w:pPr>
      <w:r w:rsidRPr="00A65CA7">
        <w:rPr>
          <w:szCs w:val="24"/>
        </w:rPr>
        <w:t xml:space="preserve">There are numerous reasons, as explained below, that the Settlement should be rejected on its merits. But when determining how much weight to give the Settlement, the PUCO should give </w:t>
      </w:r>
      <w:r w:rsidRPr="00A65CA7" w:rsidR="00002312">
        <w:rPr>
          <w:szCs w:val="24"/>
        </w:rPr>
        <w:t>it very little. The settlement</w:t>
      </w:r>
      <w:r w:rsidRPr="00A65CA7">
        <w:rPr>
          <w:szCs w:val="24"/>
        </w:rPr>
        <w:t xml:space="preserve"> fails the first prong due to lack of diversity</w:t>
      </w:r>
      <w:r w:rsidRPr="00A65CA7" w:rsidR="00713665">
        <w:rPr>
          <w:szCs w:val="24"/>
        </w:rPr>
        <w:t xml:space="preserve"> and lack of serious bargaining.</w:t>
      </w:r>
    </w:p>
    <w:p w:rsidR="006932DF" w:rsidRPr="00A65CA7" w:rsidP="00B54C67" w14:paraId="44E091C6" w14:textId="77777777">
      <w:pPr>
        <w:pStyle w:val="Heading2"/>
        <w:rPr>
          <w:rFonts w:ascii="Times New Roman" w:hAnsi="Times New Roman"/>
          <w:szCs w:val="24"/>
        </w:rPr>
      </w:pPr>
      <w:bookmarkStart w:id="9" w:name="_Toc94891998"/>
      <w:bookmarkStart w:id="10" w:name="_Toc94892040"/>
      <w:bookmarkStart w:id="11" w:name="_Toc95404103"/>
      <w:r w:rsidRPr="00A65CA7">
        <w:rPr>
          <w:rFonts w:ascii="Times New Roman" w:hAnsi="Times New Roman"/>
          <w:szCs w:val="24"/>
        </w:rPr>
        <w:t>B.</w:t>
      </w:r>
      <w:r w:rsidRPr="00A65CA7" w:rsidR="00B32048">
        <w:rPr>
          <w:rFonts w:ascii="Times New Roman" w:hAnsi="Times New Roman"/>
          <w:szCs w:val="24"/>
        </w:rPr>
        <w:t xml:space="preserve"> </w:t>
      </w:r>
      <w:r w:rsidRPr="00A65CA7" w:rsidR="00B54C67">
        <w:rPr>
          <w:rFonts w:ascii="Times New Roman" w:hAnsi="Times New Roman"/>
          <w:szCs w:val="24"/>
        </w:rPr>
        <w:tab/>
      </w:r>
      <w:r w:rsidRPr="00A65CA7">
        <w:rPr>
          <w:rFonts w:ascii="Times New Roman" w:hAnsi="Times New Roman"/>
          <w:szCs w:val="24"/>
        </w:rPr>
        <w:t xml:space="preserve">The PUCO should reject the Applicant/PUCO Staff Settlement because it does not benefit </w:t>
      </w:r>
      <w:r w:rsidRPr="00A65CA7" w:rsidR="00507F83">
        <w:rPr>
          <w:rFonts w:ascii="Times New Roman" w:hAnsi="Times New Roman"/>
          <w:szCs w:val="24"/>
        </w:rPr>
        <w:t>consumers</w:t>
      </w:r>
      <w:r w:rsidRPr="00A65CA7">
        <w:rPr>
          <w:rFonts w:ascii="Times New Roman" w:hAnsi="Times New Roman"/>
          <w:szCs w:val="24"/>
        </w:rPr>
        <w:t xml:space="preserve"> or the public interest.</w:t>
      </w:r>
      <w:bookmarkEnd w:id="9"/>
      <w:bookmarkEnd w:id="10"/>
      <w:bookmarkEnd w:id="11"/>
    </w:p>
    <w:p w:rsidR="001F0888" w:rsidRPr="00A65CA7" w:rsidP="00AD48B8" w14:paraId="7645401A" w14:textId="693502E4">
      <w:pPr>
        <w:spacing w:line="480" w:lineRule="auto"/>
        <w:ind w:firstLine="720"/>
        <w:rPr>
          <w:szCs w:val="24"/>
        </w:rPr>
      </w:pPr>
      <w:r w:rsidRPr="00A65CA7">
        <w:rPr>
          <w:szCs w:val="24"/>
        </w:rPr>
        <w:t>The</w:t>
      </w:r>
      <w:r w:rsidRPr="00A65CA7" w:rsidR="004F519A">
        <w:rPr>
          <w:szCs w:val="24"/>
        </w:rPr>
        <w:t xml:space="preserve"> </w:t>
      </w:r>
      <w:r w:rsidRPr="00A65CA7" w:rsidR="001E1358">
        <w:rPr>
          <w:szCs w:val="24"/>
        </w:rPr>
        <w:t xml:space="preserve">second prong of the PUCO’s settlement test is </w:t>
      </w:r>
      <w:r w:rsidRPr="00A65CA7" w:rsidR="003C14CD">
        <w:rPr>
          <w:szCs w:val="24"/>
        </w:rPr>
        <w:t xml:space="preserve">whether the </w:t>
      </w:r>
      <w:r w:rsidRPr="00A65CA7" w:rsidR="00CB541F">
        <w:rPr>
          <w:szCs w:val="24"/>
        </w:rPr>
        <w:t>S</w:t>
      </w:r>
      <w:r w:rsidRPr="00A65CA7" w:rsidR="003C14CD">
        <w:rPr>
          <w:szCs w:val="24"/>
        </w:rPr>
        <w:t xml:space="preserve">ettlement, as a package, benefits </w:t>
      </w:r>
      <w:r w:rsidRPr="00A65CA7" w:rsidR="00DF630A">
        <w:rPr>
          <w:szCs w:val="24"/>
        </w:rPr>
        <w:t xml:space="preserve">consumers </w:t>
      </w:r>
      <w:r w:rsidRPr="00A65CA7" w:rsidR="003C14CD">
        <w:rPr>
          <w:szCs w:val="24"/>
        </w:rPr>
        <w:t>and the public interest.</w:t>
      </w:r>
      <w:r w:rsidRPr="00A65CA7" w:rsidR="00B32048">
        <w:rPr>
          <w:szCs w:val="24"/>
        </w:rPr>
        <w:t xml:space="preserve"> </w:t>
      </w:r>
      <w:r w:rsidRPr="00A65CA7" w:rsidR="001E1358">
        <w:rPr>
          <w:szCs w:val="24"/>
        </w:rPr>
        <w:t>The Settlement does not meet this prong.</w:t>
      </w:r>
      <w:r w:rsidRPr="00A65CA7" w:rsidR="00B32048">
        <w:rPr>
          <w:szCs w:val="24"/>
        </w:rPr>
        <w:t xml:space="preserve"> </w:t>
      </w:r>
      <w:r w:rsidRPr="00A65CA7" w:rsidR="00793050">
        <w:rPr>
          <w:szCs w:val="24"/>
        </w:rPr>
        <w:t xml:space="preserve">In this case the </w:t>
      </w:r>
      <w:r w:rsidRPr="00A65CA7" w:rsidR="000417DC">
        <w:rPr>
          <w:szCs w:val="24"/>
        </w:rPr>
        <w:t xml:space="preserve">Settlement </w:t>
      </w:r>
      <w:r w:rsidRPr="00A65CA7" w:rsidR="00793050">
        <w:rPr>
          <w:szCs w:val="24"/>
        </w:rPr>
        <w:t xml:space="preserve">uniquely benefits only the </w:t>
      </w:r>
      <w:r w:rsidRPr="00A65CA7" w:rsidR="00BC0D6A">
        <w:rPr>
          <w:szCs w:val="24"/>
        </w:rPr>
        <w:t>A</w:t>
      </w:r>
      <w:r w:rsidRPr="00A65CA7" w:rsidR="00793050">
        <w:rPr>
          <w:szCs w:val="24"/>
        </w:rPr>
        <w:t>pplicant and is a detriment to all other consumers.</w:t>
      </w:r>
      <w:r w:rsidRPr="00A65CA7">
        <w:rPr>
          <w:szCs w:val="24"/>
        </w:rPr>
        <w:t xml:space="preserve"> </w:t>
      </w:r>
      <w:r w:rsidRPr="00A65CA7" w:rsidR="00AD48B8">
        <w:rPr>
          <w:szCs w:val="24"/>
        </w:rPr>
        <w:t xml:space="preserve">The Settlement offers very little (if any) benefits to other </w:t>
      </w:r>
      <w:r w:rsidRPr="00A65CA7" w:rsidR="00DF630A">
        <w:rPr>
          <w:szCs w:val="24"/>
        </w:rPr>
        <w:t>consumers</w:t>
      </w:r>
      <w:r w:rsidRPr="00A65CA7" w:rsidR="00AD48B8">
        <w:rPr>
          <w:szCs w:val="24"/>
        </w:rPr>
        <w:t xml:space="preserve">. To the contrary, the Settlement shifts responsibility for Applicant’s payments to FirstEnergy to other customers. </w:t>
      </w:r>
    </w:p>
    <w:p w:rsidR="00AD48B8" w:rsidRPr="00A65CA7" w:rsidP="00AD48B8" w14:paraId="59B92A38" w14:textId="77777777">
      <w:pPr>
        <w:spacing w:line="480" w:lineRule="auto"/>
        <w:ind w:firstLine="720"/>
        <w:rPr>
          <w:szCs w:val="24"/>
        </w:rPr>
      </w:pPr>
      <w:r w:rsidRPr="00A65CA7">
        <w:rPr>
          <w:szCs w:val="24"/>
        </w:rPr>
        <w:t>The PUCO has ruled that customer participation in the Rider NMB pilot program must be “appropriate” and “in the public interest.”</w:t>
      </w:r>
      <w:r>
        <w:rPr>
          <w:rStyle w:val="FootnoteReference"/>
          <w:szCs w:val="24"/>
        </w:rPr>
        <w:footnoteReference w:id="19"/>
      </w:r>
      <w:r w:rsidRPr="00A65CA7">
        <w:rPr>
          <w:szCs w:val="24"/>
        </w:rPr>
        <w:t xml:space="preserve"> The PUCO directed customers wanting to participate to “work with Staff and the Companies to determine if the customers’ participation is appropriate.” After that, such customer “may then file an application with the Commission under R.C. 4905.31 for permission to participate in the Rider NMB pilot program.”</w:t>
      </w:r>
      <w:r>
        <w:rPr>
          <w:rStyle w:val="FootnoteReference"/>
          <w:szCs w:val="24"/>
        </w:rPr>
        <w:footnoteReference w:id="20"/>
      </w:r>
      <w:r w:rsidRPr="00A65CA7">
        <w:rPr>
          <w:szCs w:val="24"/>
        </w:rPr>
        <w:t xml:space="preserve"> At that point, the PUCO would “determine if such participation is in the public interest.”</w:t>
      </w:r>
      <w:r>
        <w:rPr>
          <w:rStyle w:val="FootnoteReference"/>
          <w:szCs w:val="24"/>
        </w:rPr>
        <w:footnoteReference w:id="21"/>
      </w:r>
    </w:p>
    <w:p w:rsidR="007E0CA7" w:rsidRPr="00A65CA7" w:rsidP="001E1358" w14:paraId="2F957B17" w14:textId="26DD26DA">
      <w:pPr>
        <w:spacing w:line="480" w:lineRule="auto"/>
        <w:ind w:firstLine="720"/>
        <w:rPr>
          <w:szCs w:val="24"/>
        </w:rPr>
      </w:pPr>
      <w:r w:rsidRPr="00A65CA7">
        <w:rPr>
          <w:szCs w:val="24"/>
        </w:rPr>
        <w:t>T</w:t>
      </w:r>
      <w:r w:rsidRPr="00A65CA7" w:rsidR="003C14CD">
        <w:rPr>
          <w:szCs w:val="24"/>
        </w:rPr>
        <w:t>his</w:t>
      </w:r>
      <w:r w:rsidRPr="00A65CA7">
        <w:rPr>
          <w:szCs w:val="24"/>
        </w:rPr>
        <w:t xml:space="preserve"> so-called</w:t>
      </w:r>
      <w:r w:rsidRPr="00A65CA7" w:rsidR="003C14CD">
        <w:rPr>
          <w:szCs w:val="24"/>
        </w:rPr>
        <w:t xml:space="preserve"> unique arrangement</w:t>
      </w:r>
      <w:r w:rsidRPr="00A65CA7">
        <w:rPr>
          <w:szCs w:val="24"/>
        </w:rPr>
        <w:t xml:space="preserve"> </w:t>
      </w:r>
      <w:r w:rsidRPr="00A65CA7" w:rsidR="00513CC5">
        <w:rPr>
          <w:szCs w:val="24"/>
        </w:rPr>
        <w:t xml:space="preserve">is not in the public interest because it </w:t>
      </w:r>
      <w:r w:rsidRPr="00A65CA7">
        <w:rPr>
          <w:szCs w:val="24"/>
        </w:rPr>
        <w:t xml:space="preserve">asks too much of </w:t>
      </w:r>
      <w:r w:rsidRPr="00A65CA7" w:rsidR="00E0401F">
        <w:rPr>
          <w:szCs w:val="24"/>
        </w:rPr>
        <w:t xml:space="preserve">other </w:t>
      </w:r>
      <w:r w:rsidRPr="00A65CA7">
        <w:rPr>
          <w:szCs w:val="24"/>
        </w:rPr>
        <w:t>consumers. It asks that consumers</w:t>
      </w:r>
      <w:r w:rsidRPr="00A65CA7" w:rsidR="003C14CD">
        <w:rPr>
          <w:szCs w:val="24"/>
        </w:rPr>
        <w:t xml:space="preserve"> </w:t>
      </w:r>
      <w:r w:rsidRPr="00A65CA7" w:rsidR="005C1520">
        <w:rPr>
          <w:szCs w:val="24"/>
        </w:rPr>
        <w:t>subsidize the Applicant’s transmission costs.</w:t>
      </w:r>
      <w:r w:rsidRPr="00A65CA7" w:rsidR="00503E6E">
        <w:rPr>
          <w:szCs w:val="24"/>
        </w:rPr>
        <w:t xml:space="preserve"> </w:t>
      </w:r>
      <w:r w:rsidRPr="00A65CA7" w:rsidR="005C1520">
        <w:rPr>
          <w:szCs w:val="24"/>
        </w:rPr>
        <w:t xml:space="preserve">In doing so, the subsidy will help </w:t>
      </w:r>
      <w:r w:rsidRPr="00A65CA7">
        <w:rPr>
          <w:szCs w:val="24"/>
        </w:rPr>
        <w:t>insulate</w:t>
      </w:r>
      <w:r w:rsidRPr="00A65CA7" w:rsidR="003C14CD">
        <w:rPr>
          <w:szCs w:val="24"/>
        </w:rPr>
        <w:t xml:space="preserve"> </w:t>
      </w:r>
      <w:r w:rsidRPr="00A65CA7" w:rsidR="00C64623">
        <w:rPr>
          <w:szCs w:val="24"/>
        </w:rPr>
        <w:t xml:space="preserve">the </w:t>
      </w:r>
      <w:r w:rsidRPr="00A65CA7" w:rsidR="003C14CD">
        <w:rPr>
          <w:szCs w:val="24"/>
        </w:rPr>
        <w:t>Applicant</w:t>
      </w:r>
      <w:r w:rsidRPr="00A65CA7" w:rsidR="00C64623">
        <w:rPr>
          <w:szCs w:val="24"/>
        </w:rPr>
        <w:t>’s</w:t>
      </w:r>
      <w:r w:rsidRPr="00A65CA7">
        <w:rPr>
          <w:szCs w:val="24"/>
        </w:rPr>
        <w:t xml:space="preserve"> </w:t>
      </w:r>
      <w:r w:rsidRPr="00A65CA7" w:rsidR="003C14CD">
        <w:rPr>
          <w:szCs w:val="24"/>
        </w:rPr>
        <w:t xml:space="preserve">business decision </w:t>
      </w:r>
      <w:r w:rsidRPr="00A65CA7" w:rsidR="00C64623">
        <w:rPr>
          <w:szCs w:val="24"/>
        </w:rPr>
        <w:t>to execute</w:t>
      </w:r>
      <w:r w:rsidRPr="00A65CA7" w:rsidR="003C14CD">
        <w:rPr>
          <w:szCs w:val="24"/>
        </w:rPr>
        <w:t xml:space="preserve"> a solar power purchase agreement </w:t>
      </w:r>
      <w:r w:rsidRPr="00A65CA7" w:rsidR="001E48C0">
        <w:rPr>
          <w:szCs w:val="24"/>
        </w:rPr>
        <w:t xml:space="preserve">where the </w:t>
      </w:r>
      <w:r w:rsidRPr="00A65CA7">
        <w:rPr>
          <w:szCs w:val="24"/>
        </w:rPr>
        <w:t>Applicant</w:t>
      </w:r>
      <w:r w:rsidRPr="00A65CA7" w:rsidR="003C14CD">
        <w:rPr>
          <w:szCs w:val="24"/>
        </w:rPr>
        <w:t xml:space="preserve"> </w:t>
      </w:r>
      <w:r w:rsidRPr="00A65CA7" w:rsidR="00E0401F">
        <w:rPr>
          <w:szCs w:val="24"/>
        </w:rPr>
        <w:t xml:space="preserve">miscalculated the transmission </w:t>
      </w:r>
      <w:r w:rsidRPr="00A65CA7" w:rsidR="005C1520">
        <w:rPr>
          <w:szCs w:val="24"/>
        </w:rPr>
        <w:t xml:space="preserve">cost </w:t>
      </w:r>
      <w:r w:rsidRPr="00A65CA7" w:rsidR="00E0401F">
        <w:rPr>
          <w:szCs w:val="24"/>
        </w:rPr>
        <w:t>savings it would receive.</w:t>
      </w:r>
      <w:r>
        <w:rPr>
          <w:rStyle w:val="FootnoteReference"/>
          <w:szCs w:val="24"/>
        </w:rPr>
        <w:footnoteReference w:id="22"/>
      </w:r>
      <w:r w:rsidRPr="00A65CA7" w:rsidR="00503E6E">
        <w:rPr>
          <w:szCs w:val="24"/>
        </w:rPr>
        <w:t xml:space="preserve"> </w:t>
      </w:r>
      <w:r w:rsidRPr="00A65CA7">
        <w:rPr>
          <w:szCs w:val="24"/>
        </w:rPr>
        <w:t>In this regard, t</w:t>
      </w:r>
      <w:r w:rsidRPr="00A65CA7" w:rsidR="001E48C0">
        <w:rPr>
          <w:szCs w:val="24"/>
        </w:rPr>
        <w:t xml:space="preserve">he Applicant’s </w:t>
      </w:r>
      <w:r w:rsidRPr="00A65CA7">
        <w:rPr>
          <w:szCs w:val="24"/>
        </w:rPr>
        <w:t xml:space="preserve">Witness </w:t>
      </w:r>
      <w:r w:rsidRPr="00A65CA7" w:rsidR="001E48C0">
        <w:rPr>
          <w:szCs w:val="24"/>
        </w:rPr>
        <w:t xml:space="preserve">Mr. Monnin testified that its solar project </w:t>
      </w:r>
      <w:r w:rsidRPr="00A65CA7">
        <w:rPr>
          <w:szCs w:val="24"/>
        </w:rPr>
        <w:t>is</w:t>
      </w:r>
      <w:r w:rsidRPr="00A65CA7" w:rsidR="001E48C0">
        <w:rPr>
          <w:szCs w:val="24"/>
        </w:rPr>
        <w:t xml:space="preserve"> </w:t>
      </w:r>
      <w:r w:rsidRPr="00A65CA7">
        <w:rPr>
          <w:szCs w:val="24"/>
        </w:rPr>
        <w:t>“</w:t>
      </w:r>
      <w:r w:rsidRPr="00A65CA7" w:rsidR="001E48C0">
        <w:rPr>
          <w:szCs w:val="24"/>
        </w:rPr>
        <w:t>not providing the expected benefits</w:t>
      </w:r>
      <w:r w:rsidRPr="00A65CA7">
        <w:rPr>
          <w:szCs w:val="24"/>
        </w:rPr>
        <w:t>” and i</w:t>
      </w:r>
      <w:r w:rsidR="00487375">
        <w:rPr>
          <w:szCs w:val="24"/>
        </w:rPr>
        <w:t>n</w:t>
      </w:r>
      <w:r w:rsidRPr="00A65CA7">
        <w:rPr>
          <w:szCs w:val="24"/>
        </w:rPr>
        <w:t xml:space="preserve"> fact is “cost unfavorable.”</w:t>
      </w:r>
      <w:r>
        <w:rPr>
          <w:rStyle w:val="FootnoteReference"/>
          <w:szCs w:val="24"/>
        </w:rPr>
        <w:footnoteReference w:id="23"/>
      </w:r>
      <w:r w:rsidRPr="00A65CA7" w:rsidR="00002FE7">
        <w:rPr>
          <w:szCs w:val="24"/>
        </w:rPr>
        <w:t xml:space="preserve"> </w:t>
      </w:r>
    </w:p>
    <w:p w:rsidR="00E53E3C" w:rsidRPr="00A65CA7" w:rsidP="00547105" w14:paraId="149FE58B" w14:textId="146338CE">
      <w:pPr>
        <w:spacing w:line="480" w:lineRule="auto"/>
        <w:ind w:firstLine="720"/>
        <w:rPr>
          <w:szCs w:val="24"/>
        </w:rPr>
      </w:pPr>
      <w:r w:rsidRPr="00A65CA7">
        <w:rPr>
          <w:szCs w:val="24"/>
        </w:rPr>
        <w:t xml:space="preserve">The Applicant’s </w:t>
      </w:r>
      <w:r w:rsidRPr="00A65CA7" w:rsidR="00E0401F">
        <w:rPr>
          <w:szCs w:val="24"/>
        </w:rPr>
        <w:t xml:space="preserve">sole </w:t>
      </w:r>
      <w:r w:rsidRPr="00A65CA7">
        <w:rPr>
          <w:szCs w:val="24"/>
        </w:rPr>
        <w:t xml:space="preserve">rationale for the </w:t>
      </w:r>
      <w:r w:rsidRPr="00A65CA7" w:rsidR="00107C40">
        <w:rPr>
          <w:szCs w:val="24"/>
        </w:rPr>
        <w:t xml:space="preserve">unique </w:t>
      </w:r>
      <w:r w:rsidRPr="00A65CA7">
        <w:rPr>
          <w:szCs w:val="24"/>
        </w:rPr>
        <w:t xml:space="preserve">arrangement </w:t>
      </w:r>
      <w:r w:rsidRPr="00A65CA7" w:rsidR="00107C40">
        <w:rPr>
          <w:szCs w:val="24"/>
        </w:rPr>
        <w:t>(i.e.</w:t>
      </w:r>
      <w:r w:rsidRPr="00A65CA7" w:rsidR="00513CC5">
        <w:rPr>
          <w:szCs w:val="24"/>
        </w:rPr>
        <w:t>,</w:t>
      </w:r>
      <w:r w:rsidRPr="00A65CA7" w:rsidR="00107C40">
        <w:rPr>
          <w:szCs w:val="24"/>
        </w:rPr>
        <w:t xml:space="preserve"> participating in the NMB Rider pilot program) </w:t>
      </w:r>
      <w:r w:rsidRPr="00A65CA7">
        <w:rPr>
          <w:szCs w:val="24"/>
        </w:rPr>
        <w:t xml:space="preserve">is that it has paid more than its fair share of transmission costs in the past, related to </w:t>
      </w:r>
      <w:r w:rsidRPr="00A65CA7" w:rsidR="00513CC5">
        <w:rPr>
          <w:szCs w:val="24"/>
        </w:rPr>
        <w:t>its</w:t>
      </w:r>
      <w:r w:rsidRPr="00A65CA7">
        <w:rPr>
          <w:szCs w:val="24"/>
        </w:rPr>
        <w:t xml:space="preserve"> solar project.</w:t>
      </w:r>
      <w:r>
        <w:rPr>
          <w:rStyle w:val="FootnoteReference"/>
          <w:szCs w:val="24"/>
        </w:rPr>
        <w:footnoteReference w:id="24"/>
      </w:r>
      <w:r w:rsidRPr="00A65CA7">
        <w:rPr>
          <w:szCs w:val="24"/>
        </w:rPr>
        <w:t xml:space="preserve"> The Applicant testified it committed to a 20-year power purchase agreement for </w:t>
      </w:r>
      <w:r w:rsidRPr="00A65CA7" w:rsidR="00513CC5">
        <w:rPr>
          <w:szCs w:val="24"/>
        </w:rPr>
        <w:t>a third</w:t>
      </w:r>
      <w:r w:rsidRPr="00A65CA7" w:rsidR="00F06D06">
        <w:rPr>
          <w:szCs w:val="24"/>
        </w:rPr>
        <w:t>-</w:t>
      </w:r>
      <w:r w:rsidRPr="00A65CA7" w:rsidR="00513CC5">
        <w:rPr>
          <w:szCs w:val="24"/>
        </w:rPr>
        <w:t xml:space="preserve">party owned </w:t>
      </w:r>
      <w:r w:rsidRPr="00A65CA7" w:rsidR="000D43C6">
        <w:rPr>
          <w:szCs w:val="24"/>
        </w:rPr>
        <w:t>9.8-megawatt</w:t>
      </w:r>
      <w:r w:rsidRPr="00A65CA7">
        <w:rPr>
          <w:szCs w:val="24"/>
        </w:rPr>
        <w:t xml:space="preserve"> solar plant in 2011, specifically to lower its electricity costs.</w:t>
      </w:r>
      <w:r>
        <w:rPr>
          <w:rStyle w:val="FootnoteReference"/>
          <w:szCs w:val="24"/>
        </w:rPr>
        <w:footnoteReference w:id="25"/>
      </w:r>
      <w:r w:rsidRPr="00A65CA7">
        <w:rPr>
          <w:szCs w:val="24"/>
        </w:rPr>
        <w:t xml:space="preserve"> </w:t>
      </w:r>
    </w:p>
    <w:p w:rsidR="00547105" w:rsidRPr="00A65CA7" w:rsidP="00547105" w14:paraId="5535C436" w14:textId="7C2E4A91">
      <w:pPr>
        <w:spacing w:line="480" w:lineRule="auto"/>
        <w:ind w:firstLine="720"/>
        <w:rPr>
          <w:szCs w:val="24"/>
        </w:rPr>
      </w:pPr>
      <w:r w:rsidRPr="00A65CA7">
        <w:rPr>
          <w:szCs w:val="24"/>
        </w:rPr>
        <w:t xml:space="preserve">The Applicant further testified that </w:t>
      </w:r>
      <w:r w:rsidRPr="00A65CA7" w:rsidR="00E53E3C">
        <w:rPr>
          <w:szCs w:val="24"/>
        </w:rPr>
        <w:t xml:space="preserve">it </w:t>
      </w:r>
      <w:r w:rsidRPr="00A65CA7">
        <w:rPr>
          <w:szCs w:val="24"/>
        </w:rPr>
        <w:t xml:space="preserve">assumed </w:t>
      </w:r>
      <w:r w:rsidRPr="00A65CA7" w:rsidR="00E53E3C">
        <w:rPr>
          <w:szCs w:val="24"/>
        </w:rPr>
        <w:t xml:space="preserve">it </w:t>
      </w:r>
      <w:r w:rsidRPr="00A65CA7">
        <w:rPr>
          <w:szCs w:val="24"/>
        </w:rPr>
        <w:t xml:space="preserve">would be getting a full credit on </w:t>
      </w:r>
      <w:r w:rsidRPr="00A65CA7" w:rsidR="00E53E3C">
        <w:rPr>
          <w:szCs w:val="24"/>
        </w:rPr>
        <w:t xml:space="preserve">its </w:t>
      </w:r>
      <w:r w:rsidRPr="00A65CA7">
        <w:rPr>
          <w:szCs w:val="24"/>
        </w:rPr>
        <w:t>transmission cost, but “that was not the case.”</w:t>
      </w:r>
      <w:r>
        <w:rPr>
          <w:rStyle w:val="FootnoteReference"/>
          <w:szCs w:val="24"/>
        </w:rPr>
        <w:footnoteReference w:id="26"/>
      </w:r>
      <w:r w:rsidRPr="00A65CA7" w:rsidR="00002FE7">
        <w:rPr>
          <w:szCs w:val="24"/>
        </w:rPr>
        <w:t xml:space="preserve"> </w:t>
      </w:r>
      <w:r w:rsidRPr="00A65CA7" w:rsidR="000417DC">
        <w:rPr>
          <w:szCs w:val="24"/>
        </w:rPr>
        <w:t>(At that time Rider NMB was a tariffed charge for all Toledo Edison customers and there was no opt out</w:t>
      </w:r>
      <w:r w:rsidRPr="00A65CA7" w:rsidR="00FB7F7D">
        <w:rPr>
          <w:szCs w:val="24"/>
        </w:rPr>
        <w:t>.)</w:t>
      </w:r>
      <w:r>
        <w:rPr>
          <w:rStyle w:val="FootnoteReference"/>
          <w:szCs w:val="24"/>
        </w:rPr>
        <w:footnoteReference w:id="27"/>
      </w:r>
      <w:r w:rsidRPr="00A65CA7" w:rsidR="00503E6E">
        <w:rPr>
          <w:szCs w:val="24"/>
        </w:rPr>
        <w:t xml:space="preserve"> </w:t>
      </w:r>
      <w:r w:rsidRPr="00A65CA7" w:rsidR="00513CC5">
        <w:rPr>
          <w:szCs w:val="24"/>
        </w:rPr>
        <w:t xml:space="preserve">The Applicant </w:t>
      </w:r>
      <w:r w:rsidRPr="00A65CA7">
        <w:rPr>
          <w:szCs w:val="24"/>
        </w:rPr>
        <w:t xml:space="preserve">didn’t get transmission savings </w:t>
      </w:r>
      <w:r w:rsidRPr="00A65CA7" w:rsidR="00513CC5">
        <w:rPr>
          <w:szCs w:val="24"/>
        </w:rPr>
        <w:t xml:space="preserve">that it was expecting </w:t>
      </w:r>
      <w:r w:rsidRPr="00A65CA7">
        <w:rPr>
          <w:szCs w:val="24"/>
        </w:rPr>
        <w:t>with the project (due to Toledo Edison’s tariffs)</w:t>
      </w:r>
      <w:r w:rsidRPr="00A65CA7" w:rsidR="00513CC5">
        <w:rPr>
          <w:szCs w:val="24"/>
        </w:rPr>
        <w:t>.</w:t>
      </w:r>
      <w:r w:rsidRPr="00A65CA7" w:rsidR="00503E6E">
        <w:rPr>
          <w:szCs w:val="24"/>
        </w:rPr>
        <w:t xml:space="preserve"> </w:t>
      </w:r>
      <w:r w:rsidRPr="00A65CA7">
        <w:rPr>
          <w:szCs w:val="24"/>
        </w:rPr>
        <w:t xml:space="preserve">But the Applicant’s mistake in evaluating the </w:t>
      </w:r>
      <w:r w:rsidRPr="00A65CA7" w:rsidR="00107C40">
        <w:rPr>
          <w:szCs w:val="24"/>
        </w:rPr>
        <w:t xml:space="preserve">financial benefits of a </w:t>
      </w:r>
      <w:r w:rsidRPr="00A65CA7">
        <w:rPr>
          <w:szCs w:val="24"/>
        </w:rPr>
        <w:t xml:space="preserve">power purchase agreement is not justification to </w:t>
      </w:r>
      <w:r w:rsidRPr="00A65CA7" w:rsidR="00E53E3C">
        <w:rPr>
          <w:szCs w:val="24"/>
        </w:rPr>
        <w:t>make</w:t>
      </w:r>
      <w:r w:rsidRPr="00A65CA7">
        <w:rPr>
          <w:szCs w:val="24"/>
        </w:rPr>
        <w:t xml:space="preserve"> </w:t>
      </w:r>
      <w:r w:rsidRPr="00A65CA7" w:rsidR="00513CC5">
        <w:rPr>
          <w:szCs w:val="24"/>
        </w:rPr>
        <w:t xml:space="preserve">other </w:t>
      </w:r>
      <w:r w:rsidRPr="00A65CA7">
        <w:rPr>
          <w:szCs w:val="24"/>
        </w:rPr>
        <w:t xml:space="preserve">consumers </w:t>
      </w:r>
      <w:r w:rsidRPr="00A65CA7" w:rsidR="005C1520">
        <w:rPr>
          <w:szCs w:val="24"/>
        </w:rPr>
        <w:t>subsidize the Applicant’s transmission costs</w:t>
      </w:r>
      <w:r w:rsidRPr="00A65CA7" w:rsidR="00E53E3C">
        <w:rPr>
          <w:szCs w:val="24"/>
        </w:rPr>
        <w:t>.</w:t>
      </w:r>
      <w:r w:rsidRPr="00A65CA7">
        <w:rPr>
          <w:szCs w:val="24"/>
        </w:rPr>
        <w:t xml:space="preserve"> </w:t>
      </w:r>
    </w:p>
    <w:p w:rsidR="00547105" w:rsidRPr="00A65CA7" w:rsidP="00547105" w14:paraId="0AB526BC" w14:textId="67EDD507">
      <w:pPr>
        <w:spacing w:line="480" w:lineRule="auto"/>
        <w:ind w:firstLine="720"/>
        <w:rPr>
          <w:szCs w:val="24"/>
        </w:rPr>
      </w:pPr>
      <w:r w:rsidRPr="00A65CA7">
        <w:rPr>
          <w:szCs w:val="24"/>
        </w:rPr>
        <w:t xml:space="preserve">Applicant’s decision was based on </w:t>
      </w:r>
      <w:r w:rsidRPr="00A65CA7" w:rsidR="00107C40">
        <w:rPr>
          <w:szCs w:val="24"/>
        </w:rPr>
        <w:t xml:space="preserve">its own </w:t>
      </w:r>
      <w:r w:rsidRPr="00A65CA7">
        <w:rPr>
          <w:szCs w:val="24"/>
        </w:rPr>
        <w:t>erroneous assumptions that its transmission costs would be credited under the project.</w:t>
      </w:r>
      <w:r>
        <w:rPr>
          <w:rStyle w:val="FootnoteReference"/>
          <w:szCs w:val="24"/>
        </w:rPr>
        <w:footnoteReference w:id="28"/>
      </w:r>
      <w:r w:rsidRPr="00A65CA7">
        <w:rPr>
          <w:szCs w:val="24"/>
        </w:rPr>
        <w:t xml:space="preserve"> But based on facts known at the time, it was not reasonable to presume that </w:t>
      </w:r>
      <w:r w:rsidRPr="00A65CA7" w:rsidR="00FB7F7D">
        <w:rPr>
          <w:szCs w:val="24"/>
        </w:rPr>
        <w:t xml:space="preserve">all of the Applicant’s </w:t>
      </w:r>
      <w:r w:rsidRPr="00A65CA7">
        <w:rPr>
          <w:szCs w:val="24"/>
        </w:rPr>
        <w:t>transmission costs would be offse</w:t>
      </w:r>
      <w:r w:rsidRPr="00A65CA7" w:rsidR="00AD48B8">
        <w:rPr>
          <w:szCs w:val="24"/>
        </w:rPr>
        <w:t xml:space="preserve">t. </w:t>
      </w:r>
      <w:r w:rsidRPr="00A65CA7" w:rsidR="00FB7F7D">
        <w:rPr>
          <w:szCs w:val="24"/>
        </w:rPr>
        <w:t xml:space="preserve">At </w:t>
      </w:r>
      <w:r w:rsidRPr="00A65CA7">
        <w:rPr>
          <w:szCs w:val="24"/>
        </w:rPr>
        <w:t xml:space="preserve">the time the power purchase contract was entered into (2011), Toledo Edison had </w:t>
      </w:r>
      <w:r w:rsidRPr="00A65CA7" w:rsidR="00922214">
        <w:rPr>
          <w:szCs w:val="24"/>
        </w:rPr>
        <w:t xml:space="preserve">the </w:t>
      </w:r>
      <w:r w:rsidRPr="00A65CA7">
        <w:rPr>
          <w:szCs w:val="24"/>
        </w:rPr>
        <w:t>approved Rider NMB</w:t>
      </w:r>
      <w:r w:rsidRPr="00A65CA7" w:rsidR="00B83F43">
        <w:rPr>
          <w:szCs w:val="24"/>
        </w:rPr>
        <w:t xml:space="preserve"> in place</w:t>
      </w:r>
      <w:r w:rsidRPr="00A65CA7" w:rsidR="006C51F0">
        <w:rPr>
          <w:szCs w:val="24"/>
        </w:rPr>
        <w:t>.</w:t>
      </w:r>
      <w:r>
        <w:rPr>
          <w:rStyle w:val="FootnoteReference"/>
          <w:szCs w:val="24"/>
        </w:rPr>
        <w:footnoteReference w:id="29"/>
      </w:r>
      <w:r w:rsidRPr="00A65CA7">
        <w:rPr>
          <w:szCs w:val="24"/>
        </w:rPr>
        <w:t xml:space="preserve"> </w:t>
      </w:r>
      <w:r w:rsidRPr="00A65CA7" w:rsidR="00FB7F7D">
        <w:rPr>
          <w:szCs w:val="24"/>
        </w:rPr>
        <w:t xml:space="preserve">There was </w:t>
      </w:r>
      <w:r>
        <w:rPr>
          <w:szCs w:val="24"/>
        </w:rPr>
        <w:t xml:space="preserve">no </w:t>
      </w:r>
      <w:r w:rsidRPr="00A65CA7" w:rsidR="00FB7F7D">
        <w:rPr>
          <w:szCs w:val="24"/>
        </w:rPr>
        <w:t>way to opt out of the charge</w:t>
      </w:r>
      <w:r w:rsidRPr="00A65CA7">
        <w:rPr>
          <w:szCs w:val="24"/>
        </w:rPr>
        <w:t>.</w:t>
      </w:r>
      <w:r>
        <w:rPr>
          <w:rStyle w:val="FootnoteReference"/>
          <w:szCs w:val="24"/>
        </w:rPr>
        <w:footnoteReference w:id="30"/>
      </w:r>
      <w:r w:rsidRPr="00A65CA7" w:rsidR="00B32048">
        <w:rPr>
          <w:szCs w:val="24"/>
        </w:rPr>
        <w:t xml:space="preserve"> </w:t>
      </w:r>
    </w:p>
    <w:p w:rsidR="004E1838" w:rsidRPr="00A65CA7" w:rsidP="003B068A" w14:paraId="629BA8FA" w14:textId="77777777">
      <w:pPr>
        <w:spacing w:line="480" w:lineRule="auto"/>
        <w:ind w:firstLine="720"/>
        <w:rPr>
          <w:szCs w:val="24"/>
        </w:rPr>
      </w:pPr>
      <w:r w:rsidRPr="00A65CA7">
        <w:rPr>
          <w:szCs w:val="24"/>
        </w:rPr>
        <w:t>Another reason why the Settlement fails the second prong of the PUCO’s settlement standard is the cost shifting that it will create.</w:t>
      </w:r>
      <w:r w:rsidRPr="00A65CA7" w:rsidR="00002FE7">
        <w:rPr>
          <w:szCs w:val="24"/>
        </w:rPr>
        <w:t xml:space="preserve"> </w:t>
      </w:r>
      <w:r w:rsidRPr="00A65CA7" w:rsidR="003B068A">
        <w:rPr>
          <w:szCs w:val="24"/>
        </w:rPr>
        <w:t>As OCC witness Haugh testified, “costs will be shifted once the Applicant enters the opt-out pilot program…there will be a shortfall of revenue for FirstEnergy and this shortfall will need to be collected from other customers.”</w:t>
      </w:r>
      <w:r>
        <w:rPr>
          <w:rStyle w:val="FootnoteReference"/>
          <w:szCs w:val="24"/>
        </w:rPr>
        <w:footnoteReference w:id="31"/>
      </w:r>
      <w:r w:rsidRPr="00A65CA7" w:rsidR="003B068A">
        <w:rPr>
          <w:szCs w:val="24"/>
        </w:rPr>
        <w:t xml:space="preserve"> </w:t>
      </w:r>
    </w:p>
    <w:p w:rsidR="003B068A" w:rsidRPr="00A65CA7" w:rsidP="003B068A" w14:paraId="08AE5EE2" w14:textId="01BD1160">
      <w:pPr>
        <w:spacing w:line="480" w:lineRule="auto"/>
        <w:ind w:firstLine="720"/>
        <w:rPr>
          <w:szCs w:val="24"/>
        </w:rPr>
      </w:pPr>
      <w:r w:rsidRPr="00A65CA7">
        <w:rPr>
          <w:szCs w:val="24"/>
        </w:rPr>
        <w:t xml:space="preserve">On cross-examination Applicant’s witness Seryak admitted that transmission rates charged to other customers would </w:t>
      </w:r>
      <w:r w:rsidRPr="00A65CA7" w:rsidR="006C51F0">
        <w:rPr>
          <w:szCs w:val="24"/>
        </w:rPr>
        <w:t>increase</w:t>
      </w:r>
      <w:r w:rsidRPr="00A65CA7">
        <w:rPr>
          <w:szCs w:val="24"/>
        </w:rPr>
        <w:t xml:space="preserve"> if Applicant’s unique arrangement were approved.</w:t>
      </w:r>
      <w:r>
        <w:rPr>
          <w:rStyle w:val="FootnoteReference"/>
          <w:szCs w:val="24"/>
        </w:rPr>
        <w:footnoteReference w:id="32"/>
      </w:r>
      <w:r w:rsidRPr="00A65CA7">
        <w:rPr>
          <w:szCs w:val="24"/>
        </w:rPr>
        <w:t xml:space="preserve"> The witness further testified that charges of approximately $280,000/per year may </w:t>
      </w:r>
      <w:r w:rsidRPr="00A65CA7" w:rsidR="00E2364D">
        <w:rPr>
          <w:szCs w:val="24"/>
        </w:rPr>
        <w:t xml:space="preserve">be </w:t>
      </w:r>
      <w:r w:rsidRPr="00A65CA7">
        <w:rPr>
          <w:szCs w:val="24"/>
        </w:rPr>
        <w:t>shifted for other customers to pay.</w:t>
      </w:r>
      <w:r>
        <w:rPr>
          <w:rStyle w:val="FootnoteReference"/>
          <w:szCs w:val="24"/>
        </w:rPr>
        <w:footnoteReference w:id="33"/>
      </w:r>
      <w:r w:rsidRPr="00A65CA7">
        <w:rPr>
          <w:szCs w:val="24"/>
        </w:rPr>
        <w:t xml:space="preserve"> </w:t>
      </w:r>
      <w:r w:rsidRPr="00A65CA7" w:rsidR="004E1838">
        <w:rPr>
          <w:szCs w:val="24"/>
        </w:rPr>
        <w:t>T</w:t>
      </w:r>
      <w:r w:rsidRPr="00A65CA7">
        <w:rPr>
          <w:szCs w:val="24"/>
        </w:rPr>
        <w:t xml:space="preserve">he impact </w:t>
      </w:r>
      <w:r w:rsidRPr="00A65CA7" w:rsidR="00B83F43">
        <w:rPr>
          <w:szCs w:val="24"/>
        </w:rPr>
        <w:t xml:space="preserve">could become much </w:t>
      </w:r>
      <w:r w:rsidRPr="00A65CA7">
        <w:rPr>
          <w:szCs w:val="24"/>
        </w:rPr>
        <w:t>larger, but we don’t know because a thorough evaluation of th</w:t>
      </w:r>
      <w:r w:rsidRPr="00A65CA7" w:rsidR="00793050">
        <w:rPr>
          <w:szCs w:val="24"/>
        </w:rPr>
        <w:t>is</w:t>
      </w:r>
      <w:r w:rsidRPr="00A65CA7">
        <w:rPr>
          <w:szCs w:val="24"/>
        </w:rPr>
        <w:t xml:space="preserve"> pilot</w:t>
      </w:r>
      <w:r w:rsidRPr="00A65CA7" w:rsidR="00793050">
        <w:rPr>
          <w:szCs w:val="24"/>
        </w:rPr>
        <w:t xml:space="preserve"> program</w:t>
      </w:r>
      <w:r w:rsidRPr="00A65CA7">
        <w:rPr>
          <w:szCs w:val="24"/>
        </w:rPr>
        <w:t xml:space="preserve"> has not been performed (as was directed by the PUCO).</w:t>
      </w:r>
      <w:r>
        <w:rPr>
          <w:rStyle w:val="FootnoteReference"/>
          <w:szCs w:val="24"/>
        </w:rPr>
        <w:footnoteReference w:id="34"/>
      </w:r>
      <w:r w:rsidRPr="00A65CA7">
        <w:rPr>
          <w:szCs w:val="24"/>
        </w:rPr>
        <w:t xml:space="preserve"> It is not a benefit to residential consumers to pay FirstEnergy to make up for </w:t>
      </w:r>
      <w:r w:rsidRPr="00A65CA7" w:rsidR="005A4630">
        <w:rPr>
          <w:szCs w:val="24"/>
        </w:rPr>
        <w:t xml:space="preserve">a revenue shortfall </w:t>
      </w:r>
      <w:r w:rsidRPr="00A65CA7">
        <w:rPr>
          <w:szCs w:val="24"/>
        </w:rPr>
        <w:t>as a result of the Settlement.</w:t>
      </w:r>
      <w:r>
        <w:rPr>
          <w:rStyle w:val="FootnoteReference"/>
          <w:szCs w:val="24"/>
        </w:rPr>
        <w:footnoteReference w:id="35"/>
      </w:r>
      <w:r w:rsidRPr="00A65CA7">
        <w:rPr>
          <w:szCs w:val="24"/>
        </w:rPr>
        <w:t xml:space="preserve"> </w:t>
      </w:r>
    </w:p>
    <w:p w:rsidR="00B83C56" w:rsidRPr="00A65CA7" w:rsidP="001E1358" w14:paraId="247AB256" w14:textId="77777777">
      <w:pPr>
        <w:spacing w:line="480" w:lineRule="auto"/>
        <w:ind w:firstLine="720"/>
        <w:rPr>
          <w:szCs w:val="24"/>
        </w:rPr>
      </w:pPr>
      <w:r w:rsidRPr="00A65CA7">
        <w:rPr>
          <w:szCs w:val="24"/>
        </w:rPr>
        <w:t>Also, t</w:t>
      </w:r>
      <w:r w:rsidRPr="00A65CA7" w:rsidR="005538CC">
        <w:rPr>
          <w:szCs w:val="24"/>
        </w:rPr>
        <w:t>he Applicant</w:t>
      </w:r>
      <w:r w:rsidRPr="00A65CA7" w:rsidR="00B83F43">
        <w:rPr>
          <w:szCs w:val="24"/>
        </w:rPr>
        <w:t>’s witness</w:t>
      </w:r>
      <w:r w:rsidRPr="00A65CA7" w:rsidR="005538CC">
        <w:rPr>
          <w:szCs w:val="24"/>
        </w:rPr>
        <w:t xml:space="preserve"> testified on cross</w:t>
      </w:r>
      <w:r w:rsidRPr="00A65CA7">
        <w:rPr>
          <w:szCs w:val="24"/>
        </w:rPr>
        <w:t>-</w:t>
      </w:r>
      <w:r w:rsidRPr="00A65CA7" w:rsidR="005538CC">
        <w:rPr>
          <w:szCs w:val="24"/>
        </w:rPr>
        <w:t>examination that it is not committing to a specific level of capital investment</w:t>
      </w:r>
      <w:r w:rsidRPr="00A65CA7" w:rsidR="00784CFC">
        <w:rPr>
          <w:szCs w:val="24"/>
        </w:rPr>
        <w:t xml:space="preserve"> in Ohio</w:t>
      </w:r>
      <w:r w:rsidRPr="00A65CA7">
        <w:rPr>
          <w:szCs w:val="24"/>
        </w:rPr>
        <w:t>.</w:t>
      </w:r>
      <w:r>
        <w:rPr>
          <w:rStyle w:val="FootnoteReference"/>
          <w:szCs w:val="24"/>
        </w:rPr>
        <w:footnoteReference w:id="36"/>
      </w:r>
      <w:r w:rsidRPr="00A65CA7" w:rsidR="005538CC">
        <w:rPr>
          <w:szCs w:val="24"/>
        </w:rPr>
        <w:t xml:space="preserve"> </w:t>
      </w:r>
      <w:r w:rsidRPr="00A65CA7">
        <w:rPr>
          <w:szCs w:val="24"/>
        </w:rPr>
        <w:t>And it is not</w:t>
      </w:r>
      <w:r w:rsidRPr="00A65CA7" w:rsidR="005538CC">
        <w:rPr>
          <w:szCs w:val="24"/>
        </w:rPr>
        <w:t xml:space="preserve"> guaranteeing a specific employee level</w:t>
      </w:r>
      <w:r>
        <w:rPr>
          <w:rStyle w:val="FootnoteReference"/>
          <w:szCs w:val="24"/>
        </w:rPr>
        <w:footnoteReference w:id="37"/>
      </w:r>
      <w:r w:rsidRPr="00A65CA7" w:rsidR="005538CC">
        <w:rPr>
          <w:szCs w:val="24"/>
        </w:rPr>
        <w:t xml:space="preserve"> as a result of approval of </w:t>
      </w:r>
      <w:r w:rsidRPr="00A65CA7" w:rsidR="00713665">
        <w:rPr>
          <w:szCs w:val="24"/>
        </w:rPr>
        <w:t xml:space="preserve">the </w:t>
      </w:r>
      <w:r w:rsidRPr="00A65CA7" w:rsidR="005538CC">
        <w:rPr>
          <w:szCs w:val="24"/>
        </w:rPr>
        <w:t xml:space="preserve">unique arrangement presented in </w:t>
      </w:r>
      <w:r w:rsidRPr="00A65CA7" w:rsidR="00F22A89">
        <w:rPr>
          <w:szCs w:val="24"/>
        </w:rPr>
        <w:t xml:space="preserve">the Settlement. </w:t>
      </w:r>
      <w:r w:rsidRPr="00A65CA7">
        <w:rPr>
          <w:szCs w:val="24"/>
        </w:rPr>
        <w:t xml:space="preserve">The benefits that the Applicant touts as being provided </w:t>
      </w:r>
      <w:r w:rsidRPr="00A65CA7" w:rsidR="00B83F43">
        <w:rPr>
          <w:szCs w:val="24"/>
        </w:rPr>
        <w:t xml:space="preserve">from </w:t>
      </w:r>
      <w:r w:rsidRPr="00A65CA7">
        <w:rPr>
          <w:szCs w:val="24"/>
        </w:rPr>
        <w:t>the unique arrangement will be available whether the PUCO approves the Settlement or not.</w:t>
      </w:r>
      <w:r>
        <w:rPr>
          <w:rStyle w:val="FootnoteReference"/>
          <w:szCs w:val="24"/>
        </w:rPr>
        <w:footnoteReference w:id="38"/>
      </w:r>
      <w:r w:rsidRPr="00A65CA7">
        <w:rPr>
          <w:szCs w:val="24"/>
        </w:rPr>
        <w:t xml:space="preserve"> </w:t>
      </w:r>
    </w:p>
    <w:p w:rsidR="00E028AD" w:rsidRPr="00A65CA7" w:rsidP="009E4176" w14:paraId="1218437E" w14:textId="77777777">
      <w:pPr>
        <w:spacing w:line="480" w:lineRule="auto"/>
        <w:ind w:firstLine="720"/>
        <w:rPr>
          <w:szCs w:val="24"/>
        </w:rPr>
      </w:pPr>
      <w:r w:rsidRPr="00A65CA7">
        <w:rPr>
          <w:szCs w:val="24"/>
        </w:rPr>
        <w:t>T</w:t>
      </w:r>
      <w:r w:rsidRPr="00A65CA7" w:rsidR="00AA16A6">
        <w:rPr>
          <w:szCs w:val="24"/>
        </w:rPr>
        <w:t xml:space="preserve">his </w:t>
      </w:r>
      <w:r w:rsidRPr="00A65CA7" w:rsidR="00540945">
        <w:rPr>
          <w:szCs w:val="24"/>
        </w:rPr>
        <w:t>unique arrangement</w:t>
      </w:r>
      <w:r w:rsidRPr="00A65CA7" w:rsidR="00AA16A6">
        <w:rPr>
          <w:szCs w:val="24"/>
        </w:rPr>
        <w:t xml:space="preserve"> </w:t>
      </w:r>
      <w:r w:rsidRPr="00A65CA7" w:rsidR="000D198E">
        <w:rPr>
          <w:szCs w:val="24"/>
        </w:rPr>
        <w:t>and Settlement do not benefit consumers and are not</w:t>
      </w:r>
      <w:r w:rsidRPr="00A65CA7" w:rsidR="00AA16A6">
        <w:rPr>
          <w:szCs w:val="24"/>
        </w:rPr>
        <w:t xml:space="preserve"> in the public interest. It is </w:t>
      </w:r>
      <w:r w:rsidRPr="00A65CA7" w:rsidR="004E1838">
        <w:rPr>
          <w:szCs w:val="24"/>
        </w:rPr>
        <w:t>unreasonable</w:t>
      </w:r>
      <w:r w:rsidRPr="00A65CA7" w:rsidR="00F95349">
        <w:rPr>
          <w:szCs w:val="24"/>
        </w:rPr>
        <w:t xml:space="preserve"> </w:t>
      </w:r>
      <w:r w:rsidRPr="00A65CA7">
        <w:rPr>
          <w:szCs w:val="24"/>
        </w:rPr>
        <w:t xml:space="preserve">to ask </w:t>
      </w:r>
      <w:r w:rsidRPr="00A65CA7" w:rsidR="00F95349">
        <w:rPr>
          <w:szCs w:val="24"/>
        </w:rPr>
        <w:t xml:space="preserve">other customers </w:t>
      </w:r>
      <w:r w:rsidRPr="00A65CA7" w:rsidR="00691B76">
        <w:rPr>
          <w:szCs w:val="24"/>
        </w:rPr>
        <w:t>to</w:t>
      </w:r>
      <w:r w:rsidRPr="00A65CA7" w:rsidR="004E1838">
        <w:rPr>
          <w:szCs w:val="24"/>
        </w:rPr>
        <w:t xml:space="preserve"> </w:t>
      </w:r>
      <w:r w:rsidRPr="00A65CA7">
        <w:rPr>
          <w:szCs w:val="24"/>
        </w:rPr>
        <w:t xml:space="preserve">financially insulate the Applicant from the consequences </w:t>
      </w:r>
      <w:r w:rsidRPr="00A65CA7" w:rsidR="001D6EF7">
        <w:rPr>
          <w:szCs w:val="24"/>
        </w:rPr>
        <w:t xml:space="preserve">of </w:t>
      </w:r>
      <w:r w:rsidRPr="00A65CA7">
        <w:rPr>
          <w:szCs w:val="24"/>
        </w:rPr>
        <w:t>enter</w:t>
      </w:r>
      <w:r w:rsidRPr="00A65CA7" w:rsidR="009E4176">
        <w:rPr>
          <w:szCs w:val="24"/>
        </w:rPr>
        <w:t>ing</w:t>
      </w:r>
      <w:r w:rsidRPr="00A65CA7">
        <w:rPr>
          <w:szCs w:val="24"/>
        </w:rPr>
        <w:t xml:space="preserve"> into a long</w:t>
      </w:r>
      <w:r w:rsidRPr="00A65CA7" w:rsidR="009E4176">
        <w:rPr>
          <w:szCs w:val="24"/>
        </w:rPr>
        <w:t>-</w:t>
      </w:r>
      <w:r w:rsidRPr="00A65CA7">
        <w:rPr>
          <w:szCs w:val="24"/>
        </w:rPr>
        <w:t>term purchase power agreement that produce</w:t>
      </w:r>
      <w:r w:rsidRPr="00A65CA7" w:rsidR="009E4176">
        <w:rPr>
          <w:szCs w:val="24"/>
        </w:rPr>
        <w:t>d</w:t>
      </w:r>
      <w:r w:rsidRPr="00A65CA7">
        <w:rPr>
          <w:szCs w:val="24"/>
        </w:rPr>
        <w:t xml:space="preserve"> less savings than anticipated. </w:t>
      </w:r>
      <w:r w:rsidRPr="00A65CA7" w:rsidR="00F95349">
        <w:rPr>
          <w:szCs w:val="24"/>
        </w:rPr>
        <w:t xml:space="preserve">It is not in the public interest to shift </w:t>
      </w:r>
      <w:r w:rsidRPr="00A65CA7" w:rsidR="00691B76">
        <w:rPr>
          <w:szCs w:val="24"/>
        </w:rPr>
        <w:t xml:space="preserve">these </w:t>
      </w:r>
      <w:r w:rsidRPr="00A65CA7" w:rsidR="00793050">
        <w:rPr>
          <w:szCs w:val="24"/>
        </w:rPr>
        <w:t>pilot program</w:t>
      </w:r>
      <w:r w:rsidRPr="00A65CA7" w:rsidR="00691B76">
        <w:rPr>
          <w:szCs w:val="24"/>
        </w:rPr>
        <w:t xml:space="preserve"> costs </w:t>
      </w:r>
      <w:r w:rsidRPr="00A65CA7" w:rsidR="00540945">
        <w:rPr>
          <w:szCs w:val="24"/>
        </w:rPr>
        <w:t>on</w:t>
      </w:r>
      <w:r w:rsidRPr="00A65CA7" w:rsidR="00691B76">
        <w:rPr>
          <w:szCs w:val="24"/>
        </w:rPr>
        <w:t>to</w:t>
      </w:r>
      <w:r w:rsidRPr="00A65CA7" w:rsidR="00793050">
        <w:rPr>
          <w:szCs w:val="24"/>
        </w:rPr>
        <w:t xml:space="preserve"> </w:t>
      </w:r>
      <w:r w:rsidRPr="00A65CA7" w:rsidR="00507F83">
        <w:rPr>
          <w:szCs w:val="24"/>
        </w:rPr>
        <w:t xml:space="preserve">other </w:t>
      </w:r>
      <w:r w:rsidRPr="00A65CA7" w:rsidR="00793050">
        <w:rPr>
          <w:szCs w:val="24"/>
        </w:rPr>
        <w:t>non-participants</w:t>
      </w:r>
      <w:r w:rsidRPr="00A65CA7" w:rsidR="00507F83">
        <w:rPr>
          <w:szCs w:val="24"/>
        </w:rPr>
        <w:t>, including</w:t>
      </w:r>
      <w:r w:rsidRPr="00A65CA7" w:rsidR="00691B76">
        <w:rPr>
          <w:szCs w:val="24"/>
        </w:rPr>
        <w:t xml:space="preserve"> residential consumers. </w:t>
      </w:r>
    </w:p>
    <w:p w:rsidR="00923798" w:rsidRPr="00A65CA7" w:rsidP="00F95349" w14:paraId="47E1FFBB" w14:textId="77777777">
      <w:pPr>
        <w:spacing w:line="480" w:lineRule="auto"/>
        <w:ind w:firstLine="720"/>
        <w:rPr>
          <w:szCs w:val="24"/>
        </w:rPr>
      </w:pPr>
      <w:r w:rsidRPr="00A65CA7">
        <w:rPr>
          <w:szCs w:val="24"/>
        </w:rPr>
        <w:t xml:space="preserve">Further, the Settlement does not benefit consumers and is not in the public interest because it’s a misuse of the PUCO’s settlement standards. Essentially, the Settlement was adopted not to compromise but to gain a litigation advantage from the Settlement standards that favor stipulators. </w:t>
      </w:r>
      <w:r w:rsidRPr="00A65CA7" w:rsidR="001E5FFC">
        <w:rPr>
          <w:i/>
          <w:iCs/>
          <w:szCs w:val="24"/>
        </w:rPr>
        <w:t>Also, given the misuse of standards, the Settlement is not entitled to be considered as a package.</w:t>
      </w:r>
      <w:r w:rsidRPr="00A65CA7" w:rsidR="001E5FFC">
        <w:rPr>
          <w:szCs w:val="24"/>
        </w:rPr>
        <w:t xml:space="preserve"> </w:t>
      </w:r>
    </w:p>
    <w:p w:rsidR="007B2CA1" w:rsidRPr="00A65CA7" w:rsidP="00760E5D" w14:paraId="441C834C" w14:textId="77777777">
      <w:pPr>
        <w:pStyle w:val="Heading2"/>
        <w:rPr>
          <w:rFonts w:ascii="Times New Roman" w:hAnsi="Times New Roman"/>
          <w:szCs w:val="24"/>
        </w:rPr>
      </w:pPr>
      <w:bookmarkStart w:id="12" w:name="_Toc94891999"/>
      <w:bookmarkStart w:id="13" w:name="_Toc94892041"/>
      <w:bookmarkStart w:id="14" w:name="_Toc95404104"/>
      <w:r w:rsidRPr="00A65CA7">
        <w:rPr>
          <w:rFonts w:ascii="Times New Roman" w:hAnsi="Times New Roman"/>
          <w:szCs w:val="24"/>
        </w:rPr>
        <w:t>C.</w:t>
      </w:r>
      <w:r w:rsidRPr="00A65CA7" w:rsidR="00B32048">
        <w:rPr>
          <w:rFonts w:ascii="Times New Roman" w:hAnsi="Times New Roman"/>
          <w:szCs w:val="24"/>
        </w:rPr>
        <w:t xml:space="preserve"> </w:t>
      </w:r>
      <w:r w:rsidRPr="00A65CA7" w:rsidR="00760E5D">
        <w:rPr>
          <w:rFonts w:ascii="Times New Roman" w:hAnsi="Times New Roman"/>
          <w:szCs w:val="24"/>
        </w:rPr>
        <w:tab/>
      </w:r>
      <w:r w:rsidRPr="00A65CA7">
        <w:rPr>
          <w:rFonts w:ascii="Times New Roman" w:hAnsi="Times New Roman"/>
          <w:szCs w:val="24"/>
        </w:rPr>
        <w:t>The PUCO should reject the Settlement because it violates regulatory principles and practices.</w:t>
      </w:r>
      <w:bookmarkEnd w:id="12"/>
      <w:bookmarkEnd w:id="13"/>
      <w:bookmarkEnd w:id="14"/>
    </w:p>
    <w:p w:rsidR="0046731B" w:rsidRPr="00A65CA7" w:rsidP="0046731B" w14:paraId="14E5D6B3" w14:textId="77777777">
      <w:pPr>
        <w:spacing w:line="480" w:lineRule="auto"/>
        <w:ind w:firstLine="720"/>
        <w:rPr>
          <w:szCs w:val="24"/>
        </w:rPr>
      </w:pPr>
      <w:r w:rsidRPr="00A65CA7">
        <w:rPr>
          <w:szCs w:val="24"/>
        </w:rPr>
        <w:t>The third prong of the PUCO’s settlement standard is whether the settlement package violates any important regulatory principle or practice</w:t>
      </w:r>
      <w:r w:rsidRPr="00A65CA7" w:rsidR="009350BD">
        <w:rPr>
          <w:szCs w:val="24"/>
        </w:rPr>
        <w:t>.</w:t>
      </w:r>
      <w:r w:rsidRPr="00A65CA7" w:rsidR="004E1838">
        <w:rPr>
          <w:szCs w:val="24"/>
        </w:rPr>
        <w:t xml:space="preserve"> </w:t>
      </w:r>
      <w:r w:rsidRPr="00A65CA7" w:rsidR="009E4176">
        <w:rPr>
          <w:szCs w:val="24"/>
        </w:rPr>
        <w:t>It is not good regulatory practice to ask other customers to</w:t>
      </w:r>
      <w:r w:rsidRPr="00A65CA7" w:rsidR="005C1520">
        <w:rPr>
          <w:szCs w:val="24"/>
        </w:rPr>
        <w:t xml:space="preserve"> </w:t>
      </w:r>
      <w:r w:rsidRPr="00A65CA7" w:rsidR="000D198E">
        <w:rPr>
          <w:szCs w:val="24"/>
        </w:rPr>
        <w:t>pay</w:t>
      </w:r>
      <w:r w:rsidRPr="00A65CA7" w:rsidR="005C1520">
        <w:rPr>
          <w:szCs w:val="24"/>
        </w:rPr>
        <w:t xml:space="preserve"> the Applicant’s transmission costs as a means to</w:t>
      </w:r>
      <w:r w:rsidRPr="00A65CA7" w:rsidR="009E4176">
        <w:rPr>
          <w:szCs w:val="24"/>
        </w:rPr>
        <w:t xml:space="preserve"> financially insulate the Applicant from the consequences of </w:t>
      </w:r>
      <w:r w:rsidRPr="00A65CA7" w:rsidR="00825610">
        <w:rPr>
          <w:szCs w:val="24"/>
        </w:rPr>
        <w:t>miscalculating the financial benefits of a power purchase agreement</w:t>
      </w:r>
      <w:r w:rsidRPr="00A65CA7" w:rsidR="009350BD">
        <w:rPr>
          <w:szCs w:val="24"/>
        </w:rPr>
        <w:t>.</w:t>
      </w:r>
      <w:r>
        <w:rPr>
          <w:rStyle w:val="FootnoteReference"/>
          <w:szCs w:val="24"/>
        </w:rPr>
        <w:footnoteReference w:id="39"/>
      </w:r>
      <w:r w:rsidRPr="00A65CA7" w:rsidR="009350BD">
        <w:rPr>
          <w:szCs w:val="24"/>
        </w:rPr>
        <w:t xml:space="preserve"> </w:t>
      </w:r>
    </w:p>
    <w:p w:rsidR="004F519A" w:rsidRPr="00A65CA7" w:rsidP="0046731B" w14:paraId="506A4D92" w14:textId="77777777">
      <w:pPr>
        <w:spacing w:line="480" w:lineRule="auto"/>
        <w:ind w:firstLine="720"/>
        <w:rPr>
          <w:szCs w:val="24"/>
        </w:rPr>
      </w:pPr>
      <w:r w:rsidRPr="00A65CA7">
        <w:rPr>
          <w:szCs w:val="24"/>
        </w:rPr>
        <w:t>In addition, t</w:t>
      </w:r>
      <w:r w:rsidRPr="00A65CA7" w:rsidR="00181DC5">
        <w:rPr>
          <w:szCs w:val="24"/>
        </w:rPr>
        <w:t>h</w:t>
      </w:r>
      <w:r w:rsidRPr="00A65CA7" w:rsidR="003C14CD">
        <w:rPr>
          <w:szCs w:val="24"/>
        </w:rPr>
        <w:t>is</w:t>
      </w:r>
      <w:r w:rsidRPr="00A65CA7" w:rsidR="00181DC5">
        <w:rPr>
          <w:szCs w:val="24"/>
        </w:rPr>
        <w:t xml:space="preserve"> Settlement violates regulatory principles and practices because</w:t>
      </w:r>
      <w:r w:rsidRPr="00A65CA7" w:rsidR="00EC664D">
        <w:rPr>
          <w:szCs w:val="24"/>
        </w:rPr>
        <w:t xml:space="preserve"> neither </w:t>
      </w:r>
      <w:r w:rsidRPr="00A65CA7" w:rsidR="00181DC5">
        <w:rPr>
          <w:szCs w:val="24"/>
        </w:rPr>
        <w:t xml:space="preserve">Staff </w:t>
      </w:r>
      <w:r w:rsidRPr="00A65CA7" w:rsidR="00EC664D">
        <w:rPr>
          <w:szCs w:val="24"/>
        </w:rPr>
        <w:t xml:space="preserve">nor </w:t>
      </w:r>
      <w:r w:rsidRPr="00A65CA7" w:rsidR="00606672">
        <w:rPr>
          <w:szCs w:val="24"/>
        </w:rPr>
        <w:t>FirstEnergy</w:t>
      </w:r>
      <w:r w:rsidRPr="00A65CA7" w:rsidR="00B83F43">
        <w:rPr>
          <w:szCs w:val="24"/>
        </w:rPr>
        <w:t xml:space="preserve"> </w:t>
      </w:r>
      <w:r w:rsidRPr="00A65CA7" w:rsidR="00EC664D">
        <w:rPr>
          <w:szCs w:val="24"/>
        </w:rPr>
        <w:t xml:space="preserve">have </w:t>
      </w:r>
      <w:r w:rsidRPr="00A65CA7" w:rsidR="00181DC5">
        <w:rPr>
          <w:szCs w:val="24"/>
        </w:rPr>
        <w:t xml:space="preserve">complied with the PUCO’s directive to </w:t>
      </w:r>
      <w:r w:rsidRPr="00A65CA7" w:rsidR="001401EE">
        <w:rPr>
          <w:szCs w:val="24"/>
        </w:rPr>
        <w:t>review the result</w:t>
      </w:r>
      <w:r w:rsidRPr="00A65CA7" w:rsidR="004D4CA0">
        <w:rPr>
          <w:szCs w:val="24"/>
        </w:rPr>
        <w:t>s</w:t>
      </w:r>
      <w:r w:rsidRPr="00A65CA7" w:rsidR="001401EE">
        <w:rPr>
          <w:szCs w:val="24"/>
        </w:rPr>
        <w:t xml:space="preserve"> of the program</w:t>
      </w:r>
      <w:r w:rsidRPr="00A65CA7" w:rsidR="0046731B">
        <w:rPr>
          <w:szCs w:val="24"/>
        </w:rPr>
        <w:t xml:space="preserve">. </w:t>
      </w:r>
      <w:r w:rsidRPr="00A65CA7" w:rsidR="0038352E">
        <w:rPr>
          <w:szCs w:val="24"/>
        </w:rPr>
        <w:t>Staff and FirstEnergy were</w:t>
      </w:r>
      <w:r w:rsidRPr="00A65CA7" w:rsidR="0046731B">
        <w:rPr>
          <w:szCs w:val="24"/>
        </w:rPr>
        <w:t xml:space="preserve"> supposed to</w:t>
      </w:r>
      <w:r w:rsidRPr="00A65CA7" w:rsidR="001401EE">
        <w:rPr>
          <w:szCs w:val="24"/>
        </w:rPr>
        <w:t xml:space="preserve"> “periodically report findings to the PUCO” under the guidelines established in the Order.</w:t>
      </w:r>
      <w:r>
        <w:rPr>
          <w:rStyle w:val="FootnoteReference"/>
          <w:szCs w:val="24"/>
        </w:rPr>
        <w:footnoteReference w:id="40"/>
      </w:r>
      <w:r w:rsidRPr="00A65CA7" w:rsidR="00EC664D">
        <w:rPr>
          <w:szCs w:val="24"/>
        </w:rPr>
        <w:t xml:space="preserve"> </w:t>
      </w:r>
    </w:p>
    <w:p w:rsidR="007E2F6C" w:rsidRPr="00A65CA7" w:rsidP="00126533" w14:paraId="192EAAE4" w14:textId="77777777">
      <w:pPr>
        <w:spacing w:line="480" w:lineRule="auto"/>
        <w:ind w:firstLine="720"/>
        <w:rPr>
          <w:szCs w:val="24"/>
        </w:rPr>
      </w:pPr>
      <w:r w:rsidRPr="00A65CA7">
        <w:rPr>
          <w:szCs w:val="24"/>
        </w:rPr>
        <w:t xml:space="preserve">The purpose of the Rider NMB pilot program was for FirstEnergy “to study the administrative burden and costs of allowing </w:t>
      </w:r>
      <w:r w:rsidRPr="00A65CA7" w:rsidR="00606672">
        <w:rPr>
          <w:szCs w:val="24"/>
        </w:rPr>
        <w:t xml:space="preserve">big business </w:t>
      </w:r>
      <w:r w:rsidRPr="00A65CA7">
        <w:rPr>
          <w:szCs w:val="24"/>
        </w:rPr>
        <w:t>customers the option to have their CRES providers pay Rider NMB charges</w:t>
      </w:r>
      <w:r w:rsidRPr="00A65CA7" w:rsidR="00606672">
        <w:rPr>
          <w:szCs w:val="24"/>
        </w:rPr>
        <w:t>. And the purpose was to study</w:t>
      </w:r>
      <w:r w:rsidRPr="00A65CA7">
        <w:rPr>
          <w:szCs w:val="24"/>
        </w:rPr>
        <w:t xml:space="preserve"> </w:t>
      </w:r>
      <w:r w:rsidRPr="00A65CA7" w:rsidR="0038352E">
        <w:rPr>
          <w:szCs w:val="24"/>
        </w:rPr>
        <w:t>“</w:t>
      </w:r>
      <w:r w:rsidRPr="00A65CA7">
        <w:rPr>
          <w:szCs w:val="24"/>
        </w:rPr>
        <w:t>whether such a program would result in benefits to both participating and non-participating customers.”</w:t>
      </w:r>
      <w:r>
        <w:rPr>
          <w:rStyle w:val="FootnoteReference"/>
          <w:szCs w:val="24"/>
        </w:rPr>
        <w:footnoteReference w:id="41"/>
      </w:r>
      <w:r w:rsidRPr="00A65CA7">
        <w:rPr>
          <w:szCs w:val="24"/>
        </w:rPr>
        <w:t xml:space="preserve"> The PUCO similarly described the pilot as providing an “opportunity to determine if industrial customers can obtain substantial savings by obtaining certain transmission services outside of Rider NMB </w:t>
      </w:r>
      <w:r w:rsidRPr="00A65CA7">
        <w:rPr>
          <w:i/>
          <w:iCs/>
          <w:szCs w:val="24"/>
        </w:rPr>
        <w:t>without imposing significant costs on other customers</w:t>
      </w:r>
      <w:r w:rsidRPr="00A65CA7" w:rsidR="00606672">
        <w:rPr>
          <w:i/>
          <w:iCs/>
          <w:szCs w:val="24"/>
        </w:rPr>
        <w:t>.</w:t>
      </w:r>
      <w:r w:rsidRPr="00A65CA7">
        <w:rPr>
          <w:szCs w:val="24"/>
        </w:rPr>
        <w:t>”</w:t>
      </w:r>
      <w:r>
        <w:rPr>
          <w:rStyle w:val="FootnoteReference"/>
          <w:szCs w:val="24"/>
        </w:rPr>
        <w:footnoteReference w:id="42"/>
      </w:r>
    </w:p>
    <w:p w:rsidR="00E028AD" w:rsidRPr="00A65CA7" w:rsidP="00126533" w14:paraId="2E5E9FEE" w14:textId="77777777">
      <w:pPr>
        <w:spacing w:line="480" w:lineRule="auto"/>
        <w:ind w:firstLine="720"/>
        <w:rPr>
          <w:szCs w:val="24"/>
        </w:rPr>
      </w:pPr>
      <w:r w:rsidRPr="00A65CA7">
        <w:rPr>
          <w:szCs w:val="24"/>
        </w:rPr>
        <w:t>Accordingly, the PUCO directed FirstEnergy and the PUCO Staff “to continuously review the actual results of the Rider NMB pilot program and periodically report their findings to the Commission.”</w:t>
      </w:r>
      <w:r>
        <w:rPr>
          <w:rStyle w:val="FootnoteReference"/>
          <w:szCs w:val="24"/>
        </w:rPr>
        <w:footnoteReference w:id="43"/>
      </w:r>
      <w:r w:rsidRPr="00A65CA7" w:rsidR="00002FE7">
        <w:rPr>
          <w:szCs w:val="24"/>
        </w:rPr>
        <w:t xml:space="preserve"> </w:t>
      </w:r>
      <w:r w:rsidRPr="00A65CA7" w:rsidR="00606672">
        <w:rPr>
          <w:szCs w:val="24"/>
        </w:rPr>
        <w:t xml:space="preserve">Such reviewing and reporting would be consistent with proper regulatory practices. The lack of reviewing and reporting violated regulatory principles and practices. </w:t>
      </w:r>
    </w:p>
    <w:p w:rsidR="007E2F6C" w:rsidRPr="00A65CA7" w:rsidP="00126533" w14:paraId="7F2A42A7" w14:textId="77777777">
      <w:pPr>
        <w:spacing w:line="480" w:lineRule="auto"/>
        <w:ind w:firstLine="720"/>
        <w:rPr>
          <w:szCs w:val="24"/>
        </w:rPr>
      </w:pPr>
      <w:r w:rsidRPr="00A65CA7">
        <w:rPr>
          <w:szCs w:val="24"/>
        </w:rPr>
        <w:t xml:space="preserve">The PUCO ruled that such review “should include, at a minimum: whether there is an aggregate savings in transmission costs for all of the Companies’ customers, </w:t>
      </w:r>
      <w:r w:rsidRPr="00A65CA7">
        <w:rPr>
          <w:i/>
          <w:iCs/>
          <w:szCs w:val="24"/>
        </w:rPr>
        <w:t>whether and how much in transmission costs are being shifted to customers not participating in the pilot program</w:t>
      </w:r>
      <w:r w:rsidRPr="00A65CA7">
        <w:rPr>
          <w:szCs w:val="24"/>
        </w:rPr>
        <w:t>, whether the benefits of the pilot program outweigh any costs, and whether Rider NMB results in an overall cost savings to customers.”</w:t>
      </w:r>
      <w:r>
        <w:rPr>
          <w:rStyle w:val="FootnoteReference"/>
          <w:szCs w:val="24"/>
        </w:rPr>
        <w:footnoteReference w:id="44"/>
      </w:r>
    </w:p>
    <w:p w:rsidR="007E2F6C" w:rsidRPr="00A65CA7" w:rsidP="00126533" w14:paraId="134BEEAA" w14:textId="77777777">
      <w:pPr>
        <w:spacing w:line="480" w:lineRule="auto"/>
        <w:ind w:firstLine="720"/>
        <w:rPr>
          <w:szCs w:val="24"/>
        </w:rPr>
      </w:pPr>
      <w:r w:rsidRPr="00A65CA7">
        <w:rPr>
          <w:szCs w:val="24"/>
        </w:rPr>
        <w:t>The PUCO-ordered review of the Rider NMB Pilot “is necessary for the Commission to determine whether Rider NMB should be continued with the ability for customers to opt out, whether Rider NMB should be continued without the ability for customers to opt out, and whether Rider NMB should be terminated.”</w:t>
      </w:r>
      <w:r>
        <w:rPr>
          <w:rStyle w:val="FootnoteReference"/>
          <w:szCs w:val="24"/>
        </w:rPr>
        <w:footnoteReference w:id="45"/>
      </w:r>
      <w:r w:rsidRPr="00A65CA7" w:rsidR="00C7280F">
        <w:rPr>
          <w:szCs w:val="24"/>
        </w:rPr>
        <w:t xml:space="preserve"> A</w:t>
      </w:r>
      <w:r w:rsidRPr="00A65CA7">
        <w:rPr>
          <w:szCs w:val="24"/>
        </w:rPr>
        <w:t>t the time of</w:t>
      </w:r>
      <w:r w:rsidRPr="00A65CA7" w:rsidR="00ED0B67">
        <w:rPr>
          <w:szCs w:val="24"/>
        </w:rPr>
        <w:t xml:space="preserve"> the PUCO’s</w:t>
      </w:r>
      <w:r w:rsidRPr="00A65CA7">
        <w:rPr>
          <w:szCs w:val="24"/>
        </w:rPr>
        <w:t xml:space="preserve"> approval, any potential benefits or harms to consumers from the pilot had yet to be shown</w:t>
      </w:r>
      <w:r w:rsidRPr="00A65CA7" w:rsidR="00C7280F">
        <w:rPr>
          <w:szCs w:val="24"/>
        </w:rPr>
        <w:t xml:space="preserve"> because they were based only on projections and not actual results.</w:t>
      </w:r>
      <w:r>
        <w:rPr>
          <w:rStyle w:val="FootnoteReference"/>
          <w:szCs w:val="24"/>
        </w:rPr>
        <w:footnoteReference w:id="46"/>
      </w:r>
      <w:r w:rsidRPr="00A65CA7" w:rsidR="00C7280F">
        <w:rPr>
          <w:szCs w:val="24"/>
        </w:rPr>
        <w:t xml:space="preserve"> Thus,</w:t>
      </w:r>
      <w:r w:rsidRPr="00A65CA7">
        <w:rPr>
          <w:szCs w:val="24"/>
        </w:rPr>
        <w:t xml:space="preserve"> the PUCO retained the right “to modify the provisions of Rider NMB based upon the results of the review by Staff.”</w:t>
      </w:r>
      <w:r>
        <w:rPr>
          <w:rStyle w:val="FootnoteReference"/>
          <w:szCs w:val="24"/>
        </w:rPr>
        <w:footnoteReference w:id="47"/>
      </w:r>
    </w:p>
    <w:p w:rsidR="00E028AD" w:rsidRPr="00A65CA7" w:rsidP="00126533" w14:paraId="630FBC1C" w14:textId="77777777">
      <w:pPr>
        <w:spacing w:line="480" w:lineRule="auto"/>
        <w:ind w:firstLine="720"/>
        <w:rPr>
          <w:szCs w:val="24"/>
        </w:rPr>
      </w:pPr>
      <w:r w:rsidRPr="00A65CA7">
        <w:rPr>
          <w:szCs w:val="24"/>
        </w:rPr>
        <w:t xml:space="preserve">The pilot program has been in effect for more than five years, having been approved in ESP IV in March 2016. </w:t>
      </w:r>
      <w:r w:rsidRPr="00A65CA7" w:rsidR="00EB0B92">
        <w:rPr>
          <w:szCs w:val="24"/>
        </w:rPr>
        <w:t>A</w:t>
      </w:r>
      <w:r w:rsidRPr="00A65CA7">
        <w:rPr>
          <w:szCs w:val="24"/>
        </w:rPr>
        <w:t xml:space="preserve">s described above, the purpose of the pilot program was for the PUCO Staff to evaluate the results of the program and </w:t>
      </w:r>
      <w:r w:rsidRPr="00A65CA7" w:rsidR="005F273B">
        <w:rPr>
          <w:szCs w:val="24"/>
        </w:rPr>
        <w:t>“</w:t>
      </w:r>
      <w:r w:rsidRPr="00A65CA7">
        <w:rPr>
          <w:szCs w:val="24"/>
        </w:rPr>
        <w:t>report</w:t>
      </w:r>
      <w:r w:rsidRPr="00A65CA7" w:rsidR="005F273B">
        <w:rPr>
          <w:szCs w:val="24"/>
        </w:rPr>
        <w:t>”</w:t>
      </w:r>
      <w:r w:rsidRPr="00A65CA7">
        <w:rPr>
          <w:szCs w:val="24"/>
        </w:rPr>
        <w:t xml:space="preserve"> to the PUCO</w:t>
      </w:r>
      <w:r w:rsidRPr="00A65CA7" w:rsidR="009130E9">
        <w:rPr>
          <w:szCs w:val="24"/>
        </w:rPr>
        <w:t>.</w:t>
      </w:r>
      <w:r w:rsidRPr="00A65CA7" w:rsidR="004F519A">
        <w:rPr>
          <w:szCs w:val="24"/>
        </w:rPr>
        <w:t xml:space="preserve"> </w:t>
      </w:r>
      <w:r w:rsidRPr="00A65CA7" w:rsidR="009130E9">
        <w:rPr>
          <w:szCs w:val="24"/>
        </w:rPr>
        <w:t>But it</w:t>
      </w:r>
      <w:r w:rsidRPr="00A65CA7">
        <w:rPr>
          <w:szCs w:val="24"/>
        </w:rPr>
        <w:t xml:space="preserve"> is not clear </w:t>
      </w:r>
      <w:r w:rsidRPr="00A65CA7" w:rsidR="009130E9">
        <w:rPr>
          <w:szCs w:val="24"/>
        </w:rPr>
        <w:t>that</w:t>
      </w:r>
      <w:r w:rsidRPr="00A65CA7" w:rsidR="00B32048">
        <w:rPr>
          <w:szCs w:val="24"/>
        </w:rPr>
        <w:t xml:space="preserve"> </w:t>
      </w:r>
      <w:r w:rsidRPr="00A65CA7">
        <w:rPr>
          <w:szCs w:val="24"/>
        </w:rPr>
        <w:t xml:space="preserve">the PUCO Staff has </w:t>
      </w:r>
      <w:r w:rsidRPr="00A65CA7" w:rsidR="00540945">
        <w:rPr>
          <w:szCs w:val="24"/>
        </w:rPr>
        <w:t xml:space="preserve">(ever) </w:t>
      </w:r>
      <w:r w:rsidRPr="00A65CA7">
        <w:rPr>
          <w:szCs w:val="24"/>
        </w:rPr>
        <w:t xml:space="preserve">in fact performed </w:t>
      </w:r>
      <w:r w:rsidRPr="00A65CA7" w:rsidR="00025908">
        <w:rPr>
          <w:szCs w:val="24"/>
        </w:rPr>
        <w:t>this kind of evaluation.</w:t>
      </w:r>
      <w:r w:rsidRPr="00A65CA7">
        <w:rPr>
          <w:szCs w:val="24"/>
        </w:rPr>
        <w:t xml:space="preserve"> </w:t>
      </w:r>
    </w:p>
    <w:p w:rsidR="00784CFC" w:rsidRPr="00A65CA7" w:rsidP="00126533" w14:paraId="6DB05B88" w14:textId="77777777">
      <w:pPr>
        <w:spacing w:line="480" w:lineRule="auto"/>
        <w:ind w:firstLine="720"/>
        <w:rPr>
          <w:szCs w:val="24"/>
        </w:rPr>
      </w:pPr>
      <w:r w:rsidRPr="00A65CA7">
        <w:rPr>
          <w:szCs w:val="24"/>
        </w:rPr>
        <w:t>It is true that in v</w:t>
      </w:r>
      <w:r w:rsidRPr="00A65CA7" w:rsidR="00E269A2">
        <w:rPr>
          <w:szCs w:val="24"/>
        </w:rPr>
        <w:t>arious rider proceedings in the last five years, the PUCO Staff has filed reports mentioning the Rider NMB Pilot Program.</w:t>
      </w:r>
      <w:r>
        <w:rPr>
          <w:rStyle w:val="FootnoteReference"/>
          <w:szCs w:val="24"/>
        </w:rPr>
        <w:footnoteReference w:id="48"/>
      </w:r>
      <w:r w:rsidRPr="00A65CA7" w:rsidR="00E269A2">
        <w:rPr>
          <w:szCs w:val="24"/>
        </w:rPr>
        <w:t xml:space="preserve"> But based on OCC’s review, </w:t>
      </w:r>
      <w:r w:rsidRPr="00A65CA7" w:rsidR="00E269A2">
        <w:rPr>
          <w:i/>
          <w:iCs/>
          <w:szCs w:val="24"/>
        </w:rPr>
        <w:t xml:space="preserve">none of these reports provide </w:t>
      </w:r>
      <w:r w:rsidRPr="00A65CA7" w:rsidR="00372550">
        <w:rPr>
          <w:i/>
          <w:iCs/>
          <w:szCs w:val="24"/>
        </w:rPr>
        <w:t>the PUCO</w:t>
      </w:r>
      <w:r w:rsidRPr="00A65CA7" w:rsidR="00B90053">
        <w:rPr>
          <w:i/>
          <w:iCs/>
          <w:szCs w:val="24"/>
        </w:rPr>
        <w:t>’</w:t>
      </w:r>
      <w:r w:rsidRPr="00A65CA7" w:rsidR="00372550">
        <w:rPr>
          <w:i/>
          <w:iCs/>
          <w:szCs w:val="24"/>
        </w:rPr>
        <w:t xml:space="preserve">s expected </w:t>
      </w:r>
      <w:r w:rsidRPr="00A65CA7" w:rsidR="00E269A2">
        <w:rPr>
          <w:i/>
          <w:iCs/>
          <w:szCs w:val="24"/>
        </w:rPr>
        <w:t xml:space="preserve">information </w:t>
      </w:r>
      <w:r w:rsidRPr="00A65CA7" w:rsidR="00E269A2">
        <w:rPr>
          <w:szCs w:val="24"/>
        </w:rPr>
        <w:t xml:space="preserve">about (i) whether there is an aggregate savings in transmission costs for all customers, (ii) whether and how much transmission costs are being shifted to non-participating customers (which would include residential consumers, who cannot participate), (iii) whether the benefits of the pilot program outweigh any costs, and (iv) whether Rider NMB results in an overall cost savings to customers. </w:t>
      </w:r>
      <w:r w:rsidRPr="00A65CA7" w:rsidR="009B515F">
        <w:rPr>
          <w:szCs w:val="24"/>
        </w:rPr>
        <w:t>The six Staff Reports filed on the NMB rider pilot program address data, but not the criteria. For example, the latest Staff Report</w:t>
      </w:r>
      <w:r w:rsidRPr="00A65CA7" w:rsidR="009915C2">
        <w:rPr>
          <w:szCs w:val="24"/>
        </w:rPr>
        <w:t>,</w:t>
      </w:r>
      <w:r w:rsidRPr="00A65CA7" w:rsidR="009B515F">
        <w:rPr>
          <w:szCs w:val="24"/>
        </w:rPr>
        <w:t xml:space="preserve"> filed in Case No. 20-1768, identifies that “75 customers are expected to be participating in the Pilot as of March 1, 2021</w:t>
      </w:r>
      <w:r w:rsidRPr="00A65CA7" w:rsidR="009915C2">
        <w:rPr>
          <w:szCs w:val="24"/>
        </w:rPr>
        <w:t xml:space="preserve">.” </w:t>
      </w:r>
      <w:r>
        <w:rPr>
          <w:rStyle w:val="FootnoteReference"/>
          <w:szCs w:val="24"/>
        </w:rPr>
        <w:footnoteReference w:id="49"/>
      </w:r>
      <w:r w:rsidRPr="00A65CA7" w:rsidR="009B515F">
        <w:rPr>
          <w:szCs w:val="24"/>
        </w:rPr>
        <w:t xml:space="preserve"> </w:t>
      </w:r>
      <w:r w:rsidRPr="00A65CA7" w:rsidR="00DC2564">
        <w:rPr>
          <w:szCs w:val="24"/>
        </w:rPr>
        <w:t>That’s up from approximately 40 customers “expected to be participating in the Pilot as of March 1, 2017” according to the first Staff Report issued on Rider NMB.</w:t>
      </w:r>
      <w:r>
        <w:rPr>
          <w:rStyle w:val="FootnoteReference"/>
          <w:szCs w:val="24"/>
        </w:rPr>
        <w:footnoteReference w:id="50"/>
      </w:r>
      <w:r w:rsidRPr="00A65CA7" w:rsidR="00DC2564">
        <w:rPr>
          <w:szCs w:val="24"/>
        </w:rPr>
        <w:t xml:space="preserve"> Each of these</w:t>
      </w:r>
      <w:r w:rsidRPr="00A65CA7" w:rsidR="009915C2">
        <w:rPr>
          <w:szCs w:val="24"/>
        </w:rPr>
        <w:t xml:space="preserve"> two-page Report</w:t>
      </w:r>
      <w:r w:rsidRPr="00A65CA7" w:rsidR="00DC2564">
        <w:rPr>
          <w:szCs w:val="24"/>
        </w:rPr>
        <w:t>s</w:t>
      </w:r>
      <w:r w:rsidRPr="00A65CA7" w:rsidR="009915C2">
        <w:rPr>
          <w:szCs w:val="24"/>
        </w:rPr>
        <w:t xml:space="preserve"> briefly describe the </w:t>
      </w:r>
      <w:r w:rsidRPr="00A65CA7" w:rsidR="00DC2564">
        <w:rPr>
          <w:szCs w:val="24"/>
        </w:rPr>
        <w:t xml:space="preserve">number of customers and </w:t>
      </w:r>
      <w:r w:rsidRPr="00A65CA7" w:rsidR="009915C2">
        <w:rPr>
          <w:szCs w:val="24"/>
        </w:rPr>
        <w:t xml:space="preserve">function of the </w:t>
      </w:r>
      <w:r w:rsidRPr="00A65CA7" w:rsidR="00DC2564">
        <w:rPr>
          <w:szCs w:val="24"/>
        </w:rPr>
        <w:t>rider.</w:t>
      </w:r>
      <w:r w:rsidRPr="00A65CA7" w:rsidR="00002FE7">
        <w:rPr>
          <w:szCs w:val="24"/>
        </w:rPr>
        <w:t xml:space="preserve"> </w:t>
      </w:r>
      <w:r w:rsidRPr="00A65CA7" w:rsidR="009B515F">
        <w:rPr>
          <w:szCs w:val="24"/>
        </w:rPr>
        <w:t xml:space="preserve">Additional analyses on the PUCO’s enumerated criteria </w:t>
      </w:r>
      <w:r w:rsidRPr="00A65CA7" w:rsidR="0038352E">
        <w:rPr>
          <w:szCs w:val="24"/>
        </w:rPr>
        <w:t>are</w:t>
      </w:r>
      <w:r w:rsidRPr="00A65CA7" w:rsidR="009B515F">
        <w:rPr>
          <w:szCs w:val="24"/>
        </w:rPr>
        <w:t xml:space="preserve"> not provided. </w:t>
      </w:r>
    </w:p>
    <w:p w:rsidR="00E028AD" w:rsidRPr="00A65CA7" w:rsidP="00126533" w14:paraId="21B456B0" w14:textId="77777777">
      <w:pPr>
        <w:spacing w:line="480" w:lineRule="auto"/>
        <w:ind w:firstLine="720"/>
        <w:rPr>
          <w:szCs w:val="24"/>
        </w:rPr>
      </w:pPr>
      <w:r w:rsidRPr="00A65CA7">
        <w:rPr>
          <w:szCs w:val="24"/>
        </w:rPr>
        <w:t xml:space="preserve">The Settlement thus violates important regulatory principles and practices. The PUCO’s Order has not been properly implemented for consumer protection. </w:t>
      </w:r>
      <w:r w:rsidRPr="00A65CA7" w:rsidR="00E269A2">
        <w:rPr>
          <w:szCs w:val="24"/>
        </w:rPr>
        <w:t xml:space="preserve">Before the PUCO </w:t>
      </w:r>
      <w:r w:rsidRPr="00A65CA7" w:rsidR="00B90053">
        <w:rPr>
          <w:szCs w:val="24"/>
        </w:rPr>
        <w:t xml:space="preserve">considers </w:t>
      </w:r>
      <w:r w:rsidRPr="00A65CA7" w:rsidR="00EB0B92">
        <w:rPr>
          <w:szCs w:val="24"/>
        </w:rPr>
        <w:t xml:space="preserve">approving this Settlement, </w:t>
      </w:r>
      <w:r w:rsidRPr="00A65CA7" w:rsidR="00E269A2">
        <w:rPr>
          <w:szCs w:val="24"/>
        </w:rPr>
        <w:t xml:space="preserve">it </w:t>
      </w:r>
      <w:r w:rsidRPr="00A65CA7" w:rsidR="00372550">
        <w:rPr>
          <w:szCs w:val="24"/>
        </w:rPr>
        <w:t xml:space="preserve">should first </w:t>
      </w:r>
      <w:r w:rsidRPr="00A65CA7" w:rsidR="00E269A2">
        <w:rPr>
          <w:szCs w:val="24"/>
        </w:rPr>
        <w:t xml:space="preserve">follow through with its </w:t>
      </w:r>
      <w:r w:rsidRPr="00A65CA7" w:rsidR="00372550">
        <w:rPr>
          <w:szCs w:val="24"/>
        </w:rPr>
        <w:t xml:space="preserve">2016 </w:t>
      </w:r>
      <w:r w:rsidRPr="00A65CA7" w:rsidR="00540945">
        <w:rPr>
          <w:szCs w:val="24"/>
        </w:rPr>
        <w:t>directive</w:t>
      </w:r>
      <w:r w:rsidRPr="00A65CA7" w:rsidR="00C91CE6">
        <w:rPr>
          <w:szCs w:val="24"/>
        </w:rPr>
        <w:t xml:space="preserve"> that the pilot be thoroughly examined by its Staff</w:t>
      </w:r>
      <w:r w:rsidRPr="00A65CA7" w:rsidR="005F01FA">
        <w:rPr>
          <w:szCs w:val="24"/>
        </w:rPr>
        <w:t xml:space="preserve"> </w:t>
      </w:r>
      <w:r w:rsidRPr="00A65CA7" w:rsidR="00DA0669">
        <w:rPr>
          <w:szCs w:val="24"/>
        </w:rPr>
        <w:t xml:space="preserve">using the guidelines stated in the Order </w:t>
      </w:r>
      <w:r w:rsidRPr="00A65CA7" w:rsidR="005F01FA">
        <w:rPr>
          <w:szCs w:val="24"/>
        </w:rPr>
        <w:t>and reported to the PUCO</w:t>
      </w:r>
      <w:r w:rsidRPr="00A65CA7" w:rsidR="00C91CE6">
        <w:rPr>
          <w:szCs w:val="24"/>
        </w:rPr>
        <w:t xml:space="preserve">. </w:t>
      </w:r>
    </w:p>
    <w:p w:rsidR="00E269A2" w:rsidRPr="00A65CA7" w:rsidP="00126533" w14:paraId="1E6E4F2B" w14:textId="77777777">
      <w:pPr>
        <w:spacing w:line="480" w:lineRule="auto"/>
        <w:ind w:firstLine="720"/>
        <w:rPr>
          <w:szCs w:val="24"/>
        </w:rPr>
      </w:pPr>
      <w:r w:rsidRPr="00A65CA7">
        <w:rPr>
          <w:szCs w:val="24"/>
        </w:rPr>
        <w:t>C</w:t>
      </w:r>
      <w:r w:rsidRPr="00A65CA7" w:rsidR="00C91CE6">
        <w:rPr>
          <w:szCs w:val="24"/>
        </w:rPr>
        <w:t xml:space="preserve">ritical to residential consumers is </w:t>
      </w:r>
      <w:r w:rsidRPr="00A65CA7" w:rsidR="005F01FA">
        <w:rPr>
          <w:szCs w:val="24"/>
        </w:rPr>
        <w:t>the PUCO’s expectation for a</w:t>
      </w:r>
      <w:r w:rsidRPr="00A65CA7" w:rsidR="00C91CE6">
        <w:rPr>
          <w:szCs w:val="24"/>
        </w:rPr>
        <w:t xml:space="preserve"> detailed analysis of “whether and how much </w:t>
      </w:r>
      <w:r w:rsidRPr="00A65CA7" w:rsidR="00691E23">
        <w:rPr>
          <w:szCs w:val="24"/>
        </w:rPr>
        <w:t xml:space="preserve">in </w:t>
      </w:r>
      <w:r w:rsidRPr="00A65CA7" w:rsidR="00C91CE6">
        <w:rPr>
          <w:szCs w:val="24"/>
        </w:rPr>
        <w:t>transmission costs are being shifted to non-participating customers.”</w:t>
      </w:r>
      <w:r>
        <w:rPr>
          <w:rStyle w:val="FootnoteReference"/>
          <w:szCs w:val="24"/>
        </w:rPr>
        <w:footnoteReference w:id="51"/>
      </w:r>
      <w:r w:rsidRPr="00A65CA7" w:rsidR="00C91CE6">
        <w:rPr>
          <w:szCs w:val="24"/>
        </w:rPr>
        <w:t xml:space="preserve"> </w:t>
      </w:r>
      <w:r w:rsidRPr="00A65CA7" w:rsidR="005F01FA">
        <w:rPr>
          <w:szCs w:val="24"/>
        </w:rPr>
        <w:t>The review required by the PUCO five years ago is needed to determine if it is</w:t>
      </w:r>
      <w:r w:rsidRPr="00A65CA7" w:rsidR="00C91CE6">
        <w:rPr>
          <w:szCs w:val="24"/>
        </w:rPr>
        <w:t xml:space="preserve"> just and reasonable to expand the pilot program</w:t>
      </w:r>
      <w:r w:rsidRPr="00A65CA7" w:rsidR="005F01FA">
        <w:rPr>
          <w:szCs w:val="24"/>
        </w:rPr>
        <w:t xml:space="preserve"> or even continue it. As identified by the PUCO, an important component</w:t>
      </w:r>
      <w:r w:rsidRPr="00A65CA7" w:rsidR="00642969">
        <w:rPr>
          <w:szCs w:val="24"/>
        </w:rPr>
        <w:t xml:space="preserve"> of the review is to assess any cost-shifting</w:t>
      </w:r>
      <w:r w:rsidRPr="00A65CA7" w:rsidR="007931E9">
        <w:rPr>
          <w:szCs w:val="24"/>
        </w:rPr>
        <w:t xml:space="preserve"> to other consumers</w:t>
      </w:r>
      <w:r w:rsidRPr="00A65CA7" w:rsidR="00642969">
        <w:rPr>
          <w:szCs w:val="24"/>
        </w:rPr>
        <w:t xml:space="preserve"> </w:t>
      </w:r>
      <w:r w:rsidRPr="00A65CA7" w:rsidR="007931E9">
        <w:rPr>
          <w:szCs w:val="24"/>
        </w:rPr>
        <w:t>(</w:t>
      </w:r>
      <w:r w:rsidRPr="00A65CA7" w:rsidR="005F273B">
        <w:rPr>
          <w:szCs w:val="24"/>
        </w:rPr>
        <w:t>which</w:t>
      </w:r>
      <w:r w:rsidRPr="00A65CA7" w:rsidR="007931E9">
        <w:rPr>
          <w:szCs w:val="24"/>
        </w:rPr>
        <w:t xml:space="preserve"> result</w:t>
      </w:r>
      <w:r w:rsidRPr="00A65CA7" w:rsidR="00E028AD">
        <w:rPr>
          <w:szCs w:val="24"/>
        </w:rPr>
        <w:t>s</w:t>
      </w:r>
      <w:r w:rsidRPr="00A65CA7" w:rsidR="007931E9">
        <w:rPr>
          <w:szCs w:val="24"/>
        </w:rPr>
        <w:t xml:space="preserve"> in others having to </w:t>
      </w:r>
      <w:r w:rsidRPr="00A65CA7" w:rsidR="00C91CE6">
        <w:rPr>
          <w:szCs w:val="24"/>
        </w:rPr>
        <w:t>subsidiz</w:t>
      </w:r>
      <w:r w:rsidRPr="00A65CA7" w:rsidR="007931E9">
        <w:rPr>
          <w:szCs w:val="24"/>
        </w:rPr>
        <w:t xml:space="preserve">e </w:t>
      </w:r>
      <w:r w:rsidRPr="00A65CA7" w:rsidR="00C91CE6">
        <w:rPr>
          <w:szCs w:val="24"/>
        </w:rPr>
        <w:t>Rider NM</w:t>
      </w:r>
      <w:r w:rsidRPr="00A65CA7" w:rsidR="007931E9">
        <w:rPr>
          <w:szCs w:val="24"/>
        </w:rPr>
        <w:t>B</w:t>
      </w:r>
      <w:r w:rsidRPr="00A65CA7" w:rsidR="00C91CE6">
        <w:rPr>
          <w:szCs w:val="24"/>
        </w:rPr>
        <w:t xml:space="preserve"> Pilot Program participants).</w:t>
      </w:r>
      <w:r w:rsidRPr="00A65CA7" w:rsidR="004D4CA0">
        <w:rPr>
          <w:szCs w:val="24"/>
        </w:rPr>
        <w:t xml:space="preserve"> </w:t>
      </w:r>
      <w:r w:rsidRPr="00A65CA7" w:rsidR="004D4CA0">
        <w:rPr>
          <w:i/>
          <w:iCs/>
          <w:szCs w:val="24"/>
        </w:rPr>
        <w:t>The expected reviews of the pilot program should be completed, made public and opened for public comment before more applications are considered.</w:t>
      </w:r>
    </w:p>
    <w:p w:rsidR="0046731B" w:rsidRPr="00A65CA7" w:rsidP="00AA442C" w14:paraId="08DFE510" w14:textId="1D98E9D3">
      <w:pPr>
        <w:spacing w:line="480" w:lineRule="auto"/>
        <w:ind w:firstLine="720"/>
        <w:rPr>
          <w:szCs w:val="24"/>
        </w:rPr>
      </w:pPr>
      <w:r w:rsidRPr="00A65CA7">
        <w:rPr>
          <w:szCs w:val="24"/>
        </w:rPr>
        <w:t xml:space="preserve">Further, the Settlement violates regulatory principles and practices because it’s a misuse of the PUCO’s settlement standards. Essentially, the Settlement was adopted not to compromise but to gain a litigation advantage from the </w:t>
      </w:r>
      <w:r w:rsidRPr="00A65CA7" w:rsidR="00E2364D">
        <w:rPr>
          <w:szCs w:val="24"/>
        </w:rPr>
        <w:t>s</w:t>
      </w:r>
      <w:r w:rsidRPr="00A65CA7">
        <w:rPr>
          <w:szCs w:val="24"/>
        </w:rPr>
        <w:t xml:space="preserve">ettlement standards that favor stipulators. </w:t>
      </w:r>
      <w:r w:rsidRPr="00A65CA7">
        <w:rPr>
          <w:i/>
          <w:iCs/>
          <w:szCs w:val="24"/>
        </w:rPr>
        <w:t>Also, given the misuse of standards, the Settlement is not entitled to be considered as a package.</w:t>
      </w:r>
      <w:r w:rsidRPr="00A65CA7">
        <w:rPr>
          <w:szCs w:val="24"/>
        </w:rPr>
        <w:t xml:space="preserve"> </w:t>
      </w:r>
    </w:p>
    <w:p w:rsidR="006908AC" w:rsidRPr="00A65CA7" w:rsidP="00760E5D" w14:paraId="10635262" w14:textId="77777777">
      <w:pPr>
        <w:pStyle w:val="Heading2"/>
        <w:rPr>
          <w:rFonts w:ascii="Times New Roman" w:hAnsi="Times New Roman"/>
          <w:szCs w:val="24"/>
        </w:rPr>
      </w:pPr>
      <w:bookmarkStart w:id="16" w:name="_Toc94892000"/>
      <w:bookmarkStart w:id="17" w:name="_Toc94892042"/>
      <w:bookmarkStart w:id="18" w:name="_Toc95404105"/>
      <w:r w:rsidRPr="00A65CA7">
        <w:rPr>
          <w:rFonts w:ascii="Times New Roman" w:hAnsi="Times New Roman"/>
          <w:szCs w:val="24"/>
        </w:rPr>
        <w:t>D</w:t>
      </w:r>
      <w:r w:rsidRPr="00A65CA7" w:rsidR="00B8243C">
        <w:rPr>
          <w:rFonts w:ascii="Times New Roman" w:hAnsi="Times New Roman"/>
          <w:szCs w:val="24"/>
        </w:rPr>
        <w:t>.</w:t>
      </w:r>
      <w:r w:rsidRPr="00A65CA7" w:rsidR="00B8243C">
        <w:rPr>
          <w:rFonts w:ascii="Times New Roman" w:hAnsi="Times New Roman"/>
          <w:szCs w:val="24"/>
        </w:rPr>
        <w:tab/>
      </w:r>
      <w:r w:rsidRPr="00A65CA7" w:rsidR="00171BDD">
        <w:rPr>
          <w:rFonts w:ascii="Times New Roman" w:hAnsi="Times New Roman"/>
          <w:szCs w:val="24"/>
        </w:rPr>
        <w:t>If the PUCO approves the Settlement, which it should not, the PUCO should modify it as recommended by OCC Witness Haugh</w:t>
      </w:r>
      <w:bookmarkEnd w:id="16"/>
      <w:bookmarkEnd w:id="17"/>
      <w:r w:rsidRPr="00A65CA7" w:rsidR="00E028AD">
        <w:rPr>
          <w:rFonts w:ascii="Times New Roman" w:hAnsi="Times New Roman"/>
          <w:szCs w:val="24"/>
        </w:rPr>
        <w:t>.</w:t>
      </w:r>
      <w:bookmarkEnd w:id="18"/>
      <w:r w:rsidRPr="00A65CA7" w:rsidR="00002FE7">
        <w:rPr>
          <w:rFonts w:ascii="Times New Roman" w:hAnsi="Times New Roman"/>
          <w:szCs w:val="24"/>
        </w:rPr>
        <w:t xml:space="preserve"> </w:t>
      </w:r>
    </w:p>
    <w:p w:rsidR="009B00F2" w:rsidRPr="00A65CA7" w:rsidP="00AA442C" w14:paraId="4D5C3C96" w14:textId="77777777">
      <w:pPr>
        <w:spacing w:line="480" w:lineRule="auto"/>
        <w:ind w:firstLine="720"/>
        <w:rPr>
          <w:szCs w:val="24"/>
        </w:rPr>
      </w:pPr>
      <w:r w:rsidRPr="00A65CA7">
        <w:rPr>
          <w:szCs w:val="24"/>
        </w:rPr>
        <w:t>If the PUCO chooses to approve the Settlement</w:t>
      </w:r>
      <w:r w:rsidRPr="00A65CA7" w:rsidR="005C1520">
        <w:rPr>
          <w:szCs w:val="24"/>
        </w:rPr>
        <w:t xml:space="preserve"> (which it should not do)</w:t>
      </w:r>
      <w:r w:rsidRPr="00A65CA7">
        <w:rPr>
          <w:szCs w:val="24"/>
        </w:rPr>
        <w:t xml:space="preserve">, it should require </w:t>
      </w:r>
      <w:r w:rsidRPr="00A65CA7" w:rsidR="00E246D3">
        <w:rPr>
          <w:szCs w:val="24"/>
        </w:rPr>
        <w:t xml:space="preserve">a consumer protection. That consumer protection should be regarding </w:t>
      </w:r>
      <w:r w:rsidRPr="00A65CA7">
        <w:rPr>
          <w:szCs w:val="24"/>
        </w:rPr>
        <w:t xml:space="preserve">any </w:t>
      </w:r>
      <w:r w:rsidRPr="00A65CA7" w:rsidR="00E028AD">
        <w:rPr>
          <w:szCs w:val="24"/>
        </w:rPr>
        <w:t xml:space="preserve">so-called </w:t>
      </w:r>
      <w:r w:rsidRPr="00A65CA7">
        <w:rPr>
          <w:szCs w:val="24"/>
        </w:rPr>
        <w:t>delta revenue (or other shifted charges) created by this unique arrangement</w:t>
      </w:r>
      <w:r w:rsidRPr="00A65CA7" w:rsidR="00E246D3">
        <w:rPr>
          <w:szCs w:val="24"/>
        </w:rPr>
        <w:t xml:space="preserve">. </w:t>
      </w:r>
      <w:r w:rsidRPr="00A65CA7" w:rsidR="00E246D3">
        <w:rPr>
          <w:i/>
          <w:iCs/>
          <w:szCs w:val="24"/>
        </w:rPr>
        <w:t>Accordingly, the PUCO should order that any such delta revenue or other charges</w:t>
      </w:r>
      <w:r w:rsidRPr="00A65CA7">
        <w:rPr>
          <w:i/>
          <w:iCs/>
          <w:szCs w:val="24"/>
        </w:rPr>
        <w:t xml:space="preserve"> be paid to FirstEnergy by customers in the Applicant’s own customer class </w:t>
      </w:r>
      <w:r w:rsidRPr="00A65CA7" w:rsidR="00E246D3">
        <w:rPr>
          <w:i/>
          <w:iCs/>
          <w:szCs w:val="24"/>
        </w:rPr>
        <w:t>–</w:t>
      </w:r>
      <w:r w:rsidRPr="00A65CA7" w:rsidR="00E246D3">
        <w:rPr>
          <w:szCs w:val="24"/>
        </w:rPr>
        <w:t xml:space="preserve"> </w:t>
      </w:r>
      <w:r w:rsidRPr="00A65CA7">
        <w:rPr>
          <w:i/>
          <w:iCs/>
          <w:szCs w:val="24"/>
        </w:rPr>
        <w:t>and not paid by</w:t>
      </w:r>
      <w:r w:rsidRPr="00A65CA7" w:rsidR="00B60408">
        <w:rPr>
          <w:i/>
          <w:iCs/>
          <w:szCs w:val="24"/>
        </w:rPr>
        <w:t xml:space="preserve"> </w:t>
      </w:r>
      <w:r w:rsidRPr="00A65CA7" w:rsidR="00E246D3">
        <w:rPr>
          <w:i/>
          <w:iCs/>
          <w:szCs w:val="24"/>
        </w:rPr>
        <w:t xml:space="preserve">smaller business and residential </w:t>
      </w:r>
      <w:r w:rsidRPr="00A65CA7" w:rsidR="00B60408">
        <w:rPr>
          <w:i/>
          <w:iCs/>
          <w:szCs w:val="24"/>
        </w:rPr>
        <w:t>customers who cannot opt out of paying Rider NMB</w:t>
      </w:r>
      <w:r w:rsidRPr="00A65CA7" w:rsidR="00E246D3">
        <w:rPr>
          <w:i/>
          <w:iCs/>
          <w:szCs w:val="24"/>
        </w:rPr>
        <w:t>.</w:t>
      </w:r>
      <w:r>
        <w:rPr>
          <w:rStyle w:val="FootnoteReference"/>
          <w:szCs w:val="24"/>
        </w:rPr>
        <w:footnoteReference w:id="52"/>
      </w:r>
      <w:r w:rsidRPr="00A65CA7">
        <w:rPr>
          <w:szCs w:val="24"/>
        </w:rPr>
        <w:t xml:space="preserve"> That approach would avoid </w:t>
      </w:r>
      <w:r w:rsidRPr="00A65CA7" w:rsidR="00444213">
        <w:rPr>
          <w:szCs w:val="24"/>
        </w:rPr>
        <w:t xml:space="preserve">the unreasonable </w:t>
      </w:r>
      <w:r w:rsidRPr="00A65CA7">
        <w:rPr>
          <w:szCs w:val="24"/>
        </w:rPr>
        <w:t xml:space="preserve">shifting </w:t>
      </w:r>
      <w:r w:rsidRPr="00A65CA7" w:rsidR="00444213">
        <w:rPr>
          <w:szCs w:val="24"/>
        </w:rPr>
        <w:t xml:space="preserve">of </w:t>
      </w:r>
      <w:r w:rsidRPr="00A65CA7">
        <w:rPr>
          <w:szCs w:val="24"/>
        </w:rPr>
        <w:t xml:space="preserve">charges to the residential and other consumer classes. </w:t>
      </w:r>
    </w:p>
    <w:p w:rsidR="00B8243C" w:rsidRPr="00A65CA7" w:rsidP="00760E5D" w14:paraId="515754F2" w14:textId="77777777">
      <w:pPr>
        <w:pStyle w:val="Heading1"/>
        <w:rPr>
          <w:rFonts w:ascii="Times New Roman" w:hAnsi="Times New Roman"/>
        </w:rPr>
      </w:pPr>
      <w:bookmarkStart w:id="19" w:name="_Toc94892001"/>
      <w:bookmarkStart w:id="20" w:name="_Toc94892043"/>
      <w:bookmarkStart w:id="21" w:name="_Toc95404106"/>
      <w:r w:rsidRPr="00A65CA7">
        <w:rPr>
          <w:rFonts w:ascii="Times New Roman" w:hAnsi="Times New Roman"/>
        </w:rPr>
        <w:t>III.</w:t>
      </w:r>
      <w:r w:rsidRPr="00A65CA7">
        <w:rPr>
          <w:rFonts w:ascii="Times New Roman" w:hAnsi="Times New Roman"/>
        </w:rPr>
        <w:tab/>
        <w:t>CONCLUSION</w:t>
      </w:r>
      <w:bookmarkEnd w:id="19"/>
      <w:bookmarkEnd w:id="20"/>
      <w:bookmarkEnd w:id="21"/>
    </w:p>
    <w:p w:rsidR="00E246D3" w:rsidRPr="00A65CA7" w:rsidP="00B60408" w14:paraId="1E6296F7" w14:textId="77777777">
      <w:pPr>
        <w:spacing w:line="480" w:lineRule="auto"/>
        <w:ind w:firstLine="720"/>
        <w:rPr>
          <w:szCs w:val="24"/>
        </w:rPr>
      </w:pPr>
      <w:r w:rsidRPr="00A65CA7">
        <w:rPr>
          <w:szCs w:val="24"/>
        </w:rPr>
        <w:t>The Settlement does not pass the PUCO’s three-part test for evaluating settlements</w:t>
      </w:r>
      <w:r w:rsidRPr="00A65CA7" w:rsidR="009B00F2">
        <w:rPr>
          <w:szCs w:val="24"/>
        </w:rPr>
        <w:t>. The Settlement lacks</w:t>
      </w:r>
      <w:r w:rsidRPr="00A65CA7">
        <w:rPr>
          <w:szCs w:val="24"/>
        </w:rPr>
        <w:t xml:space="preserve"> diversity of interest (by virtue of no consumer advocate signing it)</w:t>
      </w:r>
      <w:r w:rsidRPr="00A65CA7" w:rsidR="009B00F2">
        <w:rPr>
          <w:szCs w:val="24"/>
        </w:rPr>
        <w:t xml:space="preserve"> and was not the product of serious bargaining (as it simply adopted the application). </w:t>
      </w:r>
      <w:r w:rsidRPr="00A65CA7">
        <w:rPr>
          <w:szCs w:val="24"/>
        </w:rPr>
        <w:t>The Settlement does not benefit customers and it disserves the public interest</w:t>
      </w:r>
      <w:r w:rsidRPr="00A65CA7" w:rsidR="009B00F2">
        <w:rPr>
          <w:szCs w:val="24"/>
        </w:rPr>
        <w:t xml:space="preserve"> (because of the cost shifting that occurs due to the Applicant’s participation in the pilot program)</w:t>
      </w:r>
      <w:r w:rsidRPr="00A65CA7">
        <w:rPr>
          <w:szCs w:val="24"/>
        </w:rPr>
        <w:t>. And the Settlement is a misuse of the PUCO’s settlement standards for the Stipulators to obtain the litigation advantage afforded by those standards, without any real compromise.</w:t>
      </w:r>
    </w:p>
    <w:p w:rsidR="00E246D3" w:rsidRPr="00A65CA7" w:rsidP="00B60408" w14:paraId="47464D68" w14:textId="77777777">
      <w:pPr>
        <w:spacing w:line="480" w:lineRule="auto"/>
        <w:ind w:firstLine="720"/>
        <w:rPr>
          <w:i/>
          <w:iCs/>
          <w:szCs w:val="24"/>
        </w:rPr>
      </w:pPr>
      <w:r w:rsidRPr="00A65CA7">
        <w:rPr>
          <w:szCs w:val="24"/>
        </w:rPr>
        <w:t>Under the Settlement, residential and smaller business</w:t>
      </w:r>
      <w:r w:rsidRPr="00A65CA7" w:rsidR="00784CFC">
        <w:rPr>
          <w:szCs w:val="24"/>
        </w:rPr>
        <w:t xml:space="preserve"> consumers </w:t>
      </w:r>
      <w:r w:rsidRPr="00A65CA7">
        <w:rPr>
          <w:szCs w:val="24"/>
        </w:rPr>
        <w:t>are being asked to</w:t>
      </w:r>
      <w:r w:rsidRPr="00A65CA7" w:rsidR="005C1520">
        <w:rPr>
          <w:szCs w:val="24"/>
        </w:rPr>
        <w:t xml:space="preserve"> subsidize the Applicant’s transmission costs as a means to </w:t>
      </w:r>
      <w:r w:rsidRPr="00A65CA7">
        <w:rPr>
          <w:szCs w:val="24"/>
        </w:rPr>
        <w:t>financially insulate the Applicant from the consequences of its business decision.</w:t>
      </w:r>
      <w:r>
        <w:rPr>
          <w:rStyle w:val="FootnoteReference"/>
          <w:szCs w:val="24"/>
        </w:rPr>
        <w:footnoteReference w:id="53"/>
      </w:r>
      <w:r w:rsidRPr="00A65CA7">
        <w:rPr>
          <w:szCs w:val="24"/>
        </w:rPr>
        <w:t xml:space="preserve"> </w:t>
      </w:r>
      <w:r w:rsidRPr="00A65CA7" w:rsidR="003B4B30">
        <w:rPr>
          <w:szCs w:val="24"/>
        </w:rPr>
        <w:t>And the Settlement violates regulatory principles</w:t>
      </w:r>
      <w:r w:rsidRPr="00A65CA7" w:rsidR="009B00F2">
        <w:rPr>
          <w:szCs w:val="24"/>
        </w:rPr>
        <w:t xml:space="preserve"> because the </w:t>
      </w:r>
      <w:r w:rsidRPr="00A65CA7" w:rsidR="00B82695">
        <w:rPr>
          <w:szCs w:val="24"/>
        </w:rPr>
        <w:t xml:space="preserve">program </w:t>
      </w:r>
      <w:r w:rsidRPr="00A65CA7" w:rsidR="009B00F2">
        <w:rPr>
          <w:szCs w:val="24"/>
        </w:rPr>
        <w:t>evaluation</w:t>
      </w:r>
      <w:r w:rsidRPr="00A65CA7" w:rsidR="008B5B41">
        <w:rPr>
          <w:szCs w:val="24"/>
        </w:rPr>
        <w:t>s</w:t>
      </w:r>
      <w:r w:rsidRPr="00A65CA7" w:rsidR="009B00F2">
        <w:rPr>
          <w:szCs w:val="24"/>
        </w:rPr>
        <w:t xml:space="preserve"> that the PUCO ordered ha</w:t>
      </w:r>
      <w:r w:rsidRPr="00A65CA7" w:rsidR="008B5B41">
        <w:rPr>
          <w:szCs w:val="24"/>
        </w:rPr>
        <w:t>ve</w:t>
      </w:r>
      <w:r w:rsidRPr="00A65CA7" w:rsidR="009B00F2">
        <w:rPr>
          <w:szCs w:val="24"/>
        </w:rPr>
        <w:t xml:space="preserve"> not been done.</w:t>
      </w:r>
      <w:r w:rsidRPr="00A65CA7" w:rsidR="003B4B30">
        <w:rPr>
          <w:szCs w:val="24"/>
        </w:rPr>
        <w:t xml:space="preserve"> </w:t>
      </w:r>
      <w:r w:rsidRPr="00A65CA7">
        <w:rPr>
          <w:i/>
          <w:iCs/>
          <w:szCs w:val="24"/>
        </w:rPr>
        <w:t xml:space="preserve">The expected PUCO reviews of the pilot program should be completed, made public and opened for public comment before more applications are considered. </w:t>
      </w:r>
    </w:p>
    <w:p w:rsidR="00BC5B5A" w:rsidRPr="00A65CA7" w:rsidP="00CD119B" w14:paraId="7F9F0F2B" w14:textId="3E688CDE">
      <w:pPr>
        <w:spacing w:line="480" w:lineRule="auto"/>
        <w:ind w:firstLine="720"/>
        <w:rPr>
          <w:szCs w:val="24"/>
        </w:rPr>
      </w:pPr>
      <w:r w:rsidRPr="00A65CA7">
        <w:rPr>
          <w:szCs w:val="24"/>
        </w:rPr>
        <w:t>For these reasons, t</w:t>
      </w:r>
      <w:r w:rsidRPr="00A65CA7" w:rsidR="003B4B30">
        <w:rPr>
          <w:szCs w:val="24"/>
        </w:rPr>
        <w:t xml:space="preserve">he PUCO should protect consumers by rejecting or modifying the Settlement, consistent with OCC’s consumer-protection recommendations. </w:t>
      </w:r>
    </w:p>
    <w:p w:rsidR="006F41D1" w:rsidRPr="00A65CA7" w14:paraId="7EF8DA1E" w14:textId="77777777">
      <w:pPr>
        <w:rPr>
          <w:szCs w:val="24"/>
        </w:rPr>
      </w:pPr>
      <w:r w:rsidRPr="00A65CA7">
        <w:rPr>
          <w:szCs w:val="24"/>
        </w:rPr>
        <w:br w:type="page"/>
      </w:r>
    </w:p>
    <w:p w:rsidR="006932DF" w:rsidRPr="00A65CA7" w:rsidP="00760E5D" w14:paraId="1415DF22" w14:textId="41AC02EB">
      <w:pPr>
        <w:pStyle w:val="BodyTextIndent3"/>
        <w:spacing w:line="240" w:lineRule="auto"/>
        <w:ind w:left="3600" w:right="-672" w:firstLine="0"/>
        <w:rPr>
          <w:szCs w:val="24"/>
        </w:rPr>
      </w:pPr>
      <w:r w:rsidRPr="00A65CA7">
        <w:rPr>
          <w:szCs w:val="24"/>
        </w:rPr>
        <w:t>Respectfully submitted,</w:t>
      </w:r>
    </w:p>
    <w:p w:rsidR="006932DF" w:rsidRPr="00A65CA7" w:rsidP="006932DF" w14:paraId="261DCE3B" w14:textId="77777777">
      <w:pPr>
        <w:pStyle w:val="Footer"/>
        <w:tabs>
          <w:tab w:val="clear" w:pos="4320"/>
          <w:tab w:val="clear" w:pos="8640"/>
        </w:tabs>
        <w:spacing w:before="240"/>
        <w:ind w:firstLine="3600"/>
        <w:rPr>
          <w:sz w:val="24"/>
          <w:szCs w:val="24"/>
        </w:rPr>
      </w:pPr>
      <w:r w:rsidRPr="00A65CA7">
        <w:rPr>
          <w:sz w:val="24"/>
          <w:szCs w:val="24"/>
        </w:rPr>
        <w:t>Bruce Weston (0016973)</w:t>
      </w:r>
    </w:p>
    <w:p w:rsidR="006932DF" w:rsidRPr="00A65CA7" w:rsidP="006932DF" w14:paraId="607D6DB8" w14:textId="77777777">
      <w:pPr>
        <w:tabs>
          <w:tab w:val="left" w:pos="4320"/>
        </w:tabs>
        <w:ind w:firstLine="3600"/>
        <w:rPr>
          <w:szCs w:val="24"/>
        </w:rPr>
      </w:pPr>
      <w:r w:rsidRPr="00A65CA7">
        <w:rPr>
          <w:szCs w:val="24"/>
        </w:rPr>
        <w:t>Ohio Consumers’ Counsel</w:t>
      </w:r>
    </w:p>
    <w:p w:rsidR="006932DF" w:rsidRPr="00A65CA7" w:rsidP="006932DF" w14:paraId="46E72634" w14:textId="77777777">
      <w:pPr>
        <w:tabs>
          <w:tab w:val="left" w:pos="4320"/>
        </w:tabs>
        <w:ind w:firstLine="3600"/>
        <w:rPr>
          <w:szCs w:val="24"/>
        </w:rPr>
      </w:pPr>
    </w:p>
    <w:p w:rsidR="006932DF" w:rsidRPr="00A65CA7" w:rsidP="006932DF" w14:paraId="2CB1641F" w14:textId="77777777">
      <w:pPr>
        <w:tabs>
          <w:tab w:val="left" w:pos="4320"/>
        </w:tabs>
        <w:ind w:firstLine="3600"/>
        <w:rPr>
          <w:szCs w:val="24"/>
          <w:u w:val="single"/>
        </w:rPr>
      </w:pPr>
      <w:r w:rsidRPr="00A65CA7">
        <w:rPr>
          <w:szCs w:val="24"/>
          <w:u w:val="single"/>
        </w:rPr>
        <w:t xml:space="preserve">/s/ </w:t>
      </w:r>
      <w:r w:rsidRPr="00A65CA7" w:rsidR="00B54C67">
        <w:rPr>
          <w:i/>
          <w:iCs/>
          <w:szCs w:val="24"/>
          <w:u w:val="single"/>
        </w:rPr>
        <w:t>Maureen R. Willis</w:t>
      </w:r>
      <w:r w:rsidRPr="00A65CA7">
        <w:rPr>
          <w:szCs w:val="24"/>
          <w:u w:val="single"/>
        </w:rPr>
        <w:tab/>
      </w:r>
      <w:r w:rsidRPr="00A65CA7">
        <w:rPr>
          <w:szCs w:val="24"/>
          <w:u w:val="single"/>
        </w:rPr>
        <w:tab/>
      </w:r>
    </w:p>
    <w:p w:rsidR="006932DF" w:rsidRPr="00A65CA7" w:rsidP="006932DF" w14:paraId="2C5ABAD3" w14:textId="77777777">
      <w:pPr>
        <w:tabs>
          <w:tab w:val="left" w:pos="4320"/>
        </w:tabs>
        <w:ind w:firstLine="3600"/>
        <w:rPr>
          <w:szCs w:val="24"/>
        </w:rPr>
      </w:pPr>
      <w:r w:rsidRPr="00A65CA7">
        <w:rPr>
          <w:szCs w:val="24"/>
        </w:rPr>
        <w:t>Maureen R. Willis (0020847)</w:t>
      </w:r>
    </w:p>
    <w:p w:rsidR="006932DF" w:rsidRPr="00A65CA7" w:rsidP="006932DF" w14:paraId="2FBE0805" w14:textId="77777777">
      <w:pPr>
        <w:tabs>
          <w:tab w:val="left" w:pos="4320"/>
        </w:tabs>
        <w:ind w:firstLine="3600"/>
        <w:rPr>
          <w:szCs w:val="24"/>
        </w:rPr>
      </w:pPr>
      <w:r w:rsidRPr="00A65CA7">
        <w:rPr>
          <w:szCs w:val="24"/>
        </w:rPr>
        <w:t>Counsel of Record</w:t>
      </w:r>
    </w:p>
    <w:p w:rsidR="006932DF" w:rsidRPr="00A65CA7" w:rsidP="006932DF" w14:paraId="284679B7" w14:textId="77777777">
      <w:pPr>
        <w:tabs>
          <w:tab w:val="left" w:pos="4320"/>
        </w:tabs>
        <w:ind w:firstLine="3600"/>
        <w:rPr>
          <w:szCs w:val="24"/>
        </w:rPr>
      </w:pPr>
      <w:r w:rsidRPr="00A65CA7">
        <w:rPr>
          <w:szCs w:val="24"/>
        </w:rPr>
        <w:t>Amy Botschner O’Brien (0074423)</w:t>
      </w:r>
    </w:p>
    <w:p w:rsidR="006932DF" w:rsidRPr="00A65CA7" w:rsidP="006932DF" w14:paraId="32B8296A" w14:textId="77777777">
      <w:pPr>
        <w:tabs>
          <w:tab w:val="left" w:pos="4320"/>
        </w:tabs>
        <w:ind w:firstLine="3600"/>
        <w:rPr>
          <w:szCs w:val="24"/>
        </w:rPr>
      </w:pPr>
      <w:r w:rsidRPr="00A65CA7">
        <w:rPr>
          <w:szCs w:val="24"/>
        </w:rPr>
        <w:t>Assistant Consumers’ Counsel</w:t>
      </w:r>
    </w:p>
    <w:p w:rsidR="006932DF" w:rsidRPr="00A65CA7" w:rsidP="00760E5D" w14:paraId="5E19895E" w14:textId="77777777">
      <w:pPr>
        <w:pStyle w:val="Heading1"/>
        <w:keepNext w:val="0"/>
        <w:spacing w:after="0"/>
        <w:ind w:right="-648" w:firstLine="3600"/>
        <w:rPr>
          <w:rFonts w:ascii="Times New Roman" w:hAnsi="Times New Roman"/>
        </w:rPr>
      </w:pPr>
    </w:p>
    <w:p w:rsidR="006932DF" w:rsidRPr="00A65CA7" w:rsidP="00760E5D" w14:paraId="14B7CE64" w14:textId="77777777">
      <w:pPr>
        <w:ind w:left="3600"/>
        <w:rPr>
          <w:b/>
          <w:bCs/>
          <w:szCs w:val="24"/>
        </w:rPr>
      </w:pPr>
      <w:bookmarkStart w:id="22" w:name="_Toc94892002"/>
      <w:bookmarkStart w:id="23" w:name="_Toc94892044"/>
      <w:r w:rsidRPr="00A65CA7">
        <w:rPr>
          <w:b/>
          <w:bCs/>
          <w:szCs w:val="24"/>
        </w:rPr>
        <w:t>Office of the Ohio Consumers’ Counsel</w:t>
      </w:r>
      <w:bookmarkEnd w:id="22"/>
      <w:bookmarkEnd w:id="23"/>
    </w:p>
    <w:p w:rsidR="006932DF" w:rsidRPr="00A65CA7" w:rsidP="00760E5D" w14:paraId="6A7593BD" w14:textId="77777777">
      <w:pPr>
        <w:ind w:left="3600"/>
        <w:rPr>
          <w:bCs/>
          <w:szCs w:val="24"/>
        </w:rPr>
      </w:pPr>
      <w:bookmarkStart w:id="24" w:name="_Toc94892003"/>
      <w:bookmarkStart w:id="25" w:name="_Toc94892045"/>
      <w:r w:rsidRPr="00A65CA7">
        <w:rPr>
          <w:bCs/>
          <w:szCs w:val="24"/>
        </w:rPr>
        <w:t>65 East State Street, Suite 700</w:t>
      </w:r>
      <w:bookmarkEnd w:id="24"/>
      <w:bookmarkEnd w:id="25"/>
    </w:p>
    <w:p w:rsidR="006932DF" w:rsidRPr="00A65CA7" w:rsidP="00760E5D" w14:paraId="3BB1A974" w14:textId="77777777">
      <w:pPr>
        <w:ind w:left="3600"/>
        <w:rPr>
          <w:bCs/>
          <w:szCs w:val="24"/>
        </w:rPr>
      </w:pPr>
      <w:bookmarkStart w:id="26" w:name="_Toc94892004"/>
      <w:bookmarkStart w:id="27" w:name="_Toc94892046"/>
      <w:r w:rsidRPr="00A65CA7">
        <w:rPr>
          <w:bCs/>
          <w:szCs w:val="24"/>
        </w:rPr>
        <w:t>Columbus, Ohio 43215</w:t>
      </w:r>
      <w:bookmarkEnd w:id="26"/>
      <w:bookmarkEnd w:id="27"/>
    </w:p>
    <w:p w:rsidR="006932DF" w:rsidRPr="00A65CA7" w:rsidP="006932DF" w14:paraId="29BEA148" w14:textId="77777777">
      <w:pPr>
        <w:autoSpaceDE w:val="0"/>
        <w:autoSpaceDN w:val="0"/>
        <w:adjustRightInd w:val="0"/>
        <w:ind w:left="3600"/>
        <w:rPr>
          <w:szCs w:val="24"/>
        </w:rPr>
      </w:pPr>
      <w:r w:rsidRPr="00A65CA7">
        <w:rPr>
          <w:szCs w:val="24"/>
        </w:rPr>
        <w:t>Telephone [Willis]: (614) 466-9567</w:t>
      </w:r>
    </w:p>
    <w:p w:rsidR="006932DF" w:rsidRPr="00A65CA7" w:rsidP="006932DF" w14:paraId="113E0E57" w14:textId="77777777">
      <w:pPr>
        <w:autoSpaceDE w:val="0"/>
        <w:autoSpaceDN w:val="0"/>
        <w:adjustRightInd w:val="0"/>
        <w:ind w:left="3600"/>
        <w:rPr>
          <w:szCs w:val="24"/>
        </w:rPr>
      </w:pPr>
      <w:r w:rsidRPr="00A65CA7">
        <w:rPr>
          <w:szCs w:val="24"/>
        </w:rPr>
        <w:t>Telephone [Botschner O’Brien]: (614) 466-9575</w:t>
      </w:r>
    </w:p>
    <w:p w:rsidR="006932DF" w:rsidRPr="00A65CA7" w:rsidP="006932DF" w14:paraId="14B8E883" w14:textId="2157B13B">
      <w:pPr>
        <w:ind w:firstLine="3600"/>
        <w:rPr>
          <w:szCs w:val="24"/>
        </w:rPr>
      </w:pPr>
      <w:hyperlink r:id="rId6" w:history="1">
        <w:r w:rsidRPr="00A65CA7" w:rsidR="004A6993">
          <w:rPr>
            <w:rStyle w:val="Hyperlink"/>
            <w:szCs w:val="24"/>
          </w:rPr>
          <w:t>maureen.willis@occ.ohio.gov</w:t>
        </w:r>
      </w:hyperlink>
    </w:p>
    <w:p w:rsidR="006932DF" w:rsidRPr="00A65CA7" w:rsidP="006932DF" w14:paraId="14BCB951" w14:textId="7E9F71B8">
      <w:pPr>
        <w:ind w:firstLine="3600"/>
        <w:rPr>
          <w:szCs w:val="24"/>
        </w:rPr>
      </w:pPr>
      <w:hyperlink r:id="rId7" w:history="1">
        <w:r w:rsidRPr="00A65CA7" w:rsidR="004A6993">
          <w:rPr>
            <w:rStyle w:val="Hyperlink"/>
            <w:szCs w:val="24"/>
          </w:rPr>
          <w:t>amy.botschner.obrien@occ.ohio.gov</w:t>
        </w:r>
      </w:hyperlink>
      <w:r w:rsidRPr="00A65CA7" w:rsidR="004A6993">
        <w:rPr>
          <w:szCs w:val="24"/>
        </w:rPr>
        <w:t xml:space="preserve"> </w:t>
      </w:r>
    </w:p>
    <w:p w:rsidR="006932DF" w:rsidRPr="00A65CA7" w:rsidP="006932DF" w14:paraId="271E1618" w14:textId="77777777">
      <w:pPr>
        <w:ind w:firstLine="3600"/>
        <w:rPr>
          <w:szCs w:val="24"/>
        </w:rPr>
      </w:pPr>
      <w:r w:rsidRPr="00A65CA7">
        <w:rPr>
          <w:szCs w:val="24"/>
        </w:rPr>
        <w:t>(willing to accept service by email)</w:t>
      </w:r>
    </w:p>
    <w:p w:rsidR="006932DF" w:rsidRPr="00A65CA7" w:rsidP="0055512A" w14:paraId="48425D00" w14:textId="77777777">
      <w:pPr>
        <w:pStyle w:val="BodyTextIndent3"/>
        <w:widowControl w:val="0"/>
        <w:ind w:left="3600" w:right="-672" w:firstLine="0"/>
        <w:rPr>
          <w:szCs w:val="24"/>
        </w:rPr>
      </w:pPr>
    </w:p>
    <w:p w:rsidR="00CC3C7F" w:rsidRPr="00A65CA7" w:rsidP="00CC3C7F" w14:paraId="34F6B160" w14:textId="77777777">
      <w:pPr>
        <w:autoSpaceDE w:val="0"/>
        <w:autoSpaceDN w:val="0"/>
        <w:adjustRightInd w:val="0"/>
        <w:ind w:left="3600"/>
        <w:rPr>
          <w:szCs w:val="24"/>
        </w:rPr>
      </w:pPr>
    </w:p>
    <w:p w:rsidR="00CC3C7F" w:rsidRPr="00A65CA7" w:rsidP="00CC3C7F" w14:paraId="76FF8AAF" w14:textId="77777777">
      <w:pPr>
        <w:autoSpaceDE w:val="0"/>
        <w:autoSpaceDN w:val="0"/>
        <w:adjustRightInd w:val="0"/>
        <w:ind w:left="3600"/>
        <w:rPr>
          <w:szCs w:val="24"/>
        </w:rPr>
      </w:pPr>
    </w:p>
    <w:p w:rsidR="00A044B5" w:rsidRPr="00A65CA7" w14:paraId="44786179" w14:textId="77777777">
      <w:pPr>
        <w:jc w:val="center"/>
        <w:rPr>
          <w:b/>
          <w:bCs/>
          <w:szCs w:val="24"/>
          <w:u w:val="single"/>
        </w:rPr>
      </w:pPr>
      <w:r w:rsidRPr="00A65CA7">
        <w:rPr>
          <w:b/>
          <w:bCs/>
          <w:szCs w:val="24"/>
          <w:u w:val="single"/>
        </w:rPr>
        <w:br w:type="page"/>
        <w:t>CERTIFICATE OF SERVICE</w:t>
      </w:r>
    </w:p>
    <w:p w:rsidR="00760E5D" w:rsidRPr="00A65CA7" w14:paraId="59402936" w14:textId="77777777">
      <w:pPr>
        <w:jc w:val="center"/>
        <w:rPr>
          <w:b/>
          <w:bCs/>
          <w:szCs w:val="24"/>
          <w:u w:val="single"/>
        </w:rPr>
      </w:pPr>
    </w:p>
    <w:p w:rsidR="00A044B5" w:rsidRPr="00A65CA7" w:rsidP="00760E5D" w14:paraId="0D79D6AF" w14:textId="77777777">
      <w:pPr>
        <w:spacing w:line="480" w:lineRule="auto"/>
        <w:rPr>
          <w:szCs w:val="24"/>
        </w:rPr>
      </w:pPr>
      <w:r w:rsidRPr="00A65CA7">
        <w:rPr>
          <w:szCs w:val="24"/>
        </w:rPr>
        <w:tab/>
        <w:t xml:space="preserve">I hereby certify that a copy of this </w:t>
      </w:r>
      <w:r w:rsidRPr="00A65CA7" w:rsidR="00025908">
        <w:rPr>
          <w:szCs w:val="24"/>
        </w:rPr>
        <w:t>Post Hearing Brief</w:t>
      </w:r>
      <w:r w:rsidRPr="00A65CA7" w:rsidR="008437E7">
        <w:rPr>
          <w:szCs w:val="24"/>
        </w:rPr>
        <w:t xml:space="preserve"> </w:t>
      </w:r>
      <w:r w:rsidRPr="00A65CA7">
        <w:rPr>
          <w:szCs w:val="24"/>
        </w:rPr>
        <w:t xml:space="preserve">was served on the persons stated below </w:t>
      </w:r>
      <w:r w:rsidRPr="00A65CA7">
        <w:rPr>
          <w:iCs/>
          <w:szCs w:val="24"/>
        </w:rPr>
        <w:t>via</w:t>
      </w:r>
      <w:r w:rsidRPr="00A65CA7" w:rsidR="002A4912">
        <w:rPr>
          <w:szCs w:val="24"/>
        </w:rPr>
        <w:t xml:space="preserve"> electronic transmission</w:t>
      </w:r>
      <w:r w:rsidRPr="00A65CA7">
        <w:rPr>
          <w:szCs w:val="24"/>
        </w:rPr>
        <w:t xml:space="preserve">, this </w:t>
      </w:r>
      <w:r w:rsidRPr="00A65CA7" w:rsidR="00113AA4">
        <w:rPr>
          <w:szCs w:val="24"/>
        </w:rPr>
        <w:t>10</w:t>
      </w:r>
      <w:r w:rsidRPr="00A65CA7" w:rsidR="00113AA4">
        <w:rPr>
          <w:szCs w:val="24"/>
          <w:vertAlign w:val="superscript"/>
        </w:rPr>
        <w:t>th</w:t>
      </w:r>
      <w:r w:rsidRPr="00A65CA7" w:rsidR="00113AA4">
        <w:rPr>
          <w:szCs w:val="24"/>
        </w:rPr>
        <w:t xml:space="preserve"> day of February 2022</w:t>
      </w:r>
      <w:r w:rsidRPr="00A65CA7">
        <w:rPr>
          <w:szCs w:val="24"/>
        </w:rPr>
        <w:t>.</w:t>
      </w:r>
    </w:p>
    <w:p w:rsidR="00A044B5" w:rsidRPr="00A65CA7" w14:paraId="162DB7CA" w14:textId="77777777">
      <w:pPr>
        <w:tabs>
          <w:tab w:val="left" w:pos="4320"/>
        </w:tabs>
        <w:rPr>
          <w:i/>
          <w:iCs/>
          <w:szCs w:val="24"/>
          <w:u w:val="single"/>
        </w:rPr>
      </w:pPr>
      <w:r w:rsidRPr="00A65CA7">
        <w:rPr>
          <w:szCs w:val="24"/>
        </w:rPr>
        <w:tab/>
      </w:r>
      <w:r w:rsidRPr="00A65CA7" w:rsidR="006932DF">
        <w:rPr>
          <w:i/>
          <w:iCs/>
          <w:szCs w:val="24"/>
          <w:u w:val="single"/>
        </w:rPr>
        <w:t>/s/ Maureen R. Willis</w:t>
      </w:r>
      <w:r w:rsidRPr="00A65CA7" w:rsidR="006932DF">
        <w:rPr>
          <w:i/>
          <w:iCs/>
          <w:szCs w:val="24"/>
          <w:u w:val="single"/>
        </w:rPr>
        <w:tab/>
      </w:r>
    </w:p>
    <w:p w:rsidR="00A044B5" w:rsidRPr="00A65CA7" w14:paraId="72F08D68" w14:textId="77777777">
      <w:pPr>
        <w:tabs>
          <w:tab w:val="left" w:pos="4320"/>
        </w:tabs>
        <w:rPr>
          <w:szCs w:val="24"/>
        </w:rPr>
      </w:pPr>
      <w:r w:rsidRPr="00A65CA7">
        <w:rPr>
          <w:szCs w:val="24"/>
        </w:rPr>
        <w:tab/>
      </w:r>
      <w:r w:rsidRPr="00A65CA7" w:rsidR="00113AA4">
        <w:rPr>
          <w:szCs w:val="24"/>
        </w:rPr>
        <w:t>Maureen Willis</w:t>
      </w:r>
    </w:p>
    <w:p w:rsidR="00A044B5" w:rsidRPr="00A65CA7" w14:paraId="116DC47F" w14:textId="77777777">
      <w:pPr>
        <w:tabs>
          <w:tab w:val="left" w:pos="4320"/>
        </w:tabs>
        <w:rPr>
          <w:szCs w:val="24"/>
        </w:rPr>
      </w:pPr>
      <w:r w:rsidRPr="00A65CA7">
        <w:rPr>
          <w:szCs w:val="24"/>
        </w:rPr>
        <w:tab/>
        <w:t>Assistant Consumers’ Counsel</w:t>
      </w:r>
    </w:p>
    <w:p w:rsidR="00A044B5" w:rsidRPr="00A65CA7" w14:paraId="3B17FD66" w14:textId="77777777">
      <w:pPr>
        <w:pStyle w:val="CommentSubject"/>
        <w:rPr>
          <w:szCs w:val="24"/>
        </w:rPr>
      </w:pPr>
    </w:p>
    <w:p w:rsidR="009F067A" w:rsidRPr="00A65CA7" w:rsidP="009F067A" w14:paraId="226113EA" w14:textId="77777777">
      <w:pPr>
        <w:pStyle w:val="CommentText"/>
      </w:pPr>
      <w:r w:rsidRPr="00A65CA7">
        <w:t>The PUCO’s e-filing system will electronically serve notice of the filing of this document on the following parties:</w:t>
      </w:r>
    </w:p>
    <w:p w:rsidR="009F067A" w:rsidRPr="00A65CA7" w:rsidP="00480607" w14:paraId="0145B408" w14:textId="77777777">
      <w:pPr>
        <w:pStyle w:val="CommentText"/>
      </w:pPr>
    </w:p>
    <w:p w:rsidR="00A044B5" w:rsidRPr="00A65CA7" w14:paraId="6A1836F9" w14:textId="77777777">
      <w:pPr>
        <w:pStyle w:val="CommentText"/>
      </w:pPr>
    </w:p>
    <w:p w:rsidR="00A044B5" w:rsidRPr="00A65CA7" w14:paraId="3E01E4C5" w14:textId="77777777">
      <w:pPr>
        <w:pStyle w:val="CommentText"/>
        <w:jc w:val="center"/>
        <w:rPr>
          <w:b/>
          <w:u w:val="single"/>
        </w:rPr>
      </w:pPr>
      <w:r w:rsidRPr="00A65CA7">
        <w:rPr>
          <w:b/>
          <w:u w:val="single"/>
        </w:rPr>
        <w:t>SERVICE LIST</w:t>
      </w:r>
    </w:p>
    <w:p w:rsidR="00317043" w:rsidRPr="00A65CA7" w14:paraId="69B23799" w14:textId="77777777">
      <w:pPr>
        <w:pStyle w:val="CommentText"/>
        <w:jc w:val="center"/>
        <w:rPr>
          <w:b/>
          <w:u w:val="single"/>
        </w:rPr>
      </w:pPr>
    </w:p>
    <w:tbl>
      <w:tblPr>
        <w:tblW w:w="0" w:type="auto"/>
        <w:tblLook w:val="04A0"/>
      </w:tblPr>
      <w:tblGrid>
        <w:gridCol w:w="4105"/>
        <w:gridCol w:w="4535"/>
      </w:tblGrid>
      <w:tr w14:paraId="684422BF" w14:textId="77777777" w:rsidTr="00E2251E">
        <w:tblPrEx>
          <w:tblW w:w="0" w:type="auto"/>
          <w:tblLook w:val="04A0"/>
        </w:tblPrEx>
        <w:tc>
          <w:tcPr>
            <w:tcW w:w="4428" w:type="dxa"/>
            <w:shd w:val="clear" w:color="auto" w:fill="auto"/>
          </w:tcPr>
          <w:p w:rsidR="006932DF" w:rsidRPr="00A65CA7" w:rsidP="00E2251E" w14:paraId="750BE735" w14:textId="481DA8C2">
            <w:pPr>
              <w:pStyle w:val="CommentText"/>
              <w:rPr>
                <w:bCs/>
              </w:rPr>
            </w:pPr>
            <w:hyperlink r:id="rId10" w:history="1">
              <w:r w:rsidRPr="00A65CA7" w:rsidR="004A6993">
                <w:rPr>
                  <w:rStyle w:val="Hyperlink"/>
                  <w:bCs/>
                </w:rPr>
                <w:t>thomas.lindgren@ohioAGO.gov</w:t>
              </w:r>
            </w:hyperlink>
          </w:p>
          <w:p w:rsidR="006932DF" w:rsidRPr="00A65CA7" w:rsidP="00E2251E" w14:paraId="64B1DB68" w14:textId="77777777">
            <w:pPr>
              <w:pStyle w:val="CommentText"/>
              <w:rPr>
                <w:bCs/>
              </w:rPr>
            </w:pPr>
          </w:p>
          <w:p w:rsidR="00A6162C" w:rsidRPr="00A65CA7" w:rsidP="00E2251E" w14:paraId="163B0810" w14:textId="77777777">
            <w:pPr>
              <w:pStyle w:val="CommentText"/>
              <w:rPr>
                <w:bCs/>
              </w:rPr>
            </w:pPr>
          </w:p>
          <w:p w:rsidR="006932DF" w:rsidRPr="00A65CA7" w:rsidP="00E2251E" w14:paraId="71B11B23" w14:textId="77777777">
            <w:pPr>
              <w:pStyle w:val="CommentText"/>
              <w:rPr>
                <w:bCs/>
              </w:rPr>
            </w:pPr>
            <w:r w:rsidRPr="00A65CA7">
              <w:rPr>
                <w:bCs/>
              </w:rPr>
              <w:t>Attorney Examiners:</w:t>
            </w:r>
          </w:p>
          <w:p w:rsidR="00B15D68" w:rsidRPr="00A65CA7" w:rsidP="00B15D68" w14:paraId="326AF8F0" w14:textId="2632DCDE">
            <w:pPr>
              <w:adjustRightInd w:val="0"/>
              <w:rPr>
                <w:color w:val="0000FF"/>
                <w:szCs w:val="24"/>
                <w:u w:val="single"/>
              </w:rPr>
            </w:pPr>
            <w:hyperlink r:id="rId11" w:history="1">
              <w:r w:rsidRPr="00A65CA7" w:rsidR="004A6993">
                <w:rPr>
                  <w:color w:val="0000FF"/>
                  <w:szCs w:val="24"/>
                  <w:u w:val="single"/>
                </w:rPr>
                <w:t>gregory.price@puco.ohio.gov</w:t>
              </w:r>
            </w:hyperlink>
          </w:p>
          <w:p w:rsidR="006932DF" w:rsidRPr="00A65CA7" w:rsidP="00E2251E" w14:paraId="4CDCE654" w14:textId="7810047A">
            <w:pPr>
              <w:pStyle w:val="CommentText"/>
              <w:rPr>
                <w:bCs/>
              </w:rPr>
            </w:pPr>
            <w:hyperlink r:id="rId12" w:history="1">
              <w:r w:rsidRPr="00A65CA7" w:rsidR="004A6993">
                <w:rPr>
                  <w:rStyle w:val="Hyperlink"/>
                  <w:bCs/>
                </w:rPr>
                <w:t>jacqueline.st.john@puco.ohio.gov</w:t>
              </w:r>
            </w:hyperlink>
          </w:p>
          <w:p w:rsidR="006932DF" w:rsidRPr="00A65CA7" w:rsidP="00B15D68" w14:paraId="517D07DF" w14:textId="77777777">
            <w:pPr>
              <w:adjustRightInd w:val="0"/>
              <w:rPr>
                <w:bCs/>
                <w:szCs w:val="24"/>
              </w:rPr>
            </w:pPr>
          </w:p>
        </w:tc>
        <w:tc>
          <w:tcPr>
            <w:tcW w:w="4428" w:type="dxa"/>
            <w:shd w:val="clear" w:color="auto" w:fill="auto"/>
          </w:tcPr>
          <w:p w:rsidR="006932DF" w:rsidRPr="00A65CA7" w:rsidP="00E2251E" w14:paraId="44A3CA4E" w14:textId="45CC2592">
            <w:pPr>
              <w:autoSpaceDE w:val="0"/>
              <w:autoSpaceDN w:val="0"/>
              <w:adjustRightInd w:val="0"/>
              <w:ind w:left="1332"/>
              <w:rPr>
                <w:color w:val="0000FF"/>
                <w:szCs w:val="24"/>
              </w:rPr>
            </w:pPr>
            <w:hyperlink r:id="rId13" w:history="1">
              <w:r w:rsidRPr="00A65CA7" w:rsidR="004A6993">
                <w:rPr>
                  <w:rStyle w:val="Hyperlink"/>
                  <w:szCs w:val="24"/>
                </w:rPr>
                <w:t>bojko@carpenterlipps.com</w:t>
              </w:r>
            </w:hyperlink>
          </w:p>
          <w:p w:rsidR="006932DF" w:rsidRPr="00A65CA7" w:rsidP="00E2251E" w14:paraId="5A94F970" w14:textId="2E049C30">
            <w:pPr>
              <w:pStyle w:val="CommentText"/>
              <w:ind w:left="1332"/>
              <w:rPr>
                <w:color w:val="0000FF"/>
              </w:rPr>
            </w:pPr>
            <w:hyperlink r:id="rId14" w:history="1">
              <w:r w:rsidRPr="00A65CA7" w:rsidR="004A6993">
                <w:rPr>
                  <w:rStyle w:val="Hyperlink"/>
                </w:rPr>
                <w:t>wygonski@carpenterlipps.com</w:t>
              </w:r>
            </w:hyperlink>
          </w:p>
          <w:p w:rsidR="006932DF" w:rsidRPr="00A65CA7" w:rsidP="00E2251E" w14:paraId="20321522" w14:textId="0F5FB5D8">
            <w:pPr>
              <w:pStyle w:val="CommentText"/>
              <w:ind w:left="1332"/>
              <w:rPr>
                <w:color w:val="0563C2"/>
              </w:rPr>
            </w:pPr>
            <w:hyperlink r:id="rId15" w:history="1">
              <w:r w:rsidRPr="00A65CA7" w:rsidR="004A6993">
                <w:rPr>
                  <w:rStyle w:val="Hyperlink"/>
                </w:rPr>
                <w:t>bknipe@firstenergycorp.com</w:t>
              </w:r>
            </w:hyperlink>
          </w:p>
          <w:p w:rsidR="006932DF" w:rsidRPr="00A65CA7" w:rsidP="00E2251E" w14:paraId="3C616BDB" w14:textId="77777777">
            <w:pPr>
              <w:pStyle w:val="CommentText"/>
              <w:rPr>
                <w:color w:val="0000FF"/>
              </w:rPr>
            </w:pPr>
          </w:p>
          <w:p w:rsidR="006932DF" w:rsidRPr="00A65CA7" w:rsidP="00E2251E" w14:paraId="0073745F" w14:textId="77777777">
            <w:pPr>
              <w:pStyle w:val="CommentText"/>
              <w:rPr>
                <w:b/>
                <w:u w:val="single"/>
              </w:rPr>
            </w:pPr>
          </w:p>
        </w:tc>
      </w:tr>
    </w:tbl>
    <w:p w:rsidR="00317043" w:rsidRPr="00A65CA7" w14:paraId="18F5E91C" w14:textId="77777777">
      <w:pPr>
        <w:pStyle w:val="CommentText"/>
        <w:jc w:val="center"/>
        <w:rPr>
          <w:b/>
          <w:u w:val="single"/>
        </w:rPr>
      </w:pPr>
    </w:p>
    <w:p w:rsidR="00A044B5" w:rsidRPr="00A65CA7" w14:paraId="2CFC8F72" w14:textId="77777777">
      <w:pPr>
        <w:pStyle w:val="BodyText"/>
        <w:rPr>
          <w:b/>
          <w:bCs/>
          <w:szCs w:val="24"/>
        </w:rPr>
      </w:pPr>
    </w:p>
    <w:p w:rsidR="00A044B5" w:rsidRPr="00A65CA7" w14:paraId="7017CBB2" w14:textId="013992F5">
      <w:pPr>
        <w:pStyle w:val="BodyText"/>
        <w:rPr>
          <w:b/>
          <w:bCs/>
          <w:szCs w:val="24"/>
        </w:rPr>
      </w:pPr>
    </w:p>
    <w:p w:rsidR="00503E6E" w:rsidRPr="00A65CA7" w14:paraId="18C7850B" w14:textId="77777777">
      <w:pPr>
        <w:pStyle w:val="BodyText"/>
        <w:rPr>
          <w:b/>
          <w:bCs/>
          <w:szCs w:val="24"/>
        </w:rPr>
      </w:pPr>
    </w:p>
    <w:sectPr w:rsidSect="00B32048">
      <w:pgSz w:w="12240" w:h="15840"/>
      <w:pgMar w:top="1440" w:right="1800" w:bottom="1440" w:left="1800" w:header="720" w:footer="720"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rsidRPr="00CD119B" w:rsidP="00CD119B" w14:paraId="6E088E8A" w14:textId="741F9EB7">
    <w:pPr>
      <w:pStyle w:val="Footer"/>
      <w:framePr w:wrap="around" w:vAnchor="text" w:hAnchor="margin" w:xAlign="center" w:y="1"/>
      <w:jc w:val="center"/>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6C5841">
      <w:rPr>
        <w:rStyle w:val="PageNumber"/>
        <w:noProof/>
        <w:sz w:val="24"/>
        <w:szCs w:val="24"/>
      </w:rPr>
      <w:t>4</w:t>
    </w:r>
    <w:r>
      <w:rPr>
        <w:rStyle w:val="PageNumber"/>
        <w:sz w:val="24"/>
        <w:szCs w:val="24"/>
      </w:rPr>
      <w:fldChar w:fldCharType="end"/>
    </w:r>
  </w:p>
  <w:p w:rsidR="00A044B5" w:rsidP="00CD119B" w14:paraId="595137E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4C67" w:rsidRPr="00B54C67" w14:paraId="6DE83DE8" w14:textId="77777777">
    <w:pPr>
      <w:pStyle w:val="Footer"/>
      <w:jc w:val="center"/>
      <w:rPr>
        <w:sz w:val="24"/>
        <w:szCs w:val="24"/>
      </w:rPr>
    </w:pPr>
    <w:r w:rsidRPr="00B54C67">
      <w:rPr>
        <w:sz w:val="24"/>
        <w:szCs w:val="24"/>
      </w:rPr>
      <w:fldChar w:fldCharType="begin"/>
    </w:r>
    <w:r w:rsidRPr="00B54C67">
      <w:rPr>
        <w:sz w:val="24"/>
        <w:szCs w:val="24"/>
      </w:rPr>
      <w:instrText xml:space="preserve"> PAGE   \* MERGEFORMAT </w:instrText>
    </w:r>
    <w:r w:rsidRPr="00B54C67">
      <w:rPr>
        <w:sz w:val="24"/>
        <w:szCs w:val="24"/>
      </w:rPr>
      <w:fldChar w:fldCharType="separate"/>
    </w:r>
    <w:r w:rsidRPr="00B54C67">
      <w:rPr>
        <w:noProof/>
        <w:sz w:val="24"/>
        <w:szCs w:val="24"/>
      </w:rPr>
      <w:t>2</w:t>
    </w:r>
    <w:r w:rsidRPr="00B54C67">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A6993" w14:paraId="79D24B23" w14:textId="77777777">
      <w:r>
        <w:separator/>
      </w:r>
    </w:p>
  </w:footnote>
  <w:footnote w:type="continuationSeparator" w:id="1">
    <w:p w:rsidR="004A6993" w14:paraId="02B9EF89" w14:textId="77777777">
      <w:r>
        <w:continuationSeparator/>
      </w:r>
    </w:p>
  </w:footnote>
  <w:footnote w:id="2">
    <w:p w:rsidR="007D0A11" w:rsidRPr="00A65CA7" w:rsidP="00A65CA7" w14:paraId="396AF16C" w14:textId="1B8E5BDE">
      <w:pPr>
        <w:pStyle w:val="FootnoteText"/>
        <w:spacing w:after="120"/>
      </w:pPr>
      <w:r w:rsidRPr="00A65CA7">
        <w:rPr>
          <w:rStyle w:val="FootnoteReference"/>
        </w:rPr>
        <w:footnoteRef/>
      </w:r>
      <w:r w:rsidRPr="00A65CA7">
        <w:t xml:space="preserve"> Joint Ex</w:t>
      </w:r>
      <w:r w:rsidRPr="00A65CA7" w:rsidR="003D6EAB">
        <w:t>. 1</w:t>
      </w:r>
      <w:r w:rsidRPr="00A65CA7" w:rsidR="00A552D8">
        <w:t xml:space="preserve"> (Joint Stipulation and Recommendation</w:t>
      </w:r>
      <w:r w:rsidRPr="00A65CA7" w:rsidR="00EE1AD8">
        <w:t>)</w:t>
      </w:r>
      <w:r w:rsidRPr="00A65CA7" w:rsidR="00A552D8">
        <w:t xml:space="preserve"> </w:t>
      </w:r>
      <w:r w:rsidRPr="00A65CA7" w:rsidR="00EE1AD8">
        <w:t>(</w:t>
      </w:r>
      <w:r w:rsidRPr="00A65CA7" w:rsidR="00A552D8">
        <w:t>Dec. 9, 2021).</w:t>
      </w:r>
      <w:r w:rsidRPr="00A65CA7" w:rsidR="00002FE7">
        <w:t xml:space="preserve"> </w:t>
      </w:r>
    </w:p>
  </w:footnote>
  <w:footnote w:id="3">
    <w:p w:rsidR="00856651" w:rsidRPr="00A65CA7" w:rsidP="00A65CA7" w14:paraId="56BC7EEB" w14:textId="77777777">
      <w:pPr>
        <w:pStyle w:val="FootnoteText"/>
        <w:spacing w:after="120"/>
      </w:pPr>
      <w:r w:rsidRPr="00A65CA7">
        <w:rPr>
          <w:rStyle w:val="FootnoteReference"/>
        </w:rPr>
        <w:footnoteRef/>
      </w:r>
      <w:r w:rsidRPr="00A65CA7">
        <w:t xml:space="preserve"> </w:t>
      </w:r>
      <w:r w:rsidRPr="00A65CA7">
        <w:rPr>
          <w:i/>
          <w:iCs/>
        </w:rPr>
        <w:t>See</w:t>
      </w:r>
      <w:r w:rsidRPr="00A65CA7">
        <w:t xml:space="preserve"> OCC Ex. 2</w:t>
      </w:r>
      <w:r w:rsidRPr="00A65CA7" w:rsidR="00BC5B5A">
        <w:t xml:space="preserve"> </w:t>
      </w:r>
      <w:r w:rsidRPr="00A65CA7">
        <w:t>(</w:t>
      </w:r>
      <w:r w:rsidRPr="00A65CA7" w:rsidR="00B83C56">
        <w:t xml:space="preserve">Supplemental Testimony of </w:t>
      </w:r>
      <w:r w:rsidRPr="00A65CA7" w:rsidR="00C41D31">
        <w:t>Michael P.</w:t>
      </w:r>
      <w:r w:rsidRPr="00A65CA7" w:rsidR="00B83C56">
        <w:t xml:space="preserve"> </w:t>
      </w:r>
      <w:r w:rsidRPr="00A65CA7">
        <w:t>Haugh</w:t>
      </w:r>
      <w:r w:rsidRPr="00A65CA7" w:rsidR="00181DC5">
        <w:t>, Dec. 22, 2021</w:t>
      </w:r>
      <w:r w:rsidRPr="00A65CA7">
        <w:t>) at 5</w:t>
      </w:r>
      <w:r w:rsidRPr="00A65CA7" w:rsidR="00771F92">
        <w:t xml:space="preserve">; Tr. at </w:t>
      </w:r>
      <w:r w:rsidRPr="00A65CA7" w:rsidR="005A08C8">
        <w:t xml:space="preserve">156, </w:t>
      </w:r>
      <w:r w:rsidRPr="00A65CA7" w:rsidR="00771F92">
        <w:t>215</w:t>
      </w:r>
      <w:r w:rsidRPr="00A65CA7">
        <w:t xml:space="preserve">. </w:t>
      </w:r>
    </w:p>
  </w:footnote>
  <w:footnote w:id="4">
    <w:p w:rsidR="000C203C" w:rsidRPr="00A65CA7" w:rsidP="00A65CA7" w14:paraId="185DF08A" w14:textId="6DA43170">
      <w:pPr>
        <w:pStyle w:val="FootnoteText"/>
        <w:spacing w:after="120"/>
      </w:pPr>
      <w:r w:rsidRPr="00A65CA7">
        <w:rPr>
          <w:rStyle w:val="FootnoteReference"/>
        </w:rPr>
        <w:footnoteRef/>
      </w:r>
      <w:r w:rsidRPr="00A65CA7">
        <w:t xml:space="preserve"> Campbell Supply Ex. 1 (Application) at 4-5; </w:t>
      </w:r>
      <w:r w:rsidRPr="00A65CA7" w:rsidR="001E6F31">
        <w:t xml:space="preserve">Campbell Supply Ex. 2 (Monnin) at 4-5; </w:t>
      </w:r>
      <w:r w:rsidRPr="00A65CA7" w:rsidR="00106EAE">
        <w:rPr>
          <w:i/>
          <w:iCs/>
        </w:rPr>
        <w:t>See</w:t>
      </w:r>
      <w:r w:rsidRPr="00A65CA7" w:rsidR="00106EAE">
        <w:t xml:space="preserve">, </w:t>
      </w:r>
      <w:r w:rsidRPr="00A65CA7" w:rsidR="001E6F31">
        <w:t>Tr. at 4</w:t>
      </w:r>
      <w:r w:rsidRPr="00A65CA7" w:rsidR="00A475D0">
        <w:t>1</w:t>
      </w:r>
      <w:r w:rsidRPr="00A65CA7" w:rsidR="0003584C">
        <w:t>-43</w:t>
      </w:r>
      <w:r w:rsidRPr="00A65CA7" w:rsidR="001E6F31">
        <w:t xml:space="preserve">, 76, </w:t>
      </w:r>
      <w:r w:rsidRPr="00A65CA7" w:rsidR="00A475D0">
        <w:t>87</w:t>
      </w:r>
      <w:r w:rsidRPr="00A65CA7" w:rsidR="0003584C">
        <w:t xml:space="preserve">-92 (cross examination of </w:t>
      </w:r>
      <w:r w:rsidRPr="00A65CA7" w:rsidR="00106EAE">
        <w:t xml:space="preserve">Mr. </w:t>
      </w:r>
      <w:r w:rsidRPr="00A65CA7" w:rsidR="0003584C">
        <w:t>Monnin)</w:t>
      </w:r>
      <w:r w:rsidRPr="00A65CA7" w:rsidR="00106EAE">
        <w:t xml:space="preserve"> (…we’re paying more for solar versus what we are getting credit for the offsetting purchase costs. So </w:t>
      </w:r>
      <w:r w:rsidRPr="00A65CA7" w:rsidR="00A20A42">
        <w:t>unfortunately,</w:t>
      </w:r>
      <w:r w:rsidRPr="00A65CA7" w:rsidR="00106EAE">
        <w:t xml:space="preserve"> that capacity savings is not giving us enough offset to what we are paying additional with solar, where the reasonable rate agreement would actually give us more transmission benefit that we are not receiving today.” (Monnin at 42)</w:t>
      </w:r>
      <w:r w:rsidRPr="00A65CA7" w:rsidR="0003584C">
        <w:t>.</w:t>
      </w:r>
      <w:r w:rsidRPr="00A65CA7" w:rsidR="00B32048">
        <w:t xml:space="preserve"> </w:t>
      </w:r>
    </w:p>
  </w:footnote>
  <w:footnote w:id="5">
    <w:p w:rsidR="00771F92" w:rsidRPr="00A65CA7" w:rsidP="00A65CA7" w14:paraId="66E19893" w14:textId="77777777">
      <w:pPr>
        <w:pStyle w:val="FootnoteText"/>
        <w:spacing w:after="120"/>
      </w:pPr>
      <w:r w:rsidRPr="00A65CA7">
        <w:rPr>
          <w:rStyle w:val="FootnoteReference"/>
        </w:rPr>
        <w:footnoteRef/>
      </w:r>
      <w:r w:rsidRPr="00A65CA7">
        <w:t xml:space="preserve"> OCC Ex. 2 </w:t>
      </w:r>
      <w:r w:rsidRPr="00A65CA7" w:rsidR="00106EAE">
        <w:t xml:space="preserve">(Haugh) </w:t>
      </w:r>
      <w:r w:rsidRPr="00A65CA7">
        <w:t xml:space="preserve">at </w:t>
      </w:r>
      <w:r w:rsidRPr="00A65CA7" w:rsidR="00663188">
        <w:t>7</w:t>
      </w:r>
      <w:r w:rsidRPr="00A65CA7">
        <w:t>.</w:t>
      </w:r>
    </w:p>
  </w:footnote>
  <w:footnote w:id="6">
    <w:p w:rsidR="00106EAE" w:rsidRPr="00A65CA7" w:rsidP="00A65CA7" w14:paraId="77A73350" w14:textId="77777777">
      <w:pPr>
        <w:pStyle w:val="FootnoteText"/>
        <w:spacing w:after="120"/>
      </w:pPr>
      <w:r w:rsidRPr="00A65CA7">
        <w:rPr>
          <w:rStyle w:val="FootnoteReference"/>
        </w:rPr>
        <w:footnoteRef/>
      </w:r>
      <w:r w:rsidRPr="00A65CA7">
        <w:t xml:space="preserve"> Tr. at 60; 56-57 (cross examination of Mr. Monnin)</w:t>
      </w:r>
      <w:r w:rsidRPr="00A65CA7" w:rsidR="00B260EE">
        <w:t>.</w:t>
      </w:r>
    </w:p>
  </w:footnote>
  <w:footnote w:id="7">
    <w:p w:rsidR="005071DC" w:rsidRPr="00A65CA7" w:rsidP="00A65CA7" w14:paraId="64688430" w14:textId="77777777">
      <w:pPr>
        <w:pStyle w:val="FootnoteText"/>
        <w:spacing w:after="120"/>
      </w:pPr>
      <w:r w:rsidRPr="00A65CA7">
        <w:rPr>
          <w:rStyle w:val="FootnoteReference"/>
        </w:rPr>
        <w:footnoteRef/>
      </w:r>
      <w:r w:rsidRPr="00A65CA7">
        <w:t xml:space="preserve"> </w:t>
      </w:r>
      <w:r w:rsidRPr="00A65CA7" w:rsidR="00B260EE">
        <w:t xml:space="preserve">Campbell Supply Ex. 2 (Monnin) at 4-5; </w:t>
      </w:r>
      <w:r w:rsidRPr="00A65CA7" w:rsidR="00B260EE">
        <w:rPr>
          <w:i/>
          <w:iCs/>
        </w:rPr>
        <w:t>See</w:t>
      </w:r>
      <w:r w:rsidRPr="00A65CA7" w:rsidR="00B260EE">
        <w:t>, Tr. at 41-43, 76, 87-92 (cross examination of Mr. Monnin)</w:t>
      </w:r>
      <w:r w:rsidRPr="00A65CA7" w:rsidR="00741584">
        <w:t>.</w:t>
      </w:r>
    </w:p>
  </w:footnote>
  <w:footnote w:id="8">
    <w:p w:rsidR="005071DC" w:rsidRPr="00A65CA7" w:rsidP="00A65CA7" w14:paraId="18A416A8" w14:textId="77777777">
      <w:pPr>
        <w:pStyle w:val="FootnoteText"/>
        <w:spacing w:after="120"/>
      </w:pPr>
      <w:r w:rsidRPr="00A65CA7">
        <w:rPr>
          <w:rStyle w:val="FootnoteReference"/>
        </w:rPr>
        <w:footnoteRef/>
      </w:r>
      <w:r w:rsidRPr="00A65CA7">
        <w:t xml:space="preserve"> </w:t>
      </w:r>
      <w:r w:rsidRPr="00A65CA7" w:rsidR="00741584">
        <w:t>Campbell Supply Ex. 2 (Monnin) at 6.</w:t>
      </w:r>
    </w:p>
  </w:footnote>
  <w:footnote w:id="9">
    <w:p w:rsidR="001E6F31" w:rsidRPr="00A65CA7" w:rsidP="00A65CA7" w14:paraId="6A05F01D" w14:textId="77777777">
      <w:pPr>
        <w:pStyle w:val="FootnoteText"/>
        <w:spacing w:after="120"/>
      </w:pPr>
      <w:r w:rsidRPr="00A65CA7">
        <w:rPr>
          <w:rStyle w:val="FootnoteReference"/>
        </w:rPr>
        <w:footnoteRef/>
      </w:r>
      <w:r w:rsidRPr="00A65CA7">
        <w:t xml:space="preserve"> OCC Ex. </w:t>
      </w:r>
      <w:r w:rsidRPr="00A65CA7" w:rsidR="005742C9">
        <w:t>2</w:t>
      </w:r>
      <w:r w:rsidRPr="00A65CA7">
        <w:t xml:space="preserve"> </w:t>
      </w:r>
      <w:r w:rsidRPr="00A65CA7" w:rsidR="00741584">
        <w:t xml:space="preserve">(Haugh) </w:t>
      </w:r>
      <w:r w:rsidRPr="00A65CA7">
        <w:t>at 8; Tr. at 261</w:t>
      </w:r>
      <w:r w:rsidRPr="00A65CA7" w:rsidR="0003584C">
        <w:t xml:space="preserve"> (cross examination of </w:t>
      </w:r>
      <w:r w:rsidRPr="00A65CA7" w:rsidR="00E875C1">
        <w:t xml:space="preserve">Mr. </w:t>
      </w:r>
      <w:r w:rsidRPr="00A65CA7" w:rsidR="0003584C">
        <w:t>Haugh)</w:t>
      </w:r>
      <w:r w:rsidRPr="00A65CA7">
        <w:t>.</w:t>
      </w:r>
    </w:p>
  </w:footnote>
  <w:footnote w:id="10">
    <w:p w:rsidR="007017BE" w:rsidRPr="00A65CA7" w:rsidP="00A65CA7" w14:paraId="00D97483" w14:textId="77777777">
      <w:pPr>
        <w:pStyle w:val="FootnoteText"/>
        <w:spacing w:after="120"/>
      </w:pPr>
      <w:r w:rsidRPr="00A65CA7">
        <w:rPr>
          <w:rStyle w:val="FootnoteReference"/>
        </w:rPr>
        <w:footnoteRef/>
      </w:r>
      <w:r w:rsidRPr="00A65CA7">
        <w:t xml:space="preserve"> </w:t>
      </w:r>
      <w:r w:rsidRPr="00A65CA7">
        <w:rPr>
          <w:i/>
          <w:iCs/>
        </w:rPr>
        <w:t>In re Application of [FirstEnergy] for Authority to Provide for a Standard Service Offer Pursuant to R.C. 4928.143 in the Form of an Elec. Sec. Plan</w:t>
      </w:r>
      <w:r w:rsidRPr="00A65CA7">
        <w:t>, Case No. 14-1297-EL-SSO, Opinion &amp; Order at 74 (Mar. 31, 2016).</w:t>
      </w:r>
    </w:p>
  </w:footnote>
  <w:footnote w:id="11">
    <w:p w:rsidR="001E6F31" w:rsidRPr="00A65CA7" w:rsidP="00A65CA7" w14:paraId="31576F40" w14:textId="77777777">
      <w:pPr>
        <w:pStyle w:val="FootnoteText"/>
        <w:spacing w:after="120"/>
      </w:pPr>
      <w:r w:rsidRPr="00A65CA7">
        <w:rPr>
          <w:rStyle w:val="FootnoteReference"/>
        </w:rPr>
        <w:footnoteRef/>
      </w:r>
      <w:r w:rsidRPr="00A65CA7">
        <w:t xml:space="preserve"> </w:t>
      </w:r>
      <w:r w:rsidRPr="00A65CA7" w:rsidR="00741584">
        <w:rPr>
          <w:i/>
          <w:iCs/>
        </w:rPr>
        <w:t>In re Application of [FirstEnergy] for Authority to Provide for a Standard Service Offer Pursuant to R.C. 4928.143 in the Form of an Elec. Sec. Plan</w:t>
      </w:r>
      <w:r w:rsidRPr="00A65CA7" w:rsidR="00741584">
        <w:t xml:space="preserve">, Case No. 14-1297-EL-SSO, Fifth Entry on Rehearing ¶ 310 (Oct. 12, 2016). </w:t>
      </w:r>
    </w:p>
  </w:footnote>
  <w:footnote w:id="12">
    <w:p w:rsidR="007017BE" w:rsidRPr="00A65CA7" w:rsidP="00A65CA7" w14:paraId="0253C3CB" w14:textId="7DE43DA1">
      <w:pPr>
        <w:pStyle w:val="FootnoteText"/>
        <w:spacing w:after="120"/>
      </w:pPr>
      <w:r w:rsidRPr="00A65CA7">
        <w:rPr>
          <w:rStyle w:val="FootnoteReference"/>
        </w:rPr>
        <w:footnoteRef/>
      </w:r>
      <w:r w:rsidRPr="00A65CA7">
        <w:t xml:space="preserve"> OCC Ex. 1 </w:t>
      </w:r>
      <w:r w:rsidRPr="00A65CA7" w:rsidR="00741584">
        <w:t xml:space="preserve">(Direct Testimony of Michael P. Haugh) </w:t>
      </w:r>
      <w:r w:rsidRPr="00A65CA7">
        <w:t>at 3-6; OCC Ex. 2.</w:t>
      </w:r>
      <w:r w:rsidRPr="00A65CA7" w:rsidR="00741584">
        <w:t xml:space="preserve"> (Haugh Supplemental) </w:t>
      </w:r>
      <w:r w:rsidRPr="00A65CA7">
        <w:t>at 6, 9-10; Tr. at 239</w:t>
      </w:r>
      <w:r w:rsidRPr="00A65CA7" w:rsidR="0003584C">
        <w:t xml:space="preserve">-240 (cross examination of </w:t>
      </w:r>
      <w:r w:rsidRPr="00A65CA7" w:rsidR="00E875C1">
        <w:t>Mr.</w:t>
      </w:r>
      <w:r w:rsidRPr="00A65CA7" w:rsidR="00503E6E">
        <w:t xml:space="preserve"> </w:t>
      </w:r>
      <w:r w:rsidRPr="00A65CA7" w:rsidR="0003584C">
        <w:t>Haugh)</w:t>
      </w:r>
      <w:r w:rsidRPr="00A65CA7">
        <w:t>.</w:t>
      </w:r>
    </w:p>
  </w:footnote>
  <w:footnote w:id="13">
    <w:p w:rsidR="00BE6E38" w:rsidRPr="00A65CA7" w:rsidP="00A65CA7" w14:paraId="628B040B" w14:textId="77777777">
      <w:pPr>
        <w:pStyle w:val="FootnoteText"/>
        <w:spacing w:after="120"/>
      </w:pPr>
      <w:r w:rsidRPr="00A65CA7">
        <w:rPr>
          <w:rStyle w:val="FootnoteReference"/>
        </w:rPr>
        <w:footnoteRef/>
      </w:r>
      <w:r w:rsidRPr="00A65CA7">
        <w:t xml:space="preserve"> Tr. at 263-264</w:t>
      </w:r>
      <w:r w:rsidRPr="00A65CA7" w:rsidR="0003584C">
        <w:t xml:space="preserve"> (redirect examination of </w:t>
      </w:r>
      <w:r w:rsidRPr="00A65CA7" w:rsidR="00E875C1">
        <w:t xml:space="preserve">Mr. </w:t>
      </w:r>
      <w:r w:rsidRPr="00A65CA7" w:rsidR="0003584C">
        <w:t>Haugh)</w:t>
      </w:r>
      <w:r w:rsidRPr="00A65CA7">
        <w:t>.</w:t>
      </w:r>
    </w:p>
  </w:footnote>
  <w:footnote w:id="14">
    <w:p w:rsidR="009F3765" w:rsidRPr="00A65CA7" w:rsidP="00A65CA7" w14:paraId="0A271286" w14:textId="77777777">
      <w:pPr>
        <w:pStyle w:val="FootnoteText"/>
        <w:spacing w:after="120"/>
      </w:pPr>
      <w:r w:rsidRPr="00A65CA7">
        <w:rPr>
          <w:rStyle w:val="FootnoteReference"/>
        </w:rPr>
        <w:footnoteRef/>
      </w:r>
      <w:r w:rsidRPr="00A65CA7">
        <w:t xml:space="preserve"> </w:t>
      </w:r>
      <w:r w:rsidRPr="00A65CA7">
        <w:rPr>
          <w:i/>
          <w:iCs/>
        </w:rPr>
        <w:t>In re Application of Ohio Edison Co., the Cleveland Elec. Illuminating Co., &amp; the Toledo Edison Co. for Approval of their Energy Efficiency &amp; Peak Demand Reduction Program Portfolio Plans</w:t>
      </w:r>
      <w:r w:rsidRPr="00A65CA7">
        <w:t>, Case No. 16-743-EL-POR, Opinion &amp; Order ¶ 61 (Nov. 21, 2017)</w:t>
      </w:r>
      <w:r w:rsidRPr="00A65CA7" w:rsidR="0008564F">
        <w:t>.</w:t>
      </w:r>
    </w:p>
  </w:footnote>
  <w:footnote w:id="15">
    <w:p w:rsidR="009F3765" w:rsidRPr="00A65CA7" w:rsidP="00A65CA7" w14:paraId="17FE5C6C" w14:textId="77777777">
      <w:pPr>
        <w:pStyle w:val="FootnoteText"/>
        <w:spacing w:after="120"/>
      </w:pPr>
      <w:r w:rsidRPr="00A65CA7">
        <w:rPr>
          <w:rStyle w:val="FootnoteReference"/>
        </w:rPr>
        <w:footnoteRef/>
      </w:r>
      <w:r w:rsidRPr="00A65CA7">
        <w:t xml:space="preserve"> Case No. 16-395-EL-SSO, Opinion &amp; Order ¶ 21 (Oct. 20, 2017) (emphasis in original).</w:t>
      </w:r>
    </w:p>
  </w:footnote>
  <w:footnote w:id="16">
    <w:p w:rsidR="009F3765" w:rsidRPr="00A65CA7" w:rsidP="00A65CA7" w14:paraId="142C687D" w14:textId="77777777">
      <w:pPr>
        <w:pStyle w:val="FootnoteText"/>
        <w:spacing w:after="120"/>
      </w:pPr>
      <w:r w:rsidRPr="00A65CA7">
        <w:rPr>
          <w:rStyle w:val="FootnoteReference"/>
        </w:rPr>
        <w:footnoteRef/>
      </w:r>
      <w:r w:rsidRPr="00A65CA7">
        <w:t xml:space="preserve"> Case No. 09-872-EL-FAC, Order on Global Settlement Stipulation ¶ 107 (Feb. 23, 2017).</w:t>
      </w:r>
    </w:p>
  </w:footnote>
  <w:footnote w:id="17">
    <w:p w:rsidR="009F3765" w:rsidRPr="00A65CA7" w:rsidP="00A65CA7" w14:paraId="06B1414E" w14:textId="77777777">
      <w:pPr>
        <w:pStyle w:val="FootnoteText"/>
        <w:spacing w:after="120"/>
      </w:pPr>
      <w:r w:rsidRPr="00A65CA7">
        <w:rPr>
          <w:rStyle w:val="FootnoteReference"/>
        </w:rPr>
        <w:footnoteRef/>
      </w:r>
      <w:r w:rsidRPr="00A65CA7">
        <w:t xml:space="preserve"> </w:t>
      </w:r>
      <w:r w:rsidRPr="00A65CA7">
        <w:rPr>
          <w:i/>
          <w:iCs/>
        </w:rPr>
        <w:t>See, e.g., In re Application of Duke Energy Ohio, Inc. for an Adjustment to Rider AMRP Rates to Recover Costs Incurred in 2017</w:t>
      </w:r>
      <w:r w:rsidRPr="00A65CA7">
        <w:t xml:space="preserve">, Case No. 17-2318-GA-RDR, Opinion &amp; Order (Apr. 25, 2018) (approving settlement signed by only the utility and the PUCO Staff); </w:t>
      </w:r>
      <w:r w:rsidRPr="00A65CA7">
        <w:rPr>
          <w:i/>
          <w:iCs/>
        </w:rPr>
        <w:t>In re Application of Suburban Natural Gas Co. for an Increase in Gas Distribution Rates</w:t>
      </w:r>
      <w:r w:rsidRPr="00A65CA7">
        <w:t>, Case No. 18-1205-GA-AIR, Opinion &amp; Order ¶¶ 87-91 (Sept. 26, 2019) (approving settlement signed by only the utility and the PUCO Staff and opposed by consumer representatives OCC and Ohio Partners for Affordable Energy).</w:t>
      </w:r>
    </w:p>
  </w:footnote>
  <w:footnote w:id="18">
    <w:p w:rsidR="00713665" w:rsidRPr="00A65CA7" w:rsidP="00A65CA7" w14:paraId="59230229" w14:textId="77777777">
      <w:pPr>
        <w:pStyle w:val="FootnoteText"/>
        <w:spacing w:after="120"/>
      </w:pPr>
      <w:r w:rsidRPr="00A65CA7">
        <w:rPr>
          <w:rStyle w:val="FootnoteReference"/>
        </w:rPr>
        <w:footnoteRef/>
      </w:r>
      <w:r w:rsidRPr="00A65CA7">
        <w:t xml:space="preserve"> Tr. at 156</w:t>
      </w:r>
      <w:r w:rsidRPr="00A65CA7" w:rsidR="0003584C">
        <w:t xml:space="preserve"> (cross examination of </w:t>
      </w:r>
      <w:r w:rsidRPr="00A65CA7" w:rsidR="00E875C1">
        <w:t xml:space="preserve">Mr. </w:t>
      </w:r>
      <w:r w:rsidRPr="00A65CA7" w:rsidR="0003584C">
        <w:t>Seryak)</w:t>
      </w:r>
      <w:r w:rsidRPr="00A65CA7" w:rsidR="00F06D06">
        <w:t>; Tr. at 215 (cross examination of Mr. Haugh).</w:t>
      </w:r>
    </w:p>
  </w:footnote>
  <w:footnote w:id="19">
    <w:p w:rsidR="00AD48B8" w:rsidRPr="00A65CA7" w:rsidP="00A65CA7" w14:paraId="2F16BAE8" w14:textId="77777777">
      <w:pPr>
        <w:pStyle w:val="FootnoteText"/>
        <w:spacing w:after="120"/>
      </w:pPr>
      <w:r w:rsidRPr="00A65CA7">
        <w:rPr>
          <w:rStyle w:val="FootnoteReference"/>
        </w:rPr>
        <w:footnoteRef/>
      </w:r>
      <w:r w:rsidRPr="00A65CA7">
        <w:t xml:space="preserve"> </w:t>
      </w:r>
      <w:r w:rsidRPr="00A65CA7">
        <w:rPr>
          <w:i/>
          <w:iCs/>
        </w:rPr>
        <w:t>In re Application of [FirstEnergy] for Authority to Provide for a Standard Service Offer Pursuant to R.C. 4928.143 in the Form of an Elec. Sec. Plan</w:t>
      </w:r>
      <w:r w:rsidRPr="00A65CA7">
        <w:t xml:space="preserve">, Case No. 14-1297-EL-SSO, Fifth Entry on Rehearing ¶ ¶ 309, 310 (Oct. 12, 2016). </w:t>
      </w:r>
    </w:p>
  </w:footnote>
  <w:footnote w:id="20">
    <w:p w:rsidR="00AD48B8" w:rsidRPr="00A65CA7" w:rsidP="00A65CA7" w14:paraId="160D3239" w14:textId="77777777">
      <w:pPr>
        <w:pStyle w:val="FootnoteText"/>
        <w:spacing w:after="120"/>
      </w:pPr>
      <w:r w:rsidRPr="00A65CA7">
        <w:rPr>
          <w:rStyle w:val="FootnoteReference"/>
        </w:rPr>
        <w:footnoteRef/>
      </w:r>
      <w:r w:rsidRPr="00A65CA7">
        <w:t xml:space="preserve"> </w:t>
      </w:r>
      <w:r w:rsidRPr="00A65CA7">
        <w:rPr>
          <w:i/>
          <w:iCs/>
        </w:rPr>
        <w:t>Id.</w:t>
      </w:r>
    </w:p>
  </w:footnote>
  <w:footnote w:id="21">
    <w:p w:rsidR="00AD48B8" w:rsidRPr="00A65CA7" w:rsidP="00A65CA7" w14:paraId="134C6351" w14:textId="77777777">
      <w:pPr>
        <w:pStyle w:val="FootnoteText"/>
        <w:spacing w:after="120"/>
      </w:pPr>
      <w:r w:rsidRPr="00A65CA7">
        <w:rPr>
          <w:rStyle w:val="FootnoteReference"/>
        </w:rPr>
        <w:footnoteRef/>
      </w:r>
      <w:r w:rsidRPr="00A65CA7">
        <w:t xml:space="preserve"> </w:t>
      </w:r>
      <w:r w:rsidRPr="00A65CA7">
        <w:rPr>
          <w:i/>
          <w:iCs/>
        </w:rPr>
        <w:t>Id.</w:t>
      </w:r>
    </w:p>
  </w:footnote>
  <w:footnote w:id="22">
    <w:p w:rsidR="003C14CD" w:rsidRPr="00A65CA7" w:rsidP="00A65CA7" w14:paraId="748ACD26" w14:textId="77777777">
      <w:pPr>
        <w:pStyle w:val="FootnoteText"/>
        <w:spacing w:after="120"/>
      </w:pPr>
      <w:r w:rsidRPr="00A65CA7">
        <w:rPr>
          <w:rStyle w:val="FootnoteReference"/>
        </w:rPr>
        <w:footnoteRef/>
      </w:r>
      <w:r w:rsidRPr="00A65CA7">
        <w:t xml:space="preserve"> </w:t>
      </w:r>
      <w:r w:rsidRPr="00A65CA7" w:rsidR="0072302E">
        <w:t xml:space="preserve">Campbell Supply Ex. 2 (Direct Testimony of Mr. Doug Monnin) at 4-5; </w:t>
      </w:r>
      <w:r w:rsidRPr="00A65CA7" w:rsidR="0072302E">
        <w:rPr>
          <w:i/>
          <w:iCs/>
        </w:rPr>
        <w:t>See</w:t>
      </w:r>
      <w:r w:rsidRPr="00A65CA7" w:rsidR="0072302E">
        <w:t xml:space="preserve"> also, </w:t>
      </w:r>
      <w:r w:rsidRPr="00A65CA7">
        <w:t xml:space="preserve">Tr. at </w:t>
      </w:r>
      <w:r w:rsidRPr="00A65CA7" w:rsidR="0003584C">
        <w:t>4</w:t>
      </w:r>
      <w:r w:rsidRPr="00A65CA7" w:rsidR="00A475D0">
        <w:t>1</w:t>
      </w:r>
      <w:r w:rsidRPr="00A65CA7" w:rsidR="0003584C">
        <w:t xml:space="preserve">-43, </w:t>
      </w:r>
      <w:r w:rsidRPr="00A65CA7">
        <w:t>7</w:t>
      </w:r>
      <w:r w:rsidRPr="00A65CA7" w:rsidR="0003584C">
        <w:t>6, 90-92 (cross examination of</w:t>
      </w:r>
      <w:r w:rsidRPr="00A65CA7" w:rsidR="0072302E">
        <w:t xml:space="preserve"> Mr.</w:t>
      </w:r>
      <w:r w:rsidRPr="00A65CA7" w:rsidR="000417DC">
        <w:t xml:space="preserve"> </w:t>
      </w:r>
      <w:r w:rsidRPr="00A65CA7" w:rsidR="0003584C">
        <w:t>Monnin</w:t>
      </w:r>
      <w:r w:rsidRPr="00A65CA7" w:rsidR="00F06D06">
        <w:t>)</w:t>
      </w:r>
      <w:r w:rsidRPr="00A65CA7" w:rsidR="0072302E">
        <w:t>.</w:t>
      </w:r>
    </w:p>
  </w:footnote>
  <w:footnote w:id="23">
    <w:p w:rsidR="007E0CA7" w:rsidRPr="00A65CA7" w:rsidP="00A65CA7" w14:paraId="0BED29E3" w14:textId="3011CDCA">
      <w:pPr>
        <w:pStyle w:val="FootnoteText"/>
        <w:spacing w:after="120"/>
      </w:pPr>
      <w:r w:rsidRPr="00A65CA7">
        <w:rPr>
          <w:rStyle w:val="FootnoteReference"/>
        </w:rPr>
        <w:footnoteRef/>
      </w:r>
      <w:r w:rsidRPr="00A65CA7">
        <w:t xml:space="preserve"> </w:t>
      </w:r>
      <w:r w:rsidRPr="00A65CA7" w:rsidR="0072302E">
        <w:t>Campbell Supply Ex. 2 (Direct Testimony of Mr. Doug Monnin) at 4-5 (“this overpayment of transmission costs has contributed to the on-site solar generation project not providing the expected benefits, and in fact, being cost unfavorable.”)</w:t>
      </w:r>
      <w:r w:rsidRPr="00A65CA7" w:rsidR="00CD119B">
        <w:t>.</w:t>
      </w:r>
    </w:p>
  </w:footnote>
  <w:footnote w:id="24">
    <w:p w:rsidR="00547105" w:rsidRPr="00A65CA7" w:rsidP="00A65CA7" w14:paraId="246C9F57" w14:textId="77777777">
      <w:pPr>
        <w:pStyle w:val="FootnoteText"/>
        <w:spacing w:after="120"/>
      </w:pPr>
      <w:r w:rsidRPr="00A65CA7">
        <w:rPr>
          <w:rStyle w:val="FootnoteReference"/>
        </w:rPr>
        <w:footnoteRef/>
      </w:r>
      <w:r w:rsidRPr="00A65CA7">
        <w:t xml:space="preserve"> Campbell Supply Ex. </w:t>
      </w:r>
      <w:r w:rsidRPr="00A65CA7" w:rsidR="00BC5B5A">
        <w:t>2</w:t>
      </w:r>
      <w:r w:rsidRPr="00A65CA7">
        <w:t xml:space="preserve"> </w:t>
      </w:r>
      <w:r w:rsidRPr="00A65CA7" w:rsidR="008165EF">
        <w:t xml:space="preserve">(Monnin) </w:t>
      </w:r>
      <w:r w:rsidRPr="00A65CA7">
        <w:t>at 5; Tr. at 42-43.</w:t>
      </w:r>
    </w:p>
  </w:footnote>
  <w:footnote w:id="25">
    <w:p w:rsidR="00437DFC" w:rsidRPr="00A65CA7" w:rsidP="00A65CA7" w14:paraId="76299715" w14:textId="3CEACBCE">
      <w:pPr>
        <w:pStyle w:val="FootnoteText"/>
        <w:spacing w:after="120"/>
      </w:pPr>
      <w:r w:rsidRPr="00A65CA7">
        <w:rPr>
          <w:rStyle w:val="FootnoteReference"/>
        </w:rPr>
        <w:footnoteRef/>
      </w:r>
      <w:r w:rsidRPr="00A65CA7">
        <w:t xml:space="preserve"> Campbell Supply Ex. 2 (Monnin) at 4-5; Campbell Supply Ex. 3A (Direct Testimony of Mr. John Seryak, Public Version) at 9-10; Campbell Supply Ex. 2 (Monnin) at 4-5; Tr. at 39-42 (cross examination of </w:t>
      </w:r>
      <w:r w:rsidRPr="00A65CA7" w:rsidR="002D1C13">
        <w:t xml:space="preserve">Mr. </w:t>
      </w:r>
      <w:r w:rsidRPr="00A65CA7">
        <w:t>Monnin).</w:t>
      </w:r>
    </w:p>
  </w:footnote>
  <w:footnote w:id="26">
    <w:p w:rsidR="00547105" w:rsidRPr="00A65CA7" w:rsidP="00A65CA7" w14:paraId="3495EF99" w14:textId="77777777">
      <w:pPr>
        <w:pStyle w:val="FootnoteText"/>
        <w:spacing w:after="120"/>
      </w:pPr>
      <w:r w:rsidRPr="00A65CA7">
        <w:rPr>
          <w:rStyle w:val="FootnoteReference"/>
        </w:rPr>
        <w:footnoteRef/>
      </w:r>
      <w:r w:rsidRPr="00A65CA7">
        <w:t xml:space="preserve"> Campbell Supply Ex. 2 at 4-5, 14; Tr. at 4</w:t>
      </w:r>
      <w:r w:rsidRPr="00A65CA7" w:rsidR="00A475D0">
        <w:t xml:space="preserve">1-43, 76, 85-92 (cross examination of </w:t>
      </w:r>
      <w:r w:rsidRPr="00A65CA7" w:rsidR="0072302E">
        <w:t xml:space="preserve">Mr. </w:t>
      </w:r>
      <w:r w:rsidRPr="00A65CA7" w:rsidR="00A475D0">
        <w:t>Monnin</w:t>
      </w:r>
      <w:r w:rsidRPr="00A65CA7" w:rsidR="008165EF">
        <w:t>) (</w:t>
      </w:r>
      <w:r w:rsidRPr="00A65CA7" w:rsidR="00F06D06">
        <w:t>“</w:t>
      </w:r>
      <w:r w:rsidRPr="00A65CA7" w:rsidR="008165EF">
        <w:t>And I looked at the economics that we did for that array that we put in the operation in 2012 and our assumptions were we were going to get a full cost offset on purchased electricity for every kilowatt-hour of solar we purchase</w:t>
      </w:r>
      <w:r w:rsidRPr="00A65CA7" w:rsidR="006C51F0">
        <w:t>d</w:t>
      </w:r>
      <w:r w:rsidRPr="00A65CA7" w:rsidR="008165EF">
        <w:t xml:space="preserve"> and that was not the case.”)(Tr. at 42).</w:t>
      </w:r>
      <w:r w:rsidRPr="00A65CA7" w:rsidR="00002FE7">
        <w:t xml:space="preserve"> </w:t>
      </w:r>
    </w:p>
  </w:footnote>
  <w:footnote w:id="27">
    <w:p w:rsidR="00FB7F7D" w:rsidRPr="00A65CA7" w:rsidP="00A65CA7" w14:paraId="77159ADE" w14:textId="77777777">
      <w:pPr>
        <w:pStyle w:val="FootnoteText"/>
        <w:spacing w:after="120"/>
      </w:pPr>
      <w:r w:rsidRPr="00A65CA7">
        <w:rPr>
          <w:rStyle w:val="FootnoteReference"/>
        </w:rPr>
        <w:footnoteRef/>
      </w:r>
      <w:r w:rsidRPr="00A65CA7">
        <w:t xml:space="preserve"> </w:t>
      </w:r>
      <w:r w:rsidRPr="00A65CA7" w:rsidR="00437DFC">
        <w:rPr>
          <w:i/>
          <w:iCs/>
        </w:rPr>
        <w:t>In re Application of [FirstEnergy] for Authority to Establish a Standard Service Offer Pursuant to R.C. 4928.143 in the Form of an Electric Security Plan</w:t>
      </w:r>
      <w:r w:rsidRPr="00A65CA7" w:rsidR="00437DFC">
        <w:t xml:space="preserve">, Case No. 10-388-EL-SSO (Aug. 25, 2010); </w:t>
      </w:r>
      <w:r w:rsidRPr="00A65CA7" w:rsidR="00437DFC">
        <w:rPr>
          <w:i/>
          <w:iCs/>
        </w:rPr>
        <w:t>see also</w:t>
      </w:r>
      <w:r w:rsidRPr="00A65CA7" w:rsidR="00437DFC">
        <w:t xml:space="preserve"> Tr.</w:t>
      </w:r>
      <w:r w:rsidRPr="00A65CA7" w:rsidR="006C51F0">
        <w:t xml:space="preserve"> </w:t>
      </w:r>
      <w:r w:rsidRPr="00A65CA7" w:rsidR="00437DFC">
        <w:t>at 86.</w:t>
      </w:r>
    </w:p>
  </w:footnote>
  <w:footnote w:id="28">
    <w:p w:rsidR="00437DFC" w:rsidRPr="00A65CA7" w:rsidP="00A65CA7" w14:paraId="12E33222" w14:textId="77777777">
      <w:pPr>
        <w:pStyle w:val="FootnoteText"/>
        <w:spacing w:after="120"/>
      </w:pPr>
      <w:r w:rsidRPr="00A65CA7">
        <w:rPr>
          <w:rStyle w:val="FootnoteReference"/>
        </w:rPr>
        <w:footnoteRef/>
      </w:r>
      <w:r w:rsidRPr="00A65CA7">
        <w:t xml:space="preserve"> </w:t>
      </w:r>
      <w:r w:rsidRPr="00A65CA7" w:rsidR="00BC2071">
        <w:rPr>
          <w:i/>
          <w:iCs/>
        </w:rPr>
        <w:t>See</w:t>
      </w:r>
      <w:r w:rsidRPr="00A65CA7" w:rsidR="00BC2071">
        <w:t>, Tr. at 42 (“[O]ur assumptions were we were going to get a full cost offset on purchased electricity for every kilowatt-hour of solar we purchase</w:t>
      </w:r>
      <w:r w:rsidRPr="00A65CA7" w:rsidR="006C51F0">
        <w:t>d</w:t>
      </w:r>
      <w:r w:rsidRPr="00A65CA7" w:rsidR="00BC2071">
        <w:t xml:space="preserve"> and that was not the case. It’s not the way we—did not meet our expectations; and, thus, we’ve been operating that field at a –at a cost versus what we thought would be a savings. So approximately 25 percent of our purchase rate is transmission, but we are not getting that credit through every kilowatt-hour solar that we purchase.”)(OCC cross examination of Mr. Monnin).; </w:t>
      </w:r>
      <w:r w:rsidRPr="00A65CA7" w:rsidR="00BC2071">
        <w:rPr>
          <w:i/>
          <w:iCs/>
        </w:rPr>
        <w:t>see also</w:t>
      </w:r>
      <w:r w:rsidRPr="00A65CA7" w:rsidR="00BC2071">
        <w:t xml:space="preserve"> Tr. at 76 (“[W]e’re paying more for solar versus what we are getting credit for the offsetting purchase costs.”)</w:t>
      </w:r>
      <w:r w:rsidRPr="00A65CA7" w:rsidR="001665F3">
        <w:t xml:space="preserve">; </w:t>
      </w:r>
      <w:r w:rsidRPr="00A65CA7" w:rsidR="001665F3">
        <w:rPr>
          <w:i/>
          <w:iCs/>
        </w:rPr>
        <w:t>see also</w:t>
      </w:r>
      <w:r w:rsidRPr="00A65CA7" w:rsidR="001665F3">
        <w:t xml:space="preserve"> Tr. at 91 (“the biggest miss we had in the economic models was assuming we will get a full transmission credit.”). </w:t>
      </w:r>
    </w:p>
  </w:footnote>
  <w:footnote w:id="29">
    <w:p w:rsidR="00547105" w:rsidRPr="00A65CA7" w:rsidP="00A65CA7" w14:paraId="31070304" w14:textId="77777777">
      <w:pPr>
        <w:pStyle w:val="FootnoteText"/>
        <w:spacing w:after="120"/>
      </w:pPr>
      <w:r w:rsidRPr="00A65CA7">
        <w:rPr>
          <w:rStyle w:val="FootnoteReference"/>
        </w:rPr>
        <w:footnoteRef/>
      </w:r>
      <w:r w:rsidRPr="00A65CA7">
        <w:t xml:space="preserve"> </w:t>
      </w:r>
      <w:r w:rsidRPr="00A65CA7">
        <w:rPr>
          <w:i/>
          <w:iCs/>
        </w:rPr>
        <w:t>In re Application of [FirstEnergy] for Authority to Establish a Standard Service Offer Pursuant to R.C. 4928.143 in the Form of an Electric Security Plan</w:t>
      </w:r>
      <w:r w:rsidRPr="00A65CA7">
        <w:t xml:space="preserve">, Case No. 10-388-EL-SSO (Aug. 25, 2010). </w:t>
      </w:r>
    </w:p>
  </w:footnote>
  <w:footnote w:id="30">
    <w:p w:rsidR="00A475D0" w:rsidRPr="00A65CA7" w:rsidP="00A65CA7" w14:paraId="750B80EC" w14:textId="77777777">
      <w:pPr>
        <w:pStyle w:val="FootnoteText"/>
        <w:spacing w:after="120"/>
      </w:pPr>
      <w:r w:rsidRPr="00A65CA7">
        <w:rPr>
          <w:rStyle w:val="FootnoteReference"/>
        </w:rPr>
        <w:footnoteRef/>
      </w:r>
      <w:r w:rsidRPr="00A65CA7">
        <w:t xml:space="preserve"> Tr. at 86 (cross examination of </w:t>
      </w:r>
      <w:r w:rsidRPr="00A65CA7" w:rsidR="001665F3">
        <w:t xml:space="preserve">Mr. </w:t>
      </w:r>
      <w:r w:rsidRPr="00A65CA7">
        <w:t>Monnin).</w:t>
      </w:r>
    </w:p>
  </w:footnote>
  <w:footnote w:id="31">
    <w:p w:rsidR="003B068A" w:rsidRPr="00A65CA7" w:rsidP="00A65CA7" w14:paraId="555DE115" w14:textId="77777777">
      <w:pPr>
        <w:pStyle w:val="FootnoteText"/>
        <w:spacing w:after="120"/>
      </w:pPr>
      <w:r w:rsidRPr="00A65CA7">
        <w:rPr>
          <w:rStyle w:val="FootnoteReference"/>
        </w:rPr>
        <w:footnoteRef/>
      </w:r>
      <w:r w:rsidRPr="00A65CA7">
        <w:t xml:space="preserve"> OCC Ex. 2</w:t>
      </w:r>
      <w:r w:rsidRPr="00A65CA7" w:rsidR="001665F3">
        <w:t xml:space="preserve"> (Haugh</w:t>
      </w:r>
      <w:r w:rsidRPr="00A65CA7">
        <w:t xml:space="preserve"> </w:t>
      </w:r>
      <w:r w:rsidRPr="00A65CA7" w:rsidR="001665F3">
        <w:t xml:space="preserve">Supplemental Testimony) </w:t>
      </w:r>
      <w:r w:rsidRPr="00A65CA7">
        <w:t>at 7.</w:t>
      </w:r>
    </w:p>
  </w:footnote>
  <w:footnote w:id="32">
    <w:p w:rsidR="003B068A" w:rsidRPr="00A65CA7" w:rsidP="00A65CA7" w14:paraId="0D90CC82" w14:textId="77777777">
      <w:pPr>
        <w:pStyle w:val="FootnoteText"/>
        <w:spacing w:after="120"/>
      </w:pPr>
      <w:r w:rsidRPr="00A65CA7">
        <w:rPr>
          <w:rStyle w:val="FootnoteReference"/>
        </w:rPr>
        <w:footnoteRef/>
      </w:r>
      <w:r w:rsidRPr="00A65CA7">
        <w:t xml:space="preserve"> Tr. at 141-143</w:t>
      </w:r>
      <w:r w:rsidRPr="00A65CA7" w:rsidR="006C51F0">
        <w:t>; 147</w:t>
      </w:r>
      <w:r w:rsidRPr="00A65CA7" w:rsidR="00A475D0">
        <w:t xml:space="preserve"> (cross examination of </w:t>
      </w:r>
      <w:r w:rsidRPr="00A65CA7" w:rsidR="001665F3">
        <w:t xml:space="preserve">Mr. </w:t>
      </w:r>
      <w:r w:rsidRPr="00A65CA7" w:rsidR="00A475D0">
        <w:t>Seryak)</w:t>
      </w:r>
      <w:r w:rsidRPr="00A65CA7">
        <w:t>.</w:t>
      </w:r>
    </w:p>
  </w:footnote>
  <w:footnote w:id="33">
    <w:p w:rsidR="003B068A" w:rsidRPr="00A65CA7" w:rsidP="00A65CA7" w14:paraId="07023D98" w14:textId="0F2C1D78">
      <w:pPr>
        <w:pStyle w:val="FootnoteText"/>
        <w:spacing w:after="120"/>
      </w:pPr>
      <w:r w:rsidRPr="00A65CA7">
        <w:rPr>
          <w:rStyle w:val="FootnoteReference"/>
        </w:rPr>
        <w:footnoteRef/>
      </w:r>
      <w:r w:rsidRPr="00A65CA7">
        <w:t xml:space="preserve"> Tr. at 156-157</w:t>
      </w:r>
      <w:r w:rsidRPr="00A65CA7" w:rsidR="00DD70D2">
        <w:t xml:space="preserve"> (cross examination of </w:t>
      </w:r>
      <w:r w:rsidRPr="00A65CA7" w:rsidR="001A0D32">
        <w:t xml:space="preserve">Mr. </w:t>
      </w:r>
      <w:r w:rsidRPr="00A65CA7" w:rsidR="00DD70D2">
        <w:t>Seryak)</w:t>
      </w:r>
      <w:r w:rsidRPr="00A65CA7">
        <w:t>; 2</w:t>
      </w:r>
      <w:r w:rsidRPr="00A65CA7" w:rsidR="00DD70D2">
        <w:t>60</w:t>
      </w:r>
      <w:r w:rsidRPr="00A65CA7">
        <w:t>-262</w:t>
      </w:r>
      <w:r w:rsidRPr="00A65CA7" w:rsidR="00DD70D2">
        <w:t xml:space="preserve"> (cross examination of </w:t>
      </w:r>
      <w:r w:rsidRPr="00A65CA7" w:rsidR="001A0D32">
        <w:t xml:space="preserve">Mr. </w:t>
      </w:r>
      <w:r w:rsidRPr="00A65CA7" w:rsidR="00DD70D2">
        <w:t>Haugh)</w:t>
      </w:r>
      <w:r w:rsidRPr="00A65CA7">
        <w:t>.</w:t>
      </w:r>
    </w:p>
  </w:footnote>
  <w:footnote w:id="34">
    <w:p w:rsidR="003B068A" w:rsidRPr="00A65CA7" w:rsidP="00A65CA7" w14:paraId="7C01A3B1" w14:textId="77777777">
      <w:pPr>
        <w:pStyle w:val="FootnoteText"/>
        <w:spacing w:after="120"/>
      </w:pPr>
      <w:r w:rsidRPr="00A65CA7">
        <w:rPr>
          <w:rStyle w:val="FootnoteReference"/>
        </w:rPr>
        <w:footnoteRef/>
      </w:r>
      <w:r w:rsidRPr="00A65CA7">
        <w:t xml:space="preserve"> </w:t>
      </w:r>
      <w:r w:rsidRPr="00A65CA7">
        <w:rPr>
          <w:i/>
          <w:iCs/>
        </w:rPr>
        <w:t>In re Application of [FirstEnergy] for Authority to Provide for a Standard Service Offer Pursuant to R.C. 4928.143 in the Form of an Elec. Sec. Plan</w:t>
      </w:r>
      <w:r w:rsidRPr="00A65CA7">
        <w:t>, Case No. 14-1297-EL-SSO, Fifth Entry on Rehearing ¶ 310 (Oct. 12, 2016).</w:t>
      </w:r>
    </w:p>
  </w:footnote>
  <w:footnote w:id="35">
    <w:p w:rsidR="003B068A" w:rsidRPr="00A65CA7" w:rsidP="00A65CA7" w14:paraId="65F1B555" w14:textId="77777777">
      <w:pPr>
        <w:pStyle w:val="FootnoteText"/>
        <w:spacing w:after="120"/>
      </w:pPr>
      <w:r w:rsidRPr="00A65CA7">
        <w:rPr>
          <w:rStyle w:val="FootnoteReference"/>
        </w:rPr>
        <w:footnoteRef/>
      </w:r>
      <w:r w:rsidRPr="00A65CA7">
        <w:t xml:space="preserve"> OCC Ex. 2 at 5. </w:t>
      </w:r>
    </w:p>
  </w:footnote>
  <w:footnote w:id="36">
    <w:p w:rsidR="005538CC" w:rsidRPr="00A65CA7" w:rsidP="00A65CA7" w14:paraId="04C67DC9" w14:textId="65F85A96">
      <w:pPr>
        <w:pStyle w:val="FootnoteText"/>
        <w:spacing w:after="120"/>
      </w:pPr>
      <w:r w:rsidRPr="00A65CA7">
        <w:rPr>
          <w:rStyle w:val="FootnoteReference"/>
        </w:rPr>
        <w:footnoteRef/>
      </w:r>
      <w:r w:rsidRPr="00A65CA7">
        <w:t xml:space="preserve"> Tr. at 60</w:t>
      </w:r>
      <w:r w:rsidRPr="00A65CA7" w:rsidR="00DD70D2">
        <w:t xml:space="preserve"> (cross examination of </w:t>
      </w:r>
      <w:r w:rsidRPr="00A65CA7" w:rsidR="00BF371A">
        <w:t xml:space="preserve">Mr. </w:t>
      </w:r>
      <w:r w:rsidRPr="00A65CA7" w:rsidR="006C0CC8">
        <w:t>Monnin) (</w:t>
      </w:r>
      <w:r w:rsidRPr="00A65CA7" w:rsidR="001665F3">
        <w:t>“we are not committing to a specific level of capital investments.”)</w:t>
      </w:r>
      <w:r w:rsidRPr="00A65CA7" w:rsidR="00503E6E">
        <w:t>.</w:t>
      </w:r>
    </w:p>
  </w:footnote>
  <w:footnote w:id="37">
    <w:p w:rsidR="005538CC" w:rsidRPr="00A65CA7" w:rsidP="00A65CA7" w14:paraId="4DD43DD1" w14:textId="77777777">
      <w:pPr>
        <w:pStyle w:val="FootnoteText"/>
        <w:spacing w:after="120"/>
      </w:pPr>
      <w:r w:rsidRPr="00A65CA7">
        <w:rPr>
          <w:rStyle w:val="FootnoteReference"/>
        </w:rPr>
        <w:footnoteRef/>
      </w:r>
      <w:r w:rsidRPr="00A65CA7">
        <w:t xml:space="preserve"> Tr. at </w:t>
      </w:r>
      <w:r w:rsidRPr="00A65CA7" w:rsidR="00F22A89">
        <w:t>56-</w:t>
      </w:r>
      <w:r w:rsidRPr="00A65CA7">
        <w:t>57</w:t>
      </w:r>
      <w:r w:rsidRPr="00A65CA7" w:rsidR="00DD70D2">
        <w:t xml:space="preserve">(cross examination of </w:t>
      </w:r>
      <w:r w:rsidRPr="00A65CA7" w:rsidR="00BF371A">
        <w:t xml:space="preserve">Mr. </w:t>
      </w:r>
      <w:r w:rsidRPr="00A65CA7" w:rsidR="006C0CC8">
        <w:t>Monnin) (</w:t>
      </w:r>
      <w:r w:rsidRPr="00A65CA7" w:rsidR="001665F3">
        <w:t>“We’re not guaranteeing a specific employee level”).</w:t>
      </w:r>
    </w:p>
  </w:footnote>
  <w:footnote w:id="38">
    <w:p w:rsidR="00B83C56" w:rsidRPr="00A65CA7" w:rsidP="00A65CA7" w14:paraId="625464CC" w14:textId="77777777">
      <w:pPr>
        <w:pStyle w:val="FootnoteText"/>
        <w:spacing w:after="120"/>
      </w:pPr>
      <w:r w:rsidRPr="00A65CA7">
        <w:rPr>
          <w:rStyle w:val="FootnoteReference"/>
        </w:rPr>
        <w:footnoteRef/>
      </w:r>
      <w:r w:rsidRPr="00A65CA7">
        <w:t xml:space="preserve"> Tr. at 55-59</w:t>
      </w:r>
      <w:r w:rsidRPr="00A65CA7" w:rsidR="00BF371A">
        <w:t>; 132</w:t>
      </w:r>
      <w:r w:rsidRPr="00A65CA7" w:rsidR="00DD70D2">
        <w:t xml:space="preserve"> (cross examination of </w:t>
      </w:r>
      <w:r w:rsidRPr="00A65CA7" w:rsidR="00BF371A">
        <w:t xml:space="preserve">Mr. </w:t>
      </w:r>
      <w:r w:rsidRPr="00A65CA7" w:rsidR="00DD70D2">
        <w:t>Monnin)</w:t>
      </w:r>
      <w:r w:rsidRPr="00A65CA7">
        <w:t>.</w:t>
      </w:r>
    </w:p>
  </w:footnote>
  <w:footnote w:id="39">
    <w:p w:rsidR="004F519A" w:rsidRPr="00A65CA7" w:rsidP="00A65CA7" w14:paraId="5AABD933" w14:textId="77777777">
      <w:pPr>
        <w:pStyle w:val="FootnoteText"/>
        <w:spacing w:after="120"/>
      </w:pPr>
      <w:r w:rsidRPr="00A65CA7">
        <w:rPr>
          <w:rStyle w:val="FootnoteReference"/>
        </w:rPr>
        <w:footnoteRef/>
      </w:r>
      <w:r w:rsidRPr="00A65CA7">
        <w:t xml:space="preserve"> </w:t>
      </w:r>
      <w:r w:rsidRPr="00A65CA7">
        <w:rPr>
          <w:i/>
          <w:iCs/>
        </w:rPr>
        <w:t>In re Ohio Power PPA Rider</w:t>
      </w:r>
      <w:r w:rsidRPr="00A65CA7">
        <w:t xml:space="preserve">, Case No. 14-1693-EL-RDR (Opinion and Order at 89) (Mar. 31, 2016) (the “OVEC Order”) (also stating, “AEP Ohio will bear the burden of proof in demonstrating that bidding behavior is prudent and in the best interest of retail ratepayers.”). </w:t>
      </w:r>
      <w:r w:rsidRPr="00A65CA7" w:rsidR="00B90582">
        <w:rPr>
          <w:i/>
          <w:iCs/>
        </w:rPr>
        <w:t>See also</w:t>
      </w:r>
      <w:r w:rsidRPr="00A65CA7" w:rsidR="00B90582">
        <w:t xml:space="preserve">, </w:t>
      </w:r>
      <w:r w:rsidRPr="00A65CA7" w:rsidR="00B90582">
        <w:rPr>
          <w:i/>
          <w:iCs/>
        </w:rPr>
        <w:t xml:space="preserve">In the Matter of the Investigation of Perry Nuclear Power Station, </w:t>
      </w:r>
      <w:r w:rsidRPr="00A65CA7" w:rsidR="00B90582">
        <w:t>1988 Ohio PUC Lexis 1269.</w:t>
      </w:r>
    </w:p>
  </w:footnote>
  <w:footnote w:id="40">
    <w:p w:rsidR="001401EE" w:rsidRPr="00A65CA7" w:rsidP="00A65CA7" w14:paraId="0DB8535F" w14:textId="77777777">
      <w:pPr>
        <w:pStyle w:val="FootnoteText"/>
        <w:spacing w:after="120"/>
      </w:pPr>
      <w:r w:rsidRPr="00A65CA7">
        <w:rPr>
          <w:rStyle w:val="FootnoteReference"/>
        </w:rPr>
        <w:footnoteRef/>
      </w:r>
      <w:r w:rsidRPr="00A65CA7">
        <w:t xml:space="preserve"> </w:t>
      </w:r>
      <w:r w:rsidRPr="00A65CA7" w:rsidR="008F64B9">
        <w:rPr>
          <w:i/>
          <w:iCs/>
        </w:rPr>
        <w:t>In re Application of [FirstEnergy] for Authority to Provide for a Standard Service Offer Pursuant to R.C. 4928.143 in the Form of an Elec. Sec. Plan</w:t>
      </w:r>
      <w:r w:rsidRPr="00A65CA7" w:rsidR="008F64B9">
        <w:t>, Case No. 14-1297-EL-SSO, Fifth Entry on Rehearing ¶ 310 (Oct. 12, 2016).</w:t>
      </w:r>
      <w:r w:rsidRPr="00A65CA7" w:rsidR="00B32048">
        <w:t xml:space="preserve"> </w:t>
      </w:r>
    </w:p>
  </w:footnote>
  <w:footnote w:id="41">
    <w:p w:rsidR="007E2F6C" w:rsidRPr="00A65CA7" w:rsidP="00A65CA7" w14:paraId="73630ED1" w14:textId="77777777">
      <w:pPr>
        <w:pStyle w:val="FootnoteText"/>
        <w:spacing w:after="120"/>
      </w:pPr>
      <w:r w:rsidRPr="00A65CA7">
        <w:rPr>
          <w:rStyle w:val="FootnoteReference"/>
        </w:rPr>
        <w:footnoteRef/>
      </w:r>
      <w:r w:rsidRPr="00A65CA7">
        <w:t xml:space="preserve"> </w:t>
      </w:r>
      <w:r w:rsidRPr="00A65CA7">
        <w:rPr>
          <w:i/>
          <w:iCs/>
        </w:rPr>
        <w:t>In re Application of [FirstEnergy] for Authority to Provide for a Standard Service Offer Pursuant to R.C. 4928.143 in the Form of an Elec. Sec. Plan</w:t>
      </w:r>
      <w:r w:rsidRPr="00A65CA7">
        <w:t>, Case No. 14-1297-EL-SSO, Opinion &amp; Order at 73 (Mar. 31, 2016).</w:t>
      </w:r>
    </w:p>
  </w:footnote>
  <w:footnote w:id="42">
    <w:p w:rsidR="007E2F6C" w:rsidRPr="00A65CA7" w:rsidP="00A65CA7" w14:paraId="3A3C67AE" w14:textId="77777777">
      <w:pPr>
        <w:pStyle w:val="FootnoteText"/>
        <w:spacing w:after="120"/>
      </w:pPr>
      <w:r w:rsidRPr="00A65CA7">
        <w:rPr>
          <w:rStyle w:val="FootnoteReference"/>
        </w:rPr>
        <w:footnoteRef/>
      </w:r>
      <w:r w:rsidRPr="00A65CA7">
        <w:t xml:space="preserve"> </w:t>
      </w:r>
      <w:r w:rsidRPr="00A65CA7">
        <w:rPr>
          <w:i/>
          <w:iCs/>
        </w:rPr>
        <w:t>Id.</w:t>
      </w:r>
      <w:r w:rsidRPr="00A65CA7">
        <w:t xml:space="preserve"> at 94 (emphasis added).</w:t>
      </w:r>
    </w:p>
  </w:footnote>
  <w:footnote w:id="43">
    <w:p w:rsidR="007E2F6C" w:rsidRPr="00A65CA7" w:rsidP="00A65CA7" w14:paraId="3A624C83" w14:textId="77777777">
      <w:pPr>
        <w:pStyle w:val="FootnoteText"/>
        <w:spacing w:after="120"/>
      </w:pPr>
      <w:r w:rsidRPr="00A65CA7">
        <w:rPr>
          <w:rStyle w:val="FootnoteReference"/>
        </w:rPr>
        <w:footnoteRef/>
      </w:r>
      <w:r w:rsidRPr="00A65CA7">
        <w:t xml:space="preserve"> </w:t>
      </w:r>
      <w:r w:rsidRPr="00A65CA7">
        <w:rPr>
          <w:i/>
          <w:iCs/>
        </w:rPr>
        <w:t>In re Application of [FirstEnergy] for Authority to Provide for a Standard Service Offer Pursuant to R.C. 4928.143 in the Form of an Elec. Sec. Plan</w:t>
      </w:r>
      <w:r w:rsidRPr="00A65CA7">
        <w:t xml:space="preserve">, Case No. 14-1297-EL-SSO, </w:t>
      </w:r>
      <w:bookmarkStart w:id="15" w:name="_Hlk94754268"/>
      <w:r w:rsidRPr="00A65CA7">
        <w:t>Fifth Entry on Rehearing ¶ 310 (</w:t>
      </w:r>
      <w:r w:rsidRPr="00A65CA7" w:rsidR="00EC664D">
        <w:t>Oct. 12</w:t>
      </w:r>
      <w:r w:rsidRPr="00A65CA7">
        <w:t>, 2016).</w:t>
      </w:r>
    </w:p>
    <w:bookmarkEnd w:id="15"/>
  </w:footnote>
  <w:footnote w:id="44">
    <w:p w:rsidR="007E2F6C" w:rsidRPr="00A65CA7" w:rsidP="00A65CA7" w14:paraId="681E104F" w14:textId="77777777">
      <w:pPr>
        <w:pStyle w:val="FootnoteText"/>
        <w:spacing w:after="120"/>
      </w:pPr>
      <w:r w:rsidRPr="00A65CA7">
        <w:rPr>
          <w:rStyle w:val="FootnoteReference"/>
        </w:rPr>
        <w:footnoteRef/>
      </w:r>
      <w:r w:rsidRPr="00A65CA7">
        <w:t xml:space="preserve"> </w:t>
      </w:r>
      <w:r w:rsidRPr="00A65CA7">
        <w:rPr>
          <w:i/>
          <w:iCs/>
        </w:rPr>
        <w:t>Id.</w:t>
      </w:r>
      <w:r w:rsidRPr="00A65CA7">
        <w:t xml:space="preserve"> (emphasis added).</w:t>
      </w:r>
    </w:p>
  </w:footnote>
  <w:footnote w:id="45">
    <w:p w:rsidR="007E2F6C" w:rsidRPr="00A65CA7" w:rsidP="00A65CA7" w14:paraId="646494EB" w14:textId="77777777">
      <w:pPr>
        <w:pStyle w:val="FootnoteText"/>
        <w:spacing w:after="120"/>
      </w:pPr>
      <w:r w:rsidRPr="00A65CA7">
        <w:rPr>
          <w:rStyle w:val="FootnoteReference"/>
        </w:rPr>
        <w:footnoteRef/>
      </w:r>
      <w:r w:rsidRPr="00A65CA7">
        <w:t xml:space="preserve"> </w:t>
      </w:r>
      <w:r w:rsidRPr="00A65CA7">
        <w:rPr>
          <w:i/>
          <w:iCs/>
        </w:rPr>
        <w:t>Id.</w:t>
      </w:r>
    </w:p>
  </w:footnote>
  <w:footnote w:id="46">
    <w:p w:rsidR="00C7280F" w:rsidRPr="00A65CA7" w:rsidP="00A65CA7" w14:paraId="01B1DCA2" w14:textId="77777777">
      <w:pPr>
        <w:pStyle w:val="FootnoteText"/>
        <w:spacing w:after="120"/>
      </w:pPr>
      <w:r w:rsidRPr="00A65CA7">
        <w:rPr>
          <w:rStyle w:val="FootnoteReference"/>
        </w:rPr>
        <w:footnoteRef/>
      </w:r>
      <w:r w:rsidRPr="00A65CA7">
        <w:t xml:space="preserve"> </w:t>
      </w:r>
      <w:r w:rsidRPr="00A65CA7">
        <w:rPr>
          <w:i/>
          <w:iCs/>
        </w:rPr>
        <w:t>Id.</w:t>
      </w:r>
      <w:r w:rsidRPr="00A65CA7">
        <w:t xml:space="preserve"> (“Rider NMB pilot program is a pilot program which bears further study to determine if the actual results of the pilot program, rather than the projected results, are in the public interest.”).</w:t>
      </w:r>
    </w:p>
  </w:footnote>
  <w:footnote w:id="47">
    <w:p w:rsidR="007E2F6C" w:rsidRPr="00A65CA7" w:rsidP="00A65CA7" w14:paraId="1F69DD7D" w14:textId="77777777">
      <w:pPr>
        <w:pStyle w:val="FootnoteText"/>
        <w:spacing w:after="120"/>
      </w:pPr>
      <w:r w:rsidRPr="00A65CA7">
        <w:rPr>
          <w:rStyle w:val="FootnoteReference"/>
        </w:rPr>
        <w:footnoteRef/>
      </w:r>
      <w:r w:rsidRPr="00A65CA7">
        <w:t xml:space="preserve"> </w:t>
      </w:r>
      <w:r w:rsidRPr="00A65CA7">
        <w:rPr>
          <w:i/>
          <w:iCs/>
        </w:rPr>
        <w:t>Id.</w:t>
      </w:r>
    </w:p>
  </w:footnote>
  <w:footnote w:id="48">
    <w:p w:rsidR="00025908" w:rsidRPr="00A65CA7" w:rsidP="00A65CA7" w14:paraId="3B62C573" w14:textId="77777777">
      <w:pPr>
        <w:pStyle w:val="FootnoteText"/>
        <w:spacing w:after="120"/>
      </w:pPr>
      <w:r w:rsidRPr="00A65CA7">
        <w:rPr>
          <w:rStyle w:val="FootnoteReference"/>
        </w:rPr>
        <w:footnoteRef/>
      </w:r>
      <w:r w:rsidRPr="00A65CA7">
        <w:t xml:space="preserve"> </w:t>
      </w:r>
      <w:r w:rsidRPr="00A65CA7">
        <w:rPr>
          <w:i/>
          <w:iCs/>
        </w:rPr>
        <w:t>See</w:t>
      </w:r>
      <w:r w:rsidRPr="00A65CA7">
        <w:t xml:space="preserve"> Case No. 16-2043-EL-RDR, Staff Report (Feb. 7, 2017); Case No. 17-2378-EL-RDR, Staff Report (Feb. 9, 2018); Case No. 18-1818-EL-RDR, Staff Report (Feb. 21, 2019); Case No. 19-2120-EL-RDR, Staff Report (Feb. 20, 2020); Case No. 20-1768-EL-RDR, Staff Report (Feb. 16, 2021); Case No. 21-695-L-RDR, Staff Report (Aug. 11, 2021).</w:t>
      </w:r>
      <w:r w:rsidRPr="00A65CA7" w:rsidR="00C241C8">
        <w:t xml:space="preserve"> </w:t>
      </w:r>
      <w:r w:rsidRPr="00A65CA7" w:rsidR="00C241C8">
        <w:rPr>
          <w:i/>
          <w:iCs/>
        </w:rPr>
        <w:t>See</w:t>
      </w:r>
      <w:r w:rsidRPr="00A65CA7" w:rsidR="00C241C8">
        <w:t>, Tr. at 257-258.</w:t>
      </w:r>
    </w:p>
  </w:footnote>
  <w:footnote w:id="49">
    <w:p w:rsidR="009B515F" w:rsidRPr="00A65CA7" w:rsidP="00A65CA7" w14:paraId="573DB0BB" w14:textId="77777777">
      <w:pPr>
        <w:pStyle w:val="FootnoteText"/>
        <w:spacing w:after="120"/>
      </w:pPr>
      <w:r w:rsidRPr="00A65CA7">
        <w:rPr>
          <w:rStyle w:val="FootnoteReference"/>
        </w:rPr>
        <w:footnoteRef/>
      </w:r>
      <w:r w:rsidRPr="00A65CA7" w:rsidR="00002FE7">
        <w:rPr>
          <w:i/>
          <w:iCs/>
        </w:rPr>
        <w:t xml:space="preserve"> </w:t>
      </w:r>
      <w:r w:rsidRPr="00A65CA7">
        <w:rPr>
          <w:i/>
          <w:iCs/>
        </w:rPr>
        <w:t>In the Matter of the Review of the Non-Market Based Services Rider contained in the Tariffs of Ohio Edison, The Cleveland Electric Illuminating Company and The Toledo Edison Company</w:t>
      </w:r>
      <w:r w:rsidRPr="00A65CA7">
        <w:t xml:space="preserve">, Case No. 20-1768-EL-RDR, Staff Review and Recommendations (Feb. 16, 2021). </w:t>
      </w:r>
    </w:p>
  </w:footnote>
  <w:footnote w:id="50">
    <w:p w:rsidR="00DC2564" w:rsidRPr="00A65CA7" w:rsidP="00A65CA7" w14:paraId="74B1DB9C" w14:textId="77777777">
      <w:pPr>
        <w:pStyle w:val="FootnoteText"/>
        <w:spacing w:after="120"/>
      </w:pPr>
      <w:r w:rsidRPr="00A65CA7">
        <w:rPr>
          <w:rStyle w:val="FootnoteReference"/>
        </w:rPr>
        <w:footnoteRef/>
      </w:r>
      <w:r w:rsidRPr="00A65CA7">
        <w:t xml:space="preserve"> </w:t>
      </w:r>
      <w:r w:rsidRPr="00A65CA7">
        <w:rPr>
          <w:i/>
          <w:iCs/>
        </w:rPr>
        <w:t>In the Matter of the Review of the Non-Market Based Services Rider contained in the Tariffs of Ohio Edison, The Cleveland Electric Illuminating Company and The Toledo Edison Company</w:t>
      </w:r>
      <w:r w:rsidRPr="00A65CA7">
        <w:t>, Case No. 16-2043-EL-RDR, Staff Review and Recommendations (Feb. 7, 2017).</w:t>
      </w:r>
    </w:p>
  </w:footnote>
  <w:footnote w:id="51">
    <w:p w:rsidR="00C91CE6" w:rsidRPr="00A65CA7" w:rsidP="00A65CA7" w14:paraId="2E053810" w14:textId="03B81685">
      <w:pPr>
        <w:pStyle w:val="FootnoteText"/>
        <w:spacing w:after="120"/>
      </w:pPr>
      <w:r w:rsidRPr="00A65CA7">
        <w:rPr>
          <w:rStyle w:val="FootnoteReference"/>
        </w:rPr>
        <w:footnoteRef/>
      </w:r>
      <w:r w:rsidRPr="00A65CA7">
        <w:t xml:space="preserve"> </w:t>
      </w:r>
      <w:r w:rsidRPr="00A65CA7" w:rsidR="0038352E">
        <w:rPr>
          <w:i/>
          <w:iCs/>
        </w:rPr>
        <w:t>In re Application of [FirstEnergy] for Authority to Provide for a Standard Service Offer Pursuant to R.C. 4928.143 in the Form of an Elec. Sec. Plan</w:t>
      </w:r>
      <w:r w:rsidRPr="00A65CA7" w:rsidR="0038352E">
        <w:t>, Case No. 14-1297-EL-SSO, Fifth Entry on Rehearing ¶ 310 (Oct. 12, 2016).</w:t>
      </w:r>
    </w:p>
  </w:footnote>
  <w:footnote w:id="52">
    <w:p w:rsidR="009B00F2" w:rsidRPr="00A65CA7" w:rsidP="00A65CA7" w14:paraId="19447A82" w14:textId="77777777">
      <w:pPr>
        <w:pStyle w:val="FootnoteText"/>
        <w:spacing w:after="120"/>
      </w:pPr>
      <w:r w:rsidRPr="00A65CA7">
        <w:rPr>
          <w:rStyle w:val="FootnoteReference"/>
        </w:rPr>
        <w:footnoteRef/>
      </w:r>
      <w:r w:rsidRPr="00A65CA7">
        <w:t xml:space="preserve"> OCC Ex. 2 at 10.</w:t>
      </w:r>
    </w:p>
  </w:footnote>
  <w:footnote w:id="53">
    <w:p w:rsidR="00B60408" w:rsidRPr="00A65CA7" w:rsidP="00A65CA7" w14:paraId="731C85A5" w14:textId="77777777">
      <w:pPr>
        <w:pStyle w:val="FootnoteText"/>
        <w:spacing w:after="120"/>
      </w:pPr>
      <w:r w:rsidRPr="00A65CA7">
        <w:rPr>
          <w:rStyle w:val="FootnoteReference"/>
        </w:rPr>
        <w:footnoteRef/>
      </w:r>
      <w:r w:rsidRPr="00A65CA7">
        <w:t xml:space="preserve"> </w:t>
      </w:r>
      <w:r w:rsidRPr="00A65CA7">
        <w:rPr>
          <w:i/>
          <w:iCs/>
        </w:rPr>
        <w:t>In re Ohio Power PPA Rider</w:t>
      </w:r>
      <w:r w:rsidRPr="00A65CA7">
        <w:t xml:space="preserve">, Case No. 14-1693-EL-RDR (Opinion and Order at 89) (Mar. 31, 2016) (the “OVEC Order”) (also stating, “AEP Ohio will bear the burden of proof in demonstrating that bidding behavior is prudent and in the best interest of retail ratepayers.”). </w:t>
      </w:r>
      <w:r w:rsidRPr="00A65CA7">
        <w:rPr>
          <w:i/>
          <w:iCs/>
        </w:rPr>
        <w:t>See also</w:t>
      </w:r>
      <w:r w:rsidRPr="00A65CA7">
        <w:t xml:space="preserve">, </w:t>
      </w:r>
      <w:r w:rsidRPr="00A65CA7">
        <w:rPr>
          <w:i/>
          <w:iCs/>
        </w:rPr>
        <w:t xml:space="preserve">In the Matter of the Investigation of Perry Nuclear Power Station, </w:t>
      </w:r>
      <w:r w:rsidRPr="00A65CA7">
        <w:t>1988 Ohio PUC Lexis 1269.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711C66"/>
    <w:multiLevelType w:val="hybridMultilevel"/>
    <w:tmpl w:val="DFBCE8B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4786204"/>
    <w:multiLevelType w:val="hybridMultilevel"/>
    <w:tmpl w:val="5192DE8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764A507E"/>
    <w:multiLevelType w:val="hybridMultilevel"/>
    <w:tmpl w:val="B2D667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4"/>
  </w:num>
  <w:num w:numId="2">
    <w:abstractNumId w:val="3"/>
  </w:num>
  <w:num w:numId="3">
    <w:abstractNumId w:val="6"/>
  </w:num>
  <w:num w:numId="4">
    <w:abstractNumId w:val="5"/>
  </w:num>
  <w:num w:numId="5">
    <w:abstractNumId w:val="1"/>
  </w:num>
  <w:num w:numId="6">
    <w:abstractNumId w:val="8"/>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12"/>
    <w:rsid w:val="000014A2"/>
    <w:rsid w:val="00002312"/>
    <w:rsid w:val="00002FE7"/>
    <w:rsid w:val="0000674A"/>
    <w:rsid w:val="0000674B"/>
    <w:rsid w:val="00025170"/>
    <w:rsid w:val="00025640"/>
    <w:rsid w:val="00025908"/>
    <w:rsid w:val="00030359"/>
    <w:rsid w:val="0003584C"/>
    <w:rsid w:val="000417DC"/>
    <w:rsid w:val="00051C89"/>
    <w:rsid w:val="0005579E"/>
    <w:rsid w:val="00082870"/>
    <w:rsid w:val="000833D0"/>
    <w:rsid w:val="0008564F"/>
    <w:rsid w:val="000C203C"/>
    <w:rsid w:val="000C409E"/>
    <w:rsid w:val="000D198E"/>
    <w:rsid w:val="000D43C6"/>
    <w:rsid w:val="000E3C63"/>
    <w:rsid w:val="000F397F"/>
    <w:rsid w:val="000F4474"/>
    <w:rsid w:val="001027E3"/>
    <w:rsid w:val="00103C7B"/>
    <w:rsid w:val="00106EAE"/>
    <w:rsid w:val="001072CD"/>
    <w:rsid w:val="00107C40"/>
    <w:rsid w:val="00113AA4"/>
    <w:rsid w:val="0011576F"/>
    <w:rsid w:val="00125E65"/>
    <w:rsid w:val="00126533"/>
    <w:rsid w:val="001401EE"/>
    <w:rsid w:val="00150FC8"/>
    <w:rsid w:val="001534E4"/>
    <w:rsid w:val="00156383"/>
    <w:rsid w:val="001603EB"/>
    <w:rsid w:val="001665F3"/>
    <w:rsid w:val="00171004"/>
    <w:rsid w:val="00171BDD"/>
    <w:rsid w:val="00181DC5"/>
    <w:rsid w:val="001908A2"/>
    <w:rsid w:val="001A0D32"/>
    <w:rsid w:val="001C3274"/>
    <w:rsid w:val="001D0897"/>
    <w:rsid w:val="001D6EF7"/>
    <w:rsid w:val="001E12FC"/>
    <w:rsid w:val="001E1358"/>
    <w:rsid w:val="001E2C30"/>
    <w:rsid w:val="001E48C0"/>
    <w:rsid w:val="001E5FFC"/>
    <w:rsid w:val="001E6F31"/>
    <w:rsid w:val="001F0888"/>
    <w:rsid w:val="00201D11"/>
    <w:rsid w:val="002349AE"/>
    <w:rsid w:val="002478FE"/>
    <w:rsid w:val="00270856"/>
    <w:rsid w:val="002757EC"/>
    <w:rsid w:val="00290E02"/>
    <w:rsid w:val="002A4912"/>
    <w:rsid w:val="002C02AF"/>
    <w:rsid w:val="002C080C"/>
    <w:rsid w:val="002C62D2"/>
    <w:rsid w:val="002D1C13"/>
    <w:rsid w:val="002E4999"/>
    <w:rsid w:val="002E5717"/>
    <w:rsid w:val="002F3FC3"/>
    <w:rsid w:val="002F66D4"/>
    <w:rsid w:val="0031242C"/>
    <w:rsid w:val="00317043"/>
    <w:rsid w:val="0032527A"/>
    <w:rsid w:val="003513E0"/>
    <w:rsid w:val="00354F02"/>
    <w:rsid w:val="003576D8"/>
    <w:rsid w:val="0036533F"/>
    <w:rsid w:val="00372550"/>
    <w:rsid w:val="0038352E"/>
    <w:rsid w:val="003837CF"/>
    <w:rsid w:val="00393BAB"/>
    <w:rsid w:val="00396E66"/>
    <w:rsid w:val="003A4AF3"/>
    <w:rsid w:val="003B068A"/>
    <w:rsid w:val="003B4B30"/>
    <w:rsid w:val="003B7CA8"/>
    <w:rsid w:val="003C14CD"/>
    <w:rsid w:val="003D449C"/>
    <w:rsid w:val="003D6EAB"/>
    <w:rsid w:val="003F0FBF"/>
    <w:rsid w:val="003F1754"/>
    <w:rsid w:val="003F2206"/>
    <w:rsid w:val="003F653D"/>
    <w:rsid w:val="00434271"/>
    <w:rsid w:val="00437DFC"/>
    <w:rsid w:val="00444213"/>
    <w:rsid w:val="00464FEE"/>
    <w:rsid w:val="0046731B"/>
    <w:rsid w:val="00472EB3"/>
    <w:rsid w:val="00476981"/>
    <w:rsid w:val="00480607"/>
    <w:rsid w:val="004811E4"/>
    <w:rsid w:val="00487375"/>
    <w:rsid w:val="004900DD"/>
    <w:rsid w:val="00494133"/>
    <w:rsid w:val="004A62DA"/>
    <w:rsid w:val="004A6993"/>
    <w:rsid w:val="004B74F9"/>
    <w:rsid w:val="004C5714"/>
    <w:rsid w:val="004D4CA0"/>
    <w:rsid w:val="004D6BBA"/>
    <w:rsid w:val="004E1838"/>
    <w:rsid w:val="004E31AD"/>
    <w:rsid w:val="004F519A"/>
    <w:rsid w:val="004F6BB0"/>
    <w:rsid w:val="00503E6E"/>
    <w:rsid w:val="005071DC"/>
    <w:rsid w:val="00507F83"/>
    <w:rsid w:val="00512B71"/>
    <w:rsid w:val="00513CC5"/>
    <w:rsid w:val="0051520D"/>
    <w:rsid w:val="00522B91"/>
    <w:rsid w:val="005270F0"/>
    <w:rsid w:val="00540945"/>
    <w:rsid w:val="00547105"/>
    <w:rsid w:val="0055107B"/>
    <w:rsid w:val="0055120E"/>
    <w:rsid w:val="005538CC"/>
    <w:rsid w:val="0055483D"/>
    <w:rsid w:val="0055512A"/>
    <w:rsid w:val="00565A0F"/>
    <w:rsid w:val="005700E3"/>
    <w:rsid w:val="00571D22"/>
    <w:rsid w:val="00572EFC"/>
    <w:rsid w:val="005742C9"/>
    <w:rsid w:val="00587B56"/>
    <w:rsid w:val="0059380C"/>
    <w:rsid w:val="005A08C8"/>
    <w:rsid w:val="005A2907"/>
    <w:rsid w:val="005A4630"/>
    <w:rsid w:val="005A6744"/>
    <w:rsid w:val="005B2AE1"/>
    <w:rsid w:val="005C1520"/>
    <w:rsid w:val="005C705E"/>
    <w:rsid w:val="005D4F26"/>
    <w:rsid w:val="005D56B6"/>
    <w:rsid w:val="005E212C"/>
    <w:rsid w:val="005E6800"/>
    <w:rsid w:val="005F01FA"/>
    <w:rsid w:val="005F0BF0"/>
    <w:rsid w:val="005F273B"/>
    <w:rsid w:val="00606672"/>
    <w:rsid w:val="00614D2A"/>
    <w:rsid w:val="0062108F"/>
    <w:rsid w:val="006223AC"/>
    <w:rsid w:val="00623DD9"/>
    <w:rsid w:val="00624C7C"/>
    <w:rsid w:val="0062677C"/>
    <w:rsid w:val="00633900"/>
    <w:rsid w:val="00634126"/>
    <w:rsid w:val="006341FD"/>
    <w:rsid w:val="00635D19"/>
    <w:rsid w:val="00640135"/>
    <w:rsid w:val="00641070"/>
    <w:rsid w:val="00642969"/>
    <w:rsid w:val="00642F3F"/>
    <w:rsid w:val="00656E39"/>
    <w:rsid w:val="00663188"/>
    <w:rsid w:val="006777B6"/>
    <w:rsid w:val="00686B0E"/>
    <w:rsid w:val="00687F4D"/>
    <w:rsid w:val="006908AC"/>
    <w:rsid w:val="006919E6"/>
    <w:rsid w:val="00691B76"/>
    <w:rsid w:val="00691E23"/>
    <w:rsid w:val="006932DF"/>
    <w:rsid w:val="006A2F84"/>
    <w:rsid w:val="006A77AB"/>
    <w:rsid w:val="006C0CC8"/>
    <w:rsid w:val="006C51F0"/>
    <w:rsid w:val="006C5841"/>
    <w:rsid w:val="006D4292"/>
    <w:rsid w:val="006E53E4"/>
    <w:rsid w:val="006F41D1"/>
    <w:rsid w:val="006F6C88"/>
    <w:rsid w:val="007017BE"/>
    <w:rsid w:val="00706233"/>
    <w:rsid w:val="00713665"/>
    <w:rsid w:val="0071728C"/>
    <w:rsid w:val="00721484"/>
    <w:rsid w:val="0072302E"/>
    <w:rsid w:val="00723316"/>
    <w:rsid w:val="00725ED1"/>
    <w:rsid w:val="00730C0C"/>
    <w:rsid w:val="007344ED"/>
    <w:rsid w:val="00741584"/>
    <w:rsid w:val="00744616"/>
    <w:rsid w:val="0074794B"/>
    <w:rsid w:val="00760DE9"/>
    <w:rsid w:val="00760E5D"/>
    <w:rsid w:val="00764553"/>
    <w:rsid w:val="00771F92"/>
    <w:rsid w:val="00772E83"/>
    <w:rsid w:val="0077480D"/>
    <w:rsid w:val="00784CFC"/>
    <w:rsid w:val="0079132A"/>
    <w:rsid w:val="00793050"/>
    <w:rsid w:val="007931E9"/>
    <w:rsid w:val="0079350C"/>
    <w:rsid w:val="00796526"/>
    <w:rsid w:val="007B2CA1"/>
    <w:rsid w:val="007D0A11"/>
    <w:rsid w:val="007D6BD0"/>
    <w:rsid w:val="007D7C68"/>
    <w:rsid w:val="007E0CA7"/>
    <w:rsid w:val="007E2F6C"/>
    <w:rsid w:val="007E381B"/>
    <w:rsid w:val="007F3D40"/>
    <w:rsid w:val="008165EF"/>
    <w:rsid w:val="008174C4"/>
    <w:rsid w:val="0082395B"/>
    <w:rsid w:val="00825610"/>
    <w:rsid w:val="00831734"/>
    <w:rsid w:val="0083684F"/>
    <w:rsid w:val="008437E7"/>
    <w:rsid w:val="008465A8"/>
    <w:rsid w:val="00853EB2"/>
    <w:rsid w:val="00856651"/>
    <w:rsid w:val="00857FD7"/>
    <w:rsid w:val="00896120"/>
    <w:rsid w:val="008A1759"/>
    <w:rsid w:val="008B5B41"/>
    <w:rsid w:val="008C7D0E"/>
    <w:rsid w:val="008D131B"/>
    <w:rsid w:val="008D3A4F"/>
    <w:rsid w:val="008F4272"/>
    <w:rsid w:val="008F64B9"/>
    <w:rsid w:val="008F6DE7"/>
    <w:rsid w:val="009063CE"/>
    <w:rsid w:val="00911ED3"/>
    <w:rsid w:val="009130E9"/>
    <w:rsid w:val="00913BB1"/>
    <w:rsid w:val="00922214"/>
    <w:rsid w:val="00923798"/>
    <w:rsid w:val="009350BD"/>
    <w:rsid w:val="009379E6"/>
    <w:rsid w:val="009512E6"/>
    <w:rsid w:val="00957F98"/>
    <w:rsid w:val="0096154D"/>
    <w:rsid w:val="00965DA9"/>
    <w:rsid w:val="009664CB"/>
    <w:rsid w:val="009915C2"/>
    <w:rsid w:val="00992E47"/>
    <w:rsid w:val="009B00F2"/>
    <w:rsid w:val="009B515F"/>
    <w:rsid w:val="009B6D8B"/>
    <w:rsid w:val="009B79D5"/>
    <w:rsid w:val="009C0047"/>
    <w:rsid w:val="009D3B95"/>
    <w:rsid w:val="009E4176"/>
    <w:rsid w:val="009F067A"/>
    <w:rsid w:val="009F3765"/>
    <w:rsid w:val="00A02EAA"/>
    <w:rsid w:val="00A044B5"/>
    <w:rsid w:val="00A0463C"/>
    <w:rsid w:val="00A20A42"/>
    <w:rsid w:val="00A32FF1"/>
    <w:rsid w:val="00A36A02"/>
    <w:rsid w:val="00A475D0"/>
    <w:rsid w:val="00A50857"/>
    <w:rsid w:val="00A540F9"/>
    <w:rsid w:val="00A5514C"/>
    <w:rsid w:val="00A552D8"/>
    <w:rsid w:val="00A6162C"/>
    <w:rsid w:val="00A65CA7"/>
    <w:rsid w:val="00A77784"/>
    <w:rsid w:val="00AA16A6"/>
    <w:rsid w:val="00AA442C"/>
    <w:rsid w:val="00AA6372"/>
    <w:rsid w:val="00AB728A"/>
    <w:rsid w:val="00AB7C8C"/>
    <w:rsid w:val="00AC102B"/>
    <w:rsid w:val="00AD135E"/>
    <w:rsid w:val="00AD48B8"/>
    <w:rsid w:val="00AE437E"/>
    <w:rsid w:val="00AE7781"/>
    <w:rsid w:val="00AE7FAD"/>
    <w:rsid w:val="00AF049F"/>
    <w:rsid w:val="00AF452D"/>
    <w:rsid w:val="00AF7764"/>
    <w:rsid w:val="00B01877"/>
    <w:rsid w:val="00B15D68"/>
    <w:rsid w:val="00B24B5D"/>
    <w:rsid w:val="00B260EE"/>
    <w:rsid w:val="00B26F81"/>
    <w:rsid w:val="00B32048"/>
    <w:rsid w:val="00B43082"/>
    <w:rsid w:val="00B44D07"/>
    <w:rsid w:val="00B54C67"/>
    <w:rsid w:val="00B60408"/>
    <w:rsid w:val="00B606A6"/>
    <w:rsid w:val="00B73AC8"/>
    <w:rsid w:val="00B8243C"/>
    <w:rsid w:val="00B82695"/>
    <w:rsid w:val="00B83C56"/>
    <w:rsid w:val="00B83F43"/>
    <w:rsid w:val="00B84496"/>
    <w:rsid w:val="00B90053"/>
    <w:rsid w:val="00B90582"/>
    <w:rsid w:val="00B91AF6"/>
    <w:rsid w:val="00B979D6"/>
    <w:rsid w:val="00BA335C"/>
    <w:rsid w:val="00BB1615"/>
    <w:rsid w:val="00BB3100"/>
    <w:rsid w:val="00BB4604"/>
    <w:rsid w:val="00BC0D6A"/>
    <w:rsid w:val="00BC106E"/>
    <w:rsid w:val="00BC2071"/>
    <w:rsid w:val="00BC5346"/>
    <w:rsid w:val="00BC5B5A"/>
    <w:rsid w:val="00BC7AB9"/>
    <w:rsid w:val="00BD0F56"/>
    <w:rsid w:val="00BE6E38"/>
    <w:rsid w:val="00BF371A"/>
    <w:rsid w:val="00C04B40"/>
    <w:rsid w:val="00C10003"/>
    <w:rsid w:val="00C163F9"/>
    <w:rsid w:val="00C241C8"/>
    <w:rsid w:val="00C41294"/>
    <w:rsid w:val="00C41D31"/>
    <w:rsid w:val="00C45C01"/>
    <w:rsid w:val="00C52BFA"/>
    <w:rsid w:val="00C5378E"/>
    <w:rsid w:val="00C6286A"/>
    <w:rsid w:val="00C64623"/>
    <w:rsid w:val="00C675F5"/>
    <w:rsid w:val="00C72434"/>
    <w:rsid w:val="00C727A4"/>
    <w:rsid w:val="00C7280F"/>
    <w:rsid w:val="00C729D9"/>
    <w:rsid w:val="00C805B4"/>
    <w:rsid w:val="00C80994"/>
    <w:rsid w:val="00C86B6A"/>
    <w:rsid w:val="00C910AC"/>
    <w:rsid w:val="00C91CE6"/>
    <w:rsid w:val="00C95BBC"/>
    <w:rsid w:val="00CA3F81"/>
    <w:rsid w:val="00CB2D5C"/>
    <w:rsid w:val="00CB541F"/>
    <w:rsid w:val="00CC265D"/>
    <w:rsid w:val="00CC3C7F"/>
    <w:rsid w:val="00CD119B"/>
    <w:rsid w:val="00CD13F9"/>
    <w:rsid w:val="00D079FC"/>
    <w:rsid w:val="00D13131"/>
    <w:rsid w:val="00D134DA"/>
    <w:rsid w:val="00D16B79"/>
    <w:rsid w:val="00D24430"/>
    <w:rsid w:val="00D26315"/>
    <w:rsid w:val="00D332F9"/>
    <w:rsid w:val="00D55177"/>
    <w:rsid w:val="00D55F50"/>
    <w:rsid w:val="00D57504"/>
    <w:rsid w:val="00D63492"/>
    <w:rsid w:val="00D74BAB"/>
    <w:rsid w:val="00D754AF"/>
    <w:rsid w:val="00D924AD"/>
    <w:rsid w:val="00D93590"/>
    <w:rsid w:val="00DA0669"/>
    <w:rsid w:val="00DA722E"/>
    <w:rsid w:val="00DC2564"/>
    <w:rsid w:val="00DD70D2"/>
    <w:rsid w:val="00DE3BDA"/>
    <w:rsid w:val="00DF1D7F"/>
    <w:rsid w:val="00DF2EC7"/>
    <w:rsid w:val="00DF3F6B"/>
    <w:rsid w:val="00DF630A"/>
    <w:rsid w:val="00E028AD"/>
    <w:rsid w:val="00E0401F"/>
    <w:rsid w:val="00E111A4"/>
    <w:rsid w:val="00E11F85"/>
    <w:rsid w:val="00E1757A"/>
    <w:rsid w:val="00E2251E"/>
    <w:rsid w:val="00E2364D"/>
    <w:rsid w:val="00E246D3"/>
    <w:rsid w:val="00E269A2"/>
    <w:rsid w:val="00E26FF3"/>
    <w:rsid w:val="00E351C0"/>
    <w:rsid w:val="00E444D2"/>
    <w:rsid w:val="00E520B0"/>
    <w:rsid w:val="00E53E3C"/>
    <w:rsid w:val="00E6328A"/>
    <w:rsid w:val="00E644F3"/>
    <w:rsid w:val="00E65069"/>
    <w:rsid w:val="00E713F9"/>
    <w:rsid w:val="00E726F0"/>
    <w:rsid w:val="00E75D2C"/>
    <w:rsid w:val="00E7627E"/>
    <w:rsid w:val="00E7778B"/>
    <w:rsid w:val="00E80E16"/>
    <w:rsid w:val="00E875C1"/>
    <w:rsid w:val="00E923C1"/>
    <w:rsid w:val="00E96AA6"/>
    <w:rsid w:val="00EA13DC"/>
    <w:rsid w:val="00EB0B92"/>
    <w:rsid w:val="00EC664D"/>
    <w:rsid w:val="00EC7279"/>
    <w:rsid w:val="00ED0B67"/>
    <w:rsid w:val="00EE1AD8"/>
    <w:rsid w:val="00EF35AD"/>
    <w:rsid w:val="00EF3AD6"/>
    <w:rsid w:val="00EF3C87"/>
    <w:rsid w:val="00F0394A"/>
    <w:rsid w:val="00F06D06"/>
    <w:rsid w:val="00F10117"/>
    <w:rsid w:val="00F1341B"/>
    <w:rsid w:val="00F22A89"/>
    <w:rsid w:val="00F35442"/>
    <w:rsid w:val="00F661B9"/>
    <w:rsid w:val="00F70290"/>
    <w:rsid w:val="00F719F8"/>
    <w:rsid w:val="00F83B55"/>
    <w:rsid w:val="00F92135"/>
    <w:rsid w:val="00F93097"/>
    <w:rsid w:val="00F95349"/>
    <w:rsid w:val="00F95828"/>
    <w:rsid w:val="00FB27B8"/>
    <w:rsid w:val="00FB7F7D"/>
    <w:rsid w:val="00FD12B3"/>
    <w:rsid w:val="00FD33BB"/>
    <w:rsid w:val="00FE05A8"/>
    <w:rsid w:val="00FF2A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31B"/>
    <w:rPr>
      <w:sz w:val="24"/>
    </w:rPr>
  </w:style>
  <w:style w:type="paragraph" w:styleId="Heading1">
    <w:name w:val="heading 1"/>
    <w:basedOn w:val="Normal"/>
    <w:next w:val="Normal"/>
    <w:link w:val="Heading1Char"/>
    <w:qFormat/>
    <w:rsid w:val="00B54C67"/>
    <w:pPr>
      <w:keepNext/>
      <w:spacing w:after="240"/>
      <w:ind w:left="720" w:hanging="720"/>
      <w:outlineLvl w:val="0"/>
    </w:pPr>
    <w:rPr>
      <w:rFonts w:ascii="Times New Roman Bold" w:hAnsi="Times New Roman Bold"/>
      <w:b/>
      <w:szCs w:val="24"/>
    </w:rPr>
  </w:style>
  <w:style w:type="paragraph" w:styleId="Heading2">
    <w:name w:val="heading 2"/>
    <w:basedOn w:val="Normal"/>
    <w:next w:val="Normal"/>
    <w:qFormat/>
    <w:rsid w:val="00B54C67"/>
    <w:pPr>
      <w:keepNext/>
      <w:tabs>
        <w:tab w:val="left" w:pos="4320"/>
      </w:tabs>
      <w:spacing w:after="240"/>
      <w:ind w:left="1440" w:hanging="720"/>
      <w:outlineLvl w:val="1"/>
    </w:pPr>
    <w:rPr>
      <w:rFonts w:ascii="Times New Roman Bold" w:hAnsi="Times New Roman Bold"/>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uiPriority w:val="99"/>
    <w:rPr>
      <w:color w:val="0000FF"/>
      <w:u w:val="single"/>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CommentTextChar">
    <w:name w:val="Comment Text Char"/>
    <w:link w:val="CommentText"/>
    <w:semiHidden/>
    <w:rsid w:val="009F067A"/>
    <w:rPr>
      <w:sz w:val="24"/>
      <w:szCs w:val="24"/>
    </w:rPr>
  </w:style>
  <w:style w:type="character" w:customStyle="1" w:styleId="UnresolvedMention1">
    <w:name w:val="Unresolved Mention1"/>
    <w:uiPriority w:val="99"/>
    <w:semiHidden/>
    <w:unhideWhenUsed/>
    <w:rsid w:val="0055512A"/>
    <w:rPr>
      <w:color w:val="605E5C"/>
      <w:shd w:val="clear" w:color="auto" w:fill="E1DFDD"/>
    </w:rPr>
  </w:style>
  <w:style w:type="character" w:customStyle="1" w:styleId="FootnoteTextChar">
    <w:name w:val="Footnote Text Char"/>
    <w:basedOn w:val="DefaultParagraphFont"/>
    <w:link w:val="FootnoteText"/>
    <w:semiHidden/>
    <w:rsid w:val="001534E4"/>
  </w:style>
  <w:style w:type="paragraph" w:styleId="Revision">
    <w:name w:val="Revision"/>
    <w:hidden/>
    <w:uiPriority w:val="99"/>
    <w:semiHidden/>
    <w:rsid w:val="00706233"/>
    <w:rPr>
      <w:sz w:val="24"/>
    </w:rPr>
  </w:style>
  <w:style w:type="character" w:customStyle="1" w:styleId="Heading1Char">
    <w:name w:val="Heading 1 Char"/>
    <w:link w:val="Heading1"/>
    <w:rsid w:val="00B54C67"/>
    <w:rPr>
      <w:rFonts w:ascii="Times New Roman Bold" w:hAnsi="Times New Roman Bold"/>
      <w:b/>
      <w:sz w:val="24"/>
      <w:szCs w:val="24"/>
    </w:rPr>
  </w:style>
  <w:style w:type="character" w:customStyle="1" w:styleId="FooterChar">
    <w:name w:val="Footer Char"/>
    <w:basedOn w:val="DefaultParagraphFont"/>
    <w:link w:val="Footer"/>
    <w:uiPriority w:val="99"/>
    <w:rsid w:val="006932DF"/>
  </w:style>
  <w:style w:type="character" w:customStyle="1" w:styleId="BodyTextIndent3Char">
    <w:name w:val="Body Text Indent 3 Char"/>
    <w:link w:val="BodyTextIndent3"/>
    <w:rsid w:val="006932DF"/>
    <w:rPr>
      <w:sz w:val="24"/>
    </w:rPr>
  </w:style>
  <w:style w:type="character" w:customStyle="1" w:styleId="HTMLPreformattedChar">
    <w:name w:val="HTML Preformatted Char"/>
    <w:link w:val="HTMLPreformatted"/>
    <w:rsid w:val="00B54C67"/>
    <w:rPr>
      <w:rFonts w:ascii="Courier New" w:eastAsia="Courier New" w:hAnsi="Courier New" w:cs="Courier New"/>
    </w:rPr>
  </w:style>
  <w:style w:type="paragraph" w:styleId="TOC1">
    <w:name w:val="toc 1"/>
    <w:basedOn w:val="Normal"/>
    <w:next w:val="Normal"/>
    <w:autoRedefine/>
    <w:uiPriority w:val="39"/>
    <w:rsid w:val="00760E5D"/>
    <w:pPr>
      <w:tabs>
        <w:tab w:val="decimal" w:leader="dot" w:pos="8640"/>
      </w:tabs>
      <w:spacing w:after="240"/>
      <w:ind w:left="720" w:hanging="720"/>
    </w:pPr>
  </w:style>
  <w:style w:type="paragraph" w:styleId="TOC2">
    <w:name w:val="toc 2"/>
    <w:basedOn w:val="Normal"/>
    <w:next w:val="Normal"/>
    <w:autoRedefine/>
    <w:uiPriority w:val="39"/>
    <w:rsid w:val="00760E5D"/>
    <w:pPr>
      <w:tabs>
        <w:tab w:val="decimal" w:leader="dot" w:pos="8640"/>
      </w:tabs>
      <w:spacing w:after="240"/>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thomas.lindgren@ohioAGO.gov" TargetMode="External" /><Relationship Id="rId11" Type="http://schemas.openxmlformats.org/officeDocument/2006/relationships/hyperlink" Target="mailto:gregory.price@puco.ohio.gov" TargetMode="External" /><Relationship Id="rId12" Type="http://schemas.openxmlformats.org/officeDocument/2006/relationships/hyperlink" Target="mailto:jacqueline.st.john@puco.ohio.gov" TargetMode="External" /><Relationship Id="rId13" Type="http://schemas.openxmlformats.org/officeDocument/2006/relationships/hyperlink" Target="mailto:bojko@carpenterlipps.com" TargetMode="External" /><Relationship Id="rId14" Type="http://schemas.openxmlformats.org/officeDocument/2006/relationships/hyperlink" Target="mailto:wygonski@carpenterlipps.com" TargetMode="External" /><Relationship Id="rId15" Type="http://schemas.openxmlformats.org/officeDocument/2006/relationships/hyperlink" Target="mailto:bknipe@firstenergycorp.com"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maureen.willis@occ.ohio.gov" TargetMode="External" /><Relationship Id="rId7" Type="http://schemas.openxmlformats.org/officeDocument/2006/relationships/hyperlink" Target="mailto:amy.botschner.obrien@occ.ohio.gov"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1ABF7-FADF-4105-B9E1-FA5A34225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3613</Words>
  <Characters>20600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2022-02-10T22:04:08Z</dcterms:created>
  <dcterms:modified xsi:type="dcterms:W3CDTF">2022-02-10T22:04:08Z</dcterms:modified>
</cp:coreProperties>
</file>