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39369F" w:rsidP="0039369F" w14:paraId="51451AE3" w14:textId="77777777">
      <w:pPr>
        <w:jc w:val="center"/>
        <w:rPr>
          <w:b/>
          <w:szCs w:val="20"/>
        </w:rPr>
      </w:pPr>
      <w:bookmarkStart w:id="0" w:name="_GoBack"/>
      <w:bookmarkEnd w:id="0"/>
      <w:r>
        <w:rPr>
          <w:b/>
          <w:szCs w:val="20"/>
        </w:rPr>
        <w:t>BEFORE</w:t>
      </w:r>
    </w:p>
    <w:p w:rsidR="0039369F" w:rsidP="0039369F" w14:paraId="63255134" w14:textId="77777777">
      <w:pPr>
        <w:jc w:val="center"/>
        <w:rPr>
          <w:b/>
          <w:szCs w:val="20"/>
        </w:rPr>
      </w:pPr>
      <w:r>
        <w:rPr>
          <w:b/>
          <w:szCs w:val="20"/>
        </w:rPr>
        <w:t>THE PUBLIC UTILITIES COMMISSION OF OHIO</w:t>
      </w:r>
    </w:p>
    <w:p w:rsidR="0039369F" w:rsidP="0039369F" w14:paraId="55E926C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p>
    <w:tbl>
      <w:tblPr>
        <w:tblW w:w="8766" w:type="dxa"/>
        <w:tblLook w:val="00A0"/>
      </w:tblPr>
      <w:tblGrid>
        <w:gridCol w:w="3888"/>
        <w:gridCol w:w="1170"/>
        <w:gridCol w:w="3708"/>
      </w:tblGrid>
      <w:tr w14:paraId="4DFDDE3D" w14:textId="77777777" w:rsidTr="00812E26">
        <w:tblPrEx>
          <w:tblW w:w="8766" w:type="dxa"/>
          <w:tblLook w:val="00A0"/>
        </w:tblPrEx>
        <w:trPr>
          <w:trHeight w:val="1512"/>
        </w:trPr>
        <w:tc>
          <w:tcPr>
            <w:tcW w:w="3888" w:type="dxa"/>
            <w:shd w:val="clear" w:color="auto" w:fill="auto"/>
          </w:tcPr>
          <w:p w:rsidR="008A43C1" w:rsidRPr="007D7D1C" w:rsidP="008A43C1" w14:paraId="6C827F8E" w14:textId="77777777">
            <w:pPr>
              <w:pStyle w:val="HTMLPreformatted"/>
              <w:rPr>
                <w:rFonts w:ascii="Times New Roman" w:hAnsi="Times New Roman" w:cs="Times New Roman"/>
                <w:sz w:val="24"/>
                <w:szCs w:val="24"/>
              </w:rPr>
            </w:pPr>
            <w:r w:rsidRPr="007D7D1C">
              <w:rPr>
                <w:rFonts w:ascii="Times New Roman" w:hAnsi="Times New Roman" w:cs="Times New Roman"/>
                <w:sz w:val="24"/>
                <w:szCs w:val="24"/>
              </w:rPr>
              <w:t>In the Matter of the Commission’s Investigation into PALMco Power OH, LLC, d/b/a Indra Energy and PALMco Energy OH, LLC d/b/a Indra Energy’s Compliance with the Ohio Administrative Code and Potential Remedial Action.</w:t>
            </w:r>
          </w:p>
          <w:p w:rsidR="008A43C1" w:rsidRPr="00A044B5" w:rsidP="008A43C1" w14:paraId="656458CE" w14:textId="55736B56"/>
        </w:tc>
        <w:tc>
          <w:tcPr>
            <w:tcW w:w="1170" w:type="dxa"/>
            <w:shd w:val="clear" w:color="auto" w:fill="auto"/>
          </w:tcPr>
          <w:p w:rsidR="008A43C1" w:rsidRPr="007D7D1C" w:rsidP="008A43C1" w14:paraId="55AFB82B" w14:textId="77777777">
            <w:pPr>
              <w:pStyle w:val="HTMLPreformatted"/>
              <w:rPr>
                <w:rFonts w:ascii="Times New Roman" w:hAnsi="Times New Roman" w:cs="Times New Roman"/>
                <w:sz w:val="24"/>
                <w:szCs w:val="24"/>
              </w:rPr>
            </w:pPr>
            <w:r w:rsidRPr="007D7D1C">
              <w:rPr>
                <w:rFonts w:ascii="Times New Roman" w:hAnsi="Times New Roman" w:cs="Times New Roman"/>
                <w:sz w:val="24"/>
                <w:szCs w:val="24"/>
              </w:rPr>
              <w:t>)</w:t>
            </w:r>
          </w:p>
          <w:p w:rsidR="008A43C1" w:rsidRPr="007D7D1C" w:rsidP="008A43C1" w14:paraId="51392196" w14:textId="77777777">
            <w:pPr>
              <w:pStyle w:val="HTMLPreformatted"/>
              <w:rPr>
                <w:rFonts w:ascii="Times New Roman" w:hAnsi="Times New Roman" w:cs="Times New Roman"/>
                <w:sz w:val="24"/>
                <w:szCs w:val="24"/>
              </w:rPr>
            </w:pPr>
            <w:r w:rsidRPr="007D7D1C">
              <w:rPr>
                <w:rFonts w:ascii="Times New Roman" w:hAnsi="Times New Roman" w:cs="Times New Roman"/>
                <w:sz w:val="24"/>
                <w:szCs w:val="24"/>
              </w:rPr>
              <w:t>)</w:t>
            </w:r>
          </w:p>
          <w:p w:rsidR="008A43C1" w:rsidRPr="007D7D1C" w:rsidP="008A43C1" w14:paraId="17CA5AC6" w14:textId="77777777">
            <w:pPr>
              <w:pStyle w:val="HTMLPreformatted"/>
              <w:rPr>
                <w:rFonts w:ascii="Times New Roman" w:hAnsi="Times New Roman" w:cs="Times New Roman"/>
                <w:sz w:val="24"/>
                <w:szCs w:val="24"/>
              </w:rPr>
            </w:pPr>
            <w:r w:rsidRPr="007D7D1C">
              <w:rPr>
                <w:rFonts w:ascii="Times New Roman" w:hAnsi="Times New Roman" w:cs="Times New Roman"/>
                <w:sz w:val="24"/>
                <w:szCs w:val="24"/>
              </w:rPr>
              <w:t>)</w:t>
            </w:r>
          </w:p>
          <w:p w:rsidR="008A43C1" w:rsidRPr="007D7D1C" w:rsidP="008A43C1" w14:paraId="49092B41" w14:textId="77777777">
            <w:pPr>
              <w:pStyle w:val="HTMLPreformatted"/>
              <w:rPr>
                <w:rFonts w:ascii="Times New Roman" w:hAnsi="Times New Roman" w:cs="Times New Roman"/>
                <w:sz w:val="24"/>
                <w:szCs w:val="24"/>
              </w:rPr>
            </w:pPr>
            <w:r w:rsidRPr="007D7D1C">
              <w:rPr>
                <w:rFonts w:ascii="Times New Roman" w:hAnsi="Times New Roman" w:cs="Times New Roman"/>
                <w:sz w:val="24"/>
                <w:szCs w:val="24"/>
              </w:rPr>
              <w:t>)</w:t>
            </w:r>
          </w:p>
          <w:p w:rsidR="008A43C1" w:rsidRPr="007D7D1C" w:rsidP="008A43C1" w14:paraId="7FCD47D5" w14:textId="77777777">
            <w:pPr>
              <w:pStyle w:val="HTMLPreformatted"/>
              <w:rPr>
                <w:rFonts w:ascii="Times New Roman" w:hAnsi="Times New Roman" w:cs="Times New Roman"/>
                <w:sz w:val="24"/>
                <w:szCs w:val="24"/>
              </w:rPr>
            </w:pPr>
            <w:r w:rsidRPr="007D7D1C">
              <w:rPr>
                <w:rFonts w:ascii="Times New Roman" w:hAnsi="Times New Roman" w:cs="Times New Roman"/>
                <w:sz w:val="24"/>
                <w:szCs w:val="24"/>
              </w:rPr>
              <w:t>)</w:t>
            </w:r>
          </w:p>
          <w:p w:rsidR="008A43C1" w:rsidRPr="007D7D1C" w:rsidP="008A43C1" w14:paraId="0149B3D0" w14:textId="77777777">
            <w:pPr>
              <w:pStyle w:val="HTMLPreformatted"/>
              <w:rPr>
                <w:rFonts w:ascii="Times New Roman" w:hAnsi="Times New Roman" w:cs="Times New Roman"/>
                <w:sz w:val="24"/>
                <w:szCs w:val="24"/>
              </w:rPr>
            </w:pPr>
            <w:r w:rsidRPr="007D7D1C">
              <w:rPr>
                <w:rFonts w:ascii="Times New Roman" w:hAnsi="Times New Roman" w:cs="Times New Roman"/>
                <w:sz w:val="24"/>
                <w:szCs w:val="24"/>
              </w:rPr>
              <w:t>)</w:t>
            </w:r>
          </w:p>
          <w:p w:rsidR="008A43C1" w:rsidRPr="00A5772F" w:rsidP="00CB5DDE" w14:paraId="15814C70" w14:textId="0D2A5521">
            <w:r w:rsidRPr="007D7D1C">
              <w:t>)</w:t>
            </w:r>
          </w:p>
        </w:tc>
        <w:tc>
          <w:tcPr>
            <w:tcW w:w="3708" w:type="dxa"/>
            <w:shd w:val="clear" w:color="auto" w:fill="auto"/>
          </w:tcPr>
          <w:p w:rsidR="008A43C1" w:rsidRPr="007D7D1C" w:rsidP="008A43C1" w14:paraId="1C5E1BB0" w14:textId="77777777">
            <w:pPr>
              <w:pStyle w:val="HTMLPreformatted"/>
              <w:rPr>
                <w:rFonts w:ascii="Times New Roman" w:hAnsi="Times New Roman" w:cs="Times New Roman"/>
                <w:sz w:val="24"/>
                <w:szCs w:val="24"/>
              </w:rPr>
            </w:pPr>
          </w:p>
          <w:p w:rsidR="008A43C1" w:rsidRPr="007D7D1C" w:rsidP="008A43C1" w14:paraId="6158EEDA" w14:textId="77777777">
            <w:pPr>
              <w:pStyle w:val="HTMLPreformatted"/>
              <w:rPr>
                <w:rFonts w:ascii="Times New Roman" w:hAnsi="Times New Roman" w:cs="Times New Roman"/>
                <w:sz w:val="24"/>
                <w:szCs w:val="24"/>
              </w:rPr>
            </w:pPr>
          </w:p>
          <w:p w:rsidR="008A43C1" w:rsidRPr="007D7D1C" w:rsidP="008A43C1" w14:paraId="2BCFF8B7" w14:textId="77777777">
            <w:pPr>
              <w:pStyle w:val="HTMLPreformatted"/>
              <w:rPr>
                <w:rFonts w:ascii="Times New Roman" w:hAnsi="Times New Roman" w:cs="Times New Roman"/>
                <w:sz w:val="24"/>
                <w:szCs w:val="24"/>
              </w:rPr>
            </w:pPr>
            <w:r w:rsidRPr="007D7D1C">
              <w:rPr>
                <w:rFonts w:ascii="Times New Roman" w:hAnsi="Times New Roman" w:cs="Times New Roman"/>
                <w:sz w:val="24"/>
                <w:szCs w:val="24"/>
              </w:rPr>
              <w:t xml:space="preserve">Case No. 19-2153-GE-COI </w:t>
            </w:r>
          </w:p>
          <w:p w:rsidR="008A43C1" w:rsidRPr="00A5772F" w:rsidP="008A43C1" w14:paraId="0346CB9C" w14:textId="73139F8F"/>
        </w:tc>
      </w:tr>
    </w:tbl>
    <w:p w:rsidR="0039369F" w:rsidP="0039369F" w14:paraId="1F439757" w14:textId="77777777">
      <w:pPr>
        <w:pBdr>
          <w:top w:val="single" w:sz="4" w:space="1" w:color="auto"/>
          <w:bottom w:val="single" w:sz="4" w:space="1" w:color="auto"/>
        </w:pBdr>
        <w:jc w:val="center"/>
        <w:rPr>
          <w:b/>
        </w:rPr>
      </w:pPr>
    </w:p>
    <w:p w:rsidR="0039369F" w:rsidP="0039369F" w14:paraId="64FAE1A6" w14:textId="26D0ABE8">
      <w:pPr>
        <w:pBdr>
          <w:top w:val="single" w:sz="4" w:space="1" w:color="auto"/>
          <w:bottom w:val="single" w:sz="4" w:space="1" w:color="auto"/>
        </w:pBdr>
        <w:jc w:val="center"/>
        <w:rPr>
          <w:b/>
        </w:rPr>
      </w:pPr>
      <w:r>
        <w:rPr>
          <w:b/>
        </w:rPr>
        <w:t xml:space="preserve">MEMORANDUM CONTRA PALMCO’S MOTION TO ESTABLISH </w:t>
      </w:r>
      <w:r w:rsidR="008A43C1">
        <w:rPr>
          <w:b/>
        </w:rPr>
        <w:t xml:space="preserve">A </w:t>
      </w:r>
      <w:r>
        <w:rPr>
          <w:b/>
        </w:rPr>
        <w:t>PROCEDURAL SCHEDULE</w:t>
      </w:r>
    </w:p>
    <w:p w:rsidR="0039369F" w:rsidP="0039369F" w14:paraId="07AF79D8" w14:textId="77777777">
      <w:pPr>
        <w:pBdr>
          <w:top w:val="single" w:sz="4" w:space="1" w:color="auto"/>
          <w:bottom w:val="single" w:sz="4" w:space="1" w:color="auto"/>
        </w:pBdr>
        <w:jc w:val="center"/>
        <w:rPr>
          <w:b/>
        </w:rPr>
      </w:pPr>
      <w:r>
        <w:rPr>
          <w:b/>
        </w:rPr>
        <w:t>BY</w:t>
      </w:r>
    </w:p>
    <w:p w:rsidR="0039369F" w:rsidP="0039369F" w14:paraId="71E21374" w14:textId="78CE0EDB">
      <w:pPr>
        <w:pBdr>
          <w:top w:val="single" w:sz="4" w:space="1" w:color="auto"/>
          <w:bottom w:val="single" w:sz="4" w:space="1" w:color="auto"/>
        </w:pBdr>
        <w:jc w:val="center"/>
        <w:rPr>
          <w:b/>
        </w:rPr>
      </w:pPr>
      <w:r>
        <w:rPr>
          <w:b/>
        </w:rPr>
        <w:t>OFFICE OF THE OHIO CONSUMERS’ COUNSEL</w:t>
      </w:r>
    </w:p>
    <w:p w:rsidR="0039369F" w:rsidP="0039369F" w14:paraId="09114DFE" w14:textId="77777777">
      <w:pPr>
        <w:pBdr>
          <w:top w:val="single" w:sz="4" w:space="1" w:color="auto"/>
          <w:bottom w:val="single" w:sz="4" w:space="1" w:color="auto"/>
        </w:pBdr>
        <w:jc w:val="center"/>
      </w:pPr>
    </w:p>
    <w:p w:rsidR="0039369F" w:rsidRPr="0039369F" w:rsidP="0039369F" w14:paraId="77E9BEB2" w14:textId="77777777">
      <w:pPr>
        <w:jc w:val="center"/>
        <w:rPr>
          <w:b/>
        </w:rPr>
      </w:pPr>
    </w:p>
    <w:p w:rsidR="00723211" w:rsidP="00CB5DDE" w14:paraId="6C98DBB7" w14:textId="662D0E34">
      <w:pPr>
        <w:spacing w:line="480" w:lineRule="auto"/>
        <w:ind w:firstLine="720"/>
      </w:pPr>
      <w:r>
        <w:t>The latest twist in PALMco’s</w:t>
      </w:r>
      <w:r>
        <w:rPr>
          <w:rStyle w:val="FootnoteReference"/>
        </w:rPr>
        <w:footnoteReference w:id="2"/>
      </w:r>
      <w:r>
        <w:t xml:space="preserve"> disregard for the public interest regulation of two State of Ohio agencies (OCC and PUCO) is its motion for an unreasonably restrictive procedural schedule.</w:t>
      </w:r>
      <w:r w:rsidR="00A6025C">
        <w:t xml:space="preserve"> </w:t>
      </w:r>
      <w:r>
        <w:t>That schedule would severely prejudice OCC and its consumer protection recommendations for the PUCO’s consideration</w:t>
      </w:r>
      <w:r w:rsidR="00F70EB2">
        <w:t>,</w:t>
      </w:r>
      <w:r>
        <w:t xml:space="preserve"> by cutting off OCC’s “ample rights” to discovery</w:t>
      </w:r>
      <w:r w:rsidR="00FC5EEF">
        <w:t xml:space="preserve"> under law</w:t>
      </w:r>
      <w:r>
        <w:t>.</w:t>
      </w:r>
      <w:r>
        <w:rPr>
          <w:rStyle w:val="FootnoteReference"/>
        </w:rPr>
        <w:footnoteReference w:id="3"/>
      </w:r>
      <w:r>
        <w:t xml:space="preserve">  </w:t>
      </w:r>
    </w:p>
    <w:p w:rsidR="002D2BAD" w:rsidP="00CB5DDE" w14:paraId="5AA20933" w14:textId="60A9B190">
      <w:pPr>
        <w:spacing w:line="480" w:lineRule="auto"/>
        <w:ind w:firstLine="720"/>
      </w:pPr>
      <w:r>
        <w:t xml:space="preserve">The backdrop for PALMco’s motion is the </w:t>
      </w:r>
      <w:r w:rsidR="00216FBA">
        <w:t xml:space="preserve">concerns raised by </w:t>
      </w:r>
      <w:r w:rsidR="00F70EB2">
        <w:t xml:space="preserve">the Staff of the </w:t>
      </w:r>
      <w:r w:rsidR="00216FBA">
        <w:t>Public Utilit</w:t>
      </w:r>
      <w:r w:rsidR="001902FE">
        <w:t>ies</w:t>
      </w:r>
      <w:r w:rsidR="00216FBA">
        <w:t xml:space="preserve"> Commission of Ohio (</w:t>
      </w:r>
      <w:r w:rsidR="00B93441">
        <w:t>“</w:t>
      </w:r>
      <w:r w:rsidR="00216FBA">
        <w:t>PUCO</w:t>
      </w:r>
      <w:r w:rsidR="00B93441">
        <w:t>”</w:t>
      </w:r>
      <w:r w:rsidR="00216FBA">
        <w:t>)</w:t>
      </w:r>
      <w:r w:rsidR="00F70EB2">
        <w:t>.</w:t>
      </w:r>
      <w:r w:rsidR="00216FBA">
        <w:t xml:space="preserve"> </w:t>
      </w:r>
      <w:r w:rsidR="00F70EB2">
        <w:t>T</w:t>
      </w:r>
      <w:r w:rsidR="00216FBA">
        <w:t>he PUCO opened a</w:t>
      </w:r>
      <w:r w:rsidR="008A43C1">
        <w:t xml:space="preserve"> second</w:t>
      </w:r>
      <w:r w:rsidR="00216FBA">
        <w:t xml:space="preserve"> investigation into </w:t>
      </w:r>
      <w:r w:rsidR="0039369F">
        <w:t xml:space="preserve">PALMco’s unfair, misleading, deceptive, and unconscionable acts and sales practices </w:t>
      </w:r>
      <w:r w:rsidR="00FA22BE">
        <w:t xml:space="preserve">as a </w:t>
      </w:r>
      <w:r>
        <w:t>marketer</w:t>
      </w:r>
      <w:r w:rsidR="0025371A">
        <w:t>.</w:t>
      </w:r>
      <w:r>
        <w:t xml:space="preserve"> </w:t>
      </w:r>
      <w:r w:rsidR="00A44156">
        <w:t>PALMco</w:t>
      </w:r>
      <w:r w:rsidR="00D24953">
        <w:t>’s</w:t>
      </w:r>
      <w:r w:rsidR="00F70EB2">
        <w:t xml:space="preserve"> time and effort seem to be focused on</w:t>
      </w:r>
      <w:r w:rsidR="00A44156">
        <w:t xml:space="preserve"> prevent</w:t>
      </w:r>
      <w:r w:rsidR="00F70EB2">
        <w:t>ing</w:t>
      </w:r>
      <w:r w:rsidR="00A44156">
        <w:t xml:space="preserve"> OCC from participating in the proceeding and obtaining through discovery the information necessary to prepare a case for consumer protection. </w:t>
      </w:r>
      <w:r w:rsidR="0025371A">
        <w:t xml:space="preserve">There is no </w:t>
      </w:r>
      <w:r w:rsidR="009A1955">
        <w:t xml:space="preserve">good cause for granting </w:t>
      </w:r>
      <w:r w:rsidR="0025371A">
        <w:t>PALMco’s</w:t>
      </w:r>
      <w:r w:rsidR="009A1955">
        <w:t xml:space="preserve"> motion</w:t>
      </w:r>
      <w:r w:rsidR="00F70EB2">
        <w:t>;</w:t>
      </w:r>
      <w:r w:rsidR="009A1955">
        <w:t xml:space="preserve"> PALMco’s proposed schedule</w:t>
      </w:r>
      <w:r w:rsidR="00A44156">
        <w:t xml:space="preserve"> should be denied.</w:t>
      </w:r>
    </w:p>
    <w:p w:rsidR="0039369F" w:rsidP="00CB5DDE" w14:paraId="313410A0" w14:textId="686C0476">
      <w:pPr>
        <w:spacing w:line="480" w:lineRule="auto"/>
        <w:ind w:firstLine="720"/>
      </w:pPr>
      <w:r>
        <w:t xml:space="preserve">Throughout this investigation, PALMco has </w:t>
      </w:r>
      <w:r w:rsidR="008A43C1">
        <w:t xml:space="preserve">continuously </w:t>
      </w:r>
      <w:r>
        <w:t xml:space="preserve">refused to respond </w:t>
      </w:r>
      <w:r w:rsidR="00F70EB2">
        <w:t xml:space="preserve">adequately </w:t>
      </w:r>
      <w:r>
        <w:t>to OCC’</w:t>
      </w:r>
      <w:r w:rsidR="00B06937">
        <w:t xml:space="preserve">s discovery requests, to cooperate with OCC’s good-faith efforts to resolve the </w:t>
      </w:r>
      <w:r w:rsidR="00F70EB2">
        <w:t xml:space="preserve">discovery </w:t>
      </w:r>
      <w:r w:rsidR="00B06937">
        <w:t>dispute, or to comply with the Attorney Examiner</w:t>
      </w:r>
      <w:r w:rsidR="00B712B6">
        <w:t>s</w:t>
      </w:r>
      <w:r w:rsidR="00DD1291">
        <w:t>’</w:t>
      </w:r>
      <w:r w:rsidR="00B712B6">
        <w:t xml:space="preserve"> </w:t>
      </w:r>
      <w:r w:rsidR="00B06937">
        <w:t>Entries</w:t>
      </w:r>
      <w:r>
        <w:rPr>
          <w:rStyle w:val="FootnoteReference"/>
        </w:rPr>
        <w:footnoteReference w:id="4"/>
      </w:r>
      <w:r w:rsidR="00B06937">
        <w:t xml:space="preserve"> directing </w:t>
      </w:r>
      <w:r w:rsidR="002D2BAD">
        <w:t>it</w:t>
      </w:r>
      <w:r w:rsidRPr="00B06937" w:rsidR="00B06937">
        <w:t xml:space="preserve"> to </w:t>
      </w:r>
      <w:r w:rsidR="009A1955">
        <w:t>“</w:t>
      </w:r>
      <w:r w:rsidRPr="00B06937" w:rsidR="00B06937">
        <w:t>collaborate with OCC and exchange discovery pursuant to Ohio Adm.</w:t>
      </w:r>
      <w:r w:rsidR="0002649F">
        <w:t xml:space="preserve"> </w:t>
      </w:r>
      <w:r w:rsidRPr="00B06937" w:rsidR="00B06937">
        <w:t>Code 4901-1-16</w:t>
      </w:r>
      <w:r w:rsidR="00B06937">
        <w:t>.</w:t>
      </w:r>
      <w:r w:rsidR="00A44156">
        <w:t>”</w:t>
      </w:r>
      <w:r w:rsidR="00D24953">
        <w:t xml:space="preserve"> This has resulted in OCC filing three motions to compel PALMco to respond to discovery.</w:t>
      </w:r>
      <w:r>
        <w:rPr>
          <w:rStyle w:val="FootnoteReference"/>
        </w:rPr>
        <w:footnoteReference w:id="5"/>
      </w:r>
      <w:r w:rsidR="00CA111F">
        <w:t xml:space="preserve"> OCC’s positions have been thoroughly briefed in these pleadings, and they are incorporated here.</w:t>
      </w:r>
    </w:p>
    <w:p w:rsidR="008A43C1" w:rsidP="00F70EB2" w14:paraId="356E870B" w14:textId="1CA0025C">
      <w:pPr>
        <w:spacing w:line="480" w:lineRule="auto"/>
        <w:ind w:firstLine="720"/>
      </w:pPr>
      <w:r>
        <w:t xml:space="preserve">Despite the ongoing discovery dispute—or, perhaps, because of it—PALMco </w:t>
      </w:r>
      <w:r w:rsidR="0076526B">
        <w:t xml:space="preserve">attempts another of its tactics by </w:t>
      </w:r>
      <w:r>
        <w:t>mov</w:t>
      </w:r>
      <w:r w:rsidR="0076526B">
        <w:t>ing</w:t>
      </w:r>
      <w:r>
        <w:t xml:space="preserve"> to establish a new procedural schedule</w:t>
      </w:r>
      <w:r w:rsidR="0076526B">
        <w:t>. This comes</w:t>
      </w:r>
      <w:r w:rsidR="00F62F40">
        <w:t xml:space="preserve"> </w:t>
      </w:r>
      <w:r w:rsidR="0076526B">
        <w:t xml:space="preserve">with an </w:t>
      </w:r>
      <w:r w:rsidR="00F62F40">
        <w:t>ask</w:t>
      </w:r>
      <w:r w:rsidR="0076526B">
        <w:t xml:space="preserve"> of</w:t>
      </w:r>
      <w:r w:rsidR="00F62F40">
        <w:t xml:space="preserve"> the PUCO to cut off discovery in </w:t>
      </w:r>
      <w:r w:rsidR="0002649F">
        <w:t>less than two</w:t>
      </w:r>
      <w:r w:rsidR="00F62F40">
        <w:t xml:space="preserve"> weeks, to order the Staff report due in </w:t>
      </w:r>
      <w:r w:rsidR="008F3C24">
        <w:t>less than</w:t>
      </w:r>
      <w:r w:rsidR="002A7D65">
        <w:t xml:space="preserve"> three weeks</w:t>
      </w:r>
      <w:r w:rsidR="00F62F40">
        <w:t xml:space="preserve">, and to conduct a hearing in less than two months.  </w:t>
      </w:r>
    </w:p>
    <w:p w:rsidR="00D24953" w:rsidP="00D24953" w14:paraId="1D2618C2" w14:textId="3C5923EE">
      <w:pPr>
        <w:pStyle w:val="BodyTextIndent3"/>
        <w:widowControl w:val="0"/>
        <w:spacing w:line="480" w:lineRule="auto"/>
        <w:rPr>
          <w:szCs w:val="24"/>
        </w:rPr>
      </w:pPr>
      <w:r>
        <w:rPr>
          <w:szCs w:val="24"/>
        </w:rPr>
        <w:t>PALMco’s proposal would severely prejudice OCC</w:t>
      </w:r>
      <w:r w:rsidR="000F14B8">
        <w:rPr>
          <w:szCs w:val="24"/>
        </w:rPr>
        <w:t xml:space="preserve"> and its ability to prepare a case for a consumer protection</w:t>
      </w:r>
      <w:r>
        <w:rPr>
          <w:szCs w:val="24"/>
        </w:rPr>
        <w:t xml:space="preserve">. PALMco proposes a discovery cut-off date of November 9, 2020 and a testimony filing date of November 23, 2020. </w:t>
      </w:r>
      <w:r w:rsidR="00CA111F">
        <w:rPr>
          <w:szCs w:val="24"/>
        </w:rPr>
        <w:t xml:space="preserve">That is unreasonable. </w:t>
      </w:r>
      <w:r>
        <w:rPr>
          <w:szCs w:val="24"/>
        </w:rPr>
        <w:t>If OCC serves discovery by PALMco’s proposed discovery cut-off date of November 9, 2020, OCC will not receive responses to that discovery before November 23, 2020</w:t>
      </w:r>
      <w:r w:rsidR="00CA111F">
        <w:rPr>
          <w:szCs w:val="24"/>
        </w:rPr>
        <w:t xml:space="preserve"> for use in testimony</w:t>
      </w:r>
      <w:r>
        <w:rPr>
          <w:szCs w:val="24"/>
        </w:rPr>
        <w:t>. The PUCO’s rules require responses to interrogatories and requests for production of documents within twenty days.</w:t>
      </w:r>
      <w:r>
        <w:rPr>
          <w:rStyle w:val="FootnoteReference"/>
          <w:szCs w:val="24"/>
        </w:rPr>
        <w:footnoteReference w:id="6"/>
      </w:r>
      <w:r>
        <w:rPr>
          <w:szCs w:val="24"/>
        </w:rPr>
        <w:t xml:space="preserve"> Even if PALMco timely responds to OCC’s discovery issued on the discovery cut-off date, November 9, 2020, OCC will not </w:t>
      </w:r>
      <w:r>
        <w:rPr>
          <w:szCs w:val="24"/>
        </w:rPr>
        <w:t xml:space="preserve">be able to use those discovery responses in preparing testimony. </w:t>
      </w:r>
      <w:r w:rsidR="00CA111F">
        <w:rPr>
          <w:szCs w:val="24"/>
        </w:rPr>
        <w:t xml:space="preserve">OCC would have to </w:t>
      </w:r>
      <w:r>
        <w:rPr>
          <w:szCs w:val="24"/>
        </w:rPr>
        <w:t>issue</w:t>
      </w:r>
      <w:r w:rsidR="00CA111F">
        <w:rPr>
          <w:szCs w:val="24"/>
        </w:rPr>
        <w:t xml:space="preserve"> any remaining disc</w:t>
      </w:r>
      <w:r w:rsidR="00914582">
        <w:rPr>
          <w:szCs w:val="24"/>
        </w:rPr>
        <w:t>o</w:t>
      </w:r>
      <w:r w:rsidR="00CA111F">
        <w:rPr>
          <w:szCs w:val="24"/>
        </w:rPr>
        <w:t>very</w:t>
      </w:r>
      <w:r>
        <w:rPr>
          <w:szCs w:val="24"/>
        </w:rPr>
        <w:t xml:space="preserve"> by October 30, 2020 (in two days) in order for any discovery responses to be reviewed and incorporated into the testimony (assuming, of course, that PALMco timely responds to OCC’s discovery, which has not been its practice to date).</w:t>
      </w:r>
    </w:p>
    <w:p w:rsidR="00D24953" w:rsidP="00D24953" w14:paraId="6CEB6246" w14:textId="599091BB">
      <w:pPr>
        <w:spacing w:line="480" w:lineRule="auto"/>
        <w:ind w:firstLine="720"/>
      </w:pPr>
      <w:r>
        <w:t>Additionally, PALMco’s proposed discovery cutoff date of November 9, 2020 would preclude OCC from conducting any discovery on any testimony PALMco files on November 23, 2020, which would be unjust and unreasonable and thwart OCC’s reasonable participation in this case.</w:t>
      </w:r>
    </w:p>
    <w:p w:rsidR="000E1681" w:rsidP="00D60924" w14:paraId="055E0BAC" w14:textId="7DB2AFD8">
      <w:pPr>
        <w:spacing w:line="480" w:lineRule="auto"/>
        <w:ind w:firstLine="720"/>
      </w:pPr>
      <w:r>
        <w:t xml:space="preserve">To be clear, OCC wants the </w:t>
      </w:r>
      <w:r w:rsidRPr="002448C2">
        <w:t>second</w:t>
      </w:r>
      <w:r>
        <w:t xml:space="preserve"> investigation against PALMco to move forward.</w:t>
      </w:r>
      <w:r w:rsidR="0076526B">
        <w:t xml:space="preserve"> And, in reality, much of this would have been solved for consumers by kicking PALMco out of the state for its bad acts, as OCC recommended. </w:t>
      </w:r>
      <w:r>
        <w:t>Consumers harmed by PALMc</w:t>
      </w:r>
      <w:r w:rsidR="0025371A">
        <w:t>o</w:t>
      </w:r>
      <w:r>
        <w:t xml:space="preserve"> are entitled to justice sooner rather than later. However, given PALM</w:t>
      </w:r>
      <w:r w:rsidR="006B4C6A">
        <w:t>c</w:t>
      </w:r>
      <w:r>
        <w:t>o’s obstructive efforts and failure to comply with Attorney Examiners’ clear directive</w:t>
      </w:r>
      <w:r w:rsidR="0025371A">
        <w:t>s</w:t>
      </w:r>
      <w:r w:rsidR="00FB2039">
        <w:t>,</w:t>
      </w:r>
      <w:r>
        <w:t xml:space="preserve"> the self-serving push to move forward</w:t>
      </w:r>
      <w:r w:rsidR="0076526B">
        <w:t xml:space="preserve"> (which really is moving backward)</w:t>
      </w:r>
      <w:r>
        <w:t xml:space="preserve"> should be den</w:t>
      </w:r>
      <w:r w:rsidR="00FB2039">
        <w:t>i</w:t>
      </w:r>
      <w:r>
        <w:t>ed</w:t>
      </w:r>
      <w:r w:rsidR="00187A07">
        <w:t xml:space="preserve">.  </w:t>
      </w:r>
    </w:p>
    <w:p w:rsidR="00975F29" w:rsidP="00A6025C" w14:paraId="4596888E" w14:textId="77777777">
      <w:pPr>
        <w:spacing w:line="480" w:lineRule="auto"/>
        <w:ind w:firstLine="720"/>
      </w:pPr>
      <w:r>
        <w:t>In order to protect consumers, the PUCO should deny PALMco’s motion for a procedural schedule</w:t>
      </w:r>
      <w:r w:rsidR="008A43C1">
        <w:t xml:space="preserve"> and establish a more reasonable schedule that permits OCC</w:t>
      </w:r>
      <w:r w:rsidR="0076526B">
        <w:t xml:space="preserve"> its legal rights to</w:t>
      </w:r>
      <w:r w:rsidR="008A43C1">
        <w:t xml:space="preserve"> the opportunity to receive, review, and conduct follow up discovery on its outstanding discovery requests to PALMco</w:t>
      </w:r>
      <w:r>
        <w:t xml:space="preserve">. </w:t>
      </w:r>
      <w:bookmarkStart w:id="1" w:name="_Hlk54694189"/>
    </w:p>
    <w:p w:rsidR="006B4C6A" w:rsidRPr="00A6025C" w:rsidP="00A6025C" w14:paraId="3B3F88D7" w14:textId="64974E7D">
      <w:pPr>
        <w:spacing w:line="480" w:lineRule="auto"/>
        <w:ind w:firstLine="720"/>
      </w:pPr>
      <w:bookmarkStart w:id="2" w:name="_Hlk54787386"/>
      <w:r>
        <w:t xml:space="preserve">OCC proposes the following schedule:  November 6, 2020, PALMco required to provide all outstanding responses to OCC’s first and second sets of discovery; December 18, 2020, deadline for serving discovery requests (excluding deposition notices); January </w:t>
      </w:r>
      <w:r w:rsidR="001C4191">
        <w:t>7</w:t>
      </w:r>
      <w:r>
        <w:t>, 202</w:t>
      </w:r>
      <w:r w:rsidR="009B2297">
        <w:t>1</w:t>
      </w:r>
      <w:r>
        <w:t>,</w:t>
      </w:r>
      <w:r w:rsidR="001C4191">
        <w:t xml:space="preserve"> pre-hearing conference; January 14, 2021,</w:t>
      </w:r>
      <w:r>
        <w:t xml:space="preserve"> Staff Report due; </w:t>
      </w:r>
      <w:r w:rsidR="001C4191">
        <w:t>February 4</w:t>
      </w:r>
      <w:r w:rsidR="00C532EA">
        <w:t>, 202</w:t>
      </w:r>
      <w:r w:rsidR="00A36846">
        <w:t>1</w:t>
      </w:r>
      <w:r w:rsidR="00C532EA">
        <w:t>, testimony due; February 2</w:t>
      </w:r>
      <w:r w:rsidR="001C4191">
        <w:t>3</w:t>
      </w:r>
      <w:r w:rsidR="00C532EA">
        <w:t>, 2021, hearing.</w:t>
      </w:r>
      <w:bookmarkEnd w:id="1"/>
      <w:r>
        <w:t xml:space="preserve"> </w:t>
      </w:r>
      <w:r w:rsidR="001C4191">
        <w:t xml:space="preserve">In addition, the time for responding to discovery </w:t>
      </w:r>
      <w:r w:rsidR="00690903">
        <w:t>should be shortened to 7 days.</w:t>
      </w:r>
      <w:r w:rsidR="00A6025C">
        <w:t xml:space="preserve">  This schedule will allow OCC enough time to prepare a case for consumer protection and assist the PUCO in developing a full record on which to base a decision.</w:t>
      </w:r>
      <w:r>
        <w:t xml:space="preserve"> </w:t>
      </w:r>
      <w:bookmarkEnd w:id="2"/>
      <w:r>
        <w:t xml:space="preserve"> </w:t>
      </w:r>
    </w:p>
    <w:p w:rsidR="00CF4FCF" w14:paraId="114D8EE3" w14:textId="0CD85E55">
      <w:pPr>
        <w:pStyle w:val="ListParagraph"/>
        <w:spacing w:line="480" w:lineRule="auto"/>
        <w:ind w:left="0" w:firstLine="720"/>
      </w:pPr>
    </w:p>
    <w:p w:rsidR="004F64AF" w:rsidP="004F64AF" w14:paraId="3295592A" w14:textId="63D55621">
      <w:pPr>
        <w:ind w:left="3960"/>
      </w:pPr>
      <w:r>
        <w:t>Respectfully submitted,</w:t>
      </w:r>
    </w:p>
    <w:p w:rsidR="004F64AF" w:rsidP="004F64AF" w14:paraId="268A7C6C" w14:textId="77777777">
      <w:pPr>
        <w:ind w:left="4320"/>
      </w:pPr>
    </w:p>
    <w:p w:rsidR="004F64AF" w:rsidP="004F64AF" w14:paraId="29D3FEBF" w14:textId="442AE56E">
      <w:pPr>
        <w:ind w:left="3960"/>
      </w:pPr>
      <w:r>
        <w:t xml:space="preserve">Bruce Weston </w:t>
      </w:r>
      <w:r w:rsidRPr="00104013">
        <w:t>(0016973)</w:t>
      </w:r>
    </w:p>
    <w:p w:rsidR="004F64AF" w:rsidP="004F64AF" w14:paraId="44E0B21D" w14:textId="3FAEA3C8">
      <w:pPr>
        <w:ind w:left="3960"/>
      </w:pPr>
      <w:r>
        <w:t>Ohio Consumers’ Counsel</w:t>
      </w:r>
    </w:p>
    <w:p w:rsidR="004F64AF" w:rsidP="004F64AF" w14:paraId="7B1DDC5F" w14:textId="77777777">
      <w:pPr>
        <w:ind w:left="4320"/>
      </w:pPr>
    </w:p>
    <w:p w:rsidR="001902FE" w:rsidRPr="001902FE" w:rsidP="001902FE" w14:paraId="029AA8FC" w14:textId="2FD92EC2">
      <w:pPr>
        <w:tabs>
          <w:tab w:val="left" w:pos="4320"/>
        </w:tabs>
        <w:ind w:left="3960"/>
        <w:rPr>
          <w:i/>
          <w:u w:val="single"/>
        </w:rPr>
      </w:pPr>
      <w:r>
        <w:rPr>
          <w:i/>
          <w:iCs/>
          <w:u w:val="single"/>
        </w:rPr>
        <w:t>/s/ Angela D. O’Brien_____</w:t>
      </w:r>
    </w:p>
    <w:p w:rsidR="00E65D68" w:rsidRPr="007D7D1C" w:rsidP="00A15AB4" w14:paraId="57997466" w14:textId="1DD4AA6C">
      <w:pPr>
        <w:tabs>
          <w:tab w:val="left" w:pos="4320"/>
        </w:tabs>
        <w:ind w:left="3960"/>
      </w:pPr>
      <w:r w:rsidRPr="007D7D1C">
        <w:t xml:space="preserve">Angela D. O’Brien (0097579) </w:t>
      </w:r>
    </w:p>
    <w:p w:rsidR="00E65D68" w:rsidRPr="007D7D1C" w:rsidP="00A15AB4" w14:paraId="35134938" w14:textId="77777777">
      <w:pPr>
        <w:tabs>
          <w:tab w:val="left" w:pos="4320"/>
        </w:tabs>
        <w:ind w:left="3960"/>
      </w:pPr>
      <w:r w:rsidRPr="007D7D1C">
        <w:t>Counsel of Record</w:t>
      </w:r>
    </w:p>
    <w:p w:rsidR="00E65D68" w:rsidRPr="007D7D1C" w:rsidP="00A15AB4" w14:paraId="3FECACDB" w14:textId="77777777">
      <w:pPr>
        <w:tabs>
          <w:tab w:val="left" w:pos="4320"/>
        </w:tabs>
        <w:ind w:left="3960"/>
      </w:pPr>
      <w:r w:rsidRPr="007D7D1C">
        <w:t>Christopher Healey (0086027)</w:t>
      </w:r>
    </w:p>
    <w:p w:rsidR="00E65D68" w:rsidRPr="007D7D1C" w:rsidP="00A15AB4" w14:paraId="75B01A48" w14:textId="77777777">
      <w:pPr>
        <w:tabs>
          <w:tab w:val="left" w:pos="4320"/>
        </w:tabs>
        <w:ind w:left="3960"/>
      </w:pPr>
      <w:r w:rsidRPr="007D7D1C">
        <w:t>Assistant Consumers’ Counsel</w:t>
      </w:r>
    </w:p>
    <w:p w:rsidR="00E65D68" w:rsidRPr="007D7D1C" w:rsidP="00A15AB4" w14:paraId="7FED3C5B" w14:textId="77777777">
      <w:pPr>
        <w:tabs>
          <w:tab w:val="left" w:pos="4320"/>
        </w:tabs>
        <w:ind w:left="3960"/>
      </w:pPr>
    </w:p>
    <w:p w:rsidR="00E65D68" w:rsidRPr="007D7D1C" w:rsidP="00A15AB4" w14:paraId="70C58DBF" w14:textId="77777777">
      <w:pPr>
        <w:ind w:left="3960"/>
        <w:rPr>
          <w:b/>
          <w:bCs/>
        </w:rPr>
      </w:pPr>
      <w:r w:rsidRPr="007D7D1C">
        <w:rPr>
          <w:b/>
          <w:bCs/>
        </w:rPr>
        <w:t>Office of the Ohio Consumers’ Counsel</w:t>
      </w:r>
    </w:p>
    <w:p w:rsidR="00E65D68" w:rsidRPr="007D7D1C" w:rsidP="00A15AB4" w14:paraId="65DBC781" w14:textId="77777777">
      <w:pPr>
        <w:ind w:left="3960"/>
        <w:rPr>
          <w:b/>
        </w:rPr>
      </w:pPr>
      <w:r w:rsidRPr="007D7D1C">
        <w:t>65 East State Street, 7th Floor</w:t>
      </w:r>
    </w:p>
    <w:p w:rsidR="00E65D68" w:rsidRPr="007D7D1C" w:rsidP="00A15AB4" w14:paraId="3B818817" w14:textId="77777777">
      <w:pPr>
        <w:ind w:left="3960"/>
        <w:rPr>
          <w:b/>
        </w:rPr>
      </w:pPr>
      <w:r w:rsidRPr="007D7D1C">
        <w:t>Columbus, Ohio 43215-4213</w:t>
      </w:r>
    </w:p>
    <w:p w:rsidR="00E65D68" w:rsidRPr="007D7D1C" w:rsidP="00A15AB4" w14:paraId="734EA73B" w14:textId="77777777">
      <w:pPr>
        <w:autoSpaceDE w:val="0"/>
        <w:autoSpaceDN w:val="0"/>
        <w:adjustRightInd w:val="0"/>
        <w:ind w:left="3960"/>
      </w:pPr>
      <w:r w:rsidRPr="007D7D1C">
        <w:t>Telephone [O’Brien]: (614) 466-9531</w:t>
      </w:r>
    </w:p>
    <w:p w:rsidR="00E65D68" w:rsidRPr="007D7D1C" w:rsidP="00A15AB4" w14:paraId="2B726A36" w14:textId="77777777">
      <w:pPr>
        <w:autoSpaceDE w:val="0"/>
        <w:autoSpaceDN w:val="0"/>
        <w:adjustRightInd w:val="0"/>
        <w:ind w:left="3960"/>
      </w:pPr>
      <w:r w:rsidRPr="007D7D1C">
        <w:t>Telephone [Healey]: (614) 466-9571</w:t>
      </w:r>
    </w:p>
    <w:p w:rsidR="00E65D68" w:rsidRPr="007D7D1C" w:rsidP="00A15AB4" w14:paraId="5F61631F" w14:textId="3287086F">
      <w:pPr>
        <w:tabs>
          <w:tab w:val="left" w:pos="3960"/>
        </w:tabs>
        <w:ind w:left="360"/>
      </w:pPr>
      <w:r w:rsidRPr="007D7D1C">
        <w:tab/>
      </w:r>
      <w:hyperlink r:id="rId6" w:history="1">
        <w:r w:rsidRPr="007D7D1C">
          <w:rPr>
            <w:rStyle w:val="Hyperlink"/>
          </w:rPr>
          <w:t>angela.obrien@occ.ohio.gov</w:t>
        </w:r>
      </w:hyperlink>
      <w:r w:rsidRPr="007D7D1C">
        <w:t xml:space="preserve"> </w:t>
      </w:r>
    </w:p>
    <w:p w:rsidR="00E65D68" w:rsidRPr="007D7D1C" w:rsidP="00A15AB4" w14:paraId="36247D5F" w14:textId="33297B8C">
      <w:pPr>
        <w:tabs>
          <w:tab w:val="left" w:pos="3960"/>
        </w:tabs>
        <w:ind w:left="360"/>
      </w:pPr>
      <w:r>
        <w:tab/>
      </w:r>
      <w:hyperlink r:id="rId7" w:history="1">
        <w:r w:rsidRPr="007D7D1C">
          <w:rPr>
            <w:rStyle w:val="Hyperlink"/>
          </w:rPr>
          <w:t>christopher.healey@occ.ohio.gov</w:t>
        </w:r>
      </w:hyperlink>
    </w:p>
    <w:p w:rsidR="00E65D68" w:rsidRPr="007D7D1C" w:rsidP="00A15AB4" w14:paraId="30EA6893" w14:textId="77777777">
      <w:pPr>
        <w:ind w:left="3960"/>
      </w:pPr>
      <w:r w:rsidRPr="007D7D1C">
        <w:t>(willing to accept service by e-mail)</w:t>
      </w:r>
    </w:p>
    <w:p w:rsidR="00E65D68" w:rsidRPr="007D7D1C" w:rsidP="00E65D68" w14:paraId="2BBA98AF" w14:textId="77777777"/>
    <w:p w:rsidR="004F64AF" w:rsidP="004F64AF" w14:paraId="7254B8E8" w14:textId="38FC8B41">
      <w:pPr>
        <w:ind w:left="4320"/>
      </w:pPr>
    </w:p>
    <w:p w:rsidR="00A0746E" w:rsidP="00A0746E" w14:paraId="6AFCE75F" w14:textId="787BE097">
      <w:pPr>
        <w:tabs>
          <w:tab w:val="left" w:pos="4320"/>
        </w:tabs>
        <w:ind w:left="3960"/>
      </w:pPr>
      <w:r>
        <w:tab/>
      </w:r>
      <w:r>
        <w:tab/>
      </w:r>
      <w:r>
        <w:tab/>
      </w:r>
      <w:r>
        <w:tab/>
      </w:r>
      <w:r>
        <w:tab/>
      </w:r>
    </w:p>
    <w:p w:rsidR="004F64AF" w:rsidRPr="00025A4A" w:rsidP="004F64AF" w14:paraId="37469032" w14:textId="77777777">
      <w:pPr>
        <w:widowControl w:val="0"/>
        <w:tabs>
          <w:tab w:val="center" w:pos="4680"/>
          <w:tab w:val="right" w:pos="9360"/>
        </w:tabs>
        <w:ind w:left="3960"/>
        <w:rPr>
          <w:rFonts w:eastAsiaTheme="minorHAnsi"/>
        </w:rPr>
      </w:pPr>
      <w:r w:rsidRPr="00025A4A">
        <w:rPr>
          <w:rFonts w:eastAsiaTheme="minorHAnsi"/>
        </w:rPr>
        <w:t>Kimberly W. Bojko (0069402)</w:t>
      </w:r>
    </w:p>
    <w:p w:rsidR="004F64AF" w:rsidRPr="00025A4A" w:rsidP="004F64AF" w14:paraId="2916A801" w14:textId="77777777">
      <w:pPr>
        <w:widowControl w:val="0"/>
        <w:tabs>
          <w:tab w:val="center" w:pos="4680"/>
          <w:tab w:val="right" w:pos="9360"/>
        </w:tabs>
        <w:ind w:left="3960"/>
        <w:rPr>
          <w:rFonts w:eastAsiaTheme="minorHAnsi"/>
        </w:rPr>
      </w:pPr>
      <w:r w:rsidRPr="00025A4A">
        <w:rPr>
          <w:rFonts w:eastAsiaTheme="minorHAnsi"/>
        </w:rPr>
        <w:t>Carpenter Lipps &amp; Leland LLP</w:t>
      </w:r>
    </w:p>
    <w:p w:rsidR="004F64AF" w:rsidRPr="00025A4A" w:rsidP="004F64AF" w14:paraId="65380008" w14:textId="77777777">
      <w:pPr>
        <w:widowControl w:val="0"/>
        <w:tabs>
          <w:tab w:val="center" w:pos="4680"/>
          <w:tab w:val="right" w:pos="9360"/>
        </w:tabs>
        <w:ind w:left="3960"/>
        <w:rPr>
          <w:rFonts w:eastAsiaTheme="minorHAnsi"/>
        </w:rPr>
      </w:pPr>
      <w:r w:rsidRPr="00025A4A">
        <w:rPr>
          <w:rFonts w:eastAsiaTheme="minorHAnsi"/>
        </w:rPr>
        <w:t>280 North High Street, Suite 1300</w:t>
      </w:r>
    </w:p>
    <w:p w:rsidR="004F64AF" w:rsidRPr="00025A4A" w:rsidP="004F64AF" w14:paraId="306632A9" w14:textId="77777777">
      <w:pPr>
        <w:widowControl w:val="0"/>
        <w:tabs>
          <w:tab w:val="center" w:pos="4680"/>
          <w:tab w:val="right" w:pos="9360"/>
        </w:tabs>
        <w:ind w:left="3960"/>
        <w:rPr>
          <w:rFonts w:eastAsiaTheme="minorHAnsi"/>
        </w:rPr>
      </w:pPr>
      <w:r w:rsidRPr="00025A4A">
        <w:rPr>
          <w:rFonts w:eastAsiaTheme="minorHAnsi"/>
        </w:rPr>
        <w:t>Columbus, Ohio 43215</w:t>
      </w:r>
    </w:p>
    <w:p w:rsidR="004F64AF" w:rsidRPr="00025A4A" w:rsidP="004F64AF" w14:paraId="5BB24B9E" w14:textId="77777777">
      <w:pPr>
        <w:widowControl w:val="0"/>
        <w:tabs>
          <w:tab w:val="center" w:pos="4680"/>
          <w:tab w:val="right" w:pos="9360"/>
        </w:tabs>
        <w:ind w:left="3960"/>
        <w:rPr>
          <w:rFonts w:eastAsiaTheme="minorHAnsi"/>
        </w:rPr>
      </w:pPr>
      <w:r w:rsidRPr="00025A4A">
        <w:rPr>
          <w:rFonts w:eastAsiaTheme="minorHAnsi"/>
        </w:rPr>
        <w:t>Telephone: (614) 365-4100</w:t>
      </w:r>
    </w:p>
    <w:p w:rsidR="004F64AF" w:rsidRPr="00025A4A" w:rsidP="004F64AF" w14:paraId="620BDE83" w14:textId="77777777">
      <w:pPr>
        <w:widowControl w:val="0"/>
        <w:tabs>
          <w:tab w:val="center" w:pos="4680"/>
          <w:tab w:val="right" w:pos="9360"/>
        </w:tabs>
        <w:ind w:left="3960"/>
        <w:rPr>
          <w:rFonts w:eastAsiaTheme="minorHAnsi"/>
        </w:rPr>
      </w:pPr>
      <w:hyperlink r:id="rId8" w:history="1">
        <w:r w:rsidRPr="00025A4A" w:rsidR="00994525">
          <w:rPr>
            <w:rFonts w:eastAsiaTheme="minorHAnsi"/>
            <w:color w:val="0563C1" w:themeColor="hyperlink"/>
            <w:u w:val="single"/>
          </w:rPr>
          <w:t>bojko@carpenterlipps.com</w:t>
        </w:r>
      </w:hyperlink>
    </w:p>
    <w:p w:rsidR="004F64AF" w:rsidRPr="00025A4A" w:rsidP="004F64AF" w14:paraId="7C6439ED" w14:textId="77777777">
      <w:pPr>
        <w:widowControl w:val="0"/>
        <w:tabs>
          <w:tab w:val="center" w:pos="4680"/>
          <w:tab w:val="right" w:pos="9360"/>
        </w:tabs>
        <w:ind w:left="3960"/>
        <w:rPr>
          <w:rFonts w:eastAsiaTheme="minorHAnsi"/>
        </w:rPr>
      </w:pPr>
      <w:r w:rsidRPr="00025A4A">
        <w:rPr>
          <w:rFonts w:eastAsiaTheme="minorHAnsi"/>
        </w:rPr>
        <w:t>(willing to accept service by e-mail)</w:t>
      </w:r>
    </w:p>
    <w:p w:rsidR="004F64AF" w:rsidRPr="00025A4A" w:rsidP="004F64AF" w14:paraId="2C0F4058" w14:textId="77777777">
      <w:pPr>
        <w:widowControl w:val="0"/>
        <w:tabs>
          <w:tab w:val="center" w:pos="4680"/>
          <w:tab w:val="right" w:pos="9360"/>
        </w:tabs>
        <w:ind w:firstLine="4320"/>
        <w:rPr>
          <w:rFonts w:eastAsiaTheme="minorHAnsi"/>
        </w:rPr>
      </w:pPr>
    </w:p>
    <w:p w:rsidR="004F64AF" w:rsidRPr="00025A4A" w:rsidP="004F64AF" w14:paraId="60244490" w14:textId="529D4149">
      <w:pPr>
        <w:widowControl w:val="0"/>
        <w:tabs>
          <w:tab w:val="center" w:pos="4680"/>
          <w:tab w:val="right" w:pos="9360"/>
        </w:tabs>
        <w:ind w:left="3960"/>
        <w:rPr>
          <w:rFonts w:eastAsiaTheme="minorHAnsi"/>
          <w:i/>
        </w:rPr>
      </w:pPr>
      <w:r>
        <w:rPr>
          <w:rFonts w:eastAsiaTheme="minorHAnsi"/>
          <w:i/>
        </w:rPr>
        <w:t xml:space="preserve">Special </w:t>
      </w:r>
      <w:r w:rsidRPr="00025A4A">
        <w:rPr>
          <w:rFonts w:eastAsiaTheme="minorHAnsi"/>
          <w:i/>
        </w:rPr>
        <w:t>Counsel for the</w:t>
      </w:r>
    </w:p>
    <w:p w:rsidR="004F64AF" w:rsidP="004F64AF" w14:paraId="6A6724EC" w14:textId="77777777">
      <w:pPr>
        <w:ind w:left="3960"/>
        <w:rPr>
          <w:szCs w:val="20"/>
        </w:rPr>
      </w:pPr>
      <w:r w:rsidRPr="00025A4A">
        <w:rPr>
          <w:rFonts w:eastAsiaTheme="minorHAnsi"/>
          <w:i/>
        </w:rPr>
        <w:t>Office of the Ohio Consumers’ Counsel</w:t>
      </w:r>
    </w:p>
    <w:p w:rsidR="004F64AF" w:rsidP="004F64AF" w14:paraId="12005F0F" w14:textId="77777777">
      <w:pPr>
        <w:ind w:left="24"/>
        <w:jc w:val="center"/>
        <w:rPr>
          <w:b/>
          <w:szCs w:val="20"/>
          <w:u w:val="single"/>
        </w:rPr>
      </w:pPr>
      <w:r>
        <w:rPr>
          <w:b/>
          <w:szCs w:val="20"/>
          <w:u w:val="single"/>
        </w:rPr>
        <w:br w:type="page"/>
        <w:t>CERTIFICATE OF SERVICE</w:t>
      </w:r>
    </w:p>
    <w:p w:rsidR="004F64AF" w:rsidP="004F64AF" w14:paraId="334B7673" w14:textId="77777777">
      <w:pPr>
        <w:rPr>
          <w:szCs w:val="20"/>
          <w:u w:val="single"/>
        </w:rPr>
      </w:pPr>
    </w:p>
    <w:p w:rsidR="008B1C45" w:rsidRPr="007D7D1C" w:rsidP="008B1C45" w14:paraId="475C0732" w14:textId="25DA9A27">
      <w:pPr>
        <w:spacing w:line="480" w:lineRule="auto"/>
        <w:ind w:firstLine="720"/>
        <w:rPr>
          <w:i/>
          <w:iCs/>
        </w:rPr>
      </w:pPr>
      <w:r w:rsidRPr="007D7D1C">
        <w:t xml:space="preserve">I hereby certify that a copy of this Memorandum Contra was served on the persons stated below via electronic transmission, this </w:t>
      </w:r>
      <w:r>
        <w:t>2</w:t>
      </w:r>
      <w:r w:rsidRPr="007D7D1C">
        <w:t>8</w:t>
      </w:r>
      <w:r w:rsidRPr="007D7D1C">
        <w:rPr>
          <w:vertAlign w:val="superscript"/>
        </w:rPr>
        <w:t>th</w:t>
      </w:r>
      <w:r w:rsidRPr="007D7D1C">
        <w:t xml:space="preserve"> day of </w:t>
      </w:r>
      <w:r>
        <w:t>October</w:t>
      </w:r>
      <w:r w:rsidRPr="007D7D1C">
        <w:t xml:space="preserve"> 2020.</w:t>
      </w:r>
    </w:p>
    <w:p w:rsidR="008B1C45" w:rsidRPr="007D7D1C" w:rsidP="008B1C45" w14:paraId="272CD7B4" w14:textId="77777777">
      <w:pPr>
        <w:tabs>
          <w:tab w:val="left" w:pos="4320"/>
        </w:tabs>
        <w:rPr>
          <w:i/>
          <w:u w:val="single"/>
        </w:rPr>
      </w:pPr>
      <w:r w:rsidRPr="007D7D1C">
        <w:tab/>
      </w:r>
      <w:r w:rsidRPr="007D7D1C">
        <w:rPr>
          <w:i/>
          <w:iCs/>
          <w:u w:val="single"/>
        </w:rPr>
        <w:t>/s/</w:t>
      </w:r>
      <w:r w:rsidRPr="007D7D1C">
        <w:rPr>
          <w:u w:val="single"/>
        </w:rPr>
        <w:t xml:space="preserve"> </w:t>
      </w:r>
      <w:r w:rsidRPr="007D7D1C">
        <w:rPr>
          <w:i/>
          <w:u w:val="single"/>
        </w:rPr>
        <w:t>Angela D. O’Brien</w:t>
      </w:r>
      <w:r w:rsidRPr="007D7D1C">
        <w:rPr>
          <w:i/>
          <w:u w:val="single"/>
        </w:rPr>
        <w:tab/>
      </w:r>
      <w:r w:rsidRPr="007D7D1C">
        <w:rPr>
          <w:i/>
          <w:u w:val="single"/>
        </w:rPr>
        <w:tab/>
      </w:r>
    </w:p>
    <w:p w:rsidR="008B1C45" w:rsidRPr="007D7D1C" w:rsidP="008B1C45" w14:paraId="7E5BCEFB" w14:textId="77777777">
      <w:pPr>
        <w:tabs>
          <w:tab w:val="left" w:pos="4320"/>
        </w:tabs>
      </w:pPr>
      <w:r w:rsidRPr="007D7D1C">
        <w:tab/>
        <w:t>Angela D. O’Brien</w:t>
      </w:r>
    </w:p>
    <w:p w:rsidR="008B1C45" w:rsidRPr="007D7D1C" w:rsidP="008B1C45" w14:paraId="23207509" w14:textId="77777777">
      <w:pPr>
        <w:tabs>
          <w:tab w:val="left" w:pos="4320"/>
        </w:tabs>
      </w:pPr>
      <w:r w:rsidRPr="007D7D1C">
        <w:tab/>
        <w:t>Assistant Consumers’ Counsel</w:t>
      </w:r>
    </w:p>
    <w:p w:rsidR="008B1C45" w:rsidRPr="007D7D1C" w:rsidP="008B1C45" w14:paraId="2F36ABDE" w14:textId="77777777">
      <w:pPr>
        <w:tabs>
          <w:tab w:val="left" w:pos="4320"/>
        </w:tabs>
      </w:pPr>
    </w:p>
    <w:p w:rsidR="008B1C45" w:rsidRPr="007D7D1C" w:rsidP="008B1C45" w14:paraId="5F6C3611" w14:textId="77777777">
      <w:pPr>
        <w:pStyle w:val="CommentSubject"/>
        <w:rPr>
          <w:szCs w:val="24"/>
        </w:rPr>
      </w:pPr>
    </w:p>
    <w:p w:rsidR="008B1C45" w:rsidRPr="007D7D1C" w:rsidP="008B1C45" w14:paraId="556322E2" w14:textId="77777777">
      <w:r w:rsidRPr="007D7D1C">
        <w:t>The PUCO’s e-filing system will electronically serve notice of the filing of this document on the following parties:</w:t>
      </w:r>
    </w:p>
    <w:p w:rsidR="008B1C45" w:rsidRPr="007D7D1C" w:rsidP="008B1C45" w14:paraId="573E29D7" w14:textId="77777777"/>
    <w:p w:rsidR="004F64AF" w:rsidP="004F64AF" w14:paraId="54C4C741" w14:textId="77777777">
      <w:pPr>
        <w:pStyle w:val="CommentText"/>
        <w:jc w:val="center"/>
        <w:rPr>
          <w:b/>
          <w:u w:val="single"/>
        </w:rPr>
      </w:pPr>
      <w:r>
        <w:rPr>
          <w:b/>
          <w:u w:val="single"/>
        </w:rPr>
        <w:t>SERVICE LIST</w:t>
      </w:r>
    </w:p>
    <w:p w:rsidR="006215CC" w:rsidRPr="007D7D1C" w:rsidP="006215CC" w14:paraId="6471813A" w14:textId="77777777">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26"/>
        <w:gridCol w:w="4414"/>
      </w:tblGrid>
      <w:tr w14:paraId="3DB5DE10" w14:textId="77777777" w:rsidTr="009F291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97" w:type="dxa"/>
            <w:tcBorders>
              <w:top w:val="nil"/>
              <w:left w:val="nil"/>
              <w:bottom w:val="nil"/>
              <w:right w:val="nil"/>
            </w:tcBorders>
            <w:shd w:val="clear" w:color="auto" w:fill="auto"/>
          </w:tcPr>
          <w:p w:rsidR="006215CC" w:rsidRPr="007D7D1C" w:rsidP="009F2912" w14:paraId="7177776B" w14:textId="77777777">
            <w:pPr>
              <w:rPr>
                <w:color w:val="0000FF"/>
                <w:u w:val="single"/>
              </w:rPr>
            </w:pPr>
            <w:hyperlink r:id="rId9" w:history="1">
              <w:r w:rsidRPr="007D7D1C" w:rsidR="00994525">
                <w:rPr>
                  <w:color w:val="0000FF"/>
                  <w:u w:val="single"/>
                </w:rPr>
                <w:t>jodi.bair@ohioattorneygeneral.gov</w:t>
              </w:r>
            </w:hyperlink>
          </w:p>
          <w:p w:rsidR="006215CC" w:rsidRPr="007D7D1C" w:rsidP="009F2912" w14:paraId="0F2D2C8D" w14:textId="77777777">
            <w:pPr>
              <w:rPr>
                <w:color w:val="0000FF"/>
                <w:u w:val="single"/>
              </w:rPr>
            </w:pPr>
          </w:p>
          <w:p w:rsidR="006215CC" w:rsidRPr="007D7D1C" w:rsidP="009F2912" w14:paraId="5312C742" w14:textId="77777777">
            <w:r w:rsidRPr="007D7D1C">
              <w:t>Attorney Examiners:</w:t>
            </w:r>
          </w:p>
          <w:p w:rsidR="006215CC" w:rsidRPr="007D7D1C" w:rsidP="009F2912" w14:paraId="127304FF" w14:textId="77777777"/>
          <w:p w:rsidR="006215CC" w:rsidRPr="007D7D1C" w:rsidP="009F2912" w14:paraId="61937231" w14:textId="77777777">
            <w:hyperlink r:id="rId10" w:history="1">
              <w:r w:rsidRPr="007D7D1C" w:rsidR="00994525">
                <w:rPr>
                  <w:color w:val="0000FF"/>
                  <w:u w:val="single"/>
                </w:rPr>
                <w:t>Gregory.price@puco.ohio.gov</w:t>
              </w:r>
            </w:hyperlink>
          </w:p>
          <w:p w:rsidR="006215CC" w:rsidRPr="007D7D1C" w:rsidP="009F2912" w14:paraId="7090AD8C" w14:textId="77777777">
            <w:hyperlink r:id="rId11" w:history="1">
              <w:r w:rsidRPr="007D7D1C" w:rsidR="00994525">
                <w:rPr>
                  <w:color w:val="0000FF"/>
                  <w:u w:val="single"/>
                </w:rPr>
                <w:t>Anna.sanyal@puco.ohio.gov</w:t>
              </w:r>
            </w:hyperlink>
          </w:p>
          <w:p w:rsidR="006215CC" w:rsidRPr="007D7D1C" w:rsidP="009F2912" w14:paraId="795EB557" w14:textId="77777777"/>
        </w:tc>
        <w:tc>
          <w:tcPr>
            <w:tcW w:w="4459" w:type="dxa"/>
            <w:tcBorders>
              <w:top w:val="nil"/>
              <w:left w:val="nil"/>
              <w:bottom w:val="nil"/>
              <w:right w:val="nil"/>
            </w:tcBorders>
            <w:shd w:val="clear" w:color="auto" w:fill="auto"/>
          </w:tcPr>
          <w:p w:rsidR="006215CC" w:rsidP="009F2912" w14:paraId="79F4B689" w14:textId="77777777">
            <w:pPr>
              <w:autoSpaceDE w:val="0"/>
              <w:autoSpaceDN w:val="0"/>
              <w:adjustRightInd w:val="0"/>
              <w:ind w:left="1296"/>
              <w:rPr>
                <w:rStyle w:val="Hyperlink"/>
              </w:rPr>
            </w:pPr>
            <w:hyperlink r:id="rId12" w:history="1">
              <w:r w:rsidRPr="007D7D1C" w:rsidR="00994525">
                <w:rPr>
                  <w:rStyle w:val="Hyperlink"/>
                </w:rPr>
                <w:t>mmcguire@HuntonAK.com</w:t>
              </w:r>
            </w:hyperlink>
          </w:p>
          <w:p w:rsidR="006215CC" w:rsidP="009F2912" w14:paraId="3C0BAC91" w14:textId="40453AAC">
            <w:pPr>
              <w:autoSpaceDE w:val="0"/>
              <w:autoSpaceDN w:val="0"/>
              <w:adjustRightInd w:val="0"/>
              <w:ind w:left="1296"/>
              <w:rPr>
                <w:rStyle w:val="Hyperlink"/>
                <w:rFonts w:ascii="TimesNewRoman" w:hAnsi="TimesNewRoman" w:cs="TimesNewRoman"/>
              </w:rPr>
            </w:pPr>
            <w:hyperlink r:id="rId13" w:history="1">
              <w:r w:rsidRPr="009E6694" w:rsidR="00994525">
                <w:rPr>
                  <w:rStyle w:val="Hyperlink"/>
                  <w:rFonts w:ascii="TimesNewRoman" w:hAnsi="TimesNewRoman" w:cs="TimesNewRoman"/>
                </w:rPr>
                <w:t>cpardo@HuntonAK.com</w:t>
              </w:r>
            </w:hyperlink>
          </w:p>
          <w:p w:rsidR="006215CC" w:rsidP="006215CC" w14:paraId="67656F70" w14:textId="487246DB">
            <w:pPr>
              <w:autoSpaceDE w:val="0"/>
              <w:autoSpaceDN w:val="0"/>
              <w:adjustRightInd w:val="0"/>
              <w:ind w:left="1248"/>
              <w:rPr>
                <w:rFonts w:ascii="TimesNewRomanPSMT" w:hAnsi="TimesNewRomanPSMT" w:eastAsiaTheme="minorHAnsi" w:cs="TimesNewRomanPSMT"/>
              </w:rPr>
            </w:pPr>
            <w:r>
              <w:rPr>
                <w:rFonts w:ascii="TimesNewRomanPSMT" w:hAnsi="TimesNewRomanPSMT" w:eastAsiaTheme="minorHAnsi" w:cs="TimesNewRomanPSMT"/>
              </w:rPr>
              <w:t xml:space="preserve"> </w:t>
            </w:r>
            <w:hyperlink r:id="rId14" w:history="1">
              <w:r w:rsidRPr="000C3058">
                <w:rPr>
                  <w:rStyle w:val="Hyperlink"/>
                  <w:rFonts w:ascii="TimesNewRomanPSMT" w:hAnsi="TimesNewRomanPSMT" w:eastAsiaTheme="minorHAnsi" w:cs="TimesNewRomanPSMT"/>
                </w:rPr>
                <w:t>egallon@porterwright.com</w:t>
              </w:r>
            </w:hyperlink>
          </w:p>
          <w:p w:rsidR="006215CC" w:rsidP="006215CC" w14:paraId="3AE8BE63" w14:textId="45E25917">
            <w:pPr>
              <w:autoSpaceDE w:val="0"/>
              <w:autoSpaceDN w:val="0"/>
              <w:adjustRightInd w:val="0"/>
              <w:ind w:left="1296"/>
              <w:rPr>
                <w:rFonts w:ascii="TimesNewRomanPSMT" w:hAnsi="TimesNewRomanPSMT" w:eastAsiaTheme="minorHAnsi" w:cs="TimesNewRomanPSMT"/>
              </w:rPr>
            </w:pPr>
            <w:hyperlink r:id="rId15" w:history="1">
              <w:r w:rsidRPr="000C3058" w:rsidR="00994525">
                <w:rPr>
                  <w:rStyle w:val="Hyperlink"/>
                  <w:rFonts w:ascii="TimesNewRomanPSMT" w:hAnsi="TimesNewRomanPSMT" w:eastAsiaTheme="minorHAnsi" w:cs="TimesNewRomanPSMT"/>
                </w:rPr>
                <w:t>acarter@porterwright.com</w:t>
              </w:r>
            </w:hyperlink>
          </w:p>
          <w:p w:rsidR="006215CC" w:rsidP="006215CC" w14:paraId="3990A5D8" w14:textId="77777777">
            <w:pPr>
              <w:autoSpaceDE w:val="0"/>
              <w:autoSpaceDN w:val="0"/>
              <w:adjustRightInd w:val="0"/>
              <w:ind w:left="1296"/>
              <w:rPr>
                <w:rFonts w:ascii="TimesNewRoman" w:hAnsi="TimesNewRoman" w:cs="TimesNewRoman"/>
              </w:rPr>
            </w:pPr>
          </w:p>
          <w:p w:rsidR="006215CC" w:rsidRPr="007D7D1C" w:rsidP="009F2912" w14:paraId="26E807D3" w14:textId="77777777">
            <w:pPr>
              <w:autoSpaceDE w:val="0"/>
              <w:autoSpaceDN w:val="0"/>
              <w:adjustRightInd w:val="0"/>
              <w:ind w:left="1296"/>
            </w:pPr>
          </w:p>
          <w:p w:rsidR="006215CC" w:rsidRPr="007D7D1C" w:rsidP="009F2912" w14:paraId="2E80F8A1" w14:textId="77777777">
            <w:pPr>
              <w:autoSpaceDE w:val="0"/>
              <w:autoSpaceDN w:val="0"/>
              <w:adjustRightInd w:val="0"/>
              <w:ind w:left="1296"/>
            </w:pPr>
          </w:p>
          <w:p w:rsidR="006215CC" w:rsidRPr="007D7D1C" w:rsidP="009F2912" w14:paraId="24CEFD33" w14:textId="77777777">
            <w:pPr>
              <w:autoSpaceDE w:val="0"/>
              <w:autoSpaceDN w:val="0"/>
              <w:adjustRightInd w:val="0"/>
              <w:ind w:left="1296"/>
            </w:pPr>
          </w:p>
          <w:p w:rsidR="006215CC" w:rsidRPr="007D7D1C" w:rsidP="009F2912" w14:paraId="33D456A9" w14:textId="77777777">
            <w:pPr>
              <w:ind w:left="1416"/>
              <w:jc w:val="both"/>
            </w:pPr>
            <w:r w:rsidRPr="007D7D1C">
              <w:t xml:space="preserve"> </w:t>
            </w:r>
          </w:p>
          <w:p w:rsidR="006215CC" w:rsidRPr="007D7D1C" w:rsidP="009F2912" w14:paraId="740D4FA8" w14:textId="77777777">
            <w:pPr>
              <w:rPr>
                <w:b/>
                <w:u w:val="single"/>
              </w:rPr>
            </w:pPr>
          </w:p>
        </w:tc>
      </w:tr>
    </w:tbl>
    <w:p w:rsidR="004F64AF" w:rsidRPr="00CF4FCF" w:rsidP="00CF4FCF" w14:paraId="1C1CDA36" w14:textId="77777777">
      <w:pPr>
        <w:pStyle w:val="ListParagraph"/>
        <w:spacing w:line="480" w:lineRule="auto"/>
        <w:ind w:left="0" w:firstLine="720"/>
        <w:jc w:val="both"/>
      </w:pPr>
    </w:p>
    <w:sectPr w:rsidSect="006215CC">
      <w:footerReference w:type="default" r:id="rId16"/>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55312379"/>
      <w:docPartObj>
        <w:docPartGallery w:val="Page Numbers (Bottom of Page)"/>
        <w:docPartUnique/>
      </w:docPartObj>
    </w:sdtPr>
    <w:sdtEndPr>
      <w:rPr>
        <w:noProof/>
      </w:rPr>
    </w:sdtEndPr>
    <w:sdtContent>
      <w:p w:rsidR="00325B54" w14:paraId="45BEAE50" w14:textId="7EEFF249">
        <w:pPr>
          <w:pStyle w:val="Footer"/>
          <w:jc w:val="center"/>
        </w:pPr>
        <w:r>
          <w:fldChar w:fldCharType="begin"/>
        </w:r>
        <w:r>
          <w:instrText xml:space="preserve"> PAGE   \* MERGEFORMAT </w:instrText>
        </w:r>
        <w:r>
          <w:fldChar w:fldCharType="separate"/>
        </w:r>
        <w:r w:rsidR="00A15AB4">
          <w:rPr>
            <w:noProof/>
          </w:rPr>
          <w:t>8</w:t>
        </w:r>
        <w:r>
          <w:rPr>
            <w:noProof/>
          </w:rPr>
          <w:fldChar w:fldCharType="end"/>
        </w:r>
      </w:p>
    </w:sdtContent>
  </w:sdt>
  <w:p w:rsidR="00325B54" w14:paraId="3F321BE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94525" w:rsidP="00216FBA" w14:paraId="51CE722C" w14:textId="77777777">
      <w:r>
        <w:separator/>
      </w:r>
    </w:p>
  </w:footnote>
  <w:footnote w:type="continuationSeparator" w:id="1">
    <w:p w:rsidR="00994525" w:rsidP="00216FBA" w14:paraId="09606704" w14:textId="77777777">
      <w:r>
        <w:continuationSeparator/>
      </w:r>
    </w:p>
  </w:footnote>
  <w:footnote w:id="2">
    <w:p w:rsidR="00A6025C" w:rsidRPr="00B93441" w:rsidP="00A6025C" w14:paraId="6986C751" w14:textId="77777777">
      <w:pPr>
        <w:pStyle w:val="FootnoteText"/>
        <w:spacing w:after="120"/>
        <w:jc w:val="both"/>
      </w:pPr>
      <w:r>
        <w:rPr>
          <w:rStyle w:val="FootnoteReference"/>
        </w:rPr>
        <w:footnoteRef/>
      </w:r>
      <w:r>
        <w:rPr>
          <w:lang w:val="en-US"/>
        </w:rPr>
        <w:t xml:space="preserve"> </w:t>
      </w:r>
      <w:r>
        <w:t xml:space="preserve">“PALMco” refers to </w:t>
      </w:r>
      <w:r w:rsidRPr="00A5772F">
        <w:t>PALMco Power OH, LLC dba Indra Energy and PALMco Energy OH, LLC dba Indra Energy</w:t>
      </w:r>
      <w:r>
        <w:t>.</w:t>
      </w:r>
    </w:p>
  </w:footnote>
  <w:footnote w:id="3">
    <w:p w:rsidR="00F8539B" w:rsidRPr="008B1C45" w:rsidP="00F8539B" w14:paraId="5856392C" w14:textId="4BCEDE88">
      <w:pPr>
        <w:pStyle w:val="FootnoteText"/>
        <w:rPr>
          <w:lang w:val="en-US"/>
        </w:rPr>
      </w:pPr>
      <w:r>
        <w:rPr>
          <w:rStyle w:val="FootnoteReference"/>
        </w:rPr>
        <w:footnoteRef/>
      </w:r>
      <w:r>
        <w:t xml:space="preserve"> </w:t>
      </w:r>
      <w:r>
        <w:rPr>
          <w:szCs w:val="24"/>
        </w:rPr>
        <w:t>R.C. 4903.082</w:t>
      </w:r>
      <w:r w:rsidR="008B1C45">
        <w:rPr>
          <w:szCs w:val="24"/>
          <w:lang w:val="en-US"/>
        </w:rPr>
        <w:t>.</w:t>
      </w:r>
    </w:p>
  </w:footnote>
  <w:footnote w:id="4">
    <w:p w:rsidR="009A1955" w:rsidRPr="001902FE" w:rsidP="008B1C45" w14:paraId="22FD1430" w14:textId="0204429B">
      <w:pPr>
        <w:pStyle w:val="FootnoteText"/>
        <w:spacing w:after="120"/>
        <w:rPr>
          <w:lang w:val="en-US"/>
        </w:rPr>
      </w:pPr>
      <w:r>
        <w:rPr>
          <w:rStyle w:val="FootnoteReference"/>
        </w:rPr>
        <w:footnoteRef/>
      </w:r>
      <w:r>
        <w:t xml:space="preserve"> </w:t>
      </w:r>
      <w:r w:rsidR="00180B0C">
        <w:rPr>
          <w:lang w:val="en-US"/>
        </w:rPr>
        <w:t xml:space="preserve">April 6, 2020 Entry, at </w:t>
      </w:r>
      <w:r>
        <w:rPr>
          <w:lang w:val="en-US"/>
        </w:rPr>
        <w:t>¶19, August 6, 2020 Entry, at ¶10.</w:t>
      </w:r>
    </w:p>
  </w:footnote>
  <w:footnote w:id="5">
    <w:p w:rsidR="00CA111F" w:rsidRPr="00CA111F" w:rsidP="008B1C45" w14:paraId="4F5604D2" w14:textId="40D0FAC3">
      <w:pPr>
        <w:pStyle w:val="FootnoteText"/>
        <w:spacing w:after="120"/>
        <w:rPr>
          <w:lang w:val="en-US"/>
        </w:rPr>
      </w:pPr>
      <w:r>
        <w:rPr>
          <w:rStyle w:val="FootnoteReference"/>
        </w:rPr>
        <w:footnoteRef/>
      </w:r>
      <w:r>
        <w:t xml:space="preserve"> </w:t>
      </w:r>
      <w:r>
        <w:rPr>
          <w:lang w:val="en-US"/>
        </w:rPr>
        <w:t>First Motion to Compel (Feb. 14, 2020); Second Motion to Compel (Mar. 17, 2020); Third Motion to Compel (Oct. 28, 2020).</w:t>
      </w:r>
    </w:p>
  </w:footnote>
  <w:footnote w:id="6">
    <w:p w:rsidR="00D24953" w:rsidP="008B1C45" w14:paraId="1A33A92C" w14:textId="77777777">
      <w:pPr>
        <w:pStyle w:val="FootnoteText"/>
        <w:spacing w:after="120"/>
        <w:jc w:val="both"/>
      </w:pPr>
      <w:r>
        <w:rPr>
          <w:rStyle w:val="FootnoteReference"/>
        </w:rPr>
        <w:footnoteRef/>
      </w:r>
      <w:r>
        <w:t xml:space="preserve"> Ohio Adm. Code 4901-1-19(A) and 4901-1-20(C).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0FD1863"/>
    <w:multiLevelType w:val="hybridMultilevel"/>
    <w:tmpl w:val="C06434B6"/>
    <w:lvl w:ilvl="0">
      <w:start w:val="1"/>
      <w:numFmt w:val="upperRoman"/>
      <w:lvlText w:val="%1."/>
      <w:lvlJc w:val="right"/>
      <w:pPr>
        <w:ind w:left="720" w:hanging="360"/>
      </w:pPr>
    </w:lvl>
    <w:lvl w:ilvl="1">
      <w:start w:val="1"/>
      <w:numFmt w:val="upp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SortMethod w:val="na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69F"/>
    <w:rsid w:val="00001CD4"/>
    <w:rsid w:val="00003903"/>
    <w:rsid w:val="00022D55"/>
    <w:rsid w:val="00025A4A"/>
    <w:rsid w:val="0002649F"/>
    <w:rsid w:val="000B0151"/>
    <w:rsid w:val="000B076D"/>
    <w:rsid w:val="000B12DA"/>
    <w:rsid w:val="000C3058"/>
    <w:rsid w:val="000E1681"/>
    <w:rsid w:val="000F14B8"/>
    <w:rsid w:val="00104013"/>
    <w:rsid w:val="001167F6"/>
    <w:rsid w:val="00132251"/>
    <w:rsid w:val="00154979"/>
    <w:rsid w:val="00180B0C"/>
    <w:rsid w:val="00184F99"/>
    <w:rsid w:val="00187A07"/>
    <w:rsid w:val="001902FE"/>
    <w:rsid w:val="001B1CAC"/>
    <w:rsid w:val="001C4191"/>
    <w:rsid w:val="001F02EC"/>
    <w:rsid w:val="00216FBA"/>
    <w:rsid w:val="00225DF0"/>
    <w:rsid w:val="002448C2"/>
    <w:rsid w:val="00246A3B"/>
    <w:rsid w:val="0025371A"/>
    <w:rsid w:val="002547AE"/>
    <w:rsid w:val="00262CD3"/>
    <w:rsid w:val="002A7D65"/>
    <w:rsid w:val="002B0B0D"/>
    <w:rsid w:val="002D2BAD"/>
    <w:rsid w:val="00320C96"/>
    <w:rsid w:val="00325B54"/>
    <w:rsid w:val="003275B1"/>
    <w:rsid w:val="00347DFE"/>
    <w:rsid w:val="0036098A"/>
    <w:rsid w:val="0039369F"/>
    <w:rsid w:val="004378C2"/>
    <w:rsid w:val="0046670B"/>
    <w:rsid w:val="004B6160"/>
    <w:rsid w:val="004F64AF"/>
    <w:rsid w:val="005D35E1"/>
    <w:rsid w:val="00610469"/>
    <w:rsid w:val="006215CC"/>
    <w:rsid w:val="00632631"/>
    <w:rsid w:val="00636659"/>
    <w:rsid w:val="00653605"/>
    <w:rsid w:val="00660E50"/>
    <w:rsid w:val="00690903"/>
    <w:rsid w:val="006B4C6A"/>
    <w:rsid w:val="006F7AC7"/>
    <w:rsid w:val="0070466B"/>
    <w:rsid w:val="00723211"/>
    <w:rsid w:val="00760542"/>
    <w:rsid w:val="00760E1F"/>
    <w:rsid w:val="00765269"/>
    <w:rsid w:val="0076526B"/>
    <w:rsid w:val="0076736D"/>
    <w:rsid w:val="0078511C"/>
    <w:rsid w:val="00792979"/>
    <w:rsid w:val="007A037D"/>
    <w:rsid w:val="007C624B"/>
    <w:rsid w:val="007D7D1C"/>
    <w:rsid w:val="007E39E3"/>
    <w:rsid w:val="007E5B2F"/>
    <w:rsid w:val="008142B8"/>
    <w:rsid w:val="008233C2"/>
    <w:rsid w:val="00826F19"/>
    <w:rsid w:val="00876852"/>
    <w:rsid w:val="008A43C1"/>
    <w:rsid w:val="008B1C45"/>
    <w:rsid w:val="008C22B1"/>
    <w:rsid w:val="008E6E9D"/>
    <w:rsid w:val="008F3C24"/>
    <w:rsid w:val="00914582"/>
    <w:rsid w:val="00923845"/>
    <w:rsid w:val="00965998"/>
    <w:rsid w:val="00970B40"/>
    <w:rsid w:val="00975F29"/>
    <w:rsid w:val="00994525"/>
    <w:rsid w:val="009A1955"/>
    <w:rsid w:val="009B2297"/>
    <w:rsid w:val="009C4849"/>
    <w:rsid w:val="009E6694"/>
    <w:rsid w:val="009F2912"/>
    <w:rsid w:val="009F3C87"/>
    <w:rsid w:val="00A044B5"/>
    <w:rsid w:val="00A0746E"/>
    <w:rsid w:val="00A15AB4"/>
    <w:rsid w:val="00A27968"/>
    <w:rsid w:val="00A36846"/>
    <w:rsid w:val="00A44156"/>
    <w:rsid w:val="00A5772F"/>
    <w:rsid w:val="00A6025C"/>
    <w:rsid w:val="00AA5028"/>
    <w:rsid w:val="00AE0336"/>
    <w:rsid w:val="00B06937"/>
    <w:rsid w:val="00B21597"/>
    <w:rsid w:val="00B712B6"/>
    <w:rsid w:val="00B93441"/>
    <w:rsid w:val="00BA4FD8"/>
    <w:rsid w:val="00BB482E"/>
    <w:rsid w:val="00BC1FCB"/>
    <w:rsid w:val="00C343F9"/>
    <w:rsid w:val="00C44637"/>
    <w:rsid w:val="00C532EA"/>
    <w:rsid w:val="00C7015F"/>
    <w:rsid w:val="00CA111F"/>
    <w:rsid w:val="00CB5DDE"/>
    <w:rsid w:val="00CC2CB6"/>
    <w:rsid w:val="00CE388A"/>
    <w:rsid w:val="00CF4FCF"/>
    <w:rsid w:val="00D06CF8"/>
    <w:rsid w:val="00D24953"/>
    <w:rsid w:val="00D54BDE"/>
    <w:rsid w:val="00D563B5"/>
    <w:rsid w:val="00D60924"/>
    <w:rsid w:val="00D63A8B"/>
    <w:rsid w:val="00DD1291"/>
    <w:rsid w:val="00DD75AB"/>
    <w:rsid w:val="00E60E9B"/>
    <w:rsid w:val="00E64EF6"/>
    <w:rsid w:val="00E65D68"/>
    <w:rsid w:val="00F62F40"/>
    <w:rsid w:val="00F6533F"/>
    <w:rsid w:val="00F70EB2"/>
    <w:rsid w:val="00F8539B"/>
    <w:rsid w:val="00F970B9"/>
    <w:rsid w:val="00FA22BE"/>
    <w:rsid w:val="00FB2039"/>
    <w:rsid w:val="00FC5EEF"/>
    <w:rsid w:val="00FF1519"/>
    <w:rsid w:val="00FF211D"/>
    <w:rsid w:val="00FF583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69F"/>
    <w:pPr>
      <w:jc w:val="left"/>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nhideWhenUsed/>
    <w:qFormat/>
    <w:rsid w:val="00826F19"/>
    <w:rPr>
      <w:sz w:val="20"/>
      <w:vertAlign w:val="superscript"/>
    </w:rPr>
  </w:style>
  <w:style w:type="character" w:styleId="PageNumber">
    <w:name w:val="page number"/>
    <w:basedOn w:val="DefaultParagraphFont"/>
    <w:uiPriority w:val="99"/>
    <w:semiHidden/>
    <w:unhideWhenUsed/>
    <w:rsid w:val="00826F19"/>
    <w:rPr>
      <w:rFonts w:ascii="Times New Roman" w:hAnsi="Times New Roman"/>
      <w:sz w:val="24"/>
    </w:rPr>
  </w:style>
  <w:style w:type="paragraph" w:styleId="FootnoteText">
    <w:name w:val="footnote text"/>
    <w:aliases w:val="ALTS FOOTNOTE,Footnote Text Char Char,Footnote Text Char Char Char Char,Footnote Text Char Char1,Footnote Text Char1,Footnote Text Char1 Char Char1,Footnote Text Char1 Char Char1 Char Char Char,Footnote Text Char2 Char Char Char Char1,fn"/>
    <w:basedOn w:val="Normal"/>
    <w:link w:val="FootnoteTextChar"/>
    <w:qFormat/>
    <w:rsid w:val="00F6533F"/>
    <w:pPr>
      <w:overflowPunct w:val="0"/>
      <w:autoSpaceDE w:val="0"/>
      <w:autoSpaceDN w:val="0"/>
      <w:adjustRightInd w:val="0"/>
      <w:textAlignment w:val="baseline"/>
    </w:pPr>
    <w:rPr>
      <w:rFonts w:eastAsia="Times New Roman"/>
      <w:sz w:val="20"/>
      <w:szCs w:val="20"/>
      <w:lang w:val="x-none" w:eastAsia="x-none"/>
    </w:rPr>
  </w:style>
  <w:style w:type="character" w:customStyle="1" w:styleId="FootnoteTextChar">
    <w:name w:val="Footnote Text Char"/>
    <w:aliases w:val="ALTS FOOTNOTE Char,Footnote Text Char Char Char,Footnote Text Char Char Char Char Char,Footnote Text Char Char1 Char,Footnote Text Char1 Char,Footnote Text Char1 Char Char1 Char,Footnote Text Char1 Char Char1 Char Char Char Char"/>
    <w:basedOn w:val="DefaultParagraphFont"/>
    <w:link w:val="FootnoteText"/>
    <w:rsid w:val="00F6533F"/>
    <w:rPr>
      <w:rFonts w:eastAsia="Times New Roman" w:cs="Times New Roman"/>
      <w:sz w:val="20"/>
      <w:szCs w:val="20"/>
      <w:lang w:val="x-none" w:eastAsia="x-none"/>
    </w:rPr>
  </w:style>
  <w:style w:type="paragraph" w:styleId="ListParagraph">
    <w:name w:val="List Paragraph"/>
    <w:basedOn w:val="Normal"/>
    <w:uiPriority w:val="34"/>
    <w:qFormat/>
    <w:rsid w:val="0039369F"/>
    <w:pPr>
      <w:ind w:left="720"/>
      <w:contextualSpacing/>
    </w:pPr>
  </w:style>
  <w:style w:type="character" w:customStyle="1" w:styleId="FootnoteTextChar3">
    <w:name w:val="Footnote Text Char3"/>
    <w:aliases w:val="Footnote Text Char Char Char Char Char1,Footnote Text Char Char Char1 Char1,Footnote Text Char Char Char2,Footnote Text Char Char1 Char1,Footnote Text Char1 Char Char Char1,Footnote Text Char1 Char1 Char1,Footnote Text Char2 Char2"/>
    <w:uiPriority w:val="99"/>
    <w:locked/>
    <w:rsid w:val="00B93441"/>
    <w:rPr>
      <w:rFonts w:eastAsia="Times New Roman"/>
    </w:rPr>
  </w:style>
  <w:style w:type="paragraph" w:styleId="CommentText">
    <w:name w:val="annotation text"/>
    <w:basedOn w:val="Normal"/>
    <w:link w:val="CommentTextChar"/>
    <w:semiHidden/>
    <w:rsid w:val="004F64AF"/>
    <w:rPr>
      <w:rFonts w:eastAsia="Times New Roman"/>
      <w:szCs w:val="20"/>
    </w:rPr>
  </w:style>
  <w:style w:type="character" w:customStyle="1" w:styleId="CommentTextChar">
    <w:name w:val="Comment Text Char"/>
    <w:basedOn w:val="DefaultParagraphFont"/>
    <w:link w:val="CommentText"/>
    <w:semiHidden/>
    <w:rsid w:val="004F64AF"/>
    <w:rPr>
      <w:rFonts w:eastAsia="Times New Roman" w:cs="Times New Roman"/>
      <w:szCs w:val="20"/>
    </w:rPr>
  </w:style>
  <w:style w:type="character" w:styleId="Hyperlink">
    <w:name w:val="Hyperlink"/>
    <w:uiPriority w:val="99"/>
    <w:rsid w:val="004F64AF"/>
    <w:rPr>
      <w:rFonts w:cs="Times New Roman"/>
      <w:color w:val="0000FF"/>
      <w:u w:val="single"/>
    </w:rPr>
  </w:style>
  <w:style w:type="paragraph" w:styleId="Header">
    <w:name w:val="header"/>
    <w:basedOn w:val="Normal"/>
    <w:link w:val="HeaderChar"/>
    <w:uiPriority w:val="99"/>
    <w:unhideWhenUsed/>
    <w:rsid w:val="00325B54"/>
    <w:pPr>
      <w:tabs>
        <w:tab w:val="center" w:pos="4680"/>
        <w:tab w:val="right" w:pos="9360"/>
      </w:tabs>
    </w:pPr>
  </w:style>
  <w:style w:type="character" w:customStyle="1" w:styleId="HeaderChar">
    <w:name w:val="Header Char"/>
    <w:basedOn w:val="DefaultParagraphFont"/>
    <w:link w:val="Header"/>
    <w:uiPriority w:val="99"/>
    <w:rsid w:val="00325B54"/>
    <w:rPr>
      <w:rFonts w:eastAsia="Calibri" w:cs="Times New Roman"/>
    </w:rPr>
  </w:style>
  <w:style w:type="paragraph" w:styleId="Footer">
    <w:name w:val="footer"/>
    <w:basedOn w:val="Normal"/>
    <w:link w:val="FooterChar"/>
    <w:uiPriority w:val="99"/>
    <w:unhideWhenUsed/>
    <w:rsid w:val="00325B54"/>
    <w:pPr>
      <w:tabs>
        <w:tab w:val="center" w:pos="4680"/>
        <w:tab w:val="right" w:pos="9360"/>
      </w:tabs>
    </w:pPr>
  </w:style>
  <w:style w:type="character" w:customStyle="1" w:styleId="FooterChar">
    <w:name w:val="Footer Char"/>
    <w:basedOn w:val="DefaultParagraphFont"/>
    <w:link w:val="Footer"/>
    <w:uiPriority w:val="99"/>
    <w:rsid w:val="00325B54"/>
    <w:rPr>
      <w:rFonts w:eastAsia="Calibri" w:cs="Times New Roman"/>
    </w:rPr>
  </w:style>
  <w:style w:type="paragraph" w:styleId="HTMLPreformatted">
    <w:name w:val="HTML Preformatted"/>
    <w:basedOn w:val="Normal"/>
    <w:link w:val="HTMLPreformattedChar"/>
    <w:rsid w:val="008A4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8A43C1"/>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8A43C1"/>
    <w:rPr>
      <w:sz w:val="16"/>
      <w:szCs w:val="16"/>
    </w:rPr>
  </w:style>
  <w:style w:type="paragraph" w:styleId="CommentSubject">
    <w:name w:val="annotation subject"/>
    <w:basedOn w:val="CommentText"/>
    <w:next w:val="CommentText"/>
    <w:link w:val="CommentSubjectChar"/>
    <w:semiHidden/>
    <w:unhideWhenUsed/>
    <w:rsid w:val="008A43C1"/>
    <w:rPr>
      <w:rFonts w:eastAsia="Calibri"/>
      <w:b/>
      <w:bCs/>
      <w:sz w:val="20"/>
    </w:rPr>
  </w:style>
  <w:style w:type="character" w:customStyle="1" w:styleId="CommentSubjectChar">
    <w:name w:val="Comment Subject Char"/>
    <w:basedOn w:val="CommentTextChar"/>
    <w:link w:val="CommentSubject"/>
    <w:semiHidden/>
    <w:rsid w:val="008A43C1"/>
    <w:rPr>
      <w:rFonts w:eastAsia="Calibri" w:cs="Times New Roman"/>
      <w:b/>
      <w:bCs/>
      <w:sz w:val="20"/>
      <w:szCs w:val="20"/>
    </w:rPr>
  </w:style>
  <w:style w:type="paragraph" w:styleId="BalloonText">
    <w:name w:val="Balloon Text"/>
    <w:basedOn w:val="Normal"/>
    <w:link w:val="BalloonTextChar"/>
    <w:uiPriority w:val="99"/>
    <w:semiHidden/>
    <w:unhideWhenUsed/>
    <w:rsid w:val="008A43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3C1"/>
    <w:rPr>
      <w:rFonts w:ascii="Segoe UI" w:eastAsia="Calibri" w:hAnsi="Segoe UI" w:cs="Segoe UI"/>
      <w:sz w:val="18"/>
      <w:szCs w:val="18"/>
    </w:rPr>
  </w:style>
  <w:style w:type="paragraph" w:styleId="BodyTextIndent3">
    <w:name w:val="Body Text Indent 3"/>
    <w:basedOn w:val="Normal"/>
    <w:link w:val="BodyTextIndent3Char"/>
    <w:rsid w:val="009C4849"/>
    <w:pPr>
      <w:spacing w:line="480" w:lineRule="atLeast"/>
      <w:ind w:firstLine="720"/>
    </w:pPr>
    <w:rPr>
      <w:rFonts w:eastAsia="Times New Roman"/>
      <w:szCs w:val="20"/>
    </w:rPr>
  </w:style>
  <w:style w:type="character" w:customStyle="1" w:styleId="BodyTextIndent3Char">
    <w:name w:val="Body Text Indent 3 Char"/>
    <w:basedOn w:val="DefaultParagraphFont"/>
    <w:link w:val="BodyTextIndent3"/>
    <w:rsid w:val="009C4849"/>
    <w:rPr>
      <w:rFonts w:eastAsia="Times New Roman" w:cs="Times New Roman"/>
      <w:szCs w:val="20"/>
    </w:rPr>
  </w:style>
  <w:style w:type="character" w:customStyle="1" w:styleId="UnresolvedMention1">
    <w:name w:val="Unresolved Mention1"/>
    <w:basedOn w:val="DefaultParagraphFont"/>
    <w:uiPriority w:val="99"/>
    <w:semiHidden/>
    <w:unhideWhenUsed/>
    <w:rsid w:val="00621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Gregory.price@puco.ohio.gov" TargetMode="External" /><Relationship Id="rId11" Type="http://schemas.openxmlformats.org/officeDocument/2006/relationships/hyperlink" Target="mailto:Anna.sanyal@puco.ohio.gov" TargetMode="External" /><Relationship Id="rId12" Type="http://schemas.openxmlformats.org/officeDocument/2006/relationships/hyperlink" Target="mailto:mmcguire@HuntonAK.com" TargetMode="External" /><Relationship Id="rId13" Type="http://schemas.openxmlformats.org/officeDocument/2006/relationships/hyperlink" Target="mailto:cpardo@HuntonAK.com" TargetMode="External" /><Relationship Id="rId14" Type="http://schemas.openxmlformats.org/officeDocument/2006/relationships/hyperlink" Target="mailto:egallon@porterwright.com" TargetMode="External" /><Relationship Id="rId15" Type="http://schemas.openxmlformats.org/officeDocument/2006/relationships/hyperlink" Target="mailto:acarter@porterwright.com" TargetMode="Externa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ngela.obrien@occ.ohio.gov" TargetMode="External" /><Relationship Id="rId7" Type="http://schemas.openxmlformats.org/officeDocument/2006/relationships/hyperlink" Target="mailto:christopher.healey@occ.ohio.gov" TargetMode="External" /><Relationship Id="rId8" Type="http://schemas.openxmlformats.org/officeDocument/2006/relationships/hyperlink" Target="mailto:bojko@carpenterlipps.com" TargetMode="External" /><Relationship Id="rId9" Type="http://schemas.openxmlformats.org/officeDocument/2006/relationships/hyperlink" Target="mailto:jodi.bair@ohioattorneygeneral.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E9C6E-CB38-474E-A94A-BB2364326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OCC MC PALMco Mot. Proceed. Schedule 19-2153 w-dfs ls (003).mrw.docx  -  Read-Only____.docx  -  Read-Only.docx</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2020-10-28T20:23:09Z</dcterms:created>
  <dcterms:modified xsi:type="dcterms:W3CDTF">2020-10-28T20:23:09Z</dcterms:modified>
</cp:coreProperties>
</file>