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A7891" w14:textId="77777777" w:rsidR="00A84CC3" w:rsidRDefault="00E34A09" w:rsidP="00A84CC3">
      <w:pPr>
        <w:pStyle w:val="HTMLPreformatted"/>
        <w:jc w:val="center"/>
        <w:rPr>
          <w:rFonts w:ascii="Times New Roman" w:hAnsi="Times New Roman"/>
          <w:b/>
          <w:bCs/>
          <w:sz w:val="24"/>
        </w:rPr>
      </w:pPr>
      <w:r>
        <w:rPr>
          <w:rFonts w:ascii="Times New Roman" w:hAnsi="Times New Roman"/>
          <w:b/>
          <w:bCs/>
          <w:sz w:val="24"/>
        </w:rPr>
        <w:t>BEFORE</w:t>
      </w:r>
    </w:p>
    <w:p w14:paraId="1E302C24" w14:textId="77777777" w:rsidR="00A84CC3" w:rsidRDefault="00E34A09" w:rsidP="00A84CC3">
      <w:pPr>
        <w:pStyle w:val="HTMLPreformatted"/>
        <w:jc w:val="center"/>
        <w:rPr>
          <w:rFonts w:ascii="Times New Roman" w:hAnsi="Times New Roman"/>
          <w:sz w:val="24"/>
        </w:rPr>
      </w:pPr>
      <w:r>
        <w:rPr>
          <w:rFonts w:ascii="Times New Roman" w:hAnsi="Times New Roman"/>
          <w:b/>
          <w:bCs/>
          <w:sz w:val="24"/>
        </w:rPr>
        <w:t>THE PUBLIC UTILITIES COMMISSION OF OHIO</w:t>
      </w:r>
    </w:p>
    <w:p w14:paraId="391A3646" w14:textId="77777777" w:rsidR="00A84CC3" w:rsidRDefault="00E34A09" w:rsidP="00A84CC3">
      <w:pPr>
        <w:pStyle w:val="HTMLPreformatted"/>
        <w:rPr>
          <w:rFonts w:ascii="Times New Roman" w:hAnsi="Times New Roman"/>
          <w:sz w:val="24"/>
        </w:rPr>
      </w:pPr>
    </w:p>
    <w:tbl>
      <w:tblPr>
        <w:tblW w:w="9350" w:type="dxa"/>
        <w:tblLook w:val="01E0" w:firstRow="1" w:lastRow="1" w:firstColumn="1" w:lastColumn="1" w:noHBand="0" w:noVBand="0"/>
      </w:tblPr>
      <w:tblGrid>
        <w:gridCol w:w="4590"/>
        <w:gridCol w:w="360"/>
        <w:gridCol w:w="4400"/>
      </w:tblGrid>
      <w:tr w:rsidR="00903F03" w14:paraId="7F061BF1" w14:textId="77777777" w:rsidTr="004B1B4C">
        <w:trPr>
          <w:trHeight w:val="807"/>
        </w:trPr>
        <w:tc>
          <w:tcPr>
            <w:tcW w:w="4590" w:type="dxa"/>
            <w:shd w:val="clear" w:color="auto" w:fill="auto"/>
          </w:tcPr>
          <w:p w14:paraId="3DA0E310" w14:textId="77777777" w:rsidR="00A84CC3" w:rsidRPr="0057191E" w:rsidRDefault="00E34A09" w:rsidP="004B1B4C">
            <w:pPr>
              <w:autoSpaceDE w:val="0"/>
              <w:autoSpaceDN w:val="0"/>
              <w:adjustRightInd w:val="0"/>
            </w:pPr>
            <w:r w:rsidRPr="0057191E">
              <w:t xml:space="preserve">In the Matter of the Application of </w:t>
            </w:r>
          </w:p>
          <w:p w14:paraId="6033A92A" w14:textId="77777777" w:rsidR="00A84CC3" w:rsidRPr="0057191E" w:rsidRDefault="00E34A09" w:rsidP="004B1B4C">
            <w:pPr>
              <w:autoSpaceDE w:val="0"/>
              <w:autoSpaceDN w:val="0"/>
              <w:adjustRightInd w:val="0"/>
            </w:pPr>
            <w:r w:rsidRPr="0057191E">
              <w:t xml:space="preserve">AEP Energy, Inc. for a Partial Waiver of </w:t>
            </w:r>
            <w:proofErr w:type="spellStart"/>
            <w:r w:rsidRPr="0057191E">
              <w:t>OAC</w:t>
            </w:r>
            <w:proofErr w:type="spellEnd"/>
            <w:r w:rsidRPr="0057191E">
              <w:t xml:space="preserve"> Rules 4901:1-29-06 and 4901:1-21-06.</w:t>
            </w:r>
          </w:p>
        </w:tc>
        <w:tc>
          <w:tcPr>
            <w:tcW w:w="360" w:type="dxa"/>
            <w:shd w:val="clear" w:color="auto" w:fill="auto"/>
          </w:tcPr>
          <w:p w14:paraId="38ED8D9F" w14:textId="77777777" w:rsidR="00A84CC3" w:rsidRPr="00A044B5" w:rsidRDefault="00E34A09" w:rsidP="004B1B4C">
            <w:pPr>
              <w:pStyle w:val="HTMLPreformatted"/>
              <w:rPr>
                <w:rFonts w:ascii="Times New Roman" w:hAnsi="Times New Roman"/>
                <w:sz w:val="24"/>
              </w:rPr>
            </w:pPr>
            <w:r w:rsidRPr="00A044B5">
              <w:rPr>
                <w:rFonts w:ascii="Times New Roman" w:hAnsi="Times New Roman"/>
                <w:sz w:val="24"/>
              </w:rPr>
              <w:t>)</w:t>
            </w:r>
          </w:p>
          <w:p w14:paraId="0C5ECCAE" w14:textId="77777777" w:rsidR="00A84CC3" w:rsidRPr="00A044B5" w:rsidRDefault="00E34A09" w:rsidP="004B1B4C">
            <w:pPr>
              <w:pStyle w:val="HTMLPreformatted"/>
              <w:rPr>
                <w:rFonts w:ascii="Times New Roman" w:hAnsi="Times New Roman"/>
                <w:sz w:val="24"/>
              </w:rPr>
            </w:pPr>
            <w:r w:rsidRPr="00A044B5">
              <w:rPr>
                <w:rFonts w:ascii="Times New Roman" w:hAnsi="Times New Roman"/>
                <w:sz w:val="24"/>
              </w:rPr>
              <w:t>)</w:t>
            </w:r>
          </w:p>
          <w:p w14:paraId="2BDEE05E" w14:textId="77777777" w:rsidR="00A84CC3" w:rsidRPr="00A044B5" w:rsidRDefault="00E34A09" w:rsidP="004B1B4C">
            <w:pPr>
              <w:pStyle w:val="HTMLPreformatted"/>
              <w:rPr>
                <w:rFonts w:ascii="Times New Roman" w:hAnsi="Times New Roman"/>
                <w:sz w:val="24"/>
              </w:rPr>
            </w:pPr>
            <w:r w:rsidRPr="00A044B5">
              <w:rPr>
                <w:rFonts w:ascii="Times New Roman" w:hAnsi="Times New Roman"/>
                <w:sz w:val="24"/>
              </w:rPr>
              <w:t>)</w:t>
            </w:r>
          </w:p>
          <w:p w14:paraId="20522F9F" w14:textId="77777777" w:rsidR="00A84CC3" w:rsidRPr="00A044B5" w:rsidRDefault="00E34A09" w:rsidP="004B1B4C">
            <w:pPr>
              <w:pStyle w:val="HTMLPreformatted"/>
              <w:rPr>
                <w:rFonts w:ascii="Times New Roman" w:hAnsi="Times New Roman"/>
                <w:sz w:val="24"/>
              </w:rPr>
            </w:pPr>
          </w:p>
        </w:tc>
        <w:tc>
          <w:tcPr>
            <w:tcW w:w="4400" w:type="dxa"/>
            <w:shd w:val="clear" w:color="auto" w:fill="auto"/>
          </w:tcPr>
          <w:p w14:paraId="0BF9A674" w14:textId="77777777" w:rsidR="00A84CC3" w:rsidRDefault="00E34A09" w:rsidP="004B1B4C">
            <w:pPr>
              <w:pStyle w:val="HTMLPreformatted"/>
              <w:rPr>
                <w:rFonts w:ascii="Times New Roman" w:hAnsi="Times New Roman"/>
                <w:sz w:val="24"/>
              </w:rPr>
            </w:pPr>
            <w:r w:rsidRPr="00A044B5">
              <w:rPr>
                <w:rFonts w:ascii="Times New Roman" w:hAnsi="Times New Roman"/>
                <w:sz w:val="24"/>
              </w:rPr>
              <w:t xml:space="preserve">Case No. </w:t>
            </w:r>
            <w:r w:rsidRPr="0057191E">
              <w:rPr>
                <w:rFonts w:ascii="Times New Roman" w:hAnsi="Times New Roman"/>
                <w:sz w:val="24"/>
              </w:rPr>
              <w:t>18-</w:t>
            </w:r>
            <w:r>
              <w:rPr>
                <w:rFonts w:ascii="Times New Roman" w:hAnsi="Times New Roman"/>
                <w:sz w:val="24"/>
              </w:rPr>
              <w:t>0</w:t>
            </w:r>
            <w:r w:rsidRPr="0057191E">
              <w:rPr>
                <w:rFonts w:ascii="Times New Roman" w:hAnsi="Times New Roman"/>
                <w:sz w:val="24"/>
              </w:rPr>
              <w:t>371-EL-</w:t>
            </w:r>
            <w:proofErr w:type="spellStart"/>
            <w:r w:rsidRPr="0057191E">
              <w:rPr>
                <w:rFonts w:ascii="Times New Roman" w:hAnsi="Times New Roman"/>
                <w:sz w:val="24"/>
              </w:rPr>
              <w:t>WVR</w:t>
            </w:r>
            <w:proofErr w:type="spellEnd"/>
            <w:r w:rsidRPr="00A044B5">
              <w:rPr>
                <w:rFonts w:ascii="Times New Roman" w:hAnsi="Times New Roman"/>
                <w:sz w:val="24"/>
              </w:rPr>
              <w:t xml:space="preserve"> </w:t>
            </w:r>
          </w:p>
          <w:p w14:paraId="037372C2" w14:textId="77777777" w:rsidR="00A84CC3" w:rsidRPr="00A044B5" w:rsidRDefault="00E34A09" w:rsidP="004B1B4C">
            <w:pPr>
              <w:pStyle w:val="HTMLPreformatted"/>
              <w:rPr>
                <w:rFonts w:ascii="Times New Roman" w:hAnsi="Times New Roman"/>
                <w:sz w:val="24"/>
              </w:rPr>
            </w:pPr>
            <w:r w:rsidRPr="00A044B5">
              <w:rPr>
                <w:rFonts w:ascii="Times New Roman" w:hAnsi="Times New Roman"/>
                <w:sz w:val="24"/>
              </w:rPr>
              <w:t xml:space="preserve">Case No. </w:t>
            </w:r>
            <w:r w:rsidRPr="0057191E">
              <w:rPr>
                <w:rFonts w:ascii="Times New Roman" w:hAnsi="Times New Roman"/>
                <w:sz w:val="24"/>
              </w:rPr>
              <w:t>18-</w:t>
            </w:r>
            <w:r>
              <w:rPr>
                <w:rFonts w:ascii="Times New Roman" w:hAnsi="Times New Roman"/>
                <w:sz w:val="24"/>
              </w:rPr>
              <w:t>0</w:t>
            </w:r>
            <w:r w:rsidRPr="0057191E">
              <w:rPr>
                <w:rFonts w:ascii="Times New Roman" w:hAnsi="Times New Roman"/>
                <w:sz w:val="24"/>
              </w:rPr>
              <w:t>372-GA-</w:t>
            </w:r>
            <w:proofErr w:type="spellStart"/>
            <w:r w:rsidRPr="0057191E">
              <w:rPr>
                <w:rFonts w:ascii="Times New Roman" w:hAnsi="Times New Roman"/>
                <w:sz w:val="24"/>
              </w:rPr>
              <w:t>WVR</w:t>
            </w:r>
            <w:proofErr w:type="spellEnd"/>
            <w:r w:rsidRPr="00A044B5">
              <w:rPr>
                <w:rFonts w:ascii="Times New Roman" w:hAnsi="Times New Roman"/>
                <w:sz w:val="24"/>
              </w:rPr>
              <w:t xml:space="preserve"> </w:t>
            </w:r>
          </w:p>
        </w:tc>
      </w:tr>
    </w:tbl>
    <w:p w14:paraId="286AF7D8" w14:textId="77777777" w:rsidR="00A84CC3" w:rsidRDefault="00E34A09" w:rsidP="00A84CC3">
      <w:pPr>
        <w:pStyle w:val="HTMLPreformatted"/>
        <w:pBdr>
          <w:top w:val="single" w:sz="12" w:space="1" w:color="auto"/>
        </w:pBdr>
        <w:rPr>
          <w:rFonts w:ascii="Times New Roman" w:hAnsi="Times New Roman"/>
          <w:sz w:val="24"/>
        </w:rPr>
      </w:pPr>
    </w:p>
    <w:p w14:paraId="2AB2E6B9" w14:textId="77777777" w:rsidR="00A84CC3" w:rsidRDefault="00E34A09" w:rsidP="00A84CC3">
      <w:pPr>
        <w:jc w:val="center"/>
        <w:rPr>
          <w:b/>
          <w:bCs/>
        </w:rPr>
      </w:pPr>
      <w:r>
        <w:rPr>
          <w:b/>
          <w:bCs/>
        </w:rPr>
        <w:t xml:space="preserve">APPLICATION FOR </w:t>
      </w:r>
      <w:r>
        <w:rPr>
          <w:b/>
          <w:bCs/>
        </w:rPr>
        <w:t>REHEARING OF THE PUCO’S ORDER REDUCING CONSUMER PROTECTIONS IN DOOR-TO-DOOR MARKETING</w:t>
      </w:r>
    </w:p>
    <w:p w14:paraId="2C4A0519" w14:textId="77777777" w:rsidR="00A84CC3" w:rsidRDefault="00E34A09" w:rsidP="00A84CC3">
      <w:pPr>
        <w:jc w:val="center"/>
        <w:rPr>
          <w:b/>
          <w:bCs/>
        </w:rPr>
      </w:pPr>
      <w:r>
        <w:rPr>
          <w:b/>
          <w:bCs/>
        </w:rPr>
        <w:t>BY</w:t>
      </w:r>
    </w:p>
    <w:p w14:paraId="2EB26B45" w14:textId="77777777" w:rsidR="00A84CC3" w:rsidRDefault="00E34A09" w:rsidP="00A84CC3">
      <w:pPr>
        <w:jc w:val="center"/>
        <w:rPr>
          <w:b/>
          <w:bCs/>
        </w:rPr>
      </w:pPr>
      <w:r>
        <w:rPr>
          <w:b/>
          <w:bCs/>
        </w:rPr>
        <w:t>THE OFFICE OF THE OHIO CONSUMERS’ COUNSEL</w:t>
      </w:r>
    </w:p>
    <w:p w14:paraId="0DCA1215" w14:textId="77777777" w:rsidR="00A84CC3" w:rsidRDefault="00E34A09" w:rsidP="00A84CC3">
      <w:pPr>
        <w:pBdr>
          <w:bottom w:val="single" w:sz="12" w:space="1" w:color="auto"/>
        </w:pBdr>
        <w:tabs>
          <w:tab w:val="left" w:pos="4320"/>
        </w:tabs>
      </w:pPr>
    </w:p>
    <w:p w14:paraId="1C246535" w14:textId="77777777" w:rsidR="00A84CC3" w:rsidRDefault="00E34A09" w:rsidP="00A84CC3">
      <w:pPr>
        <w:tabs>
          <w:tab w:val="left" w:pos="4320"/>
        </w:tabs>
      </w:pPr>
    </w:p>
    <w:p w14:paraId="3B4B50DC" w14:textId="77777777" w:rsidR="00A84CC3" w:rsidRDefault="00E34A09">
      <w:pPr>
        <w:pStyle w:val="HTMLPreformatted"/>
        <w:jc w:val="center"/>
        <w:rPr>
          <w:rFonts w:ascii="Times New Roman" w:hAnsi="Times New Roman"/>
          <w:b/>
          <w:bCs/>
          <w:sz w:val="24"/>
        </w:rPr>
      </w:pPr>
    </w:p>
    <w:p w14:paraId="5369E103" w14:textId="77777777" w:rsidR="00A84CC3" w:rsidRDefault="00E34A09">
      <w:pPr>
        <w:pStyle w:val="HTMLPreformatted"/>
        <w:jc w:val="center"/>
        <w:rPr>
          <w:rFonts w:ascii="Times New Roman" w:hAnsi="Times New Roman"/>
          <w:b/>
          <w:bCs/>
          <w:sz w:val="24"/>
        </w:rPr>
      </w:pPr>
    </w:p>
    <w:p w14:paraId="1FEA08CF" w14:textId="77777777" w:rsidR="0020018B" w:rsidRDefault="00E34A09">
      <w:pPr>
        <w:pStyle w:val="HTMLPreformatted"/>
        <w:jc w:val="center"/>
        <w:rPr>
          <w:rFonts w:ascii="Times New Roman" w:hAnsi="Times New Roman"/>
          <w:b/>
          <w:bCs/>
          <w:sz w:val="24"/>
        </w:rPr>
      </w:pPr>
    </w:p>
    <w:p w14:paraId="7060A312" w14:textId="77777777" w:rsidR="0020018B" w:rsidRDefault="00E34A09">
      <w:pPr>
        <w:pStyle w:val="HTMLPreformatted"/>
        <w:jc w:val="center"/>
        <w:rPr>
          <w:rFonts w:ascii="Times New Roman" w:hAnsi="Times New Roman"/>
          <w:b/>
          <w:bCs/>
          <w:sz w:val="24"/>
        </w:rPr>
      </w:pPr>
    </w:p>
    <w:p w14:paraId="465CDA62" w14:textId="77777777" w:rsidR="0020018B" w:rsidRDefault="00E34A09">
      <w:pPr>
        <w:pStyle w:val="HTMLPreformatted"/>
        <w:jc w:val="center"/>
        <w:rPr>
          <w:rFonts w:ascii="Times New Roman" w:hAnsi="Times New Roman"/>
          <w:b/>
          <w:bCs/>
          <w:sz w:val="24"/>
        </w:rPr>
      </w:pPr>
    </w:p>
    <w:p w14:paraId="7332AA5B" w14:textId="77777777" w:rsidR="0020018B" w:rsidRDefault="00E34A09">
      <w:pPr>
        <w:pStyle w:val="HTMLPreformatted"/>
        <w:jc w:val="center"/>
        <w:rPr>
          <w:rFonts w:ascii="Times New Roman" w:hAnsi="Times New Roman"/>
          <w:b/>
          <w:bCs/>
          <w:sz w:val="24"/>
        </w:rPr>
      </w:pPr>
    </w:p>
    <w:p w14:paraId="79BE4D35" w14:textId="77777777" w:rsidR="0020018B" w:rsidRDefault="00E34A09">
      <w:pPr>
        <w:pStyle w:val="HTMLPreformatted"/>
        <w:jc w:val="center"/>
        <w:rPr>
          <w:rFonts w:ascii="Times New Roman" w:hAnsi="Times New Roman"/>
          <w:b/>
          <w:bCs/>
          <w:sz w:val="24"/>
        </w:rPr>
      </w:pPr>
    </w:p>
    <w:p w14:paraId="14A4D6AE" w14:textId="77777777" w:rsidR="0020018B" w:rsidRDefault="00E34A09">
      <w:pPr>
        <w:pStyle w:val="HTMLPreformatted"/>
        <w:jc w:val="center"/>
        <w:rPr>
          <w:rFonts w:ascii="Times New Roman" w:hAnsi="Times New Roman"/>
          <w:b/>
          <w:bCs/>
          <w:sz w:val="24"/>
        </w:rPr>
      </w:pPr>
    </w:p>
    <w:p w14:paraId="12CC7E65" w14:textId="77777777" w:rsidR="0020018B" w:rsidRDefault="00E34A09">
      <w:pPr>
        <w:pStyle w:val="HTMLPreformatted"/>
        <w:jc w:val="center"/>
        <w:rPr>
          <w:rFonts w:ascii="Times New Roman" w:hAnsi="Times New Roman"/>
          <w:b/>
          <w:bCs/>
          <w:sz w:val="24"/>
        </w:rPr>
      </w:pPr>
      <w:bookmarkStart w:id="0" w:name="_GoBack"/>
      <w:bookmarkEnd w:id="0"/>
    </w:p>
    <w:p w14:paraId="4A19B079" w14:textId="77777777" w:rsidR="0020018B" w:rsidRDefault="00E34A09">
      <w:pPr>
        <w:pStyle w:val="HTMLPreformatted"/>
        <w:jc w:val="center"/>
        <w:rPr>
          <w:rFonts w:ascii="Times New Roman" w:hAnsi="Times New Roman"/>
          <w:b/>
          <w:bCs/>
          <w:sz w:val="24"/>
        </w:rPr>
      </w:pPr>
    </w:p>
    <w:p w14:paraId="5693EC3F" w14:textId="77777777" w:rsidR="00A84CC3" w:rsidRDefault="00E34A09" w:rsidP="00A84CC3">
      <w:pPr>
        <w:pStyle w:val="Footer"/>
        <w:tabs>
          <w:tab w:val="clear" w:pos="8640"/>
          <w:tab w:val="left" w:pos="4320"/>
        </w:tabs>
        <w:ind w:left="3600"/>
        <w:rPr>
          <w:sz w:val="24"/>
          <w:szCs w:val="24"/>
        </w:rPr>
      </w:pPr>
      <w:r>
        <w:rPr>
          <w:sz w:val="24"/>
          <w:szCs w:val="24"/>
        </w:rPr>
        <w:t>Bruce Weston (0016973)</w:t>
      </w:r>
    </w:p>
    <w:p w14:paraId="03DB0202" w14:textId="77777777" w:rsidR="00A84CC3" w:rsidRDefault="00E34A09" w:rsidP="00A84CC3">
      <w:pPr>
        <w:tabs>
          <w:tab w:val="left" w:pos="4320"/>
        </w:tabs>
        <w:spacing w:after="120"/>
        <w:ind w:left="3600"/>
        <w:rPr>
          <w:szCs w:val="24"/>
        </w:rPr>
      </w:pPr>
      <w:r>
        <w:rPr>
          <w:szCs w:val="24"/>
        </w:rPr>
        <w:t>Ohio Consumers’ Counsel</w:t>
      </w:r>
    </w:p>
    <w:p w14:paraId="03E8C765" w14:textId="77777777" w:rsidR="0020018B" w:rsidRDefault="00E34A09" w:rsidP="00A84CC3">
      <w:pPr>
        <w:tabs>
          <w:tab w:val="left" w:pos="4320"/>
        </w:tabs>
        <w:ind w:left="3600"/>
        <w:rPr>
          <w:szCs w:val="24"/>
        </w:rPr>
      </w:pPr>
    </w:p>
    <w:p w14:paraId="143617CE" w14:textId="77777777" w:rsidR="0020018B" w:rsidRDefault="00E34A09" w:rsidP="00A84CC3">
      <w:pPr>
        <w:tabs>
          <w:tab w:val="left" w:pos="4320"/>
        </w:tabs>
        <w:ind w:left="3600"/>
        <w:rPr>
          <w:szCs w:val="24"/>
        </w:rPr>
      </w:pPr>
      <w:r>
        <w:rPr>
          <w:szCs w:val="24"/>
        </w:rPr>
        <w:t>Terry L. Etter (0067445)</w:t>
      </w:r>
    </w:p>
    <w:p w14:paraId="7A3BF075" w14:textId="77777777" w:rsidR="00A84CC3" w:rsidRPr="00E53E6E" w:rsidRDefault="00E34A09" w:rsidP="00A84CC3">
      <w:pPr>
        <w:tabs>
          <w:tab w:val="left" w:pos="4320"/>
        </w:tabs>
        <w:ind w:left="3600"/>
        <w:rPr>
          <w:szCs w:val="24"/>
        </w:rPr>
      </w:pPr>
      <w:r w:rsidRPr="00E53E6E">
        <w:rPr>
          <w:szCs w:val="24"/>
        </w:rPr>
        <w:t>Counsel of Record</w:t>
      </w:r>
    </w:p>
    <w:p w14:paraId="6884A24D" w14:textId="77777777" w:rsidR="00A84CC3" w:rsidRDefault="00E34A09" w:rsidP="00A84CC3">
      <w:pPr>
        <w:tabs>
          <w:tab w:val="left" w:pos="4320"/>
        </w:tabs>
        <w:ind w:left="3600"/>
        <w:rPr>
          <w:szCs w:val="24"/>
        </w:rPr>
      </w:pPr>
      <w:r>
        <w:rPr>
          <w:szCs w:val="24"/>
        </w:rPr>
        <w:t xml:space="preserve">Amy Botschner </w:t>
      </w:r>
      <w:r>
        <w:rPr>
          <w:szCs w:val="24"/>
        </w:rPr>
        <w:t>O’Brien (0074423)</w:t>
      </w:r>
    </w:p>
    <w:p w14:paraId="43535018" w14:textId="77777777" w:rsidR="00A84CC3" w:rsidRDefault="00E34A09" w:rsidP="00A84CC3">
      <w:pPr>
        <w:tabs>
          <w:tab w:val="left" w:pos="4320"/>
        </w:tabs>
        <w:ind w:left="3600"/>
        <w:rPr>
          <w:szCs w:val="24"/>
        </w:rPr>
      </w:pPr>
      <w:r>
        <w:rPr>
          <w:szCs w:val="24"/>
        </w:rPr>
        <w:t xml:space="preserve">Assistant Consumers’ Counsel </w:t>
      </w:r>
    </w:p>
    <w:p w14:paraId="6E3486AD" w14:textId="77777777" w:rsidR="008E7F69" w:rsidRDefault="00E34A09" w:rsidP="00A84CC3">
      <w:pPr>
        <w:tabs>
          <w:tab w:val="left" w:pos="4320"/>
        </w:tabs>
        <w:ind w:left="3600"/>
        <w:rPr>
          <w:szCs w:val="24"/>
        </w:rPr>
      </w:pPr>
    </w:p>
    <w:p w14:paraId="701F9281" w14:textId="77777777" w:rsidR="00A84CC3" w:rsidRPr="008E7F69" w:rsidRDefault="00E34A09" w:rsidP="008E7F69">
      <w:pPr>
        <w:ind w:left="2880" w:firstLine="720"/>
        <w:rPr>
          <w:b/>
          <w:bCs/>
        </w:rPr>
      </w:pPr>
      <w:r w:rsidRPr="008E7F69">
        <w:rPr>
          <w:b/>
          <w:bCs/>
        </w:rPr>
        <w:t>Office of the Ohio Consumers’ Counsel</w:t>
      </w:r>
    </w:p>
    <w:p w14:paraId="06446237" w14:textId="77777777" w:rsidR="00A84CC3" w:rsidRDefault="00E34A09" w:rsidP="008E7F69">
      <w:pPr>
        <w:ind w:left="2880" w:firstLine="720"/>
        <w:rPr>
          <w:b/>
        </w:rPr>
      </w:pPr>
      <w:r>
        <w:t>65 East State Street, 7</w:t>
      </w:r>
      <w:r w:rsidRPr="0020018B">
        <w:t>th</w:t>
      </w:r>
      <w:r>
        <w:t xml:space="preserve"> Floor</w:t>
      </w:r>
    </w:p>
    <w:p w14:paraId="08789B7F" w14:textId="77777777" w:rsidR="00A84CC3" w:rsidRDefault="00E34A09" w:rsidP="008E7F69">
      <w:pPr>
        <w:ind w:left="2880" w:firstLine="720"/>
        <w:rPr>
          <w:b/>
        </w:rPr>
      </w:pPr>
      <w:r>
        <w:t>Columbus, Ohio 43215-4213</w:t>
      </w:r>
    </w:p>
    <w:p w14:paraId="15F1FD81" w14:textId="77777777" w:rsidR="00A84CC3" w:rsidRDefault="00E34A09" w:rsidP="00A84CC3">
      <w:pPr>
        <w:autoSpaceDE w:val="0"/>
        <w:autoSpaceDN w:val="0"/>
        <w:adjustRightInd w:val="0"/>
        <w:ind w:left="3600"/>
        <w:rPr>
          <w:szCs w:val="24"/>
        </w:rPr>
      </w:pPr>
      <w:r>
        <w:rPr>
          <w:szCs w:val="24"/>
        </w:rPr>
        <w:t>Telephone [Etter]: (614) 466-7964</w:t>
      </w:r>
    </w:p>
    <w:p w14:paraId="7F96F156" w14:textId="77777777" w:rsidR="00A84CC3" w:rsidRDefault="00E34A09" w:rsidP="00A84CC3">
      <w:pPr>
        <w:autoSpaceDE w:val="0"/>
        <w:autoSpaceDN w:val="0"/>
        <w:adjustRightInd w:val="0"/>
        <w:ind w:left="3600"/>
        <w:rPr>
          <w:szCs w:val="24"/>
        </w:rPr>
      </w:pPr>
      <w:r>
        <w:rPr>
          <w:szCs w:val="24"/>
        </w:rPr>
        <w:t>Telephone [Botschner O’Brien]: (614) 466-9575</w:t>
      </w:r>
    </w:p>
    <w:p w14:paraId="5CB56847" w14:textId="77777777" w:rsidR="00A84CC3" w:rsidRDefault="00E34A09" w:rsidP="00A84CC3">
      <w:pPr>
        <w:ind w:left="3600"/>
        <w:rPr>
          <w:szCs w:val="24"/>
        </w:rPr>
      </w:pPr>
      <w:hyperlink r:id="rId7" w:history="1">
        <w:proofErr w:type="spellStart"/>
        <w:r w:rsidRPr="00953818">
          <w:rPr>
            <w:rStyle w:val="Hyperlink"/>
            <w:szCs w:val="24"/>
          </w:rPr>
          <w:t>terry.etter@occ.ohio.gov</w:t>
        </w:r>
        <w:proofErr w:type="spellEnd"/>
      </w:hyperlink>
      <w:r>
        <w:rPr>
          <w:szCs w:val="24"/>
        </w:rPr>
        <w:t xml:space="preserve"> </w:t>
      </w:r>
    </w:p>
    <w:p w14:paraId="366E4555" w14:textId="77777777" w:rsidR="00A84CC3" w:rsidRPr="00665692" w:rsidRDefault="00E34A09" w:rsidP="00A84CC3">
      <w:pPr>
        <w:autoSpaceDE w:val="0"/>
        <w:autoSpaceDN w:val="0"/>
        <w:adjustRightInd w:val="0"/>
        <w:ind w:left="3600"/>
        <w:rPr>
          <w:szCs w:val="24"/>
        </w:rPr>
      </w:pPr>
      <w:hyperlink r:id="rId8" w:history="1">
        <w:proofErr w:type="spellStart"/>
        <w:r w:rsidRPr="00953818">
          <w:rPr>
            <w:rStyle w:val="Hyperlink"/>
            <w:szCs w:val="24"/>
          </w:rPr>
          <w:t>amy.botschner.obrien@occ.ohio.gov</w:t>
        </w:r>
        <w:proofErr w:type="spellEnd"/>
      </w:hyperlink>
    </w:p>
    <w:p w14:paraId="3F66AA0B" w14:textId="465B2CD0" w:rsidR="00A84CC3" w:rsidRPr="00A84CC3" w:rsidRDefault="00E34A09" w:rsidP="00E34A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August 16, 2019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84CC3">
        <w:rPr>
          <w:rFonts w:ascii="Times New Roman" w:eastAsia="Times New Roman" w:hAnsi="Times New Roman" w:cs="Times New Roman"/>
          <w:sz w:val="24"/>
          <w:szCs w:val="24"/>
        </w:rPr>
        <w:t>(will</w:t>
      </w:r>
      <w:r>
        <w:rPr>
          <w:rFonts w:ascii="Times New Roman" w:eastAsia="Times New Roman" w:hAnsi="Times New Roman" w:cs="Times New Roman"/>
          <w:sz w:val="24"/>
          <w:szCs w:val="24"/>
        </w:rPr>
        <w:t>ing to</w:t>
      </w:r>
      <w:r w:rsidRPr="00A84CC3">
        <w:rPr>
          <w:rFonts w:ascii="Times New Roman" w:eastAsia="Times New Roman" w:hAnsi="Times New Roman" w:cs="Times New Roman"/>
          <w:sz w:val="24"/>
          <w:szCs w:val="24"/>
        </w:rPr>
        <w:t xml:space="preserve"> accept service </w:t>
      </w:r>
      <w:r>
        <w:rPr>
          <w:rFonts w:ascii="Times New Roman" w:eastAsia="Times New Roman" w:hAnsi="Times New Roman" w:cs="Times New Roman"/>
          <w:sz w:val="24"/>
          <w:szCs w:val="24"/>
        </w:rPr>
        <w:t>by</w:t>
      </w:r>
      <w:r w:rsidRPr="00A84CC3">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w:t>
      </w:r>
      <w:r w:rsidRPr="00A84CC3">
        <w:rPr>
          <w:rFonts w:ascii="Times New Roman" w:eastAsia="Times New Roman" w:hAnsi="Times New Roman" w:cs="Times New Roman"/>
          <w:sz w:val="24"/>
          <w:szCs w:val="24"/>
        </w:rPr>
        <w:t>mail)</w:t>
      </w:r>
    </w:p>
    <w:p w14:paraId="60962B81" w14:textId="77777777" w:rsidR="00A84CC3" w:rsidRDefault="00E34A09">
      <w:pPr>
        <w:pStyle w:val="HTMLPreformatted"/>
        <w:jc w:val="center"/>
        <w:rPr>
          <w:rFonts w:ascii="Times New Roman" w:hAnsi="Times New Roman"/>
          <w:b/>
          <w:bCs/>
          <w:sz w:val="24"/>
        </w:rPr>
      </w:pPr>
    </w:p>
    <w:p w14:paraId="7C0FE6F3" w14:textId="77777777" w:rsidR="00A84CC3" w:rsidRDefault="00E34A09">
      <w:pPr>
        <w:pStyle w:val="HTMLPreformatted"/>
        <w:jc w:val="center"/>
        <w:rPr>
          <w:rFonts w:ascii="Times New Roman" w:hAnsi="Times New Roman"/>
          <w:b/>
          <w:bCs/>
          <w:sz w:val="24"/>
        </w:rPr>
        <w:sectPr w:rsidR="00A84CC3" w:rsidSect="004F10B6">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cols w:space="720"/>
          <w:titlePg/>
          <w:docGrid w:linePitch="65"/>
        </w:sectPr>
      </w:pPr>
    </w:p>
    <w:p w14:paraId="091BF87C" w14:textId="77777777" w:rsidR="00A84CC3" w:rsidRDefault="00E34A09">
      <w:pPr>
        <w:pStyle w:val="HTMLPreformatted"/>
        <w:jc w:val="center"/>
        <w:rPr>
          <w:rFonts w:ascii="Times New Roman" w:hAnsi="Times New Roman"/>
          <w:b/>
          <w:bCs/>
          <w:sz w:val="24"/>
        </w:rPr>
      </w:pPr>
      <w:r>
        <w:rPr>
          <w:rFonts w:ascii="Times New Roman" w:hAnsi="Times New Roman"/>
          <w:b/>
          <w:bCs/>
          <w:sz w:val="24"/>
          <w:u w:val="single"/>
        </w:rPr>
        <w:lastRenderedPageBreak/>
        <w:t>TABLE OF CONTENTS</w:t>
      </w:r>
    </w:p>
    <w:p w14:paraId="1118586F" w14:textId="77777777" w:rsidR="008E1D8A" w:rsidRDefault="00E34A09" w:rsidP="008E1D8A">
      <w:pPr>
        <w:pStyle w:val="HTMLPreformatted"/>
        <w:jc w:val="right"/>
        <w:rPr>
          <w:rFonts w:ascii="Times New Roman" w:hAnsi="Times New Roman"/>
          <w:b/>
          <w:bCs/>
          <w:sz w:val="24"/>
        </w:rPr>
      </w:pPr>
      <w:r>
        <w:rPr>
          <w:rFonts w:ascii="Times New Roman" w:hAnsi="Times New Roman"/>
          <w:b/>
          <w:bCs/>
          <w:sz w:val="24"/>
        </w:rPr>
        <w:t>PAGE</w:t>
      </w:r>
    </w:p>
    <w:p w14:paraId="6E055451" w14:textId="77777777" w:rsidR="008E1D8A" w:rsidRDefault="00E34A09" w:rsidP="008E1D8A">
      <w:pPr>
        <w:pStyle w:val="HTMLPreformatted"/>
        <w:jc w:val="right"/>
        <w:rPr>
          <w:rFonts w:ascii="Times New Roman" w:hAnsi="Times New Roman"/>
          <w:b/>
          <w:bCs/>
          <w:sz w:val="24"/>
        </w:rPr>
      </w:pPr>
    </w:p>
    <w:p w14:paraId="5D8097E4" w14:textId="77777777" w:rsidR="00B21DC8" w:rsidRDefault="00E34A09">
      <w:pPr>
        <w:pStyle w:val="TOC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6857332" w:history="1">
        <w:r w:rsidRPr="00480FE9">
          <w:rPr>
            <w:rStyle w:val="Hyperlink"/>
            <w:noProof/>
          </w:rPr>
          <w:t>I.</w:t>
        </w:r>
        <w:r>
          <w:rPr>
            <w:rFonts w:asciiTheme="minorHAnsi" w:eastAsiaTheme="minorEastAsia" w:hAnsiTheme="minorHAnsi" w:cstheme="minorBidi"/>
            <w:noProof/>
            <w:sz w:val="22"/>
            <w:szCs w:val="22"/>
          </w:rPr>
          <w:tab/>
        </w:r>
        <w:r w:rsidRPr="00480FE9">
          <w:rPr>
            <w:rStyle w:val="Hyperlink"/>
            <w:noProof/>
          </w:rPr>
          <w:t>INTRODUCTION</w:t>
        </w:r>
        <w:r>
          <w:rPr>
            <w:noProof/>
            <w:webHidden/>
          </w:rPr>
          <w:tab/>
        </w:r>
        <w:r>
          <w:rPr>
            <w:noProof/>
            <w:webHidden/>
          </w:rPr>
          <w:fldChar w:fldCharType="begin"/>
        </w:r>
        <w:r>
          <w:rPr>
            <w:noProof/>
            <w:webHidden/>
          </w:rPr>
          <w:instrText xml:space="preserve"> PAGEREF _Toc16857332 \h </w:instrText>
        </w:r>
        <w:r>
          <w:rPr>
            <w:noProof/>
            <w:webHidden/>
          </w:rPr>
        </w:r>
        <w:r>
          <w:rPr>
            <w:noProof/>
            <w:webHidden/>
          </w:rPr>
          <w:fldChar w:fldCharType="separate"/>
        </w:r>
        <w:r>
          <w:rPr>
            <w:noProof/>
            <w:webHidden/>
          </w:rPr>
          <w:t>1</w:t>
        </w:r>
        <w:r>
          <w:rPr>
            <w:noProof/>
            <w:webHidden/>
          </w:rPr>
          <w:fldChar w:fldCharType="end"/>
        </w:r>
      </w:hyperlink>
    </w:p>
    <w:p w14:paraId="294FF865" w14:textId="77777777" w:rsidR="00B21DC8" w:rsidRDefault="00E34A09">
      <w:pPr>
        <w:pStyle w:val="TOC1"/>
        <w:rPr>
          <w:rFonts w:asciiTheme="minorHAnsi" w:eastAsiaTheme="minorEastAsia" w:hAnsiTheme="minorHAnsi" w:cstheme="minorBidi"/>
          <w:noProof/>
          <w:sz w:val="22"/>
          <w:szCs w:val="22"/>
        </w:rPr>
      </w:pPr>
      <w:hyperlink w:anchor="_Toc16857333" w:history="1">
        <w:r w:rsidRPr="00480FE9">
          <w:rPr>
            <w:rStyle w:val="Hyperlink"/>
            <w:noProof/>
          </w:rPr>
          <w:t>II.</w:t>
        </w:r>
        <w:r>
          <w:rPr>
            <w:rFonts w:asciiTheme="minorHAnsi" w:eastAsiaTheme="minorEastAsia" w:hAnsiTheme="minorHAnsi" w:cstheme="minorBidi"/>
            <w:noProof/>
            <w:sz w:val="22"/>
            <w:szCs w:val="22"/>
          </w:rPr>
          <w:tab/>
        </w:r>
        <w:r w:rsidRPr="00480FE9">
          <w:rPr>
            <w:rStyle w:val="Hyperlink"/>
            <w:noProof/>
          </w:rPr>
          <w:t>STANDARD OF REVIEW</w:t>
        </w:r>
        <w:r>
          <w:rPr>
            <w:noProof/>
            <w:webHidden/>
          </w:rPr>
          <w:tab/>
        </w:r>
        <w:r>
          <w:rPr>
            <w:noProof/>
            <w:webHidden/>
          </w:rPr>
          <w:fldChar w:fldCharType="begin"/>
        </w:r>
        <w:r>
          <w:rPr>
            <w:noProof/>
            <w:webHidden/>
          </w:rPr>
          <w:instrText xml:space="preserve"> PAGEREF _Toc16857333 \h </w:instrText>
        </w:r>
        <w:r>
          <w:rPr>
            <w:noProof/>
            <w:webHidden/>
          </w:rPr>
        </w:r>
        <w:r>
          <w:rPr>
            <w:noProof/>
            <w:webHidden/>
          </w:rPr>
          <w:fldChar w:fldCharType="separate"/>
        </w:r>
        <w:r>
          <w:rPr>
            <w:noProof/>
            <w:webHidden/>
          </w:rPr>
          <w:t>2</w:t>
        </w:r>
        <w:r>
          <w:rPr>
            <w:noProof/>
            <w:webHidden/>
          </w:rPr>
          <w:fldChar w:fldCharType="end"/>
        </w:r>
      </w:hyperlink>
    </w:p>
    <w:p w14:paraId="7BF90A1D" w14:textId="77777777" w:rsidR="00B21DC8" w:rsidRDefault="00E34A09">
      <w:pPr>
        <w:pStyle w:val="TOC1"/>
        <w:rPr>
          <w:rFonts w:asciiTheme="minorHAnsi" w:eastAsiaTheme="minorEastAsia" w:hAnsiTheme="minorHAnsi" w:cstheme="minorBidi"/>
          <w:noProof/>
          <w:sz w:val="22"/>
          <w:szCs w:val="22"/>
        </w:rPr>
      </w:pPr>
      <w:hyperlink w:anchor="_Toc16857334" w:history="1">
        <w:r w:rsidRPr="00480FE9">
          <w:rPr>
            <w:rStyle w:val="Hyperlink"/>
            <w:noProof/>
          </w:rPr>
          <w:t>III.</w:t>
        </w:r>
        <w:r>
          <w:rPr>
            <w:rFonts w:asciiTheme="minorHAnsi" w:eastAsiaTheme="minorEastAsia" w:hAnsiTheme="minorHAnsi" w:cstheme="minorBidi"/>
            <w:noProof/>
            <w:sz w:val="22"/>
            <w:szCs w:val="22"/>
          </w:rPr>
          <w:tab/>
        </w:r>
        <w:r w:rsidRPr="00480FE9">
          <w:rPr>
            <w:rStyle w:val="Hyperlink"/>
            <w:noProof/>
          </w:rPr>
          <w:t>DISCUSS</w:t>
        </w:r>
        <w:r w:rsidRPr="00480FE9">
          <w:rPr>
            <w:rStyle w:val="Hyperlink"/>
            <w:noProof/>
          </w:rPr>
          <w:t>ION</w:t>
        </w:r>
        <w:r>
          <w:rPr>
            <w:noProof/>
            <w:webHidden/>
          </w:rPr>
          <w:tab/>
        </w:r>
        <w:r>
          <w:rPr>
            <w:noProof/>
            <w:webHidden/>
          </w:rPr>
          <w:fldChar w:fldCharType="begin"/>
        </w:r>
        <w:r>
          <w:rPr>
            <w:noProof/>
            <w:webHidden/>
          </w:rPr>
          <w:instrText xml:space="preserve"> PAGEREF _Toc16857334 \h </w:instrText>
        </w:r>
        <w:r>
          <w:rPr>
            <w:noProof/>
            <w:webHidden/>
          </w:rPr>
        </w:r>
        <w:r>
          <w:rPr>
            <w:noProof/>
            <w:webHidden/>
          </w:rPr>
          <w:fldChar w:fldCharType="separate"/>
        </w:r>
        <w:r>
          <w:rPr>
            <w:noProof/>
            <w:webHidden/>
          </w:rPr>
          <w:t>3</w:t>
        </w:r>
        <w:r>
          <w:rPr>
            <w:noProof/>
            <w:webHidden/>
          </w:rPr>
          <w:fldChar w:fldCharType="end"/>
        </w:r>
      </w:hyperlink>
    </w:p>
    <w:p w14:paraId="1C05E90F" w14:textId="77777777" w:rsidR="00B21DC8" w:rsidRDefault="00E34A09">
      <w:pPr>
        <w:pStyle w:val="TOC2"/>
        <w:tabs>
          <w:tab w:val="left" w:pos="1440"/>
        </w:tabs>
        <w:rPr>
          <w:rFonts w:asciiTheme="minorHAnsi" w:eastAsiaTheme="minorEastAsia" w:hAnsiTheme="minorHAnsi" w:cstheme="minorBidi"/>
          <w:noProof/>
          <w:sz w:val="22"/>
          <w:szCs w:val="22"/>
        </w:rPr>
      </w:pPr>
      <w:hyperlink w:anchor="_Toc16857335" w:history="1">
        <w:r w:rsidRPr="00480FE9">
          <w:rPr>
            <w:rStyle w:val="Hyperlink"/>
            <w:noProof/>
          </w:rPr>
          <w:t>A.</w:t>
        </w:r>
        <w:r>
          <w:rPr>
            <w:rFonts w:asciiTheme="minorHAnsi" w:eastAsiaTheme="minorEastAsia" w:hAnsiTheme="minorHAnsi" w:cstheme="minorBidi"/>
            <w:noProof/>
            <w:sz w:val="22"/>
            <w:szCs w:val="22"/>
          </w:rPr>
          <w:tab/>
        </w:r>
        <w:r w:rsidRPr="00480FE9">
          <w:rPr>
            <w:rStyle w:val="Hyperlink"/>
            <w:noProof/>
          </w:rPr>
          <w:t>The PUCO’s Entry unreasonably and unlawfully placed consumers at risk by removing the most necessary consumer protection qu</w:t>
        </w:r>
        <w:r w:rsidRPr="00480FE9">
          <w:rPr>
            <w:rStyle w:val="Hyperlink"/>
            <w:noProof/>
          </w:rPr>
          <w:t>estions that the rules have reserved for independent third-party verification of changes in consumers’ gas supplier.</w:t>
        </w:r>
        <w:r>
          <w:rPr>
            <w:noProof/>
            <w:webHidden/>
          </w:rPr>
          <w:tab/>
        </w:r>
        <w:r>
          <w:rPr>
            <w:noProof/>
            <w:webHidden/>
          </w:rPr>
          <w:fldChar w:fldCharType="begin"/>
        </w:r>
        <w:r>
          <w:rPr>
            <w:noProof/>
            <w:webHidden/>
          </w:rPr>
          <w:instrText xml:space="preserve"> PAGEREF _Toc16857335 \h </w:instrText>
        </w:r>
        <w:r>
          <w:rPr>
            <w:noProof/>
            <w:webHidden/>
          </w:rPr>
        </w:r>
        <w:r>
          <w:rPr>
            <w:noProof/>
            <w:webHidden/>
          </w:rPr>
          <w:fldChar w:fldCharType="separate"/>
        </w:r>
        <w:r>
          <w:rPr>
            <w:noProof/>
            <w:webHidden/>
          </w:rPr>
          <w:t>3</w:t>
        </w:r>
        <w:r>
          <w:rPr>
            <w:noProof/>
            <w:webHidden/>
          </w:rPr>
          <w:fldChar w:fldCharType="end"/>
        </w:r>
      </w:hyperlink>
    </w:p>
    <w:p w14:paraId="29CA94EE" w14:textId="77777777" w:rsidR="00B21DC8" w:rsidRDefault="00E34A09">
      <w:pPr>
        <w:pStyle w:val="TOC2"/>
        <w:tabs>
          <w:tab w:val="left" w:pos="1440"/>
        </w:tabs>
        <w:rPr>
          <w:rFonts w:asciiTheme="minorHAnsi" w:eastAsiaTheme="minorEastAsia" w:hAnsiTheme="minorHAnsi" w:cstheme="minorBidi"/>
          <w:noProof/>
          <w:sz w:val="22"/>
          <w:szCs w:val="22"/>
        </w:rPr>
      </w:pPr>
      <w:hyperlink w:anchor="_Toc16857336" w:history="1">
        <w:r w:rsidRPr="00480FE9">
          <w:rPr>
            <w:rStyle w:val="Hyperlink"/>
            <w:noProof/>
          </w:rPr>
          <w:t>B.</w:t>
        </w:r>
        <w:r>
          <w:rPr>
            <w:rFonts w:asciiTheme="minorHAnsi" w:eastAsiaTheme="minorEastAsia" w:hAnsiTheme="minorHAnsi" w:cstheme="minorBidi"/>
            <w:noProof/>
            <w:sz w:val="22"/>
            <w:szCs w:val="22"/>
          </w:rPr>
          <w:tab/>
        </w:r>
        <w:r w:rsidRPr="00480FE9">
          <w:rPr>
            <w:rStyle w:val="Hyperlink"/>
            <w:noProof/>
          </w:rPr>
          <w:t>By allowing a door-to-door salesperson to remain in the consumer’s home while the consumer responds to the most important questions in the third-party verification rules, the PUCO undermined the consumer protections required</w:t>
        </w:r>
        <w:r w:rsidRPr="00480FE9">
          <w:rPr>
            <w:rStyle w:val="Hyperlink"/>
            <w:noProof/>
          </w:rPr>
          <w:t xml:space="preserve"> by R.C. 4929.22.</w:t>
        </w:r>
        <w:r>
          <w:rPr>
            <w:noProof/>
            <w:webHidden/>
          </w:rPr>
          <w:tab/>
        </w:r>
        <w:r>
          <w:rPr>
            <w:noProof/>
            <w:webHidden/>
          </w:rPr>
          <w:fldChar w:fldCharType="begin"/>
        </w:r>
        <w:r>
          <w:rPr>
            <w:noProof/>
            <w:webHidden/>
          </w:rPr>
          <w:instrText xml:space="preserve"> PAGEREF _Toc16857336 \h </w:instrText>
        </w:r>
        <w:r>
          <w:rPr>
            <w:noProof/>
            <w:webHidden/>
          </w:rPr>
        </w:r>
        <w:r>
          <w:rPr>
            <w:noProof/>
            <w:webHidden/>
          </w:rPr>
          <w:fldChar w:fldCharType="separate"/>
        </w:r>
        <w:r>
          <w:rPr>
            <w:noProof/>
            <w:webHidden/>
          </w:rPr>
          <w:t>5</w:t>
        </w:r>
        <w:r>
          <w:rPr>
            <w:noProof/>
            <w:webHidden/>
          </w:rPr>
          <w:fldChar w:fldCharType="end"/>
        </w:r>
      </w:hyperlink>
    </w:p>
    <w:p w14:paraId="5BC035F1" w14:textId="77777777" w:rsidR="00B21DC8" w:rsidRDefault="00E34A09">
      <w:pPr>
        <w:pStyle w:val="TOC1"/>
        <w:rPr>
          <w:rFonts w:asciiTheme="minorHAnsi" w:eastAsiaTheme="minorEastAsia" w:hAnsiTheme="minorHAnsi" w:cstheme="minorBidi"/>
          <w:noProof/>
          <w:sz w:val="22"/>
          <w:szCs w:val="22"/>
        </w:rPr>
      </w:pPr>
      <w:hyperlink w:anchor="_Toc16857337" w:history="1">
        <w:r w:rsidRPr="00480FE9">
          <w:rPr>
            <w:rStyle w:val="Hyperlink"/>
            <w:noProof/>
          </w:rPr>
          <w:t>IV.</w:t>
        </w:r>
        <w:r>
          <w:rPr>
            <w:rFonts w:asciiTheme="minorHAnsi" w:eastAsiaTheme="minorEastAsia" w:hAnsiTheme="minorHAnsi" w:cstheme="minorBidi"/>
            <w:noProof/>
            <w:sz w:val="22"/>
            <w:szCs w:val="22"/>
          </w:rPr>
          <w:tab/>
        </w:r>
        <w:r w:rsidRPr="00480FE9">
          <w:rPr>
            <w:rStyle w:val="Hyperlink"/>
            <w:noProof/>
          </w:rPr>
          <w:t>CONCLUSION</w:t>
        </w:r>
        <w:r>
          <w:rPr>
            <w:noProof/>
            <w:webHidden/>
          </w:rPr>
          <w:tab/>
        </w:r>
        <w:r>
          <w:rPr>
            <w:noProof/>
            <w:webHidden/>
          </w:rPr>
          <w:fldChar w:fldCharType="begin"/>
        </w:r>
        <w:r>
          <w:rPr>
            <w:noProof/>
            <w:webHidden/>
          </w:rPr>
          <w:instrText xml:space="preserve"> PAGEREF _Toc16857337 \h </w:instrText>
        </w:r>
        <w:r>
          <w:rPr>
            <w:noProof/>
            <w:webHidden/>
          </w:rPr>
        </w:r>
        <w:r>
          <w:rPr>
            <w:noProof/>
            <w:webHidden/>
          </w:rPr>
          <w:fldChar w:fldCharType="separate"/>
        </w:r>
        <w:r>
          <w:rPr>
            <w:noProof/>
            <w:webHidden/>
          </w:rPr>
          <w:t>7</w:t>
        </w:r>
        <w:r>
          <w:rPr>
            <w:noProof/>
            <w:webHidden/>
          </w:rPr>
          <w:fldChar w:fldCharType="end"/>
        </w:r>
      </w:hyperlink>
    </w:p>
    <w:p w14:paraId="77E24354" w14:textId="77777777" w:rsidR="008E1D8A" w:rsidRPr="008E1D8A" w:rsidRDefault="00E34A09" w:rsidP="008E1D8A">
      <w:pPr>
        <w:pStyle w:val="HTMLPreformatted"/>
        <w:jc w:val="right"/>
        <w:rPr>
          <w:rFonts w:ascii="Times New Roman" w:hAnsi="Times New Roman"/>
          <w:b/>
          <w:bCs/>
          <w:sz w:val="24"/>
        </w:rPr>
      </w:pPr>
      <w:r>
        <w:rPr>
          <w:rFonts w:ascii="Times New Roman" w:hAnsi="Times New Roman"/>
          <w:b/>
          <w:bCs/>
          <w:sz w:val="24"/>
        </w:rPr>
        <w:fldChar w:fldCharType="end"/>
      </w:r>
    </w:p>
    <w:p w14:paraId="3E3DD31E" w14:textId="77777777" w:rsidR="008E1D8A" w:rsidRDefault="00E34A09">
      <w:pPr>
        <w:pStyle w:val="HTMLPreformatted"/>
        <w:jc w:val="center"/>
        <w:rPr>
          <w:rFonts w:ascii="Times New Roman" w:hAnsi="Times New Roman"/>
          <w:b/>
          <w:bCs/>
          <w:sz w:val="24"/>
        </w:rPr>
      </w:pPr>
    </w:p>
    <w:p w14:paraId="64D90B6D" w14:textId="77777777" w:rsidR="008E1D8A" w:rsidRDefault="00E34A09">
      <w:pPr>
        <w:pStyle w:val="HTMLPreformatted"/>
        <w:jc w:val="center"/>
        <w:rPr>
          <w:rFonts w:ascii="Times New Roman" w:hAnsi="Times New Roman"/>
          <w:b/>
          <w:bCs/>
          <w:sz w:val="24"/>
        </w:rPr>
        <w:sectPr w:rsidR="008E1D8A" w:rsidSect="005663DA">
          <w:footerReference w:type="first" r:id="rId15"/>
          <w:pgSz w:w="12240" w:h="15840" w:code="1"/>
          <w:pgMar w:top="1440" w:right="1800" w:bottom="1440" w:left="1800" w:header="720" w:footer="720" w:gutter="0"/>
          <w:pgNumType w:fmt="lowerRoman" w:start="1"/>
          <w:cols w:space="720"/>
          <w:titlePg/>
          <w:docGrid w:linePitch="65"/>
        </w:sectPr>
      </w:pPr>
    </w:p>
    <w:p w14:paraId="75983327" w14:textId="77777777" w:rsidR="00A044B5" w:rsidRDefault="00E34A09">
      <w:pPr>
        <w:pStyle w:val="HTMLPreformatted"/>
        <w:jc w:val="center"/>
        <w:rPr>
          <w:rFonts w:ascii="Times New Roman" w:hAnsi="Times New Roman"/>
          <w:b/>
          <w:bCs/>
          <w:sz w:val="24"/>
        </w:rPr>
      </w:pPr>
      <w:r>
        <w:rPr>
          <w:rFonts w:ascii="Times New Roman" w:hAnsi="Times New Roman"/>
          <w:b/>
          <w:bCs/>
          <w:sz w:val="24"/>
        </w:rPr>
        <w:lastRenderedPageBreak/>
        <w:t>BEFORE</w:t>
      </w:r>
    </w:p>
    <w:p w14:paraId="6AEF6836" w14:textId="77777777" w:rsidR="00A044B5" w:rsidRDefault="00E34A09">
      <w:pPr>
        <w:pStyle w:val="HTMLPreformatted"/>
        <w:jc w:val="center"/>
        <w:rPr>
          <w:rFonts w:ascii="Times New Roman" w:hAnsi="Times New Roman"/>
          <w:sz w:val="24"/>
        </w:rPr>
      </w:pPr>
      <w:r>
        <w:rPr>
          <w:rFonts w:ascii="Times New Roman" w:hAnsi="Times New Roman"/>
          <w:b/>
          <w:bCs/>
          <w:sz w:val="24"/>
        </w:rPr>
        <w:t>THE PUBLIC UTILITIES COMMISSION OF OHIO</w:t>
      </w:r>
    </w:p>
    <w:p w14:paraId="7D7DC1FF" w14:textId="77777777" w:rsidR="004A3EBE" w:rsidRDefault="00E34A09">
      <w:pPr>
        <w:pStyle w:val="HTMLPreformatted"/>
        <w:rPr>
          <w:rFonts w:ascii="Times New Roman" w:hAnsi="Times New Roman"/>
          <w:sz w:val="24"/>
        </w:rPr>
      </w:pPr>
    </w:p>
    <w:tbl>
      <w:tblPr>
        <w:tblW w:w="9350" w:type="dxa"/>
        <w:tblLook w:val="01E0" w:firstRow="1" w:lastRow="1" w:firstColumn="1" w:lastColumn="1" w:noHBand="0" w:noVBand="0"/>
      </w:tblPr>
      <w:tblGrid>
        <w:gridCol w:w="4590"/>
        <w:gridCol w:w="360"/>
        <w:gridCol w:w="4400"/>
      </w:tblGrid>
      <w:tr w:rsidR="00903F03" w14:paraId="194C9C21" w14:textId="77777777" w:rsidTr="0057191E">
        <w:trPr>
          <w:trHeight w:val="807"/>
        </w:trPr>
        <w:tc>
          <w:tcPr>
            <w:tcW w:w="4590" w:type="dxa"/>
            <w:shd w:val="clear" w:color="auto" w:fill="auto"/>
          </w:tcPr>
          <w:p w14:paraId="5C884082" w14:textId="77777777" w:rsidR="0057191E" w:rsidRPr="0057191E" w:rsidRDefault="00E34A09" w:rsidP="0057191E">
            <w:pPr>
              <w:autoSpaceDE w:val="0"/>
              <w:autoSpaceDN w:val="0"/>
              <w:adjustRightInd w:val="0"/>
            </w:pPr>
            <w:r w:rsidRPr="0057191E">
              <w:t xml:space="preserve">In the Matter of the Application of </w:t>
            </w:r>
          </w:p>
          <w:p w14:paraId="721F9237" w14:textId="77777777" w:rsidR="0057191E" w:rsidRPr="0057191E" w:rsidRDefault="00E34A09" w:rsidP="0057191E">
            <w:pPr>
              <w:autoSpaceDE w:val="0"/>
              <w:autoSpaceDN w:val="0"/>
              <w:adjustRightInd w:val="0"/>
            </w:pPr>
            <w:r w:rsidRPr="0057191E">
              <w:t xml:space="preserve">AEP Energy, Inc. for a Partial Waiver of </w:t>
            </w:r>
            <w:proofErr w:type="spellStart"/>
            <w:r w:rsidRPr="0057191E">
              <w:t>OAC</w:t>
            </w:r>
            <w:proofErr w:type="spellEnd"/>
            <w:r w:rsidRPr="0057191E">
              <w:t xml:space="preserve"> Rules 4901:1-29-06 and 4901:1-21-06.</w:t>
            </w:r>
          </w:p>
        </w:tc>
        <w:tc>
          <w:tcPr>
            <w:tcW w:w="360" w:type="dxa"/>
            <w:shd w:val="clear" w:color="auto" w:fill="auto"/>
          </w:tcPr>
          <w:p w14:paraId="403943C3" w14:textId="77777777" w:rsidR="0057191E" w:rsidRPr="00A044B5" w:rsidRDefault="00E34A09" w:rsidP="00635FB2">
            <w:pPr>
              <w:pStyle w:val="HTMLPreformatted"/>
              <w:rPr>
                <w:rFonts w:ascii="Times New Roman" w:hAnsi="Times New Roman"/>
                <w:sz w:val="24"/>
              </w:rPr>
            </w:pPr>
            <w:r w:rsidRPr="00A044B5">
              <w:rPr>
                <w:rFonts w:ascii="Times New Roman" w:hAnsi="Times New Roman"/>
                <w:sz w:val="24"/>
              </w:rPr>
              <w:t>)</w:t>
            </w:r>
          </w:p>
          <w:p w14:paraId="6FE96C60" w14:textId="77777777" w:rsidR="0057191E" w:rsidRPr="00A044B5" w:rsidRDefault="00E34A09" w:rsidP="00635FB2">
            <w:pPr>
              <w:pStyle w:val="HTMLPreformatted"/>
              <w:rPr>
                <w:rFonts w:ascii="Times New Roman" w:hAnsi="Times New Roman"/>
                <w:sz w:val="24"/>
              </w:rPr>
            </w:pPr>
            <w:r w:rsidRPr="00A044B5">
              <w:rPr>
                <w:rFonts w:ascii="Times New Roman" w:hAnsi="Times New Roman"/>
                <w:sz w:val="24"/>
              </w:rPr>
              <w:t>)</w:t>
            </w:r>
          </w:p>
          <w:p w14:paraId="68EF853A" w14:textId="77777777" w:rsidR="0057191E" w:rsidRPr="00A044B5" w:rsidRDefault="00E34A09" w:rsidP="00635FB2">
            <w:pPr>
              <w:pStyle w:val="HTMLPreformatted"/>
              <w:rPr>
                <w:rFonts w:ascii="Times New Roman" w:hAnsi="Times New Roman"/>
                <w:sz w:val="24"/>
              </w:rPr>
            </w:pPr>
            <w:r w:rsidRPr="00A044B5">
              <w:rPr>
                <w:rFonts w:ascii="Times New Roman" w:hAnsi="Times New Roman"/>
                <w:sz w:val="24"/>
              </w:rPr>
              <w:t>)</w:t>
            </w:r>
          </w:p>
          <w:p w14:paraId="47D6E0B4" w14:textId="77777777" w:rsidR="0057191E" w:rsidRPr="00A044B5" w:rsidRDefault="00E34A09" w:rsidP="00635FB2">
            <w:pPr>
              <w:pStyle w:val="HTMLPreformatted"/>
              <w:rPr>
                <w:rFonts w:ascii="Times New Roman" w:hAnsi="Times New Roman"/>
                <w:sz w:val="24"/>
              </w:rPr>
            </w:pPr>
          </w:p>
        </w:tc>
        <w:tc>
          <w:tcPr>
            <w:tcW w:w="4400" w:type="dxa"/>
            <w:shd w:val="clear" w:color="auto" w:fill="auto"/>
          </w:tcPr>
          <w:p w14:paraId="1977430B" w14:textId="77777777" w:rsidR="0057191E" w:rsidRDefault="00E34A09" w:rsidP="00635FB2">
            <w:pPr>
              <w:pStyle w:val="HTMLPreformatted"/>
              <w:rPr>
                <w:rFonts w:ascii="Times New Roman" w:hAnsi="Times New Roman"/>
                <w:sz w:val="24"/>
              </w:rPr>
            </w:pPr>
            <w:r w:rsidRPr="00A044B5">
              <w:rPr>
                <w:rFonts w:ascii="Times New Roman" w:hAnsi="Times New Roman"/>
                <w:sz w:val="24"/>
              </w:rPr>
              <w:t xml:space="preserve">Case No. </w:t>
            </w:r>
            <w:r w:rsidRPr="0057191E">
              <w:rPr>
                <w:rFonts w:ascii="Times New Roman" w:hAnsi="Times New Roman"/>
                <w:sz w:val="24"/>
              </w:rPr>
              <w:t>18-</w:t>
            </w:r>
            <w:r>
              <w:rPr>
                <w:rFonts w:ascii="Times New Roman" w:hAnsi="Times New Roman"/>
                <w:sz w:val="24"/>
              </w:rPr>
              <w:t>0</w:t>
            </w:r>
            <w:r w:rsidRPr="0057191E">
              <w:rPr>
                <w:rFonts w:ascii="Times New Roman" w:hAnsi="Times New Roman"/>
                <w:sz w:val="24"/>
              </w:rPr>
              <w:t>371-EL-</w:t>
            </w:r>
            <w:proofErr w:type="spellStart"/>
            <w:r w:rsidRPr="0057191E">
              <w:rPr>
                <w:rFonts w:ascii="Times New Roman" w:hAnsi="Times New Roman"/>
                <w:sz w:val="24"/>
              </w:rPr>
              <w:t>WVR</w:t>
            </w:r>
            <w:proofErr w:type="spellEnd"/>
            <w:r w:rsidRPr="00A044B5">
              <w:rPr>
                <w:rFonts w:ascii="Times New Roman" w:hAnsi="Times New Roman"/>
                <w:sz w:val="24"/>
              </w:rPr>
              <w:t xml:space="preserve"> </w:t>
            </w:r>
          </w:p>
          <w:p w14:paraId="0F53B4D2" w14:textId="77777777" w:rsidR="0057191E" w:rsidRPr="00A044B5" w:rsidRDefault="00E34A09" w:rsidP="00635FB2">
            <w:pPr>
              <w:pStyle w:val="HTMLPreformatted"/>
              <w:rPr>
                <w:rFonts w:ascii="Times New Roman" w:hAnsi="Times New Roman"/>
                <w:sz w:val="24"/>
              </w:rPr>
            </w:pPr>
            <w:r w:rsidRPr="00A044B5">
              <w:rPr>
                <w:rFonts w:ascii="Times New Roman" w:hAnsi="Times New Roman"/>
                <w:sz w:val="24"/>
              </w:rPr>
              <w:t xml:space="preserve">Case No. </w:t>
            </w:r>
            <w:r w:rsidRPr="0057191E">
              <w:rPr>
                <w:rFonts w:ascii="Times New Roman" w:hAnsi="Times New Roman"/>
                <w:sz w:val="24"/>
              </w:rPr>
              <w:t>18-</w:t>
            </w:r>
            <w:r>
              <w:rPr>
                <w:rFonts w:ascii="Times New Roman" w:hAnsi="Times New Roman"/>
                <w:sz w:val="24"/>
              </w:rPr>
              <w:t>0</w:t>
            </w:r>
            <w:r w:rsidRPr="0057191E">
              <w:rPr>
                <w:rFonts w:ascii="Times New Roman" w:hAnsi="Times New Roman"/>
                <w:sz w:val="24"/>
              </w:rPr>
              <w:t>372-GA-</w:t>
            </w:r>
            <w:proofErr w:type="spellStart"/>
            <w:r w:rsidRPr="0057191E">
              <w:rPr>
                <w:rFonts w:ascii="Times New Roman" w:hAnsi="Times New Roman"/>
                <w:sz w:val="24"/>
              </w:rPr>
              <w:t>WVR</w:t>
            </w:r>
            <w:proofErr w:type="spellEnd"/>
            <w:r w:rsidRPr="00A044B5">
              <w:rPr>
                <w:rFonts w:ascii="Times New Roman" w:hAnsi="Times New Roman"/>
                <w:sz w:val="24"/>
              </w:rPr>
              <w:t xml:space="preserve"> </w:t>
            </w:r>
          </w:p>
        </w:tc>
      </w:tr>
    </w:tbl>
    <w:p w14:paraId="2B0E6E8A" w14:textId="77777777" w:rsidR="00A044B5" w:rsidRDefault="00E34A09">
      <w:pPr>
        <w:pStyle w:val="HTMLPreformatted"/>
        <w:pBdr>
          <w:top w:val="single" w:sz="12" w:space="1" w:color="auto"/>
        </w:pBdr>
        <w:rPr>
          <w:rFonts w:ascii="Times New Roman" w:hAnsi="Times New Roman"/>
          <w:sz w:val="24"/>
        </w:rPr>
      </w:pPr>
    </w:p>
    <w:p w14:paraId="63B361B9" w14:textId="77777777" w:rsidR="00A044B5" w:rsidRDefault="00E34A09">
      <w:pPr>
        <w:jc w:val="center"/>
        <w:rPr>
          <w:b/>
          <w:bCs/>
        </w:rPr>
      </w:pPr>
      <w:r>
        <w:rPr>
          <w:b/>
          <w:bCs/>
        </w:rPr>
        <w:t>APPLICATION FOR REHEARING OF THE PUCO’S ORDER REDUCING CONSUMER PROTECTIONS IN DOOR-TO-DOOR MARKETING</w:t>
      </w:r>
    </w:p>
    <w:p w14:paraId="73B8DBE2" w14:textId="77777777" w:rsidR="00A044B5" w:rsidRDefault="00E34A09">
      <w:pPr>
        <w:jc w:val="center"/>
        <w:rPr>
          <w:b/>
          <w:bCs/>
        </w:rPr>
      </w:pPr>
      <w:r>
        <w:rPr>
          <w:b/>
          <w:bCs/>
        </w:rPr>
        <w:t>BY</w:t>
      </w:r>
    </w:p>
    <w:p w14:paraId="15D8599A" w14:textId="77777777" w:rsidR="00A044B5" w:rsidRDefault="00E34A09">
      <w:pPr>
        <w:jc w:val="center"/>
        <w:rPr>
          <w:b/>
          <w:bCs/>
        </w:rPr>
      </w:pPr>
      <w:r>
        <w:rPr>
          <w:b/>
          <w:bCs/>
        </w:rPr>
        <w:t>THE OFFICE OF THE OHIO CONSUMERS’ COUNSEL</w:t>
      </w:r>
    </w:p>
    <w:p w14:paraId="27F21D06" w14:textId="77777777" w:rsidR="00A044B5" w:rsidRDefault="00E34A09">
      <w:pPr>
        <w:pBdr>
          <w:bottom w:val="single" w:sz="12" w:space="1" w:color="auto"/>
        </w:pBdr>
        <w:tabs>
          <w:tab w:val="left" w:pos="4320"/>
        </w:tabs>
      </w:pPr>
    </w:p>
    <w:p w14:paraId="0E502BE0" w14:textId="77777777" w:rsidR="00A044B5" w:rsidRDefault="00E34A09">
      <w:pPr>
        <w:tabs>
          <w:tab w:val="left" w:pos="4320"/>
        </w:tabs>
      </w:pPr>
    </w:p>
    <w:p w14:paraId="34AFE8CC" w14:textId="77777777" w:rsidR="00E44F28" w:rsidRDefault="00E34A09" w:rsidP="00E44F28">
      <w:pPr>
        <w:pStyle w:val="BodyTextIndent3"/>
        <w:suppressAutoHyphens/>
        <w:spacing w:before="120" w:line="480" w:lineRule="auto"/>
      </w:pPr>
      <w:r>
        <w:t xml:space="preserve">It is important for the PUCO to protect consumers from </w:t>
      </w:r>
      <w:r>
        <w:t xml:space="preserve">abusive marketing practices by energy marketers. It has become all the more imperative because of two recent cases at the Public Utilities Commission of Ohio (“PUCO”) involving a large number (over 500) of customer complaints filed at the PUCO in a matter </w:t>
      </w:r>
      <w:r>
        <w:t>of months. In one case, the PUCO Staff documented at least 231 consumer complaints against marketer Verde Energy in a six-month period,</w:t>
      </w:r>
      <w:r>
        <w:rPr>
          <w:rStyle w:val="FootnoteReference"/>
        </w:rPr>
        <w:footnoteReference w:id="1"/>
      </w:r>
      <w:r>
        <w:t xml:space="preserve"> of which 22 pertained to door-to-door solicitation.</w:t>
      </w:r>
      <w:r>
        <w:rPr>
          <w:rStyle w:val="FootnoteReference"/>
        </w:rPr>
        <w:footnoteReference w:id="2"/>
      </w:r>
      <w:r>
        <w:t xml:space="preserve"> In the other case, the PUCO Staff documented at least 373 consumer</w:t>
      </w:r>
      <w:r>
        <w:t xml:space="preserve"> complaints regarding </w:t>
      </w:r>
      <w:proofErr w:type="spellStart"/>
      <w:r>
        <w:t>PALMco</w:t>
      </w:r>
      <w:proofErr w:type="spellEnd"/>
      <w:r>
        <w:t>, another energy marketer.</w:t>
      </w:r>
      <w:r>
        <w:rPr>
          <w:rStyle w:val="FootnoteReference"/>
        </w:rPr>
        <w:footnoteReference w:id="3"/>
      </w:r>
      <w:r>
        <w:t xml:space="preserve"> The PUCO Staff noted that customer complaints against </w:t>
      </w:r>
      <w:proofErr w:type="spellStart"/>
      <w:r>
        <w:t>PALMco</w:t>
      </w:r>
      <w:proofErr w:type="spellEnd"/>
      <w:r>
        <w:t xml:space="preserve"> include allegations of deceptive and misleading practices concerning door-to-door marketing.</w:t>
      </w:r>
      <w:r>
        <w:rPr>
          <w:rStyle w:val="FootnoteReference"/>
        </w:rPr>
        <w:footnoteReference w:id="4"/>
      </w:r>
    </w:p>
    <w:p w14:paraId="5B82AB55" w14:textId="77777777" w:rsidR="005456E5" w:rsidRDefault="00E34A09" w:rsidP="00E44F28">
      <w:pPr>
        <w:pStyle w:val="BodyTextIndent3"/>
        <w:suppressAutoHyphens/>
        <w:spacing w:line="480" w:lineRule="auto"/>
      </w:pPr>
      <w:r>
        <w:t>In this case, the PUCO has allowed a marketer</w:t>
      </w:r>
      <w:r>
        <w:t xml:space="preserve"> to cease providing an important consumer protection regarding door-to-door solicitations.</w:t>
      </w:r>
      <w:r>
        <w:rPr>
          <w:rStyle w:val="FootnoteReference"/>
        </w:rPr>
        <w:footnoteReference w:id="5"/>
      </w:r>
      <w:r>
        <w:t xml:space="preserve"> Two PUCO rules require </w:t>
      </w:r>
      <w:r>
        <w:lastRenderedPageBreak/>
        <w:t>independent third-party verification of changes to a consumer’s utility service provider resulting from door-to-door marketing.</w:t>
      </w:r>
      <w:r>
        <w:rPr>
          <w:rStyle w:val="FootnoteReference"/>
        </w:rPr>
        <w:footnoteReference w:id="6"/>
      </w:r>
      <w:r>
        <w:t xml:space="preserve"> T</w:t>
      </w:r>
      <w:r>
        <w:rPr>
          <w:szCs w:val="24"/>
        </w:rPr>
        <w:t>he third pa</w:t>
      </w:r>
      <w:r>
        <w:rPr>
          <w:szCs w:val="24"/>
        </w:rPr>
        <w:t>rty verification process helps protect consumers from</w:t>
      </w:r>
      <w:r w:rsidRPr="00C83A44">
        <w:rPr>
          <w:szCs w:val="24"/>
        </w:rPr>
        <w:t xml:space="preserve"> unfair, misleading, deceptive</w:t>
      </w:r>
      <w:r>
        <w:rPr>
          <w:szCs w:val="24"/>
        </w:rPr>
        <w:t>,</w:t>
      </w:r>
      <w:r w:rsidRPr="00C83A44">
        <w:rPr>
          <w:szCs w:val="24"/>
        </w:rPr>
        <w:t xml:space="preserve"> and unconscionable sales practices that </w:t>
      </w:r>
      <w:r>
        <w:rPr>
          <w:szCs w:val="24"/>
        </w:rPr>
        <w:t>certain marketers have engaged in during door-to-door solicitations of electric and natural gas services</w:t>
      </w:r>
      <w:r w:rsidRPr="00C83A44">
        <w:rPr>
          <w:szCs w:val="24"/>
        </w:rPr>
        <w:t>.</w:t>
      </w:r>
      <w:r>
        <w:rPr>
          <w:rStyle w:val="FootnoteReference"/>
          <w:szCs w:val="24"/>
        </w:rPr>
        <w:footnoteReference w:id="7"/>
      </w:r>
      <w:r>
        <w:rPr>
          <w:szCs w:val="24"/>
        </w:rPr>
        <w:t xml:space="preserve"> </w:t>
      </w:r>
    </w:p>
    <w:p w14:paraId="3EF3B1D2" w14:textId="77777777" w:rsidR="0057191E" w:rsidRDefault="00E34A09" w:rsidP="0057191E">
      <w:pPr>
        <w:pStyle w:val="BodyTextIndent3"/>
        <w:spacing w:line="480" w:lineRule="auto"/>
        <w:ind w:right="-312"/>
        <w:rPr>
          <w:szCs w:val="24"/>
        </w:rPr>
      </w:pPr>
      <w:r>
        <w:t>Under the PUCO’s Entry,</w:t>
      </w:r>
      <w:r>
        <w:t xml:space="preserve"> door-to-door salespeople from </w:t>
      </w:r>
      <w:r>
        <w:rPr>
          <w:szCs w:val="24"/>
        </w:rPr>
        <w:t>AEP Energy, Inc.</w:t>
      </w:r>
      <w:r w:rsidRPr="00434BA4">
        <w:rPr>
          <w:szCs w:val="24"/>
        </w:rPr>
        <w:t xml:space="preserve"> </w:t>
      </w:r>
      <w:r>
        <w:rPr>
          <w:szCs w:val="24"/>
        </w:rPr>
        <w:t>(“AEP Energy”) will still be in the consumers’ home while the consumer answers some questions that the independent third-party verifier must ask under the PUCO’s rules. These include questions regarding the c</w:t>
      </w:r>
      <w:r>
        <w:rPr>
          <w:szCs w:val="24"/>
        </w:rPr>
        <w:t>onsumer’s understanding of the contract, the rate that the consumer would be charged under the contract, and key terms of the contract. The PUCO’s Entry also dilutes the role of the independent third-party verifier to asking questions that are mostly minis</w:t>
      </w:r>
      <w:r>
        <w:rPr>
          <w:szCs w:val="24"/>
        </w:rPr>
        <w:t>terial in nature, such as permission to record the call, the consumer’s identity, whether the salesperson has left the consumer’s home, and whether the consumer received the signed contract and welcome packet.</w:t>
      </w:r>
    </w:p>
    <w:p w14:paraId="25F9AC3E" w14:textId="77777777" w:rsidR="00A044B5" w:rsidRDefault="00E34A09" w:rsidP="00C9681B">
      <w:pPr>
        <w:pStyle w:val="BodyTextIndent3"/>
        <w:suppressAutoHyphens/>
        <w:spacing w:line="480" w:lineRule="auto"/>
      </w:pPr>
      <w:r>
        <w:t xml:space="preserve">The Office of the Ohio Consumers’ </w:t>
      </w:r>
      <w:r>
        <w:t>Counsel (“OCC”) files an Application for Rehearing of the PUCO’s Entry. The Entry was unlawful and unreasonable in the following respects:</w:t>
      </w:r>
    </w:p>
    <w:p w14:paraId="76519006" w14:textId="77777777" w:rsidR="00CC3942" w:rsidRDefault="00E34A09" w:rsidP="00381B3E">
      <w:pPr>
        <w:pStyle w:val="BodyTextIndent3"/>
        <w:numPr>
          <w:ilvl w:val="0"/>
          <w:numId w:val="8"/>
        </w:numPr>
        <w:suppressAutoHyphens/>
        <w:spacing w:after="240" w:line="240" w:lineRule="auto"/>
        <w:ind w:hanging="720"/>
        <w:rPr>
          <w:szCs w:val="24"/>
        </w:rPr>
      </w:pPr>
      <w:r>
        <w:t>The PUCO’s Entry unreasonably places consumers at risk by changing the third-party verification process, removing con</w:t>
      </w:r>
      <w:r>
        <w:t>sumer protections in the verification</w:t>
      </w:r>
      <w:r w:rsidRPr="00520B7B">
        <w:t xml:space="preserve"> </w:t>
      </w:r>
      <w:r>
        <w:t>process used when a consumer switches providers as a result of door to door solicitation</w:t>
      </w:r>
      <w:r>
        <w:rPr>
          <w:szCs w:val="24"/>
        </w:rPr>
        <w:t>.</w:t>
      </w:r>
    </w:p>
    <w:p w14:paraId="320F3DA7" w14:textId="77777777" w:rsidR="00CC3942" w:rsidRDefault="00E34A09">
      <w:pPr>
        <w:rPr>
          <w:szCs w:val="24"/>
        </w:rPr>
      </w:pPr>
      <w:r>
        <w:rPr>
          <w:szCs w:val="24"/>
        </w:rPr>
        <w:br w:type="page"/>
      </w:r>
    </w:p>
    <w:p w14:paraId="0DBCF2BB" w14:textId="77777777" w:rsidR="00BE7259" w:rsidRDefault="00E34A09" w:rsidP="00381B3E">
      <w:pPr>
        <w:pStyle w:val="BodyTextIndent3"/>
        <w:numPr>
          <w:ilvl w:val="0"/>
          <w:numId w:val="8"/>
        </w:numPr>
        <w:suppressAutoHyphens/>
        <w:spacing w:after="240" w:line="240" w:lineRule="auto"/>
        <w:ind w:hanging="720"/>
      </w:pPr>
      <w:r>
        <w:lastRenderedPageBreak/>
        <w:t>By allowing a door-to-door salesperson to remain in the consumer’s home while the consumer responds to the most important ques</w:t>
      </w:r>
      <w:r>
        <w:t>tions in the third-party verification rules, the PUCO undermined the consumer protections required by R.C. 4928.10 and R.C. 4929.22.</w:t>
      </w:r>
    </w:p>
    <w:p w14:paraId="24B8B937" w14:textId="77777777" w:rsidR="00BE7259" w:rsidRDefault="00E34A09" w:rsidP="00C9681B">
      <w:pPr>
        <w:pStyle w:val="BodyTextIndent3"/>
        <w:suppressAutoHyphens/>
        <w:spacing w:line="480" w:lineRule="auto"/>
      </w:pPr>
      <w:r>
        <w:t>The PUCO should grant OCC’s Application for Rehearing and abrogate or modify the Entry. The PUCO should also stay implement</w:t>
      </w:r>
      <w:r>
        <w:t>ation of the waiver while rehearing is pending. The grounds for this Application for Rehearing are set forth in the accompanying Memorandum in Support.</w:t>
      </w:r>
    </w:p>
    <w:p w14:paraId="5DA63F2E" w14:textId="77777777" w:rsidR="00A044B5" w:rsidRDefault="00E34A09" w:rsidP="002525BE">
      <w:pPr>
        <w:pStyle w:val="BodyTextIndent3"/>
        <w:widowControl w:val="0"/>
        <w:spacing w:line="480" w:lineRule="auto"/>
        <w:ind w:left="3600" w:firstLine="0"/>
        <w:rPr>
          <w:szCs w:val="24"/>
        </w:rPr>
      </w:pPr>
      <w:r>
        <w:rPr>
          <w:szCs w:val="24"/>
        </w:rPr>
        <w:t>Respectfully submitted,</w:t>
      </w:r>
    </w:p>
    <w:p w14:paraId="4DD2BD7F" w14:textId="77777777" w:rsidR="00A044B5" w:rsidRDefault="00E34A09" w:rsidP="002525BE">
      <w:pPr>
        <w:pStyle w:val="Footer"/>
        <w:tabs>
          <w:tab w:val="clear" w:pos="8640"/>
          <w:tab w:val="left" w:pos="4320"/>
        </w:tabs>
        <w:ind w:left="3600"/>
        <w:rPr>
          <w:sz w:val="24"/>
          <w:szCs w:val="24"/>
        </w:rPr>
      </w:pPr>
      <w:r>
        <w:rPr>
          <w:sz w:val="24"/>
          <w:szCs w:val="24"/>
        </w:rPr>
        <w:t>Bruce Weston (0016973)</w:t>
      </w:r>
    </w:p>
    <w:p w14:paraId="28BC9FA8" w14:textId="77777777" w:rsidR="00A044B5" w:rsidRDefault="00E34A09" w:rsidP="002525BE">
      <w:pPr>
        <w:tabs>
          <w:tab w:val="left" w:pos="4320"/>
        </w:tabs>
        <w:spacing w:after="120"/>
        <w:ind w:left="3600"/>
        <w:rPr>
          <w:szCs w:val="24"/>
        </w:rPr>
      </w:pPr>
      <w:r>
        <w:rPr>
          <w:szCs w:val="24"/>
        </w:rPr>
        <w:t>Ohio Consumers’ Counsel</w:t>
      </w:r>
    </w:p>
    <w:p w14:paraId="6745C6CC" w14:textId="77777777" w:rsidR="000448EF" w:rsidRDefault="00E34A09" w:rsidP="002525BE">
      <w:pPr>
        <w:autoSpaceDE w:val="0"/>
        <w:autoSpaceDN w:val="0"/>
        <w:adjustRightInd w:val="0"/>
        <w:ind w:left="3600"/>
        <w:rPr>
          <w:i/>
        </w:rPr>
      </w:pPr>
      <w:r>
        <w:rPr>
          <w:i/>
          <w:u w:val="single"/>
        </w:rPr>
        <w:t xml:space="preserve">/s/ Terry L. Etter          </w:t>
      </w:r>
      <w:r>
        <w:rPr>
          <w:i/>
          <w:u w:val="single"/>
        </w:rPr>
        <w:tab/>
      </w:r>
      <w:r>
        <w:rPr>
          <w:i/>
          <w:u w:val="single"/>
        </w:rPr>
        <w:tab/>
        <w:t xml:space="preserve">   </w:t>
      </w:r>
      <w:r>
        <w:rPr>
          <w:i/>
          <w:u w:val="single"/>
        </w:rPr>
        <w:t> </w:t>
      </w:r>
    </w:p>
    <w:p w14:paraId="7AE866FC" w14:textId="77777777" w:rsidR="00381B3E" w:rsidRDefault="00E34A09" w:rsidP="002525BE">
      <w:pPr>
        <w:tabs>
          <w:tab w:val="left" w:pos="4320"/>
        </w:tabs>
        <w:ind w:left="3600"/>
        <w:rPr>
          <w:szCs w:val="24"/>
        </w:rPr>
      </w:pPr>
      <w:r>
        <w:rPr>
          <w:szCs w:val="24"/>
        </w:rPr>
        <w:t>Terry L. Etter (0067445)</w:t>
      </w:r>
    </w:p>
    <w:p w14:paraId="40C3BA72" w14:textId="77777777" w:rsidR="002A0628" w:rsidRPr="00E53E6E" w:rsidRDefault="00E34A09" w:rsidP="002525BE">
      <w:pPr>
        <w:tabs>
          <w:tab w:val="left" w:pos="4320"/>
        </w:tabs>
        <w:ind w:left="3600"/>
        <w:rPr>
          <w:szCs w:val="24"/>
        </w:rPr>
      </w:pPr>
      <w:r w:rsidRPr="00E53E6E">
        <w:rPr>
          <w:szCs w:val="24"/>
        </w:rPr>
        <w:t>Counsel of Record</w:t>
      </w:r>
    </w:p>
    <w:p w14:paraId="2FD48CA5" w14:textId="77777777" w:rsidR="002525BE" w:rsidRDefault="00E34A09" w:rsidP="002525BE">
      <w:pPr>
        <w:tabs>
          <w:tab w:val="left" w:pos="4320"/>
        </w:tabs>
        <w:ind w:left="3600"/>
        <w:rPr>
          <w:szCs w:val="24"/>
        </w:rPr>
      </w:pPr>
      <w:r>
        <w:rPr>
          <w:szCs w:val="24"/>
        </w:rPr>
        <w:t>Amy Botschner O’Brien (0074423)</w:t>
      </w:r>
    </w:p>
    <w:p w14:paraId="082458A2" w14:textId="77777777" w:rsidR="002525BE" w:rsidRDefault="00E34A09" w:rsidP="002525BE">
      <w:pPr>
        <w:tabs>
          <w:tab w:val="left" w:pos="4320"/>
        </w:tabs>
        <w:ind w:left="3600"/>
        <w:rPr>
          <w:szCs w:val="24"/>
        </w:rPr>
      </w:pPr>
      <w:r>
        <w:rPr>
          <w:szCs w:val="24"/>
        </w:rPr>
        <w:t xml:space="preserve">Assistant Consumers’ Counsel </w:t>
      </w:r>
    </w:p>
    <w:p w14:paraId="7568E549" w14:textId="77777777" w:rsidR="008E7F69" w:rsidRDefault="00E34A09" w:rsidP="008E7F69">
      <w:pPr>
        <w:ind w:left="2880" w:firstLine="720"/>
        <w:rPr>
          <w:b/>
          <w:bCs/>
        </w:rPr>
      </w:pPr>
    </w:p>
    <w:p w14:paraId="543128B0" w14:textId="77777777" w:rsidR="002525BE" w:rsidRPr="008E7F69" w:rsidRDefault="00E34A09" w:rsidP="008E7F69">
      <w:pPr>
        <w:ind w:left="2880" w:firstLine="720"/>
        <w:rPr>
          <w:b/>
          <w:bCs/>
        </w:rPr>
      </w:pPr>
      <w:r w:rsidRPr="008E7F69">
        <w:rPr>
          <w:b/>
          <w:bCs/>
        </w:rPr>
        <w:t>Office of the Ohio Consumers’ Counsel</w:t>
      </w:r>
    </w:p>
    <w:p w14:paraId="7CF2DBD9" w14:textId="77777777" w:rsidR="002525BE" w:rsidRDefault="00E34A09" w:rsidP="008E7F69">
      <w:pPr>
        <w:ind w:left="2880" w:firstLine="720"/>
        <w:rPr>
          <w:b/>
        </w:rPr>
      </w:pPr>
      <w:r>
        <w:t>65 East State Street, 7</w:t>
      </w:r>
      <w:r w:rsidRPr="00CC3942">
        <w:t>th</w:t>
      </w:r>
      <w:r>
        <w:t xml:space="preserve"> Floor</w:t>
      </w:r>
    </w:p>
    <w:p w14:paraId="0BE913F7" w14:textId="77777777" w:rsidR="002525BE" w:rsidRDefault="00E34A09" w:rsidP="008E7F69">
      <w:pPr>
        <w:ind w:left="2880" w:firstLine="720"/>
        <w:rPr>
          <w:b/>
        </w:rPr>
      </w:pPr>
      <w:r>
        <w:t>Columbus, Ohio 43215-4213</w:t>
      </w:r>
    </w:p>
    <w:p w14:paraId="07AF8F39" w14:textId="77777777" w:rsidR="002525BE" w:rsidRDefault="00E34A09" w:rsidP="002525BE">
      <w:pPr>
        <w:autoSpaceDE w:val="0"/>
        <w:autoSpaceDN w:val="0"/>
        <w:adjustRightInd w:val="0"/>
        <w:ind w:left="3600"/>
        <w:rPr>
          <w:szCs w:val="24"/>
        </w:rPr>
      </w:pPr>
      <w:r>
        <w:rPr>
          <w:szCs w:val="24"/>
        </w:rPr>
        <w:t>Telephone [Etter]: (614) 466-7964</w:t>
      </w:r>
    </w:p>
    <w:p w14:paraId="751642CA" w14:textId="77777777" w:rsidR="002525BE" w:rsidRDefault="00E34A09" w:rsidP="002525BE">
      <w:pPr>
        <w:autoSpaceDE w:val="0"/>
        <w:autoSpaceDN w:val="0"/>
        <w:adjustRightInd w:val="0"/>
        <w:ind w:left="3600"/>
        <w:rPr>
          <w:szCs w:val="24"/>
        </w:rPr>
      </w:pPr>
      <w:r>
        <w:rPr>
          <w:szCs w:val="24"/>
        </w:rPr>
        <w:t xml:space="preserve">Telephone </w:t>
      </w:r>
      <w:r>
        <w:rPr>
          <w:szCs w:val="24"/>
        </w:rPr>
        <w:t>[Botschner O’Brien]: (614) 466-9575</w:t>
      </w:r>
    </w:p>
    <w:p w14:paraId="720D2B5A" w14:textId="77777777" w:rsidR="002525BE" w:rsidRDefault="00E34A09" w:rsidP="002525BE">
      <w:pPr>
        <w:ind w:left="3600"/>
        <w:rPr>
          <w:szCs w:val="24"/>
        </w:rPr>
      </w:pPr>
      <w:hyperlink r:id="rId16" w:history="1">
        <w:proofErr w:type="spellStart"/>
        <w:r w:rsidRPr="00953818">
          <w:rPr>
            <w:rStyle w:val="Hyperlink"/>
            <w:szCs w:val="24"/>
          </w:rPr>
          <w:t>terry.etter@occ.ohio.gov</w:t>
        </w:r>
        <w:proofErr w:type="spellEnd"/>
      </w:hyperlink>
      <w:r>
        <w:rPr>
          <w:szCs w:val="24"/>
        </w:rPr>
        <w:t xml:space="preserve"> </w:t>
      </w:r>
    </w:p>
    <w:p w14:paraId="7E451227" w14:textId="77777777" w:rsidR="002A0628" w:rsidRPr="00665692" w:rsidRDefault="00E34A09" w:rsidP="002525BE">
      <w:pPr>
        <w:autoSpaceDE w:val="0"/>
        <w:autoSpaceDN w:val="0"/>
        <w:adjustRightInd w:val="0"/>
        <w:ind w:left="3600"/>
        <w:rPr>
          <w:szCs w:val="24"/>
        </w:rPr>
      </w:pPr>
      <w:hyperlink r:id="rId17" w:history="1">
        <w:proofErr w:type="spellStart"/>
        <w:r w:rsidRPr="00953818">
          <w:rPr>
            <w:rStyle w:val="Hyperlink"/>
            <w:szCs w:val="24"/>
          </w:rPr>
          <w:t>amy.botschner.obrien@occ.ohio.gov</w:t>
        </w:r>
        <w:proofErr w:type="spellEnd"/>
      </w:hyperlink>
    </w:p>
    <w:p w14:paraId="3AD6691D" w14:textId="77777777" w:rsidR="00B7546D" w:rsidRDefault="00E34A09" w:rsidP="002525BE">
      <w:pPr>
        <w:ind w:left="3600"/>
        <w:rPr>
          <w:szCs w:val="24"/>
        </w:rPr>
        <w:sectPr w:rsidR="00B7546D" w:rsidSect="00EB41DE">
          <w:footerReference w:type="first" r:id="rId18"/>
          <w:pgSz w:w="12240" w:h="15840" w:code="1"/>
          <w:pgMar w:top="1440" w:right="1800" w:bottom="1440" w:left="1800" w:header="720" w:footer="720" w:gutter="0"/>
          <w:pgNumType w:start="1"/>
          <w:cols w:space="720"/>
          <w:titlePg/>
          <w:docGrid w:linePitch="65"/>
        </w:sectPr>
      </w:pPr>
      <w:r w:rsidRPr="00E53E6E">
        <w:rPr>
          <w:szCs w:val="24"/>
        </w:rPr>
        <w:t>(will</w:t>
      </w:r>
      <w:r>
        <w:rPr>
          <w:szCs w:val="24"/>
        </w:rPr>
        <w:t>ing to</w:t>
      </w:r>
      <w:r w:rsidRPr="00E53E6E">
        <w:rPr>
          <w:szCs w:val="24"/>
        </w:rPr>
        <w:t xml:space="preserve"> accept service </w:t>
      </w:r>
      <w:r>
        <w:rPr>
          <w:szCs w:val="24"/>
        </w:rPr>
        <w:t>by e-mail</w:t>
      </w:r>
      <w:r w:rsidRPr="00E53E6E">
        <w:rPr>
          <w:szCs w:val="24"/>
        </w:rPr>
        <w:t>)</w:t>
      </w:r>
    </w:p>
    <w:p w14:paraId="4E8B5C9E" w14:textId="77777777" w:rsidR="00A044B5" w:rsidRDefault="00E34A09">
      <w:pPr>
        <w:pStyle w:val="HTMLPreformatted"/>
        <w:jc w:val="center"/>
        <w:rPr>
          <w:rFonts w:ascii="Times New Roman" w:hAnsi="Times New Roman"/>
          <w:b/>
          <w:bCs/>
          <w:sz w:val="24"/>
        </w:rPr>
      </w:pPr>
      <w:r>
        <w:rPr>
          <w:rFonts w:ascii="Times New Roman" w:hAnsi="Times New Roman"/>
          <w:b/>
          <w:bCs/>
          <w:sz w:val="24"/>
        </w:rPr>
        <w:lastRenderedPageBreak/>
        <w:t>BEFORE</w:t>
      </w:r>
    </w:p>
    <w:p w14:paraId="536D067E" w14:textId="77777777" w:rsidR="00A044B5" w:rsidRDefault="00E34A09">
      <w:pPr>
        <w:pStyle w:val="HTMLPreformatted"/>
        <w:jc w:val="center"/>
        <w:rPr>
          <w:rFonts w:ascii="Times New Roman" w:hAnsi="Times New Roman"/>
          <w:sz w:val="24"/>
        </w:rPr>
      </w:pPr>
      <w:r>
        <w:rPr>
          <w:rFonts w:ascii="Times New Roman" w:hAnsi="Times New Roman"/>
          <w:b/>
          <w:bCs/>
          <w:sz w:val="24"/>
        </w:rPr>
        <w:t>THE PUBLIC UTILITIES COMMISSION OF OHIO</w:t>
      </w:r>
    </w:p>
    <w:p w14:paraId="189EFB99" w14:textId="77777777" w:rsidR="00A044B5" w:rsidRDefault="00E34A09">
      <w:pPr>
        <w:pStyle w:val="HTMLPreformatted"/>
        <w:rPr>
          <w:rFonts w:ascii="Times New Roman" w:hAnsi="Times New Roman"/>
          <w:sz w:val="24"/>
        </w:rPr>
      </w:pPr>
    </w:p>
    <w:tbl>
      <w:tblPr>
        <w:tblW w:w="9350" w:type="dxa"/>
        <w:tblLook w:val="01E0" w:firstRow="1" w:lastRow="1" w:firstColumn="1" w:lastColumn="1" w:noHBand="0" w:noVBand="0"/>
      </w:tblPr>
      <w:tblGrid>
        <w:gridCol w:w="4590"/>
        <w:gridCol w:w="360"/>
        <w:gridCol w:w="4400"/>
      </w:tblGrid>
      <w:tr w:rsidR="00903F03" w14:paraId="679B27CD" w14:textId="77777777" w:rsidTr="00FC7BF1">
        <w:trPr>
          <w:trHeight w:val="807"/>
        </w:trPr>
        <w:tc>
          <w:tcPr>
            <w:tcW w:w="4590" w:type="dxa"/>
            <w:shd w:val="clear" w:color="auto" w:fill="auto"/>
          </w:tcPr>
          <w:p w14:paraId="2626DEAC" w14:textId="77777777" w:rsidR="00FC7BF1" w:rsidRPr="0057191E" w:rsidRDefault="00E34A09" w:rsidP="00635FB2">
            <w:pPr>
              <w:autoSpaceDE w:val="0"/>
              <w:autoSpaceDN w:val="0"/>
              <w:adjustRightInd w:val="0"/>
            </w:pPr>
            <w:r w:rsidRPr="0057191E">
              <w:t xml:space="preserve">In the Matter of the Application of </w:t>
            </w:r>
          </w:p>
          <w:p w14:paraId="3C3927E7" w14:textId="77777777" w:rsidR="00FC7BF1" w:rsidRPr="0057191E" w:rsidRDefault="00E34A09" w:rsidP="00635FB2">
            <w:pPr>
              <w:autoSpaceDE w:val="0"/>
              <w:autoSpaceDN w:val="0"/>
              <w:adjustRightInd w:val="0"/>
            </w:pPr>
            <w:r w:rsidRPr="0057191E">
              <w:t xml:space="preserve">AEP Energy, Inc. for a Partial Waiver of </w:t>
            </w:r>
            <w:proofErr w:type="spellStart"/>
            <w:r w:rsidRPr="0057191E">
              <w:t>OAC</w:t>
            </w:r>
            <w:proofErr w:type="spellEnd"/>
            <w:r w:rsidRPr="0057191E">
              <w:t xml:space="preserve"> Rules 4901:1-29-06 and 4901:1-21-06.</w:t>
            </w:r>
          </w:p>
        </w:tc>
        <w:tc>
          <w:tcPr>
            <w:tcW w:w="360" w:type="dxa"/>
            <w:shd w:val="clear" w:color="auto" w:fill="auto"/>
          </w:tcPr>
          <w:p w14:paraId="77BCA454" w14:textId="77777777" w:rsidR="00FC7BF1" w:rsidRPr="00A044B5" w:rsidRDefault="00E34A09" w:rsidP="00635FB2">
            <w:pPr>
              <w:pStyle w:val="HTMLPreformatted"/>
              <w:rPr>
                <w:rFonts w:ascii="Times New Roman" w:hAnsi="Times New Roman"/>
                <w:sz w:val="24"/>
              </w:rPr>
            </w:pPr>
            <w:r w:rsidRPr="00A044B5">
              <w:rPr>
                <w:rFonts w:ascii="Times New Roman" w:hAnsi="Times New Roman"/>
                <w:sz w:val="24"/>
              </w:rPr>
              <w:t>)</w:t>
            </w:r>
          </w:p>
          <w:p w14:paraId="1AF91B6F" w14:textId="77777777" w:rsidR="00FC7BF1" w:rsidRPr="00A044B5" w:rsidRDefault="00E34A09" w:rsidP="00635FB2">
            <w:pPr>
              <w:pStyle w:val="HTMLPreformatted"/>
              <w:rPr>
                <w:rFonts w:ascii="Times New Roman" w:hAnsi="Times New Roman"/>
                <w:sz w:val="24"/>
              </w:rPr>
            </w:pPr>
            <w:r w:rsidRPr="00A044B5">
              <w:rPr>
                <w:rFonts w:ascii="Times New Roman" w:hAnsi="Times New Roman"/>
                <w:sz w:val="24"/>
              </w:rPr>
              <w:t>)</w:t>
            </w:r>
          </w:p>
          <w:p w14:paraId="619E40F9" w14:textId="77777777" w:rsidR="00FC7BF1" w:rsidRPr="00A044B5" w:rsidRDefault="00E34A09" w:rsidP="00635FB2">
            <w:pPr>
              <w:pStyle w:val="HTMLPreformatted"/>
              <w:rPr>
                <w:rFonts w:ascii="Times New Roman" w:hAnsi="Times New Roman"/>
                <w:sz w:val="24"/>
              </w:rPr>
            </w:pPr>
            <w:r w:rsidRPr="00A044B5">
              <w:rPr>
                <w:rFonts w:ascii="Times New Roman" w:hAnsi="Times New Roman"/>
                <w:sz w:val="24"/>
              </w:rPr>
              <w:t>)</w:t>
            </w:r>
          </w:p>
          <w:p w14:paraId="0F2F6D85" w14:textId="77777777" w:rsidR="00FC7BF1" w:rsidRPr="00A044B5" w:rsidRDefault="00E34A09" w:rsidP="00635FB2">
            <w:pPr>
              <w:pStyle w:val="HTMLPreformatted"/>
              <w:rPr>
                <w:rFonts w:ascii="Times New Roman" w:hAnsi="Times New Roman"/>
                <w:sz w:val="24"/>
              </w:rPr>
            </w:pPr>
          </w:p>
        </w:tc>
        <w:tc>
          <w:tcPr>
            <w:tcW w:w="4400" w:type="dxa"/>
            <w:shd w:val="clear" w:color="auto" w:fill="auto"/>
          </w:tcPr>
          <w:p w14:paraId="298951B9" w14:textId="77777777" w:rsidR="00FC7BF1" w:rsidRDefault="00E34A09" w:rsidP="00635FB2">
            <w:pPr>
              <w:pStyle w:val="HTMLPreformatted"/>
              <w:rPr>
                <w:rFonts w:ascii="Times New Roman" w:hAnsi="Times New Roman"/>
                <w:sz w:val="24"/>
              </w:rPr>
            </w:pPr>
            <w:r w:rsidRPr="00A044B5">
              <w:rPr>
                <w:rFonts w:ascii="Times New Roman" w:hAnsi="Times New Roman"/>
                <w:sz w:val="24"/>
              </w:rPr>
              <w:t xml:space="preserve">Case No. </w:t>
            </w:r>
            <w:r w:rsidRPr="0057191E">
              <w:rPr>
                <w:rFonts w:ascii="Times New Roman" w:hAnsi="Times New Roman"/>
                <w:sz w:val="24"/>
              </w:rPr>
              <w:t>18-371-EL-</w:t>
            </w:r>
            <w:proofErr w:type="spellStart"/>
            <w:r w:rsidRPr="0057191E">
              <w:rPr>
                <w:rFonts w:ascii="Times New Roman" w:hAnsi="Times New Roman"/>
                <w:sz w:val="24"/>
              </w:rPr>
              <w:t>WVR</w:t>
            </w:r>
            <w:proofErr w:type="spellEnd"/>
            <w:r w:rsidRPr="00A044B5">
              <w:rPr>
                <w:rFonts w:ascii="Times New Roman" w:hAnsi="Times New Roman"/>
                <w:sz w:val="24"/>
              </w:rPr>
              <w:t xml:space="preserve"> </w:t>
            </w:r>
          </w:p>
          <w:p w14:paraId="1410E7D9" w14:textId="77777777" w:rsidR="00FC7BF1" w:rsidRPr="00A044B5" w:rsidRDefault="00E34A09" w:rsidP="00635FB2">
            <w:pPr>
              <w:pStyle w:val="HTMLPreformatted"/>
              <w:rPr>
                <w:rFonts w:ascii="Times New Roman" w:hAnsi="Times New Roman"/>
                <w:sz w:val="24"/>
              </w:rPr>
            </w:pPr>
            <w:r w:rsidRPr="00A044B5">
              <w:rPr>
                <w:rFonts w:ascii="Times New Roman" w:hAnsi="Times New Roman"/>
                <w:sz w:val="24"/>
              </w:rPr>
              <w:t xml:space="preserve">Case No. </w:t>
            </w:r>
            <w:r w:rsidRPr="0057191E">
              <w:rPr>
                <w:rFonts w:ascii="Times New Roman" w:hAnsi="Times New Roman"/>
                <w:sz w:val="24"/>
              </w:rPr>
              <w:t>18-372-GA-</w:t>
            </w:r>
            <w:proofErr w:type="spellStart"/>
            <w:r w:rsidRPr="0057191E">
              <w:rPr>
                <w:rFonts w:ascii="Times New Roman" w:hAnsi="Times New Roman"/>
                <w:sz w:val="24"/>
              </w:rPr>
              <w:t>WVR</w:t>
            </w:r>
            <w:proofErr w:type="spellEnd"/>
            <w:r w:rsidRPr="00A044B5">
              <w:rPr>
                <w:rFonts w:ascii="Times New Roman" w:hAnsi="Times New Roman"/>
                <w:sz w:val="24"/>
              </w:rPr>
              <w:t xml:space="preserve"> </w:t>
            </w:r>
          </w:p>
        </w:tc>
      </w:tr>
    </w:tbl>
    <w:p w14:paraId="4652D79D" w14:textId="77777777" w:rsidR="00A044B5" w:rsidRDefault="00E34A09" w:rsidP="00B7546D"/>
    <w:p w14:paraId="73266A57" w14:textId="77777777" w:rsidR="00B7546D" w:rsidRDefault="00E34A09" w:rsidP="00B7546D">
      <w:pPr>
        <w:pStyle w:val="HTMLPreformatted"/>
        <w:pBdr>
          <w:top w:val="single" w:sz="12" w:space="0" w:color="auto"/>
        </w:pBdr>
        <w:rPr>
          <w:rFonts w:ascii="Times New Roman" w:hAnsi="Times New Roman"/>
          <w:sz w:val="24"/>
        </w:rPr>
      </w:pPr>
    </w:p>
    <w:p w14:paraId="23CA7050" w14:textId="77777777" w:rsidR="00B7546D" w:rsidRDefault="00E34A09" w:rsidP="00B7546D">
      <w:pPr>
        <w:jc w:val="center"/>
        <w:rPr>
          <w:b/>
          <w:bCs/>
        </w:rPr>
      </w:pPr>
      <w:r>
        <w:rPr>
          <w:b/>
          <w:bCs/>
        </w:rPr>
        <w:t>MEMORANDUM IN SUPPORT</w:t>
      </w:r>
    </w:p>
    <w:p w14:paraId="28436556" w14:textId="77777777" w:rsidR="00B7546D" w:rsidRDefault="00E34A09" w:rsidP="00B7546D"/>
    <w:p w14:paraId="3C935787" w14:textId="77777777" w:rsidR="00B7546D" w:rsidRDefault="00E34A09" w:rsidP="00B7546D">
      <w:pPr>
        <w:pStyle w:val="HTMLPreformatted"/>
        <w:pBdr>
          <w:top w:val="single" w:sz="12" w:space="0" w:color="auto"/>
        </w:pBdr>
        <w:rPr>
          <w:rFonts w:ascii="Times New Roman" w:hAnsi="Times New Roman"/>
          <w:sz w:val="24"/>
        </w:rPr>
      </w:pPr>
    </w:p>
    <w:p w14:paraId="7B91B439" w14:textId="77777777" w:rsidR="0082287D" w:rsidRDefault="00E34A09" w:rsidP="00D82CB3">
      <w:pPr>
        <w:pStyle w:val="Heading1"/>
      </w:pPr>
      <w:bookmarkStart w:id="1" w:name="_Toc392511660"/>
      <w:bookmarkStart w:id="2" w:name="_Toc392511817"/>
      <w:bookmarkStart w:id="3" w:name="_Toc532565743"/>
      <w:bookmarkStart w:id="4" w:name="_Toc16857332"/>
      <w:r>
        <w:t>I.</w:t>
      </w:r>
      <w:r>
        <w:tab/>
      </w:r>
      <w:r w:rsidRPr="0082287D">
        <w:t>INTRODUCTION</w:t>
      </w:r>
      <w:bookmarkEnd w:id="1"/>
      <w:bookmarkEnd w:id="2"/>
      <w:bookmarkEnd w:id="3"/>
      <w:bookmarkEnd w:id="4"/>
    </w:p>
    <w:p w14:paraId="1FBBFB46" w14:textId="77777777" w:rsidR="00EF3AD3" w:rsidRDefault="00E34A09" w:rsidP="0061282D">
      <w:pPr>
        <w:pStyle w:val="BodyTextIndent3"/>
        <w:suppressAutoHyphens/>
        <w:spacing w:line="480" w:lineRule="auto"/>
      </w:pPr>
      <w:r>
        <w:t>Ohio law requires the PUCO to adopt rules that protect consumers against unfair, deceptive, and unconscionable acts and practices in the marketing, solicitation, and sale of electric and natural gas</w:t>
      </w:r>
      <w:r>
        <w:t xml:space="preserve"> service.</w:t>
      </w:r>
      <w:r>
        <w:rPr>
          <w:rStyle w:val="FootnoteReference"/>
        </w:rPr>
        <w:footnoteReference w:id="8"/>
      </w:r>
      <w:r>
        <w:t xml:space="preserve"> As part of its rules concerning competitive electric and natural gas service, the PUCO requires third-party verification of all changes to a residential customer’s electric or natural gas supplier if the change occurs because of door-to-door mar</w:t>
      </w:r>
      <w:r>
        <w:t>keting.</w:t>
      </w:r>
      <w:r>
        <w:rPr>
          <w:rStyle w:val="FootnoteReference"/>
        </w:rPr>
        <w:footnoteReference w:id="9"/>
      </w:r>
      <w:r>
        <w:t xml:space="preserve"> Among other things, t</w:t>
      </w:r>
      <w:r>
        <w:rPr>
          <w:szCs w:val="24"/>
        </w:rPr>
        <w:t>he door-to-door marketing rules require that the salesperson leave the customer’s property before the independent third-party verification has begun and not return “before, during, or after” the third-party verification proces</w:t>
      </w:r>
      <w:r>
        <w:rPr>
          <w:szCs w:val="24"/>
        </w:rPr>
        <w:t>s.</w:t>
      </w:r>
      <w:r>
        <w:rPr>
          <w:rStyle w:val="FootnoteReference"/>
          <w:szCs w:val="24"/>
        </w:rPr>
        <w:footnoteReference w:id="10"/>
      </w:r>
      <w:r>
        <w:rPr>
          <w:szCs w:val="24"/>
        </w:rPr>
        <w:t xml:space="preserve"> And the door-to-door marketing rules require a third party to verify that the customer has in fact consented to a change in service, which is adduced through a series of questions to the customer. These protections for consumers are intended to prevent</w:t>
      </w:r>
      <w:r>
        <w:rPr>
          <w:szCs w:val="24"/>
        </w:rPr>
        <w:t xml:space="preserve"> the marketer’s salesperson from unduly influencing the customer’s responses to the independent third-party verifier’s questions.</w:t>
      </w:r>
      <w:r>
        <w:t xml:space="preserve"> </w:t>
      </w:r>
    </w:p>
    <w:p w14:paraId="09A37CFB" w14:textId="77777777" w:rsidR="00875083" w:rsidRDefault="00E34A09" w:rsidP="00A8498F">
      <w:pPr>
        <w:spacing w:line="480" w:lineRule="auto"/>
        <w:ind w:firstLine="720"/>
        <w:rPr>
          <w:szCs w:val="24"/>
        </w:rPr>
      </w:pPr>
      <w:r>
        <w:rPr>
          <w:szCs w:val="24"/>
        </w:rPr>
        <w:lastRenderedPageBreak/>
        <w:t xml:space="preserve">In its Entry the PUCO has allowed AEP Energy to thwart these protections. AEP Energy’s salesperson will be able to coach </w:t>
      </w:r>
      <w:r>
        <w:rPr>
          <w:szCs w:val="24"/>
        </w:rPr>
        <w:t>consumers’ answers to the most important questions normally reserved for the verification process. The Entry is unlawful and unreasonable. The PUCO should abrogate or modify the Entry as OCC recommends in this Application for Rehearing.</w:t>
      </w:r>
    </w:p>
    <w:p w14:paraId="5FFE66C6" w14:textId="77777777" w:rsidR="00B7546D" w:rsidRPr="008004EE" w:rsidRDefault="00E34A09" w:rsidP="00B7546D">
      <w:pPr>
        <w:ind w:firstLine="720"/>
        <w:rPr>
          <w:szCs w:val="24"/>
        </w:rPr>
      </w:pPr>
    </w:p>
    <w:p w14:paraId="3DB99F9C" w14:textId="77777777" w:rsidR="0082287D" w:rsidRPr="0082287D" w:rsidRDefault="00E34A09" w:rsidP="008E7F69">
      <w:pPr>
        <w:pStyle w:val="Heading1"/>
      </w:pPr>
      <w:bookmarkStart w:id="5" w:name="_Toc347743299"/>
      <w:bookmarkStart w:id="6" w:name="_Toc365447950"/>
      <w:bookmarkStart w:id="7" w:name="_Toc392511661"/>
      <w:bookmarkStart w:id="8" w:name="_Toc392511818"/>
      <w:bookmarkStart w:id="9" w:name="_Toc532565744"/>
      <w:bookmarkStart w:id="10" w:name="_Toc16857333"/>
      <w:r w:rsidRPr="0082287D">
        <w:t>II.</w:t>
      </w:r>
      <w:r w:rsidRPr="0082287D">
        <w:tab/>
        <w:t>STANDARD OF RE</w:t>
      </w:r>
      <w:r w:rsidRPr="0082287D">
        <w:t>VIEW</w:t>
      </w:r>
      <w:bookmarkEnd w:id="5"/>
      <w:bookmarkEnd w:id="6"/>
      <w:bookmarkEnd w:id="7"/>
      <w:bookmarkEnd w:id="8"/>
      <w:bookmarkEnd w:id="9"/>
      <w:bookmarkEnd w:id="10"/>
    </w:p>
    <w:p w14:paraId="152CE9CF" w14:textId="77777777" w:rsidR="0082287D" w:rsidRDefault="00E34A09" w:rsidP="0082287D">
      <w:pPr>
        <w:spacing w:line="480" w:lineRule="auto"/>
        <w:ind w:firstLine="720"/>
      </w:pPr>
      <w:r>
        <w:t>Applications for rehearing are governed by R.C. 4903.10. The statute allows that, within 30 days after issuance of a PUCO order,</w:t>
      </w:r>
      <w:r>
        <w:rPr>
          <w:rStyle w:val="FootnoteReference"/>
        </w:rPr>
        <w:footnoteReference w:id="11"/>
      </w:r>
      <w:r>
        <w:t xml:space="preserve"> “any party who has entered an appearance in person or by counsel in the proceeding may apply for rehearing in respect to </w:t>
      </w:r>
      <w:r>
        <w:t xml:space="preserve">any matters determined in the proceeding.” OCC intervened and filed comments in this proceeding.  </w:t>
      </w:r>
    </w:p>
    <w:p w14:paraId="77125E45" w14:textId="77777777" w:rsidR="0082287D" w:rsidRDefault="00E34A09" w:rsidP="0082287D">
      <w:pPr>
        <w:spacing w:line="480" w:lineRule="auto"/>
        <w:ind w:firstLine="720"/>
      </w:pPr>
      <w:r>
        <w:t>R.C. 4903.10 requires that an application for rehearing must be “in writing and shall set forth specifically the ground or grounds on which the applicant con</w:t>
      </w:r>
      <w:r>
        <w:t xml:space="preserve">siders the order to be unreasonable or unlawful.” In addition, Ohio Adm. Code </w:t>
      </w:r>
      <w:bookmarkStart w:id="11" w:name="R35"/>
      <w:r>
        <w:rPr>
          <w:rStyle w:val="Strong"/>
          <w:b w:val="0"/>
        </w:rPr>
        <w:t>4901-1-35</w:t>
      </w:r>
      <w:r>
        <w:t>(A)</w:t>
      </w:r>
      <w:bookmarkEnd w:id="11"/>
      <w:r>
        <w:t xml:space="preserve"> states: “An application for rehearing must be accompanied by a memorandum in support, which shall be filed no later than the application for rehearing.”</w:t>
      </w:r>
    </w:p>
    <w:p w14:paraId="16B7867D" w14:textId="77777777" w:rsidR="008004EE" w:rsidRDefault="00E34A09" w:rsidP="008004EE">
      <w:pPr>
        <w:spacing w:after="240" w:line="480" w:lineRule="auto"/>
        <w:ind w:firstLine="720"/>
      </w:pPr>
      <w:r>
        <w:t xml:space="preserve">In </w:t>
      </w:r>
      <w:r>
        <w:t>considering an application for rehearing, R.C. 4903.10 provides that “the commission may grant and hold such rehearing on the matter specified in such application, if in its judgment sufficient reason therefor is made to appear.” The statute also provides:</w:t>
      </w:r>
      <w:r>
        <w:t xml:space="preserve"> “If, after such rehearing, the commission is of the opinion that the original order or any part thereof is in any respect unjust or unwarranted, or should be changed, </w:t>
      </w:r>
      <w:r>
        <w:lastRenderedPageBreak/>
        <w:t>the commission may abrogate or modify the same; otherwise such order shall be affirmed.”</w:t>
      </w:r>
      <w:r>
        <w:t xml:space="preserve"> As shown herein, the statutory standard to abrogate and/or modify the Entry is met here.</w:t>
      </w:r>
      <w:bookmarkStart w:id="12" w:name="_Toc392511662"/>
      <w:bookmarkStart w:id="13" w:name="_Toc392511819"/>
    </w:p>
    <w:p w14:paraId="19AF21FC" w14:textId="77777777" w:rsidR="0082287D" w:rsidRPr="008004EE" w:rsidRDefault="00E34A09" w:rsidP="008E7F69">
      <w:pPr>
        <w:pStyle w:val="Heading1"/>
      </w:pPr>
      <w:bookmarkStart w:id="14" w:name="_Toc532565745"/>
      <w:bookmarkStart w:id="15" w:name="_Toc16857334"/>
      <w:r w:rsidRPr="0082287D">
        <w:t>III.</w:t>
      </w:r>
      <w:r w:rsidRPr="0082287D">
        <w:tab/>
      </w:r>
      <w:bookmarkEnd w:id="12"/>
      <w:bookmarkEnd w:id="13"/>
      <w:r>
        <w:t>DISCUSSION</w:t>
      </w:r>
      <w:bookmarkEnd w:id="14"/>
      <w:bookmarkEnd w:id="15"/>
    </w:p>
    <w:p w14:paraId="6EB77957" w14:textId="77777777" w:rsidR="00E67683" w:rsidRPr="0025570D" w:rsidRDefault="00E34A09" w:rsidP="00381B3E">
      <w:pPr>
        <w:pStyle w:val="Heading2"/>
      </w:pPr>
      <w:bookmarkStart w:id="16" w:name="_Toc532565746"/>
      <w:bookmarkStart w:id="17" w:name="_Toc16857335"/>
      <w:r>
        <w:t>A.</w:t>
      </w:r>
      <w:r>
        <w:tab/>
        <w:t>The PUCO’s Entry unreasonably and unlawfully placed consumers at risk by removing the most necessary consumer protection questions that the rules h</w:t>
      </w:r>
      <w:r>
        <w:t>ave reserved for independent third-party verification</w:t>
      </w:r>
      <w:r w:rsidRPr="00520B7B">
        <w:t xml:space="preserve"> </w:t>
      </w:r>
      <w:r>
        <w:t>of changes in consumers’ gas supplier</w:t>
      </w:r>
      <w:r w:rsidRPr="0025570D">
        <w:t>.</w:t>
      </w:r>
      <w:bookmarkEnd w:id="16"/>
      <w:bookmarkEnd w:id="17"/>
    </w:p>
    <w:p w14:paraId="0FB6F2AC" w14:textId="77777777" w:rsidR="00137BEC" w:rsidRDefault="00E34A09" w:rsidP="00520B7B">
      <w:pPr>
        <w:suppressAutoHyphens/>
        <w:spacing w:line="480" w:lineRule="auto"/>
        <w:ind w:firstLine="720"/>
        <w:rPr>
          <w:szCs w:val="24"/>
        </w:rPr>
      </w:pPr>
      <w:r>
        <w:rPr>
          <w:szCs w:val="24"/>
        </w:rPr>
        <w:t xml:space="preserve">R.C. 4929.22 requires the PUCO to adopt rules that </w:t>
      </w:r>
      <w:r>
        <w:t>protect consumers against unfair, deceptive, and unconscionable acts and practices in the marketing, solicitatio</w:t>
      </w:r>
      <w:r>
        <w:t xml:space="preserve">n, and sale of such electric and natural gas service. </w:t>
      </w:r>
      <w:r>
        <w:rPr>
          <w:szCs w:val="24"/>
        </w:rPr>
        <w:t>The PUCO’s door-to-door solicitation rules are meant to protect consumers against deceptive, unfair, and unconscionable acts and practices that have occurred through the years.</w:t>
      </w:r>
      <w:r>
        <w:rPr>
          <w:rStyle w:val="FootnoteReference"/>
          <w:szCs w:val="24"/>
        </w:rPr>
        <w:footnoteReference w:id="12"/>
      </w:r>
      <w:r>
        <w:rPr>
          <w:szCs w:val="24"/>
        </w:rPr>
        <w:t xml:space="preserve"> </w:t>
      </w:r>
    </w:p>
    <w:p w14:paraId="788871E5" w14:textId="77777777" w:rsidR="002B147C" w:rsidRDefault="00E34A09" w:rsidP="00520B7B">
      <w:pPr>
        <w:suppressAutoHyphens/>
        <w:spacing w:line="480" w:lineRule="auto"/>
        <w:ind w:firstLine="720"/>
        <w:rPr>
          <w:szCs w:val="24"/>
        </w:rPr>
      </w:pPr>
      <w:r>
        <w:rPr>
          <w:szCs w:val="24"/>
        </w:rPr>
        <w:t>The PUCO claims that th</w:t>
      </w:r>
      <w:r>
        <w:rPr>
          <w:szCs w:val="24"/>
        </w:rPr>
        <w:t>e waiver allows AEP Energy to substantially comply with the consumer protections in the electric and natural gas marketing rules.</w:t>
      </w:r>
      <w:r>
        <w:rPr>
          <w:rStyle w:val="FootnoteReference"/>
          <w:szCs w:val="24"/>
        </w:rPr>
        <w:footnoteReference w:id="13"/>
      </w:r>
      <w:r>
        <w:rPr>
          <w:szCs w:val="24"/>
        </w:rPr>
        <w:t xml:space="preserve"> But the PUCO ignores the fact that AEP Energy’s salesperson will remain inside the consumer’s home while the consumer answers</w:t>
      </w:r>
      <w:r>
        <w:rPr>
          <w:szCs w:val="24"/>
        </w:rPr>
        <w:t xml:space="preserve"> the most important questions that are usually reserved for the independent third-party verification of changes in consumers’ gas supplier. Such “substantial compliance” reduces the necessary consumer protections in the PUCO’s rules. The PUCO’s Entry is co</w:t>
      </w:r>
      <w:r>
        <w:rPr>
          <w:szCs w:val="24"/>
        </w:rPr>
        <w:t>ntrary to R.C. 4929.22 and thus is unlawful.</w:t>
      </w:r>
    </w:p>
    <w:p w14:paraId="25864DFD" w14:textId="77777777" w:rsidR="00B200C3" w:rsidRDefault="00E34A09" w:rsidP="00B200C3">
      <w:pPr>
        <w:spacing w:line="480" w:lineRule="auto"/>
        <w:ind w:firstLine="720"/>
        <w:rPr>
          <w:szCs w:val="24"/>
        </w:rPr>
      </w:pPr>
      <w:r w:rsidRPr="00C83A44">
        <w:rPr>
          <w:szCs w:val="24"/>
        </w:rPr>
        <w:t xml:space="preserve">Rather than </w:t>
      </w:r>
      <w:r>
        <w:rPr>
          <w:szCs w:val="24"/>
        </w:rPr>
        <w:t xml:space="preserve">having </w:t>
      </w:r>
      <w:r w:rsidRPr="00C83A44">
        <w:rPr>
          <w:szCs w:val="24"/>
        </w:rPr>
        <w:t xml:space="preserve">the independent </w:t>
      </w:r>
      <w:r>
        <w:rPr>
          <w:szCs w:val="24"/>
        </w:rPr>
        <w:t>third-party verifier ask the customer all the questions required by the PUCO’s rules</w:t>
      </w:r>
      <w:r w:rsidRPr="00C83A44">
        <w:rPr>
          <w:szCs w:val="24"/>
        </w:rPr>
        <w:t xml:space="preserve">, </w:t>
      </w:r>
      <w:r>
        <w:rPr>
          <w:szCs w:val="24"/>
        </w:rPr>
        <w:t xml:space="preserve">the PUCO’s Entry would have customers </w:t>
      </w:r>
      <w:r>
        <w:rPr>
          <w:szCs w:val="24"/>
        </w:rPr>
        <w:lastRenderedPageBreak/>
        <w:t xml:space="preserve">respond to some of the questions through </w:t>
      </w:r>
      <w:r w:rsidRPr="00C83A44">
        <w:rPr>
          <w:szCs w:val="24"/>
        </w:rPr>
        <w:t xml:space="preserve">a link </w:t>
      </w:r>
      <w:r>
        <w:rPr>
          <w:szCs w:val="24"/>
        </w:rPr>
        <w:t>sent</w:t>
      </w:r>
      <w:r>
        <w:rPr>
          <w:szCs w:val="24"/>
        </w:rPr>
        <w:t xml:space="preserve"> </w:t>
      </w:r>
      <w:r w:rsidRPr="00C83A44">
        <w:rPr>
          <w:szCs w:val="24"/>
        </w:rPr>
        <w:t xml:space="preserve">to </w:t>
      </w:r>
      <w:r>
        <w:rPr>
          <w:szCs w:val="24"/>
        </w:rPr>
        <w:t>them</w:t>
      </w:r>
      <w:r w:rsidRPr="00C83A44">
        <w:rPr>
          <w:szCs w:val="24"/>
        </w:rPr>
        <w:t xml:space="preserve"> on their personal communications device.</w:t>
      </w:r>
      <w:r>
        <w:rPr>
          <w:rStyle w:val="FootnoteReference"/>
          <w:szCs w:val="24"/>
        </w:rPr>
        <w:footnoteReference w:id="14"/>
      </w:r>
      <w:r>
        <w:rPr>
          <w:szCs w:val="24"/>
        </w:rPr>
        <w:t xml:space="preserve"> The </w:t>
      </w:r>
      <w:r w:rsidRPr="00C83A44">
        <w:rPr>
          <w:szCs w:val="24"/>
        </w:rPr>
        <w:t xml:space="preserve">link </w:t>
      </w:r>
      <w:r>
        <w:rPr>
          <w:szCs w:val="24"/>
        </w:rPr>
        <w:t xml:space="preserve">is </w:t>
      </w:r>
      <w:r w:rsidRPr="00C83A44">
        <w:rPr>
          <w:szCs w:val="24"/>
        </w:rPr>
        <w:t xml:space="preserve">to </w:t>
      </w:r>
      <w:r>
        <w:rPr>
          <w:szCs w:val="24"/>
        </w:rPr>
        <w:t>AEP Energy’s electronic</w:t>
      </w:r>
      <w:r w:rsidRPr="00C83A44">
        <w:rPr>
          <w:szCs w:val="24"/>
        </w:rPr>
        <w:t xml:space="preserve"> order verification form that </w:t>
      </w:r>
      <w:r>
        <w:rPr>
          <w:szCs w:val="24"/>
        </w:rPr>
        <w:t>requires customers</w:t>
      </w:r>
      <w:r w:rsidRPr="00C83A44">
        <w:rPr>
          <w:szCs w:val="24"/>
        </w:rPr>
        <w:t xml:space="preserve"> to </w:t>
      </w:r>
      <w:r>
        <w:rPr>
          <w:szCs w:val="24"/>
        </w:rPr>
        <w:t xml:space="preserve">respond to </w:t>
      </w:r>
      <w:r w:rsidRPr="00C83A44">
        <w:rPr>
          <w:szCs w:val="24"/>
        </w:rPr>
        <w:t>a number of yes</w:t>
      </w:r>
      <w:r>
        <w:rPr>
          <w:szCs w:val="24"/>
        </w:rPr>
        <w:t>-or-</w:t>
      </w:r>
      <w:r w:rsidRPr="00C83A44">
        <w:rPr>
          <w:szCs w:val="24"/>
        </w:rPr>
        <w:t>no questions.</w:t>
      </w:r>
      <w:r>
        <w:rPr>
          <w:rStyle w:val="FootnoteReference"/>
          <w:szCs w:val="24"/>
        </w:rPr>
        <w:footnoteReference w:id="15"/>
      </w:r>
      <w:r>
        <w:rPr>
          <w:szCs w:val="24"/>
        </w:rPr>
        <w:t xml:space="preserve"> </w:t>
      </w:r>
    </w:p>
    <w:p w14:paraId="2C6A96B0" w14:textId="77777777" w:rsidR="00CC73ED" w:rsidRDefault="00E34A09" w:rsidP="0045418D">
      <w:pPr>
        <w:pStyle w:val="NormalWeb"/>
        <w:spacing w:before="0" w:beforeAutospacing="0" w:after="0" w:afterAutospacing="0" w:line="480" w:lineRule="auto"/>
        <w:ind w:firstLine="720"/>
      </w:pPr>
      <w:r>
        <w:t>Many of the questions to be answered through the link are the types o</w:t>
      </w:r>
      <w:r>
        <w:t xml:space="preserve">f questions that could interfere with customer rights. Some of the problematic </w:t>
      </w:r>
      <w:r w:rsidRPr="00C83A44">
        <w:t xml:space="preserve">questions </w:t>
      </w:r>
      <w:r>
        <w:t>involve the customer’s acceptance of the following</w:t>
      </w:r>
      <w:r>
        <w:rPr>
          <w:rStyle w:val="FootnoteReference"/>
        </w:rPr>
        <w:footnoteReference w:id="16"/>
      </w:r>
      <w:r>
        <w:t>: (1) the service(s) that will be provided; (2) the rate the customer will be charged; (3) the length of the contrac</w:t>
      </w:r>
      <w:r>
        <w:t>t term; (4) an approximate service commencement date; (5) the contract termination date and any early termination fees; (6) any material limitations, conditions, or exclusions in the contract; (7) any fees or costs to the customer; (8) whether AEP Energy w</w:t>
      </w:r>
      <w:r>
        <w:t>ill perform a credit check and require a deposit, including the amount; and (9) who will bill for AEP Energy’s service(s)</w:t>
      </w:r>
      <w:r w:rsidRPr="00C83A44">
        <w:t>.</w:t>
      </w:r>
      <w:r>
        <w:t xml:space="preserve"> </w:t>
      </w:r>
    </w:p>
    <w:p w14:paraId="1023A51F" w14:textId="77777777" w:rsidR="00B200C3" w:rsidRDefault="00E34A09" w:rsidP="0045418D">
      <w:pPr>
        <w:pStyle w:val="NormalWeb"/>
        <w:spacing w:before="0" w:beforeAutospacing="0" w:after="0" w:afterAutospacing="0" w:line="480" w:lineRule="auto"/>
        <w:ind w:firstLine="720"/>
      </w:pPr>
      <w:r>
        <w:t>These questions are reserved in the PUCO’s gas rules for the independent third-party verifier to ask the consumer</w:t>
      </w:r>
      <w:r>
        <w:rPr>
          <w:rStyle w:val="FootnoteReference"/>
        </w:rPr>
        <w:footnoteReference w:id="17"/>
      </w:r>
      <w:r>
        <w:t xml:space="preserve"> after the door-to</w:t>
      </w:r>
      <w:r>
        <w:t>-door salesperson has left the consumer’s home.</w:t>
      </w:r>
      <w:r>
        <w:rPr>
          <w:rStyle w:val="FootnoteReference"/>
        </w:rPr>
        <w:footnoteReference w:id="18"/>
      </w:r>
      <w:r>
        <w:t xml:space="preserve"> But under the PUCO’s Entry, the questions would be answered by the consumer electronically, while the salesperson is still in the consumer’s home.</w:t>
      </w:r>
      <w:r>
        <w:rPr>
          <w:rStyle w:val="FootnoteReference"/>
        </w:rPr>
        <w:footnoteReference w:id="19"/>
      </w:r>
      <w:r>
        <w:t xml:space="preserve"> This eliminates the consumer protection attributes of the P</w:t>
      </w:r>
      <w:r>
        <w:t>UCO’s rules.</w:t>
      </w:r>
    </w:p>
    <w:p w14:paraId="42825F2B" w14:textId="77777777" w:rsidR="00137BEC" w:rsidRDefault="00E34A09" w:rsidP="00137BEC">
      <w:pPr>
        <w:spacing w:line="480" w:lineRule="auto"/>
        <w:ind w:firstLine="720"/>
        <w:rPr>
          <w:szCs w:val="24"/>
        </w:rPr>
      </w:pPr>
      <w:r>
        <w:rPr>
          <w:szCs w:val="24"/>
        </w:rPr>
        <w:t xml:space="preserve">The PUCO’s Entry would significantly diminish the role – and the effectiveness – of the independent third-party verification process in the PUCO’s rules. </w:t>
      </w:r>
      <w:r w:rsidRPr="00C83A44">
        <w:rPr>
          <w:szCs w:val="24"/>
        </w:rPr>
        <w:t xml:space="preserve">The only </w:t>
      </w:r>
      <w:r w:rsidRPr="00C83A44">
        <w:rPr>
          <w:szCs w:val="24"/>
        </w:rPr>
        <w:lastRenderedPageBreak/>
        <w:t xml:space="preserve">information that </w:t>
      </w:r>
      <w:r>
        <w:rPr>
          <w:szCs w:val="24"/>
        </w:rPr>
        <w:t>AEP Energy</w:t>
      </w:r>
      <w:r w:rsidRPr="00C83A44">
        <w:rPr>
          <w:szCs w:val="24"/>
        </w:rPr>
        <w:t xml:space="preserve"> has proposed to have verified through the independen</w:t>
      </w:r>
      <w:r w:rsidRPr="00C83A44">
        <w:rPr>
          <w:szCs w:val="24"/>
        </w:rPr>
        <w:t xml:space="preserve">t </w:t>
      </w:r>
      <w:r>
        <w:rPr>
          <w:szCs w:val="24"/>
        </w:rPr>
        <w:t>third-party verification</w:t>
      </w:r>
      <w:r w:rsidRPr="00C83A44">
        <w:rPr>
          <w:szCs w:val="24"/>
        </w:rPr>
        <w:t xml:space="preserve"> </w:t>
      </w:r>
      <w:r>
        <w:rPr>
          <w:szCs w:val="24"/>
        </w:rPr>
        <w:t xml:space="preserve">would be (1) permission </w:t>
      </w:r>
      <w:r w:rsidRPr="00C83A44">
        <w:rPr>
          <w:szCs w:val="24"/>
        </w:rPr>
        <w:t xml:space="preserve">to record </w:t>
      </w:r>
      <w:r>
        <w:rPr>
          <w:szCs w:val="24"/>
        </w:rPr>
        <w:t xml:space="preserve">the </w:t>
      </w:r>
      <w:r w:rsidRPr="00C83A44">
        <w:rPr>
          <w:szCs w:val="24"/>
        </w:rPr>
        <w:t>call</w:t>
      </w:r>
      <w:r>
        <w:rPr>
          <w:szCs w:val="24"/>
        </w:rPr>
        <w:t>; (2) the customer’s identity; (3) i</w:t>
      </w:r>
      <w:r w:rsidRPr="00C83A44">
        <w:rPr>
          <w:szCs w:val="24"/>
        </w:rPr>
        <w:t xml:space="preserve">f </w:t>
      </w:r>
      <w:r>
        <w:rPr>
          <w:szCs w:val="24"/>
        </w:rPr>
        <w:t xml:space="preserve">the person speaking to the verifier is not </w:t>
      </w:r>
      <w:r w:rsidRPr="00C83A44">
        <w:rPr>
          <w:szCs w:val="24"/>
        </w:rPr>
        <w:t>the account holder</w:t>
      </w:r>
      <w:r>
        <w:rPr>
          <w:szCs w:val="24"/>
        </w:rPr>
        <w:t xml:space="preserve">, whether the </w:t>
      </w:r>
      <w:r w:rsidRPr="00C83A44">
        <w:rPr>
          <w:szCs w:val="24"/>
        </w:rPr>
        <w:t xml:space="preserve">person is </w:t>
      </w:r>
      <w:r>
        <w:rPr>
          <w:szCs w:val="24"/>
        </w:rPr>
        <w:t xml:space="preserve">the account holder’s </w:t>
      </w:r>
      <w:r w:rsidRPr="00C83A44">
        <w:rPr>
          <w:szCs w:val="24"/>
        </w:rPr>
        <w:t xml:space="preserve">spouse or holds power of attorney to </w:t>
      </w:r>
      <w:r w:rsidRPr="00C83A44">
        <w:rPr>
          <w:szCs w:val="24"/>
        </w:rPr>
        <w:t>authorize</w:t>
      </w:r>
      <w:r>
        <w:rPr>
          <w:szCs w:val="24"/>
        </w:rPr>
        <w:t xml:space="preserve"> a change in the customer’s energy supplier; (4) that AEP Energy</w:t>
      </w:r>
      <w:r w:rsidRPr="00C83A44">
        <w:rPr>
          <w:szCs w:val="24"/>
        </w:rPr>
        <w:t xml:space="preserve"> is an independent seller and </w:t>
      </w:r>
      <w:r>
        <w:rPr>
          <w:szCs w:val="24"/>
        </w:rPr>
        <w:t xml:space="preserve">the </w:t>
      </w:r>
      <w:r w:rsidRPr="00C83A44">
        <w:rPr>
          <w:szCs w:val="24"/>
        </w:rPr>
        <w:t xml:space="preserve">customer can remain with </w:t>
      </w:r>
      <w:r>
        <w:rPr>
          <w:szCs w:val="24"/>
        </w:rPr>
        <w:t xml:space="preserve">the local </w:t>
      </w:r>
      <w:r w:rsidRPr="00C83A44">
        <w:rPr>
          <w:szCs w:val="24"/>
        </w:rPr>
        <w:t>utility or other supplier</w:t>
      </w:r>
      <w:r>
        <w:rPr>
          <w:szCs w:val="24"/>
        </w:rPr>
        <w:t>; (5) that AEP Energy’</w:t>
      </w:r>
      <w:r w:rsidRPr="00C83A44">
        <w:rPr>
          <w:szCs w:val="24"/>
        </w:rPr>
        <w:t>s sales representative has left the property</w:t>
      </w:r>
      <w:r>
        <w:rPr>
          <w:szCs w:val="24"/>
        </w:rPr>
        <w:t>;</w:t>
      </w:r>
      <w:r w:rsidRPr="00C83A44">
        <w:rPr>
          <w:szCs w:val="24"/>
        </w:rPr>
        <w:t xml:space="preserve"> and </w:t>
      </w:r>
      <w:r>
        <w:rPr>
          <w:szCs w:val="24"/>
        </w:rPr>
        <w:t>(6) whether</w:t>
      </w:r>
      <w:r w:rsidRPr="00C83A44">
        <w:rPr>
          <w:szCs w:val="24"/>
        </w:rPr>
        <w:t xml:space="preserve"> the f</w:t>
      </w:r>
      <w:r w:rsidRPr="00C83A44">
        <w:rPr>
          <w:szCs w:val="24"/>
        </w:rPr>
        <w:t xml:space="preserve">ield sales agent provided </w:t>
      </w:r>
      <w:r>
        <w:rPr>
          <w:szCs w:val="24"/>
        </w:rPr>
        <w:t xml:space="preserve">to </w:t>
      </w:r>
      <w:r w:rsidRPr="00C83A44">
        <w:rPr>
          <w:szCs w:val="24"/>
        </w:rPr>
        <w:t xml:space="preserve">or e-mailed the customer signed enrolled terms and </w:t>
      </w:r>
      <w:r>
        <w:rPr>
          <w:szCs w:val="24"/>
        </w:rPr>
        <w:t xml:space="preserve">the </w:t>
      </w:r>
      <w:r w:rsidRPr="00C83A44">
        <w:rPr>
          <w:szCs w:val="24"/>
        </w:rPr>
        <w:t>welcome brochure.</w:t>
      </w:r>
      <w:r>
        <w:rPr>
          <w:rStyle w:val="FootnoteReference"/>
          <w:szCs w:val="24"/>
        </w:rPr>
        <w:footnoteReference w:id="20"/>
      </w:r>
      <w:r>
        <w:rPr>
          <w:szCs w:val="24"/>
        </w:rPr>
        <w:t xml:space="preserve"> </w:t>
      </w:r>
    </w:p>
    <w:p w14:paraId="1E89C459" w14:textId="77777777" w:rsidR="00137BEC" w:rsidRDefault="00E34A09" w:rsidP="00137BEC">
      <w:pPr>
        <w:suppressAutoHyphens/>
        <w:spacing w:line="480" w:lineRule="auto"/>
        <w:ind w:firstLine="720"/>
      </w:pPr>
      <w:r>
        <w:rPr>
          <w:szCs w:val="24"/>
        </w:rPr>
        <w:t>T</w:t>
      </w:r>
      <w:r w:rsidRPr="00C83A44">
        <w:rPr>
          <w:szCs w:val="24"/>
        </w:rPr>
        <w:t>he</w:t>
      </w:r>
      <w:r>
        <w:rPr>
          <w:szCs w:val="24"/>
        </w:rPr>
        <w:t xml:space="preserve"> third-party verifier would not even have to obtain the </w:t>
      </w:r>
      <w:r w:rsidRPr="00C83A44">
        <w:rPr>
          <w:szCs w:val="24"/>
        </w:rPr>
        <w:t>customer</w:t>
      </w:r>
      <w:r>
        <w:rPr>
          <w:szCs w:val="24"/>
        </w:rPr>
        <w:t>’</w:t>
      </w:r>
      <w:r w:rsidRPr="00C83A44">
        <w:rPr>
          <w:szCs w:val="24"/>
        </w:rPr>
        <w:t xml:space="preserve">s acknowledgment that </w:t>
      </w:r>
      <w:r>
        <w:rPr>
          <w:szCs w:val="24"/>
        </w:rPr>
        <w:t>he/she</w:t>
      </w:r>
      <w:r w:rsidRPr="00C83A44">
        <w:rPr>
          <w:szCs w:val="24"/>
        </w:rPr>
        <w:t xml:space="preserve"> has consent</w:t>
      </w:r>
      <w:r>
        <w:rPr>
          <w:szCs w:val="24"/>
        </w:rPr>
        <w:t>ed</w:t>
      </w:r>
      <w:r w:rsidRPr="00C83A44">
        <w:rPr>
          <w:szCs w:val="24"/>
        </w:rPr>
        <w:t xml:space="preserve"> to enroll with </w:t>
      </w:r>
      <w:r>
        <w:rPr>
          <w:szCs w:val="24"/>
        </w:rPr>
        <w:t xml:space="preserve">AEP Energy, as </w:t>
      </w:r>
      <w:r>
        <w:rPr>
          <w:szCs w:val="24"/>
        </w:rPr>
        <w:t>required by the PUCO’s rules</w:t>
      </w:r>
      <w:r w:rsidRPr="00C83A44">
        <w:rPr>
          <w:szCs w:val="24"/>
        </w:rPr>
        <w:t>.</w:t>
      </w:r>
      <w:r>
        <w:rPr>
          <w:rStyle w:val="FootnoteReference"/>
          <w:szCs w:val="24"/>
        </w:rPr>
        <w:footnoteReference w:id="21"/>
      </w:r>
      <w:r>
        <w:rPr>
          <w:szCs w:val="24"/>
        </w:rPr>
        <w:t xml:space="preserve"> And t</w:t>
      </w:r>
      <w:r w:rsidRPr="00C83A44">
        <w:rPr>
          <w:szCs w:val="24"/>
        </w:rPr>
        <w:t xml:space="preserve">he </w:t>
      </w:r>
      <w:r>
        <w:rPr>
          <w:szCs w:val="24"/>
        </w:rPr>
        <w:t>third-party verification</w:t>
      </w:r>
      <w:r w:rsidRPr="00C83A44">
        <w:rPr>
          <w:szCs w:val="24"/>
        </w:rPr>
        <w:t xml:space="preserve"> process proposed by </w:t>
      </w:r>
      <w:r>
        <w:rPr>
          <w:szCs w:val="24"/>
        </w:rPr>
        <w:t>AEP Energy</w:t>
      </w:r>
      <w:r w:rsidRPr="00C83A44">
        <w:rPr>
          <w:szCs w:val="24"/>
        </w:rPr>
        <w:t xml:space="preserve"> fails to verify through a</w:t>
      </w:r>
      <w:r>
        <w:rPr>
          <w:szCs w:val="24"/>
        </w:rPr>
        <w:t>n</w:t>
      </w:r>
      <w:r w:rsidRPr="00C83A44">
        <w:rPr>
          <w:szCs w:val="24"/>
        </w:rPr>
        <w:t xml:space="preserve"> </w:t>
      </w:r>
      <w:r>
        <w:rPr>
          <w:szCs w:val="24"/>
        </w:rPr>
        <w:t>oral</w:t>
      </w:r>
      <w:r w:rsidRPr="00C83A44">
        <w:rPr>
          <w:szCs w:val="24"/>
        </w:rPr>
        <w:t xml:space="preserve"> statement </w:t>
      </w:r>
      <w:r>
        <w:rPr>
          <w:szCs w:val="24"/>
        </w:rPr>
        <w:t>that</w:t>
      </w:r>
      <w:r w:rsidRPr="00C83A44">
        <w:rPr>
          <w:szCs w:val="24"/>
        </w:rPr>
        <w:t xml:space="preserve"> the customer accept</w:t>
      </w:r>
      <w:r>
        <w:rPr>
          <w:szCs w:val="24"/>
        </w:rPr>
        <w:t>s</w:t>
      </w:r>
      <w:r w:rsidRPr="00C83A44">
        <w:rPr>
          <w:szCs w:val="24"/>
        </w:rPr>
        <w:t xml:space="preserve"> each of the principal terms and conditions for the service</w:t>
      </w:r>
      <w:r>
        <w:rPr>
          <w:szCs w:val="24"/>
        </w:rPr>
        <w:t>, as required by the PUCO’s rules</w:t>
      </w:r>
      <w:r w:rsidRPr="00C83A44">
        <w:rPr>
          <w:szCs w:val="24"/>
        </w:rPr>
        <w:t>.</w:t>
      </w:r>
      <w:r>
        <w:rPr>
          <w:rStyle w:val="FootnoteReference"/>
          <w:szCs w:val="24"/>
        </w:rPr>
        <w:footnoteReference w:id="22"/>
      </w:r>
      <w:r>
        <w:rPr>
          <w:szCs w:val="24"/>
        </w:rPr>
        <w:t xml:space="preserve"> </w:t>
      </w:r>
    </w:p>
    <w:p w14:paraId="263E4800" w14:textId="77777777" w:rsidR="00CF12FF" w:rsidRDefault="00E34A09" w:rsidP="000218D7">
      <w:pPr>
        <w:suppressAutoHyphens/>
        <w:spacing w:line="480" w:lineRule="auto"/>
        <w:ind w:firstLine="720"/>
        <w:rPr>
          <w:szCs w:val="24"/>
        </w:rPr>
      </w:pPr>
      <w:r>
        <w:t xml:space="preserve"> </w:t>
      </w:r>
      <w:r>
        <w:rPr>
          <w:szCs w:val="24"/>
        </w:rPr>
        <w:t>The PUCO’s Entry unlawfully and unreasonably allows AEP Energy to circumvent the consumer protections in the PUCO’s gas rules. The PUCO should abrogate the Entry.</w:t>
      </w:r>
    </w:p>
    <w:p w14:paraId="3E5CEE48" w14:textId="77777777" w:rsidR="000218D7" w:rsidRPr="00C811CB" w:rsidRDefault="00E34A09" w:rsidP="00381B3E">
      <w:pPr>
        <w:pStyle w:val="Heading2"/>
      </w:pPr>
      <w:bookmarkStart w:id="18" w:name="_Toc532565747"/>
      <w:bookmarkStart w:id="19" w:name="_Toc16857336"/>
      <w:r>
        <w:t>B</w:t>
      </w:r>
      <w:r w:rsidRPr="00C811CB">
        <w:t>.</w:t>
      </w:r>
      <w:r w:rsidRPr="00C811CB">
        <w:tab/>
      </w:r>
      <w:r>
        <w:t>By allowing a door-to-door salesperson to remain in the consumer’s home while the consu</w:t>
      </w:r>
      <w:r>
        <w:t>mer responds to the most important questions in the third-party verification rules, the PUCO undermined the consumer protections required by R.C. 4929.22.</w:t>
      </w:r>
      <w:bookmarkEnd w:id="18"/>
      <w:bookmarkEnd w:id="19"/>
    </w:p>
    <w:p w14:paraId="0E2E2889" w14:textId="77777777" w:rsidR="00137BEC" w:rsidRDefault="00E34A09" w:rsidP="00C9681B">
      <w:pPr>
        <w:suppressAutoHyphens/>
        <w:spacing w:line="480" w:lineRule="auto"/>
        <w:ind w:firstLine="720"/>
      </w:pPr>
      <w:r>
        <w:t>R.C. 4929.22 requires the PUCO to adopt rules for the protection of consumers in this state. Protecti</w:t>
      </w:r>
      <w:r>
        <w:t xml:space="preserve">on means preventing harm. </w:t>
      </w:r>
    </w:p>
    <w:p w14:paraId="1BD5C439" w14:textId="77777777" w:rsidR="00137BEC" w:rsidRDefault="00E34A09" w:rsidP="00137BEC">
      <w:pPr>
        <w:spacing w:line="480" w:lineRule="auto"/>
        <w:ind w:firstLine="720"/>
        <w:rPr>
          <w:szCs w:val="24"/>
        </w:rPr>
      </w:pPr>
      <w:r>
        <w:rPr>
          <w:szCs w:val="24"/>
        </w:rPr>
        <w:lastRenderedPageBreak/>
        <w:t>Under the PUCO’s Entry, a customer could have to respond to the very important consumer protection questions discussed above in the presence of AEP Energy’s door-to-door salesperson. The salesperson could unduly influence the cus</w:t>
      </w:r>
      <w:r>
        <w:rPr>
          <w:szCs w:val="24"/>
        </w:rPr>
        <w:t>tomer’s supposed independent response. This is contrary to the consumer protections required by R.C. 4929.22 and provided under the PUCO’s rules.</w:t>
      </w:r>
    </w:p>
    <w:p w14:paraId="72D577E0" w14:textId="77777777" w:rsidR="00137BEC" w:rsidRDefault="00E34A09" w:rsidP="00137BEC">
      <w:pPr>
        <w:spacing w:line="480" w:lineRule="auto"/>
        <w:ind w:firstLine="720"/>
        <w:rPr>
          <w:szCs w:val="24"/>
        </w:rPr>
      </w:pPr>
      <w:r>
        <w:rPr>
          <w:szCs w:val="24"/>
        </w:rPr>
        <w:t>AEP Energy states that once the customer answers all the questions in the electronic</w:t>
      </w:r>
      <w:r w:rsidRPr="00C83A44">
        <w:rPr>
          <w:szCs w:val="24"/>
        </w:rPr>
        <w:t xml:space="preserve"> order verification form</w:t>
      </w:r>
      <w:r>
        <w:rPr>
          <w:szCs w:val="24"/>
        </w:rPr>
        <w:t xml:space="preserve">, </w:t>
      </w:r>
      <w:r>
        <w:rPr>
          <w:szCs w:val="24"/>
        </w:rPr>
        <w:t>the independent third-party verifier will call the customer.</w:t>
      </w:r>
      <w:r>
        <w:rPr>
          <w:rStyle w:val="FootnoteReference"/>
          <w:szCs w:val="24"/>
        </w:rPr>
        <w:footnoteReference w:id="23"/>
      </w:r>
      <w:r>
        <w:rPr>
          <w:szCs w:val="24"/>
        </w:rPr>
        <w:t xml:space="preserve"> But the salesperson does not leave the customer’s property until the customer receives the call from the independent third-party verifier.</w:t>
      </w:r>
      <w:r>
        <w:rPr>
          <w:rStyle w:val="FootnoteReference"/>
          <w:szCs w:val="24"/>
        </w:rPr>
        <w:footnoteReference w:id="24"/>
      </w:r>
      <w:r>
        <w:rPr>
          <w:szCs w:val="24"/>
        </w:rPr>
        <w:t xml:space="preserve"> Thus, the salesperson is on the customer’s property (a</w:t>
      </w:r>
      <w:r>
        <w:rPr>
          <w:szCs w:val="24"/>
        </w:rPr>
        <w:t>nd presumably standing or sitting next to the customer) while the customer is responding electronically to the questions usually reserved for the independent third-party verifier. This means that the salesperson could assert the type of undue influence ove</w:t>
      </w:r>
      <w:r>
        <w:rPr>
          <w:szCs w:val="24"/>
        </w:rPr>
        <w:t>r the customer that the PUCO’s rules are meant to prevent.</w:t>
      </w:r>
    </w:p>
    <w:p w14:paraId="0264BCEC" w14:textId="77777777" w:rsidR="00013F37" w:rsidRDefault="00E34A09" w:rsidP="005D19F9">
      <w:pPr>
        <w:suppressAutoHyphens/>
        <w:spacing w:line="480" w:lineRule="auto"/>
        <w:ind w:firstLine="720"/>
      </w:pPr>
      <w:r>
        <w:t>The PUCO must, by law, protect consumers in transactions involving gas and electric marketers. Ohio Adm. Code 4901:1-</w:t>
      </w:r>
      <w:r w:rsidRPr="006A2C2F">
        <w:rPr>
          <w:szCs w:val="24"/>
        </w:rPr>
        <w:t>29</w:t>
      </w:r>
      <w:r>
        <w:rPr>
          <w:szCs w:val="24"/>
        </w:rPr>
        <w:t>-06</w:t>
      </w:r>
      <w:r w:rsidRPr="006A2C2F">
        <w:rPr>
          <w:szCs w:val="24"/>
        </w:rPr>
        <w:t>(</w:t>
      </w:r>
      <w:r>
        <w:rPr>
          <w:szCs w:val="24"/>
        </w:rPr>
        <w:t>E)(2)(b</w:t>
      </w:r>
      <w:r w:rsidRPr="006A2C2F">
        <w:rPr>
          <w:szCs w:val="24"/>
        </w:rPr>
        <w:t>)(</w:t>
      </w:r>
      <w:r>
        <w:rPr>
          <w:szCs w:val="24"/>
        </w:rPr>
        <w:t xml:space="preserve">ii) protects consumers by </w:t>
      </w:r>
      <w:r>
        <w:t xml:space="preserve">expressly providing that the customer does not respond to questions from the independent third-party verifier until </w:t>
      </w:r>
      <w:r>
        <w:rPr>
          <w:i/>
          <w:iCs/>
        </w:rPr>
        <w:t>after</w:t>
      </w:r>
      <w:r>
        <w:t xml:space="preserve"> the salesperson has left the consumer’s home. The PUCO’s Entry has unlawfully and unreasonably undermined this protection. To protect </w:t>
      </w:r>
      <w:r>
        <w:t>consumers, the PUCO should abrogate the Entry.</w:t>
      </w:r>
    </w:p>
    <w:p w14:paraId="6DB0569D" w14:textId="77777777" w:rsidR="00B7546D" w:rsidRDefault="00E34A09" w:rsidP="00B7546D">
      <w:pPr>
        <w:suppressAutoHyphens/>
        <w:ind w:firstLine="720"/>
      </w:pPr>
    </w:p>
    <w:p w14:paraId="20F7BDAD" w14:textId="77777777" w:rsidR="005A5D1C" w:rsidRDefault="00E34A09" w:rsidP="008E7F69">
      <w:pPr>
        <w:pStyle w:val="Heading1"/>
      </w:pPr>
      <w:bookmarkStart w:id="20" w:name="_Toc532565750"/>
      <w:bookmarkStart w:id="21" w:name="_Toc16857337"/>
      <w:r>
        <w:lastRenderedPageBreak/>
        <w:t>IV.</w:t>
      </w:r>
      <w:r>
        <w:tab/>
        <w:t>CONCLUSION</w:t>
      </w:r>
      <w:bookmarkEnd w:id="20"/>
      <w:bookmarkEnd w:id="21"/>
    </w:p>
    <w:p w14:paraId="5B344AF8" w14:textId="77777777" w:rsidR="00B7546D" w:rsidRPr="004A14AF" w:rsidRDefault="00E34A09" w:rsidP="004A14AF">
      <w:pPr>
        <w:suppressAutoHyphens/>
        <w:spacing w:line="480" w:lineRule="auto"/>
        <w:ind w:firstLine="720"/>
      </w:pPr>
      <w:r>
        <w:rPr>
          <w:szCs w:val="24"/>
        </w:rPr>
        <w:t xml:space="preserve">The Verde and </w:t>
      </w:r>
      <w:proofErr w:type="spellStart"/>
      <w:r>
        <w:rPr>
          <w:szCs w:val="24"/>
        </w:rPr>
        <w:t>PALMco</w:t>
      </w:r>
      <w:proofErr w:type="spellEnd"/>
      <w:r>
        <w:rPr>
          <w:szCs w:val="24"/>
        </w:rPr>
        <w:t xml:space="preserve"> investigations by the PUCO Staff are evidence of why the third-party verification rules should not be compromised. Consumers are too vulnerable in the high-pressure door-to</w:t>
      </w:r>
      <w:r>
        <w:rPr>
          <w:szCs w:val="24"/>
        </w:rPr>
        <w:t xml:space="preserve">-door sales environment. The independent third-party verification required by </w:t>
      </w:r>
      <w:r>
        <w:t>Ohio Adm. Code 4901:1-</w:t>
      </w:r>
      <w:r w:rsidRPr="006A2C2F">
        <w:rPr>
          <w:szCs w:val="24"/>
        </w:rPr>
        <w:t>29</w:t>
      </w:r>
      <w:r>
        <w:rPr>
          <w:szCs w:val="24"/>
        </w:rPr>
        <w:t>-06</w:t>
      </w:r>
      <w:r w:rsidRPr="006A2C2F">
        <w:rPr>
          <w:szCs w:val="24"/>
        </w:rPr>
        <w:t>(</w:t>
      </w:r>
      <w:r>
        <w:rPr>
          <w:szCs w:val="24"/>
        </w:rPr>
        <w:t>E</w:t>
      </w:r>
      <w:r w:rsidRPr="006A2C2F">
        <w:rPr>
          <w:szCs w:val="24"/>
        </w:rPr>
        <w:t>)(</w:t>
      </w:r>
      <w:r>
        <w:rPr>
          <w:szCs w:val="24"/>
        </w:rPr>
        <w:t>1) helps protect consumers from the bad acts of natural gas and electric marketers. By allowing AEP Energy to avoid these consumer protections, the</w:t>
      </w:r>
      <w:r>
        <w:rPr>
          <w:szCs w:val="24"/>
        </w:rPr>
        <w:t xml:space="preserve"> PUCO substantially increased the risk of harm for consumers. T</w:t>
      </w:r>
      <w:r>
        <w:t>he PUCO’s Entry is unlawful, and unreasonable. To protect consumers, the PUCO should abrogate the Entry as discussed above.</w:t>
      </w:r>
    </w:p>
    <w:p w14:paraId="002D03FC" w14:textId="77777777" w:rsidR="00A044B5" w:rsidRDefault="00E34A09" w:rsidP="004A14AF">
      <w:pPr>
        <w:pStyle w:val="BodyTextIndent3"/>
        <w:widowControl w:val="0"/>
        <w:spacing w:line="480" w:lineRule="auto"/>
        <w:ind w:left="3600" w:firstLine="0"/>
        <w:rPr>
          <w:szCs w:val="24"/>
        </w:rPr>
      </w:pPr>
      <w:r>
        <w:rPr>
          <w:szCs w:val="24"/>
        </w:rPr>
        <w:t>Respectfully submitted,</w:t>
      </w:r>
    </w:p>
    <w:p w14:paraId="59FE7FA3" w14:textId="77777777" w:rsidR="001E7B5A" w:rsidRDefault="00E34A09" w:rsidP="004A14AF">
      <w:pPr>
        <w:pStyle w:val="Footer"/>
        <w:tabs>
          <w:tab w:val="clear" w:pos="8640"/>
          <w:tab w:val="left" w:pos="4320"/>
        </w:tabs>
        <w:ind w:left="3600"/>
        <w:rPr>
          <w:sz w:val="24"/>
          <w:szCs w:val="24"/>
        </w:rPr>
      </w:pPr>
      <w:r>
        <w:rPr>
          <w:sz w:val="24"/>
          <w:szCs w:val="24"/>
        </w:rPr>
        <w:t>Bruce Weston (0016973)</w:t>
      </w:r>
    </w:p>
    <w:p w14:paraId="137366B0" w14:textId="77777777" w:rsidR="001E7B5A" w:rsidRDefault="00E34A09" w:rsidP="004A14AF">
      <w:pPr>
        <w:tabs>
          <w:tab w:val="left" w:pos="4320"/>
        </w:tabs>
        <w:spacing w:after="120"/>
        <w:ind w:left="3600"/>
        <w:rPr>
          <w:szCs w:val="24"/>
        </w:rPr>
      </w:pPr>
      <w:r>
        <w:rPr>
          <w:szCs w:val="24"/>
        </w:rPr>
        <w:t xml:space="preserve">Ohio </w:t>
      </w:r>
      <w:r>
        <w:rPr>
          <w:szCs w:val="24"/>
        </w:rPr>
        <w:t>Consumers’ Counsel</w:t>
      </w:r>
    </w:p>
    <w:p w14:paraId="4D3720F7" w14:textId="77777777" w:rsidR="008E7FF9" w:rsidRDefault="00E34A09" w:rsidP="004A14AF">
      <w:pPr>
        <w:autoSpaceDE w:val="0"/>
        <w:autoSpaceDN w:val="0"/>
        <w:adjustRightInd w:val="0"/>
        <w:ind w:left="3600"/>
        <w:rPr>
          <w:i/>
        </w:rPr>
      </w:pPr>
      <w:r>
        <w:rPr>
          <w:i/>
          <w:u w:val="single"/>
        </w:rPr>
        <w:t>/s/ Terry L. Etter              </w:t>
      </w:r>
    </w:p>
    <w:p w14:paraId="56F871F4" w14:textId="77777777" w:rsidR="008E6098" w:rsidRDefault="00E34A09" w:rsidP="004A14AF">
      <w:pPr>
        <w:tabs>
          <w:tab w:val="left" w:pos="4320"/>
        </w:tabs>
        <w:ind w:left="3600"/>
        <w:rPr>
          <w:szCs w:val="24"/>
        </w:rPr>
      </w:pPr>
      <w:r>
        <w:rPr>
          <w:szCs w:val="24"/>
        </w:rPr>
        <w:t>Terry L. Etter (0067445)</w:t>
      </w:r>
    </w:p>
    <w:p w14:paraId="14388FC2" w14:textId="77777777" w:rsidR="002A0628" w:rsidRPr="00E53E6E" w:rsidRDefault="00E34A09" w:rsidP="004A14AF">
      <w:pPr>
        <w:tabs>
          <w:tab w:val="left" w:pos="4320"/>
        </w:tabs>
        <w:ind w:left="3600"/>
        <w:rPr>
          <w:szCs w:val="24"/>
        </w:rPr>
      </w:pPr>
      <w:r w:rsidRPr="00E53E6E">
        <w:rPr>
          <w:szCs w:val="24"/>
        </w:rPr>
        <w:t>Counsel of Record</w:t>
      </w:r>
    </w:p>
    <w:p w14:paraId="58EFD174" w14:textId="77777777" w:rsidR="004A14AF" w:rsidRDefault="00E34A09" w:rsidP="004A14AF">
      <w:pPr>
        <w:tabs>
          <w:tab w:val="left" w:pos="4320"/>
        </w:tabs>
        <w:ind w:left="3600"/>
        <w:rPr>
          <w:szCs w:val="24"/>
        </w:rPr>
      </w:pPr>
      <w:r>
        <w:rPr>
          <w:szCs w:val="24"/>
        </w:rPr>
        <w:t>Amy Botschner O’Brien (0074423)</w:t>
      </w:r>
    </w:p>
    <w:p w14:paraId="03433007" w14:textId="77777777" w:rsidR="004A14AF" w:rsidRDefault="00E34A09" w:rsidP="004A14AF">
      <w:pPr>
        <w:tabs>
          <w:tab w:val="left" w:pos="4320"/>
        </w:tabs>
        <w:ind w:left="3600"/>
        <w:rPr>
          <w:szCs w:val="24"/>
        </w:rPr>
      </w:pPr>
      <w:r>
        <w:rPr>
          <w:szCs w:val="24"/>
        </w:rPr>
        <w:t xml:space="preserve">Assistant Consumers’ Counsel </w:t>
      </w:r>
    </w:p>
    <w:p w14:paraId="43962AB3" w14:textId="77777777" w:rsidR="00D82CB3" w:rsidRDefault="00E34A09" w:rsidP="004A14AF">
      <w:pPr>
        <w:tabs>
          <w:tab w:val="left" w:pos="4320"/>
        </w:tabs>
        <w:ind w:left="3600"/>
        <w:rPr>
          <w:szCs w:val="24"/>
        </w:rPr>
      </w:pPr>
    </w:p>
    <w:p w14:paraId="72F0EAAC" w14:textId="77777777" w:rsidR="004A14AF" w:rsidRPr="00D82CB3" w:rsidRDefault="00E34A09" w:rsidP="00D82CB3">
      <w:pPr>
        <w:ind w:left="3600"/>
        <w:rPr>
          <w:b/>
          <w:bCs/>
        </w:rPr>
      </w:pPr>
      <w:r w:rsidRPr="00D82CB3">
        <w:rPr>
          <w:b/>
          <w:bCs/>
        </w:rPr>
        <w:t>Office of the Ohio Consumers’ Counsel</w:t>
      </w:r>
    </w:p>
    <w:p w14:paraId="1F67AA91" w14:textId="77777777" w:rsidR="004A14AF" w:rsidRPr="00D82CB3" w:rsidRDefault="00E34A09" w:rsidP="00D82CB3">
      <w:pPr>
        <w:ind w:left="3600"/>
      </w:pPr>
      <w:r w:rsidRPr="00D82CB3">
        <w:t>65 East State Street, 7th Floor</w:t>
      </w:r>
    </w:p>
    <w:p w14:paraId="67074DAC" w14:textId="77777777" w:rsidR="004A14AF" w:rsidRPr="00D82CB3" w:rsidRDefault="00E34A09" w:rsidP="00D82CB3">
      <w:pPr>
        <w:ind w:left="3600"/>
      </w:pPr>
      <w:r w:rsidRPr="00D82CB3">
        <w:t>Columbus, Ohio 43215-4213</w:t>
      </w:r>
    </w:p>
    <w:p w14:paraId="1E3BA6E3" w14:textId="77777777" w:rsidR="004A14AF" w:rsidRDefault="00E34A09" w:rsidP="004A14AF">
      <w:pPr>
        <w:autoSpaceDE w:val="0"/>
        <w:autoSpaceDN w:val="0"/>
        <w:adjustRightInd w:val="0"/>
        <w:ind w:left="3600"/>
        <w:rPr>
          <w:szCs w:val="24"/>
        </w:rPr>
      </w:pPr>
      <w:r>
        <w:rPr>
          <w:szCs w:val="24"/>
        </w:rPr>
        <w:t>Te</w:t>
      </w:r>
      <w:r>
        <w:rPr>
          <w:szCs w:val="24"/>
        </w:rPr>
        <w:t>lephone [Etter]: (614) 466-7964</w:t>
      </w:r>
    </w:p>
    <w:p w14:paraId="717E1F6A" w14:textId="77777777" w:rsidR="004A14AF" w:rsidRDefault="00E34A09" w:rsidP="004A14AF">
      <w:pPr>
        <w:autoSpaceDE w:val="0"/>
        <w:autoSpaceDN w:val="0"/>
        <w:adjustRightInd w:val="0"/>
        <w:ind w:left="3600"/>
        <w:rPr>
          <w:szCs w:val="24"/>
        </w:rPr>
      </w:pPr>
      <w:r>
        <w:rPr>
          <w:szCs w:val="24"/>
        </w:rPr>
        <w:t>Telephone [Botschner O’Brien]: (614) 466-9575</w:t>
      </w:r>
    </w:p>
    <w:p w14:paraId="0E881441" w14:textId="77777777" w:rsidR="004A14AF" w:rsidRDefault="00E34A09" w:rsidP="004A14AF">
      <w:pPr>
        <w:ind w:left="3600"/>
        <w:rPr>
          <w:szCs w:val="24"/>
        </w:rPr>
      </w:pPr>
      <w:hyperlink r:id="rId19" w:history="1">
        <w:proofErr w:type="spellStart"/>
        <w:r w:rsidRPr="00953818">
          <w:rPr>
            <w:rStyle w:val="Hyperlink"/>
            <w:szCs w:val="24"/>
          </w:rPr>
          <w:t>terry.etter@occ.ohio.gov</w:t>
        </w:r>
        <w:proofErr w:type="spellEnd"/>
      </w:hyperlink>
      <w:r>
        <w:rPr>
          <w:szCs w:val="24"/>
        </w:rPr>
        <w:t xml:space="preserve"> </w:t>
      </w:r>
    </w:p>
    <w:p w14:paraId="157DC713" w14:textId="77777777" w:rsidR="004A14AF" w:rsidRPr="00665692" w:rsidRDefault="00E34A09" w:rsidP="004A14AF">
      <w:pPr>
        <w:autoSpaceDE w:val="0"/>
        <w:autoSpaceDN w:val="0"/>
        <w:adjustRightInd w:val="0"/>
        <w:ind w:left="3600"/>
        <w:rPr>
          <w:szCs w:val="24"/>
        </w:rPr>
      </w:pPr>
      <w:hyperlink r:id="rId20" w:history="1">
        <w:proofErr w:type="spellStart"/>
        <w:r w:rsidRPr="00953818">
          <w:rPr>
            <w:rStyle w:val="Hyperlink"/>
            <w:szCs w:val="24"/>
          </w:rPr>
          <w:t>amy.botschner.obrien@occ.ohio.gov</w:t>
        </w:r>
        <w:proofErr w:type="spellEnd"/>
      </w:hyperlink>
    </w:p>
    <w:p w14:paraId="154AE5FE" w14:textId="77777777" w:rsidR="004A14AF" w:rsidRDefault="00E34A09" w:rsidP="004A14AF">
      <w:pPr>
        <w:ind w:left="3600"/>
        <w:rPr>
          <w:szCs w:val="24"/>
        </w:rPr>
        <w:sectPr w:rsidR="004A14AF" w:rsidSect="00EB41DE">
          <w:headerReference w:type="even" r:id="rId21"/>
          <w:headerReference w:type="default" r:id="rId22"/>
          <w:footerReference w:type="even" r:id="rId23"/>
          <w:headerReference w:type="first" r:id="rId24"/>
          <w:footerReference w:type="first" r:id="rId25"/>
          <w:pgSz w:w="12240" w:h="15840" w:code="1"/>
          <w:pgMar w:top="1440" w:right="1800" w:bottom="1440" w:left="1800" w:header="720" w:footer="720" w:gutter="0"/>
          <w:pgNumType w:start="1"/>
          <w:cols w:space="720"/>
          <w:titlePg/>
          <w:docGrid w:linePitch="65"/>
        </w:sectPr>
      </w:pPr>
      <w:r w:rsidRPr="00E53E6E">
        <w:rPr>
          <w:szCs w:val="24"/>
        </w:rPr>
        <w:t>(wil</w:t>
      </w:r>
      <w:r>
        <w:rPr>
          <w:szCs w:val="24"/>
        </w:rPr>
        <w:t>ling to</w:t>
      </w:r>
      <w:r w:rsidRPr="00E53E6E">
        <w:rPr>
          <w:szCs w:val="24"/>
        </w:rPr>
        <w:t xml:space="preserve"> accept service </w:t>
      </w:r>
      <w:r>
        <w:rPr>
          <w:szCs w:val="24"/>
        </w:rPr>
        <w:t>by e-mail</w:t>
      </w:r>
      <w:r w:rsidRPr="00E53E6E">
        <w:rPr>
          <w:szCs w:val="24"/>
        </w:rPr>
        <w:t>)</w:t>
      </w:r>
    </w:p>
    <w:p w14:paraId="7565FCB0" w14:textId="77777777" w:rsidR="00A044B5" w:rsidRDefault="00E34A09" w:rsidP="004A14AF">
      <w:pPr>
        <w:spacing w:line="480" w:lineRule="auto"/>
        <w:jc w:val="center"/>
        <w:rPr>
          <w:b/>
          <w:bCs/>
          <w:u w:val="single"/>
        </w:rPr>
      </w:pPr>
      <w:r>
        <w:rPr>
          <w:b/>
          <w:bCs/>
          <w:u w:val="single"/>
        </w:rPr>
        <w:lastRenderedPageBreak/>
        <w:t>CERTIFICATE OF SERVICE</w:t>
      </w:r>
    </w:p>
    <w:p w14:paraId="649BEDB6" w14:textId="77777777" w:rsidR="00A044B5" w:rsidRDefault="00E34A09" w:rsidP="004A14AF">
      <w:pPr>
        <w:spacing w:line="480" w:lineRule="auto"/>
      </w:pPr>
      <w:r>
        <w:tab/>
      </w:r>
      <w:r>
        <w:t xml:space="preserve">I hereby certify that a copy of this Application for Rehearing was served on the persons stated below </w:t>
      </w:r>
      <w:r w:rsidRPr="000722D5">
        <w:t>via</w:t>
      </w:r>
      <w:r>
        <w:t xml:space="preserve"> electronic transmission, this 16</w:t>
      </w:r>
      <w:r w:rsidRPr="00127CDE">
        <w:rPr>
          <w:vertAlign w:val="superscript"/>
        </w:rPr>
        <w:t>th</w:t>
      </w:r>
      <w:r>
        <w:t xml:space="preserve"> day of August 2019.</w:t>
      </w:r>
    </w:p>
    <w:p w14:paraId="4CFB5009" w14:textId="77777777" w:rsidR="00A044B5" w:rsidRDefault="00E34A09">
      <w:pPr>
        <w:spacing w:line="480" w:lineRule="atLeast"/>
      </w:pPr>
    </w:p>
    <w:p w14:paraId="603A38D7" w14:textId="77777777" w:rsidR="008E7FF9" w:rsidRDefault="00E34A09" w:rsidP="008E7FF9">
      <w:pPr>
        <w:autoSpaceDE w:val="0"/>
        <w:autoSpaceDN w:val="0"/>
        <w:adjustRightInd w:val="0"/>
        <w:ind w:left="4320"/>
        <w:rPr>
          <w:i/>
        </w:rPr>
      </w:pPr>
      <w:r>
        <w:rPr>
          <w:i/>
          <w:u w:val="single"/>
        </w:rPr>
        <w:t xml:space="preserve">/s/ Terry L. Etter         </w:t>
      </w:r>
    </w:p>
    <w:p w14:paraId="34A38C90" w14:textId="77777777" w:rsidR="00A044B5" w:rsidRDefault="00E34A09">
      <w:pPr>
        <w:tabs>
          <w:tab w:val="left" w:pos="4320"/>
        </w:tabs>
      </w:pPr>
      <w:r>
        <w:tab/>
        <w:t>Terry L. Etter</w:t>
      </w:r>
    </w:p>
    <w:p w14:paraId="01543ED7" w14:textId="77777777" w:rsidR="00A044B5" w:rsidRDefault="00E34A09">
      <w:pPr>
        <w:tabs>
          <w:tab w:val="left" w:pos="4320"/>
        </w:tabs>
      </w:pPr>
      <w:r>
        <w:tab/>
        <w:t>Assistant Consumers’ Counsel</w:t>
      </w:r>
    </w:p>
    <w:p w14:paraId="17FB7F5F" w14:textId="77777777" w:rsidR="00A044B5" w:rsidRDefault="00E34A09">
      <w:pPr>
        <w:pStyle w:val="CommentSubject"/>
      </w:pPr>
    </w:p>
    <w:p w14:paraId="26521B02" w14:textId="77777777" w:rsidR="00A044B5" w:rsidRDefault="00E34A09">
      <w:pPr>
        <w:pStyle w:val="CommentText"/>
      </w:pPr>
    </w:p>
    <w:p w14:paraId="36E2E33F" w14:textId="77777777" w:rsidR="00A044B5" w:rsidRDefault="00E34A09">
      <w:pPr>
        <w:pStyle w:val="CommentText"/>
        <w:jc w:val="center"/>
        <w:rPr>
          <w:b/>
          <w:u w:val="single"/>
        </w:rPr>
      </w:pPr>
      <w:r>
        <w:rPr>
          <w:b/>
          <w:u w:val="single"/>
        </w:rPr>
        <w:t>SERVICE LIST</w:t>
      </w:r>
    </w:p>
    <w:p w14:paraId="3934BCF8" w14:textId="77777777" w:rsidR="00A044B5" w:rsidRDefault="00E34A09">
      <w:pPr>
        <w:pStyle w:val="BodyText"/>
        <w:rPr>
          <w:b/>
          <w:bCs/>
        </w:rPr>
      </w:pPr>
    </w:p>
    <w:tbl>
      <w:tblPr>
        <w:tblW w:w="0" w:type="auto"/>
        <w:tblLook w:val="01E0" w:firstRow="1" w:lastRow="1" w:firstColumn="1" w:lastColumn="1" w:noHBand="0" w:noVBand="0"/>
      </w:tblPr>
      <w:tblGrid>
        <w:gridCol w:w="4411"/>
        <w:gridCol w:w="4229"/>
      </w:tblGrid>
      <w:tr w:rsidR="00903F03" w14:paraId="512A4826" w14:textId="77777777" w:rsidTr="00BA56B5">
        <w:tc>
          <w:tcPr>
            <w:tcW w:w="4428" w:type="dxa"/>
            <w:shd w:val="clear" w:color="auto" w:fill="auto"/>
          </w:tcPr>
          <w:p w14:paraId="3742466B" w14:textId="77777777" w:rsidR="00A90D1E" w:rsidRDefault="00E34A09" w:rsidP="00BA56B5">
            <w:pPr>
              <w:autoSpaceDE w:val="0"/>
              <w:autoSpaceDN w:val="0"/>
              <w:adjustRightInd w:val="0"/>
              <w:rPr>
                <w:bCs/>
              </w:rPr>
            </w:pPr>
            <w:hyperlink r:id="rId26" w:history="1">
              <w:proofErr w:type="spellStart"/>
              <w:r w:rsidRPr="00064076">
                <w:rPr>
                  <w:rStyle w:val="Hyperlink"/>
                  <w:bCs/>
                </w:rPr>
                <w:t>thomas.lindgren@ohioattorneygeneral.gov</w:t>
              </w:r>
              <w:proofErr w:type="spellEnd"/>
            </w:hyperlink>
          </w:p>
          <w:p w14:paraId="049445ED" w14:textId="77777777" w:rsidR="00A90D1E" w:rsidRPr="006E2A61" w:rsidRDefault="00E34A09" w:rsidP="00BA56B5">
            <w:pPr>
              <w:autoSpaceDE w:val="0"/>
              <w:autoSpaceDN w:val="0"/>
              <w:adjustRightInd w:val="0"/>
              <w:rPr>
                <w:bCs/>
              </w:rPr>
            </w:pPr>
            <w:r w:rsidRPr="006E2A61">
              <w:rPr>
                <w:bCs/>
              </w:rPr>
              <w:t xml:space="preserve"> </w:t>
            </w:r>
          </w:p>
        </w:tc>
        <w:tc>
          <w:tcPr>
            <w:tcW w:w="4428" w:type="dxa"/>
            <w:shd w:val="clear" w:color="auto" w:fill="auto"/>
          </w:tcPr>
          <w:p w14:paraId="474B3A69" w14:textId="77777777" w:rsidR="00A90D1E" w:rsidRDefault="00E34A09" w:rsidP="002F739E">
            <w:pPr>
              <w:ind w:left="602"/>
            </w:pPr>
            <w:hyperlink r:id="rId27" w:history="1">
              <w:proofErr w:type="spellStart"/>
              <w:r w:rsidRPr="00064076">
                <w:rPr>
                  <w:rStyle w:val="Hyperlink"/>
                </w:rPr>
                <w:t>mdutton@aepenergy.com</w:t>
              </w:r>
              <w:proofErr w:type="spellEnd"/>
            </w:hyperlink>
          </w:p>
          <w:p w14:paraId="2C0CB985" w14:textId="77777777" w:rsidR="00A90D1E" w:rsidRPr="006E2A61" w:rsidRDefault="00E34A09" w:rsidP="002F739E">
            <w:pPr>
              <w:ind w:left="602"/>
            </w:pPr>
          </w:p>
          <w:p w14:paraId="7F35E1F4" w14:textId="77777777" w:rsidR="00A90D1E" w:rsidRPr="006E2A61" w:rsidRDefault="00E34A09" w:rsidP="002F739E">
            <w:pPr>
              <w:pStyle w:val="BodyText"/>
              <w:ind w:left="602"/>
              <w:rPr>
                <w:bCs/>
              </w:rPr>
            </w:pPr>
          </w:p>
        </w:tc>
      </w:tr>
      <w:tr w:rsidR="00903F03" w14:paraId="47A95982" w14:textId="77777777" w:rsidTr="00BA56B5">
        <w:tc>
          <w:tcPr>
            <w:tcW w:w="4428" w:type="dxa"/>
            <w:shd w:val="clear" w:color="auto" w:fill="auto"/>
          </w:tcPr>
          <w:p w14:paraId="5E1EB30B" w14:textId="77777777" w:rsidR="00A90D1E" w:rsidRDefault="00E34A09" w:rsidP="00BA56B5">
            <w:r w:rsidRPr="006E2A61">
              <w:t>Attorney Examiner:</w:t>
            </w:r>
          </w:p>
          <w:p w14:paraId="5AC793A6" w14:textId="77777777" w:rsidR="00A90D1E" w:rsidRPr="006E2A61" w:rsidRDefault="00E34A09" w:rsidP="00BA56B5"/>
          <w:p w14:paraId="35781B4D" w14:textId="77777777" w:rsidR="00A90D1E" w:rsidRDefault="00E34A09" w:rsidP="00BA56B5">
            <w:hyperlink r:id="rId28" w:history="1">
              <w:proofErr w:type="spellStart"/>
              <w:r w:rsidRPr="00064076">
                <w:rPr>
                  <w:rStyle w:val="Hyperlink"/>
                </w:rPr>
                <w:t>Stacie.Cathcart@puco.ohio.gov</w:t>
              </w:r>
              <w:proofErr w:type="spellEnd"/>
            </w:hyperlink>
          </w:p>
          <w:p w14:paraId="5BBC2433" w14:textId="77777777" w:rsidR="00A90D1E" w:rsidRPr="006E2A61" w:rsidRDefault="00E34A09" w:rsidP="00BA56B5">
            <w:pPr>
              <w:rPr>
                <w:szCs w:val="24"/>
              </w:rPr>
            </w:pPr>
            <w:r w:rsidRPr="006E2A61">
              <w:t xml:space="preserve"> </w:t>
            </w:r>
          </w:p>
        </w:tc>
        <w:tc>
          <w:tcPr>
            <w:tcW w:w="4428" w:type="dxa"/>
            <w:shd w:val="clear" w:color="auto" w:fill="auto"/>
          </w:tcPr>
          <w:p w14:paraId="5BC5A074" w14:textId="77777777" w:rsidR="00A90D1E" w:rsidRPr="006E2A61" w:rsidRDefault="00E34A09" w:rsidP="00BA56B5">
            <w:pPr>
              <w:rPr>
                <w:bCs/>
              </w:rPr>
            </w:pPr>
          </w:p>
        </w:tc>
      </w:tr>
    </w:tbl>
    <w:p w14:paraId="46DBA220" w14:textId="77777777" w:rsidR="00A044B5" w:rsidRDefault="00E34A09">
      <w:pPr>
        <w:pStyle w:val="BodyText"/>
        <w:rPr>
          <w:b/>
          <w:bCs/>
        </w:rPr>
      </w:pPr>
    </w:p>
    <w:sectPr w:rsidR="00A044B5" w:rsidSect="00406DE5">
      <w:headerReference w:type="even" r:id="rId29"/>
      <w:headerReference w:type="default" r:id="rId30"/>
      <w:headerReference w:type="first" r:id="rId31"/>
      <w:footerReference w:type="first" r:id="rId32"/>
      <w:pgSz w:w="12240" w:h="15840"/>
      <w:pgMar w:top="1440" w:right="1800" w:bottom="1440" w:left="1800" w:header="720" w:footer="720" w:gutter="0"/>
      <w:cols w:space="720"/>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3F38E" w14:textId="77777777" w:rsidR="00000000" w:rsidRDefault="00E34A09">
      <w:r>
        <w:separator/>
      </w:r>
    </w:p>
  </w:endnote>
  <w:endnote w:type="continuationSeparator" w:id="0">
    <w:p w14:paraId="2B6637C0" w14:textId="77777777" w:rsidR="00000000" w:rsidRDefault="00E3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6F46A" w14:textId="77777777" w:rsidR="00A044B5" w:rsidRDefault="00E34A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F3B7254" w14:textId="77777777" w:rsidR="00A044B5" w:rsidRDefault="00E34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5520352"/>
      <w:docPartObj>
        <w:docPartGallery w:val="Page Numbers (Bottom of Page)"/>
        <w:docPartUnique/>
      </w:docPartObj>
    </w:sdtPr>
    <w:sdtEndPr>
      <w:rPr>
        <w:noProof/>
      </w:rPr>
    </w:sdtEndPr>
    <w:sdtContent>
      <w:p w14:paraId="63020D61" w14:textId="77777777" w:rsidR="00B7546D" w:rsidRPr="00406DE5" w:rsidRDefault="00E34A09">
        <w:pPr>
          <w:pStyle w:val="Footer"/>
          <w:jc w:val="center"/>
        </w:pPr>
        <w:r w:rsidRPr="00406DE5">
          <w:fldChar w:fldCharType="begin"/>
        </w:r>
        <w:r w:rsidRPr="00406DE5">
          <w:instrText xml:space="preserve"> PAGE   \* MERGEFORMAT </w:instrText>
        </w:r>
        <w:r w:rsidRPr="00406DE5">
          <w:fldChar w:fldCharType="separate"/>
        </w:r>
        <w:r w:rsidRPr="00406DE5">
          <w:rPr>
            <w:noProof/>
          </w:rPr>
          <w:t>2</w:t>
        </w:r>
        <w:r w:rsidRPr="00406DE5">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F28FD" w14:textId="77777777" w:rsidR="008B0932" w:rsidRDefault="00E34A09">
    <w:pPr>
      <w:pStyle w:val="Footer"/>
      <w:jc w:val="center"/>
    </w:pPr>
  </w:p>
  <w:p w14:paraId="73D44946" w14:textId="77777777" w:rsidR="005663DA" w:rsidRDefault="00E34A0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877653"/>
      <w:docPartObj>
        <w:docPartGallery w:val="Page Numbers (Bottom of Page)"/>
        <w:docPartUnique/>
      </w:docPartObj>
    </w:sdtPr>
    <w:sdtEndPr>
      <w:rPr>
        <w:noProof/>
      </w:rPr>
    </w:sdtEndPr>
    <w:sdtContent>
      <w:p w14:paraId="109D204F" w14:textId="77777777" w:rsidR="008B0932" w:rsidRDefault="00E34A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ED3F87" w14:textId="77777777" w:rsidR="008B0932" w:rsidRDefault="00E34A09">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907346"/>
      <w:docPartObj>
        <w:docPartGallery w:val="Page Numbers (Bottom of Page)"/>
        <w:docPartUnique/>
      </w:docPartObj>
    </w:sdtPr>
    <w:sdtEndPr>
      <w:rPr>
        <w:noProof/>
      </w:rPr>
    </w:sdtEndPr>
    <w:sdtContent>
      <w:p w14:paraId="6B24C61E" w14:textId="77777777" w:rsidR="008B0932" w:rsidRDefault="00E34A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16023" w14:textId="77777777" w:rsidR="00EB41DE" w:rsidRDefault="00E34A09">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5523F" w14:textId="77777777" w:rsidR="004A14AF" w:rsidRDefault="00E34A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3C10E0E" w14:textId="77777777" w:rsidR="004A14AF" w:rsidRDefault="00E34A0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82739"/>
      <w:docPartObj>
        <w:docPartGallery w:val="Page Numbers (Bottom of Page)"/>
        <w:docPartUnique/>
      </w:docPartObj>
    </w:sdtPr>
    <w:sdtEndPr>
      <w:rPr>
        <w:noProof/>
      </w:rPr>
    </w:sdtEndPr>
    <w:sdtContent>
      <w:p w14:paraId="54E89A99" w14:textId="77777777" w:rsidR="00EB41DE" w:rsidRDefault="00E34A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16518"/>
      <w:docPartObj>
        <w:docPartGallery w:val="Page Numbers (Bottom of Page)"/>
        <w:docPartUnique/>
      </w:docPartObj>
    </w:sdtPr>
    <w:sdtEndPr>
      <w:rPr>
        <w:noProof/>
      </w:rPr>
    </w:sdtEndPr>
    <w:sdtContent>
      <w:p w14:paraId="5633C326" w14:textId="77777777" w:rsidR="00406DE5" w:rsidRDefault="00E34A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2C8D0" w14:textId="77777777" w:rsidR="00707DA3" w:rsidRDefault="00E34A09">
      <w:r>
        <w:separator/>
      </w:r>
    </w:p>
  </w:footnote>
  <w:footnote w:type="continuationSeparator" w:id="0">
    <w:p w14:paraId="7F20B055" w14:textId="77777777" w:rsidR="00707DA3" w:rsidRDefault="00E34A09">
      <w:r>
        <w:continuationSeparator/>
      </w:r>
    </w:p>
  </w:footnote>
  <w:footnote w:id="1">
    <w:p w14:paraId="291BC117" w14:textId="77777777" w:rsidR="00E44F28" w:rsidRPr="00E44F28" w:rsidRDefault="00E34A09">
      <w:pPr>
        <w:pStyle w:val="FootnoteText"/>
      </w:pPr>
      <w:r>
        <w:rPr>
          <w:rStyle w:val="FootnoteReference"/>
        </w:rPr>
        <w:footnoteRef/>
      </w:r>
      <w:r>
        <w:t xml:space="preserve"> </w:t>
      </w:r>
      <w:r>
        <w:rPr>
          <w:i/>
          <w:iCs/>
        </w:rPr>
        <w:t>See</w:t>
      </w:r>
      <w:r>
        <w:t xml:space="preserve"> Case No. 19-958-GE-COI, Staff Letter (April 16, 2019).</w:t>
      </w:r>
    </w:p>
  </w:footnote>
  <w:footnote w:id="2">
    <w:p w14:paraId="28CB568A" w14:textId="77777777" w:rsidR="008E6946" w:rsidRPr="008E6946" w:rsidRDefault="00E34A09">
      <w:pPr>
        <w:pStyle w:val="FootnoteText"/>
      </w:pPr>
      <w:r>
        <w:rPr>
          <w:rStyle w:val="FootnoteReference"/>
        </w:rPr>
        <w:footnoteRef/>
      </w:r>
      <w:r>
        <w:t xml:space="preserve"> </w:t>
      </w:r>
      <w:r>
        <w:rPr>
          <w:i/>
          <w:iCs/>
        </w:rPr>
        <w:t>Id.</w:t>
      </w:r>
      <w:r>
        <w:t>, Corrected Staff Report (May 29, 2019) at 16.</w:t>
      </w:r>
    </w:p>
  </w:footnote>
  <w:footnote w:id="3">
    <w:p w14:paraId="1BC3B50A" w14:textId="77777777" w:rsidR="008E6946" w:rsidRPr="008E6946" w:rsidRDefault="00E34A09">
      <w:pPr>
        <w:pStyle w:val="FootnoteText"/>
      </w:pPr>
      <w:r>
        <w:rPr>
          <w:rStyle w:val="FootnoteReference"/>
        </w:rPr>
        <w:footnoteRef/>
      </w:r>
      <w:r>
        <w:t xml:space="preserve"> </w:t>
      </w:r>
      <w:r>
        <w:rPr>
          <w:i/>
          <w:iCs/>
        </w:rPr>
        <w:t>See</w:t>
      </w:r>
      <w:r>
        <w:t xml:space="preserve"> Case No. 19-957-GE-COI, Staff Letter (April 16, 2019). PALMco does business as Indra Energy.</w:t>
      </w:r>
    </w:p>
  </w:footnote>
  <w:footnote w:id="4">
    <w:p w14:paraId="3E05105B" w14:textId="77777777" w:rsidR="003B11B8" w:rsidRPr="003B11B8" w:rsidRDefault="00E34A09">
      <w:pPr>
        <w:pStyle w:val="FootnoteText"/>
      </w:pPr>
      <w:r>
        <w:rPr>
          <w:rStyle w:val="FootnoteReference"/>
        </w:rPr>
        <w:footnoteRef/>
      </w:r>
      <w:r>
        <w:t xml:space="preserve"> </w:t>
      </w:r>
      <w:r>
        <w:rPr>
          <w:i/>
          <w:iCs/>
        </w:rPr>
        <w:t>Id.</w:t>
      </w:r>
      <w:r>
        <w:t>, Staff Report (May 10, 2019) at 7-8.</w:t>
      </w:r>
    </w:p>
  </w:footnote>
  <w:footnote w:id="5">
    <w:p w14:paraId="63515716" w14:textId="77777777" w:rsidR="004D6856" w:rsidRDefault="00E34A09" w:rsidP="002525BE">
      <w:pPr>
        <w:pStyle w:val="FootnoteText"/>
      </w:pPr>
      <w:r>
        <w:rPr>
          <w:rStyle w:val="FootnoteReference"/>
        </w:rPr>
        <w:footnoteRef/>
      </w:r>
      <w:r>
        <w:t xml:space="preserve"> Entry (November 14, 2018), ¶17.</w:t>
      </w:r>
    </w:p>
  </w:footnote>
  <w:footnote w:id="6">
    <w:p w14:paraId="4286D3A3" w14:textId="77777777" w:rsidR="0057191E" w:rsidRDefault="00E34A09" w:rsidP="0057191E">
      <w:pPr>
        <w:pStyle w:val="FootnoteText"/>
      </w:pPr>
      <w:r>
        <w:rPr>
          <w:rStyle w:val="FootnoteReference"/>
        </w:rPr>
        <w:footnoteRef/>
      </w:r>
      <w:r>
        <w:t xml:space="preserve"> Ohio Adm. Code 4901:1-21-06(D)(1)(h) (electric) and Ohio Adm. Code 4901:1-29(D)(6)(b) (natural gas).</w:t>
      </w:r>
    </w:p>
  </w:footnote>
  <w:footnote w:id="7">
    <w:p w14:paraId="4971FC97" w14:textId="77777777" w:rsidR="0057191E" w:rsidRDefault="00E34A09" w:rsidP="0057191E">
      <w:pPr>
        <w:pStyle w:val="FootnoteText"/>
      </w:pPr>
      <w:r>
        <w:rPr>
          <w:rStyle w:val="FootnoteReference"/>
        </w:rPr>
        <w:footnoteRef/>
      </w:r>
      <w:r>
        <w:t xml:space="preserve"> </w:t>
      </w:r>
      <w:r>
        <w:rPr>
          <w:i/>
        </w:rPr>
        <w:t xml:space="preserve">See </w:t>
      </w:r>
      <w:hyperlink r:id="rId1" w:history="1">
        <w:r w:rsidRPr="00F36024">
          <w:rPr>
            <w:rStyle w:val="Hyperlink"/>
          </w:rPr>
          <w:t>https://www.chooseenergy.com/blog/deregulation/door-to-door-en</w:t>
        </w:r>
        <w:r w:rsidRPr="00F36024">
          <w:rPr>
            <w:rStyle w:val="Hyperlink"/>
          </w:rPr>
          <w:t>ergy-scam/</w:t>
        </w:r>
      </w:hyperlink>
      <w:r>
        <w:t xml:space="preserve">; </w:t>
      </w:r>
      <w:hyperlink r:id="rId2" w:history="1">
        <w:r>
          <w:rPr>
            <w:rStyle w:val="Hyperlink"/>
          </w:rPr>
          <w:t>https://www.dispatch.com/article/20140615/NEWS/306159950</w:t>
        </w:r>
      </w:hyperlink>
      <w:r>
        <w:rPr>
          <w:rStyle w:val="Hyperlink"/>
        </w:rPr>
        <w:t>.</w:t>
      </w:r>
    </w:p>
  </w:footnote>
  <w:footnote w:id="8">
    <w:p w14:paraId="34F407AB" w14:textId="77777777" w:rsidR="00FC7BF1" w:rsidRDefault="00E34A09">
      <w:pPr>
        <w:pStyle w:val="FootnoteText"/>
      </w:pPr>
      <w:r>
        <w:rPr>
          <w:rStyle w:val="FootnoteReference"/>
        </w:rPr>
        <w:footnoteRef/>
      </w:r>
      <w:r>
        <w:t xml:space="preserve"> R.C. 4928.10; R.C. 4929.22.</w:t>
      </w:r>
    </w:p>
  </w:footnote>
  <w:footnote w:id="9">
    <w:p w14:paraId="10D70AA8" w14:textId="77777777" w:rsidR="00EF3AD3" w:rsidRDefault="00E34A09" w:rsidP="00665692">
      <w:pPr>
        <w:pStyle w:val="FootnoteText"/>
      </w:pPr>
      <w:r>
        <w:rPr>
          <w:rStyle w:val="FootnoteReference"/>
        </w:rPr>
        <w:footnoteRef/>
      </w:r>
      <w:r>
        <w:t xml:space="preserve"> </w:t>
      </w:r>
      <w:r w:rsidRPr="006B2386">
        <w:rPr>
          <w:i/>
        </w:rPr>
        <w:t>See</w:t>
      </w:r>
      <w:r>
        <w:t xml:space="preserve"> </w:t>
      </w:r>
      <w:r w:rsidRPr="002D1E2E">
        <w:rPr>
          <w:i/>
        </w:rPr>
        <w:t>In the Matter of the Com</w:t>
      </w:r>
      <w:r>
        <w:rPr>
          <w:i/>
        </w:rPr>
        <w:t>mission’s Review of I</w:t>
      </w:r>
      <w:r w:rsidRPr="002D1E2E">
        <w:rPr>
          <w:i/>
        </w:rPr>
        <w:t>ts Rules for Competitive Reta</w:t>
      </w:r>
      <w:r w:rsidRPr="002D1E2E">
        <w:rPr>
          <w:i/>
        </w:rPr>
        <w:t>il Natural Gas Service Contained in Chapters 4901:1-227 through 4901:1-34 of the Ohio Administrative Code</w:t>
      </w:r>
      <w:r>
        <w:t xml:space="preserve">, </w:t>
      </w:r>
      <w:r w:rsidRPr="00721E1B">
        <w:t>Case No. 12-925-GA-ORD</w:t>
      </w:r>
      <w:r>
        <w:t>, Entry on Rehearing (January 17, 2014).</w:t>
      </w:r>
    </w:p>
  </w:footnote>
  <w:footnote w:id="10">
    <w:p w14:paraId="24C09936" w14:textId="77777777" w:rsidR="002A00E7" w:rsidRDefault="00E34A09" w:rsidP="002A00E7">
      <w:pPr>
        <w:pStyle w:val="FootnoteText"/>
      </w:pPr>
      <w:r>
        <w:rPr>
          <w:rStyle w:val="FootnoteReference"/>
        </w:rPr>
        <w:footnoteRef/>
      </w:r>
      <w:r>
        <w:t xml:space="preserve"> Ohio Adm. Code 4901:1-21-06(D)(1)(h)(ii); Ohio Adm. Code 4901:1-29(D)(6)(b)(ii).</w:t>
      </w:r>
    </w:p>
  </w:footnote>
  <w:footnote w:id="11">
    <w:p w14:paraId="0BC27FB7" w14:textId="77777777" w:rsidR="002B2B20" w:rsidRDefault="00E34A09" w:rsidP="00665692">
      <w:pPr>
        <w:pStyle w:val="FootnoteText"/>
      </w:pPr>
      <w:r>
        <w:rPr>
          <w:rStyle w:val="FootnoteReference"/>
        </w:rPr>
        <w:footnoteRef/>
      </w:r>
      <w:r>
        <w:t xml:space="preserve"> I</w:t>
      </w:r>
      <w:r>
        <w:t>n this instance, the Entry orders that AEP Energy’s application be granted and thus serves the same purpose as a PUCO order.</w:t>
      </w:r>
    </w:p>
  </w:footnote>
  <w:footnote w:id="12">
    <w:p w14:paraId="3FAA53D1" w14:textId="77777777" w:rsidR="00520B7B" w:rsidRPr="005D3555" w:rsidRDefault="00E34A09" w:rsidP="00520B7B">
      <w:pPr>
        <w:pStyle w:val="FootnoteText"/>
        <w:rPr>
          <w:i/>
          <w:iCs/>
        </w:rPr>
      </w:pPr>
      <w:r>
        <w:rPr>
          <w:rStyle w:val="FootnoteReference"/>
        </w:rPr>
        <w:footnoteRef/>
      </w:r>
      <w:r>
        <w:t xml:space="preserve"> </w:t>
      </w:r>
      <w:r>
        <w:rPr>
          <w:i/>
          <w:iCs/>
        </w:rPr>
        <w:t>See, e.g</w:t>
      </w:r>
      <w:r w:rsidRPr="00A92391">
        <w:rPr>
          <w:i/>
          <w:iCs/>
        </w:rPr>
        <w:t>., In the matter of the Commission</w:t>
      </w:r>
      <w:r>
        <w:rPr>
          <w:i/>
          <w:iCs/>
        </w:rPr>
        <w:t>’</w:t>
      </w:r>
      <w:r w:rsidRPr="00A92391">
        <w:rPr>
          <w:i/>
          <w:iCs/>
        </w:rPr>
        <w:t xml:space="preserve">s </w:t>
      </w:r>
      <w:r>
        <w:rPr>
          <w:i/>
          <w:iCs/>
        </w:rPr>
        <w:t>I</w:t>
      </w:r>
      <w:r w:rsidRPr="00A92391">
        <w:rPr>
          <w:i/>
          <w:iCs/>
        </w:rPr>
        <w:t>nvestigation of the Customer Choice Program of Columbia Gas of Ohio, Inc.</w:t>
      </w:r>
      <w:r>
        <w:t xml:space="preserve">, </w:t>
      </w:r>
      <w:r>
        <w:t>Finding and Order (December 2, 1999) at 7-8.</w:t>
      </w:r>
    </w:p>
  </w:footnote>
  <w:footnote w:id="13">
    <w:p w14:paraId="045E4595" w14:textId="77777777" w:rsidR="00520B7B" w:rsidRPr="005D3555" w:rsidRDefault="00E34A09">
      <w:pPr>
        <w:pStyle w:val="FootnoteText"/>
        <w:rPr>
          <w:i/>
          <w:iCs/>
        </w:rPr>
      </w:pPr>
      <w:r>
        <w:rPr>
          <w:rStyle w:val="FootnoteReference"/>
        </w:rPr>
        <w:footnoteRef/>
      </w:r>
      <w:r>
        <w:t xml:space="preserve"> Entry, ¶12.</w:t>
      </w:r>
    </w:p>
  </w:footnote>
  <w:footnote w:id="14">
    <w:p w14:paraId="2FA011A3" w14:textId="77777777" w:rsidR="00B200C3" w:rsidRDefault="00E34A09" w:rsidP="00B200C3">
      <w:pPr>
        <w:pStyle w:val="FootnoteText"/>
      </w:pPr>
      <w:r>
        <w:rPr>
          <w:rStyle w:val="FootnoteReference"/>
        </w:rPr>
        <w:footnoteRef/>
      </w:r>
      <w:r>
        <w:t xml:space="preserve"> Application at 5.</w:t>
      </w:r>
    </w:p>
  </w:footnote>
  <w:footnote w:id="15">
    <w:p w14:paraId="2AD17002" w14:textId="77777777" w:rsidR="00B200C3" w:rsidRPr="00353F90" w:rsidRDefault="00E34A09" w:rsidP="00B200C3">
      <w:pPr>
        <w:pStyle w:val="FootnoteText"/>
      </w:pPr>
      <w:r>
        <w:rPr>
          <w:rStyle w:val="FootnoteReference"/>
        </w:rPr>
        <w:footnoteRef/>
      </w:r>
      <w:r>
        <w:t xml:space="preserve"> </w:t>
      </w:r>
      <w:r w:rsidRPr="00EE1574">
        <w:rPr>
          <w:i/>
        </w:rPr>
        <w:t>Id</w:t>
      </w:r>
      <w:r>
        <w:t>. The customer apparently is expected to answer “yes” to all the questions. If the customer responds with a “no,” “a pop-out window would appear with a further explanation o</w:t>
      </w:r>
      <w:r>
        <w:t xml:space="preserve">f the question and an invitation to change the response if desired.” </w:t>
      </w:r>
      <w:r>
        <w:rPr>
          <w:i/>
        </w:rPr>
        <w:t>Id.</w:t>
      </w:r>
      <w:r>
        <w:t xml:space="preserve"> at 6.</w:t>
      </w:r>
    </w:p>
  </w:footnote>
  <w:footnote w:id="16">
    <w:p w14:paraId="3FC2D5BE" w14:textId="77777777" w:rsidR="00B200C3" w:rsidRDefault="00E34A09" w:rsidP="00B200C3">
      <w:pPr>
        <w:pStyle w:val="FootnoteText"/>
      </w:pPr>
      <w:r>
        <w:rPr>
          <w:rStyle w:val="FootnoteReference"/>
        </w:rPr>
        <w:footnoteRef/>
      </w:r>
      <w:r>
        <w:t xml:space="preserve"> </w:t>
      </w:r>
      <w:r w:rsidRPr="00EE1574">
        <w:rPr>
          <w:i/>
        </w:rPr>
        <w:t>Id</w:t>
      </w:r>
      <w:r>
        <w:rPr>
          <w:i/>
        </w:rPr>
        <w:t>.</w:t>
      </w:r>
      <w:r>
        <w:t xml:space="preserve"> at 5-6.</w:t>
      </w:r>
    </w:p>
  </w:footnote>
  <w:footnote w:id="17">
    <w:p w14:paraId="308EABC5" w14:textId="77777777" w:rsidR="0045418D" w:rsidRPr="0045418D" w:rsidRDefault="00E34A09">
      <w:pPr>
        <w:pStyle w:val="FootnoteText"/>
      </w:pPr>
      <w:r>
        <w:rPr>
          <w:rStyle w:val="FootnoteReference"/>
        </w:rPr>
        <w:footnoteRef/>
      </w:r>
      <w:r>
        <w:t xml:space="preserve"> </w:t>
      </w:r>
      <w:r>
        <w:rPr>
          <w:i/>
          <w:iCs/>
        </w:rPr>
        <w:t>See</w:t>
      </w:r>
      <w:r>
        <w:t xml:space="preserve"> Ohio Adm. Code 4901:1-29-06(E)(1)(f).</w:t>
      </w:r>
    </w:p>
  </w:footnote>
  <w:footnote w:id="18">
    <w:p w14:paraId="6C6084EC" w14:textId="77777777" w:rsidR="00CC73ED" w:rsidRDefault="00E34A09">
      <w:pPr>
        <w:pStyle w:val="FootnoteText"/>
      </w:pPr>
      <w:r>
        <w:rPr>
          <w:rStyle w:val="FootnoteReference"/>
        </w:rPr>
        <w:footnoteRef/>
      </w:r>
      <w:r>
        <w:t xml:space="preserve"> Ohio Adm. Code 4901:1-29-06(D)(6)(b)(ii).</w:t>
      </w:r>
    </w:p>
  </w:footnote>
  <w:footnote w:id="19">
    <w:p w14:paraId="4DD84234" w14:textId="77777777" w:rsidR="00CC73ED" w:rsidRPr="00A92391" w:rsidRDefault="00E34A09">
      <w:pPr>
        <w:pStyle w:val="FootnoteText"/>
      </w:pPr>
      <w:r>
        <w:rPr>
          <w:rStyle w:val="FootnoteReference"/>
        </w:rPr>
        <w:footnoteRef/>
      </w:r>
      <w:r>
        <w:t xml:space="preserve"> </w:t>
      </w:r>
      <w:r>
        <w:rPr>
          <w:i/>
          <w:iCs/>
        </w:rPr>
        <w:t>See</w:t>
      </w:r>
      <w:r>
        <w:t xml:space="preserve"> Application at 6.</w:t>
      </w:r>
    </w:p>
  </w:footnote>
  <w:footnote w:id="20">
    <w:p w14:paraId="7C709117" w14:textId="77777777" w:rsidR="00137BEC" w:rsidRDefault="00E34A09" w:rsidP="00137BEC">
      <w:pPr>
        <w:pStyle w:val="FootnoteText"/>
      </w:pPr>
      <w:r>
        <w:rPr>
          <w:rStyle w:val="FootnoteReference"/>
        </w:rPr>
        <w:footnoteRef/>
      </w:r>
      <w:r>
        <w:t xml:space="preserve"> </w:t>
      </w:r>
      <w:r>
        <w:rPr>
          <w:i/>
        </w:rPr>
        <w:t>Id.</w:t>
      </w:r>
      <w:r>
        <w:t xml:space="preserve"> at 7.</w:t>
      </w:r>
    </w:p>
  </w:footnote>
  <w:footnote w:id="21">
    <w:p w14:paraId="057B1526" w14:textId="77777777" w:rsidR="00137BEC" w:rsidRDefault="00E34A09" w:rsidP="00137BEC">
      <w:pPr>
        <w:pStyle w:val="FootnoteText"/>
      </w:pPr>
      <w:r>
        <w:rPr>
          <w:rStyle w:val="FootnoteReference"/>
        </w:rPr>
        <w:footnoteRef/>
      </w:r>
      <w:r>
        <w:t xml:space="preserve"> Ohio Adm. Code 4901:1-29-06(D)(6)(b).</w:t>
      </w:r>
    </w:p>
  </w:footnote>
  <w:footnote w:id="22">
    <w:p w14:paraId="5DE6F499" w14:textId="77777777" w:rsidR="00137BEC" w:rsidRDefault="00E34A09" w:rsidP="00137BEC">
      <w:pPr>
        <w:pStyle w:val="FootnoteText"/>
      </w:pPr>
      <w:r>
        <w:rPr>
          <w:rStyle w:val="FootnoteReference"/>
        </w:rPr>
        <w:footnoteRef/>
      </w:r>
      <w:r>
        <w:t xml:space="preserve"> Ohio Adm. Code 4901:1-29-06(E)(1)(f).</w:t>
      </w:r>
    </w:p>
  </w:footnote>
  <w:footnote w:id="23">
    <w:p w14:paraId="0042685A" w14:textId="77777777" w:rsidR="00137BEC" w:rsidRPr="0086649C" w:rsidRDefault="00E34A09" w:rsidP="00137BEC">
      <w:pPr>
        <w:pStyle w:val="FootnoteText"/>
      </w:pPr>
      <w:r>
        <w:rPr>
          <w:rStyle w:val="FootnoteReference"/>
        </w:rPr>
        <w:footnoteRef/>
      </w:r>
      <w:r>
        <w:t xml:space="preserve"> </w:t>
      </w:r>
      <w:r>
        <w:rPr>
          <w:iCs/>
        </w:rPr>
        <w:t>Application</w:t>
      </w:r>
      <w:r>
        <w:t xml:space="preserve"> at 6.</w:t>
      </w:r>
    </w:p>
  </w:footnote>
  <w:footnote w:id="24">
    <w:p w14:paraId="0EAA0536" w14:textId="77777777" w:rsidR="00137BEC" w:rsidRPr="0086649C" w:rsidRDefault="00E34A09" w:rsidP="00137BEC">
      <w:pPr>
        <w:pStyle w:val="FootnoteText"/>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C5E44" w14:textId="77777777" w:rsidR="00B702A2" w:rsidRDefault="00E34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1E033" w14:textId="77777777" w:rsidR="00A044B5" w:rsidRDefault="00E34A0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7FF1E" w14:textId="77777777" w:rsidR="00B702A2" w:rsidRDefault="00E34A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59905" w14:textId="77777777" w:rsidR="004A14AF" w:rsidRDefault="00E34A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15662" w14:textId="77777777" w:rsidR="004A14AF" w:rsidRDefault="00E34A09">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654B9" w14:textId="77777777" w:rsidR="004A14AF" w:rsidRDefault="00E34A0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13809" w14:textId="77777777" w:rsidR="00405A9F" w:rsidRDefault="00E34A0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796B" w14:textId="77777777" w:rsidR="00405A9F" w:rsidRDefault="00E34A0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9D94" w14:textId="77777777" w:rsidR="00405A9F" w:rsidRDefault="00E34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E47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0C8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7BADB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4EB9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8EE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2486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2C2F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1693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9689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FEB0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C3175"/>
    <w:multiLevelType w:val="hybridMultilevel"/>
    <w:tmpl w:val="0A14F7A2"/>
    <w:lvl w:ilvl="0" w:tplc="EBD870F4">
      <w:start w:val="1"/>
      <w:numFmt w:val="decimal"/>
      <w:lvlText w:val="%1."/>
      <w:lvlJc w:val="left"/>
      <w:pPr>
        <w:ind w:left="1440" w:hanging="360"/>
      </w:pPr>
    </w:lvl>
    <w:lvl w:ilvl="1" w:tplc="C388B28A" w:tentative="1">
      <w:start w:val="1"/>
      <w:numFmt w:val="lowerLetter"/>
      <w:lvlText w:val="%2."/>
      <w:lvlJc w:val="left"/>
      <w:pPr>
        <w:ind w:left="2160" w:hanging="360"/>
      </w:pPr>
    </w:lvl>
    <w:lvl w:ilvl="2" w:tplc="F000B848" w:tentative="1">
      <w:start w:val="1"/>
      <w:numFmt w:val="lowerRoman"/>
      <w:lvlText w:val="%3."/>
      <w:lvlJc w:val="right"/>
      <w:pPr>
        <w:ind w:left="2880" w:hanging="180"/>
      </w:pPr>
    </w:lvl>
    <w:lvl w:ilvl="3" w:tplc="4454BEE8" w:tentative="1">
      <w:start w:val="1"/>
      <w:numFmt w:val="decimal"/>
      <w:lvlText w:val="%4."/>
      <w:lvlJc w:val="left"/>
      <w:pPr>
        <w:ind w:left="3600" w:hanging="360"/>
      </w:pPr>
    </w:lvl>
    <w:lvl w:ilvl="4" w:tplc="4E8236DE" w:tentative="1">
      <w:start w:val="1"/>
      <w:numFmt w:val="lowerLetter"/>
      <w:lvlText w:val="%5."/>
      <w:lvlJc w:val="left"/>
      <w:pPr>
        <w:ind w:left="4320" w:hanging="360"/>
      </w:pPr>
    </w:lvl>
    <w:lvl w:ilvl="5" w:tplc="5936BE0C" w:tentative="1">
      <w:start w:val="1"/>
      <w:numFmt w:val="lowerRoman"/>
      <w:lvlText w:val="%6."/>
      <w:lvlJc w:val="right"/>
      <w:pPr>
        <w:ind w:left="5040" w:hanging="180"/>
      </w:pPr>
    </w:lvl>
    <w:lvl w:ilvl="6" w:tplc="46A8E8B0" w:tentative="1">
      <w:start w:val="1"/>
      <w:numFmt w:val="decimal"/>
      <w:lvlText w:val="%7."/>
      <w:lvlJc w:val="left"/>
      <w:pPr>
        <w:ind w:left="5760" w:hanging="360"/>
      </w:pPr>
    </w:lvl>
    <w:lvl w:ilvl="7" w:tplc="38E2BE28" w:tentative="1">
      <w:start w:val="1"/>
      <w:numFmt w:val="lowerLetter"/>
      <w:lvlText w:val="%8."/>
      <w:lvlJc w:val="left"/>
      <w:pPr>
        <w:ind w:left="6480" w:hanging="360"/>
      </w:pPr>
    </w:lvl>
    <w:lvl w:ilvl="8" w:tplc="A5B82E04" w:tentative="1">
      <w:start w:val="1"/>
      <w:numFmt w:val="lowerRoman"/>
      <w:lvlText w:val="%9."/>
      <w:lvlJc w:val="right"/>
      <w:pPr>
        <w:ind w:left="7200" w:hanging="180"/>
      </w:pPr>
    </w:lvl>
  </w:abstractNum>
  <w:abstractNum w:abstractNumId="11" w15:restartNumberingAfterBreak="0">
    <w:nsid w:val="04060102"/>
    <w:multiLevelType w:val="hybridMultilevel"/>
    <w:tmpl w:val="B868EB74"/>
    <w:lvl w:ilvl="0" w:tplc="EEA4C306">
      <w:start w:val="1"/>
      <w:numFmt w:val="bullet"/>
      <w:lvlText w:val=""/>
      <w:lvlJc w:val="left"/>
      <w:pPr>
        <w:ind w:left="360" w:hanging="360"/>
      </w:pPr>
      <w:rPr>
        <w:rFonts w:ascii="Symbol" w:hAnsi="Symbol" w:hint="default"/>
      </w:rPr>
    </w:lvl>
    <w:lvl w:ilvl="1" w:tplc="5378B9D0" w:tentative="1">
      <w:start w:val="1"/>
      <w:numFmt w:val="bullet"/>
      <w:lvlText w:val="o"/>
      <w:lvlJc w:val="left"/>
      <w:pPr>
        <w:ind w:left="1080" w:hanging="360"/>
      </w:pPr>
      <w:rPr>
        <w:rFonts w:ascii="Courier New" w:hAnsi="Courier New" w:cs="Courier New" w:hint="default"/>
      </w:rPr>
    </w:lvl>
    <w:lvl w:ilvl="2" w:tplc="1AE8790E" w:tentative="1">
      <w:start w:val="1"/>
      <w:numFmt w:val="bullet"/>
      <w:lvlText w:val=""/>
      <w:lvlJc w:val="left"/>
      <w:pPr>
        <w:ind w:left="1800" w:hanging="360"/>
      </w:pPr>
      <w:rPr>
        <w:rFonts w:ascii="Wingdings" w:hAnsi="Wingdings" w:hint="default"/>
      </w:rPr>
    </w:lvl>
    <w:lvl w:ilvl="3" w:tplc="899ED76A" w:tentative="1">
      <w:start w:val="1"/>
      <w:numFmt w:val="bullet"/>
      <w:lvlText w:val=""/>
      <w:lvlJc w:val="left"/>
      <w:pPr>
        <w:ind w:left="2520" w:hanging="360"/>
      </w:pPr>
      <w:rPr>
        <w:rFonts w:ascii="Symbol" w:hAnsi="Symbol" w:hint="default"/>
      </w:rPr>
    </w:lvl>
    <w:lvl w:ilvl="4" w:tplc="77A80618" w:tentative="1">
      <w:start w:val="1"/>
      <w:numFmt w:val="bullet"/>
      <w:lvlText w:val="o"/>
      <w:lvlJc w:val="left"/>
      <w:pPr>
        <w:ind w:left="3240" w:hanging="360"/>
      </w:pPr>
      <w:rPr>
        <w:rFonts w:ascii="Courier New" w:hAnsi="Courier New" w:cs="Courier New" w:hint="default"/>
      </w:rPr>
    </w:lvl>
    <w:lvl w:ilvl="5" w:tplc="3E6E76C0" w:tentative="1">
      <w:start w:val="1"/>
      <w:numFmt w:val="bullet"/>
      <w:lvlText w:val=""/>
      <w:lvlJc w:val="left"/>
      <w:pPr>
        <w:ind w:left="3960" w:hanging="360"/>
      </w:pPr>
      <w:rPr>
        <w:rFonts w:ascii="Wingdings" w:hAnsi="Wingdings" w:hint="default"/>
      </w:rPr>
    </w:lvl>
    <w:lvl w:ilvl="6" w:tplc="46B4F338" w:tentative="1">
      <w:start w:val="1"/>
      <w:numFmt w:val="bullet"/>
      <w:lvlText w:val=""/>
      <w:lvlJc w:val="left"/>
      <w:pPr>
        <w:ind w:left="4680" w:hanging="360"/>
      </w:pPr>
      <w:rPr>
        <w:rFonts w:ascii="Symbol" w:hAnsi="Symbol" w:hint="default"/>
      </w:rPr>
    </w:lvl>
    <w:lvl w:ilvl="7" w:tplc="728E3E24" w:tentative="1">
      <w:start w:val="1"/>
      <w:numFmt w:val="bullet"/>
      <w:lvlText w:val="o"/>
      <w:lvlJc w:val="left"/>
      <w:pPr>
        <w:ind w:left="5400" w:hanging="360"/>
      </w:pPr>
      <w:rPr>
        <w:rFonts w:ascii="Courier New" w:hAnsi="Courier New" w:cs="Courier New" w:hint="default"/>
      </w:rPr>
    </w:lvl>
    <w:lvl w:ilvl="8" w:tplc="36C2344E" w:tentative="1">
      <w:start w:val="1"/>
      <w:numFmt w:val="bullet"/>
      <w:lvlText w:val=""/>
      <w:lvlJc w:val="left"/>
      <w:pPr>
        <w:ind w:left="6120" w:hanging="360"/>
      </w:pPr>
      <w:rPr>
        <w:rFonts w:ascii="Wingdings" w:hAnsi="Wingdings" w:hint="default"/>
      </w:rPr>
    </w:lvl>
  </w:abstractNum>
  <w:abstractNum w:abstractNumId="12" w15:restartNumberingAfterBreak="0">
    <w:nsid w:val="0B52698C"/>
    <w:multiLevelType w:val="hybridMultilevel"/>
    <w:tmpl w:val="FCCA6836"/>
    <w:lvl w:ilvl="0" w:tplc="9C1E9F2C">
      <w:start w:val="1"/>
      <w:numFmt w:val="decimal"/>
      <w:lvlText w:val="%1."/>
      <w:lvlJc w:val="left"/>
      <w:pPr>
        <w:tabs>
          <w:tab w:val="num" w:pos="720"/>
        </w:tabs>
        <w:ind w:left="720" w:hanging="360"/>
      </w:pPr>
      <w:rPr>
        <w:rFonts w:hint="default"/>
      </w:rPr>
    </w:lvl>
    <w:lvl w:ilvl="1" w:tplc="D02848D6" w:tentative="1">
      <w:start w:val="1"/>
      <w:numFmt w:val="lowerLetter"/>
      <w:lvlText w:val="%2."/>
      <w:lvlJc w:val="left"/>
      <w:pPr>
        <w:tabs>
          <w:tab w:val="num" w:pos="1440"/>
        </w:tabs>
        <w:ind w:left="1440" w:hanging="360"/>
      </w:pPr>
    </w:lvl>
    <w:lvl w:ilvl="2" w:tplc="8724D010" w:tentative="1">
      <w:start w:val="1"/>
      <w:numFmt w:val="lowerRoman"/>
      <w:lvlText w:val="%3."/>
      <w:lvlJc w:val="right"/>
      <w:pPr>
        <w:tabs>
          <w:tab w:val="num" w:pos="2160"/>
        </w:tabs>
        <w:ind w:left="2160" w:hanging="180"/>
      </w:pPr>
    </w:lvl>
    <w:lvl w:ilvl="3" w:tplc="826AA774" w:tentative="1">
      <w:start w:val="1"/>
      <w:numFmt w:val="decimal"/>
      <w:lvlText w:val="%4."/>
      <w:lvlJc w:val="left"/>
      <w:pPr>
        <w:tabs>
          <w:tab w:val="num" w:pos="2880"/>
        </w:tabs>
        <w:ind w:left="2880" w:hanging="360"/>
      </w:pPr>
    </w:lvl>
    <w:lvl w:ilvl="4" w:tplc="BEAE8AE8" w:tentative="1">
      <w:start w:val="1"/>
      <w:numFmt w:val="lowerLetter"/>
      <w:lvlText w:val="%5."/>
      <w:lvlJc w:val="left"/>
      <w:pPr>
        <w:tabs>
          <w:tab w:val="num" w:pos="3600"/>
        </w:tabs>
        <w:ind w:left="3600" w:hanging="360"/>
      </w:pPr>
    </w:lvl>
    <w:lvl w:ilvl="5" w:tplc="8968F226" w:tentative="1">
      <w:start w:val="1"/>
      <w:numFmt w:val="lowerRoman"/>
      <w:lvlText w:val="%6."/>
      <w:lvlJc w:val="right"/>
      <w:pPr>
        <w:tabs>
          <w:tab w:val="num" w:pos="4320"/>
        </w:tabs>
        <w:ind w:left="4320" w:hanging="180"/>
      </w:pPr>
    </w:lvl>
    <w:lvl w:ilvl="6" w:tplc="5ADAC46E" w:tentative="1">
      <w:start w:val="1"/>
      <w:numFmt w:val="decimal"/>
      <w:lvlText w:val="%7."/>
      <w:lvlJc w:val="left"/>
      <w:pPr>
        <w:tabs>
          <w:tab w:val="num" w:pos="5040"/>
        </w:tabs>
        <w:ind w:left="5040" w:hanging="360"/>
      </w:pPr>
    </w:lvl>
    <w:lvl w:ilvl="7" w:tplc="2BEC6CE4" w:tentative="1">
      <w:start w:val="1"/>
      <w:numFmt w:val="lowerLetter"/>
      <w:lvlText w:val="%8."/>
      <w:lvlJc w:val="left"/>
      <w:pPr>
        <w:tabs>
          <w:tab w:val="num" w:pos="5760"/>
        </w:tabs>
        <w:ind w:left="5760" w:hanging="360"/>
      </w:pPr>
    </w:lvl>
    <w:lvl w:ilvl="8" w:tplc="C98ECE76" w:tentative="1">
      <w:start w:val="1"/>
      <w:numFmt w:val="lowerRoman"/>
      <w:lvlText w:val="%9."/>
      <w:lvlJc w:val="right"/>
      <w:pPr>
        <w:tabs>
          <w:tab w:val="num" w:pos="6480"/>
        </w:tabs>
        <w:ind w:left="6480" w:hanging="180"/>
      </w:pPr>
    </w:lvl>
  </w:abstractNum>
  <w:abstractNum w:abstractNumId="13" w15:restartNumberingAfterBreak="0">
    <w:nsid w:val="23DA1E37"/>
    <w:multiLevelType w:val="hybridMultilevel"/>
    <w:tmpl w:val="846EE1C2"/>
    <w:lvl w:ilvl="0" w:tplc="A4BC4DEC">
      <w:start w:val="1"/>
      <w:numFmt w:val="upperRoman"/>
      <w:lvlText w:val="%1."/>
      <w:lvlJc w:val="left"/>
      <w:pPr>
        <w:ind w:left="1080" w:hanging="720"/>
      </w:pPr>
      <w:rPr>
        <w:rFonts w:hint="default"/>
        <w:b/>
      </w:rPr>
    </w:lvl>
    <w:lvl w:ilvl="1" w:tplc="E38E5510" w:tentative="1">
      <w:start w:val="1"/>
      <w:numFmt w:val="lowerLetter"/>
      <w:lvlText w:val="%2."/>
      <w:lvlJc w:val="left"/>
      <w:pPr>
        <w:ind w:left="1440" w:hanging="360"/>
      </w:pPr>
    </w:lvl>
    <w:lvl w:ilvl="2" w:tplc="B81EF8A2" w:tentative="1">
      <w:start w:val="1"/>
      <w:numFmt w:val="lowerRoman"/>
      <w:lvlText w:val="%3."/>
      <w:lvlJc w:val="right"/>
      <w:pPr>
        <w:ind w:left="2160" w:hanging="180"/>
      </w:pPr>
    </w:lvl>
    <w:lvl w:ilvl="3" w:tplc="E9424976" w:tentative="1">
      <w:start w:val="1"/>
      <w:numFmt w:val="decimal"/>
      <w:lvlText w:val="%4."/>
      <w:lvlJc w:val="left"/>
      <w:pPr>
        <w:ind w:left="2880" w:hanging="360"/>
      </w:pPr>
    </w:lvl>
    <w:lvl w:ilvl="4" w:tplc="92FC4792" w:tentative="1">
      <w:start w:val="1"/>
      <w:numFmt w:val="lowerLetter"/>
      <w:lvlText w:val="%5."/>
      <w:lvlJc w:val="left"/>
      <w:pPr>
        <w:ind w:left="3600" w:hanging="360"/>
      </w:pPr>
    </w:lvl>
    <w:lvl w:ilvl="5" w:tplc="241458CE" w:tentative="1">
      <w:start w:val="1"/>
      <w:numFmt w:val="lowerRoman"/>
      <w:lvlText w:val="%6."/>
      <w:lvlJc w:val="right"/>
      <w:pPr>
        <w:ind w:left="4320" w:hanging="180"/>
      </w:pPr>
    </w:lvl>
    <w:lvl w:ilvl="6" w:tplc="4F4CA71A" w:tentative="1">
      <w:start w:val="1"/>
      <w:numFmt w:val="decimal"/>
      <w:lvlText w:val="%7."/>
      <w:lvlJc w:val="left"/>
      <w:pPr>
        <w:ind w:left="5040" w:hanging="360"/>
      </w:pPr>
    </w:lvl>
    <w:lvl w:ilvl="7" w:tplc="FE2CAB42" w:tentative="1">
      <w:start w:val="1"/>
      <w:numFmt w:val="lowerLetter"/>
      <w:lvlText w:val="%8."/>
      <w:lvlJc w:val="left"/>
      <w:pPr>
        <w:ind w:left="5760" w:hanging="360"/>
      </w:pPr>
    </w:lvl>
    <w:lvl w:ilvl="8" w:tplc="B5C6E9E8" w:tentative="1">
      <w:start w:val="1"/>
      <w:numFmt w:val="lowerRoman"/>
      <w:lvlText w:val="%9."/>
      <w:lvlJc w:val="right"/>
      <w:pPr>
        <w:ind w:left="6480" w:hanging="180"/>
      </w:pPr>
    </w:lvl>
  </w:abstractNum>
  <w:abstractNum w:abstractNumId="14" w15:restartNumberingAfterBreak="0">
    <w:nsid w:val="2CED37DC"/>
    <w:multiLevelType w:val="hybridMultilevel"/>
    <w:tmpl w:val="CA9C47D6"/>
    <w:lvl w:ilvl="0" w:tplc="DA0207BA">
      <w:start w:val="1"/>
      <w:numFmt w:val="bullet"/>
      <w:lvlText w:val=""/>
      <w:lvlJc w:val="left"/>
      <w:pPr>
        <w:ind w:left="1440" w:hanging="360"/>
      </w:pPr>
      <w:rPr>
        <w:rFonts w:ascii="Symbol" w:hAnsi="Symbol" w:hint="default"/>
      </w:rPr>
    </w:lvl>
    <w:lvl w:ilvl="1" w:tplc="E6609AB8">
      <w:start w:val="1"/>
      <w:numFmt w:val="bullet"/>
      <w:lvlText w:val="o"/>
      <w:lvlJc w:val="left"/>
      <w:pPr>
        <w:ind w:left="2160" w:hanging="360"/>
      </w:pPr>
      <w:rPr>
        <w:rFonts w:ascii="Courier New" w:hAnsi="Courier New" w:cs="Courier New" w:hint="default"/>
      </w:rPr>
    </w:lvl>
    <w:lvl w:ilvl="2" w:tplc="1562D9CE" w:tentative="1">
      <w:start w:val="1"/>
      <w:numFmt w:val="bullet"/>
      <w:lvlText w:val=""/>
      <w:lvlJc w:val="left"/>
      <w:pPr>
        <w:ind w:left="2880" w:hanging="360"/>
      </w:pPr>
      <w:rPr>
        <w:rFonts w:ascii="Wingdings" w:hAnsi="Wingdings" w:hint="default"/>
      </w:rPr>
    </w:lvl>
    <w:lvl w:ilvl="3" w:tplc="66567626" w:tentative="1">
      <w:start w:val="1"/>
      <w:numFmt w:val="bullet"/>
      <w:lvlText w:val=""/>
      <w:lvlJc w:val="left"/>
      <w:pPr>
        <w:ind w:left="3600" w:hanging="360"/>
      </w:pPr>
      <w:rPr>
        <w:rFonts w:ascii="Symbol" w:hAnsi="Symbol" w:hint="default"/>
      </w:rPr>
    </w:lvl>
    <w:lvl w:ilvl="4" w:tplc="F1644734" w:tentative="1">
      <w:start w:val="1"/>
      <w:numFmt w:val="bullet"/>
      <w:lvlText w:val="o"/>
      <w:lvlJc w:val="left"/>
      <w:pPr>
        <w:ind w:left="4320" w:hanging="360"/>
      </w:pPr>
      <w:rPr>
        <w:rFonts w:ascii="Courier New" w:hAnsi="Courier New" w:cs="Courier New" w:hint="default"/>
      </w:rPr>
    </w:lvl>
    <w:lvl w:ilvl="5" w:tplc="F5B011FA" w:tentative="1">
      <w:start w:val="1"/>
      <w:numFmt w:val="bullet"/>
      <w:lvlText w:val=""/>
      <w:lvlJc w:val="left"/>
      <w:pPr>
        <w:ind w:left="5040" w:hanging="360"/>
      </w:pPr>
      <w:rPr>
        <w:rFonts w:ascii="Wingdings" w:hAnsi="Wingdings" w:hint="default"/>
      </w:rPr>
    </w:lvl>
    <w:lvl w:ilvl="6" w:tplc="106AFBCE" w:tentative="1">
      <w:start w:val="1"/>
      <w:numFmt w:val="bullet"/>
      <w:lvlText w:val=""/>
      <w:lvlJc w:val="left"/>
      <w:pPr>
        <w:ind w:left="5760" w:hanging="360"/>
      </w:pPr>
      <w:rPr>
        <w:rFonts w:ascii="Symbol" w:hAnsi="Symbol" w:hint="default"/>
      </w:rPr>
    </w:lvl>
    <w:lvl w:ilvl="7" w:tplc="AC8C026E" w:tentative="1">
      <w:start w:val="1"/>
      <w:numFmt w:val="bullet"/>
      <w:lvlText w:val="o"/>
      <w:lvlJc w:val="left"/>
      <w:pPr>
        <w:ind w:left="6480" w:hanging="360"/>
      </w:pPr>
      <w:rPr>
        <w:rFonts w:ascii="Courier New" w:hAnsi="Courier New" w:cs="Courier New" w:hint="default"/>
      </w:rPr>
    </w:lvl>
    <w:lvl w:ilvl="8" w:tplc="87ECDFD6" w:tentative="1">
      <w:start w:val="1"/>
      <w:numFmt w:val="bullet"/>
      <w:lvlText w:val=""/>
      <w:lvlJc w:val="left"/>
      <w:pPr>
        <w:ind w:left="7200" w:hanging="360"/>
      </w:pPr>
      <w:rPr>
        <w:rFonts w:ascii="Wingdings" w:hAnsi="Wingdings" w:hint="default"/>
      </w:rPr>
    </w:lvl>
  </w:abstractNum>
  <w:abstractNum w:abstractNumId="15" w15:restartNumberingAfterBreak="0">
    <w:nsid w:val="44CC13D8"/>
    <w:multiLevelType w:val="hybridMultilevel"/>
    <w:tmpl w:val="040CBEAA"/>
    <w:lvl w:ilvl="0" w:tplc="9E82495A">
      <w:start w:val="1"/>
      <w:numFmt w:val="bullet"/>
      <w:lvlText w:val=""/>
      <w:lvlJc w:val="left"/>
      <w:pPr>
        <w:ind w:left="1440" w:hanging="360"/>
      </w:pPr>
      <w:rPr>
        <w:rFonts w:ascii="Symbol" w:hAnsi="Symbol" w:hint="default"/>
      </w:rPr>
    </w:lvl>
    <w:lvl w:ilvl="1" w:tplc="65FA9972" w:tentative="1">
      <w:start w:val="1"/>
      <w:numFmt w:val="bullet"/>
      <w:lvlText w:val="o"/>
      <w:lvlJc w:val="left"/>
      <w:pPr>
        <w:ind w:left="2160" w:hanging="360"/>
      </w:pPr>
      <w:rPr>
        <w:rFonts w:ascii="Courier New" w:hAnsi="Courier New" w:cs="Courier New" w:hint="default"/>
      </w:rPr>
    </w:lvl>
    <w:lvl w:ilvl="2" w:tplc="43847D84" w:tentative="1">
      <w:start w:val="1"/>
      <w:numFmt w:val="bullet"/>
      <w:lvlText w:val=""/>
      <w:lvlJc w:val="left"/>
      <w:pPr>
        <w:ind w:left="2880" w:hanging="360"/>
      </w:pPr>
      <w:rPr>
        <w:rFonts w:ascii="Wingdings" w:hAnsi="Wingdings" w:hint="default"/>
      </w:rPr>
    </w:lvl>
    <w:lvl w:ilvl="3" w:tplc="B4EA05C2" w:tentative="1">
      <w:start w:val="1"/>
      <w:numFmt w:val="bullet"/>
      <w:lvlText w:val=""/>
      <w:lvlJc w:val="left"/>
      <w:pPr>
        <w:ind w:left="3600" w:hanging="360"/>
      </w:pPr>
      <w:rPr>
        <w:rFonts w:ascii="Symbol" w:hAnsi="Symbol" w:hint="default"/>
      </w:rPr>
    </w:lvl>
    <w:lvl w:ilvl="4" w:tplc="275670D0" w:tentative="1">
      <w:start w:val="1"/>
      <w:numFmt w:val="bullet"/>
      <w:lvlText w:val="o"/>
      <w:lvlJc w:val="left"/>
      <w:pPr>
        <w:ind w:left="4320" w:hanging="360"/>
      </w:pPr>
      <w:rPr>
        <w:rFonts w:ascii="Courier New" w:hAnsi="Courier New" w:cs="Courier New" w:hint="default"/>
      </w:rPr>
    </w:lvl>
    <w:lvl w:ilvl="5" w:tplc="4BF2F490" w:tentative="1">
      <w:start w:val="1"/>
      <w:numFmt w:val="bullet"/>
      <w:lvlText w:val=""/>
      <w:lvlJc w:val="left"/>
      <w:pPr>
        <w:ind w:left="5040" w:hanging="360"/>
      </w:pPr>
      <w:rPr>
        <w:rFonts w:ascii="Wingdings" w:hAnsi="Wingdings" w:hint="default"/>
      </w:rPr>
    </w:lvl>
    <w:lvl w:ilvl="6" w:tplc="D5D61254" w:tentative="1">
      <w:start w:val="1"/>
      <w:numFmt w:val="bullet"/>
      <w:lvlText w:val=""/>
      <w:lvlJc w:val="left"/>
      <w:pPr>
        <w:ind w:left="5760" w:hanging="360"/>
      </w:pPr>
      <w:rPr>
        <w:rFonts w:ascii="Symbol" w:hAnsi="Symbol" w:hint="default"/>
      </w:rPr>
    </w:lvl>
    <w:lvl w:ilvl="7" w:tplc="6AE2E454" w:tentative="1">
      <w:start w:val="1"/>
      <w:numFmt w:val="bullet"/>
      <w:lvlText w:val="o"/>
      <w:lvlJc w:val="left"/>
      <w:pPr>
        <w:ind w:left="6480" w:hanging="360"/>
      </w:pPr>
      <w:rPr>
        <w:rFonts w:ascii="Courier New" w:hAnsi="Courier New" w:cs="Courier New" w:hint="default"/>
      </w:rPr>
    </w:lvl>
    <w:lvl w:ilvl="8" w:tplc="09FC719E" w:tentative="1">
      <w:start w:val="1"/>
      <w:numFmt w:val="bullet"/>
      <w:lvlText w:val=""/>
      <w:lvlJc w:val="left"/>
      <w:pPr>
        <w:ind w:left="7200" w:hanging="360"/>
      </w:pPr>
      <w:rPr>
        <w:rFonts w:ascii="Wingdings" w:hAnsi="Wingdings" w:hint="default"/>
      </w:rPr>
    </w:lvl>
  </w:abstractNum>
  <w:abstractNum w:abstractNumId="16" w15:restartNumberingAfterBreak="0">
    <w:nsid w:val="53454FCE"/>
    <w:multiLevelType w:val="hybridMultilevel"/>
    <w:tmpl w:val="C576D4C6"/>
    <w:lvl w:ilvl="0" w:tplc="53EA9318">
      <w:start w:val="3"/>
      <w:numFmt w:val="upperRoman"/>
      <w:lvlText w:val="%1."/>
      <w:lvlJc w:val="left"/>
      <w:pPr>
        <w:tabs>
          <w:tab w:val="num" w:pos="1080"/>
        </w:tabs>
        <w:ind w:left="1080" w:hanging="720"/>
      </w:pPr>
      <w:rPr>
        <w:rFonts w:hint="default"/>
        <w:u w:val="none"/>
      </w:rPr>
    </w:lvl>
    <w:lvl w:ilvl="1" w:tplc="6C8821C6">
      <w:start w:val="1"/>
      <w:numFmt w:val="upperLetter"/>
      <w:lvlText w:val="%2."/>
      <w:lvlJc w:val="left"/>
      <w:pPr>
        <w:tabs>
          <w:tab w:val="num" w:pos="2085"/>
        </w:tabs>
        <w:ind w:left="2085" w:hanging="1005"/>
      </w:pPr>
      <w:rPr>
        <w:rFonts w:hint="default"/>
      </w:rPr>
    </w:lvl>
    <w:lvl w:ilvl="2" w:tplc="1EDC332A" w:tentative="1">
      <w:start w:val="1"/>
      <w:numFmt w:val="lowerRoman"/>
      <w:lvlText w:val="%3."/>
      <w:lvlJc w:val="right"/>
      <w:pPr>
        <w:tabs>
          <w:tab w:val="num" w:pos="2160"/>
        </w:tabs>
        <w:ind w:left="2160" w:hanging="180"/>
      </w:pPr>
    </w:lvl>
    <w:lvl w:ilvl="3" w:tplc="2778B0BE" w:tentative="1">
      <w:start w:val="1"/>
      <w:numFmt w:val="decimal"/>
      <w:lvlText w:val="%4."/>
      <w:lvlJc w:val="left"/>
      <w:pPr>
        <w:tabs>
          <w:tab w:val="num" w:pos="2880"/>
        </w:tabs>
        <w:ind w:left="2880" w:hanging="360"/>
      </w:pPr>
    </w:lvl>
    <w:lvl w:ilvl="4" w:tplc="0D1E9E64" w:tentative="1">
      <w:start w:val="1"/>
      <w:numFmt w:val="lowerLetter"/>
      <w:lvlText w:val="%5."/>
      <w:lvlJc w:val="left"/>
      <w:pPr>
        <w:tabs>
          <w:tab w:val="num" w:pos="3600"/>
        </w:tabs>
        <w:ind w:left="3600" w:hanging="360"/>
      </w:pPr>
    </w:lvl>
    <w:lvl w:ilvl="5" w:tplc="1408D4B2" w:tentative="1">
      <w:start w:val="1"/>
      <w:numFmt w:val="lowerRoman"/>
      <w:lvlText w:val="%6."/>
      <w:lvlJc w:val="right"/>
      <w:pPr>
        <w:tabs>
          <w:tab w:val="num" w:pos="4320"/>
        </w:tabs>
        <w:ind w:left="4320" w:hanging="180"/>
      </w:pPr>
    </w:lvl>
    <w:lvl w:ilvl="6" w:tplc="29C0F7D8" w:tentative="1">
      <w:start w:val="1"/>
      <w:numFmt w:val="decimal"/>
      <w:lvlText w:val="%7."/>
      <w:lvlJc w:val="left"/>
      <w:pPr>
        <w:tabs>
          <w:tab w:val="num" w:pos="5040"/>
        </w:tabs>
        <w:ind w:left="5040" w:hanging="360"/>
      </w:pPr>
    </w:lvl>
    <w:lvl w:ilvl="7" w:tplc="B248E6B6" w:tentative="1">
      <w:start w:val="1"/>
      <w:numFmt w:val="lowerLetter"/>
      <w:lvlText w:val="%8."/>
      <w:lvlJc w:val="left"/>
      <w:pPr>
        <w:tabs>
          <w:tab w:val="num" w:pos="5760"/>
        </w:tabs>
        <w:ind w:left="5760" w:hanging="360"/>
      </w:pPr>
    </w:lvl>
    <w:lvl w:ilvl="8" w:tplc="51628D04" w:tentative="1">
      <w:start w:val="1"/>
      <w:numFmt w:val="lowerRoman"/>
      <w:lvlText w:val="%9."/>
      <w:lvlJc w:val="right"/>
      <w:pPr>
        <w:tabs>
          <w:tab w:val="num" w:pos="6480"/>
        </w:tabs>
        <w:ind w:left="6480" w:hanging="180"/>
      </w:pPr>
    </w:lvl>
  </w:abstractNum>
  <w:abstractNum w:abstractNumId="17" w15:restartNumberingAfterBreak="0">
    <w:nsid w:val="5A164567"/>
    <w:multiLevelType w:val="hybridMultilevel"/>
    <w:tmpl w:val="924AB386"/>
    <w:lvl w:ilvl="0" w:tplc="7DE41E66">
      <w:start w:val="1"/>
      <w:numFmt w:val="decimal"/>
      <w:lvlText w:val="(%1)"/>
      <w:lvlJc w:val="left"/>
      <w:pPr>
        <w:tabs>
          <w:tab w:val="num" w:pos="1080"/>
        </w:tabs>
        <w:ind w:left="1080" w:hanging="360"/>
      </w:pPr>
      <w:rPr>
        <w:rFonts w:hint="default"/>
      </w:rPr>
    </w:lvl>
    <w:lvl w:ilvl="1" w:tplc="B1F20DE8" w:tentative="1">
      <w:start w:val="1"/>
      <w:numFmt w:val="lowerLetter"/>
      <w:lvlText w:val="%2."/>
      <w:lvlJc w:val="left"/>
      <w:pPr>
        <w:tabs>
          <w:tab w:val="num" w:pos="1800"/>
        </w:tabs>
        <w:ind w:left="1800" w:hanging="360"/>
      </w:pPr>
    </w:lvl>
    <w:lvl w:ilvl="2" w:tplc="CD167612" w:tentative="1">
      <w:start w:val="1"/>
      <w:numFmt w:val="lowerRoman"/>
      <w:lvlText w:val="%3."/>
      <w:lvlJc w:val="right"/>
      <w:pPr>
        <w:tabs>
          <w:tab w:val="num" w:pos="2520"/>
        </w:tabs>
        <w:ind w:left="2520" w:hanging="180"/>
      </w:pPr>
    </w:lvl>
    <w:lvl w:ilvl="3" w:tplc="22742482" w:tentative="1">
      <w:start w:val="1"/>
      <w:numFmt w:val="decimal"/>
      <w:lvlText w:val="%4."/>
      <w:lvlJc w:val="left"/>
      <w:pPr>
        <w:tabs>
          <w:tab w:val="num" w:pos="3240"/>
        </w:tabs>
        <w:ind w:left="3240" w:hanging="360"/>
      </w:pPr>
    </w:lvl>
    <w:lvl w:ilvl="4" w:tplc="D572F51C" w:tentative="1">
      <w:start w:val="1"/>
      <w:numFmt w:val="lowerLetter"/>
      <w:lvlText w:val="%5."/>
      <w:lvlJc w:val="left"/>
      <w:pPr>
        <w:tabs>
          <w:tab w:val="num" w:pos="3960"/>
        </w:tabs>
        <w:ind w:left="3960" w:hanging="360"/>
      </w:pPr>
    </w:lvl>
    <w:lvl w:ilvl="5" w:tplc="E60AABE2" w:tentative="1">
      <w:start w:val="1"/>
      <w:numFmt w:val="lowerRoman"/>
      <w:lvlText w:val="%6."/>
      <w:lvlJc w:val="right"/>
      <w:pPr>
        <w:tabs>
          <w:tab w:val="num" w:pos="4680"/>
        </w:tabs>
        <w:ind w:left="4680" w:hanging="180"/>
      </w:pPr>
    </w:lvl>
    <w:lvl w:ilvl="6" w:tplc="931E78F8" w:tentative="1">
      <w:start w:val="1"/>
      <w:numFmt w:val="decimal"/>
      <w:lvlText w:val="%7."/>
      <w:lvlJc w:val="left"/>
      <w:pPr>
        <w:tabs>
          <w:tab w:val="num" w:pos="5400"/>
        </w:tabs>
        <w:ind w:left="5400" w:hanging="360"/>
      </w:pPr>
    </w:lvl>
    <w:lvl w:ilvl="7" w:tplc="43242878" w:tentative="1">
      <w:start w:val="1"/>
      <w:numFmt w:val="lowerLetter"/>
      <w:lvlText w:val="%8."/>
      <w:lvlJc w:val="left"/>
      <w:pPr>
        <w:tabs>
          <w:tab w:val="num" w:pos="6120"/>
        </w:tabs>
        <w:ind w:left="6120" w:hanging="360"/>
      </w:pPr>
    </w:lvl>
    <w:lvl w:ilvl="8" w:tplc="C69E31D4" w:tentative="1">
      <w:start w:val="1"/>
      <w:numFmt w:val="lowerRoman"/>
      <w:lvlText w:val="%9."/>
      <w:lvlJc w:val="right"/>
      <w:pPr>
        <w:tabs>
          <w:tab w:val="num" w:pos="6840"/>
        </w:tabs>
        <w:ind w:left="6840" w:hanging="180"/>
      </w:pPr>
    </w:lvl>
  </w:abstractNum>
  <w:abstractNum w:abstractNumId="18" w15:restartNumberingAfterBreak="0">
    <w:nsid w:val="5F8249F4"/>
    <w:multiLevelType w:val="hybridMultilevel"/>
    <w:tmpl w:val="2020BA1E"/>
    <w:lvl w:ilvl="0" w:tplc="E81C10F2">
      <w:start w:val="2"/>
      <w:numFmt w:val="upperLetter"/>
      <w:lvlText w:val="%1."/>
      <w:lvlJc w:val="left"/>
      <w:pPr>
        <w:tabs>
          <w:tab w:val="num" w:pos="1440"/>
        </w:tabs>
        <w:ind w:left="1440" w:hanging="720"/>
      </w:pPr>
      <w:rPr>
        <w:rFonts w:hint="default"/>
      </w:rPr>
    </w:lvl>
    <w:lvl w:ilvl="1" w:tplc="9B523D9E">
      <w:start w:val="1"/>
      <w:numFmt w:val="decimal"/>
      <w:lvlText w:val="%2."/>
      <w:lvlJc w:val="left"/>
      <w:pPr>
        <w:tabs>
          <w:tab w:val="num" w:pos="1800"/>
        </w:tabs>
        <w:ind w:left="1800" w:hanging="360"/>
      </w:pPr>
      <w:rPr>
        <w:rFonts w:hint="default"/>
      </w:rPr>
    </w:lvl>
    <w:lvl w:ilvl="2" w:tplc="4156DE0C" w:tentative="1">
      <w:start w:val="1"/>
      <w:numFmt w:val="lowerRoman"/>
      <w:lvlText w:val="%3."/>
      <w:lvlJc w:val="right"/>
      <w:pPr>
        <w:tabs>
          <w:tab w:val="num" w:pos="2520"/>
        </w:tabs>
        <w:ind w:left="2520" w:hanging="180"/>
      </w:pPr>
    </w:lvl>
    <w:lvl w:ilvl="3" w:tplc="20640E66" w:tentative="1">
      <w:start w:val="1"/>
      <w:numFmt w:val="decimal"/>
      <w:lvlText w:val="%4."/>
      <w:lvlJc w:val="left"/>
      <w:pPr>
        <w:tabs>
          <w:tab w:val="num" w:pos="3240"/>
        </w:tabs>
        <w:ind w:left="3240" w:hanging="360"/>
      </w:pPr>
    </w:lvl>
    <w:lvl w:ilvl="4" w:tplc="E2A2EDA0" w:tentative="1">
      <w:start w:val="1"/>
      <w:numFmt w:val="lowerLetter"/>
      <w:lvlText w:val="%5."/>
      <w:lvlJc w:val="left"/>
      <w:pPr>
        <w:tabs>
          <w:tab w:val="num" w:pos="3960"/>
        </w:tabs>
        <w:ind w:left="3960" w:hanging="360"/>
      </w:pPr>
    </w:lvl>
    <w:lvl w:ilvl="5" w:tplc="C3647696" w:tentative="1">
      <w:start w:val="1"/>
      <w:numFmt w:val="lowerRoman"/>
      <w:lvlText w:val="%6."/>
      <w:lvlJc w:val="right"/>
      <w:pPr>
        <w:tabs>
          <w:tab w:val="num" w:pos="4680"/>
        </w:tabs>
        <w:ind w:left="4680" w:hanging="180"/>
      </w:pPr>
    </w:lvl>
    <w:lvl w:ilvl="6" w:tplc="DCC0346C" w:tentative="1">
      <w:start w:val="1"/>
      <w:numFmt w:val="decimal"/>
      <w:lvlText w:val="%7."/>
      <w:lvlJc w:val="left"/>
      <w:pPr>
        <w:tabs>
          <w:tab w:val="num" w:pos="5400"/>
        </w:tabs>
        <w:ind w:left="5400" w:hanging="360"/>
      </w:pPr>
    </w:lvl>
    <w:lvl w:ilvl="7" w:tplc="68A625A6" w:tentative="1">
      <w:start w:val="1"/>
      <w:numFmt w:val="lowerLetter"/>
      <w:lvlText w:val="%8."/>
      <w:lvlJc w:val="left"/>
      <w:pPr>
        <w:tabs>
          <w:tab w:val="num" w:pos="6120"/>
        </w:tabs>
        <w:ind w:left="6120" w:hanging="360"/>
      </w:pPr>
    </w:lvl>
    <w:lvl w:ilvl="8" w:tplc="985A5E46" w:tentative="1">
      <w:start w:val="1"/>
      <w:numFmt w:val="lowerRoman"/>
      <w:lvlText w:val="%9."/>
      <w:lvlJc w:val="right"/>
      <w:pPr>
        <w:tabs>
          <w:tab w:val="num" w:pos="6840"/>
        </w:tabs>
        <w:ind w:left="6840" w:hanging="180"/>
      </w:pPr>
    </w:lvl>
  </w:abstractNum>
  <w:abstractNum w:abstractNumId="19" w15:restartNumberingAfterBreak="0">
    <w:nsid w:val="62E81A6D"/>
    <w:multiLevelType w:val="hybridMultilevel"/>
    <w:tmpl w:val="BD607F5E"/>
    <w:lvl w:ilvl="0" w:tplc="D4821936">
      <w:start w:val="1"/>
      <w:numFmt w:val="upperRoman"/>
      <w:lvlText w:val="%1."/>
      <w:lvlJc w:val="left"/>
      <w:pPr>
        <w:ind w:left="1080" w:hanging="720"/>
      </w:pPr>
      <w:rPr>
        <w:rFonts w:hint="default"/>
        <w:b/>
      </w:rPr>
    </w:lvl>
    <w:lvl w:ilvl="1" w:tplc="A810F696" w:tentative="1">
      <w:start w:val="1"/>
      <w:numFmt w:val="lowerLetter"/>
      <w:lvlText w:val="%2."/>
      <w:lvlJc w:val="left"/>
      <w:pPr>
        <w:ind w:left="1440" w:hanging="360"/>
      </w:pPr>
    </w:lvl>
    <w:lvl w:ilvl="2" w:tplc="9A1C8998" w:tentative="1">
      <w:start w:val="1"/>
      <w:numFmt w:val="lowerRoman"/>
      <w:lvlText w:val="%3."/>
      <w:lvlJc w:val="right"/>
      <w:pPr>
        <w:ind w:left="2160" w:hanging="180"/>
      </w:pPr>
    </w:lvl>
    <w:lvl w:ilvl="3" w:tplc="336AE9A4" w:tentative="1">
      <w:start w:val="1"/>
      <w:numFmt w:val="decimal"/>
      <w:lvlText w:val="%4."/>
      <w:lvlJc w:val="left"/>
      <w:pPr>
        <w:ind w:left="2880" w:hanging="360"/>
      </w:pPr>
    </w:lvl>
    <w:lvl w:ilvl="4" w:tplc="D37E49FC" w:tentative="1">
      <w:start w:val="1"/>
      <w:numFmt w:val="lowerLetter"/>
      <w:lvlText w:val="%5."/>
      <w:lvlJc w:val="left"/>
      <w:pPr>
        <w:ind w:left="3600" w:hanging="360"/>
      </w:pPr>
    </w:lvl>
    <w:lvl w:ilvl="5" w:tplc="C10A4964" w:tentative="1">
      <w:start w:val="1"/>
      <w:numFmt w:val="lowerRoman"/>
      <w:lvlText w:val="%6."/>
      <w:lvlJc w:val="right"/>
      <w:pPr>
        <w:ind w:left="4320" w:hanging="180"/>
      </w:pPr>
    </w:lvl>
    <w:lvl w:ilvl="6" w:tplc="E26AA410" w:tentative="1">
      <w:start w:val="1"/>
      <w:numFmt w:val="decimal"/>
      <w:lvlText w:val="%7."/>
      <w:lvlJc w:val="left"/>
      <w:pPr>
        <w:ind w:left="5040" w:hanging="360"/>
      </w:pPr>
    </w:lvl>
    <w:lvl w:ilvl="7" w:tplc="A3B4BB36" w:tentative="1">
      <w:start w:val="1"/>
      <w:numFmt w:val="lowerLetter"/>
      <w:lvlText w:val="%8."/>
      <w:lvlJc w:val="left"/>
      <w:pPr>
        <w:ind w:left="5760" w:hanging="360"/>
      </w:pPr>
    </w:lvl>
    <w:lvl w:ilvl="8" w:tplc="9B1CFDF0" w:tentative="1">
      <w:start w:val="1"/>
      <w:numFmt w:val="lowerRoman"/>
      <w:lvlText w:val="%9."/>
      <w:lvlJc w:val="right"/>
      <w:pPr>
        <w:ind w:left="6480" w:hanging="180"/>
      </w:pPr>
    </w:lvl>
  </w:abstractNum>
  <w:abstractNum w:abstractNumId="20" w15:restartNumberingAfterBreak="0">
    <w:nsid w:val="65D27B79"/>
    <w:multiLevelType w:val="hybridMultilevel"/>
    <w:tmpl w:val="72B87570"/>
    <w:lvl w:ilvl="0" w:tplc="2884A84E">
      <w:start w:val="4"/>
      <w:numFmt w:val="decimal"/>
      <w:lvlText w:val="(%1)"/>
      <w:lvlJc w:val="left"/>
      <w:pPr>
        <w:tabs>
          <w:tab w:val="num" w:pos="1800"/>
        </w:tabs>
        <w:ind w:left="1800" w:hanging="360"/>
      </w:pPr>
      <w:rPr>
        <w:rFonts w:hint="default"/>
      </w:rPr>
    </w:lvl>
    <w:lvl w:ilvl="1" w:tplc="530EB650" w:tentative="1">
      <w:start w:val="1"/>
      <w:numFmt w:val="lowerLetter"/>
      <w:lvlText w:val="%2."/>
      <w:lvlJc w:val="left"/>
      <w:pPr>
        <w:tabs>
          <w:tab w:val="num" w:pos="2520"/>
        </w:tabs>
        <w:ind w:left="2520" w:hanging="360"/>
      </w:pPr>
    </w:lvl>
    <w:lvl w:ilvl="2" w:tplc="9A2AC028" w:tentative="1">
      <w:start w:val="1"/>
      <w:numFmt w:val="lowerRoman"/>
      <w:lvlText w:val="%3."/>
      <w:lvlJc w:val="right"/>
      <w:pPr>
        <w:tabs>
          <w:tab w:val="num" w:pos="3240"/>
        </w:tabs>
        <w:ind w:left="3240" w:hanging="180"/>
      </w:pPr>
    </w:lvl>
    <w:lvl w:ilvl="3" w:tplc="32C62D18" w:tentative="1">
      <w:start w:val="1"/>
      <w:numFmt w:val="decimal"/>
      <w:lvlText w:val="%4."/>
      <w:lvlJc w:val="left"/>
      <w:pPr>
        <w:tabs>
          <w:tab w:val="num" w:pos="3960"/>
        </w:tabs>
        <w:ind w:left="3960" w:hanging="360"/>
      </w:pPr>
    </w:lvl>
    <w:lvl w:ilvl="4" w:tplc="5BC8668C" w:tentative="1">
      <w:start w:val="1"/>
      <w:numFmt w:val="lowerLetter"/>
      <w:lvlText w:val="%5."/>
      <w:lvlJc w:val="left"/>
      <w:pPr>
        <w:tabs>
          <w:tab w:val="num" w:pos="4680"/>
        </w:tabs>
        <w:ind w:left="4680" w:hanging="360"/>
      </w:pPr>
    </w:lvl>
    <w:lvl w:ilvl="5" w:tplc="9CF6253E" w:tentative="1">
      <w:start w:val="1"/>
      <w:numFmt w:val="lowerRoman"/>
      <w:lvlText w:val="%6."/>
      <w:lvlJc w:val="right"/>
      <w:pPr>
        <w:tabs>
          <w:tab w:val="num" w:pos="5400"/>
        </w:tabs>
        <w:ind w:left="5400" w:hanging="180"/>
      </w:pPr>
    </w:lvl>
    <w:lvl w:ilvl="6" w:tplc="4016D9A0" w:tentative="1">
      <w:start w:val="1"/>
      <w:numFmt w:val="decimal"/>
      <w:lvlText w:val="%7."/>
      <w:lvlJc w:val="left"/>
      <w:pPr>
        <w:tabs>
          <w:tab w:val="num" w:pos="6120"/>
        </w:tabs>
        <w:ind w:left="6120" w:hanging="360"/>
      </w:pPr>
    </w:lvl>
    <w:lvl w:ilvl="7" w:tplc="7B2CCAB2" w:tentative="1">
      <w:start w:val="1"/>
      <w:numFmt w:val="lowerLetter"/>
      <w:lvlText w:val="%8."/>
      <w:lvlJc w:val="left"/>
      <w:pPr>
        <w:tabs>
          <w:tab w:val="num" w:pos="6840"/>
        </w:tabs>
        <w:ind w:left="6840" w:hanging="360"/>
      </w:pPr>
    </w:lvl>
    <w:lvl w:ilvl="8" w:tplc="8918BD1C" w:tentative="1">
      <w:start w:val="1"/>
      <w:numFmt w:val="lowerRoman"/>
      <w:lvlText w:val="%9."/>
      <w:lvlJc w:val="right"/>
      <w:pPr>
        <w:tabs>
          <w:tab w:val="num" w:pos="7560"/>
        </w:tabs>
        <w:ind w:left="7560" w:hanging="180"/>
      </w:pPr>
    </w:lvl>
  </w:abstractNum>
  <w:abstractNum w:abstractNumId="21" w15:restartNumberingAfterBreak="0">
    <w:nsid w:val="78B05554"/>
    <w:multiLevelType w:val="hybridMultilevel"/>
    <w:tmpl w:val="6C22C984"/>
    <w:lvl w:ilvl="0" w:tplc="1694B480">
      <w:start w:val="5"/>
      <w:numFmt w:val="decimal"/>
      <w:lvlText w:val="%1."/>
      <w:lvlJc w:val="left"/>
      <w:pPr>
        <w:tabs>
          <w:tab w:val="num" w:pos="2160"/>
        </w:tabs>
        <w:ind w:left="2160" w:hanging="720"/>
      </w:pPr>
      <w:rPr>
        <w:rFonts w:hint="default"/>
      </w:rPr>
    </w:lvl>
    <w:lvl w:ilvl="1" w:tplc="1B086A56" w:tentative="1">
      <w:start w:val="1"/>
      <w:numFmt w:val="lowerLetter"/>
      <w:lvlText w:val="%2."/>
      <w:lvlJc w:val="left"/>
      <w:pPr>
        <w:tabs>
          <w:tab w:val="num" w:pos="2520"/>
        </w:tabs>
        <w:ind w:left="2520" w:hanging="360"/>
      </w:pPr>
    </w:lvl>
    <w:lvl w:ilvl="2" w:tplc="DEC60D10" w:tentative="1">
      <w:start w:val="1"/>
      <w:numFmt w:val="lowerRoman"/>
      <w:lvlText w:val="%3."/>
      <w:lvlJc w:val="right"/>
      <w:pPr>
        <w:tabs>
          <w:tab w:val="num" w:pos="3240"/>
        </w:tabs>
        <w:ind w:left="3240" w:hanging="180"/>
      </w:pPr>
    </w:lvl>
    <w:lvl w:ilvl="3" w:tplc="890C3618" w:tentative="1">
      <w:start w:val="1"/>
      <w:numFmt w:val="decimal"/>
      <w:lvlText w:val="%4."/>
      <w:lvlJc w:val="left"/>
      <w:pPr>
        <w:tabs>
          <w:tab w:val="num" w:pos="3960"/>
        </w:tabs>
        <w:ind w:left="3960" w:hanging="360"/>
      </w:pPr>
    </w:lvl>
    <w:lvl w:ilvl="4" w:tplc="8466A414" w:tentative="1">
      <w:start w:val="1"/>
      <w:numFmt w:val="lowerLetter"/>
      <w:lvlText w:val="%5."/>
      <w:lvlJc w:val="left"/>
      <w:pPr>
        <w:tabs>
          <w:tab w:val="num" w:pos="4680"/>
        </w:tabs>
        <w:ind w:left="4680" w:hanging="360"/>
      </w:pPr>
    </w:lvl>
    <w:lvl w:ilvl="5" w:tplc="12E43010" w:tentative="1">
      <w:start w:val="1"/>
      <w:numFmt w:val="lowerRoman"/>
      <w:lvlText w:val="%6."/>
      <w:lvlJc w:val="right"/>
      <w:pPr>
        <w:tabs>
          <w:tab w:val="num" w:pos="5400"/>
        </w:tabs>
        <w:ind w:left="5400" w:hanging="180"/>
      </w:pPr>
    </w:lvl>
    <w:lvl w:ilvl="6" w:tplc="56009996" w:tentative="1">
      <w:start w:val="1"/>
      <w:numFmt w:val="decimal"/>
      <w:lvlText w:val="%7."/>
      <w:lvlJc w:val="left"/>
      <w:pPr>
        <w:tabs>
          <w:tab w:val="num" w:pos="6120"/>
        </w:tabs>
        <w:ind w:left="6120" w:hanging="360"/>
      </w:pPr>
    </w:lvl>
    <w:lvl w:ilvl="7" w:tplc="9E465FE8" w:tentative="1">
      <w:start w:val="1"/>
      <w:numFmt w:val="lowerLetter"/>
      <w:lvlText w:val="%8."/>
      <w:lvlJc w:val="left"/>
      <w:pPr>
        <w:tabs>
          <w:tab w:val="num" w:pos="6840"/>
        </w:tabs>
        <w:ind w:left="6840" w:hanging="360"/>
      </w:pPr>
    </w:lvl>
    <w:lvl w:ilvl="8" w:tplc="CA9EB762" w:tentative="1">
      <w:start w:val="1"/>
      <w:numFmt w:val="lowerRoman"/>
      <w:lvlText w:val="%9."/>
      <w:lvlJc w:val="right"/>
      <w:pPr>
        <w:tabs>
          <w:tab w:val="num" w:pos="7560"/>
        </w:tabs>
        <w:ind w:left="7560" w:hanging="180"/>
      </w:pPr>
    </w:lvl>
  </w:abstractNum>
  <w:num w:numId="1">
    <w:abstractNumId w:val="17"/>
  </w:num>
  <w:num w:numId="2">
    <w:abstractNumId w:val="16"/>
  </w:num>
  <w:num w:numId="3">
    <w:abstractNumId w:val="20"/>
  </w:num>
  <w:num w:numId="4">
    <w:abstractNumId w:val="18"/>
  </w:num>
  <w:num w:numId="5">
    <w:abstractNumId w:val="12"/>
  </w:num>
  <w:num w:numId="6">
    <w:abstractNumId w:val="21"/>
  </w:num>
  <w:num w:numId="7">
    <w:abstractNumId w:val="11"/>
  </w:num>
  <w:num w:numId="8">
    <w:abstractNumId w:val="10"/>
  </w:num>
  <w:num w:numId="9">
    <w:abstractNumId w:val="15"/>
  </w:num>
  <w:num w:numId="10">
    <w:abstractNumId w:val="14"/>
  </w:num>
  <w:num w:numId="11">
    <w:abstractNumId w:val="19"/>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03"/>
    <w:rsid w:val="00903F03"/>
    <w:rsid w:val="00E34A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B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BE"/>
    <w:rPr>
      <w:sz w:val="24"/>
    </w:rPr>
  </w:style>
  <w:style w:type="paragraph" w:styleId="Heading1">
    <w:name w:val="heading 1"/>
    <w:basedOn w:val="Normal"/>
    <w:next w:val="Normal"/>
    <w:autoRedefine/>
    <w:qFormat/>
    <w:rsid w:val="00D82CB3"/>
    <w:pPr>
      <w:keepNext/>
      <w:spacing w:after="240"/>
      <w:outlineLvl w:val="0"/>
    </w:pPr>
    <w:rPr>
      <w:rFonts w:ascii="Times New Roman Bold" w:hAnsi="Times New Roman Bold"/>
      <w:b/>
      <w:bCs/>
      <w:szCs w:val="24"/>
    </w:rPr>
  </w:style>
  <w:style w:type="paragraph" w:styleId="Heading2">
    <w:name w:val="heading 2"/>
    <w:basedOn w:val="Normal"/>
    <w:next w:val="Normal"/>
    <w:autoRedefine/>
    <w:qFormat/>
    <w:rsid w:val="00381B3E"/>
    <w:pPr>
      <w:keepNext/>
      <w:keepLines/>
      <w:widowControl w:val="0"/>
      <w:tabs>
        <w:tab w:val="left" w:pos="4320"/>
      </w:tabs>
      <w:spacing w:after="240"/>
      <w:ind w:left="1440" w:hanging="720"/>
      <w:outlineLvl w:val="1"/>
    </w:pPr>
    <w:rPr>
      <w:b/>
      <w:bCs/>
      <w:szCs w:val="24"/>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aliases w:val="Footnote Text Char Char Char,Footnote Text Char Char4 Char Char Char,Footnote Text Char1 Char,Footnote Text Char2,Footnote Text Char4 Char,Footnote Text Char4 Char Char Char,Footnote Text Char4 Char1 Char Char Char Char"/>
    <w:basedOn w:val="Normal"/>
    <w:link w:val="FootnoteTextChar"/>
    <w:uiPriority w:val="99"/>
    <w:rsid w:val="006A7166"/>
    <w:pPr>
      <w:spacing w:after="120"/>
    </w:pPr>
    <w:rPr>
      <w:sz w:val="20"/>
    </w:rPr>
  </w:style>
  <w:style w:type="character" w:styleId="FootnoteReference">
    <w:name w:val="footnote reference"/>
    <w:aliases w:val="(NECG) Footnote Reference,Appel note de bas de p,Style 12,Style 124,Style 13,Style 15,Style 17,Style 18,Style 19,Style 20,Style 28,Style 3,Style 42,Style 7,Style 8,Style 9,fr,fr1,fr2,fr3,o,o1,o2,o3"/>
    <w:uiPriority w:val="99"/>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FootnoteTextChar">
    <w:name w:val="Footnote Text Char"/>
    <w:aliases w:val="Footnote Text Char Char Char Char,Footnote Text Char Char4 Char Char Char Char,Footnote Text Char1 Char Char,Footnote Text Char2 Char1,Footnote Text Char4 Char Char1,Footnote Text Char4 Char Char Char Char"/>
    <w:link w:val="FootnoteText"/>
    <w:uiPriority w:val="99"/>
    <w:rsid w:val="006A7166"/>
  </w:style>
  <w:style w:type="character" w:customStyle="1" w:styleId="BodyTextChar">
    <w:name w:val="Body Text Char"/>
    <w:link w:val="BodyText"/>
    <w:rsid w:val="005A1BAA"/>
    <w:rPr>
      <w:sz w:val="24"/>
    </w:rPr>
  </w:style>
  <w:style w:type="character" w:customStyle="1" w:styleId="BodyTextIndentChar">
    <w:name w:val="Body Text Indent Char"/>
    <w:link w:val="BodyTextIndent"/>
    <w:rsid w:val="005A1BAA"/>
    <w:rPr>
      <w:sz w:val="24"/>
    </w:rPr>
  </w:style>
  <w:style w:type="paragraph" w:styleId="ListParagraph">
    <w:name w:val="List Paragraph"/>
    <w:basedOn w:val="Normal"/>
    <w:uiPriority w:val="34"/>
    <w:qFormat/>
    <w:rsid w:val="000218D7"/>
    <w:pPr>
      <w:spacing w:after="200" w:line="276" w:lineRule="auto"/>
      <w:ind w:left="720"/>
      <w:contextualSpacing/>
    </w:pPr>
    <w:rPr>
      <w:rFonts w:ascii="Calibri" w:eastAsia="Calibri" w:hAnsi="Calibri"/>
      <w:sz w:val="22"/>
      <w:szCs w:val="22"/>
    </w:rPr>
  </w:style>
  <w:style w:type="character" w:customStyle="1" w:styleId="FootnoteTextChar4CharChar">
    <w:name w:val="Footnote Text Char4 Char Char"/>
    <w:aliases w:val="Footnote Text Char Char4 Char Char,Footnote Text Char Char4 Char1 Char Char Char,Footnote Text Char2 Char,Footnote Text Char4 Char1 Char Char Char,Footnote Text Char5 Char1 Char Char Char Char Char Char"/>
    <w:uiPriority w:val="99"/>
    <w:rsid w:val="0082287D"/>
    <w:rPr>
      <w:rFonts w:eastAsia="Times New Roman"/>
    </w:rPr>
  </w:style>
  <w:style w:type="character" w:styleId="Strong">
    <w:name w:val="Strong"/>
    <w:qFormat/>
    <w:rsid w:val="0082287D"/>
    <w:rPr>
      <w:b/>
      <w:bCs/>
    </w:rPr>
  </w:style>
  <w:style w:type="character" w:customStyle="1" w:styleId="BodyTextIndent3Char">
    <w:name w:val="Body Text Indent 3 Char"/>
    <w:link w:val="BodyTextIndent3"/>
    <w:rsid w:val="00EF3AD3"/>
    <w:rPr>
      <w:sz w:val="24"/>
    </w:rPr>
  </w:style>
  <w:style w:type="character" w:customStyle="1" w:styleId="FooterChar">
    <w:name w:val="Footer Char"/>
    <w:link w:val="Footer"/>
    <w:uiPriority w:val="99"/>
    <w:rsid w:val="002A0628"/>
  </w:style>
  <w:style w:type="character" w:customStyle="1" w:styleId="UnresolvedMention1">
    <w:name w:val="Unresolved Mention1"/>
    <w:uiPriority w:val="99"/>
    <w:semiHidden/>
    <w:unhideWhenUsed/>
    <w:rsid w:val="00782E3E"/>
    <w:rPr>
      <w:color w:val="605E5C"/>
      <w:shd w:val="clear" w:color="auto" w:fill="E1DFDD"/>
    </w:rPr>
  </w:style>
  <w:style w:type="paragraph" w:styleId="TOCHeading">
    <w:name w:val="TOC Heading"/>
    <w:basedOn w:val="Heading1"/>
    <w:next w:val="Normal"/>
    <w:uiPriority w:val="39"/>
    <w:unhideWhenUsed/>
    <w:qFormat/>
    <w:rsid w:val="00432D5E"/>
    <w:pPr>
      <w:keepLines/>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rsid w:val="008E7F69"/>
    <w:pPr>
      <w:tabs>
        <w:tab w:val="left" w:pos="720"/>
        <w:tab w:val="decimal" w:leader="dot" w:pos="8640"/>
      </w:tabs>
      <w:spacing w:after="240"/>
    </w:pPr>
    <w:rPr>
      <w:szCs w:val="24"/>
    </w:rPr>
  </w:style>
  <w:style w:type="paragraph" w:styleId="TOC2">
    <w:name w:val="toc 2"/>
    <w:basedOn w:val="Normal"/>
    <w:next w:val="Normal"/>
    <w:autoRedefine/>
    <w:uiPriority w:val="39"/>
    <w:rsid w:val="008E7F69"/>
    <w:pPr>
      <w:tabs>
        <w:tab w:val="left" w:pos="720"/>
        <w:tab w:val="decimal" w:leader="dot" w:pos="8640"/>
      </w:tabs>
      <w:spacing w:after="240"/>
      <w:ind w:left="1440" w:hanging="720"/>
    </w:pPr>
    <w:rPr>
      <w:szCs w:val="24"/>
    </w:rPr>
  </w:style>
  <w:style w:type="paragraph" w:styleId="TOC3">
    <w:name w:val="toc 3"/>
    <w:basedOn w:val="Normal"/>
    <w:next w:val="Normal"/>
    <w:autoRedefine/>
    <w:uiPriority w:val="39"/>
    <w:unhideWhenUsed/>
    <w:rsid w:val="008E7F69"/>
    <w:pPr>
      <w:tabs>
        <w:tab w:val="left" w:pos="720"/>
        <w:tab w:val="decimal" w:leader="dot" w:pos="8640"/>
      </w:tabs>
      <w:spacing w:after="240"/>
      <w:ind w:left="720" w:right="720" w:hanging="720"/>
    </w:pPr>
    <w:rPr>
      <w:rFonts w:eastAsiaTheme="minorEastAsia"/>
      <w:szCs w:val="22"/>
    </w:rPr>
  </w:style>
  <w:style w:type="paragraph" w:styleId="NormalWeb">
    <w:name w:val="Normal (Web)"/>
    <w:basedOn w:val="Normal"/>
    <w:uiPriority w:val="99"/>
    <w:unhideWhenUsed/>
    <w:rsid w:val="0045418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botschner.obrien@occ.ohio.gov"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mailto:thomas.lindgren@ohioattorneygeneral.gov" TargetMode="Externa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hyperlink" Target="mailto:terry.etter@occ.ohio.gov" TargetMode="External"/><Relationship Id="rId12" Type="http://schemas.openxmlformats.org/officeDocument/2006/relationships/footer" Target="footer2.xml"/><Relationship Id="rId17" Type="http://schemas.openxmlformats.org/officeDocument/2006/relationships/hyperlink" Target="mailto:amy.botschner.obrien@occ.ohio.gov" TargetMode="Externa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erry.etter@occ.ohio.gov" TargetMode="External"/><Relationship Id="rId20" Type="http://schemas.openxmlformats.org/officeDocument/2006/relationships/hyperlink" Target="mailto:amy.botschner.obrien@occ.ohio.gov" TargetMode="Externa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hyperlink" Target="mailto:Stacie.Cathcart@puco.ohio.gov" TargetMode="External"/><Relationship Id="rId10" Type="http://schemas.openxmlformats.org/officeDocument/2006/relationships/header" Target="header2.xml"/><Relationship Id="rId19" Type="http://schemas.openxmlformats.org/officeDocument/2006/relationships/hyperlink" Target="mailto:terry.etter@occ.ohio.gov" TargetMode="Externa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yperlink" Target="mailto:mdutton@aepenergy.com" TargetMode="Externa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2" Type="http://schemas.openxmlformats.org/officeDocument/2006/relationships/hyperlink" Target="https://www.dispatch.com/article/20140615/NEWS/306159950" TargetMode="External"/><Relationship Id="rId1" Type="http://schemas.openxmlformats.org/officeDocument/2006/relationships/hyperlink" Target="https://www.chooseenergy.com/blog/deregulation/door-to-door-energy-sc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2351</Words>
  <Characters>13507</Characters>
  <Application>Microsoft Office Word</Application>
  <DocSecurity>0</DocSecurity>
  <PresentationFormat/>
  <Lines>327</Lines>
  <Paragraphs>129</Paragraphs>
  <ScaleCrop>false</ScaleCrop>
  <HeadingPairs>
    <vt:vector size="2" baseType="variant">
      <vt:variant>
        <vt:lpstr>Title</vt:lpstr>
      </vt:variant>
      <vt:variant>
        <vt:i4>1</vt:i4>
      </vt:variant>
    </vt:vector>
  </HeadingPairs>
  <TitlesOfParts>
    <vt:vector size="1" baseType="lpstr">
      <vt:lpstr>AFR (18-371).docx</vt:lpstr>
    </vt:vector>
  </TitlesOfParts>
  <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2019-08-16T18:33:00Z</dcterms:created>
  <dcterms:modified xsi:type="dcterms:W3CDTF">2019-08-16T18:34:00Z</dcterms:modified>
</cp:coreProperties>
</file>